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2C437">
      <w:pPr>
        <w:pStyle w:val="39"/>
        <w:widowControl/>
        <w:spacing w:before="454" w:beforeAutospacing="0" w:after="454" w:afterAutospacing="0"/>
        <w:ind w:left="454" w:right="454"/>
        <w:jc w:val="center"/>
        <w:outlineLvl w:val="0"/>
        <w:rPr>
          <w:b/>
          <w:bCs/>
          <w:sz w:val="40"/>
          <w:szCs w:val="40"/>
        </w:rPr>
      </w:pPr>
      <w:bookmarkStart w:id="0" w:name="_Hlk71456902"/>
    </w:p>
    <w:p w14:paraId="20543490">
      <w:pPr>
        <w:pStyle w:val="39"/>
        <w:widowControl/>
        <w:jc w:val="center"/>
        <w:outlineLvl w:val="1"/>
        <w:rPr>
          <w:rFonts w:ascii="黑体" w:hAnsi="宋体" w:eastAsia="黑体" w:cs="黑体"/>
          <w:sz w:val="40"/>
          <w:szCs w:val="40"/>
        </w:rPr>
      </w:pPr>
      <w:r>
        <w:rPr>
          <w:rFonts w:hint="eastAsia" w:ascii="黑体" w:hAnsi="宋体" w:eastAsia="黑体" w:cs="黑体"/>
          <w:sz w:val="40"/>
          <w:szCs w:val="40"/>
        </w:rPr>
        <w:t>招标文件信息</w:t>
      </w:r>
    </w:p>
    <w:tbl>
      <w:tblPr>
        <w:tblStyle w:val="45"/>
        <w:tblW w:w="7943" w:type="dxa"/>
        <w:jc w:val="center"/>
        <w:tblCellSpacing w:w="0" w:type="dxa"/>
        <w:tblLayout w:type="autofit"/>
        <w:tblCellMar>
          <w:top w:w="45" w:type="dxa"/>
          <w:left w:w="45" w:type="dxa"/>
          <w:bottom w:w="45" w:type="dxa"/>
          <w:right w:w="45" w:type="dxa"/>
        </w:tblCellMar>
      </w:tblPr>
      <w:tblGrid>
        <w:gridCol w:w="2723"/>
        <w:gridCol w:w="5220"/>
      </w:tblGrid>
      <w:tr w14:paraId="29EA1AEA">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6121502D">
            <w:pPr>
              <w:widowControl/>
              <w:jc w:val="right"/>
              <w:rPr>
                <w:sz w:val="30"/>
                <w:szCs w:val="30"/>
              </w:rPr>
            </w:pPr>
            <w:r>
              <w:rPr>
                <w:rFonts w:ascii="宋体" w:hAnsi="宋体" w:cs="宋体"/>
                <w:kern w:val="0"/>
                <w:sz w:val="30"/>
                <w:szCs w:val="30"/>
              </w:rPr>
              <w:t>项目编号：</w:t>
            </w:r>
          </w:p>
        </w:tc>
        <w:tc>
          <w:tcPr>
            <w:tcW w:w="0" w:type="auto"/>
            <w:shd w:val="clear" w:color="auto" w:fill="auto"/>
            <w:vAlign w:val="center"/>
          </w:tcPr>
          <w:p w14:paraId="114BB1E6">
            <w:pPr>
              <w:widowControl/>
              <w:jc w:val="left"/>
              <w:rPr>
                <w:sz w:val="30"/>
                <w:szCs w:val="30"/>
              </w:rPr>
            </w:pPr>
            <w:r>
              <w:rPr>
                <w:rFonts w:hint="eastAsia"/>
                <w:sz w:val="30"/>
                <w:szCs w:val="30"/>
              </w:rPr>
              <w:t>ZCXX2025008</w:t>
            </w:r>
          </w:p>
        </w:tc>
      </w:tr>
      <w:tr w14:paraId="558C9C1C">
        <w:tblPrEx>
          <w:tblCellMar>
            <w:top w:w="45" w:type="dxa"/>
            <w:left w:w="45" w:type="dxa"/>
            <w:bottom w:w="45" w:type="dxa"/>
            <w:right w:w="45" w:type="dxa"/>
          </w:tblCellMar>
        </w:tblPrEx>
        <w:trPr>
          <w:trHeight w:val="738" w:hRule="atLeast"/>
          <w:tblCellSpacing w:w="0" w:type="dxa"/>
          <w:jc w:val="center"/>
        </w:trPr>
        <w:tc>
          <w:tcPr>
            <w:tcW w:w="0" w:type="auto"/>
            <w:shd w:val="clear" w:color="auto" w:fill="auto"/>
            <w:vAlign w:val="center"/>
          </w:tcPr>
          <w:p w14:paraId="7E779302">
            <w:pPr>
              <w:widowControl/>
              <w:jc w:val="right"/>
              <w:rPr>
                <w:sz w:val="30"/>
                <w:szCs w:val="30"/>
              </w:rPr>
            </w:pPr>
            <w:r>
              <w:rPr>
                <w:rFonts w:ascii="宋体" w:hAnsi="宋体" w:cs="宋体"/>
                <w:kern w:val="0"/>
                <w:sz w:val="30"/>
                <w:szCs w:val="30"/>
              </w:rPr>
              <w:t>项目名称：</w:t>
            </w:r>
          </w:p>
        </w:tc>
        <w:tc>
          <w:tcPr>
            <w:tcW w:w="0" w:type="auto"/>
            <w:shd w:val="clear" w:color="auto" w:fill="auto"/>
            <w:vAlign w:val="center"/>
          </w:tcPr>
          <w:p w14:paraId="4030D335">
            <w:pPr>
              <w:widowControl/>
              <w:jc w:val="left"/>
              <w:rPr>
                <w:sz w:val="30"/>
                <w:szCs w:val="30"/>
              </w:rPr>
            </w:pPr>
            <w:r>
              <w:rPr>
                <w:rFonts w:hint="eastAsia"/>
                <w:sz w:val="30"/>
                <w:szCs w:val="30"/>
              </w:rPr>
              <w:t>科研平台配套设施采购项目</w:t>
            </w:r>
          </w:p>
        </w:tc>
      </w:tr>
      <w:tr w14:paraId="3AE92E8A">
        <w:tblPrEx>
          <w:tblCellMar>
            <w:top w:w="45" w:type="dxa"/>
            <w:left w:w="45" w:type="dxa"/>
            <w:bottom w:w="45" w:type="dxa"/>
            <w:right w:w="45" w:type="dxa"/>
          </w:tblCellMar>
        </w:tblPrEx>
        <w:trPr>
          <w:trHeight w:val="738" w:hRule="atLeast"/>
          <w:tblCellSpacing w:w="0" w:type="dxa"/>
          <w:jc w:val="center"/>
        </w:trPr>
        <w:tc>
          <w:tcPr>
            <w:tcW w:w="0" w:type="auto"/>
            <w:shd w:val="clear" w:color="auto" w:fill="auto"/>
            <w:vAlign w:val="center"/>
          </w:tcPr>
          <w:p w14:paraId="6E81EBD8">
            <w:pPr>
              <w:widowControl/>
              <w:jc w:val="right"/>
              <w:rPr>
                <w:sz w:val="30"/>
                <w:szCs w:val="30"/>
              </w:rPr>
            </w:pPr>
            <w:r>
              <w:rPr>
                <w:rFonts w:ascii="宋体" w:hAnsi="宋体" w:cs="宋体"/>
                <w:kern w:val="0"/>
                <w:sz w:val="30"/>
                <w:szCs w:val="30"/>
              </w:rPr>
              <w:t>包 号：</w:t>
            </w:r>
          </w:p>
        </w:tc>
        <w:tc>
          <w:tcPr>
            <w:tcW w:w="0" w:type="auto"/>
            <w:shd w:val="clear" w:color="auto" w:fill="auto"/>
            <w:vAlign w:val="center"/>
          </w:tcPr>
          <w:p w14:paraId="3A5203B8">
            <w:pPr>
              <w:widowControl/>
              <w:jc w:val="left"/>
              <w:rPr>
                <w:sz w:val="30"/>
                <w:szCs w:val="30"/>
              </w:rPr>
            </w:pPr>
            <w:r>
              <w:rPr>
                <w:rFonts w:ascii="宋体" w:hAnsi="宋体" w:cs="宋体"/>
                <w:kern w:val="0"/>
                <w:sz w:val="30"/>
                <w:szCs w:val="30"/>
              </w:rPr>
              <w:t>A</w:t>
            </w:r>
          </w:p>
        </w:tc>
      </w:tr>
      <w:tr w14:paraId="21AD8E5B">
        <w:tblPrEx>
          <w:tblCellMar>
            <w:top w:w="45" w:type="dxa"/>
            <w:left w:w="45" w:type="dxa"/>
            <w:bottom w:w="45" w:type="dxa"/>
            <w:right w:w="45" w:type="dxa"/>
          </w:tblCellMar>
        </w:tblPrEx>
        <w:trPr>
          <w:trHeight w:val="738" w:hRule="atLeast"/>
          <w:tblCellSpacing w:w="0" w:type="dxa"/>
          <w:jc w:val="center"/>
        </w:trPr>
        <w:tc>
          <w:tcPr>
            <w:tcW w:w="0" w:type="auto"/>
            <w:shd w:val="clear" w:color="auto" w:fill="auto"/>
            <w:vAlign w:val="center"/>
          </w:tcPr>
          <w:p w14:paraId="055BF0A3">
            <w:pPr>
              <w:widowControl/>
              <w:jc w:val="right"/>
              <w:rPr>
                <w:sz w:val="30"/>
                <w:szCs w:val="30"/>
              </w:rPr>
            </w:pPr>
            <w:r>
              <w:rPr>
                <w:rFonts w:ascii="宋体" w:hAnsi="宋体" w:cs="宋体"/>
                <w:kern w:val="0"/>
                <w:sz w:val="30"/>
                <w:szCs w:val="30"/>
              </w:rPr>
              <w:t>项目类型：</w:t>
            </w:r>
          </w:p>
        </w:tc>
        <w:tc>
          <w:tcPr>
            <w:tcW w:w="0" w:type="auto"/>
            <w:shd w:val="clear" w:color="auto" w:fill="auto"/>
            <w:vAlign w:val="center"/>
          </w:tcPr>
          <w:p w14:paraId="57C35B55">
            <w:pPr>
              <w:widowControl/>
              <w:jc w:val="left"/>
              <w:rPr>
                <w:sz w:val="30"/>
                <w:szCs w:val="30"/>
              </w:rPr>
            </w:pPr>
            <w:r>
              <w:rPr>
                <w:rFonts w:ascii="宋体" w:hAnsi="宋体" w:cs="宋体"/>
                <w:kern w:val="0"/>
                <w:sz w:val="30"/>
                <w:szCs w:val="30"/>
              </w:rPr>
              <w:t>货物类</w:t>
            </w:r>
          </w:p>
        </w:tc>
      </w:tr>
      <w:tr w14:paraId="14DCC985">
        <w:tblPrEx>
          <w:tblCellMar>
            <w:top w:w="45" w:type="dxa"/>
            <w:left w:w="45" w:type="dxa"/>
            <w:bottom w:w="45" w:type="dxa"/>
            <w:right w:w="45" w:type="dxa"/>
          </w:tblCellMar>
        </w:tblPrEx>
        <w:trPr>
          <w:trHeight w:val="738" w:hRule="atLeast"/>
          <w:tblCellSpacing w:w="0" w:type="dxa"/>
          <w:jc w:val="center"/>
        </w:trPr>
        <w:tc>
          <w:tcPr>
            <w:tcW w:w="0" w:type="auto"/>
            <w:shd w:val="clear" w:color="auto" w:fill="auto"/>
            <w:vAlign w:val="center"/>
          </w:tcPr>
          <w:p w14:paraId="3C5A2539">
            <w:pPr>
              <w:widowControl/>
              <w:jc w:val="right"/>
              <w:rPr>
                <w:sz w:val="30"/>
                <w:szCs w:val="30"/>
              </w:rPr>
            </w:pPr>
            <w:r>
              <w:rPr>
                <w:rFonts w:ascii="宋体" w:hAnsi="宋体" w:cs="宋体"/>
                <w:kern w:val="0"/>
                <w:sz w:val="30"/>
                <w:szCs w:val="30"/>
              </w:rPr>
              <w:t>采购方式：</w:t>
            </w:r>
          </w:p>
        </w:tc>
        <w:tc>
          <w:tcPr>
            <w:tcW w:w="0" w:type="auto"/>
            <w:shd w:val="clear" w:color="auto" w:fill="auto"/>
            <w:vAlign w:val="center"/>
          </w:tcPr>
          <w:p w14:paraId="714664F7">
            <w:pPr>
              <w:widowControl/>
              <w:jc w:val="left"/>
              <w:rPr>
                <w:sz w:val="30"/>
                <w:szCs w:val="30"/>
              </w:rPr>
            </w:pPr>
            <w:r>
              <w:rPr>
                <w:rFonts w:ascii="宋体" w:hAnsi="宋体" w:cs="宋体"/>
                <w:kern w:val="0"/>
                <w:sz w:val="30"/>
                <w:szCs w:val="30"/>
              </w:rPr>
              <w:t>公开招标</w:t>
            </w:r>
          </w:p>
        </w:tc>
      </w:tr>
      <w:tr w14:paraId="094D1D37">
        <w:tblPrEx>
          <w:tblCellMar>
            <w:top w:w="45" w:type="dxa"/>
            <w:left w:w="45" w:type="dxa"/>
            <w:bottom w:w="45" w:type="dxa"/>
            <w:right w:w="45" w:type="dxa"/>
          </w:tblCellMar>
        </w:tblPrEx>
        <w:trPr>
          <w:trHeight w:val="738" w:hRule="atLeast"/>
          <w:tblCellSpacing w:w="0" w:type="dxa"/>
          <w:jc w:val="center"/>
        </w:trPr>
        <w:tc>
          <w:tcPr>
            <w:tcW w:w="0" w:type="auto"/>
            <w:shd w:val="clear" w:color="auto" w:fill="auto"/>
            <w:vAlign w:val="center"/>
          </w:tcPr>
          <w:p w14:paraId="4796C569">
            <w:pPr>
              <w:widowControl/>
              <w:jc w:val="right"/>
              <w:rPr>
                <w:sz w:val="30"/>
                <w:szCs w:val="30"/>
              </w:rPr>
            </w:pPr>
            <w:r>
              <w:rPr>
                <w:rFonts w:ascii="宋体" w:hAnsi="宋体" w:cs="宋体"/>
                <w:kern w:val="0"/>
                <w:sz w:val="30"/>
                <w:szCs w:val="30"/>
              </w:rPr>
              <w:t>货币类型：</w:t>
            </w:r>
          </w:p>
        </w:tc>
        <w:tc>
          <w:tcPr>
            <w:tcW w:w="0" w:type="auto"/>
            <w:shd w:val="clear" w:color="auto" w:fill="auto"/>
            <w:vAlign w:val="center"/>
          </w:tcPr>
          <w:p w14:paraId="2D367715">
            <w:pPr>
              <w:widowControl/>
              <w:jc w:val="left"/>
              <w:rPr>
                <w:sz w:val="30"/>
                <w:szCs w:val="30"/>
              </w:rPr>
            </w:pPr>
            <w:r>
              <w:rPr>
                <w:rFonts w:ascii="宋体" w:hAnsi="宋体" w:cs="宋体"/>
                <w:kern w:val="0"/>
                <w:sz w:val="30"/>
                <w:szCs w:val="30"/>
              </w:rPr>
              <w:t>人民币</w:t>
            </w:r>
          </w:p>
        </w:tc>
      </w:tr>
      <w:tr w14:paraId="30F93A23">
        <w:tblPrEx>
          <w:tblCellMar>
            <w:top w:w="45" w:type="dxa"/>
            <w:left w:w="45" w:type="dxa"/>
            <w:bottom w:w="45" w:type="dxa"/>
            <w:right w:w="45" w:type="dxa"/>
          </w:tblCellMar>
        </w:tblPrEx>
        <w:trPr>
          <w:trHeight w:val="738" w:hRule="atLeast"/>
          <w:tblCellSpacing w:w="0" w:type="dxa"/>
          <w:jc w:val="center"/>
        </w:trPr>
        <w:tc>
          <w:tcPr>
            <w:tcW w:w="0" w:type="auto"/>
            <w:shd w:val="clear" w:color="auto" w:fill="auto"/>
            <w:vAlign w:val="center"/>
          </w:tcPr>
          <w:p w14:paraId="2C9621CF">
            <w:pPr>
              <w:widowControl/>
              <w:jc w:val="right"/>
              <w:rPr>
                <w:sz w:val="30"/>
                <w:szCs w:val="30"/>
              </w:rPr>
            </w:pPr>
            <w:r>
              <w:rPr>
                <w:rFonts w:ascii="宋体" w:hAnsi="宋体" w:cs="宋体"/>
                <w:kern w:val="0"/>
                <w:sz w:val="30"/>
                <w:szCs w:val="30"/>
              </w:rPr>
              <w:t>评标方法：</w:t>
            </w:r>
          </w:p>
        </w:tc>
        <w:tc>
          <w:tcPr>
            <w:tcW w:w="0" w:type="auto"/>
            <w:shd w:val="clear" w:color="auto" w:fill="auto"/>
            <w:vAlign w:val="center"/>
          </w:tcPr>
          <w:p w14:paraId="4A4B4869">
            <w:pPr>
              <w:widowControl/>
              <w:jc w:val="left"/>
              <w:rPr>
                <w:sz w:val="30"/>
                <w:szCs w:val="30"/>
              </w:rPr>
            </w:pPr>
            <w:r>
              <w:rPr>
                <w:rFonts w:ascii="宋体" w:hAnsi="宋体" w:cs="宋体"/>
                <w:kern w:val="0"/>
                <w:sz w:val="30"/>
                <w:szCs w:val="30"/>
              </w:rPr>
              <w:t>综合评分</w:t>
            </w:r>
            <w:r>
              <w:rPr>
                <w:rFonts w:hint="eastAsia" w:ascii="宋体" w:hAnsi="宋体" w:cs="宋体"/>
                <w:kern w:val="0"/>
                <w:sz w:val="30"/>
                <w:szCs w:val="30"/>
              </w:rPr>
              <w:t>法</w:t>
            </w:r>
          </w:p>
        </w:tc>
      </w:tr>
      <w:bookmarkEnd w:id="0"/>
    </w:tbl>
    <w:p w14:paraId="0661242B">
      <w:pPr>
        <w:widowControl/>
        <w:jc w:val="center"/>
        <w:outlineLvl w:val="1"/>
        <w:rPr>
          <w:rFonts w:ascii="黑体" w:hAnsi="宋体" w:eastAsia="黑体" w:cs="黑体"/>
          <w:sz w:val="40"/>
          <w:szCs w:val="40"/>
        </w:rPr>
      </w:pPr>
      <w:r>
        <w:rPr>
          <w:rFonts w:hint="eastAsia" w:ascii="黑体" w:hAnsi="宋体" w:eastAsia="黑体" w:cs="黑体"/>
          <w:sz w:val="40"/>
          <w:szCs w:val="40"/>
        </w:rPr>
        <w:br w:type="page"/>
      </w:r>
    </w:p>
    <w:p w14:paraId="663FBA4B">
      <w:pPr>
        <w:pStyle w:val="39"/>
        <w:widowControl/>
        <w:jc w:val="center"/>
        <w:outlineLvl w:val="1"/>
        <w:rPr>
          <w:rFonts w:ascii="黑体" w:hAnsi="宋体" w:eastAsia="黑体" w:cs="黑体"/>
          <w:sz w:val="40"/>
          <w:szCs w:val="40"/>
        </w:rPr>
      </w:pPr>
      <w:r>
        <w:rPr>
          <w:rFonts w:hint="eastAsia" w:ascii="黑体" w:hAnsi="宋体" w:eastAsia="黑体" w:cs="黑体"/>
          <w:sz w:val="40"/>
          <w:szCs w:val="40"/>
        </w:rPr>
        <w:t>资格性审查表</w:t>
      </w:r>
    </w:p>
    <w:tbl>
      <w:tblPr>
        <w:tblStyle w:val="45"/>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794"/>
        <w:gridCol w:w="8284"/>
      </w:tblGrid>
      <w:tr w14:paraId="3FFC5B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4CDA3632">
            <w:pPr>
              <w:widowControl/>
              <w:jc w:val="center"/>
              <w:rPr>
                <w:sz w:val="28"/>
                <w:szCs w:val="28"/>
              </w:rPr>
            </w:pPr>
            <w:r>
              <w:rPr>
                <w:rFonts w:ascii="宋体" w:hAnsi="宋体" w:cs="宋体"/>
                <w:kern w:val="0"/>
                <w:sz w:val="28"/>
                <w:szCs w:val="28"/>
              </w:rPr>
              <w:t>序号</w:t>
            </w:r>
          </w:p>
        </w:tc>
        <w:tc>
          <w:tcPr>
            <w:tcW w:w="0" w:type="auto"/>
            <w:tcBorders>
              <w:top w:val="single" w:color="000000" w:sz="8" w:space="0"/>
              <w:left w:val="single" w:color="000000" w:sz="8" w:space="0"/>
              <w:bottom w:val="single" w:color="000000" w:sz="8" w:space="0"/>
              <w:right w:val="single" w:color="000000" w:sz="8" w:space="0"/>
            </w:tcBorders>
            <w:shd w:val="clear" w:color="auto" w:fill="E6EFFA"/>
            <w:vAlign w:val="center"/>
          </w:tcPr>
          <w:p w14:paraId="65E94F30">
            <w:pPr>
              <w:widowControl/>
              <w:jc w:val="center"/>
              <w:rPr>
                <w:sz w:val="28"/>
                <w:szCs w:val="28"/>
              </w:rPr>
            </w:pPr>
            <w:r>
              <w:rPr>
                <w:rFonts w:ascii="宋体" w:hAnsi="宋体" w:cs="宋体"/>
                <w:kern w:val="0"/>
                <w:sz w:val="28"/>
                <w:szCs w:val="28"/>
              </w:rPr>
              <w:t>内容</w:t>
            </w:r>
          </w:p>
        </w:tc>
      </w:tr>
      <w:tr w14:paraId="0D686C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134719B4">
            <w:pPr>
              <w:widowControl/>
              <w:jc w:val="center"/>
              <w:textAlignment w:val="top"/>
              <w:rPr>
                <w:szCs w:val="21"/>
              </w:rPr>
            </w:pPr>
            <w:r>
              <w:rPr>
                <w:rFonts w:ascii="宋体" w:hAnsi="宋体" w:cs="宋体"/>
                <w:kern w:val="0"/>
                <w:szCs w:val="21"/>
              </w:rPr>
              <w:t>1</w:t>
            </w:r>
          </w:p>
        </w:tc>
        <w:tc>
          <w:tcPr>
            <w:tcW w:w="0" w:type="auto"/>
            <w:tcBorders>
              <w:top w:val="single" w:color="000000" w:sz="8" w:space="0"/>
              <w:left w:val="single" w:color="000000" w:sz="8" w:space="0"/>
              <w:bottom w:val="single" w:color="000000" w:sz="8" w:space="0"/>
              <w:right w:val="single" w:color="000000" w:sz="8" w:space="0"/>
            </w:tcBorders>
            <w:shd w:val="clear" w:color="auto" w:fill="auto"/>
          </w:tcPr>
          <w:p w14:paraId="6C7B974D">
            <w:pPr>
              <w:widowControl/>
              <w:jc w:val="left"/>
              <w:textAlignment w:val="top"/>
              <w:rPr>
                <w:szCs w:val="21"/>
              </w:rPr>
            </w:pPr>
            <w:r>
              <w:rPr>
                <w:rFonts w:ascii="宋体" w:hAnsi="宋体" w:cs="宋体"/>
                <w:kern w:val="0"/>
                <w:szCs w:val="21"/>
              </w:rPr>
              <w:t>投标人不</w:t>
            </w:r>
            <w:r>
              <w:rPr>
                <w:rFonts w:hint="eastAsia" w:ascii="宋体" w:hAnsi="宋体" w:cs="宋体"/>
                <w:kern w:val="0"/>
                <w:szCs w:val="21"/>
              </w:rPr>
              <w:t>符合</w:t>
            </w:r>
            <w:r>
              <w:rPr>
                <w:rFonts w:ascii="宋体" w:hAnsi="宋体" w:cs="宋体"/>
                <w:kern w:val="0"/>
                <w:szCs w:val="21"/>
              </w:rPr>
              <w:t>资格要求，或未提交相应的资格证明资料（详见招标公告</w:t>
            </w:r>
            <w:r>
              <w:rPr>
                <w:rFonts w:hint="eastAsia" w:ascii="宋体" w:hAnsi="宋体"/>
                <w:szCs w:val="21"/>
              </w:rPr>
              <w:t>投标人资格要求，即申请人的资格要求</w:t>
            </w:r>
            <w:r>
              <w:rPr>
                <w:rFonts w:ascii="宋体" w:hAnsi="宋体" w:cs="宋体"/>
                <w:kern w:val="0"/>
                <w:szCs w:val="21"/>
              </w:rPr>
              <w:t>）</w:t>
            </w:r>
          </w:p>
        </w:tc>
      </w:tr>
    </w:tbl>
    <w:p w14:paraId="1AECD09B">
      <w:pPr>
        <w:pStyle w:val="39"/>
        <w:widowControl/>
        <w:spacing w:before="280" w:beforeAutospacing="0"/>
        <w:jc w:val="center"/>
        <w:outlineLvl w:val="1"/>
        <w:rPr>
          <w:rFonts w:ascii="黑体" w:hAnsi="宋体" w:eastAsia="黑体" w:cs="黑体"/>
          <w:sz w:val="40"/>
          <w:szCs w:val="40"/>
        </w:rPr>
      </w:pPr>
      <w:r>
        <w:rPr>
          <w:rFonts w:hint="eastAsia" w:ascii="黑体" w:hAnsi="宋体" w:eastAsia="黑体" w:cs="黑体"/>
          <w:sz w:val="40"/>
          <w:szCs w:val="40"/>
        </w:rPr>
        <w:t>符合性审查表</w:t>
      </w:r>
    </w:p>
    <w:tbl>
      <w:tblPr>
        <w:tblStyle w:val="45"/>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794"/>
        <w:gridCol w:w="8284"/>
      </w:tblGrid>
      <w:tr w14:paraId="65EC11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2883BD0">
            <w:pPr>
              <w:widowControl/>
              <w:jc w:val="center"/>
              <w:rPr>
                <w:sz w:val="28"/>
                <w:szCs w:val="28"/>
              </w:rPr>
            </w:pPr>
            <w:r>
              <w:rPr>
                <w:rFonts w:ascii="宋体" w:hAnsi="宋体" w:cs="宋体"/>
                <w:kern w:val="0"/>
                <w:sz w:val="28"/>
                <w:szCs w:val="28"/>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1C507CE6">
            <w:pPr>
              <w:widowControl/>
              <w:jc w:val="center"/>
              <w:rPr>
                <w:sz w:val="28"/>
                <w:szCs w:val="28"/>
              </w:rPr>
            </w:pPr>
            <w:r>
              <w:rPr>
                <w:rFonts w:ascii="宋体" w:hAnsi="宋体" w:cs="宋体"/>
                <w:kern w:val="0"/>
                <w:sz w:val="28"/>
                <w:szCs w:val="28"/>
              </w:rPr>
              <w:t>内容</w:t>
            </w:r>
          </w:p>
        </w:tc>
      </w:tr>
      <w:tr w14:paraId="565FAB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5072B7DA">
            <w:pPr>
              <w:widowControl/>
              <w:jc w:val="center"/>
              <w:textAlignment w:val="top"/>
              <w:rPr>
                <w:szCs w:val="21"/>
              </w:rPr>
            </w:pPr>
            <w:r>
              <w:rPr>
                <w:rFonts w:ascii="宋体" w:hAnsi="宋体" w:cs="宋体"/>
                <w:kern w:val="0"/>
                <w:szCs w:val="21"/>
              </w:rPr>
              <w:t>1</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7207B860">
            <w:pPr>
              <w:widowControl/>
              <w:jc w:val="left"/>
              <w:textAlignment w:val="top"/>
              <w:rPr>
                <w:szCs w:val="21"/>
              </w:rPr>
            </w:pPr>
            <w:r>
              <w:rPr>
                <w:rFonts w:hint="eastAsia"/>
              </w:rPr>
              <w:t>不得将一个包或一个标段的内容拆开投标；</w:t>
            </w:r>
          </w:p>
        </w:tc>
      </w:tr>
      <w:tr w14:paraId="263C96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045BF5E8">
            <w:pPr>
              <w:widowControl/>
              <w:jc w:val="center"/>
              <w:textAlignment w:val="top"/>
              <w:rPr>
                <w:szCs w:val="21"/>
              </w:rPr>
            </w:pPr>
            <w:r>
              <w:rPr>
                <w:rFonts w:ascii="宋体" w:hAnsi="宋体" w:cs="宋体"/>
                <w:kern w:val="0"/>
                <w:szCs w:val="21"/>
              </w:rPr>
              <w:t>2</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2027556D">
            <w:pPr>
              <w:widowControl/>
              <w:jc w:val="left"/>
              <w:textAlignment w:val="top"/>
              <w:rPr>
                <w:szCs w:val="21"/>
              </w:rPr>
            </w:pPr>
            <w:r>
              <w:rPr>
                <w:rFonts w:hint="eastAsia"/>
              </w:rPr>
              <w:t>对同一项目投标时，不得提供两套以上的投标方案（招标文件另有规定的除外）；</w:t>
            </w:r>
          </w:p>
        </w:tc>
      </w:tr>
      <w:tr w14:paraId="524A7F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4E93B890">
            <w:pPr>
              <w:widowControl/>
              <w:jc w:val="center"/>
              <w:textAlignment w:val="top"/>
              <w:rPr>
                <w:szCs w:val="21"/>
              </w:rPr>
            </w:pPr>
            <w:r>
              <w:rPr>
                <w:rFonts w:ascii="宋体" w:hAnsi="宋体" w:cs="宋体"/>
                <w:kern w:val="0"/>
                <w:szCs w:val="21"/>
              </w:rPr>
              <w:t>3</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6EE26A9B">
            <w:pPr>
              <w:widowControl/>
              <w:jc w:val="left"/>
              <w:textAlignment w:val="top"/>
              <w:rPr>
                <w:szCs w:val="21"/>
              </w:rPr>
            </w:pPr>
            <w:r>
              <w:rPr>
                <w:rFonts w:hint="eastAsia"/>
              </w:rPr>
              <w:t>分项报价或投标总价不得高于</w:t>
            </w:r>
            <w:bookmarkStart w:id="1" w:name="_Hlk71832186"/>
            <w:r>
              <w:rPr>
                <w:rFonts w:hint="eastAsia"/>
              </w:rPr>
              <w:t>相应预算金额（或设定的预算金额下的最高限价）</w:t>
            </w:r>
            <w:bookmarkEnd w:id="1"/>
            <w:r>
              <w:rPr>
                <w:rFonts w:hint="eastAsia"/>
              </w:rPr>
              <w:t>；</w:t>
            </w:r>
          </w:p>
        </w:tc>
      </w:tr>
      <w:tr w14:paraId="236DF1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6AB5D04D">
            <w:pPr>
              <w:widowControl/>
              <w:jc w:val="center"/>
              <w:textAlignment w:val="top"/>
              <w:rPr>
                <w:szCs w:val="21"/>
              </w:rPr>
            </w:pPr>
            <w:r>
              <w:rPr>
                <w:rFonts w:ascii="宋体" w:hAnsi="宋体" w:cs="宋体"/>
                <w:kern w:val="0"/>
                <w:szCs w:val="21"/>
              </w:rPr>
              <w:t>4</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3A8A197F">
            <w:pPr>
              <w:widowControl/>
              <w:jc w:val="left"/>
              <w:textAlignment w:val="top"/>
              <w:rPr>
                <w:szCs w:val="21"/>
              </w:rPr>
            </w:pPr>
            <w:r>
              <w:rPr>
                <w:rFonts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0C0B4B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5A37894E">
            <w:pPr>
              <w:widowControl/>
              <w:jc w:val="center"/>
              <w:textAlignment w:val="top"/>
              <w:rPr>
                <w:szCs w:val="21"/>
              </w:rPr>
            </w:pPr>
            <w:r>
              <w:rPr>
                <w:rFonts w:ascii="宋体" w:hAnsi="宋体" w:cs="宋体"/>
                <w:kern w:val="0"/>
                <w:szCs w:val="21"/>
              </w:rPr>
              <w:t>5</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4C2C7B31">
            <w:pPr>
              <w:widowControl/>
              <w:jc w:val="left"/>
              <w:textAlignment w:val="top"/>
              <w:rPr>
                <w:szCs w:val="21"/>
              </w:rPr>
            </w:pPr>
            <w:r>
              <w:rPr>
                <w:rFonts w:hint="eastAsia"/>
              </w:rPr>
              <w:t>所投货物、服务在技术、商务等方面没有实质性满足招标文件要求的（是否实质性满足招标文件要求，由评审委员会根据实质性条款响应情况作出评判）；</w:t>
            </w:r>
          </w:p>
        </w:tc>
      </w:tr>
      <w:tr w14:paraId="040D6A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297549A5">
            <w:pPr>
              <w:widowControl/>
              <w:jc w:val="center"/>
              <w:textAlignment w:val="top"/>
              <w:rPr>
                <w:szCs w:val="21"/>
              </w:rPr>
            </w:pPr>
            <w:r>
              <w:rPr>
                <w:rFonts w:ascii="宋体" w:hAnsi="宋体" w:cs="宋体"/>
                <w:kern w:val="0"/>
                <w:szCs w:val="21"/>
              </w:rPr>
              <w:t>6</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6BF8A9E6">
            <w:pPr>
              <w:widowControl/>
              <w:jc w:val="left"/>
              <w:textAlignment w:val="top"/>
              <w:rPr>
                <w:szCs w:val="21"/>
              </w:rPr>
            </w:pPr>
            <w:r>
              <w:rPr>
                <w:rFonts w:hint="eastAsia"/>
              </w:rPr>
              <w:t>未按招标文件所提供的样式填写《投标函》；未按招标文件所提供的《政府采购投标及履约承诺函》进行承诺或不符合承诺的；未按招标文件对投标文件组成的要求提供投标文件；</w:t>
            </w:r>
          </w:p>
        </w:tc>
      </w:tr>
      <w:tr w14:paraId="322C62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09932AEC">
            <w:pPr>
              <w:widowControl/>
              <w:jc w:val="center"/>
              <w:textAlignment w:val="top"/>
              <w:rPr>
                <w:szCs w:val="21"/>
              </w:rPr>
            </w:pPr>
            <w:r>
              <w:rPr>
                <w:rFonts w:ascii="宋体" w:hAnsi="宋体" w:cs="宋体"/>
                <w:kern w:val="0"/>
                <w:szCs w:val="21"/>
              </w:rPr>
              <w:t>7</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408A7C57">
            <w:pPr>
              <w:widowControl/>
              <w:jc w:val="left"/>
              <w:textAlignment w:val="top"/>
              <w:rPr>
                <w:szCs w:val="21"/>
              </w:rPr>
            </w:pPr>
            <w:r>
              <w:rPr>
                <w:rFonts w:hint="eastAsia"/>
              </w:rPr>
              <w:t>采购标的/所投产品/货物清单有缺漏项或响应不全或报价有缺漏或者对招标文件规定的项目需求内容或者需求数量进行修改，评审委员会判定投标响应不满足采购需求；</w:t>
            </w:r>
          </w:p>
        </w:tc>
      </w:tr>
      <w:tr w14:paraId="5D87D1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2CEDF1DC">
            <w:pPr>
              <w:widowControl/>
              <w:jc w:val="center"/>
              <w:textAlignment w:val="top"/>
              <w:rPr>
                <w:szCs w:val="21"/>
              </w:rPr>
            </w:pPr>
            <w:r>
              <w:rPr>
                <w:rFonts w:hint="eastAsia" w:ascii="宋体" w:hAnsi="宋体" w:cs="宋体"/>
                <w:kern w:val="0"/>
                <w:szCs w:val="21"/>
              </w:rPr>
              <w:t>8</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6C20F912">
            <w:pPr>
              <w:widowControl/>
              <w:jc w:val="left"/>
              <w:textAlignment w:val="top"/>
              <w:rPr>
                <w:szCs w:val="21"/>
              </w:rPr>
            </w:pPr>
            <w:r>
              <w:rPr>
                <w:rFonts w:hint="eastAsia"/>
              </w:rPr>
              <w:t>法律、法规、规章、规范性文件规定的其他情形；</w:t>
            </w:r>
          </w:p>
        </w:tc>
      </w:tr>
      <w:tr w14:paraId="5B0073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25F52E31">
            <w:pPr>
              <w:widowControl/>
              <w:jc w:val="center"/>
              <w:textAlignment w:val="top"/>
              <w:rPr>
                <w:rFonts w:ascii="宋体" w:hAnsi="宋体" w:cs="宋体"/>
                <w:kern w:val="0"/>
                <w:szCs w:val="21"/>
              </w:rPr>
            </w:pPr>
            <w:r>
              <w:rPr>
                <w:rFonts w:hint="eastAsia" w:ascii="宋体" w:hAnsi="宋体" w:cs="宋体"/>
                <w:kern w:val="0"/>
                <w:szCs w:val="21"/>
              </w:rPr>
              <w:t>9</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55177B99">
            <w:pPr>
              <w:widowControl/>
              <w:jc w:val="left"/>
              <w:textAlignment w:val="top"/>
            </w:pPr>
            <w:r>
              <w:rPr>
                <w:rFonts w:ascii="宋体" w:hAnsi="宋体" w:cs="宋体"/>
                <w:b/>
                <w:bCs/>
                <w:color w:val="FF0000"/>
                <w:kern w:val="0"/>
                <w:szCs w:val="21"/>
                <w:highlight w:val="none"/>
                <w:lang w:bidi="ar"/>
              </w:rPr>
              <w:t>未按招标文件要求提供</w:t>
            </w:r>
            <w:r>
              <w:rPr>
                <w:rFonts w:hint="eastAsia" w:ascii="宋体" w:hAnsi="宋体" w:cs="宋体"/>
                <w:b/>
                <w:bCs/>
                <w:color w:val="FF0000"/>
                <w:kern w:val="0"/>
                <w:szCs w:val="21"/>
                <w:highlight w:val="none"/>
                <w:lang w:bidi="ar"/>
              </w:rPr>
              <w:t>一份正本、</w:t>
            </w:r>
            <w:r>
              <w:rPr>
                <w:rFonts w:hint="eastAsia" w:ascii="宋体" w:hAnsi="宋体" w:cs="宋体"/>
                <w:b/>
                <w:bCs/>
                <w:color w:val="FF0000"/>
                <w:kern w:val="0"/>
                <w:szCs w:val="21"/>
                <w:highlight w:val="none"/>
                <w:lang w:val="en-US" w:eastAsia="zh-CN" w:bidi="ar"/>
              </w:rPr>
              <w:t>六</w:t>
            </w:r>
            <w:r>
              <w:rPr>
                <w:rFonts w:hint="eastAsia" w:ascii="宋体" w:hAnsi="宋体" w:cs="宋体"/>
                <w:b/>
                <w:bCs/>
                <w:color w:val="FF0000"/>
                <w:kern w:val="0"/>
                <w:szCs w:val="21"/>
                <w:highlight w:val="none"/>
                <w:lang w:bidi="ar"/>
              </w:rPr>
              <w:t>份副本、一份唱标信封、一份电子文档（U盘储存）的</w:t>
            </w:r>
            <w:r>
              <w:rPr>
                <w:rFonts w:ascii="宋体" w:hAnsi="宋体" w:cs="宋体"/>
                <w:b/>
                <w:bCs/>
                <w:color w:val="FF0000"/>
                <w:kern w:val="0"/>
                <w:szCs w:val="21"/>
                <w:highlight w:val="none"/>
                <w:lang w:bidi="ar"/>
              </w:rPr>
              <w:t>；</w:t>
            </w:r>
          </w:p>
        </w:tc>
      </w:tr>
    </w:tbl>
    <w:p w14:paraId="5996CCDA">
      <w:pPr>
        <w:pStyle w:val="39"/>
        <w:widowControl/>
        <w:jc w:val="center"/>
        <w:outlineLvl w:val="1"/>
        <w:rPr>
          <w:rFonts w:ascii="黑体" w:hAnsi="宋体" w:eastAsia="黑体" w:cs="黑体"/>
          <w:sz w:val="40"/>
          <w:szCs w:val="40"/>
        </w:rPr>
      </w:pPr>
      <w:r>
        <w:rPr>
          <w:rFonts w:hint="eastAsia" w:ascii="黑体" w:hAnsi="宋体" w:eastAsia="黑体" w:cs="黑体"/>
          <w:sz w:val="40"/>
          <w:szCs w:val="40"/>
        </w:rPr>
        <w:t>评标信息</w:t>
      </w:r>
    </w:p>
    <w:tbl>
      <w:tblPr>
        <w:tblStyle w:val="45"/>
        <w:tblW w:w="9078"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autofit"/>
        <w:tblCellMar>
          <w:top w:w="45" w:type="dxa"/>
          <w:left w:w="45" w:type="dxa"/>
          <w:bottom w:w="45" w:type="dxa"/>
          <w:right w:w="45" w:type="dxa"/>
        </w:tblCellMar>
      </w:tblPr>
      <w:tblGrid>
        <w:gridCol w:w="8677"/>
        <w:gridCol w:w="401"/>
      </w:tblGrid>
      <w:tr w14:paraId="604789C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tblCellSpacing w:w="0" w:type="dxa"/>
          <w:jc w:val="center"/>
        </w:trPr>
        <w:tc>
          <w:tcPr>
            <w:tcW w:w="0" w:type="auto"/>
            <w:shd w:val="clear" w:color="auto" w:fill="auto"/>
            <w:vAlign w:val="center"/>
          </w:tcPr>
          <w:p w14:paraId="1D99D8F8">
            <w:pPr>
              <w:widowControl/>
              <w:jc w:val="left"/>
              <w:rPr>
                <w:b/>
                <w:bCs/>
                <w:sz w:val="24"/>
              </w:rPr>
            </w:pPr>
            <w:r>
              <w:rPr>
                <w:b/>
                <w:bCs/>
              </w:rPr>
              <w:t>评标方法：综合评分法</w:t>
            </w:r>
          </w:p>
        </w:tc>
        <w:tc>
          <w:tcPr>
            <w:tcW w:w="0" w:type="auto"/>
            <w:shd w:val="clear" w:color="auto" w:fill="auto"/>
            <w:vAlign w:val="center"/>
          </w:tcPr>
          <w:p w14:paraId="054BF9E8">
            <w:pPr>
              <w:jc w:val="right"/>
              <w:rPr>
                <w:rFonts w:ascii="宋体"/>
                <w:b/>
                <w:bCs/>
                <w:sz w:val="24"/>
              </w:rPr>
            </w:pPr>
          </w:p>
        </w:tc>
      </w:tr>
      <w:tr w14:paraId="20EF337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tblCellSpacing w:w="0" w:type="dxa"/>
          <w:jc w:val="center"/>
        </w:trPr>
        <w:tc>
          <w:tcPr>
            <w:tcW w:w="0" w:type="auto"/>
            <w:gridSpan w:val="2"/>
            <w:shd w:val="clear" w:color="auto" w:fill="auto"/>
            <w:vAlign w:val="center"/>
          </w:tcPr>
          <w:p w14:paraId="4F8EC800">
            <w:pPr>
              <w:spacing w:line="324" w:lineRule="auto"/>
              <w:ind w:firstLine="420"/>
              <w:rPr>
                <w:szCs w:val="21"/>
              </w:rPr>
            </w:pPr>
            <w:r>
              <w:rPr>
                <w:rFonts w:hint="eastAsia"/>
                <w:szCs w:val="21"/>
              </w:rPr>
              <w:t>综合评分法。是指投标文件满足招标文件全部实质性要求，且按照评审因素的量化指标评审得分</w:t>
            </w:r>
            <w:r>
              <w:rPr>
                <w:rFonts w:hint="eastAsia"/>
                <w:szCs w:val="21"/>
                <w:lang w:val="en-US" w:eastAsia="zh-CN"/>
              </w:rPr>
              <w:t>排名前列</w:t>
            </w:r>
            <w:r>
              <w:rPr>
                <w:szCs w:val="21"/>
              </w:rPr>
              <w:t>的投标人为中标候选人的评标方法</w:t>
            </w:r>
          </w:p>
          <w:p w14:paraId="1254B62C">
            <w:pPr>
              <w:ind w:firstLine="420"/>
              <w:rPr>
                <w:szCs w:val="21"/>
              </w:rPr>
            </w:pPr>
            <w:r>
              <w:rPr>
                <w:szCs w:val="21"/>
              </w:rPr>
              <w:t>价格分计算方法：</w:t>
            </w:r>
          </w:p>
          <w:p w14:paraId="2239A6F4">
            <w:pPr>
              <w:pStyle w:val="39"/>
              <w:widowControl/>
              <w:spacing w:line="324" w:lineRule="auto"/>
              <w:ind w:left="420"/>
              <w:rPr>
                <w:rFonts w:hint="eastAsia"/>
                <w:kern w:val="2"/>
                <w:sz w:val="21"/>
                <w:szCs w:val="21"/>
                <w:lang w:val="en-US" w:eastAsia="zh-CN"/>
              </w:rPr>
            </w:pPr>
            <w:r>
              <w:rPr>
                <w:kern w:val="2"/>
                <w:sz w:val="21"/>
                <w:szCs w:val="21"/>
              </w:rPr>
              <w:t>采用低价优先法计算，即满足招标文件要求且投标价格最低的投标报价为评标基准价，其价格分为满分</w:t>
            </w:r>
            <w:r>
              <w:rPr>
                <w:rFonts w:hint="eastAsia"/>
                <w:kern w:val="2"/>
                <w:sz w:val="21"/>
                <w:szCs w:val="21"/>
                <w:lang w:eastAsia="zh-CN"/>
              </w:rPr>
              <w:t>（</w:t>
            </w:r>
            <w:r>
              <w:rPr>
                <w:rFonts w:hint="eastAsia"/>
                <w:kern w:val="2"/>
                <w:sz w:val="21"/>
                <w:szCs w:val="21"/>
                <w:lang w:val="en-US" w:eastAsia="zh-CN"/>
              </w:rPr>
              <w:t>30分</w:t>
            </w:r>
            <w:r>
              <w:rPr>
                <w:rFonts w:hint="eastAsia"/>
                <w:kern w:val="2"/>
                <w:sz w:val="21"/>
                <w:szCs w:val="21"/>
                <w:lang w:eastAsia="zh-CN"/>
              </w:rPr>
              <w:t>）</w:t>
            </w:r>
            <w:r>
              <w:rPr>
                <w:kern w:val="2"/>
                <w:sz w:val="21"/>
                <w:szCs w:val="21"/>
              </w:rPr>
              <w:t xml:space="preserve">。其他投标人的价格分统一按照下列公式计算： </w:t>
            </w:r>
            <w:r>
              <w:rPr>
                <w:kern w:val="2"/>
                <w:sz w:val="21"/>
                <w:szCs w:val="21"/>
              </w:rPr>
              <w:br w:type="textWrapping"/>
            </w:r>
            <w:r>
              <w:rPr>
                <w:kern w:val="2"/>
                <w:sz w:val="21"/>
                <w:szCs w:val="21"/>
              </w:rPr>
              <w:t>投标报价得分=(评标基准价／投标报价)×</w:t>
            </w:r>
            <w:r>
              <w:rPr>
                <w:rFonts w:hint="eastAsia"/>
                <w:kern w:val="2"/>
                <w:sz w:val="21"/>
                <w:szCs w:val="21"/>
                <w:lang w:val="en-US" w:eastAsia="zh-CN"/>
              </w:rPr>
              <w:t>30</w:t>
            </w:r>
          </w:p>
          <w:p w14:paraId="0ED3D33F">
            <w:pPr>
              <w:pStyle w:val="39"/>
              <w:widowControl/>
              <w:spacing w:line="324" w:lineRule="auto"/>
              <w:ind w:left="420"/>
              <w:rPr>
                <w:kern w:val="2"/>
                <w:sz w:val="21"/>
                <w:szCs w:val="21"/>
              </w:rPr>
            </w:pPr>
            <w:r>
              <w:rPr>
                <w:kern w:val="2"/>
                <w:sz w:val="21"/>
                <w:szCs w:val="21"/>
              </w:rPr>
              <w:t>评标总得分＝F1＋F2＋……＋Fn</w:t>
            </w:r>
          </w:p>
          <w:p w14:paraId="18F46C45">
            <w:pPr>
              <w:ind w:firstLine="420" w:firstLineChars="200"/>
              <w:rPr>
                <w:kern w:val="2"/>
                <w:sz w:val="21"/>
                <w:szCs w:val="21"/>
              </w:rPr>
            </w:pPr>
            <w:r>
              <w:rPr>
                <w:kern w:val="2"/>
                <w:sz w:val="21"/>
                <w:szCs w:val="21"/>
              </w:rPr>
              <w:t>F1、F2……Fn分别为各项评审因素的得</w:t>
            </w:r>
            <w:r>
              <w:rPr>
                <w:rFonts w:hint="eastAsia"/>
                <w:kern w:val="2"/>
                <w:sz w:val="21"/>
                <w:szCs w:val="21"/>
                <w:lang w:val="en-US" w:eastAsia="zh-CN"/>
              </w:rPr>
              <w:t>分值</w:t>
            </w:r>
            <w:r>
              <w:rPr>
                <w:kern w:val="2"/>
                <w:sz w:val="21"/>
                <w:szCs w:val="21"/>
              </w:rPr>
              <w:t xml:space="preserve">； </w:t>
            </w:r>
            <w:r>
              <w:rPr>
                <w:kern w:val="2"/>
                <w:sz w:val="21"/>
                <w:szCs w:val="21"/>
              </w:rPr>
              <w:br w:type="textWrapping"/>
            </w:r>
            <w:r>
              <w:rPr>
                <w:rFonts w:hint="eastAsia"/>
                <w:kern w:val="2"/>
                <w:sz w:val="21"/>
                <w:szCs w:val="21"/>
                <w:lang w:val="en-US" w:eastAsia="zh-CN"/>
              </w:rPr>
              <w:t xml:space="preserve"> </w:t>
            </w:r>
            <w:r>
              <w:rPr>
                <w:kern w:val="2"/>
                <w:sz w:val="21"/>
                <w:szCs w:val="21"/>
              </w:rPr>
              <w:t>评标过程中，不得去掉报价中的最高报价和最低报价。</w:t>
            </w:r>
          </w:p>
          <w:p w14:paraId="7D158536">
            <w:pPr>
              <w:pStyle w:val="39"/>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sz w:val="21"/>
                <w:szCs w:val="21"/>
              </w:rPr>
            </w:pPr>
            <w:r>
              <w:rPr>
                <w:rFonts w:hint="eastAsia"/>
                <w:kern w:val="2"/>
                <w:sz w:val="21"/>
                <w:szCs w:val="21"/>
              </w:rPr>
              <w:t>因落实政府采购政策进行价格调整的，以调整后的价格计算评标基准价和投标报价。</w:t>
            </w:r>
            <w:r>
              <w:rPr>
                <w:kern w:val="2"/>
                <w:sz w:val="21"/>
                <w:szCs w:val="21"/>
              </w:rPr>
              <w:t xml:space="preserve"> </w:t>
            </w:r>
          </w:p>
        </w:tc>
      </w:tr>
    </w:tbl>
    <w:p w14:paraId="051FCC8F"/>
    <w:tbl>
      <w:tblPr>
        <w:tblStyle w:val="4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
        <w:gridCol w:w="463"/>
        <w:gridCol w:w="1252"/>
        <w:gridCol w:w="463"/>
        <w:gridCol w:w="708"/>
        <w:gridCol w:w="5907"/>
      </w:tblGrid>
      <w:tr w14:paraId="0175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268" w:type="pct"/>
            <w:shd w:val="clear" w:color="auto" w:fill="auto"/>
            <w:vAlign w:val="center"/>
          </w:tcPr>
          <w:p w14:paraId="7E76A592">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hint="eastAsia" w:ascii="宋体" w:hAnsi="宋体" w:eastAsia="宋体"/>
                <w:b/>
                <w:bCs/>
                <w:sz w:val="21"/>
                <w:szCs w:val="21"/>
                <w:lang w:val="en-US" w:eastAsia="zh-CN"/>
              </w:rPr>
            </w:pPr>
            <w:r>
              <w:rPr>
                <w:rFonts w:hint="eastAsia" w:ascii="宋体" w:hAnsi="宋体"/>
                <w:b/>
                <w:bCs/>
                <w:sz w:val="21"/>
                <w:szCs w:val="21"/>
                <w:lang w:val="en-US" w:eastAsia="zh-CN"/>
              </w:rPr>
              <w:t>1</w:t>
            </w:r>
          </w:p>
        </w:tc>
        <w:tc>
          <w:tcPr>
            <w:tcW w:w="4731" w:type="pct"/>
            <w:gridSpan w:val="5"/>
            <w:shd w:val="clear" w:color="auto" w:fill="auto"/>
            <w:vAlign w:val="center"/>
          </w:tcPr>
          <w:p w14:paraId="7C278B4C">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hint="default" w:ascii="宋体" w:hAnsi="宋体" w:eastAsia="宋体"/>
                <w:b/>
                <w:bCs/>
                <w:sz w:val="21"/>
                <w:szCs w:val="21"/>
                <w:lang w:val="en-US" w:eastAsia="zh-CN"/>
              </w:rPr>
            </w:pPr>
            <w:r>
              <w:rPr>
                <w:rFonts w:hint="eastAsia" w:ascii="宋体" w:hAnsi="宋体"/>
                <w:b/>
                <w:bCs/>
                <w:sz w:val="21"/>
                <w:szCs w:val="21"/>
                <w:lang w:val="en-US" w:eastAsia="zh-CN"/>
              </w:rPr>
              <w:t>价格部分（</w:t>
            </w:r>
            <w:r>
              <w:rPr>
                <w:rFonts w:hint="eastAsia" w:ascii="宋体" w:hAnsi="宋体"/>
                <w:b/>
                <w:bCs/>
                <w:sz w:val="21"/>
                <w:szCs w:val="21"/>
                <w:u w:val="single"/>
                <w:lang w:val="en-US" w:eastAsia="zh-CN"/>
              </w:rPr>
              <w:t>30分</w:t>
            </w:r>
            <w:r>
              <w:rPr>
                <w:rFonts w:hint="eastAsia" w:ascii="宋体" w:hAnsi="宋体"/>
                <w:b/>
                <w:bCs/>
                <w:sz w:val="21"/>
                <w:szCs w:val="21"/>
                <w:lang w:val="en-US" w:eastAsia="zh-CN"/>
              </w:rPr>
              <w:t>）</w:t>
            </w:r>
          </w:p>
        </w:tc>
      </w:tr>
      <w:tr w14:paraId="0556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268" w:type="pct"/>
            <w:shd w:val="clear" w:color="auto" w:fill="auto"/>
            <w:vAlign w:val="center"/>
          </w:tcPr>
          <w:p w14:paraId="1DDD7DBC">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2</w:t>
            </w:r>
          </w:p>
        </w:tc>
        <w:tc>
          <w:tcPr>
            <w:tcW w:w="4731" w:type="pct"/>
            <w:gridSpan w:val="5"/>
            <w:shd w:val="clear" w:color="auto" w:fill="auto"/>
            <w:vAlign w:val="center"/>
          </w:tcPr>
          <w:p w14:paraId="15E13234">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技术部分（</w:t>
            </w:r>
            <w:r>
              <w:rPr>
                <w:rFonts w:hint="eastAsia" w:ascii="宋体" w:hAnsi="宋体"/>
                <w:b/>
                <w:bCs/>
                <w:sz w:val="21"/>
                <w:szCs w:val="21"/>
                <w:u w:val="single"/>
              </w:rPr>
              <w:t xml:space="preserve"> 40 </w:t>
            </w:r>
            <w:r>
              <w:rPr>
                <w:rFonts w:hint="eastAsia" w:ascii="宋体" w:hAnsi="宋体"/>
                <w:b/>
                <w:bCs/>
                <w:sz w:val="21"/>
                <w:szCs w:val="21"/>
              </w:rPr>
              <w:t>分）</w:t>
            </w:r>
          </w:p>
        </w:tc>
      </w:tr>
      <w:tr w14:paraId="3D12F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268" w:type="pct"/>
            <w:vMerge w:val="restart"/>
            <w:shd w:val="clear" w:color="auto" w:fill="auto"/>
          </w:tcPr>
          <w:p w14:paraId="6DDDBAF4">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p w14:paraId="4BA42442">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231F657A">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序号</w:t>
            </w:r>
          </w:p>
        </w:tc>
        <w:tc>
          <w:tcPr>
            <w:tcW w:w="677" w:type="pct"/>
            <w:shd w:val="clear" w:color="auto" w:fill="auto"/>
            <w:vAlign w:val="center"/>
          </w:tcPr>
          <w:p w14:paraId="6391D7EA">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评分因素</w:t>
            </w:r>
          </w:p>
        </w:tc>
        <w:tc>
          <w:tcPr>
            <w:tcW w:w="250" w:type="pct"/>
            <w:shd w:val="clear" w:color="auto" w:fill="auto"/>
            <w:vAlign w:val="center"/>
          </w:tcPr>
          <w:p w14:paraId="5D91A415">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hint="eastAsia" w:ascii="宋体" w:hAnsi="宋体" w:eastAsia="宋体"/>
                <w:b/>
                <w:bCs/>
                <w:sz w:val="21"/>
                <w:szCs w:val="21"/>
                <w:lang w:eastAsia="zh-CN"/>
              </w:rPr>
            </w:pPr>
            <w:r>
              <w:rPr>
                <w:rFonts w:hint="eastAsia" w:ascii="宋体" w:hAnsi="宋体"/>
                <w:b/>
                <w:bCs/>
                <w:sz w:val="21"/>
                <w:szCs w:val="21"/>
                <w:lang w:val="en-US" w:eastAsia="zh-CN"/>
              </w:rPr>
              <w:t>分值</w:t>
            </w:r>
          </w:p>
        </w:tc>
        <w:tc>
          <w:tcPr>
            <w:tcW w:w="386" w:type="pct"/>
            <w:shd w:val="clear" w:color="auto" w:fill="auto"/>
            <w:vAlign w:val="center"/>
          </w:tcPr>
          <w:p w14:paraId="7C0D92C8">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评分方式</w:t>
            </w:r>
          </w:p>
        </w:tc>
        <w:tc>
          <w:tcPr>
            <w:tcW w:w="3181" w:type="pct"/>
            <w:shd w:val="clear" w:color="auto" w:fill="auto"/>
            <w:vAlign w:val="center"/>
          </w:tcPr>
          <w:p w14:paraId="50D5DCFE">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评分准则</w:t>
            </w:r>
          </w:p>
        </w:tc>
      </w:tr>
      <w:tr w14:paraId="790CA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68" w:type="pct"/>
            <w:vMerge w:val="continue"/>
          </w:tcPr>
          <w:p w14:paraId="17E3FE78">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59643EDE">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1</w:t>
            </w:r>
          </w:p>
        </w:tc>
        <w:tc>
          <w:tcPr>
            <w:tcW w:w="677" w:type="pct"/>
            <w:shd w:val="clear" w:color="auto" w:fill="auto"/>
            <w:vAlign w:val="center"/>
          </w:tcPr>
          <w:p w14:paraId="30F131D0">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对技术条款的响应程度</w:t>
            </w:r>
          </w:p>
        </w:tc>
        <w:tc>
          <w:tcPr>
            <w:tcW w:w="250" w:type="pct"/>
            <w:shd w:val="clear" w:color="auto" w:fill="auto"/>
            <w:vAlign w:val="center"/>
          </w:tcPr>
          <w:p w14:paraId="5BC1086D">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Cs/>
                <w:sz w:val="21"/>
                <w:szCs w:val="21"/>
              </w:rPr>
            </w:pPr>
            <w:r>
              <w:rPr>
                <w:rFonts w:hint="eastAsia" w:ascii="宋体" w:hAnsi="宋体"/>
                <w:bCs/>
                <w:sz w:val="21"/>
                <w:szCs w:val="21"/>
              </w:rPr>
              <w:t>35</w:t>
            </w:r>
          </w:p>
        </w:tc>
        <w:tc>
          <w:tcPr>
            <w:tcW w:w="386" w:type="pct"/>
            <w:shd w:val="clear" w:color="auto" w:fill="auto"/>
            <w:vAlign w:val="center"/>
          </w:tcPr>
          <w:p w14:paraId="6431FE44">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专家打分</w:t>
            </w:r>
          </w:p>
        </w:tc>
        <w:tc>
          <w:tcPr>
            <w:tcW w:w="3181" w:type="pct"/>
            <w:shd w:val="clear" w:color="auto" w:fill="auto"/>
            <w:vAlign w:val="center"/>
          </w:tcPr>
          <w:p w14:paraId="2FE28E8F">
            <w:pPr>
              <w:pStyle w:val="2"/>
              <w:keepNext w:val="0"/>
              <w:keepLines w:val="0"/>
              <w:pageBreakBefore w:val="0"/>
              <w:kinsoku/>
              <w:wordWrap/>
              <w:overflowPunct/>
              <w:topLinePunct w:val="0"/>
              <w:autoSpaceDE/>
              <w:autoSpaceDN/>
              <w:bidi w:val="0"/>
              <w:adjustRightInd/>
              <w:snapToGrid/>
              <w:spacing w:line="276" w:lineRule="auto"/>
              <w:ind w:firstLine="0" w:firstLineChars="0"/>
              <w:rPr>
                <w:sz w:val="21"/>
                <w:szCs w:val="21"/>
              </w:rPr>
            </w:pPr>
            <w:r>
              <w:rPr>
                <w:rFonts w:hint="eastAsia" w:ascii="宋体" w:hAnsi="宋体" w:eastAsia="宋体" w:cs="宋体"/>
                <w:b w:val="0"/>
                <w:bCs w:val="0"/>
                <w:sz w:val="21"/>
                <w:szCs w:val="21"/>
              </w:rPr>
              <w:t>评分内容：投标人应如实填写《技术要求偏离表》，评审委员会根据技术需求参数响应情况进行打分，各项技术参数指标及要求全部满足的得35分。所有标注“▲”的重要参数每项负偏离扣</w:t>
            </w:r>
            <w:r>
              <w:rPr>
                <w:rFonts w:hint="eastAsia" w:ascii="宋体" w:hAnsi="宋体" w:eastAsia="宋体" w:cs="宋体"/>
                <w:b w:val="0"/>
                <w:bCs w:val="0"/>
                <w:sz w:val="21"/>
                <w:szCs w:val="21"/>
                <w:lang w:val="en-US" w:eastAsia="zh-CN"/>
              </w:rPr>
              <w:t>0.5</w:t>
            </w:r>
            <w:r>
              <w:rPr>
                <w:rFonts w:hint="eastAsia" w:ascii="宋体" w:hAnsi="宋体" w:eastAsia="宋体" w:cs="宋体"/>
                <w:b w:val="0"/>
                <w:bCs w:val="0"/>
                <w:sz w:val="21"/>
                <w:szCs w:val="21"/>
              </w:rPr>
              <w:t>分，一般参数每负偏离一条扣</w:t>
            </w:r>
            <w:r>
              <w:rPr>
                <w:rFonts w:hint="eastAsia" w:ascii="宋体" w:hAnsi="宋体" w:eastAsia="宋体" w:cs="宋体"/>
                <w:b w:val="0"/>
                <w:bCs w:val="0"/>
                <w:sz w:val="21"/>
                <w:szCs w:val="21"/>
                <w:lang w:val="en-US" w:eastAsia="zh-CN"/>
              </w:rPr>
              <w:t>0.2</w:t>
            </w:r>
            <w:r>
              <w:rPr>
                <w:rFonts w:hint="eastAsia" w:ascii="宋体" w:hAnsi="宋体" w:eastAsia="宋体" w:cs="宋体"/>
                <w:b w:val="0"/>
                <w:bCs w:val="0"/>
                <w:sz w:val="21"/>
                <w:szCs w:val="21"/>
              </w:rPr>
              <w:t>分，扣完为止。</w:t>
            </w:r>
          </w:p>
        </w:tc>
      </w:tr>
      <w:tr w14:paraId="4C1A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8" w:type="pct"/>
            <w:vMerge w:val="continue"/>
          </w:tcPr>
          <w:p w14:paraId="165DAF45">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455A3CFA">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2</w:t>
            </w:r>
          </w:p>
        </w:tc>
        <w:tc>
          <w:tcPr>
            <w:tcW w:w="677" w:type="pct"/>
            <w:shd w:val="clear" w:color="auto" w:fill="auto"/>
            <w:vAlign w:val="center"/>
          </w:tcPr>
          <w:p w14:paraId="7304F0AF">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sz w:val="21"/>
                <w:szCs w:val="21"/>
              </w:rPr>
              <w:t>安装部署方案设计</w:t>
            </w:r>
          </w:p>
        </w:tc>
        <w:tc>
          <w:tcPr>
            <w:tcW w:w="250" w:type="pct"/>
            <w:shd w:val="clear" w:color="auto" w:fill="auto"/>
            <w:vAlign w:val="center"/>
          </w:tcPr>
          <w:p w14:paraId="2AEE2C86">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Cs/>
                <w:sz w:val="21"/>
                <w:szCs w:val="21"/>
              </w:rPr>
            </w:pPr>
            <w:r>
              <w:rPr>
                <w:rFonts w:hint="eastAsia" w:ascii="宋体" w:hAnsi="宋体"/>
                <w:bCs/>
                <w:sz w:val="21"/>
                <w:szCs w:val="21"/>
              </w:rPr>
              <w:t>5</w:t>
            </w:r>
          </w:p>
        </w:tc>
        <w:tc>
          <w:tcPr>
            <w:tcW w:w="386" w:type="pct"/>
            <w:shd w:val="clear" w:color="auto" w:fill="auto"/>
            <w:vAlign w:val="center"/>
          </w:tcPr>
          <w:p w14:paraId="3F04E741">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专家打分</w:t>
            </w:r>
          </w:p>
        </w:tc>
        <w:tc>
          <w:tcPr>
            <w:tcW w:w="3181" w:type="pct"/>
            <w:shd w:val="clear" w:color="auto" w:fill="auto"/>
            <w:vAlign w:val="center"/>
          </w:tcPr>
          <w:p w14:paraId="42BB879A">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1.投标人须针对本项目需求提供技术方案，包括但不限于下述内容：</w:t>
            </w:r>
          </w:p>
          <w:p w14:paraId="6EA8DAAD">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（1）部署实施管理方案</w:t>
            </w:r>
          </w:p>
          <w:p w14:paraId="4C336CC0">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（2）项目交付措施</w:t>
            </w:r>
          </w:p>
          <w:p w14:paraId="4455505B">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（3）应急方案</w:t>
            </w:r>
          </w:p>
          <w:p w14:paraId="3707569B">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包含以上全部3个内容的得1.5分；包含以上任意2个内容的得1分；包含以上任意1个内容或无该部分内容的不得分。</w:t>
            </w:r>
          </w:p>
          <w:p w14:paraId="54D3A25A">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hint="eastAsia" w:ascii="宋体" w:hAnsi="宋体" w:eastAsia="宋体"/>
                <w:color w:val="000000"/>
                <w:kern w:val="0"/>
                <w:sz w:val="21"/>
                <w:szCs w:val="21"/>
                <w:lang w:eastAsia="zh-CN"/>
              </w:rPr>
            </w:pPr>
            <w:r>
              <w:rPr>
                <w:rFonts w:hint="eastAsia" w:ascii="宋体" w:hAnsi="宋体"/>
                <w:color w:val="000000"/>
                <w:kern w:val="0"/>
                <w:sz w:val="21"/>
                <w:szCs w:val="21"/>
              </w:rPr>
              <w:t>在满足以上全部3项要求的基础上，按照下列要求进行加分</w:t>
            </w:r>
            <w:r>
              <w:rPr>
                <w:rFonts w:hint="eastAsia" w:ascii="宋体" w:hAnsi="宋体"/>
                <w:color w:val="000000"/>
                <w:kern w:val="0"/>
                <w:sz w:val="21"/>
                <w:szCs w:val="21"/>
                <w:lang w:eastAsia="zh-CN"/>
              </w:rPr>
              <w:t>：</w:t>
            </w:r>
          </w:p>
          <w:p w14:paraId="21662D38">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hint="eastAsia" w:ascii="宋体" w:hAnsi="宋体" w:eastAsia="宋体"/>
                <w:color w:val="000000"/>
                <w:kern w:val="0"/>
                <w:sz w:val="21"/>
                <w:szCs w:val="21"/>
                <w:lang w:eastAsia="zh-CN"/>
              </w:rPr>
            </w:pPr>
            <w:r>
              <w:rPr>
                <w:rFonts w:hint="eastAsia" w:ascii="宋体" w:hAnsi="宋体"/>
                <w:color w:val="000000"/>
                <w:kern w:val="0"/>
                <w:sz w:val="21"/>
                <w:szCs w:val="21"/>
                <w:lang w:eastAsia="zh-CN"/>
              </w:rPr>
              <w:t>（</w:t>
            </w:r>
            <w:r>
              <w:rPr>
                <w:rFonts w:hint="eastAsia" w:ascii="宋体" w:hAnsi="宋体"/>
                <w:color w:val="000000"/>
                <w:kern w:val="0"/>
                <w:sz w:val="21"/>
                <w:szCs w:val="21"/>
                <w:lang w:val="en-US" w:eastAsia="zh-CN"/>
              </w:rPr>
              <w:t>1</w:t>
            </w:r>
            <w:r>
              <w:rPr>
                <w:rFonts w:hint="eastAsia" w:ascii="宋体" w:hAnsi="宋体"/>
                <w:color w:val="000000"/>
                <w:kern w:val="0"/>
                <w:sz w:val="21"/>
                <w:szCs w:val="21"/>
                <w:lang w:eastAsia="zh-CN"/>
              </w:rPr>
              <w:t>）</w:t>
            </w:r>
            <w:r>
              <w:rPr>
                <w:rFonts w:hint="eastAsia" w:ascii="宋体" w:hAnsi="宋体"/>
                <w:color w:val="000000"/>
                <w:kern w:val="0"/>
                <w:sz w:val="21"/>
                <w:szCs w:val="21"/>
              </w:rPr>
              <w:t>实施管理方案有针对性(包括但限于:需含编制说明、实施部署、实施流程、实施方法及内容、工作进度安排等)</w:t>
            </w:r>
            <w:r>
              <w:rPr>
                <w:rFonts w:hint="eastAsia" w:ascii="宋体" w:hAnsi="宋体"/>
                <w:color w:val="000000"/>
                <w:kern w:val="0"/>
                <w:sz w:val="21"/>
                <w:szCs w:val="21"/>
                <w:lang w:eastAsia="zh-CN"/>
              </w:rPr>
              <w:t>；</w:t>
            </w:r>
          </w:p>
          <w:p w14:paraId="51A916A9">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hint="eastAsia" w:ascii="宋体" w:hAnsi="宋体" w:eastAsia="宋体"/>
                <w:color w:val="000000"/>
                <w:kern w:val="0"/>
                <w:sz w:val="21"/>
                <w:szCs w:val="21"/>
                <w:lang w:eastAsia="zh-CN"/>
              </w:rPr>
            </w:pPr>
            <w:r>
              <w:rPr>
                <w:rFonts w:hint="eastAsia" w:ascii="宋体" w:hAnsi="宋体"/>
                <w:color w:val="000000"/>
                <w:kern w:val="0"/>
                <w:sz w:val="21"/>
                <w:szCs w:val="21"/>
                <w:lang w:eastAsia="zh-CN"/>
              </w:rPr>
              <w:t>（</w:t>
            </w:r>
            <w:r>
              <w:rPr>
                <w:rFonts w:hint="eastAsia" w:ascii="宋体" w:hAnsi="宋体"/>
                <w:color w:val="000000"/>
                <w:kern w:val="0"/>
                <w:sz w:val="21"/>
                <w:szCs w:val="21"/>
                <w:lang w:val="en-US" w:eastAsia="zh-CN"/>
              </w:rPr>
              <w:t>2</w:t>
            </w:r>
            <w:r>
              <w:rPr>
                <w:rFonts w:hint="eastAsia" w:ascii="宋体" w:hAnsi="宋体"/>
                <w:color w:val="000000"/>
                <w:kern w:val="0"/>
                <w:sz w:val="21"/>
                <w:szCs w:val="21"/>
                <w:lang w:eastAsia="zh-CN"/>
              </w:rPr>
              <w:t>）</w:t>
            </w:r>
            <w:r>
              <w:rPr>
                <w:rFonts w:hint="eastAsia" w:ascii="宋体" w:hAnsi="宋体"/>
                <w:color w:val="000000"/>
                <w:kern w:val="0"/>
                <w:sz w:val="21"/>
                <w:szCs w:val="21"/>
              </w:rPr>
              <w:t>项目交付措施可行性高，科学合理</w:t>
            </w:r>
            <w:r>
              <w:rPr>
                <w:rFonts w:hint="eastAsia" w:ascii="宋体" w:hAnsi="宋体"/>
                <w:color w:val="000000"/>
                <w:kern w:val="0"/>
                <w:sz w:val="21"/>
                <w:szCs w:val="21"/>
                <w:lang w:eastAsia="zh-CN"/>
              </w:rPr>
              <w:t>；</w:t>
            </w:r>
          </w:p>
          <w:p w14:paraId="086C1CCB">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hint="eastAsia" w:ascii="宋体" w:hAnsi="宋体" w:eastAsia="宋体"/>
                <w:color w:val="000000"/>
                <w:kern w:val="0"/>
                <w:sz w:val="21"/>
                <w:szCs w:val="21"/>
                <w:lang w:eastAsia="zh-CN"/>
              </w:rPr>
            </w:pPr>
            <w:r>
              <w:rPr>
                <w:rFonts w:hint="eastAsia" w:ascii="宋体" w:hAnsi="宋体"/>
                <w:color w:val="000000"/>
                <w:kern w:val="0"/>
                <w:sz w:val="21"/>
                <w:szCs w:val="21"/>
                <w:lang w:eastAsia="zh-CN"/>
              </w:rPr>
              <w:t>（</w:t>
            </w:r>
            <w:r>
              <w:rPr>
                <w:rFonts w:hint="eastAsia" w:ascii="宋体" w:hAnsi="宋体"/>
                <w:color w:val="000000"/>
                <w:kern w:val="0"/>
                <w:sz w:val="21"/>
                <w:szCs w:val="21"/>
                <w:lang w:val="en-US" w:eastAsia="zh-CN"/>
              </w:rPr>
              <w:t>3</w:t>
            </w:r>
            <w:r>
              <w:rPr>
                <w:rFonts w:hint="eastAsia" w:ascii="宋体" w:hAnsi="宋体"/>
                <w:color w:val="000000"/>
                <w:kern w:val="0"/>
                <w:sz w:val="21"/>
                <w:szCs w:val="21"/>
                <w:lang w:eastAsia="zh-CN"/>
              </w:rPr>
              <w:t>）</w:t>
            </w:r>
            <w:r>
              <w:rPr>
                <w:rFonts w:hint="eastAsia" w:ascii="宋体" w:hAnsi="宋体"/>
                <w:color w:val="000000"/>
                <w:kern w:val="0"/>
                <w:sz w:val="21"/>
                <w:szCs w:val="21"/>
              </w:rPr>
              <w:t>应急方案详细可操作性强(包括但限于:有具体的技术人员和工作安排等)</w:t>
            </w:r>
            <w:r>
              <w:rPr>
                <w:rFonts w:hint="eastAsia" w:ascii="宋体" w:hAnsi="宋体"/>
                <w:color w:val="000000"/>
                <w:kern w:val="0"/>
                <w:sz w:val="21"/>
                <w:szCs w:val="21"/>
                <w:lang w:eastAsia="zh-CN"/>
              </w:rPr>
              <w:t>；</w:t>
            </w:r>
          </w:p>
          <w:p w14:paraId="2E62F8D4">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体现任意2点内容加0.5分，体现三点内容加1分，其他情况不加分。</w:t>
            </w:r>
          </w:p>
          <w:p w14:paraId="22EA6F68">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p>
          <w:p w14:paraId="1A802BB4">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2.投标人须针对本项目需求提供项目重点难点分析、应对措施及相关的合理化建议，包括但不限于下述内容:</w:t>
            </w:r>
          </w:p>
          <w:p w14:paraId="768819BC">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（1）项目重点难点分析;</w:t>
            </w:r>
          </w:p>
          <w:p w14:paraId="5F68AC15">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（2）针对重点难点项的应对措施;</w:t>
            </w:r>
          </w:p>
          <w:p w14:paraId="72FCC493">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（3）相关的合理化建议。</w:t>
            </w:r>
          </w:p>
          <w:p w14:paraId="4C23A07E">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包含以上全部3个内容的得1.5分；包含以上任意2个内容的得 1分；包含以上任意1个内容或无该部分内容的不得分。</w:t>
            </w:r>
          </w:p>
          <w:p w14:paraId="39D38ADE">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在满足以上全部3项要求的基础上，按照下列要求进行加分:</w:t>
            </w:r>
          </w:p>
          <w:p w14:paraId="168A0DC7">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（1）从前瞻性、系统性等角度研判重难点;</w:t>
            </w:r>
          </w:p>
          <w:p w14:paraId="6238E1D1">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（2）从可实施、可操作的角度提出应对措施;</w:t>
            </w:r>
          </w:p>
          <w:p w14:paraId="33BAF19A">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（3）多角度、有针对性的提出操作指引;</w:t>
            </w:r>
          </w:p>
          <w:p w14:paraId="1BDF3734">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体现任意2点内容加0.5分，体现三点内容加1分，其他情况不加分。</w:t>
            </w:r>
          </w:p>
          <w:p w14:paraId="773EC795">
            <w:pPr>
              <w:pStyle w:val="2"/>
              <w:keepNext w:val="0"/>
              <w:keepLines w:val="0"/>
              <w:pageBreakBefore w:val="0"/>
              <w:kinsoku/>
              <w:wordWrap/>
              <w:overflowPunct/>
              <w:topLinePunct w:val="0"/>
              <w:autoSpaceDE/>
              <w:autoSpaceDN/>
              <w:bidi w:val="0"/>
              <w:adjustRightInd/>
              <w:snapToGrid/>
              <w:spacing w:line="276" w:lineRule="auto"/>
              <w:ind w:firstLine="0" w:firstLineChars="0"/>
              <w:rPr>
                <w:sz w:val="21"/>
                <w:szCs w:val="21"/>
              </w:rPr>
            </w:pPr>
            <w:r>
              <w:rPr>
                <w:rFonts w:hint="eastAsia" w:ascii="宋体" w:hAnsi="宋体" w:eastAsia="宋体" w:cs="宋体"/>
                <w:b/>
                <w:bCs/>
                <w:sz w:val="21"/>
                <w:szCs w:val="21"/>
              </w:rPr>
              <w:t>上述1-2项可累计得分，满分5分。</w:t>
            </w:r>
          </w:p>
        </w:tc>
      </w:tr>
      <w:tr w14:paraId="37933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68" w:type="pct"/>
            <w:shd w:val="clear" w:color="auto" w:fill="auto"/>
            <w:vAlign w:val="center"/>
          </w:tcPr>
          <w:p w14:paraId="783C812F">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3</w:t>
            </w:r>
          </w:p>
        </w:tc>
        <w:tc>
          <w:tcPr>
            <w:tcW w:w="4731" w:type="pct"/>
            <w:gridSpan w:val="5"/>
            <w:shd w:val="clear" w:color="auto" w:fill="auto"/>
            <w:vAlign w:val="center"/>
          </w:tcPr>
          <w:p w14:paraId="02D536EF">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商务部分（ 30分）</w:t>
            </w:r>
          </w:p>
        </w:tc>
      </w:tr>
      <w:tr w14:paraId="6EA52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268" w:type="pct"/>
            <w:vMerge w:val="restart"/>
            <w:shd w:val="clear" w:color="auto" w:fill="auto"/>
          </w:tcPr>
          <w:p w14:paraId="3E9A00D2">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p>
          <w:p w14:paraId="6185CFA0">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p>
        </w:tc>
        <w:tc>
          <w:tcPr>
            <w:tcW w:w="235" w:type="pct"/>
            <w:shd w:val="clear" w:color="auto" w:fill="auto"/>
            <w:vAlign w:val="center"/>
          </w:tcPr>
          <w:p w14:paraId="57A65CE7">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序号</w:t>
            </w:r>
          </w:p>
        </w:tc>
        <w:tc>
          <w:tcPr>
            <w:tcW w:w="677" w:type="pct"/>
            <w:shd w:val="clear" w:color="auto" w:fill="auto"/>
            <w:vAlign w:val="center"/>
          </w:tcPr>
          <w:p w14:paraId="19DD9BE3">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评分因素</w:t>
            </w:r>
          </w:p>
        </w:tc>
        <w:tc>
          <w:tcPr>
            <w:tcW w:w="250" w:type="pct"/>
            <w:shd w:val="clear" w:color="auto" w:fill="auto"/>
            <w:vAlign w:val="center"/>
          </w:tcPr>
          <w:p w14:paraId="64AF8037">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hint="eastAsia" w:ascii="宋体" w:hAnsi="宋体" w:eastAsia="宋体"/>
                <w:b/>
                <w:bCs/>
                <w:sz w:val="21"/>
                <w:szCs w:val="21"/>
                <w:lang w:eastAsia="zh-CN"/>
              </w:rPr>
            </w:pPr>
            <w:r>
              <w:rPr>
                <w:rFonts w:hint="eastAsia" w:ascii="宋体" w:hAnsi="宋体"/>
                <w:b/>
                <w:bCs/>
                <w:sz w:val="21"/>
                <w:szCs w:val="21"/>
                <w:lang w:val="en-US" w:eastAsia="zh-CN"/>
              </w:rPr>
              <w:t>分值</w:t>
            </w:r>
          </w:p>
        </w:tc>
        <w:tc>
          <w:tcPr>
            <w:tcW w:w="386" w:type="pct"/>
            <w:shd w:val="clear" w:color="auto" w:fill="auto"/>
            <w:vAlign w:val="center"/>
          </w:tcPr>
          <w:p w14:paraId="6955F34B">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评分方式</w:t>
            </w:r>
          </w:p>
        </w:tc>
        <w:tc>
          <w:tcPr>
            <w:tcW w:w="3181" w:type="pct"/>
            <w:shd w:val="clear" w:color="auto" w:fill="auto"/>
            <w:vAlign w:val="center"/>
          </w:tcPr>
          <w:p w14:paraId="09CDEB94">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评分准则</w:t>
            </w:r>
          </w:p>
        </w:tc>
      </w:tr>
      <w:tr w14:paraId="4D800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268" w:type="pct"/>
            <w:vMerge w:val="continue"/>
            <w:shd w:val="clear" w:color="auto" w:fill="auto"/>
          </w:tcPr>
          <w:p w14:paraId="6F143293">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p>
        </w:tc>
        <w:tc>
          <w:tcPr>
            <w:tcW w:w="235" w:type="pct"/>
            <w:shd w:val="clear" w:color="auto" w:fill="auto"/>
            <w:vAlign w:val="center"/>
          </w:tcPr>
          <w:p w14:paraId="74E52DB5">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
                <w:bCs/>
                <w:sz w:val="21"/>
                <w:szCs w:val="21"/>
              </w:rPr>
              <w:t>1</w:t>
            </w:r>
          </w:p>
        </w:tc>
        <w:tc>
          <w:tcPr>
            <w:tcW w:w="677" w:type="pct"/>
            <w:shd w:val="clear" w:color="auto" w:fill="auto"/>
            <w:vAlign w:val="center"/>
          </w:tcPr>
          <w:p w14:paraId="17175FC8">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Cs/>
                <w:sz w:val="21"/>
                <w:szCs w:val="21"/>
              </w:rPr>
              <w:t>对商务条款的响应程度</w:t>
            </w:r>
          </w:p>
        </w:tc>
        <w:tc>
          <w:tcPr>
            <w:tcW w:w="250" w:type="pct"/>
            <w:shd w:val="clear" w:color="auto" w:fill="auto"/>
            <w:vAlign w:val="center"/>
          </w:tcPr>
          <w:p w14:paraId="76C24C33">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ascii="宋体" w:hAnsi="宋体"/>
                <w:bCs/>
                <w:sz w:val="21"/>
                <w:szCs w:val="21"/>
              </w:rPr>
              <w:t>4</w:t>
            </w:r>
          </w:p>
        </w:tc>
        <w:tc>
          <w:tcPr>
            <w:tcW w:w="386" w:type="pct"/>
            <w:shd w:val="clear" w:color="auto" w:fill="auto"/>
            <w:vAlign w:val="center"/>
          </w:tcPr>
          <w:p w14:paraId="16F24AD9">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
                <w:bCs/>
                <w:sz w:val="21"/>
                <w:szCs w:val="21"/>
              </w:rPr>
            </w:pPr>
            <w:r>
              <w:rPr>
                <w:rFonts w:hint="eastAsia" w:ascii="宋体" w:hAnsi="宋体"/>
                <w:bCs/>
                <w:sz w:val="21"/>
                <w:szCs w:val="21"/>
              </w:rPr>
              <w:t>专家打分</w:t>
            </w:r>
          </w:p>
        </w:tc>
        <w:tc>
          <w:tcPr>
            <w:tcW w:w="3181" w:type="pct"/>
            <w:shd w:val="clear" w:color="auto" w:fill="auto"/>
            <w:vAlign w:val="center"/>
          </w:tcPr>
          <w:p w14:paraId="2330DBF3">
            <w:pPr>
              <w:pStyle w:val="18"/>
              <w:keepNext w:val="0"/>
              <w:keepLines w:val="0"/>
              <w:pageBreakBefore w:val="0"/>
              <w:kinsoku/>
              <w:wordWrap/>
              <w:overflowPunct/>
              <w:topLinePunct w:val="0"/>
              <w:autoSpaceDE/>
              <w:autoSpaceDN/>
              <w:bidi w:val="0"/>
              <w:adjustRightInd/>
              <w:snapToGrid/>
              <w:spacing w:line="276" w:lineRule="auto"/>
              <w:jc w:val="both"/>
              <w:rPr>
                <w:rFonts w:ascii="宋体" w:hAnsi="宋体"/>
                <w:b/>
                <w:bCs/>
                <w:sz w:val="21"/>
                <w:szCs w:val="21"/>
              </w:rPr>
            </w:pPr>
            <w:r>
              <w:rPr>
                <w:sz w:val="21"/>
                <w:szCs w:val="21"/>
              </w:rPr>
              <w:t>评分内容：投标人应如实填写《</w:t>
            </w:r>
            <w:r>
              <w:rPr>
                <w:rFonts w:hint="eastAsia"/>
                <w:sz w:val="21"/>
                <w:szCs w:val="21"/>
              </w:rPr>
              <w:t>商务</w:t>
            </w:r>
            <w:r>
              <w:rPr>
                <w:sz w:val="21"/>
                <w:szCs w:val="21"/>
              </w:rPr>
              <w:t>要求偏离表》，评审委员会根据</w:t>
            </w:r>
            <w:r>
              <w:rPr>
                <w:rFonts w:hint="eastAsia"/>
                <w:sz w:val="21"/>
                <w:szCs w:val="21"/>
                <w:lang w:val="en-US" w:eastAsia="zh-CN"/>
              </w:rPr>
              <w:t>商务</w:t>
            </w:r>
            <w:r>
              <w:rPr>
                <w:sz w:val="21"/>
                <w:szCs w:val="21"/>
              </w:rPr>
              <w:t>需求参数响应情况进行打分，各项参数指标及要求全部满足的得</w:t>
            </w:r>
            <w:r>
              <w:rPr>
                <w:rFonts w:hint="eastAsia"/>
                <w:sz w:val="21"/>
                <w:szCs w:val="21"/>
              </w:rPr>
              <w:t>4</w:t>
            </w:r>
            <w:r>
              <w:rPr>
                <w:sz w:val="21"/>
                <w:szCs w:val="21"/>
              </w:rPr>
              <w:t>分。所有标注“▲”的重要参数每项负偏离扣</w:t>
            </w:r>
            <w:r>
              <w:rPr>
                <w:rFonts w:hint="eastAsia"/>
                <w:sz w:val="21"/>
                <w:szCs w:val="21"/>
                <w:lang w:val="en-US" w:eastAsia="zh-CN"/>
              </w:rPr>
              <w:t>2</w:t>
            </w:r>
            <w:r>
              <w:rPr>
                <w:sz w:val="21"/>
                <w:szCs w:val="21"/>
              </w:rPr>
              <w:t>分</w:t>
            </w:r>
            <w:r>
              <w:rPr>
                <w:rFonts w:hint="eastAsia"/>
                <w:sz w:val="21"/>
                <w:szCs w:val="21"/>
                <w:lang w:eastAsia="zh-CN"/>
              </w:rPr>
              <w:t>，</w:t>
            </w:r>
            <w:r>
              <w:rPr>
                <w:sz w:val="21"/>
                <w:szCs w:val="21"/>
              </w:rPr>
              <w:t>扣完为止。</w:t>
            </w:r>
          </w:p>
        </w:tc>
      </w:tr>
      <w:tr w14:paraId="6B35E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8" w:type="pct"/>
            <w:vMerge w:val="continue"/>
          </w:tcPr>
          <w:p w14:paraId="022F6BBB">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563CC463">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hint="eastAsia" w:ascii="宋体" w:hAnsi="宋体" w:eastAsia="宋体"/>
                <w:b/>
                <w:bCs/>
                <w:sz w:val="21"/>
                <w:szCs w:val="21"/>
                <w:lang w:eastAsia="zh-CN"/>
              </w:rPr>
            </w:pPr>
            <w:r>
              <w:rPr>
                <w:rFonts w:hint="eastAsia" w:ascii="宋体" w:hAnsi="宋体"/>
                <w:b/>
                <w:bCs/>
                <w:sz w:val="21"/>
                <w:szCs w:val="21"/>
                <w:lang w:val="en-US" w:eastAsia="zh-CN"/>
              </w:rPr>
              <w:t>2</w:t>
            </w:r>
          </w:p>
        </w:tc>
        <w:tc>
          <w:tcPr>
            <w:tcW w:w="677" w:type="pct"/>
            <w:shd w:val="clear" w:color="auto" w:fill="auto"/>
            <w:vAlign w:val="center"/>
          </w:tcPr>
          <w:p w14:paraId="05C2977C">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企业认证</w:t>
            </w:r>
          </w:p>
        </w:tc>
        <w:tc>
          <w:tcPr>
            <w:tcW w:w="250" w:type="pct"/>
            <w:shd w:val="clear" w:color="auto" w:fill="auto"/>
            <w:vAlign w:val="center"/>
          </w:tcPr>
          <w:p w14:paraId="0E8A19B2">
            <w:pPr>
              <w:keepNext w:val="0"/>
              <w:keepLines w:val="0"/>
              <w:pageBreakBefore w:val="0"/>
              <w:widowControl/>
              <w:kinsoku/>
              <w:wordWrap/>
              <w:overflowPunct/>
              <w:topLinePunct w:val="0"/>
              <w:autoSpaceDE/>
              <w:autoSpaceDN/>
              <w:bidi w:val="0"/>
              <w:adjustRightInd/>
              <w:snapToGrid/>
              <w:spacing w:line="276" w:lineRule="auto"/>
              <w:jc w:val="center"/>
              <w:textAlignment w:val="center"/>
              <w:rPr>
                <w:rFonts w:ascii="宋体" w:hAnsi="宋体"/>
                <w:bCs/>
                <w:sz w:val="21"/>
                <w:szCs w:val="21"/>
              </w:rPr>
            </w:pPr>
            <w:r>
              <w:rPr>
                <w:rFonts w:hint="eastAsia" w:ascii="宋体" w:hAnsi="宋体"/>
                <w:bCs/>
                <w:sz w:val="21"/>
                <w:szCs w:val="21"/>
              </w:rPr>
              <w:t>5</w:t>
            </w:r>
          </w:p>
        </w:tc>
        <w:tc>
          <w:tcPr>
            <w:tcW w:w="386" w:type="pct"/>
            <w:shd w:val="clear" w:color="auto" w:fill="auto"/>
            <w:vAlign w:val="center"/>
          </w:tcPr>
          <w:p w14:paraId="668E4000">
            <w:pPr>
              <w:keepNext w:val="0"/>
              <w:keepLines w:val="0"/>
              <w:pageBreakBefore w:val="0"/>
              <w:widowControl/>
              <w:kinsoku/>
              <w:wordWrap/>
              <w:overflowPunct/>
              <w:topLinePunct w:val="0"/>
              <w:autoSpaceDE/>
              <w:autoSpaceDN/>
              <w:bidi w:val="0"/>
              <w:adjustRightInd/>
              <w:snapToGrid/>
              <w:spacing w:line="276" w:lineRule="auto"/>
              <w:jc w:val="center"/>
              <w:textAlignment w:val="center"/>
              <w:rPr>
                <w:rFonts w:ascii="宋体" w:hAnsi="宋体"/>
                <w:bCs/>
                <w:sz w:val="21"/>
                <w:szCs w:val="21"/>
              </w:rPr>
            </w:pPr>
            <w:r>
              <w:rPr>
                <w:rFonts w:hint="eastAsia" w:ascii="宋体" w:hAnsi="宋体"/>
                <w:color w:val="000000"/>
                <w:kern w:val="0"/>
                <w:sz w:val="21"/>
                <w:szCs w:val="21"/>
              </w:rPr>
              <w:t>专家打分</w:t>
            </w:r>
          </w:p>
        </w:tc>
        <w:tc>
          <w:tcPr>
            <w:tcW w:w="3181" w:type="pct"/>
            <w:shd w:val="clear" w:color="auto" w:fill="auto"/>
            <w:vAlign w:val="center"/>
          </w:tcPr>
          <w:p w14:paraId="32BB47F1">
            <w:pPr>
              <w:keepNext w:val="0"/>
              <w:keepLines w:val="0"/>
              <w:pageBreakBefore w:val="0"/>
              <w:widowControl w:val="0"/>
              <w:kinsoku/>
              <w:wordWrap/>
              <w:overflowPunct/>
              <w:topLinePunct w:val="0"/>
              <w:autoSpaceDE/>
              <w:autoSpaceDN/>
              <w:bidi w:val="0"/>
              <w:adjustRightInd/>
              <w:snapToGrid/>
              <w:spacing w:line="276" w:lineRule="auto"/>
              <w:textAlignment w:val="center"/>
              <w:rPr>
                <w:rFonts w:ascii="宋体" w:hAnsi="宋体"/>
                <w:b/>
                <w:color w:val="000000"/>
                <w:kern w:val="0"/>
                <w:sz w:val="21"/>
                <w:szCs w:val="21"/>
              </w:rPr>
            </w:pPr>
            <w:r>
              <w:rPr>
                <w:rFonts w:hint="eastAsia" w:ascii="宋体" w:hAnsi="宋体"/>
                <w:b/>
                <w:color w:val="000000"/>
                <w:kern w:val="0"/>
                <w:sz w:val="21"/>
                <w:szCs w:val="21"/>
              </w:rPr>
              <w:t>（一）评审内容：</w:t>
            </w:r>
          </w:p>
          <w:p w14:paraId="764E14DF">
            <w:pPr>
              <w:keepNext w:val="0"/>
              <w:keepLines w:val="0"/>
              <w:pageBreakBefore w:val="0"/>
              <w:widowControl w:val="0"/>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1</w:t>
            </w:r>
            <w:r>
              <w:rPr>
                <w:rFonts w:hint="eastAsia" w:ascii="宋体" w:hAnsi="宋体"/>
                <w:color w:val="000000"/>
                <w:kern w:val="0"/>
                <w:sz w:val="21"/>
                <w:szCs w:val="21"/>
                <w:lang w:eastAsia="zh-CN"/>
              </w:rPr>
              <w:t>.</w:t>
            </w:r>
            <w:r>
              <w:rPr>
                <w:rFonts w:hint="eastAsia" w:ascii="宋体" w:hAnsi="宋体"/>
                <w:color w:val="000000"/>
                <w:kern w:val="0"/>
                <w:sz w:val="21"/>
                <w:szCs w:val="21"/>
              </w:rPr>
              <w:t>具有ISO9001质量管理体系认证证书；</w:t>
            </w:r>
          </w:p>
          <w:p w14:paraId="2B508650">
            <w:pPr>
              <w:keepNext w:val="0"/>
              <w:keepLines w:val="0"/>
              <w:pageBreakBefore w:val="0"/>
              <w:widowControl w:val="0"/>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2</w:t>
            </w:r>
            <w:r>
              <w:rPr>
                <w:rFonts w:hint="eastAsia" w:ascii="宋体" w:hAnsi="宋体"/>
                <w:color w:val="000000"/>
                <w:kern w:val="0"/>
                <w:sz w:val="21"/>
                <w:szCs w:val="21"/>
                <w:lang w:eastAsia="zh-CN"/>
              </w:rPr>
              <w:t>.</w:t>
            </w:r>
            <w:r>
              <w:rPr>
                <w:rFonts w:hint="eastAsia" w:ascii="宋体" w:hAnsi="宋体"/>
                <w:color w:val="000000"/>
                <w:kern w:val="0"/>
                <w:sz w:val="21"/>
                <w:szCs w:val="21"/>
              </w:rPr>
              <w:t>具有ISO14001环境管理体系认证证书；</w:t>
            </w:r>
          </w:p>
          <w:p w14:paraId="2F77053A">
            <w:pPr>
              <w:keepNext w:val="0"/>
              <w:keepLines w:val="0"/>
              <w:pageBreakBefore w:val="0"/>
              <w:widowControl w:val="0"/>
              <w:kinsoku/>
              <w:wordWrap/>
              <w:overflowPunct/>
              <w:topLinePunct w:val="0"/>
              <w:autoSpaceDE/>
              <w:autoSpaceDN/>
              <w:bidi w:val="0"/>
              <w:adjustRightInd/>
              <w:snapToGrid/>
              <w:spacing w:line="276" w:lineRule="auto"/>
              <w:textAlignment w:val="center"/>
              <w:rPr>
                <w:sz w:val="21"/>
                <w:szCs w:val="21"/>
              </w:rPr>
            </w:pPr>
            <w:r>
              <w:rPr>
                <w:rFonts w:hint="eastAsia" w:ascii="宋体" w:hAnsi="宋体"/>
                <w:color w:val="000000"/>
                <w:kern w:val="0"/>
                <w:sz w:val="21"/>
                <w:szCs w:val="21"/>
              </w:rPr>
              <w:t>3</w:t>
            </w:r>
            <w:r>
              <w:rPr>
                <w:rFonts w:hint="eastAsia" w:ascii="宋体" w:hAnsi="宋体"/>
                <w:color w:val="000000"/>
                <w:kern w:val="0"/>
                <w:sz w:val="21"/>
                <w:szCs w:val="21"/>
                <w:lang w:eastAsia="zh-CN"/>
              </w:rPr>
              <w:t>.</w:t>
            </w:r>
            <w:r>
              <w:rPr>
                <w:rFonts w:hint="eastAsia" w:ascii="宋体" w:hAnsi="宋体"/>
                <w:color w:val="000000"/>
                <w:kern w:val="0"/>
                <w:sz w:val="21"/>
                <w:szCs w:val="21"/>
              </w:rPr>
              <w:t>具有ISO45001职业健康体系认证证书；</w:t>
            </w:r>
          </w:p>
          <w:p w14:paraId="40373678">
            <w:pPr>
              <w:keepNext w:val="0"/>
              <w:keepLines w:val="0"/>
              <w:pageBreakBefore w:val="0"/>
              <w:widowControl w:val="0"/>
              <w:kinsoku/>
              <w:wordWrap/>
              <w:overflowPunct/>
              <w:topLinePunct w:val="0"/>
              <w:autoSpaceDE/>
              <w:autoSpaceDN/>
              <w:bidi w:val="0"/>
              <w:adjustRightInd/>
              <w:snapToGrid/>
              <w:spacing w:line="276" w:lineRule="auto"/>
              <w:rPr>
                <w:rFonts w:hint="eastAsia" w:ascii="宋体" w:hAnsi="宋体"/>
                <w:color w:val="000000"/>
                <w:kern w:val="0"/>
                <w:sz w:val="21"/>
                <w:szCs w:val="21"/>
                <w:lang w:eastAsia="zh-CN"/>
              </w:rPr>
            </w:pPr>
            <w:r>
              <w:rPr>
                <w:rFonts w:hint="eastAsia" w:ascii="宋体" w:hAnsi="宋体"/>
                <w:color w:val="000000"/>
                <w:kern w:val="0"/>
                <w:sz w:val="21"/>
                <w:szCs w:val="21"/>
              </w:rPr>
              <w:t>以上证书覆盖范围需包含：“计算机信息系统集成，应用软件开发</w:t>
            </w:r>
            <w:r>
              <w:rPr>
                <w:rFonts w:hint="eastAsia" w:ascii="宋体" w:hAnsi="宋体"/>
                <w:color w:val="000000"/>
                <w:kern w:val="0"/>
                <w:sz w:val="21"/>
                <w:szCs w:val="21"/>
                <w:lang w:eastAsia="zh-CN"/>
              </w:rPr>
              <w:t>；</w:t>
            </w:r>
            <w:r>
              <w:rPr>
                <w:rFonts w:hint="eastAsia" w:ascii="宋体" w:hAnsi="宋体"/>
                <w:color w:val="000000"/>
                <w:kern w:val="0"/>
                <w:sz w:val="21"/>
                <w:szCs w:val="21"/>
              </w:rPr>
              <w:t>数据中心机房基础设施的运行、维护服务</w:t>
            </w:r>
            <w:r>
              <w:rPr>
                <w:rFonts w:hint="eastAsia" w:ascii="宋体" w:hAnsi="宋体"/>
                <w:color w:val="000000"/>
                <w:kern w:val="0"/>
                <w:sz w:val="21"/>
                <w:szCs w:val="21"/>
                <w:lang w:eastAsia="zh-CN"/>
              </w:rPr>
              <w:t>；</w:t>
            </w:r>
            <w:r>
              <w:rPr>
                <w:rFonts w:hint="eastAsia" w:ascii="宋体" w:hAnsi="宋体"/>
                <w:color w:val="000000"/>
                <w:kern w:val="0"/>
                <w:sz w:val="21"/>
                <w:szCs w:val="21"/>
              </w:rPr>
              <w:t>资质等级许可范围内的建筑装饰工程设计、建筑智能化系统设计”</w:t>
            </w:r>
            <w:r>
              <w:rPr>
                <w:rFonts w:hint="eastAsia" w:ascii="宋体" w:hAnsi="宋体"/>
                <w:color w:val="000000"/>
                <w:kern w:val="0"/>
                <w:sz w:val="21"/>
                <w:szCs w:val="21"/>
                <w:lang w:eastAsia="zh-CN"/>
              </w:rPr>
              <w:t>。</w:t>
            </w:r>
          </w:p>
          <w:p w14:paraId="3909C8ED">
            <w:pPr>
              <w:keepNext w:val="0"/>
              <w:keepLines w:val="0"/>
              <w:pageBreakBefore w:val="0"/>
              <w:widowControl w:val="0"/>
              <w:kinsoku/>
              <w:wordWrap/>
              <w:overflowPunct/>
              <w:topLinePunct w:val="0"/>
              <w:autoSpaceDE/>
              <w:autoSpaceDN/>
              <w:bidi w:val="0"/>
              <w:adjustRightInd/>
              <w:snapToGrid/>
              <w:spacing w:line="276" w:lineRule="auto"/>
              <w:rPr>
                <w:rFonts w:hint="eastAsia" w:ascii="宋体" w:hAnsi="宋体" w:eastAsia="宋体"/>
                <w:color w:val="000000"/>
                <w:kern w:val="0"/>
                <w:sz w:val="21"/>
                <w:szCs w:val="21"/>
                <w:lang w:eastAsia="zh-CN"/>
              </w:rPr>
            </w:pPr>
            <w:r>
              <w:rPr>
                <w:rFonts w:hint="eastAsia" w:ascii="宋体" w:hAnsi="宋体"/>
                <w:color w:val="000000"/>
                <w:kern w:val="0"/>
                <w:sz w:val="21"/>
                <w:szCs w:val="21"/>
              </w:rPr>
              <w:t>每提供一项得1分，最高得3分</w:t>
            </w:r>
            <w:r>
              <w:rPr>
                <w:rFonts w:hint="eastAsia" w:ascii="宋体" w:hAnsi="宋体"/>
                <w:color w:val="000000"/>
                <w:kern w:val="0"/>
                <w:sz w:val="21"/>
                <w:szCs w:val="21"/>
                <w:lang w:eastAsia="zh-CN"/>
              </w:rPr>
              <w:t>。</w:t>
            </w:r>
          </w:p>
          <w:p w14:paraId="1B1655EF">
            <w:pPr>
              <w:keepNext w:val="0"/>
              <w:keepLines w:val="0"/>
              <w:pageBreakBefore w:val="0"/>
              <w:widowControl w:val="0"/>
              <w:kinsoku/>
              <w:wordWrap/>
              <w:overflowPunct/>
              <w:topLinePunct w:val="0"/>
              <w:autoSpaceDE/>
              <w:autoSpaceDN/>
              <w:bidi w:val="0"/>
              <w:adjustRightInd/>
              <w:snapToGrid/>
              <w:spacing w:line="276" w:lineRule="auto"/>
              <w:textAlignment w:val="center"/>
              <w:rPr>
                <w:rFonts w:ascii="宋体" w:hAnsi="宋体"/>
                <w:b/>
                <w:color w:val="000000"/>
                <w:sz w:val="21"/>
                <w:szCs w:val="21"/>
              </w:rPr>
            </w:pPr>
            <w:r>
              <w:rPr>
                <w:rFonts w:hint="eastAsia" w:ascii="宋体" w:hAnsi="宋体"/>
                <w:b/>
                <w:color w:val="000000"/>
                <w:kern w:val="0"/>
                <w:sz w:val="21"/>
                <w:szCs w:val="21"/>
              </w:rPr>
              <w:t>评分依据：</w:t>
            </w:r>
          </w:p>
          <w:p w14:paraId="6BD31696">
            <w:pPr>
              <w:keepNext w:val="0"/>
              <w:keepLines w:val="0"/>
              <w:pageBreakBefore w:val="0"/>
              <w:widowControl w:val="0"/>
              <w:kinsoku/>
              <w:wordWrap/>
              <w:overflowPunct/>
              <w:topLinePunct w:val="0"/>
              <w:autoSpaceDE/>
              <w:autoSpaceDN/>
              <w:bidi w:val="0"/>
              <w:adjustRightInd/>
              <w:snapToGrid/>
              <w:spacing w:line="276" w:lineRule="auto"/>
              <w:rPr>
                <w:rFonts w:ascii="宋体" w:hAnsi="宋体"/>
                <w:color w:val="000000"/>
                <w:kern w:val="0"/>
                <w:sz w:val="21"/>
                <w:szCs w:val="21"/>
              </w:rPr>
            </w:pPr>
            <w:r>
              <w:rPr>
                <w:rFonts w:ascii="宋体" w:hAnsi="宋体"/>
                <w:color w:val="000000"/>
                <w:kern w:val="0"/>
                <w:sz w:val="21"/>
                <w:szCs w:val="21"/>
              </w:rPr>
              <w:t>1</w:t>
            </w:r>
            <w:r>
              <w:rPr>
                <w:rFonts w:hint="eastAsia" w:ascii="宋体" w:hAnsi="宋体"/>
                <w:color w:val="000000"/>
                <w:kern w:val="0"/>
                <w:sz w:val="21"/>
                <w:szCs w:val="21"/>
              </w:rPr>
              <w:t>、要求提供有效的认证证书</w:t>
            </w:r>
            <w:r>
              <w:rPr>
                <w:rFonts w:hint="eastAsia" w:ascii="宋体" w:hAnsi="宋体"/>
                <w:color w:val="000000"/>
                <w:kern w:val="0"/>
                <w:sz w:val="21"/>
                <w:szCs w:val="21"/>
                <w:lang w:val="en-US" w:eastAsia="zh-CN"/>
              </w:rPr>
              <w:t>扫描件（或复印件）</w:t>
            </w:r>
            <w:r>
              <w:rPr>
                <w:rFonts w:hint="eastAsia" w:ascii="宋体" w:hAnsi="宋体"/>
                <w:color w:val="000000"/>
                <w:kern w:val="0"/>
                <w:sz w:val="21"/>
                <w:szCs w:val="21"/>
              </w:rPr>
              <w:t>，及出具证书官网或全国认证认可信息公共服务平台（</w:t>
            </w:r>
            <w:r>
              <w:rPr>
                <w:rFonts w:ascii="宋体" w:hAnsi="宋体"/>
                <w:color w:val="000000"/>
                <w:kern w:val="0"/>
                <w:sz w:val="21"/>
                <w:szCs w:val="21"/>
              </w:rPr>
              <w:t>http://cx.cnca.cn/</w:t>
            </w:r>
            <w:r>
              <w:rPr>
                <w:rFonts w:hint="eastAsia" w:ascii="宋体" w:hAnsi="宋体"/>
                <w:color w:val="000000"/>
                <w:kern w:val="0"/>
                <w:sz w:val="21"/>
                <w:szCs w:val="21"/>
              </w:rPr>
              <w:t>）的证书查询记录。认证证书在公开渠道无法查询的，需提供颁发机构的证明材料，证明证书真实有效。评分中出现无证明资料或专家无法凭所提供资料判断是否得分的情况，一律作不得分处理。</w:t>
            </w:r>
          </w:p>
          <w:p w14:paraId="42EF6392">
            <w:pPr>
              <w:keepNext w:val="0"/>
              <w:keepLines w:val="0"/>
              <w:pageBreakBefore w:val="0"/>
              <w:kinsoku/>
              <w:wordWrap/>
              <w:overflowPunct/>
              <w:topLinePunct w:val="0"/>
              <w:autoSpaceDE/>
              <w:autoSpaceDN/>
              <w:bidi w:val="0"/>
              <w:adjustRightInd/>
              <w:snapToGrid/>
              <w:spacing w:line="276" w:lineRule="auto"/>
              <w:textAlignment w:val="center"/>
              <w:rPr>
                <w:rFonts w:hint="eastAsia" w:ascii="宋体" w:hAnsi="宋体"/>
                <w:b/>
                <w:color w:val="000000"/>
                <w:kern w:val="0"/>
                <w:sz w:val="21"/>
                <w:szCs w:val="21"/>
              </w:rPr>
            </w:pPr>
          </w:p>
          <w:p w14:paraId="4B0F610E">
            <w:pPr>
              <w:keepNext w:val="0"/>
              <w:keepLines w:val="0"/>
              <w:pageBreakBefore w:val="0"/>
              <w:kinsoku/>
              <w:wordWrap/>
              <w:overflowPunct/>
              <w:topLinePunct w:val="0"/>
              <w:autoSpaceDE/>
              <w:autoSpaceDN/>
              <w:bidi w:val="0"/>
              <w:adjustRightInd/>
              <w:snapToGrid/>
              <w:spacing w:line="276" w:lineRule="auto"/>
              <w:textAlignment w:val="center"/>
              <w:rPr>
                <w:rFonts w:ascii="宋体" w:hAnsi="宋体"/>
                <w:b/>
                <w:color w:val="000000"/>
                <w:kern w:val="0"/>
                <w:sz w:val="21"/>
                <w:szCs w:val="21"/>
              </w:rPr>
            </w:pPr>
            <w:r>
              <w:rPr>
                <w:rFonts w:hint="eastAsia" w:ascii="宋体" w:hAnsi="宋体"/>
                <w:b/>
                <w:color w:val="000000"/>
                <w:kern w:val="0"/>
                <w:sz w:val="21"/>
                <w:szCs w:val="21"/>
              </w:rPr>
              <w:t>（二）评审内容：</w:t>
            </w:r>
          </w:p>
          <w:p w14:paraId="3FF92732">
            <w:pPr>
              <w:keepNext w:val="0"/>
              <w:keepLines w:val="0"/>
              <w:pageBreakBefore w:val="0"/>
              <w:widowControl/>
              <w:numPr>
                <w:ilvl w:val="0"/>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ascii="宋体" w:hAnsi="宋体" w:eastAsia="宋体" w:cs="宋体"/>
                <w:color w:val="000000"/>
                <w:kern w:val="0"/>
                <w:sz w:val="21"/>
                <w:szCs w:val="21"/>
                <w:lang w:val="en-US" w:eastAsia="zh-CN" w:bidi="ar-SA"/>
              </w:rPr>
              <w:t>1、</w:t>
            </w:r>
            <w:r>
              <w:rPr>
                <w:rFonts w:hint="eastAsia" w:ascii="宋体" w:hAnsi="宋体"/>
                <w:color w:val="000000"/>
                <w:kern w:val="0"/>
                <w:sz w:val="21"/>
                <w:szCs w:val="21"/>
              </w:rPr>
              <w:t>具有信息技术服务管理体系认证证书，证书覆盖范围需包含：“提供机房基础设施运行维护服务”</w:t>
            </w:r>
          </w:p>
          <w:p w14:paraId="1855E0C7">
            <w:pPr>
              <w:keepNext w:val="0"/>
              <w:keepLines w:val="0"/>
              <w:pageBreakBefore w:val="0"/>
              <w:widowControl/>
              <w:numPr>
                <w:ilvl w:val="0"/>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ascii="宋体" w:hAnsi="宋体" w:eastAsia="宋体" w:cs="宋体"/>
                <w:color w:val="000000"/>
                <w:kern w:val="0"/>
                <w:sz w:val="21"/>
                <w:szCs w:val="21"/>
                <w:lang w:val="en-US" w:eastAsia="zh-CN" w:bidi="ar-SA"/>
              </w:rPr>
              <w:t>2、</w:t>
            </w:r>
            <w:r>
              <w:rPr>
                <w:rFonts w:ascii="宋体" w:hAnsi="宋体"/>
                <w:color w:val="000000"/>
                <w:kern w:val="0"/>
                <w:sz w:val="21"/>
                <w:szCs w:val="21"/>
              </w:rPr>
              <w:t>信息安全管理体系认证证书</w:t>
            </w:r>
            <w:r>
              <w:rPr>
                <w:rFonts w:hint="eastAsia" w:ascii="宋体" w:hAnsi="宋体"/>
                <w:color w:val="000000"/>
                <w:kern w:val="0"/>
                <w:sz w:val="21"/>
                <w:szCs w:val="21"/>
              </w:rPr>
              <w:t>，证书覆盖范围需包含：“与计算机信息系统集成、应用软件开发、信息系统软硬件运维相关的信息安全管理活动”。</w:t>
            </w:r>
          </w:p>
          <w:p w14:paraId="13BFDC7B">
            <w:pPr>
              <w:keepNext w:val="0"/>
              <w:keepLines w:val="0"/>
              <w:pageBreakBefore w:val="0"/>
              <w:widowControl/>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以上每提供一项得1分，最高得2分</w:t>
            </w:r>
          </w:p>
          <w:p w14:paraId="6140B882">
            <w:pPr>
              <w:keepNext w:val="0"/>
              <w:keepLines w:val="0"/>
              <w:pageBreakBefore w:val="0"/>
              <w:kinsoku/>
              <w:wordWrap/>
              <w:overflowPunct/>
              <w:topLinePunct w:val="0"/>
              <w:autoSpaceDE/>
              <w:autoSpaceDN/>
              <w:bidi w:val="0"/>
              <w:adjustRightInd/>
              <w:snapToGrid/>
              <w:spacing w:line="276" w:lineRule="auto"/>
              <w:textAlignment w:val="center"/>
              <w:rPr>
                <w:rFonts w:ascii="宋体" w:hAnsi="宋体"/>
                <w:b/>
                <w:color w:val="000000"/>
                <w:sz w:val="21"/>
                <w:szCs w:val="21"/>
              </w:rPr>
            </w:pPr>
            <w:r>
              <w:rPr>
                <w:rFonts w:hint="eastAsia" w:ascii="宋体" w:hAnsi="宋体"/>
                <w:b/>
                <w:color w:val="000000"/>
                <w:kern w:val="0"/>
                <w:sz w:val="21"/>
                <w:szCs w:val="21"/>
              </w:rPr>
              <w:t>评分依据：</w:t>
            </w:r>
          </w:p>
          <w:p w14:paraId="742F8CE4">
            <w:pPr>
              <w:keepNext w:val="0"/>
              <w:keepLines w:val="0"/>
              <w:pageBreakBefore w:val="0"/>
              <w:widowControl w:val="0"/>
              <w:kinsoku/>
              <w:wordWrap/>
              <w:overflowPunct/>
              <w:topLinePunct w:val="0"/>
              <w:autoSpaceDE/>
              <w:autoSpaceDN/>
              <w:bidi w:val="0"/>
              <w:adjustRightInd/>
              <w:snapToGrid/>
              <w:spacing w:line="276" w:lineRule="auto"/>
              <w:rPr>
                <w:rFonts w:ascii="宋体" w:hAnsi="宋体"/>
                <w:color w:val="000000"/>
                <w:kern w:val="0"/>
                <w:sz w:val="21"/>
                <w:szCs w:val="21"/>
              </w:rPr>
            </w:pPr>
            <w:r>
              <w:rPr>
                <w:rFonts w:ascii="宋体" w:hAnsi="宋体"/>
                <w:color w:val="000000"/>
                <w:kern w:val="0"/>
                <w:sz w:val="21"/>
                <w:szCs w:val="21"/>
              </w:rPr>
              <w:t>1</w:t>
            </w:r>
            <w:r>
              <w:rPr>
                <w:rFonts w:hint="eastAsia" w:ascii="宋体" w:hAnsi="宋体"/>
                <w:color w:val="000000"/>
                <w:kern w:val="0"/>
                <w:sz w:val="21"/>
                <w:szCs w:val="21"/>
              </w:rPr>
              <w:t>、要求提供有效的认证证书</w:t>
            </w:r>
            <w:r>
              <w:rPr>
                <w:rFonts w:hint="eastAsia" w:ascii="宋体" w:hAnsi="宋体"/>
                <w:color w:val="000000"/>
                <w:kern w:val="0"/>
                <w:sz w:val="21"/>
                <w:szCs w:val="21"/>
                <w:lang w:val="en-US" w:eastAsia="zh-CN"/>
              </w:rPr>
              <w:t>扫描件（或复印件）</w:t>
            </w:r>
            <w:r>
              <w:rPr>
                <w:rFonts w:hint="eastAsia" w:ascii="宋体" w:hAnsi="宋体"/>
                <w:color w:val="000000"/>
                <w:kern w:val="0"/>
                <w:sz w:val="21"/>
                <w:szCs w:val="21"/>
              </w:rPr>
              <w:t>，及出具证书官网或全国认证认可信息公共服务平台（</w:t>
            </w:r>
            <w:r>
              <w:rPr>
                <w:rFonts w:ascii="宋体" w:hAnsi="宋体"/>
                <w:color w:val="000000"/>
                <w:kern w:val="0"/>
                <w:sz w:val="21"/>
                <w:szCs w:val="21"/>
              </w:rPr>
              <w:t>http://cx.cnca.cn/</w:t>
            </w:r>
            <w:r>
              <w:rPr>
                <w:rFonts w:hint="eastAsia" w:ascii="宋体" w:hAnsi="宋体"/>
                <w:color w:val="000000"/>
                <w:kern w:val="0"/>
                <w:sz w:val="21"/>
                <w:szCs w:val="21"/>
              </w:rPr>
              <w:t>）的证书查询记录。认证证书在公开渠道无法查询的，需提供颁发机构的证明材料，证明证书真实有效。评分中出现无证明资料或专家无法凭所提供资料判断是否得分的情况，一律作不得分处理。</w:t>
            </w:r>
          </w:p>
          <w:p w14:paraId="51B06422">
            <w:pPr>
              <w:keepNext w:val="0"/>
              <w:keepLines w:val="0"/>
              <w:pageBreakBefore w:val="0"/>
              <w:widowControl w:val="0"/>
              <w:kinsoku/>
              <w:wordWrap/>
              <w:overflowPunct/>
              <w:topLinePunct w:val="0"/>
              <w:autoSpaceDE/>
              <w:autoSpaceDN/>
              <w:bidi w:val="0"/>
              <w:adjustRightInd/>
              <w:snapToGrid/>
              <w:spacing w:line="276" w:lineRule="auto"/>
              <w:rPr>
                <w:rFonts w:hint="eastAsia" w:ascii="宋体" w:hAnsi="宋体"/>
                <w:color w:val="000000"/>
                <w:kern w:val="0"/>
                <w:sz w:val="21"/>
                <w:szCs w:val="21"/>
                <w:highlight w:val="yellow"/>
                <w:lang w:eastAsia="zh-CN"/>
              </w:rPr>
            </w:pPr>
          </w:p>
          <w:p w14:paraId="133CCFF9">
            <w:pPr>
              <w:keepNext w:val="0"/>
              <w:keepLines w:val="0"/>
              <w:pageBreakBefore w:val="0"/>
              <w:widowControl w:val="0"/>
              <w:kinsoku/>
              <w:wordWrap/>
              <w:overflowPunct/>
              <w:topLinePunct w:val="0"/>
              <w:autoSpaceDE/>
              <w:autoSpaceDN/>
              <w:bidi w:val="0"/>
              <w:adjustRightInd/>
              <w:snapToGrid/>
              <w:spacing w:line="276" w:lineRule="auto"/>
              <w:rPr>
                <w:rFonts w:ascii="宋体" w:hAnsi="宋体"/>
                <w:color w:val="000000"/>
                <w:kern w:val="0"/>
                <w:sz w:val="21"/>
                <w:szCs w:val="21"/>
              </w:rPr>
            </w:pPr>
            <w:r>
              <w:rPr>
                <w:rFonts w:hint="eastAsia" w:ascii="宋体" w:hAnsi="宋体"/>
                <w:color w:val="000000"/>
                <w:kern w:val="0"/>
                <w:sz w:val="21"/>
                <w:szCs w:val="21"/>
                <w:highlight w:val="yellow"/>
                <w:lang w:eastAsia="zh-CN"/>
              </w:rPr>
              <w:t>（</w:t>
            </w:r>
            <w:r>
              <w:rPr>
                <w:rFonts w:hint="eastAsia" w:ascii="宋体" w:hAnsi="宋体"/>
                <w:color w:val="000000"/>
                <w:kern w:val="0"/>
                <w:sz w:val="21"/>
                <w:szCs w:val="21"/>
                <w:highlight w:val="yellow"/>
                <w:lang w:val="en-US" w:eastAsia="zh-CN"/>
              </w:rPr>
              <w:t>统一要求：</w:t>
            </w:r>
            <w:r>
              <w:rPr>
                <w:rFonts w:ascii="仿宋_GB2312" w:hAnsi="黑体"/>
                <w:sz w:val="21"/>
                <w:szCs w:val="21"/>
                <w:highlight w:val="yellow"/>
              </w:rPr>
              <w:t>本评分项中，投标人所提供的证明资料项，</w:t>
            </w:r>
            <w:r>
              <w:rPr>
                <w:rFonts w:hint="eastAsia" w:ascii="仿宋_GB2312" w:hAnsi="黑体"/>
                <w:sz w:val="21"/>
                <w:szCs w:val="21"/>
                <w:highlight w:val="yellow"/>
                <w:lang w:val="en-US" w:eastAsia="zh-CN"/>
              </w:rPr>
              <w:t>均</w:t>
            </w:r>
            <w:r>
              <w:rPr>
                <w:rFonts w:ascii="仿宋_GB2312" w:hAnsi="黑体"/>
                <w:sz w:val="21"/>
                <w:szCs w:val="21"/>
                <w:highlight w:val="yellow"/>
              </w:rPr>
              <w:t>需加盖投标人公章和法人（或授权代表）签字；未按要求提供的，视为对应资料不满足评分依据要求，</w:t>
            </w:r>
            <w:r>
              <w:rPr>
                <w:rFonts w:hint="eastAsia" w:ascii="仿宋_GB2312" w:hAnsi="黑体"/>
                <w:sz w:val="21"/>
                <w:szCs w:val="21"/>
                <w:highlight w:val="yellow"/>
              </w:rPr>
              <w:t>对应项</w:t>
            </w:r>
            <w:r>
              <w:rPr>
                <w:rFonts w:ascii="仿宋_GB2312" w:hAnsi="黑体"/>
                <w:sz w:val="21"/>
                <w:szCs w:val="21"/>
                <w:highlight w:val="yellow"/>
              </w:rPr>
              <w:t>作不得分处理。</w:t>
            </w:r>
            <w:r>
              <w:rPr>
                <w:rFonts w:hint="eastAsia" w:ascii="宋体" w:hAnsi="宋体"/>
                <w:color w:val="000000"/>
                <w:kern w:val="0"/>
                <w:sz w:val="21"/>
                <w:szCs w:val="21"/>
                <w:lang w:eastAsia="zh-CN"/>
              </w:rPr>
              <w:t>）</w:t>
            </w:r>
          </w:p>
        </w:tc>
      </w:tr>
      <w:tr w14:paraId="5393A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8" w:type="pct"/>
            <w:vMerge w:val="continue"/>
          </w:tcPr>
          <w:p w14:paraId="3162A9F7">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625524B9">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3</w:t>
            </w:r>
          </w:p>
        </w:tc>
        <w:tc>
          <w:tcPr>
            <w:tcW w:w="677" w:type="pct"/>
            <w:shd w:val="clear" w:color="auto" w:fill="auto"/>
            <w:vAlign w:val="center"/>
          </w:tcPr>
          <w:p w14:paraId="421F593E">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同类项目业绩</w:t>
            </w:r>
          </w:p>
        </w:tc>
        <w:tc>
          <w:tcPr>
            <w:tcW w:w="250" w:type="pct"/>
            <w:shd w:val="clear" w:color="auto" w:fill="auto"/>
            <w:vAlign w:val="center"/>
          </w:tcPr>
          <w:p w14:paraId="429B5E05">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Cs/>
                <w:sz w:val="21"/>
                <w:szCs w:val="21"/>
              </w:rPr>
            </w:pPr>
            <w:r>
              <w:rPr>
                <w:rFonts w:hint="eastAsia" w:ascii="宋体" w:hAnsi="宋体"/>
                <w:bCs/>
                <w:sz w:val="21"/>
                <w:szCs w:val="21"/>
              </w:rPr>
              <w:t>10</w:t>
            </w:r>
          </w:p>
        </w:tc>
        <w:tc>
          <w:tcPr>
            <w:tcW w:w="386" w:type="pct"/>
            <w:shd w:val="clear" w:color="auto" w:fill="auto"/>
            <w:vAlign w:val="center"/>
          </w:tcPr>
          <w:p w14:paraId="1898D16D">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sz w:val="21"/>
                <w:szCs w:val="21"/>
              </w:rPr>
              <w:t>专家打分</w:t>
            </w:r>
          </w:p>
        </w:tc>
        <w:tc>
          <w:tcPr>
            <w:tcW w:w="3181" w:type="pct"/>
            <w:shd w:val="clear" w:color="auto" w:fill="auto"/>
            <w:vAlign w:val="center"/>
          </w:tcPr>
          <w:p w14:paraId="2D1FCA50">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color w:val="000000"/>
                <w:kern w:val="0"/>
                <w:sz w:val="21"/>
                <w:szCs w:val="21"/>
              </w:rPr>
            </w:pPr>
            <w:r>
              <w:rPr>
                <w:rFonts w:hint="eastAsia" w:ascii="宋体" w:hAnsi="宋体"/>
                <w:b/>
                <w:bCs/>
                <w:color w:val="000000"/>
                <w:kern w:val="0"/>
                <w:sz w:val="21"/>
                <w:szCs w:val="21"/>
                <w:lang w:eastAsia="zh-CN"/>
              </w:rPr>
              <w:t>（</w:t>
            </w:r>
            <w:r>
              <w:rPr>
                <w:rFonts w:hint="eastAsia" w:ascii="宋体" w:hAnsi="宋体"/>
                <w:b/>
                <w:bCs/>
                <w:color w:val="000000"/>
                <w:kern w:val="0"/>
                <w:sz w:val="21"/>
                <w:szCs w:val="21"/>
                <w:lang w:val="en-US" w:eastAsia="zh-CN"/>
              </w:rPr>
              <w:t>一</w:t>
            </w:r>
            <w:r>
              <w:rPr>
                <w:rFonts w:hint="eastAsia" w:ascii="宋体" w:hAnsi="宋体"/>
                <w:b/>
                <w:bCs/>
                <w:color w:val="000000"/>
                <w:kern w:val="0"/>
                <w:sz w:val="21"/>
                <w:szCs w:val="21"/>
                <w:lang w:eastAsia="zh-CN"/>
              </w:rPr>
              <w:t>）</w:t>
            </w:r>
            <w:r>
              <w:rPr>
                <w:rFonts w:hint="eastAsia" w:ascii="宋体" w:hAnsi="宋体"/>
                <w:b/>
                <w:bCs/>
                <w:color w:val="000000"/>
                <w:kern w:val="0"/>
                <w:sz w:val="21"/>
                <w:szCs w:val="21"/>
              </w:rPr>
              <w:t>评审内容：</w:t>
            </w:r>
          </w:p>
          <w:p w14:paraId="23A8F83C">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r>
              <w:rPr>
                <w:rFonts w:hint="eastAsia" w:ascii="宋体" w:hAnsi="宋体"/>
                <w:color w:val="000000"/>
                <w:kern w:val="0"/>
                <w:sz w:val="21"/>
                <w:szCs w:val="21"/>
              </w:rPr>
              <w:t>考察投标人2020年1月1日至本项目投标截止日止（以合同签订时间为准）同类业绩情况：</w:t>
            </w:r>
          </w:p>
          <w:p w14:paraId="0C5E88CD">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r>
              <w:rPr>
                <w:rFonts w:hint="eastAsia" w:ascii="宋体" w:hAnsi="宋体"/>
                <w:color w:val="000000"/>
                <w:kern w:val="0"/>
                <w:sz w:val="21"/>
                <w:szCs w:val="21"/>
              </w:rPr>
              <w:t>机柜数量在2000个及以上，每提供1个得</w:t>
            </w:r>
            <w:r>
              <w:rPr>
                <w:rFonts w:hint="eastAsia" w:ascii="宋体" w:hAnsi="宋体"/>
                <w:kern w:val="0"/>
                <w:sz w:val="21"/>
                <w:szCs w:val="21"/>
              </w:rPr>
              <w:t>2分</w:t>
            </w:r>
            <w:r>
              <w:rPr>
                <w:rFonts w:hint="eastAsia" w:ascii="宋体" w:hAnsi="宋体"/>
                <w:color w:val="000000"/>
                <w:kern w:val="0"/>
                <w:sz w:val="21"/>
                <w:szCs w:val="21"/>
              </w:rPr>
              <w:t>；</w:t>
            </w:r>
          </w:p>
          <w:p w14:paraId="0B05DD73">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r>
              <w:rPr>
                <w:rFonts w:hint="eastAsia" w:ascii="宋体" w:hAnsi="宋体"/>
                <w:color w:val="000000"/>
                <w:kern w:val="0"/>
                <w:sz w:val="21"/>
                <w:szCs w:val="21"/>
              </w:rPr>
              <w:t>机柜数量在1500个及以上每提供1个得1分；</w:t>
            </w:r>
          </w:p>
          <w:p w14:paraId="4533F77A">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r>
              <w:rPr>
                <w:rFonts w:hint="eastAsia" w:ascii="宋体" w:hAnsi="宋体"/>
                <w:color w:val="000000"/>
                <w:kern w:val="0"/>
                <w:sz w:val="21"/>
                <w:szCs w:val="21"/>
              </w:rPr>
              <w:t>机柜数量在1000个及以上每提供1个得0.5分。</w:t>
            </w:r>
          </w:p>
          <w:p w14:paraId="283DCDFD">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r>
              <w:rPr>
                <w:rFonts w:hint="eastAsia" w:ascii="宋体" w:hAnsi="宋体"/>
                <w:color w:val="000000"/>
                <w:kern w:val="0"/>
                <w:sz w:val="21"/>
                <w:szCs w:val="21"/>
              </w:rPr>
              <w:t>以上合计最高得6分。</w:t>
            </w:r>
          </w:p>
          <w:p w14:paraId="285E77A4">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color w:val="000000"/>
                <w:kern w:val="0"/>
                <w:sz w:val="21"/>
                <w:szCs w:val="21"/>
              </w:rPr>
            </w:pPr>
            <w:r>
              <w:rPr>
                <w:rFonts w:hint="eastAsia" w:ascii="宋体" w:hAnsi="宋体"/>
                <w:b/>
                <w:bCs/>
                <w:color w:val="000000"/>
                <w:kern w:val="0"/>
                <w:sz w:val="21"/>
                <w:szCs w:val="21"/>
              </w:rPr>
              <w:t>评分依据：</w:t>
            </w:r>
          </w:p>
          <w:p w14:paraId="28C4AC61">
            <w:pPr>
              <w:keepNext w:val="0"/>
              <w:keepLines w:val="0"/>
              <w:pageBreakBefore w:val="0"/>
              <w:kinsoku/>
              <w:wordWrap/>
              <w:overflowPunct/>
              <w:topLinePunct w:val="0"/>
              <w:autoSpaceDE/>
              <w:autoSpaceDN/>
              <w:bidi w:val="0"/>
              <w:adjustRightInd/>
              <w:snapToGrid/>
              <w:spacing w:line="276" w:lineRule="auto"/>
              <w:ind w:right="36" w:rightChars="17"/>
              <w:rPr>
                <w:rFonts w:hint="eastAsia" w:ascii="宋体" w:hAnsi="宋体" w:eastAsia="宋体"/>
                <w:color w:val="000000"/>
                <w:kern w:val="0"/>
                <w:sz w:val="21"/>
                <w:szCs w:val="21"/>
                <w:lang w:eastAsia="zh-CN"/>
              </w:rPr>
            </w:pPr>
            <w:r>
              <w:rPr>
                <w:rFonts w:hint="eastAsia" w:ascii="宋体" w:hAnsi="宋体"/>
                <w:color w:val="000000"/>
                <w:kern w:val="0"/>
                <w:sz w:val="21"/>
                <w:szCs w:val="21"/>
              </w:rPr>
              <w:t>1.要求同时提供合同关键信息（包括但不限于首页、体现采购内容页、签字盖章页、签订时间页等）和履约评价合格（或以上）（或者验收</w:t>
            </w:r>
            <w:r>
              <w:rPr>
                <w:rFonts w:hint="eastAsia" w:ascii="宋体" w:hAnsi="宋体"/>
                <w:color w:val="000000"/>
                <w:kern w:val="0"/>
                <w:sz w:val="21"/>
                <w:szCs w:val="21"/>
                <w:lang w:val="en-US" w:eastAsia="zh-CN"/>
              </w:rPr>
              <w:t>报告</w:t>
            </w:r>
            <w:r>
              <w:rPr>
                <w:rFonts w:hint="eastAsia" w:ascii="宋体" w:hAnsi="宋体"/>
                <w:color w:val="000000"/>
                <w:kern w:val="0"/>
                <w:sz w:val="21"/>
                <w:szCs w:val="21"/>
              </w:rPr>
              <w:t>证明文件）作为得分依据。如合同无法明确机柜数量，可提</w:t>
            </w:r>
            <w:r>
              <w:rPr>
                <w:rFonts w:hint="eastAsia" w:ascii="宋体" w:hAnsi="宋体"/>
                <w:color w:val="000000"/>
                <w:kern w:val="0"/>
                <w:sz w:val="21"/>
                <w:szCs w:val="21"/>
                <w:lang w:val="en-US" w:eastAsia="zh-CN"/>
              </w:rPr>
              <w:t>供</w:t>
            </w:r>
            <w:r>
              <w:rPr>
                <w:rFonts w:hint="eastAsia" w:ascii="宋体" w:hAnsi="宋体"/>
                <w:color w:val="000000"/>
                <w:kern w:val="0"/>
                <w:sz w:val="21"/>
                <w:szCs w:val="21"/>
              </w:rPr>
              <w:t>项目供业主针对该项目机柜数量的盖章说明函或项目图纸佐证</w:t>
            </w:r>
            <w:r>
              <w:rPr>
                <w:rFonts w:hint="eastAsia" w:ascii="宋体" w:hAnsi="宋体"/>
                <w:color w:val="000000"/>
                <w:kern w:val="0"/>
                <w:sz w:val="21"/>
                <w:szCs w:val="21"/>
                <w:lang w:eastAsia="zh-CN"/>
              </w:rPr>
              <w:t>。</w:t>
            </w:r>
          </w:p>
          <w:p w14:paraId="1C15C2E8">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r>
              <w:rPr>
                <w:rFonts w:hint="eastAsia" w:ascii="宋体" w:hAnsi="宋体"/>
                <w:color w:val="000000"/>
                <w:kern w:val="0"/>
                <w:sz w:val="21"/>
                <w:szCs w:val="21"/>
              </w:rPr>
              <w:t>2.同个项目不同的分签合同</w:t>
            </w:r>
            <w:r>
              <w:rPr>
                <w:rFonts w:hint="eastAsia" w:ascii="宋体" w:hAnsi="宋体"/>
                <w:color w:val="000000"/>
                <w:kern w:val="0"/>
                <w:sz w:val="21"/>
                <w:szCs w:val="21"/>
                <w:lang w:val="en-US" w:eastAsia="zh-CN"/>
              </w:rPr>
              <w:t>柜机数量</w:t>
            </w:r>
            <w:r>
              <w:rPr>
                <w:rFonts w:hint="eastAsia" w:ascii="宋体" w:hAnsi="宋体"/>
                <w:color w:val="000000"/>
                <w:kern w:val="0"/>
                <w:sz w:val="21"/>
                <w:szCs w:val="21"/>
              </w:rPr>
              <w:t>可以合并计算，日期以合同签订日期为准；框架性合同可以根据同个项且合并框架内订单计算,需提供框架合同及对应订单</w:t>
            </w:r>
            <w:r>
              <w:rPr>
                <w:rFonts w:hint="eastAsia" w:ascii="宋体" w:hAnsi="宋体"/>
                <w:color w:val="000000"/>
                <w:kern w:val="0"/>
                <w:sz w:val="21"/>
                <w:szCs w:val="21"/>
                <w:lang w:eastAsia="zh-CN"/>
              </w:rPr>
              <w:t>，</w:t>
            </w:r>
            <w:r>
              <w:rPr>
                <w:rFonts w:hint="eastAsia" w:ascii="宋体" w:hAnsi="宋体"/>
                <w:color w:val="000000"/>
                <w:kern w:val="0"/>
                <w:sz w:val="21"/>
                <w:szCs w:val="21"/>
              </w:rPr>
              <w:t>日期以合同签订日期或订单日期为准（同一个项目是指围绕同一组核心物理设施开展的项目，如同一栋数据中心大楼内建设及设备安装等。）</w:t>
            </w:r>
          </w:p>
          <w:p w14:paraId="3B9848CA">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r>
              <w:rPr>
                <w:rFonts w:hint="eastAsia" w:ascii="宋体" w:hAnsi="宋体"/>
                <w:color w:val="000000"/>
                <w:kern w:val="0"/>
                <w:sz w:val="21"/>
                <w:szCs w:val="21"/>
              </w:rPr>
              <w:t>3.以上资料均要求提供扫描件或复印件。评分中出现无证明资料或专家无法凭所提供资料判断是否得分的情况，一律作不得分处理。</w:t>
            </w:r>
          </w:p>
          <w:p w14:paraId="47BE7286">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p>
          <w:p w14:paraId="68B29309">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color w:val="000000"/>
                <w:kern w:val="0"/>
                <w:sz w:val="21"/>
                <w:szCs w:val="21"/>
              </w:rPr>
            </w:pPr>
            <w:r>
              <w:rPr>
                <w:rFonts w:hint="eastAsia" w:ascii="宋体" w:hAnsi="宋体"/>
                <w:b/>
                <w:bCs/>
                <w:color w:val="000000"/>
                <w:kern w:val="0"/>
                <w:sz w:val="21"/>
                <w:szCs w:val="21"/>
                <w:lang w:eastAsia="zh-CN"/>
              </w:rPr>
              <w:t>（</w:t>
            </w:r>
            <w:r>
              <w:rPr>
                <w:rFonts w:hint="eastAsia" w:ascii="宋体" w:hAnsi="宋体"/>
                <w:b/>
                <w:bCs/>
                <w:color w:val="000000"/>
                <w:kern w:val="0"/>
                <w:sz w:val="21"/>
                <w:szCs w:val="21"/>
                <w:lang w:val="en-US" w:eastAsia="zh-CN"/>
              </w:rPr>
              <w:t>二</w:t>
            </w:r>
            <w:r>
              <w:rPr>
                <w:rFonts w:hint="eastAsia" w:ascii="宋体" w:hAnsi="宋体"/>
                <w:b/>
                <w:bCs/>
                <w:color w:val="000000"/>
                <w:kern w:val="0"/>
                <w:sz w:val="21"/>
                <w:szCs w:val="21"/>
                <w:lang w:eastAsia="zh-CN"/>
              </w:rPr>
              <w:t>）</w:t>
            </w:r>
            <w:r>
              <w:rPr>
                <w:rFonts w:hint="eastAsia" w:ascii="宋体" w:hAnsi="宋体"/>
                <w:b/>
                <w:bCs/>
                <w:color w:val="000000"/>
                <w:kern w:val="0"/>
                <w:sz w:val="21"/>
                <w:szCs w:val="21"/>
              </w:rPr>
              <w:t>评审内容：</w:t>
            </w:r>
          </w:p>
          <w:p w14:paraId="547F6B4F">
            <w:pPr>
              <w:keepNext w:val="0"/>
              <w:keepLines w:val="0"/>
              <w:pageBreakBefore w:val="0"/>
              <w:kinsoku/>
              <w:wordWrap/>
              <w:overflowPunct/>
              <w:topLinePunct w:val="0"/>
              <w:autoSpaceDE/>
              <w:autoSpaceDN/>
              <w:bidi w:val="0"/>
              <w:adjustRightInd/>
              <w:snapToGrid/>
              <w:spacing w:line="276" w:lineRule="auto"/>
              <w:ind w:right="36" w:rightChars="17"/>
              <w:rPr>
                <w:rFonts w:hint="default" w:ascii="宋体" w:hAnsi="宋体" w:eastAsia="宋体"/>
                <w:color w:val="000000"/>
                <w:kern w:val="0"/>
                <w:sz w:val="21"/>
                <w:szCs w:val="21"/>
                <w:lang w:val="en-US" w:eastAsia="zh-CN"/>
              </w:rPr>
            </w:pPr>
            <w:r>
              <w:rPr>
                <w:rFonts w:hint="eastAsia" w:ascii="宋体" w:hAnsi="宋体"/>
                <w:color w:val="000000"/>
                <w:kern w:val="0"/>
                <w:sz w:val="21"/>
                <w:szCs w:val="21"/>
              </w:rPr>
              <w:t>投标人具有运营能力，提供</w:t>
            </w:r>
            <w:r>
              <w:rPr>
                <w:rFonts w:hint="eastAsia" w:ascii="宋体" w:hAnsi="宋体"/>
                <w:color w:val="000000"/>
                <w:kern w:val="0"/>
                <w:sz w:val="21"/>
                <w:szCs w:val="21"/>
                <w:lang w:val="en-US" w:eastAsia="zh-CN"/>
              </w:rPr>
              <w:t>同类项目</w:t>
            </w:r>
            <w:r>
              <w:rPr>
                <w:rFonts w:hint="eastAsia" w:ascii="宋体" w:hAnsi="宋体"/>
                <w:color w:val="000000"/>
                <w:kern w:val="0"/>
                <w:sz w:val="21"/>
                <w:szCs w:val="21"/>
              </w:rPr>
              <w:t>（</w:t>
            </w:r>
            <w:r>
              <w:rPr>
                <w:rFonts w:hint="eastAsia" w:ascii="宋体" w:hAnsi="宋体"/>
                <w:color w:val="000000"/>
                <w:kern w:val="0"/>
                <w:sz w:val="21"/>
                <w:szCs w:val="21"/>
                <w:lang w:val="en-US" w:eastAsia="zh-CN"/>
              </w:rPr>
              <w:t>自</w:t>
            </w:r>
            <w:r>
              <w:rPr>
                <w:rFonts w:hint="eastAsia" w:ascii="宋体" w:hAnsi="宋体"/>
                <w:color w:val="000000"/>
                <w:kern w:val="0"/>
                <w:sz w:val="21"/>
                <w:szCs w:val="21"/>
              </w:rPr>
              <w:t>2020年1月1日</w:t>
            </w:r>
            <w:r>
              <w:rPr>
                <w:rFonts w:hint="eastAsia" w:ascii="宋体" w:hAnsi="宋体"/>
                <w:color w:val="000000"/>
                <w:kern w:val="0"/>
                <w:sz w:val="21"/>
                <w:szCs w:val="21"/>
                <w:lang w:val="en-US" w:eastAsia="zh-CN"/>
              </w:rPr>
              <w:t>至本项目投标截止日止</w:t>
            </w:r>
            <w:r>
              <w:rPr>
                <w:rFonts w:hint="eastAsia" w:ascii="宋体" w:hAnsi="宋体"/>
                <w:color w:val="000000"/>
                <w:kern w:val="0"/>
                <w:sz w:val="21"/>
                <w:szCs w:val="21"/>
              </w:rPr>
              <w:t>）1000个机柜以上，机柜租赁服务合同或EPC+O合同。每提供一个得1.5分，满分</w:t>
            </w:r>
            <w:r>
              <w:rPr>
                <w:rFonts w:hint="eastAsia" w:ascii="宋体" w:hAnsi="宋体"/>
                <w:color w:val="000000"/>
                <w:kern w:val="0"/>
                <w:sz w:val="21"/>
                <w:szCs w:val="21"/>
                <w:lang w:val="en-US" w:eastAsia="zh-CN"/>
              </w:rPr>
              <w:t>3分</w:t>
            </w:r>
          </w:p>
          <w:p w14:paraId="3970C82D">
            <w:pPr>
              <w:keepNext w:val="0"/>
              <w:keepLines w:val="0"/>
              <w:pageBreakBefore w:val="0"/>
              <w:kinsoku/>
              <w:wordWrap/>
              <w:overflowPunct/>
              <w:topLinePunct w:val="0"/>
              <w:autoSpaceDE/>
              <w:autoSpaceDN/>
              <w:bidi w:val="0"/>
              <w:adjustRightInd/>
              <w:snapToGrid/>
              <w:spacing w:line="276" w:lineRule="auto"/>
              <w:ind w:right="36" w:rightChars="17"/>
              <w:rPr>
                <w:rFonts w:hint="eastAsia" w:ascii="宋体" w:hAnsi="宋体"/>
                <w:b/>
                <w:bCs/>
                <w:color w:val="000000"/>
                <w:kern w:val="0"/>
                <w:sz w:val="21"/>
                <w:szCs w:val="21"/>
              </w:rPr>
            </w:pPr>
            <w:r>
              <w:rPr>
                <w:rFonts w:hint="eastAsia" w:ascii="宋体" w:hAnsi="宋体"/>
                <w:b/>
                <w:bCs/>
                <w:color w:val="000000"/>
                <w:kern w:val="0"/>
                <w:sz w:val="21"/>
                <w:szCs w:val="21"/>
              </w:rPr>
              <w:t>评分依据：</w:t>
            </w:r>
          </w:p>
          <w:p w14:paraId="106DE2C8">
            <w:pPr>
              <w:keepNext w:val="0"/>
              <w:keepLines w:val="0"/>
              <w:pageBreakBefore w:val="0"/>
              <w:kinsoku/>
              <w:wordWrap/>
              <w:overflowPunct/>
              <w:topLinePunct w:val="0"/>
              <w:autoSpaceDE/>
              <w:autoSpaceDN/>
              <w:bidi w:val="0"/>
              <w:adjustRightInd/>
              <w:snapToGrid/>
              <w:spacing w:line="276" w:lineRule="auto"/>
              <w:ind w:right="36" w:rightChars="17"/>
              <w:rPr>
                <w:rFonts w:hint="eastAsia" w:ascii="宋体" w:hAnsi="宋体"/>
                <w:color w:val="000000"/>
                <w:kern w:val="0"/>
                <w:sz w:val="21"/>
                <w:szCs w:val="21"/>
                <w:lang w:eastAsia="zh-CN"/>
              </w:rPr>
            </w:pPr>
            <w:r>
              <w:rPr>
                <w:rFonts w:hint="eastAsia" w:ascii="宋体" w:hAnsi="宋体"/>
                <w:color w:val="000000"/>
                <w:kern w:val="0"/>
                <w:sz w:val="21"/>
                <w:szCs w:val="21"/>
                <w:lang w:val="en-US" w:eastAsia="zh-CN"/>
              </w:rPr>
              <w:t>1.</w:t>
            </w:r>
            <w:r>
              <w:rPr>
                <w:rFonts w:hint="eastAsia" w:ascii="宋体" w:hAnsi="宋体"/>
                <w:color w:val="000000"/>
                <w:kern w:val="0"/>
                <w:sz w:val="21"/>
                <w:szCs w:val="21"/>
              </w:rPr>
              <w:t>需投标人提供以下材料来证明：机柜租赁服务合同（机柜租赁方）或EPC+O（带运营的施工总承包）合同</w:t>
            </w:r>
            <w:r>
              <w:rPr>
                <w:rFonts w:hint="eastAsia" w:ascii="宋体" w:hAnsi="宋体"/>
                <w:color w:val="000000"/>
                <w:kern w:val="0"/>
                <w:sz w:val="21"/>
                <w:szCs w:val="21"/>
                <w:lang w:eastAsia="zh-CN"/>
              </w:rPr>
              <w:t>，</w:t>
            </w:r>
            <w:r>
              <w:rPr>
                <w:rFonts w:hint="eastAsia" w:ascii="宋体" w:hAnsi="宋体"/>
                <w:color w:val="000000"/>
                <w:kern w:val="0"/>
                <w:sz w:val="21"/>
                <w:szCs w:val="21"/>
                <w:lang w:val="en-US" w:eastAsia="zh-CN"/>
              </w:rPr>
              <w:t>包含但不限于</w:t>
            </w:r>
            <w:r>
              <w:rPr>
                <w:rFonts w:hint="eastAsia" w:ascii="宋体" w:hAnsi="宋体"/>
                <w:color w:val="000000"/>
                <w:kern w:val="0"/>
                <w:sz w:val="21"/>
                <w:szCs w:val="21"/>
              </w:rPr>
              <w:t>建设或规划机柜数量、合同签订时间等关键信息</w:t>
            </w:r>
            <w:r>
              <w:rPr>
                <w:rFonts w:hint="eastAsia" w:ascii="宋体" w:hAnsi="宋体"/>
                <w:color w:val="000000"/>
                <w:kern w:val="0"/>
                <w:sz w:val="21"/>
                <w:szCs w:val="21"/>
                <w:lang w:eastAsia="zh-CN"/>
              </w:rPr>
              <w:t>。</w:t>
            </w:r>
          </w:p>
          <w:p w14:paraId="662EDB6D">
            <w:pPr>
              <w:keepNext w:val="0"/>
              <w:keepLines w:val="0"/>
              <w:pageBreakBefore w:val="0"/>
              <w:kinsoku/>
              <w:wordWrap/>
              <w:overflowPunct/>
              <w:topLinePunct w:val="0"/>
              <w:autoSpaceDE/>
              <w:autoSpaceDN/>
              <w:bidi w:val="0"/>
              <w:adjustRightInd/>
              <w:snapToGrid/>
              <w:spacing w:line="276" w:lineRule="auto"/>
              <w:ind w:right="36" w:rightChars="17"/>
              <w:rPr>
                <w:rFonts w:hint="eastAsia" w:ascii="宋体" w:hAnsi="宋体"/>
                <w:b/>
                <w:color w:val="000000"/>
                <w:kern w:val="0"/>
                <w:sz w:val="21"/>
                <w:szCs w:val="21"/>
                <w:lang w:val="en-US" w:eastAsia="zh-CN"/>
              </w:rPr>
            </w:pPr>
            <w:r>
              <w:rPr>
                <w:rFonts w:hint="eastAsia" w:ascii="宋体" w:hAnsi="宋体"/>
                <w:b/>
                <w:color w:val="000000"/>
                <w:kern w:val="0"/>
                <w:sz w:val="21"/>
                <w:szCs w:val="21"/>
                <w:lang w:val="en-US" w:eastAsia="zh-CN"/>
              </w:rPr>
              <w:t>2.</w:t>
            </w:r>
            <w:r>
              <w:rPr>
                <w:rFonts w:hint="eastAsia" w:ascii="宋体" w:hAnsi="宋体"/>
                <w:color w:val="000000"/>
                <w:kern w:val="0"/>
                <w:sz w:val="21"/>
                <w:szCs w:val="21"/>
              </w:rPr>
              <w:t>以上资料均要求提供扫描件或复印件。评分中出现无证明资料或专家无法凭所提供资料判断是否得分的情况，一律作不得分处理。</w:t>
            </w:r>
          </w:p>
          <w:p w14:paraId="7D73FDF9">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color w:val="000000"/>
                <w:kern w:val="0"/>
                <w:sz w:val="21"/>
                <w:szCs w:val="21"/>
              </w:rPr>
            </w:pPr>
          </w:p>
          <w:p w14:paraId="7BADAC96">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color w:val="000000"/>
                <w:kern w:val="0"/>
                <w:sz w:val="21"/>
                <w:szCs w:val="21"/>
              </w:rPr>
            </w:pPr>
            <w:r>
              <w:rPr>
                <w:rFonts w:hint="eastAsia" w:ascii="宋体" w:hAnsi="宋体"/>
                <w:b/>
                <w:bCs/>
                <w:color w:val="000000"/>
                <w:kern w:val="0"/>
                <w:sz w:val="21"/>
                <w:szCs w:val="21"/>
                <w:lang w:eastAsia="zh-CN"/>
              </w:rPr>
              <w:t>（</w:t>
            </w:r>
            <w:r>
              <w:rPr>
                <w:rFonts w:hint="eastAsia" w:ascii="宋体" w:hAnsi="宋体"/>
                <w:b/>
                <w:bCs/>
                <w:color w:val="000000"/>
                <w:kern w:val="0"/>
                <w:sz w:val="21"/>
                <w:szCs w:val="21"/>
                <w:lang w:val="en-US" w:eastAsia="zh-CN"/>
              </w:rPr>
              <w:t>三</w:t>
            </w:r>
            <w:r>
              <w:rPr>
                <w:rFonts w:hint="eastAsia" w:ascii="宋体" w:hAnsi="宋体"/>
                <w:b/>
                <w:bCs/>
                <w:color w:val="000000"/>
                <w:kern w:val="0"/>
                <w:sz w:val="21"/>
                <w:szCs w:val="21"/>
                <w:lang w:eastAsia="zh-CN"/>
              </w:rPr>
              <w:t>）</w:t>
            </w:r>
            <w:r>
              <w:rPr>
                <w:rFonts w:hint="eastAsia" w:ascii="宋体" w:hAnsi="宋体"/>
                <w:b/>
                <w:bCs/>
                <w:color w:val="000000"/>
                <w:kern w:val="0"/>
                <w:sz w:val="21"/>
                <w:szCs w:val="21"/>
              </w:rPr>
              <w:t>评审内容：</w:t>
            </w:r>
          </w:p>
          <w:p w14:paraId="5F7080EB">
            <w:pPr>
              <w:keepNext w:val="0"/>
              <w:keepLines w:val="0"/>
              <w:pageBreakBefore w:val="0"/>
              <w:kinsoku/>
              <w:wordWrap/>
              <w:overflowPunct/>
              <w:topLinePunct w:val="0"/>
              <w:autoSpaceDE/>
              <w:autoSpaceDN/>
              <w:bidi w:val="0"/>
              <w:adjustRightInd/>
              <w:snapToGrid/>
              <w:spacing w:line="276" w:lineRule="auto"/>
              <w:ind w:right="36" w:rightChars="17"/>
              <w:rPr>
                <w:rFonts w:hint="eastAsia" w:ascii="宋体" w:hAnsi="宋体"/>
                <w:b w:val="0"/>
                <w:bCs/>
                <w:color w:val="000000"/>
                <w:kern w:val="0"/>
                <w:sz w:val="21"/>
                <w:szCs w:val="21"/>
              </w:rPr>
            </w:pPr>
            <w:r>
              <w:rPr>
                <w:rFonts w:hint="eastAsia" w:ascii="宋体" w:hAnsi="宋体"/>
                <w:b w:val="0"/>
                <w:bCs/>
                <w:color w:val="000000"/>
                <w:kern w:val="0"/>
                <w:sz w:val="21"/>
                <w:szCs w:val="21"/>
              </w:rPr>
              <w:t>项目响应政府节能减排号召，投标人建设或者运营的项目（1000个机柜及以上）实际达到PUE＜1.3，提供一个案例得1分，满分1分。</w:t>
            </w:r>
          </w:p>
          <w:p w14:paraId="6376CEEF">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val="0"/>
                <w:color w:val="000000"/>
                <w:kern w:val="0"/>
                <w:sz w:val="21"/>
                <w:szCs w:val="21"/>
              </w:rPr>
            </w:pPr>
            <w:r>
              <w:rPr>
                <w:rFonts w:hint="eastAsia" w:ascii="宋体" w:hAnsi="宋体"/>
                <w:b/>
                <w:bCs w:val="0"/>
                <w:color w:val="000000"/>
                <w:kern w:val="0"/>
                <w:sz w:val="21"/>
                <w:szCs w:val="21"/>
              </w:rPr>
              <w:t>评分依据：</w:t>
            </w:r>
          </w:p>
          <w:p w14:paraId="36B780EA">
            <w:pPr>
              <w:pStyle w:val="18"/>
              <w:keepNext w:val="0"/>
              <w:keepLines w:val="0"/>
              <w:pageBreakBefore w:val="0"/>
              <w:kinsoku/>
              <w:wordWrap/>
              <w:overflowPunct/>
              <w:topLinePunct w:val="0"/>
              <w:autoSpaceDE/>
              <w:autoSpaceDN/>
              <w:bidi w:val="0"/>
              <w:adjustRightInd/>
              <w:snapToGrid/>
              <w:spacing w:line="276" w:lineRule="auto"/>
              <w:rPr>
                <w:rFonts w:hint="eastAsia"/>
                <w:sz w:val="21"/>
                <w:szCs w:val="21"/>
                <w:lang w:val="en-US" w:eastAsia="zh-CN"/>
              </w:rPr>
            </w:pPr>
            <w:r>
              <w:rPr>
                <w:rFonts w:hint="eastAsia"/>
                <w:sz w:val="21"/>
                <w:szCs w:val="21"/>
              </w:rPr>
              <w:t>1.投标人需</w:t>
            </w:r>
            <w:r>
              <w:rPr>
                <w:rFonts w:hint="eastAsia"/>
                <w:sz w:val="21"/>
                <w:szCs w:val="21"/>
                <w:lang w:val="en-US" w:eastAsia="zh-CN"/>
              </w:rPr>
              <w:t>同时提供如下资料：</w:t>
            </w:r>
          </w:p>
          <w:p w14:paraId="036B10D1">
            <w:pPr>
              <w:pStyle w:val="18"/>
              <w:keepNext w:val="0"/>
              <w:keepLines w:val="0"/>
              <w:pageBreakBefore w:val="0"/>
              <w:kinsoku/>
              <w:wordWrap/>
              <w:overflowPunct/>
              <w:topLinePunct w:val="0"/>
              <w:autoSpaceDE/>
              <w:autoSpaceDN/>
              <w:bidi w:val="0"/>
              <w:adjustRightInd/>
              <w:snapToGrid/>
              <w:spacing w:line="276" w:lineRule="auto"/>
              <w:rPr>
                <w:sz w:val="21"/>
                <w:szCs w:val="21"/>
              </w:rPr>
            </w:pPr>
            <w:r>
              <w:rPr>
                <w:rFonts w:hint="eastAsia"/>
                <w:sz w:val="21"/>
                <w:szCs w:val="21"/>
                <w:lang w:eastAsia="zh-CN"/>
              </w:rPr>
              <w:t>（</w:t>
            </w:r>
            <w:r>
              <w:rPr>
                <w:rFonts w:hint="eastAsia"/>
                <w:sz w:val="21"/>
                <w:szCs w:val="21"/>
                <w:lang w:val="en-US" w:eastAsia="zh-CN"/>
              </w:rPr>
              <w:t>1</w:t>
            </w:r>
            <w:r>
              <w:rPr>
                <w:rFonts w:hint="eastAsia"/>
                <w:sz w:val="21"/>
                <w:szCs w:val="21"/>
                <w:lang w:eastAsia="zh-CN"/>
              </w:rPr>
              <w:t>）</w:t>
            </w:r>
            <w:r>
              <w:rPr>
                <w:rFonts w:hint="eastAsia"/>
                <w:sz w:val="21"/>
                <w:szCs w:val="21"/>
              </w:rPr>
              <w:t>提供项目合同关键信息</w:t>
            </w:r>
            <w:r>
              <w:rPr>
                <w:rFonts w:hint="eastAsia"/>
                <w:sz w:val="21"/>
                <w:szCs w:val="21"/>
                <w:lang w:val="en-US" w:eastAsia="zh-CN"/>
              </w:rPr>
              <w:t>扫描件或复印件</w:t>
            </w:r>
            <w:r>
              <w:rPr>
                <w:rFonts w:hint="eastAsia"/>
                <w:sz w:val="21"/>
                <w:szCs w:val="21"/>
              </w:rPr>
              <w:t>。</w:t>
            </w:r>
          </w:p>
          <w:p w14:paraId="04FDCC24">
            <w:pPr>
              <w:pStyle w:val="18"/>
              <w:keepNext w:val="0"/>
              <w:keepLines w:val="0"/>
              <w:pageBreakBefore w:val="0"/>
              <w:kinsoku/>
              <w:wordWrap/>
              <w:overflowPunct/>
              <w:topLinePunct w:val="0"/>
              <w:autoSpaceDE/>
              <w:autoSpaceDN/>
              <w:bidi w:val="0"/>
              <w:adjustRightInd/>
              <w:snapToGrid/>
              <w:spacing w:line="276" w:lineRule="auto"/>
              <w:rPr>
                <w:rFonts w:hint="eastAsia" w:ascii="宋体" w:hAnsi="宋体"/>
                <w:b/>
                <w:color w:val="000000"/>
                <w:kern w:val="0"/>
                <w:sz w:val="21"/>
                <w:szCs w:val="21"/>
              </w:rPr>
            </w:pPr>
            <w:r>
              <w:rPr>
                <w:rFonts w:hint="eastAsia"/>
                <w:sz w:val="21"/>
                <w:szCs w:val="21"/>
                <w:lang w:eastAsia="zh-CN"/>
              </w:rPr>
              <w:t>（</w:t>
            </w:r>
            <w:r>
              <w:rPr>
                <w:rFonts w:hint="eastAsia"/>
                <w:sz w:val="21"/>
                <w:szCs w:val="21"/>
                <w:lang w:val="en-US" w:eastAsia="zh-CN"/>
              </w:rPr>
              <w:t>2</w:t>
            </w:r>
            <w:r>
              <w:rPr>
                <w:rFonts w:hint="eastAsia"/>
                <w:sz w:val="21"/>
                <w:szCs w:val="21"/>
                <w:lang w:eastAsia="zh-CN"/>
              </w:rPr>
              <w:t>）</w:t>
            </w:r>
            <w:r>
              <w:rPr>
                <w:rFonts w:hint="eastAsia"/>
                <w:sz w:val="21"/>
                <w:szCs w:val="21"/>
              </w:rPr>
              <w:t>提供项目自动化监控系统PUE界面稳定截图（需包含PUE数值、项目名称等关键信息），</w:t>
            </w:r>
            <w:r>
              <w:rPr>
                <w:rFonts w:hint="eastAsia"/>
                <w:sz w:val="21"/>
                <w:szCs w:val="21"/>
                <w:lang w:val="en-US" w:eastAsia="zh-CN"/>
              </w:rPr>
              <w:t>并</w:t>
            </w:r>
            <w:r>
              <w:rPr>
                <w:rFonts w:hint="eastAsia"/>
                <w:sz w:val="21"/>
                <w:szCs w:val="21"/>
              </w:rPr>
              <w:t>加盖建设单位公章。</w:t>
            </w:r>
          </w:p>
          <w:p w14:paraId="7E43A1E4">
            <w:pPr>
              <w:keepNext w:val="0"/>
              <w:keepLines w:val="0"/>
              <w:pageBreakBefore w:val="0"/>
              <w:kinsoku/>
              <w:wordWrap/>
              <w:overflowPunct/>
              <w:topLinePunct w:val="0"/>
              <w:autoSpaceDE/>
              <w:autoSpaceDN/>
              <w:bidi w:val="0"/>
              <w:adjustRightInd/>
              <w:snapToGrid/>
              <w:spacing w:line="276" w:lineRule="auto"/>
              <w:ind w:right="36" w:rightChars="17"/>
              <w:rPr>
                <w:rFonts w:hint="eastAsia" w:ascii="宋体" w:hAnsi="宋体"/>
                <w:color w:val="000000"/>
                <w:kern w:val="0"/>
                <w:sz w:val="21"/>
                <w:szCs w:val="21"/>
              </w:rPr>
            </w:pPr>
            <w:r>
              <w:rPr>
                <w:rFonts w:hint="eastAsia" w:ascii="宋体" w:hAnsi="宋体"/>
                <w:color w:val="000000"/>
                <w:kern w:val="0"/>
                <w:sz w:val="21"/>
                <w:szCs w:val="21"/>
                <w:lang w:val="en-US" w:eastAsia="zh-CN"/>
              </w:rPr>
              <w:t>2.</w:t>
            </w:r>
            <w:r>
              <w:rPr>
                <w:rFonts w:hint="eastAsia" w:ascii="宋体" w:hAnsi="宋体"/>
                <w:color w:val="000000"/>
                <w:kern w:val="0"/>
                <w:sz w:val="21"/>
                <w:szCs w:val="21"/>
              </w:rPr>
              <w:t>评分中出现无证明资料或专家无法凭所提供资料判断是否得分的情况，一律作不得分处理。</w:t>
            </w:r>
          </w:p>
          <w:p w14:paraId="4E8E1E83">
            <w:pPr>
              <w:pStyle w:val="3"/>
              <w:keepNext w:val="0"/>
              <w:keepLines w:val="0"/>
              <w:pageBreakBefore w:val="0"/>
              <w:kinsoku/>
              <w:wordWrap/>
              <w:overflowPunct/>
              <w:topLinePunct w:val="0"/>
              <w:autoSpaceDE/>
              <w:autoSpaceDN/>
              <w:bidi w:val="0"/>
              <w:adjustRightInd/>
              <w:snapToGrid/>
              <w:spacing w:line="276" w:lineRule="auto"/>
              <w:rPr>
                <w:rFonts w:hint="eastAsia" w:eastAsia="宋体"/>
                <w:sz w:val="21"/>
                <w:szCs w:val="21"/>
                <w:lang w:val="en-US" w:eastAsia="zh-CN"/>
              </w:rPr>
            </w:pPr>
            <w:r>
              <w:rPr>
                <w:rFonts w:hint="eastAsia" w:ascii="宋体" w:hAnsi="宋体"/>
                <w:color w:val="000000"/>
                <w:kern w:val="0"/>
                <w:sz w:val="21"/>
                <w:szCs w:val="21"/>
                <w:highlight w:val="yellow"/>
                <w:lang w:eastAsia="zh-CN"/>
              </w:rPr>
              <w:t>（</w:t>
            </w:r>
            <w:r>
              <w:rPr>
                <w:rFonts w:hint="eastAsia" w:ascii="宋体" w:hAnsi="宋体"/>
                <w:color w:val="000000"/>
                <w:kern w:val="0"/>
                <w:sz w:val="21"/>
                <w:szCs w:val="21"/>
                <w:highlight w:val="yellow"/>
                <w:lang w:val="en-US" w:eastAsia="zh-CN"/>
              </w:rPr>
              <w:t>统一要求：</w:t>
            </w:r>
            <w:r>
              <w:rPr>
                <w:rFonts w:ascii="仿宋_GB2312" w:hAnsi="黑体"/>
                <w:sz w:val="21"/>
                <w:szCs w:val="21"/>
                <w:highlight w:val="yellow"/>
              </w:rPr>
              <w:t>本评分项中，投标人所提供的证明资料项，</w:t>
            </w:r>
            <w:r>
              <w:rPr>
                <w:rFonts w:hint="eastAsia" w:ascii="仿宋_GB2312" w:hAnsi="黑体"/>
                <w:sz w:val="21"/>
                <w:szCs w:val="21"/>
                <w:highlight w:val="yellow"/>
                <w:lang w:val="en-US" w:eastAsia="zh-CN"/>
              </w:rPr>
              <w:t>均</w:t>
            </w:r>
            <w:r>
              <w:rPr>
                <w:rFonts w:ascii="仿宋_GB2312" w:hAnsi="黑体"/>
                <w:sz w:val="21"/>
                <w:szCs w:val="21"/>
                <w:highlight w:val="yellow"/>
              </w:rPr>
              <w:t>需加盖投标人公章和法人（或授权代表）签字；未按要求提供的，视为对应资料不满足评分依据要求，</w:t>
            </w:r>
            <w:r>
              <w:rPr>
                <w:rFonts w:hint="eastAsia" w:ascii="仿宋_GB2312" w:hAnsi="黑体"/>
                <w:sz w:val="21"/>
                <w:szCs w:val="21"/>
                <w:highlight w:val="yellow"/>
              </w:rPr>
              <w:t>对应项</w:t>
            </w:r>
            <w:r>
              <w:rPr>
                <w:rFonts w:ascii="仿宋_GB2312" w:hAnsi="黑体"/>
                <w:sz w:val="21"/>
                <w:szCs w:val="21"/>
                <w:highlight w:val="yellow"/>
              </w:rPr>
              <w:t>作不得分处理。</w:t>
            </w:r>
            <w:r>
              <w:rPr>
                <w:rFonts w:hint="eastAsia" w:ascii="宋体" w:hAnsi="宋体"/>
                <w:color w:val="000000"/>
                <w:kern w:val="0"/>
                <w:sz w:val="21"/>
                <w:szCs w:val="21"/>
                <w:lang w:eastAsia="zh-CN"/>
              </w:rPr>
              <w:t>）</w:t>
            </w:r>
          </w:p>
        </w:tc>
      </w:tr>
      <w:tr w14:paraId="4903E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8" w:type="pct"/>
            <w:vMerge w:val="continue"/>
          </w:tcPr>
          <w:p w14:paraId="7F056627">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7A8BB9A5">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4</w:t>
            </w:r>
          </w:p>
        </w:tc>
        <w:tc>
          <w:tcPr>
            <w:tcW w:w="677" w:type="pct"/>
            <w:shd w:val="clear" w:color="auto" w:fill="auto"/>
            <w:vAlign w:val="center"/>
          </w:tcPr>
          <w:p w14:paraId="49A61092">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投标人自主知识产权产品（创新、设计）情况</w:t>
            </w:r>
          </w:p>
        </w:tc>
        <w:tc>
          <w:tcPr>
            <w:tcW w:w="250" w:type="pct"/>
            <w:shd w:val="clear" w:color="auto" w:fill="auto"/>
            <w:vAlign w:val="center"/>
          </w:tcPr>
          <w:p w14:paraId="6AC5C80C">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Cs/>
                <w:sz w:val="21"/>
                <w:szCs w:val="21"/>
              </w:rPr>
            </w:pPr>
            <w:r>
              <w:rPr>
                <w:rFonts w:hint="eastAsia" w:ascii="宋体" w:hAnsi="宋体"/>
                <w:bCs/>
                <w:sz w:val="21"/>
                <w:szCs w:val="21"/>
              </w:rPr>
              <w:t>3</w:t>
            </w:r>
          </w:p>
        </w:tc>
        <w:tc>
          <w:tcPr>
            <w:tcW w:w="386" w:type="pct"/>
            <w:shd w:val="clear" w:color="auto" w:fill="auto"/>
            <w:vAlign w:val="center"/>
          </w:tcPr>
          <w:p w14:paraId="04611B37">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专家打分</w:t>
            </w:r>
          </w:p>
        </w:tc>
        <w:tc>
          <w:tcPr>
            <w:tcW w:w="3181" w:type="pct"/>
            <w:shd w:val="clear" w:color="auto" w:fill="auto"/>
            <w:vAlign w:val="center"/>
          </w:tcPr>
          <w:p w14:paraId="00C46A40">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color w:val="000000"/>
                <w:kern w:val="0"/>
                <w:sz w:val="21"/>
                <w:szCs w:val="21"/>
              </w:rPr>
            </w:pPr>
            <w:r>
              <w:rPr>
                <w:rFonts w:hint="eastAsia" w:ascii="宋体" w:hAnsi="宋体"/>
                <w:b/>
                <w:bCs/>
                <w:color w:val="000000"/>
                <w:kern w:val="0"/>
                <w:sz w:val="21"/>
                <w:szCs w:val="21"/>
              </w:rPr>
              <w:t>评审内容：</w:t>
            </w:r>
          </w:p>
          <w:p w14:paraId="3B9A9244">
            <w:pPr>
              <w:keepNext w:val="0"/>
              <w:keepLines w:val="0"/>
              <w:pageBreakBefore w:val="0"/>
              <w:numPr>
                <w:ilvl w:val="255"/>
                <w:numId w:val="0"/>
              </w:numPr>
              <w:kinsoku/>
              <w:wordWrap/>
              <w:overflowPunct/>
              <w:topLinePunct w:val="0"/>
              <w:autoSpaceDE/>
              <w:autoSpaceDN/>
              <w:bidi w:val="0"/>
              <w:adjustRightInd/>
              <w:snapToGrid/>
              <w:spacing w:line="276" w:lineRule="auto"/>
              <w:ind w:right="36" w:rightChars="17"/>
              <w:textAlignment w:val="center"/>
              <w:rPr>
                <w:rFonts w:ascii="宋体" w:hAnsi="宋体"/>
                <w:color w:val="000000"/>
                <w:kern w:val="0"/>
                <w:sz w:val="21"/>
                <w:szCs w:val="21"/>
              </w:rPr>
            </w:pPr>
            <w:r>
              <w:rPr>
                <w:rFonts w:hint="eastAsia" w:ascii="宋体" w:hAnsi="宋体"/>
                <w:color w:val="000000"/>
                <w:kern w:val="0"/>
                <w:sz w:val="21"/>
                <w:szCs w:val="21"/>
              </w:rPr>
              <w:t>投标人具有以下计算机软件著作权登记证书：</w:t>
            </w:r>
          </w:p>
          <w:p w14:paraId="4567B398">
            <w:pPr>
              <w:pStyle w:val="58"/>
              <w:keepNext w:val="0"/>
              <w:keepLines w:val="0"/>
              <w:pageBreakBefore w:val="0"/>
              <w:kinsoku/>
              <w:wordWrap/>
              <w:overflowPunct/>
              <w:topLinePunct w:val="0"/>
              <w:autoSpaceDE/>
              <w:autoSpaceDN/>
              <w:bidi w:val="0"/>
              <w:adjustRightInd/>
              <w:snapToGrid/>
              <w:spacing w:line="276" w:lineRule="auto"/>
              <w:ind w:left="360" w:hanging="360" w:firstLineChars="0"/>
              <w:textAlignment w:val="center"/>
              <w:rPr>
                <w:rFonts w:ascii="宋体" w:hAnsi="宋体"/>
                <w:color w:val="000000"/>
                <w:kern w:val="0"/>
                <w:sz w:val="21"/>
                <w:szCs w:val="21"/>
              </w:rPr>
            </w:pPr>
            <w:r>
              <w:rPr>
                <w:rFonts w:ascii="宋体" w:hAnsi="宋体"/>
                <w:color w:val="000000"/>
                <w:kern w:val="0"/>
                <w:sz w:val="21"/>
                <w:szCs w:val="21"/>
              </w:rPr>
              <w:t>①</w:t>
            </w:r>
            <w:r>
              <w:rPr>
                <w:rFonts w:hint="eastAsia" w:ascii="宋体" w:hAnsi="宋体"/>
                <w:color w:val="000000"/>
                <w:kern w:val="0"/>
                <w:sz w:val="21"/>
                <w:szCs w:val="21"/>
              </w:rPr>
              <w:t>数据中心管理系统类（含关键字“</w:t>
            </w:r>
            <w:r>
              <w:rPr>
                <w:rFonts w:ascii="宋体" w:hAnsi="宋体"/>
                <w:color w:val="000000"/>
                <w:kern w:val="0"/>
                <w:sz w:val="21"/>
                <w:szCs w:val="21"/>
              </w:rPr>
              <w:t>AI</w:t>
            </w:r>
            <w:r>
              <w:rPr>
                <w:rFonts w:hint="eastAsia" w:ascii="宋体" w:hAnsi="宋体"/>
                <w:color w:val="000000"/>
                <w:kern w:val="0"/>
                <w:sz w:val="21"/>
                <w:szCs w:val="21"/>
              </w:rPr>
              <w:t>节能”）；</w:t>
            </w:r>
          </w:p>
          <w:p w14:paraId="101A1B6D">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②机房环境监测与可视化类（含关键字“机房环境监测 和数据可视化”）；</w:t>
            </w:r>
          </w:p>
          <w:p w14:paraId="204017B0">
            <w:pPr>
              <w:pStyle w:val="58"/>
              <w:keepNext w:val="0"/>
              <w:keepLines w:val="0"/>
              <w:pageBreakBefore w:val="0"/>
              <w:kinsoku/>
              <w:wordWrap/>
              <w:overflowPunct/>
              <w:topLinePunct w:val="0"/>
              <w:autoSpaceDE/>
              <w:autoSpaceDN/>
              <w:bidi w:val="0"/>
              <w:adjustRightInd/>
              <w:snapToGrid/>
              <w:spacing w:line="276" w:lineRule="auto"/>
              <w:ind w:left="360" w:hanging="360" w:firstLineChars="0"/>
              <w:textAlignment w:val="center"/>
              <w:rPr>
                <w:rFonts w:ascii="宋体" w:hAnsi="宋体"/>
                <w:color w:val="000000"/>
                <w:kern w:val="0"/>
                <w:sz w:val="21"/>
                <w:szCs w:val="21"/>
              </w:rPr>
            </w:pPr>
            <w:r>
              <w:rPr>
                <w:rFonts w:ascii="Calibri" w:hAnsi="Calibri" w:cs="Calibri"/>
                <w:color w:val="000000"/>
                <w:kern w:val="0"/>
                <w:sz w:val="21"/>
                <w:szCs w:val="21"/>
              </w:rPr>
              <w:t>③</w:t>
            </w:r>
            <w:r>
              <w:rPr>
                <w:rFonts w:hint="eastAsia" w:ascii="宋体" w:hAnsi="宋体"/>
                <w:color w:val="000000"/>
                <w:kern w:val="0"/>
                <w:sz w:val="21"/>
                <w:szCs w:val="21"/>
              </w:rPr>
              <w:t>数据中心储能技术性能分析类（含关键字“储能技术性能分析”）；</w:t>
            </w:r>
          </w:p>
          <w:p w14:paraId="076B2919">
            <w:pPr>
              <w:pStyle w:val="58"/>
              <w:keepNext w:val="0"/>
              <w:keepLines w:val="0"/>
              <w:pageBreakBefore w:val="0"/>
              <w:kinsoku/>
              <w:wordWrap/>
              <w:overflowPunct/>
              <w:topLinePunct w:val="0"/>
              <w:autoSpaceDE/>
              <w:autoSpaceDN/>
              <w:bidi w:val="0"/>
              <w:adjustRightInd/>
              <w:snapToGrid/>
              <w:spacing w:line="276" w:lineRule="auto"/>
              <w:ind w:left="360" w:hanging="360" w:firstLineChars="0"/>
              <w:textAlignment w:val="center"/>
              <w:rPr>
                <w:rFonts w:ascii="宋体" w:hAnsi="宋体"/>
                <w:color w:val="000000"/>
                <w:kern w:val="0"/>
                <w:sz w:val="21"/>
                <w:szCs w:val="21"/>
              </w:rPr>
            </w:pPr>
            <w:r>
              <w:rPr>
                <w:rFonts w:hint="eastAsia" w:ascii="微软雅黑" w:hAnsi="微软雅黑" w:eastAsia="微软雅黑" w:cs="微软雅黑"/>
                <w:color w:val="000000"/>
                <w:kern w:val="0"/>
                <w:sz w:val="21"/>
                <w:szCs w:val="21"/>
              </w:rPr>
              <w:t>④</w:t>
            </w:r>
            <w:r>
              <w:rPr>
                <w:rFonts w:hint="eastAsia" w:ascii="宋体" w:hAnsi="宋体"/>
                <w:color w:val="000000"/>
                <w:kern w:val="0"/>
                <w:sz w:val="21"/>
                <w:szCs w:val="21"/>
              </w:rPr>
              <w:t>数据中心算力类（含关键字“高密度算力集群资源调度”）；</w:t>
            </w:r>
          </w:p>
          <w:p w14:paraId="6270307B">
            <w:pPr>
              <w:keepNext w:val="0"/>
              <w:keepLines w:val="0"/>
              <w:pageBreakBefore w:val="0"/>
              <w:numPr>
                <w:ilvl w:val="255"/>
                <w:numId w:val="0"/>
              </w:numPr>
              <w:kinsoku/>
              <w:wordWrap/>
              <w:overflowPunct/>
              <w:topLinePunct w:val="0"/>
              <w:autoSpaceDE/>
              <w:autoSpaceDN/>
              <w:bidi w:val="0"/>
              <w:adjustRightInd/>
              <w:snapToGrid/>
              <w:spacing w:line="276" w:lineRule="auto"/>
              <w:ind w:right="36" w:rightChars="17"/>
              <w:textAlignment w:val="center"/>
              <w:rPr>
                <w:rFonts w:ascii="宋体" w:hAnsi="宋体"/>
                <w:color w:val="000000"/>
                <w:kern w:val="0"/>
                <w:sz w:val="21"/>
                <w:szCs w:val="21"/>
              </w:rPr>
            </w:pPr>
            <w:r>
              <w:rPr>
                <w:rFonts w:hint="eastAsia" w:ascii="宋体" w:hAnsi="宋体"/>
                <w:color w:val="000000"/>
                <w:kern w:val="0"/>
                <w:sz w:val="21"/>
                <w:szCs w:val="21"/>
              </w:rPr>
              <w:t>以上4类证书，全部提供得3分，提供任意三类得2分，提供任意2类得1分，其余不得分：</w:t>
            </w:r>
          </w:p>
          <w:p w14:paraId="2BA0FAFC">
            <w:pPr>
              <w:keepNext w:val="0"/>
              <w:keepLines w:val="0"/>
              <w:pageBreakBefore w:val="0"/>
              <w:numPr>
                <w:ilvl w:val="255"/>
                <w:numId w:val="0"/>
              </w:numPr>
              <w:kinsoku/>
              <w:wordWrap/>
              <w:overflowPunct/>
              <w:topLinePunct w:val="0"/>
              <w:autoSpaceDE/>
              <w:autoSpaceDN/>
              <w:bidi w:val="0"/>
              <w:adjustRightInd/>
              <w:snapToGrid/>
              <w:spacing w:line="276" w:lineRule="auto"/>
              <w:ind w:right="36" w:rightChars="17"/>
              <w:textAlignment w:val="center"/>
              <w:rPr>
                <w:rFonts w:ascii="宋体" w:hAnsi="宋体"/>
                <w:b/>
                <w:kern w:val="0"/>
                <w:sz w:val="21"/>
                <w:szCs w:val="21"/>
              </w:rPr>
            </w:pPr>
            <w:r>
              <w:rPr>
                <w:rFonts w:hint="eastAsia" w:ascii="宋体" w:hAnsi="宋体"/>
                <w:b/>
                <w:kern w:val="0"/>
                <w:sz w:val="21"/>
                <w:szCs w:val="21"/>
              </w:rPr>
              <w:t>评分依据：</w:t>
            </w:r>
          </w:p>
          <w:p w14:paraId="5106EF60">
            <w:pPr>
              <w:keepNext w:val="0"/>
              <w:keepLines w:val="0"/>
              <w:pageBreakBefore w:val="0"/>
              <w:numPr>
                <w:ilvl w:val="-1"/>
                <w:numId w:val="0"/>
              </w:numPr>
              <w:kinsoku/>
              <w:wordWrap/>
              <w:overflowPunct/>
              <w:topLinePunct w:val="0"/>
              <w:autoSpaceDE/>
              <w:autoSpaceDN/>
              <w:bidi w:val="0"/>
              <w:adjustRightInd/>
              <w:snapToGrid/>
              <w:spacing w:line="276" w:lineRule="auto"/>
              <w:ind w:right="0" w:rightChars="0"/>
              <w:textAlignment w:val="auto"/>
              <w:rPr>
                <w:rFonts w:ascii="宋体" w:hAnsi="宋体"/>
                <w:kern w:val="0"/>
                <w:sz w:val="21"/>
                <w:szCs w:val="21"/>
              </w:rPr>
            </w:pPr>
            <w:r>
              <w:rPr>
                <w:rFonts w:hint="eastAsia" w:ascii="宋体" w:hAnsi="宋体"/>
                <w:kern w:val="0"/>
                <w:sz w:val="21"/>
                <w:szCs w:val="21"/>
              </w:rPr>
              <w:t>1、要求提供国家版权局颁发的相关计算机软件著作权登记证书，需能体现投标人为著作权人。</w:t>
            </w:r>
            <w:r>
              <w:rPr>
                <w:rFonts w:hint="eastAsia" w:ascii="宋体" w:hAnsi="宋体"/>
                <w:kern w:val="0"/>
                <w:szCs w:val="21"/>
                <w:lang w:val="en-US" w:eastAsia="zh-CN"/>
              </w:rPr>
              <w:t>证书名称与要求的关键字不一致时，</w:t>
            </w:r>
            <w:r>
              <w:rPr>
                <w:rFonts w:hint="eastAsia"/>
                <w:lang w:bidi="ar"/>
              </w:rPr>
              <w:t>由供应商提供相关情况说明，并由评审专家进行判断。</w:t>
            </w:r>
          </w:p>
          <w:p w14:paraId="207F25B9">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Theme="minorEastAsia" w:hAnsiTheme="minorEastAsia" w:eastAsiaTheme="minorEastAsia"/>
                <w:sz w:val="21"/>
                <w:szCs w:val="21"/>
              </w:rPr>
            </w:pPr>
            <w:r>
              <w:rPr>
                <w:rFonts w:hint="eastAsia" w:ascii="宋体" w:hAnsi="宋体"/>
                <w:kern w:val="0"/>
                <w:sz w:val="21"/>
                <w:szCs w:val="21"/>
              </w:rPr>
              <w:t>2、</w:t>
            </w:r>
            <w:r>
              <w:rPr>
                <w:rFonts w:hint="eastAsia" w:asciiTheme="minorEastAsia" w:hAnsiTheme="minorEastAsia" w:eastAsiaTheme="minorEastAsia"/>
                <w:sz w:val="21"/>
                <w:szCs w:val="21"/>
              </w:rPr>
              <w:t>以上资料均要求提供扫描件或复印件。评</w:t>
            </w:r>
            <w:r>
              <w:rPr>
                <w:rFonts w:asciiTheme="minorEastAsia" w:hAnsiTheme="minorEastAsia" w:eastAsiaTheme="minorEastAsia"/>
                <w:sz w:val="21"/>
                <w:szCs w:val="21"/>
              </w:rPr>
              <w:t>分中出现无证明资料或专家无法凭所提供资料判断是否得分的情况，一律作不得分处理。</w:t>
            </w:r>
          </w:p>
          <w:p w14:paraId="6B9F5937">
            <w:pPr>
              <w:pStyle w:val="2"/>
              <w:keepNext w:val="0"/>
              <w:keepLines w:val="0"/>
              <w:pageBreakBefore w:val="0"/>
              <w:kinsoku/>
              <w:wordWrap/>
              <w:overflowPunct/>
              <w:topLinePunct w:val="0"/>
              <w:autoSpaceDE/>
              <w:autoSpaceDN/>
              <w:bidi w:val="0"/>
              <w:adjustRightInd/>
              <w:snapToGrid/>
              <w:spacing w:line="276" w:lineRule="auto"/>
              <w:ind w:left="0" w:leftChars="0" w:firstLine="0" w:firstLineChars="0"/>
              <w:rPr>
                <w:rFonts w:hint="eastAsia" w:eastAsiaTheme="minorEastAsia"/>
                <w:sz w:val="21"/>
                <w:szCs w:val="21"/>
                <w:lang w:eastAsia="zh-CN"/>
              </w:rPr>
            </w:pPr>
            <w:r>
              <w:rPr>
                <w:rFonts w:hint="eastAsia" w:ascii="宋体" w:hAnsi="宋体" w:eastAsia="宋体" w:cs="宋体"/>
                <w:color w:val="000000"/>
                <w:kern w:val="0"/>
                <w:sz w:val="21"/>
                <w:szCs w:val="21"/>
                <w:highlight w:val="yellow"/>
                <w:lang w:val="en-US" w:eastAsia="zh-CN" w:bidi="ar-SA"/>
              </w:rPr>
              <w:t>（注：本评分项中，投标人所提供的证明资料项，需加盖投标人公章和法人（或授权代表）签字；未按要求提供的，视为对应资料不满足招标文件评分依据要求，对应项作不得分处理。）</w:t>
            </w:r>
          </w:p>
        </w:tc>
      </w:tr>
      <w:tr w14:paraId="4C4CC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8" w:type="pct"/>
            <w:vMerge w:val="continue"/>
          </w:tcPr>
          <w:p w14:paraId="6A471332">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2B52D87D">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5</w:t>
            </w:r>
          </w:p>
        </w:tc>
        <w:tc>
          <w:tcPr>
            <w:tcW w:w="677" w:type="pct"/>
            <w:shd w:val="clear" w:color="auto" w:fill="auto"/>
            <w:vAlign w:val="center"/>
          </w:tcPr>
          <w:p w14:paraId="2094D31D">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拟安排的项目经理情况</w:t>
            </w:r>
          </w:p>
        </w:tc>
        <w:tc>
          <w:tcPr>
            <w:tcW w:w="250" w:type="pct"/>
            <w:shd w:val="clear" w:color="auto" w:fill="auto"/>
            <w:vAlign w:val="center"/>
          </w:tcPr>
          <w:p w14:paraId="79670902">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Cs/>
                <w:sz w:val="21"/>
                <w:szCs w:val="21"/>
              </w:rPr>
            </w:pPr>
            <w:r>
              <w:rPr>
                <w:rFonts w:hint="eastAsia" w:ascii="宋体" w:hAnsi="宋体"/>
                <w:bCs/>
                <w:sz w:val="21"/>
                <w:szCs w:val="21"/>
              </w:rPr>
              <w:t>4</w:t>
            </w:r>
          </w:p>
        </w:tc>
        <w:tc>
          <w:tcPr>
            <w:tcW w:w="386" w:type="pct"/>
            <w:shd w:val="clear" w:color="auto" w:fill="auto"/>
            <w:vAlign w:val="center"/>
          </w:tcPr>
          <w:p w14:paraId="17138F85">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专家打分</w:t>
            </w:r>
          </w:p>
        </w:tc>
        <w:tc>
          <w:tcPr>
            <w:tcW w:w="3181" w:type="pct"/>
            <w:shd w:val="clear" w:color="auto" w:fill="auto"/>
            <w:vAlign w:val="center"/>
          </w:tcPr>
          <w:p w14:paraId="4F48A988">
            <w:pPr>
              <w:keepNext w:val="0"/>
              <w:keepLines w:val="0"/>
              <w:pageBreakBefore w:val="0"/>
              <w:kinsoku/>
              <w:wordWrap/>
              <w:overflowPunct/>
              <w:topLinePunct w:val="0"/>
              <w:autoSpaceDE/>
              <w:autoSpaceDN/>
              <w:bidi w:val="0"/>
              <w:adjustRightInd/>
              <w:snapToGrid/>
              <w:spacing w:line="276" w:lineRule="auto"/>
              <w:rPr>
                <w:rFonts w:ascii="仿宋_GB2312" w:hAnsi="黑体"/>
                <w:b/>
                <w:bCs/>
                <w:sz w:val="21"/>
                <w:szCs w:val="21"/>
              </w:rPr>
            </w:pPr>
            <w:r>
              <w:rPr>
                <w:rFonts w:ascii="仿宋_GB2312" w:hAnsi="黑体"/>
                <w:b/>
                <w:bCs/>
                <w:sz w:val="21"/>
                <w:szCs w:val="21"/>
              </w:rPr>
              <w:t>评审内容：</w:t>
            </w:r>
          </w:p>
          <w:p w14:paraId="2F3954C4">
            <w:pPr>
              <w:keepNext w:val="0"/>
              <w:keepLines w:val="0"/>
              <w:pageBreakBefore w:val="0"/>
              <w:kinsoku/>
              <w:wordWrap/>
              <w:overflowPunct/>
              <w:topLinePunct w:val="0"/>
              <w:autoSpaceDE/>
              <w:autoSpaceDN/>
              <w:bidi w:val="0"/>
              <w:adjustRightInd/>
              <w:snapToGrid/>
              <w:spacing w:line="276" w:lineRule="auto"/>
              <w:rPr>
                <w:rFonts w:ascii="仿宋_GB2312"/>
                <w:sz w:val="21"/>
                <w:szCs w:val="21"/>
              </w:rPr>
            </w:pPr>
            <w:r>
              <w:rPr>
                <w:rFonts w:ascii="仿宋_GB2312"/>
                <w:sz w:val="21"/>
                <w:szCs w:val="21"/>
              </w:rPr>
              <w:t>拟安排的项目经理为投标单位员工（以社保为准）且同时具有机械设计制造及其自动化专业本科及以上学历，否则本项不得分。在此基础上，按以下标准进行打分：</w:t>
            </w:r>
          </w:p>
          <w:p w14:paraId="4575AE35">
            <w:pPr>
              <w:keepNext w:val="0"/>
              <w:keepLines w:val="0"/>
              <w:pageBreakBefore w:val="0"/>
              <w:kinsoku/>
              <w:wordWrap/>
              <w:overflowPunct/>
              <w:topLinePunct w:val="0"/>
              <w:autoSpaceDE/>
              <w:autoSpaceDN/>
              <w:bidi w:val="0"/>
              <w:adjustRightInd/>
              <w:snapToGrid/>
              <w:spacing w:line="276" w:lineRule="auto"/>
              <w:rPr>
                <w:rFonts w:ascii="仿宋_GB2312"/>
                <w:sz w:val="21"/>
                <w:szCs w:val="21"/>
              </w:rPr>
            </w:pPr>
            <w:r>
              <w:rPr>
                <w:rFonts w:hint="eastAsia" w:ascii="仿宋_GB2312" w:hAnsi="黑体"/>
                <w:sz w:val="21"/>
                <w:szCs w:val="21"/>
                <w:lang w:val="en-US" w:eastAsia="zh-CN"/>
              </w:rPr>
              <w:t>1.</w:t>
            </w:r>
            <w:r>
              <w:rPr>
                <w:rFonts w:ascii="仿宋_GB2312" w:hAnsi="黑体"/>
                <w:sz w:val="21"/>
                <w:szCs w:val="21"/>
              </w:rPr>
              <w:t>具有人社部门颁发的计算机技术与软件专业技术资格证书（专业：信息系统项目管理师）；</w:t>
            </w:r>
          </w:p>
          <w:p w14:paraId="4EA8FA46">
            <w:pPr>
              <w:keepNext w:val="0"/>
              <w:keepLines w:val="0"/>
              <w:pageBreakBefore w:val="0"/>
              <w:kinsoku/>
              <w:wordWrap/>
              <w:overflowPunct/>
              <w:topLinePunct w:val="0"/>
              <w:autoSpaceDE/>
              <w:autoSpaceDN/>
              <w:bidi w:val="0"/>
              <w:adjustRightInd/>
              <w:snapToGrid/>
              <w:spacing w:line="276" w:lineRule="auto"/>
              <w:rPr>
                <w:rFonts w:ascii="仿宋_GB2312"/>
                <w:sz w:val="21"/>
                <w:szCs w:val="21"/>
              </w:rPr>
            </w:pPr>
            <w:r>
              <w:rPr>
                <w:rFonts w:hint="eastAsia" w:ascii="仿宋_GB2312"/>
                <w:sz w:val="21"/>
                <w:szCs w:val="21"/>
                <w:lang w:val="en-US" w:eastAsia="zh-CN"/>
              </w:rPr>
              <w:t>2.</w:t>
            </w:r>
            <w:r>
              <w:rPr>
                <w:rFonts w:ascii="仿宋_GB2312"/>
                <w:sz w:val="21"/>
                <w:szCs w:val="21"/>
              </w:rPr>
              <w:t>2020年01月01 日起至本项目投标截止时间，以项目经理身份具有1个及以上已完成的单项合同在1000个（及以上）机柜的项目。</w:t>
            </w:r>
          </w:p>
          <w:p w14:paraId="43963329">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ascii="仿宋_GB2312" w:hAnsi="黑体"/>
                <w:sz w:val="21"/>
                <w:szCs w:val="21"/>
              </w:rPr>
              <w:t>以上2项，满足任意一项，得2分；全部满足，得4分。</w:t>
            </w:r>
          </w:p>
          <w:p w14:paraId="74357CAA">
            <w:pPr>
              <w:keepNext w:val="0"/>
              <w:keepLines w:val="0"/>
              <w:pageBreakBefore w:val="0"/>
              <w:kinsoku/>
              <w:wordWrap/>
              <w:overflowPunct/>
              <w:topLinePunct w:val="0"/>
              <w:autoSpaceDE/>
              <w:autoSpaceDN/>
              <w:bidi w:val="0"/>
              <w:adjustRightInd/>
              <w:snapToGrid/>
              <w:spacing w:line="276" w:lineRule="auto"/>
              <w:rPr>
                <w:rFonts w:ascii="仿宋_GB2312" w:hAnsi="黑体"/>
                <w:b/>
                <w:bCs/>
                <w:sz w:val="21"/>
                <w:szCs w:val="21"/>
              </w:rPr>
            </w:pPr>
            <w:r>
              <w:rPr>
                <w:rFonts w:ascii="仿宋_GB2312" w:hAnsi="黑体"/>
                <w:b/>
                <w:bCs/>
                <w:sz w:val="21"/>
                <w:szCs w:val="21"/>
              </w:rPr>
              <w:t>评分依据：</w:t>
            </w:r>
          </w:p>
          <w:p w14:paraId="42FC7E9E">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ascii="仿宋_GB2312" w:hAnsi="黑体"/>
                <w:sz w:val="21"/>
                <w:szCs w:val="21"/>
              </w:rPr>
              <w:t>1.要求提供通过投标人缴纳的近三个月（含开标当月）的任意一个月的社保证明作为本单位员工的证明依据，如供应商成立不足一个月或员工入职不足一个月的，提供情况说明函（格式自拟），无需提供相关人员社保，亦可得分。</w:t>
            </w:r>
          </w:p>
          <w:p w14:paraId="6B924CC9">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hint="eastAsia" w:asciiTheme="majorEastAsia" w:hAnsiTheme="majorEastAsia" w:eastAsiaTheme="majorEastAsia" w:cstheme="majorEastAsia"/>
                <w:sz w:val="21"/>
                <w:szCs w:val="21"/>
              </w:rPr>
              <w:t>2.要求提供投标人相关证明资料作为得分依据。涉</w:t>
            </w:r>
            <w:r>
              <w:rPr>
                <w:rFonts w:ascii="仿宋_GB2312" w:hAnsi="黑体"/>
                <w:sz w:val="21"/>
                <w:szCs w:val="21"/>
              </w:rPr>
              <w:t>及学历的，要求提供毕业证书及学信网查询记录。对于较早颁发的学历证书，学信网无法查询的，要求提供证书扫描件和其他佐证材料（如毕业院校、人社部门等颁发机构或监管机构等单位出具的证明）作为得分的依据。海外留学（含港澳台）人员学历无法通过学信网站查询，应当提供“教育部留学服务中心出具的国外学历认证证书以及教育部留学服务中心官网查询截图”作为得分依据。</w:t>
            </w:r>
          </w:p>
          <w:p w14:paraId="6698AF9B">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ascii="仿宋_GB2312" w:hAnsi="黑体"/>
                <w:sz w:val="21"/>
                <w:szCs w:val="21"/>
              </w:rPr>
              <w:t>3.关于考察经验的：</w:t>
            </w:r>
            <w:r>
              <w:rPr>
                <w:rFonts w:hint="eastAsia" w:ascii="仿宋_GB2312" w:hAnsi="黑体" w:cs="Times New Roman"/>
                <w:sz w:val="21"/>
                <w:szCs w:val="21"/>
              </w:rPr>
              <w:t>需提供合同协议书关键信息和竣工验收证明材料，业绩认定时间以竣工验收证明材料上的竣工时间为准。通过合同关键信息无法判断是否得分的，还须同时提供甲方出具的能证明得分的其他证明资料。</w:t>
            </w:r>
          </w:p>
          <w:p w14:paraId="2DDD8494">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ascii="仿宋_GB2312" w:hAnsi="黑体"/>
                <w:sz w:val="21"/>
                <w:szCs w:val="21"/>
              </w:rPr>
              <w:t>4.以上资料均要求提供扫描件或复印件。评分中出现无证明资料或专家无法凭所提供资料判断是否得分的情况，一律作不得分处理。</w:t>
            </w:r>
          </w:p>
          <w:p w14:paraId="2633DC49">
            <w:pPr>
              <w:keepNext w:val="0"/>
              <w:keepLines w:val="0"/>
              <w:pageBreakBefore w:val="0"/>
              <w:kinsoku/>
              <w:wordWrap/>
              <w:overflowPunct/>
              <w:topLinePunct w:val="0"/>
              <w:autoSpaceDE/>
              <w:autoSpaceDN/>
              <w:bidi w:val="0"/>
              <w:adjustRightInd/>
              <w:snapToGrid/>
              <w:spacing w:line="276" w:lineRule="auto"/>
              <w:rPr>
                <w:rFonts w:ascii="宋体" w:hAnsi="宋体"/>
                <w:kern w:val="0"/>
                <w:sz w:val="21"/>
                <w:szCs w:val="21"/>
              </w:rPr>
            </w:pPr>
            <w:r>
              <w:rPr>
                <w:rFonts w:ascii="仿宋_GB2312" w:hAnsi="黑体"/>
                <w:sz w:val="21"/>
                <w:szCs w:val="21"/>
                <w:highlight w:val="yellow"/>
              </w:rPr>
              <w:t>（注：本评分项中，投标人所提供的证明资料项，需加盖投标人公章和法人（或授权代表）签字；未按要求提供的，视为对应资料不满足招标文件评分依据要求，</w:t>
            </w:r>
            <w:r>
              <w:rPr>
                <w:rFonts w:hint="eastAsia" w:ascii="仿宋_GB2312" w:hAnsi="黑体"/>
                <w:sz w:val="21"/>
                <w:szCs w:val="21"/>
                <w:highlight w:val="yellow"/>
              </w:rPr>
              <w:t>对应项</w:t>
            </w:r>
            <w:r>
              <w:rPr>
                <w:rFonts w:ascii="仿宋_GB2312" w:hAnsi="黑体"/>
                <w:sz w:val="21"/>
                <w:szCs w:val="21"/>
                <w:highlight w:val="yellow"/>
              </w:rPr>
              <w:t>作不得分处理。）</w:t>
            </w:r>
          </w:p>
        </w:tc>
      </w:tr>
      <w:tr w14:paraId="4A696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8" w:type="pct"/>
            <w:vMerge w:val="continue"/>
          </w:tcPr>
          <w:p w14:paraId="10698F27">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 xml:space="preserve"> </w:t>
            </w:r>
          </w:p>
        </w:tc>
        <w:tc>
          <w:tcPr>
            <w:tcW w:w="235" w:type="pct"/>
            <w:shd w:val="clear" w:color="auto" w:fill="auto"/>
            <w:vAlign w:val="center"/>
          </w:tcPr>
          <w:p w14:paraId="50D3780D">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6</w:t>
            </w:r>
          </w:p>
        </w:tc>
        <w:tc>
          <w:tcPr>
            <w:tcW w:w="677" w:type="pct"/>
            <w:shd w:val="clear" w:color="auto" w:fill="auto"/>
            <w:vAlign w:val="center"/>
          </w:tcPr>
          <w:p w14:paraId="08BE005C">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拟安排的项目主要团队成员（项目经理除外）情况</w:t>
            </w:r>
          </w:p>
        </w:tc>
        <w:tc>
          <w:tcPr>
            <w:tcW w:w="250" w:type="pct"/>
            <w:shd w:val="clear" w:color="auto" w:fill="auto"/>
            <w:vAlign w:val="center"/>
          </w:tcPr>
          <w:p w14:paraId="3D2004FE">
            <w:pPr>
              <w:keepNext w:val="0"/>
              <w:keepLines w:val="0"/>
              <w:pageBreakBefore w:val="0"/>
              <w:tabs>
                <w:tab w:val="left" w:pos="900"/>
              </w:tabs>
              <w:kinsoku/>
              <w:wordWrap/>
              <w:overflowPunct/>
              <w:topLinePunct w:val="0"/>
              <w:autoSpaceDE/>
              <w:autoSpaceDN/>
              <w:bidi w:val="0"/>
              <w:adjustRightInd/>
              <w:snapToGrid/>
              <w:spacing w:line="276" w:lineRule="auto"/>
              <w:ind w:right="36" w:rightChars="17"/>
              <w:jc w:val="center"/>
              <w:rPr>
                <w:rFonts w:ascii="宋体" w:hAnsi="宋体"/>
                <w:bCs/>
                <w:sz w:val="21"/>
                <w:szCs w:val="21"/>
              </w:rPr>
            </w:pPr>
            <w:r>
              <w:rPr>
                <w:rFonts w:hint="eastAsia" w:ascii="宋体" w:hAnsi="宋体"/>
                <w:bCs/>
                <w:sz w:val="21"/>
                <w:szCs w:val="21"/>
              </w:rPr>
              <w:t>3</w:t>
            </w:r>
          </w:p>
        </w:tc>
        <w:tc>
          <w:tcPr>
            <w:tcW w:w="386" w:type="pct"/>
            <w:shd w:val="clear" w:color="auto" w:fill="auto"/>
            <w:vAlign w:val="center"/>
          </w:tcPr>
          <w:p w14:paraId="2C41E752">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专家打分</w:t>
            </w:r>
          </w:p>
        </w:tc>
        <w:tc>
          <w:tcPr>
            <w:tcW w:w="3181" w:type="pct"/>
            <w:shd w:val="clear" w:color="auto" w:fill="auto"/>
            <w:vAlign w:val="center"/>
          </w:tcPr>
          <w:p w14:paraId="436D1385">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color w:val="000000"/>
                <w:kern w:val="0"/>
                <w:sz w:val="21"/>
                <w:szCs w:val="21"/>
              </w:rPr>
            </w:pPr>
            <w:r>
              <w:rPr>
                <w:rFonts w:hint="eastAsia" w:ascii="宋体" w:hAnsi="宋体"/>
                <w:b/>
                <w:bCs/>
                <w:color w:val="000000"/>
                <w:kern w:val="0"/>
                <w:sz w:val="21"/>
                <w:szCs w:val="21"/>
              </w:rPr>
              <w:t>评审内容：</w:t>
            </w:r>
          </w:p>
          <w:p w14:paraId="22441444">
            <w:pPr>
              <w:keepNext w:val="0"/>
              <w:keepLines w:val="0"/>
              <w:pageBreakBefore w:val="0"/>
              <w:widowControl/>
              <w:kinsoku/>
              <w:wordWrap/>
              <w:overflowPunct/>
              <w:topLinePunct w:val="0"/>
              <w:autoSpaceDE/>
              <w:autoSpaceDN/>
              <w:bidi w:val="0"/>
              <w:adjustRightInd/>
              <w:snapToGrid/>
              <w:spacing w:line="276" w:lineRule="auto"/>
              <w:ind w:right="36" w:rightChars="17"/>
              <w:textAlignment w:val="center"/>
              <w:rPr>
                <w:rStyle w:val="54"/>
                <w:rFonts w:ascii="宋体" w:hAnsi="宋体"/>
                <w:kern w:val="0"/>
                <w:sz w:val="21"/>
                <w:szCs w:val="21"/>
              </w:rPr>
            </w:pPr>
            <w:r>
              <w:rPr>
                <w:rStyle w:val="54"/>
                <w:rFonts w:hint="eastAsia" w:ascii="宋体" w:hAnsi="宋体"/>
                <w:kern w:val="0"/>
                <w:sz w:val="21"/>
                <w:szCs w:val="21"/>
              </w:rPr>
              <w:t>拟安排的项目主要团队成员（项目经理除外）须为投标单位员工，且不少于</w:t>
            </w:r>
            <w:r>
              <w:rPr>
                <w:rStyle w:val="54"/>
                <w:rFonts w:hint="eastAsia" w:ascii="宋体" w:hAnsi="宋体"/>
                <w:kern w:val="0"/>
                <w:sz w:val="21"/>
                <w:szCs w:val="21"/>
                <w:lang w:val="en-US" w:eastAsia="zh-CN"/>
              </w:rPr>
              <w:t>6</w:t>
            </w:r>
            <w:r>
              <w:rPr>
                <w:rStyle w:val="54"/>
                <w:rFonts w:hint="eastAsia" w:ascii="宋体" w:hAnsi="宋体"/>
                <w:kern w:val="0"/>
                <w:sz w:val="21"/>
                <w:szCs w:val="21"/>
              </w:rPr>
              <w:t>人，否则本项不得分，在此基础上：</w:t>
            </w:r>
          </w:p>
          <w:p w14:paraId="63B7EFEE">
            <w:pPr>
              <w:keepNext w:val="0"/>
              <w:keepLines w:val="0"/>
              <w:pageBreakBefore w:val="0"/>
              <w:widowControl/>
              <w:kinsoku/>
              <w:wordWrap/>
              <w:overflowPunct/>
              <w:topLinePunct w:val="0"/>
              <w:autoSpaceDE/>
              <w:autoSpaceDN/>
              <w:bidi w:val="0"/>
              <w:adjustRightInd/>
              <w:snapToGrid/>
              <w:spacing w:line="276" w:lineRule="auto"/>
              <w:ind w:right="36" w:rightChars="17"/>
              <w:textAlignment w:val="center"/>
              <w:rPr>
                <w:rStyle w:val="54"/>
                <w:rFonts w:ascii="宋体" w:hAnsi="宋体"/>
                <w:kern w:val="0"/>
                <w:sz w:val="21"/>
                <w:szCs w:val="21"/>
              </w:rPr>
            </w:pPr>
            <w:r>
              <w:rPr>
                <w:rStyle w:val="54"/>
                <w:rFonts w:hint="eastAsia" w:ascii="宋体" w:hAnsi="宋体"/>
                <w:kern w:val="0"/>
                <w:sz w:val="21"/>
                <w:szCs w:val="21"/>
              </w:rPr>
              <w:t>1、技术负责人1人：</w:t>
            </w:r>
          </w:p>
          <w:p w14:paraId="7D534BA0">
            <w:pPr>
              <w:pStyle w:val="480"/>
              <w:keepNext w:val="0"/>
              <w:keepLines w:val="0"/>
              <w:pageBreakBefore w:val="0"/>
              <w:kinsoku/>
              <w:wordWrap/>
              <w:overflowPunct/>
              <w:topLinePunct w:val="0"/>
              <w:autoSpaceDE/>
              <w:autoSpaceDN/>
              <w:bidi w:val="0"/>
              <w:adjustRightInd/>
              <w:snapToGrid/>
              <w:spacing w:before="6" w:line="276" w:lineRule="auto"/>
              <w:rPr>
                <w:rFonts w:ascii="宋体" w:hAnsi="宋体"/>
                <w:sz w:val="21"/>
                <w:szCs w:val="21"/>
              </w:rPr>
            </w:pPr>
            <w:r>
              <w:rPr>
                <w:rFonts w:hint="eastAsia" w:ascii="宋体" w:hAnsi="宋体"/>
                <w:color w:val="000000"/>
                <w:kern w:val="0"/>
                <w:sz w:val="21"/>
                <w:szCs w:val="21"/>
              </w:rPr>
              <w:t>①</w:t>
            </w:r>
            <w:r>
              <w:rPr>
                <w:rStyle w:val="54"/>
                <w:rFonts w:hint="eastAsia" w:ascii="宋体" w:hAnsi="宋体"/>
                <w:kern w:val="0"/>
                <w:sz w:val="21"/>
                <w:szCs w:val="21"/>
              </w:rPr>
              <w:t>具备机电安装专业高级及以上职称证书</w:t>
            </w:r>
            <w:r>
              <w:rPr>
                <w:rFonts w:hint="eastAsia" w:ascii="宋体" w:hAnsi="宋体"/>
                <w:sz w:val="21"/>
                <w:szCs w:val="21"/>
              </w:rPr>
              <w:t xml:space="preserve">； </w:t>
            </w:r>
          </w:p>
          <w:p w14:paraId="2FAB8515">
            <w:pPr>
              <w:pStyle w:val="480"/>
              <w:keepNext w:val="0"/>
              <w:keepLines w:val="0"/>
              <w:pageBreakBefore w:val="0"/>
              <w:kinsoku/>
              <w:wordWrap/>
              <w:overflowPunct/>
              <w:topLinePunct w:val="0"/>
              <w:autoSpaceDE/>
              <w:autoSpaceDN/>
              <w:bidi w:val="0"/>
              <w:adjustRightInd/>
              <w:snapToGrid/>
              <w:spacing w:before="6" w:line="276" w:lineRule="auto"/>
              <w:rPr>
                <w:rStyle w:val="54"/>
                <w:rFonts w:ascii="宋体"/>
                <w:kern w:val="0"/>
                <w:sz w:val="21"/>
                <w:szCs w:val="21"/>
              </w:rPr>
            </w:pPr>
            <w:r>
              <w:rPr>
                <w:rFonts w:hint="eastAsia" w:ascii="宋体" w:hAnsi="宋体"/>
                <w:color w:val="000000"/>
                <w:kern w:val="0"/>
                <w:sz w:val="21"/>
                <w:szCs w:val="21"/>
              </w:rPr>
              <w:t>②</w:t>
            </w:r>
            <w:r>
              <w:rPr>
                <w:rFonts w:hint="eastAsia" w:ascii="宋体" w:hAnsi="宋体"/>
                <w:sz w:val="21"/>
                <w:szCs w:val="21"/>
              </w:rPr>
              <w:t>2</w:t>
            </w:r>
            <w:r>
              <w:rPr>
                <w:rStyle w:val="54"/>
                <w:rFonts w:hint="eastAsia" w:ascii="宋体" w:hAnsi="宋体"/>
                <w:kern w:val="0"/>
                <w:sz w:val="21"/>
                <w:szCs w:val="21"/>
              </w:rPr>
              <w:t>020年01月01 日起至本项目投标截止时间止具有1个及以上已完成的单个项目在1000个（含）机柜以上的项目(投标单位提供的业绩中，拟派技术负责人需在所提供项目业绩作为项目经理或技术负责人</w:t>
            </w:r>
            <w:r>
              <w:rPr>
                <w:rStyle w:val="54"/>
                <w:rFonts w:hint="eastAsia" w:ascii="宋体"/>
                <w:kern w:val="0"/>
                <w:sz w:val="21"/>
                <w:szCs w:val="21"/>
              </w:rPr>
              <w:t>）</w:t>
            </w:r>
          </w:p>
          <w:p w14:paraId="26C85B52">
            <w:pPr>
              <w:pStyle w:val="480"/>
              <w:keepNext w:val="0"/>
              <w:keepLines w:val="0"/>
              <w:pageBreakBefore w:val="0"/>
              <w:kinsoku/>
              <w:wordWrap/>
              <w:overflowPunct/>
              <w:topLinePunct w:val="0"/>
              <w:autoSpaceDE/>
              <w:autoSpaceDN/>
              <w:bidi w:val="0"/>
              <w:adjustRightInd/>
              <w:snapToGrid/>
              <w:spacing w:before="6" w:line="276" w:lineRule="auto"/>
              <w:rPr>
                <w:rFonts w:ascii="宋体" w:hAnsi="宋体"/>
                <w:sz w:val="21"/>
                <w:szCs w:val="21"/>
              </w:rPr>
            </w:pPr>
            <w:r>
              <w:rPr>
                <w:rStyle w:val="54"/>
                <w:rFonts w:hint="eastAsia" w:ascii="宋体" w:hAnsi="宋体"/>
                <w:kern w:val="0"/>
                <w:sz w:val="21"/>
                <w:szCs w:val="21"/>
              </w:rPr>
              <w:t>注：以上全部满足得0.5分。</w:t>
            </w:r>
          </w:p>
          <w:p w14:paraId="66AAE900">
            <w:pPr>
              <w:keepNext w:val="0"/>
              <w:keepLines w:val="0"/>
              <w:pageBreakBefore w:val="0"/>
              <w:widowControl/>
              <w:kinsoku/>
              <w:wordWrap/>
              <w:overflowPunct/>
              <w:topLinePunct w:val="0"/>
              <w:autoSpaceDE/>
              <w:autoSpaceDN/>
              <w:bidi w:val="0"/>
              <w:adjustRightInd/>
              <w:snapToGrid/>
              <w:spacing w:line="276" w:lineRule="auto"/>
              <w:ind w:right="36" w:rightChars="17"/>
              <w:textAlignment w:val="center"/>
              <w:rPr>
                <w:rStyle w:val="54"/>
                <w:rFonts w:ascii="宋体" w:hAnsi="宋体"/>
                <w:kern w:val="0"/>
                <w:sz w:val="21"/>
                <w:szCs w:val="21"/>
              </w:rPr>
            </w:pPr>
            <w:r>
              <w:rPr>
                <w:rStyle w:val="54"/>
                <w:rFonts w:hint="eastAsia" w:ascii="宋体" w:hAnsi="宋体"/>
                <w:kern w:val="0"/>
                <w:sz w:val="21"/>
                <w:szCs w:val="21"/>
              </w:rPr>
              <w:t>2、其他技术人员</w:t>
            </w:r>
            <w:r>
              <w:rPr>
                <w:rStyle w:val="54"/>
                <w:rFonts w:hint="eastAsia" w:ascii="宋体" w:hAnsi="宋体"/>
                <w:kern w:val="0"/>
                <w:sz w:val="21"/>
                <w:szCs w:val="21"/>
                <w:lang w:val="en-US" w:eastAsia="zh-CN"/>
              </w:rPr>
              <w:t>4</w:t>
            </w:r>
            <w:r>
              <w:rPr>
                <w:rStyle w:val="54"/>
                <w:rFonts w:hint="eastAsia" w:ascii="宋体" w:hAnsi="宋体"/>
                <w:kern w:val="0"/>
                <w:sz w:val="21"/>
                <w:szCs w:val="21"/>
              </w:rPr>
              <w:t>人：</w:t>
            </w:r>
          </w:p>
          <w:p w14:paraId="3114D2B2">
            <w:pPr>
              <w:pStyle w:val="480"/>
              <w:keepNext w:val="0"/>
              <w:keepLines w:val="0"/>
              <w:pageBreakBefore w:val="0"/>
              <w:kinsoku/>
              <w:wordWrap/>
              <w:overflowPunct/>
              <w:topLinePunct w:val="0"/>
              <w:autoSpaceDE/>
              <w:autoSpaceDN/>
              <w:bidi w:val="0"/>
              <w:adjustRightInd/>
              <w:snapToGrid/>
              <w:spacing w:before="6" w:line="276" w:lineRule="auto"/>
              <w:rPr>
                <w:rStyle w:val="54"/>
                <w:rFonts w:hint="eastAsia" w:ascii="宋体" w:hAnsi="宋体" w:eastAsia="宋体" w:cs="Times New Roman"/>
                <w:kern w:val="0"/>
                <w:sz w:val="21"/>
                <w:szCs w:val="21"/>
                <w:lang w:eastAsia="zh-CN"/>
              </w:rPr>
            </w:pPr>
            <w:r>
              <w:rPr>
                <w:rStyle w:val="54"/>
                <w:rFonts w:hint="eastAsia" w:ascii="宋体" w:hAnsi="宋体" w:cs="Times New Roman"/>
                <w:kern w:val="0"/>
                <w:sz w:val="21"/>
                <w:szCs w:val="21"/>
              </w:rPr>
              <w:t>①至少</w:t>
            </w:r>
            <w:r>
              <w:rPr>
                <w:rStyle w:val="54"/>
                <w:rFonts w:hint="eastAsia" w:ascii="宋体" w:hAnsi="宋体" w:cs="Times New Roman"/>
                <w:kern w:val="0"/>
                <w:sz w:val="21"/>
                <w:szCs w:val="21"/>
                <w:lang w:val="en-US" w:eastAsia="zh-CN"/>
              </w:rPr>
              <w:t>1</w:t>
            </w:r>
            <w:r>
              <w:rPr>
                <w:rStyle w:val="54"/>
                <w:rFonts w:hint="eastAsia" w:ascii="宋体" w:hAnsi="宋体" w:cs="Times New Roman"/>
                <w:kern w:val="0"/>
                <w:sz w:val="21"/>
                <w:szCs w:val="21"/>
              </w:rPr>
              <w:t>人具有高级工程师及以上职称（专业：机电或机电工程）、②至少</w:t>
            </w:r>
            <w:r>
              <w:rPr>
                <w:rStyle w:val="54"/>
                <w:rFonts w:ascii="宋体" w:hAnsi="宋体" w:cs="Times New Roman"/>
                <w:kern w:val="0"/>
                <w:sz w:val="21"/>
                <w:szCs w:val="21"/>
              </w:rPr>
              <w:t>3</w:t>
            </w:r>
            <w:r>
              <w:rPr>
                <w:rStyle w:val="54"/>
                <w:rFonts w:hint="eastAsia" w:ascii="宋体" w:hAnsi="宋体" w:cs="Times New Roman"/>
                <w:kern w:val="0"/>
                <w:sz w:val="21"/>
                <w:szCs w:val="21"/>
              </w:rPr>
              <w:t>人具有中级工程师职称（专业：电气或电气工程）。同一人不可重复计分</w:t>
            </w:r>
            <w:r>
              <w:rPr>
                <w:rStyle w:val="54"/>
                <w:rFonts w:hint="eastAsia" w:ascii="宋体" w:hAnsi="宋体" w:cs="Times New Roman"/>
                <w:kern w:val="0"/>
                <w:sz w:val="21"/>
                <w:szCs w:val="21"/>
                <w:lang w:eastAsia="zh-CN"/>
              </w:rPr>
              <w:t>。</w:t>
            </w:r>
          </w:p>
          <w:p w14:paraId="0AA692D4">
            <w:pPr>
              <w:pStyle w:val="480"/>
              <w:keepNext w:val="0"/>
              <w:keepLines w:val="0"/>
              <w:pageBreakBefore w:val="0"/>
              <w:kinsoku/>
              <w:wordWrap/>
              <w:overflowPunct/>
              <w:topLinePunct w:val="0"/>
              <w:autoSpaceDE/>
              <w:autoSpaceDN/>
              <w:bidi w:val="0"/>
              <w:adjustRightInd/>
              <w:snapToGrid/>
              <w:spacing w:before="6" w:line="276" w:lineRule="auto"/>
              <w:rPr>
                <w:rStyle w:val="54"/>
                <w:rFonts w:ascii="宋体" w:hAnsi="宋体" w:cs="Times New Roman"/>
                <w:kern w:val="0"/>
                <w:sz w:val="21"/>
                <w:szCs w:val="21"/>
              </w:rPr>
            </w:pPr>
            <w:r>
              <w:rPr>
                <w:rStyle w:val="54"/>
                <w:rFonts w:hint="eastAsia" w:ascii="宋体" w:hAnsi="宋体" w:cs="Times New Roman"/>
                <w:kern w:val="0"/>
                <w:sz w:val="21"/>
                <w:szCs w:val="21"/>
              </w:rPr>
              <w:t>注：以上全部满足得0.5分。</w:t>
            </w:r>
          </w:p>
          <w:p w14:paraId="72BBE158">
            <w:pPr>
              <w:pStyle w:val="480"/>
              <w:keepNext w:val="0"/>
              <w:keepLines w:val="0"/>
              <w:pageBreakBefore w:val="0"/>
              <w:kinsoku/>
              <w:wordWrap/>
              <w:overflowPunct/>
              <w:topLinePunct w:val="0"/>
              <w:autoSpaceDE/>
              <w:autoSpaceDN/>
              <w:bidi w:val="0"/>
              <w:adjustRightInd/>
              <w:snapToGrid/>
              <w:spacing w:before="6" w:line="276" w:lineRule="auto"/>
              <w:rPr>
                <w:rStyle w:val="54"/>
                <w:rFonts w:ascii="宋体" w:hAnsi="宋体" w:cs="Times New Roman"/>
                <w:kern w:val="0"/>
                <w:sz w:val="21"/>
                <w:szCs w:val="21"/>
              </w:rPr>
            </w:pPr>
            <w:r>
              <w:rPr>
                <w:rStyle w:val="54"/>
                <w:rFonts w:hint="eastAsia" w:ascii="宋体" w:hAnsi="宋体" w:cs="Times New Roman"/>
                <w:kern w:val="0"/>
                <w:sz w:val="21"/>
                <w:szCs w:val="21"/>
              </w:rPr>
              <w:t>3、运行维护项目经理1人：</w:t>
            </w:r>
          </w:p>
          <w:p w14:paraId="121C030A">
            <w:pPr>
              <w:pStyle w:val="480"/>
              <w:keepNext w:val="0"/>
              <w:keepLines w:val="0"/>
              <w:pageBreakBefore w:val="0"/>
              <w:numPr>
                <w:ilvl w:val="255"/>
                <w:numId w:val="0"/>
              </w:numPr>
              <w:kinsoku/>
              <w:wordWrap/>
              <w:overflowPunct/>
              <w:topLinePunct w:val="0"/>
              <w:autoSpaceDE/>
              <w:autoSpaceDN/>
              <w:bidi w:val="0"/>
              <w:adjustRightInd/>
              <w:snapToGrid/>
              <w:spacing w:before="6" w:line="276" w:lineRule="auto"/>
              <w:rPr>
                <w:rStyle w:val="54"/>
                <w:rFonts w:ascii="宋体" w:hAnsi="宋体" w:cs="Times New Roman"/>
                <w:kern w:val="0"/>
                <w:sz w:val="21"/>
                <w:szCs w:val="21"/>
              </w:rPr>
            </w:pPr>
            <w:r>
              <w:rPr>
                <w:rStyle w:val="54"/>
                <w:rFonts w:hint="eastAsia" w:ascii="宋体" w:hAnsi="宋体" w:cs="Times New Roman"/>
                <w:kern w:val="0"/>
                <w:sz w:val="21"/>
                <w:szCs w:val="21"/>
              </w:rPr>
              <w:t>针对本项目可提供运行维护相关资源、技术及商务支撑，具备以下证书：</w:t>
            </w:r>
          </w:p>
          <w:p w14:paraId="67E8D9A1">
            <w:pPr>
              <w:pStyle w:val="480"/>
              <w:keepNext w:val="0"/>
              <w:keepLines w:val="0"/>
              <w:pageBreakBefore w:val="0"/>
              <w:kinsoku/>
              <w:wordWrap/>
              <w:overflowPunct/>
              <w:topLinePunct w:val="0"/>
              <w:autoSpaceDE/>
              <w:autoSpaceDN/>
              <w:bidi w:val="0"/>
              <w:adjustRightInd/>
              <w:snapToGrid/>
              <w:spacing w:before="6" w:line="276" w:lineRule="auto"/>
              <w:rPr>
                <w:rStyle w:val="54"/>
                <w:rFonts w:ascii="宋体" w:hAnsi="宋体" w:cs="Times New Roman"/>
                <w:kern w:val="0"/>
                <w:sz w:val="21"/>
                <w:szCs w:val="21"/>
              </w:rPr>
            </w:pPr>
            <w:r>
              <w:rPr>
                <w:rStyle w:val="54"/>
                <w:rFonts w:hint="eastAsia" w:ascii="宋体" w:hAnsi="宋体" w:cs="Times New Roman"/>
                <w:kern w:val="0"/>
                <w:sz w:val="21"/>
                <w:szCs w:val="21"/>
              </w:rPr>
              <w:t>拟派运行维护项目经理需同时具备PMP认证证书及ITIL认证证书，同时提供得2分，其他情况不得分。</w:t>
            </w:r>
          </w:p>
          <w:p w14:paraId="4E6DFD56">
            <w:pPr>
              <w:pStyle w:val="480"/>
              <w:keepNext w:val="0"/>
              <w:keepLines w:val="0"/>
              <w:pageBreakBefore w:val="0"/>
              <w:kinsoku/>
              <w:wordWrap/>
              <w:overflowPunct/>
              <w:topLinePunct w:val="0"/>
              <w:autoSpaceDE/>
              <w:autoSpaceDN/>
              <w:bidi w:val="0"/>
              <w:adjustRightInd/>
              <w:snapToGrid/>
              <w:spacing w:before="6" w:line="276" w:lineRule="auto"/>
              <w:rPr>
                <w:rStyle w:val="54"/>
                <w:rFonts w:ascii="宋体" w:hAnsi="宋体" w:cs="Times New Roman"/>
                <w:b/>
                <w:bCs/>
                <w:kern w:val="0"/>
                <w:sz w:val="21"/>
                <w:szCs w:val="21"/>
              </w:rPr>
            </w:pPr>
            <w:r>
              <w:rPr>
                <w:rStyle w:val="54"/>
                <w:rFonts w:hint="eastAsia" w:ascii="宋体" w:hAnsi="宋体" w:cs="Times New Roman"/>
                <w:b/>
                <w:bCs/>
                <w:kern w:val="0"/>
                <w:sz w:val="21"/>
                <w:szCs w:val="21"/>
              </w:rPr>
              <w:t>评分依据：</w:t>
            </w:r>
          </w:p>
          <w:p w14:paraId="70A915CF">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ascii="仿宋_GB2312" w:hAnsi="黑体"/>
                <w:sz w:val="21"/>
                <w:szCs w:val="21"/>
              </w:rPr>
              <w:t>1.要求提供通过投标人缴纳的近三个月（含开标当月）的任意一个月的社保证明作为本单位员工的证明依据，如供应商成立不足一个月或员工入职不足一个月的，提供情况说明函（格式自拟），无需提供相关人员社保，亦可得分。</w:t>
            </w:r>
          </w:p>
          <w:p w14:paraId="679A97BC">
            <w:pPr>
              <w:keepNext w:val="0"/>
              <w:keepLines w:val="0"/>
              <w:pageBreakBefore w:val="0"/>
              <w:kinsoku/>
              <w:wordWrap/>
              <w:overflowPunct/>
              <w:topLinePunct w:val="0"/>
              <w:autoSpaceDE/>
              <w:autoSpaceDN/>
              <w:bidi w:val="0"/>
              <w:adjustRightInd/>
              <w:snapToGrid/>
              <w:spacing w:line="276" w:lineRule="auto"/>
              <w:rPr>
                <w:rFonts w:hint="eastAsia" w:ascii="宋体" w:hAnsi="宋体" w:eastAsia="宋体" w:cs="宋体"/>
                <w:sz w:val="21"/>
                <w:szCs w:val="21"/>
                <w:lang w:eastAsia="zh-CN"/>
              </w:rPr>
            </w:pPr>
            <w:r>
              <w:rPr>
                <w:rFonts w:hint="eastAsia" w:ascii="宋体" w:hAnsi="宋体" w:eastAsia="宋体" w:cs="宋体"/>
                <w:sz w:val="21"/>
                <w:szCs w:val="21"/>
              </w:rPr>
              <w:t>2.要求提供投标人相关证明资料作为得分依据</w:t>
            </w:r>
            <w:r>
              <w:rPr>
                <w:rFonts w:hint="eastAsia" w:ascii="宋体" w:hAnsi="宋体" w:eastAsia="宋体" w:cs="宋体"/>
                <w:sz w:val="21"/>
                <w:szCs w:val="21"/>
                <w:lang w:eastAsia="zh-CN"/>
              </w:rPr>
              <w:t>。</w:t>
            </w:r>
          </w:p>
          <w:p w14:paraId="69AD28EB">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ascii="仿宋_GB2312" w:hAnsi="黑体"/>
                <w:sz w:val="21"/>
                <w:szCs w:val="21"/>
              </w:rPr>
              <w:t>3.</w:t>
            </w:r>
            <w:r>
              <w:rPr>
                <w:rFonts w:hint="eastAsia" w:ascii="仿宋_GB2312" w:hAnsi="黑体"/>
                <w:sz w:val="21"/>
                <w:szCs w:val="21"/>
              </w:rPr>
              <w:t>职称证书需同时提供证书在全国人力资源和社会保障政务服务平台（https://12333.gov.cn/）查询截图或人社部门(或职称评审管理部门)出具的证明材料（或官网查询截图）；</w:t>
            </w:r>
          </w:p>
          <w:p w14:paraId="673B568E">
            <w:pPr>
              <w:keepNext w:val="0"/>
              <w:keepLines w:val="0"/>
              <w:pageBreakBefore w:val="0"/>
              <w:kinsoku/>
              <w:wordWrap/>
              <w:overflowPunct/>
              <w:topLinePunct w:val="0"/>
              <w:autoSpaceDE/>
              <w:autoSpaceDN/>
              <w:bidi w:val="0"/>
              <w:adjustRightInd/>
              <w:snapToGrid/>
              <w:spacing w:line="276" w:lineRule="auto"/>
              <w:rPr>
                <w:rFonts w:hint="eastAsia" w:ascii="仿宋_GB2312" w:hAnsi="黑体" w:cs="Times New Roman"/>
                <w:sz w:val="21"/>
                <w:szCs w:val="21"/>
              </w:rPr>
            </w:pPr>
            <w:r>
              <w:rPr>
                <w:rFonts w:hint="eastAsia" w:ascii="仿宋_GB2312" w:hAnsi="黑体"/>
                <w:sz w:val="21"/>
                <w:szCs w:val="21"/>
                <w:lang w:val="en-US" w:eastAsia="zh-CN"/>
              </w:rPr>
              <w:t>4.</w:t>
            </w:r>
            <w:r>
              <w:rPr>
                <w:rFonts w:ascii="仿宋_GB2312" w:hAnsi="黑体"/>
                <w:sz w:val="21"/>
                <w:szCs w:val="21"/>
              </w:rPr>
              <w:t>关于考察经验的：</w:t>
            </w:r>
            <w:r>
              <w:rPr>
                <w:rFonts w:hint="eastAsia" w:ascii="仿宋_GB2312" w:hAnsi="黑体" w:cs="Times New Roman"/>
                <w:sz w:val="21"/>
                <w:szCs w:val="21"/>
              </w:rPr>
              <w:t>需提供合同协议书关键信息和竣工验收证明材料，业绩认定时间以竣工验收证明材料上的竣工时间为准。通过合同关键信息无法判断是否得分的，还须同时提供甲方出具的能证明得分的其他证明资料。</w:t>
            </w:r>
          </w:p>
          <w:p w14:paraId="6A1E78B7">
            <w:pPr>
              <w:keepNext w:val="0"/>
              <w:keepLines w:val="0"/>
              <w:pageBreakBefore w:val="0"/>
              <w:kinsoku/>
              <w:wordWrap/>
              <w:overflowPunct/>
              <w:topLinePunct w:val="0"/>
              <w:autoSpaceDE/>
              <w:autoSpaceDN/>
              <w:bidi w:val="0"/>
              <w:adjustRightInd/>
              <w:snapToGrid/>
              <w:spacing w:line="276" w:lineRule="auto"/>
              <w:rPr>
                <w:rFonts w:ascii="仿宋_GB2312" w:hAnsi="黑体"/>
                <w:sz w:val="21"/>
                <w:szCs w:val="21"/>
              </w:rPr>
            </w:pPr>
            <w:r>
              <w:rPr>
                <w:rFonts w:ascii="仿宋_GB2312" w:hAnsi="黑体"/>
                <w:sz w:val="21"/>
                <w:szCs w:val="21"/>
              </w:rPr>
              <w:t>4.以上资料均要求提供扫描件或复印件。评分中出现无证明资料或专家无法凭所提供资料判断是否得分的情况，一律作不得分处理。</w:t>
            </w:r>
          </w:p>
          <w:p w14:paraId="218DF88F">
            <w:pPr>
              <w:pStyle w:val="480"/>
              <w:keepNext w:val="0"/>
              <w:keepLines w:val="0"/>
              <w:pageBreakBefore w:val="0"/>
              <w:kinsoku/>
              <w:wordWrap/>
              <w:overflowPunct/>
              <w:topLinePunct w:val="0"/>
              <w:autoSpaceDE/>
              <w:autoSpaceDN/>
              <w:bidi w:val="0"/>
              <w:adjustRightInd/>
              <w:snapToGrid/>
              <w:spacing w:before="6" w:line="276" w:lineRule="auto"/>
              <w:rPr>
                <w:rFonts w:ascii="宋体" w:hAnsi="宋体"/>
                <w:bCs/>
                <w:sz w:val="21"/>
                <w:szCs w:val="21"/>
              </w:rPr>
            </w:pPr>
            <w:r>
              <w:rPr>
                <w:rFonts w:ascii="仿宋_GB2312" w:hAnsi="黑体"/>
                <w:sz w:val="21"/>
                <w:szCs w:val="21"/>
                <w:highlight w:val="yellow"/>
              </w:rPr>
              <w:t>（注：本评分项中，投标人所提供的证明资料项，需加盖投标人公章和法人（或授权代表）签字；未按要求提供的，视为对应资料不满足招标文件评分依据要求，</w:t>
            </w:r>
            <w:r>
              <w:rPr>
                <w:rFonts w:hint="eastAsia" w:ascii="仿宋_GB2312" w:hAnsi="黑体"/>
                <w:sz w:val="21"/>
                <w:szCs w:val="21"/>
                <w:highlight w:val="yellow"/>
              </w:rPr>
              <w:t>对应项</w:t>
            </w:r>
            <w:r>
              <w:rPr>
                <w:rFonts w:ascii="仿宋_GB2312" w:hAnsi="黑体"/>
                <w:sz w:val="21"/>
                <w:szCs w:val="21"/>
                <w:highlight w:val="yellow"/>
              </w:rPr>
              <w:t>作不得分处理。）</w:t>
            </w:r>
          </w:p>
        </w:tc>
      </w:tr>
      <w:tr w14:paraId="4F11A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8" w:type="pct"/>
            <w:vMerge w:val="continue"/>
          </w:tcPr>
          <w:p w14:paraId="055C8A6D">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p>
        </w:tc>
        <w:tc>
          <w:tcPr>
            <w:tcW w:w="235" w:type="pct"/>
            <w:shd w:val="clear" w:color="auto" w:fill="auto"/>
            <w:vAlign w:val="center"/>
          </w:tcPr>
          <w:p w14:paraId="626029B8">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
                <w:bCs/>
                <w:sz w:val="21"/>
                <w:szCs w:val="21"/>
              </w:rPr>
            </w:pPr>
            <w:r>
              <w:rPr>
                <w:rFonts w:hint="eastAsia" w:ascii="宋体" w:hAnsi="宋体"/>
                <w:b/>
                <w:bCs/>
                <w:sz w:val="21"/>
                <w:szCs w:val="21"/>
              </w:rPr>
              <w:t>7</w:t>
            </w:r>
          </w:p>
        </w:tc>
        <w:tc>
          <w:tcPr>
            <w:tcW w:w="677" w:type="pct"/>
            <w:shd w:val="clear" w:color="auto" w:fill="auto"/>
            <w:vAlign w:val="center"/>
          </w:tcPr>
          <w:p w14:paraId="2B7F9A86">
            <w:pPr>
              <w:keepNext w:val="0"/>
              <w:keepLines w:val="0"/>
              <w:pageBreakBefore w:val="0"/>
              <w:tabs>
                <w:tab w:val="left" w:pos="900"/>
              </w:tabs>
              <w:kinsoku/>
              <w:wordWrap/>
              <w:overflowPunct/>
              <w:topLinePunct w:val="0"/>
              <w:autoSpaceDE/>
              <w:autoSpaceDN/>
              <w:bidi w:val="0"/>
              <w:adjustRightInd/>
              <w:snapToGrid/>
              <w:spacing w:line="276" w:lineRule="auto"/>
              <w:ind w:right="36" w:rightChars="17"/>
              <w:rPr>
                <w:rFonts w:ascii="宋体" w:hAnsi="宋体"/>
                <w:bCs/>
                <w:sz w:val="21"/>
                <w:szCs w:val="21"/>
              </w:rPr>
            </w:pPr>
            <w:r>
              <w:rPr>
                <w:rFonts w:hint="eastAsia" w:ascii="宋体" w:hAnsi="宋体"/>
                <w:bCs/>
                <w:sz w:val="21"/>
                <w:szCs w:val="21"/>
              </w:rPr>
              <w:t>环保执行情况</w:t>
            </w:r>
          </w:p>
        </w:tc>
        <w:tc>
          <w:tcPr>
            <w:tcW w:w="250" w:type="pct"/>
            <w:shd w:val="clear" w:color="auto" w:fill="auto"/>
            <w:vAlign w:val="center"/>
          </w:tcPr>
          <w:p w14:paraId="529D1724">
            <w:pPr>
              <w:keepNext w:val="0"/>
              <w:keepLines w:val="0"/>
              <w:pageBreakBefore w:val="0"/>
              <w:widowControl/>
              <w:kinsoku/>
              <w:wordWrap/>
              <w:overflowPunct/>
              <w:topLinePunct w:val="0"/>
              <w:autoSpaceDE/>
              <w:autoSpaceDN/>
              <w:bidi w:val="0"/>
              <w:adjustRightInd/>
              <w:snapToGrid/>
              <w:spacing w:line="276" w:lineRule="auto"/>
              <w:jc w:val="center"/>
              <w:textAlignment w:val="center"/>
              <w:rPr>
                <w:rFonts w:ascii="宋体" w:hAnsi="宋体"/>
                <w:bCs/>
                <w:sz w:val="21"/>
                <w:szCs w:val="21"/>
              </w:rPr>
            </w:pPr>
            <w:r>
              <w:rPr>
                <w:rFonts w:hint="eastAsia" w:ascii="宋体" w:hAnsi="宋体"/>
                <w:bCs/>
                <w:sz w:val="21"/>
                <w:szCs w:val="21"/>
              </w:rPr>
              <w:t>1</w:t>
            </w:r>
          </w:p>
        </w:tc>
        <w:tc>
          <w:tcPr>
            <w:tcW w:w="386" w:type="pct"/>
            <w:shd w:val="clear" w:color="auto" w:fill="auto"/>
            <w:vAlign w:val="center"/>
          </w:tcPr>
          <w:p w14:paraId="54664A4B">
            <w:pPr>
              <w:keepNext w:val="0"/>
              <w:keepLines w:val="0"/>
              <w:pageBreakBefore w:val="0"/>
              <w:widowControl/>
              <w:kinsoku/>
              <w:wordWrap/>
              <w:overflowPunct/>
              <w:topLinePunct w:val="0"/>
              <w:autoSpaceDE/>
              <w:autoSpaceDN/>
              <w:bidi w:val="0"/>
              <w:adjustRightInd/>
              <w:snapToGrid/>
              <w:spacing w:line="276" w:lineRule="auto"/>
              <w:jc w:val="center"/>
              <w:textAlignment w:val="center"/>
              <w:rPr>
                <w:rFonts w:ascii="宋体" w:hAnsi="宋体"/>
                <w:color w:val="000000"/>
                <w:kern w:val="0"/>
                <w:sz w:val="21"/>
                <w:szCs w:val="21"/>
              </w:rPr>
            </w:pPr>
            <w:r>
              <w:rPr>
                <w:rFonts w:hint="eastAsia" w:ascii="宋体" w:hAnsi="宋体"/>
                <w:color w:val="000000"/>
                <w:kern w:val="0"/>
                <w:sz w:val="21"/>
                <w:szCs w:val="21"/>
              </w:rPr>
              <w:t>专家打分</w:t>
            </w:r>
          </w:p>
        </w:tc>
        <w:tc>
          <w:tcPr>
            <w:tcW w:w="3181" w:type="pct"/>
            <w:shd w:val="clear" w:color="auto" w:fill="auto"/>
            <w:vAlign w:val="center"/>
          </w:tcPr>
          <w:p w14:paraId="0EAA50B4">
            <w:pPr>
              <w:keepNext w:val="0"/>
              <w:keepLines w:val="0"/>
              <w:pageBreakBefore w:val="0"/>
              <w:kinsoku/>
              <w:wordWrap/>
              <w:overflowPunct/>
              <w:topLinePunct w:val="0"/>
              <w:autoSpaceDE/>
              <w:autoSpaceDN/>
              <w:bidi w:val="0"/>
              <w:adjustRightInd/>
              <w:snapToGrid/>
              <w:spacing w:line="276" w:lineRule="auto"/>
              <w:ind w:right="36" w:rightChars="17"/>
              <w:rPr>
                <w:rFonts w:ascii="宋体" w:hAnsi="宋体"/>
                <w:b/>
                <w:bCs/>
                <w:color w:val="000000"/>
                <w:kern w:val="0"/>
                <w:sz w:val="21"/>
                <w:szCs w:val="21"/>
              </w:rPr>
            </w:pPr>
            <w:r>
              <w:rPr>
                <w:rFonts w:hint="eastAsia" w:ascii="宋体" w:hAnsi="宋体"/>
                <w:b/>
                <w:bCs/>
                <w:color w:val="000000"/>
                <w:kern w:val="0"/>
                <w:sz w:val="21"/>
                <w:szCs w:val="21"/>
              </w:rPr>
              <w:t>评审内容：</w:t>
            </w:r>
          </w:p>
          <w:p w14:paraId="2CD4E458">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hint="eastAsia" w:ascii="宋体" w:hAnsi="宋体"/>
                <w:color w:val="000000"/>
                <w:kern w:val="0"/>
                <w:sz w:val="21"/>
                <w:szCs w:val="21"/>
              </w:rPr>
              <w:t>要求投标人就是否受过环保主管部门行政处罚作为得分依据;以投标人在投标文件中提供的承诺作为依据;采取客观化评分;受过行政处罚不得分。</w:t>
            </w:r>
          </w:p>
          <w:p w14:paraId="65E2DB72">
            <w:pPr>
              <w:keepNext w:val="0"/>
              <w:keepLines w:val="0"/>
              <w:pageBreakBefore w:val="0"/>
              <w:numPr>
                <w:ilvl w:val="255"/>
                <w:numId w:val="0"/>
              </w:numPr>
              <w:kinsoku/>
              <w:wordWrap/>
              <w:overflowPunct/>
              <w:topLinePunct w:val="0"/>
              <w:autoSpaceDE/>
              <w:autoSpaceDN/>
              <w:bidi w:val="0"/>
              <w:adjustRightInd/>
              <w:snapToGrid/>
              <w:spacing w:line="276" w:lineRule="auto"/>
              <w:textAlignment w:val="center"/>
              <w:rPr>
                <w:rFonts w:ascii="宋体" w:hAnsi="宋体"/>
                <w:b/>
                <w:color w:val="000000"/>
                <w:kern w:val="0"/>
                <w:sz w:val="21"/>
                <w:szCs w:val="21"/>
              </w:rPr>
            </w:pPr>
            <w:r>
              <w:rPr>
                <w:rFonts w:hint="eastAsia" w:ascii="宋体" w:hAnsi="宋体"/>
                <w:b/>
                <w:color w:val="000000"/>
                <w:kern w:val="0"/>
                <w:sz w:val="21"/>
                <w:szCs w:val="21"/>
              </w:rPr>
              <w:t>评分依据:</w:t>
            </w:r>
          </w:p>
          <w:p w14:paraId="30FAF799">
            <w:pPr>
              <w:keepNext w:val="0"/>
              <w:keepLines w:val="0"/>
              <w:pageBreakBefore w:val="0"/>
              <w:numPr>
                <w:ilvl w:val="0"/>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ascii="宋体" w:hAnsi="宋体" w:eastAsia="宋体" w:cs="宋体"/>
                <w:color w:val="000000"/>
                <w:kern w:val="0"/>
                <w:sz w:val="21"/>
                <w:szCs w:val="21"/>
                <w:lang w:val="en-US" w:eastAsia="zh-CN" w:bidi="ar-SA"/>
              </w:rPr>
              <w:t>1.</w:t>
            </w:r>
            <w:r>
              <w:rPr>
                <w:rFonts w:hint="eastAsia" w:ascii="宋体" w:hAnsi="宋体"/>
                <w:color w:val="000000"/>
                <w:kern w:val="0"/>
                <w:sz w:val="21"/>
                <w:szCs w:val="21"/>
              </w:rPr>
              <w:t>提供承诺(格式自拟，</w:t>
            </w:r>
            <w:r>
              <w:rPr>
                <w:rStyle w:val="54"/>
                <w:rFonts w:hint="eastAsia" w:ascii="宋体" w:hAnsi="宋体" w:cs="Times New Roman"/>
                <w:kern w:val="0"/>
                <w:sz w:val="21"/>
                <w:szCs w:val="21"/>
              </w:rPr>
              <w:t>需法人签字并加盖公章。</w:t>
            </w:r>
            <w:r>
              <w:rPr>
                <w:rFonts w:hint="eastAsia" w:ascii="宋体" w:hAnsi="宋体"/>
                <w:color w:val="000000"/>
                <w:kern w:val="0"/>
                <w:sz w:val="21"/>
                <w:szCs w:val="21"/>
              </w:rPr>
              <w:t>);</w:t>
            </w:r>
          </w:p>
          <w:p w14:paraId="68F5310F">
            <w:pPr>
              <w:keepNext w:val="0"/>
              <w:keepLines w:val="0"/>
              <w:pageBreakBefore w:val="0"/>
              <w:numPr>
                <w:ilvl w:val="0"/>
                <w:numId w:val="0"/>
              </w:numPr>
              <w:kinsoku/>
              <w:wordWrap/>
              <w:overflowPunct/>
              <w:topLinePunct w:val="0"/>
              <w:autoSpaceDE/>
              <w:autoSpaceDN/>
              <w:bidi w:val="0"/>
              <w:adjustRightInd/>
              <w:snapToGrid/>
              <w:spacing w:line="276" w:lineRule="auto"/>
              <w:textAlignment w:val="center"/>
              <w:rPr>
                <w:rFonts w:ascii="宋体" w:hAnsi="宋体"/>
                <w:color w:val="000000"/>
                <w:kern w:val="0"/>
                <w:sz w:val="21"/>
                <w:szCs w:val="21"/>
              </w:rPr>
            </w:pPr>
            <w:r>
              <w:rPr>
                <w:rFonts w:ascii="宋体" w:hAnsi="宋体" w:eastAsia="宋体" w:cs="宋体"/>
                <w:color w:val="000000"/>
                <w:kern w:val="0"/>
                <w:sz w:val="21"/>
                <w:szCs w:val="21"/>
                <w:lang w:val="en-US" w:eastAsia="zh-CN" w:bidi="ar-SA"/>
              </w:rPr>
              <w:t>2.</w:t>
            </w:r>
            <w:r>
              <w:rPr>
                <w:rFonts w:hint="eastAsia" w:ascii="宋体" w:hAnsi="宋体"/>
                <w:color w:val="000000"/>
                <w:kern w:val="0"/>
                <w:sz w:val="21"/>
                <w:szCs w:val="21"/>
              </w:rPr>
              <w:t>若隐瞒情况虚假应标将导致投标无效并报主管部门处理。</w:t>
            </w:r>
          </w:p>
        </w:tc>
      </w:tr>
    </w:tbl>
    <w:p w14:paraId="079ECA29"/>
    <w:p w14:paraId="446B079F"/>
    <w:p w14:paraId="6BEF9817">
      <w:pPr>
        <w:sectPr>
          <w:footerReference r:id="rId3" w:type="default"/>
          <w:footerReference r:id="rId4" w:type="even"/>
          <w:pgSz w:w="11907" w:h="16840"/>
          <w:pgMar w:top="1440" w:right="1418" w:bottom="1440" w:left="1418" w:header="851" w:footer="992" w:gutter="0"/>
          <w:cols w:space="425" w:num="1"/>
          <w:titlePg/>
          <w:docGrid w:linePitch="462" w:charSpace="0"/>
        </w:sectPr>
      </w:pPr>
    </w:p>
    <w:p w14:paraId="44982B6F"/>
    <w:p w14:paraId="4DCFD2AA"/>
    <w:p w14:paraId="3A0DEF9B">
      <w:pPr>
        <w:rPr>
          <w:b/>
          <w:sz w:val="84"/>
          <w:szCs w:val="84"/>
        </w:rPr>
      </w:pPr>
    </w:p>
    <w:p w14:paraId="39283D62">
      <w:pPr>
        <w:jc w:val="center"/>
        <w:rPr>
          <w:b/>
          <w:sz w:val="120"/>
          <w:szCs w:val="120"/>
        </w:rPr>
      </w:pPr>
      <w:r>
        <w:rPr>
          <w:rFonts w:hint="eastAsia"/>
          <w:b/>
          <w:sz w:val="120"/>
          <w:szCs w:val="120"/>
        </w:rPr>
        <w:t>政府采购</w:t>
      </w:r>
    </w:p>
    <w:p w14:paraId="44701C74">
      <w:pPr>
        <w:jc w:val="center"/>
        <w:rPr>
          <w:b/>
          <w:sz w:val="120"/>
          <w:szCs w:val="120"/>
        </w:rPr>
      </w:pPr>
      <w:r>
        <w:rPr>
          <w:rFonts w:hint="eastAsia"/>
          <w:b/>
          <w:sz w:val="120"/>
          <w:szCs w:val="120"/>
        </w:rPr>
        <w:t>招标文件</w:t>
      </w:r>
    </w:p>
    <w:p w14:paraId="3A5E44DC">
      <w:pPr>
        <w:jc w:val="center"/>
        <w:rPr>
          <w:b/>
          <w:sz w:val="52"/>
          <w:szCs w:val="52"/>
        </w:rPr>
      </w:pPr>
      <w:r>
        <w:rPr>
          <w:rFonts w:hint="eastAsia"/>
          <w:b/>
          <w:sz w:val="52"/>
          <w:szCs w:val="52"/>
        </w:rPr>
        <w:t>（货物类）</w:t>
      </w:r>
    </w:p>
    <w:p w14:paraId="20558EA3"/>
    <w:p w14:paraId="22C14DDF"/>
    <w:p w14:paraId="2B04CA48"/>
    <w:p w14:paraId="20132E6F"/>
    <w:p w14:paraId="0F37DAC9"/>
    <w:p w14:paraId="20EEB24F"/>
    <w:p w14:paraId="11A08A60"/>
    <w:p w14:paraId="171F34D8"/>
    <w:p w14:paraId="632B86EC"/>
    <w:p w14:paraId="71CB3EC7"/>
    <w:p w14:paraId="7E76AD2F"/>
    <w:p w14:paraId="0619DC87"/>
    <w:p w14:paraId="664EECE1"/>
    <w:p w14:paraId="6F3AAA34"/>
    <w:p w14:paraId="3E6D871F"/>
    <w:p w14:paraId="7DC8D200"/>
    <w:p w14:paraId="5DF016D0"/>
    <w:p w14:paraId="631529E3">
      <w:pPr>
        <w:jc w:val="center"/>
        <w:rPr>
          <w:b/>
          <w:sz w:val="44"/>
          <w:szCs w:val="44"/>
        </w:rPr>
      </w:pPr>
      <w:bookmarkStart w:id="2" w:name="_Hlk71465316"/>
      <w:r>
        <w:rPr>
          <w:rFonts w:hint="eastAsia"/>
          <w:b/>
          <w:sz w:val="44"/>
          <w:szCs w:val="44"/>
        </w:rPr>
        <w:t>深圳公共资源交易中心</w:t>
      </w:r>
    </w:p>
    <w:bookmarkEnd w:id="2"/>
    <w:p w14:paraId="2D157F91">
      <w:pPr>
        <w:jc w:val="center"/>
        <w:rPr>
          <w:b/>
          <w:sz w:val="44"/>
          <w:szCs w:val="44"/>
        </w:rPr>
      </w:pPr>
      <w:r>
        <w:rPr>
          <w:rFonts w:hint="eastAsia"/>
          <w:b/>
          <w:sz w:val="44"/>
          <w:szCs w:val="44"/>
        </w:rPr>
        <w:t>（2025年）</w:t>
      </w:r>
    </w:p>
    <w:p w14:paraId="5C91F607">
      <w:pPr>
        <w:ind w:firstLine="435"/>
        <w:jc w:val="left"/>
      </w:pPr>
    </w:p>
    <w:p w14:paraId="0D21B741">
      <w:pPr>
        <w:widowControl/>
        <w:jc w:val="left"/>
      </w:pPr>
      <w:r>
        <w:br w:type="page"/>
      </w:r>
    </w:p>
    <w:p w14:paraId="2448BDC3">
      <w:pPr>
        <w:pStyle w:val="4"/>
      </w:pPr>
      <w:bookmarkStart w:id="3" w:name="_Hlk72218009"/>
      <w:r>
        <w:rPr>
          <w:rFonts w:hint="eastAsia"/>
        </w:rPr>
        <w:t>目   录</w:t>
      </w:r>
    </w:p>
    <w:p w14:paraId="5834C802">
      <w:pPr>
        <w:outlineLvl w:val="0"/>
        <w:rPr>
          <w:b/>
          <w:sz w:val="24"/>
        </w:rPr>
      </w:pPr>
      <w:r>
        <w:rPr>
          <w:rFonts w:hint="eastAsia"/>
          <w:b/>
          <w:sz w:val="24"/>
        </w:rPr>
        <w:t>第一册  专用条款</w:t>
      </w:r>
    </w:p>
    <w:p w14:paraId="53010C01">
      <w:pPr>
        <w:rPr>
          <w:sz w:val="24"/>
        </w:rPr>
      </w:pPr>
      <w:r>
        <w:rPr>
          <w:rFonts w:hint="eastAsia"/>
          <w:sz w:val="24"/>
        </w:rPr>
        <w:t xml:space="preserve">          关键信息</w:t>
      </w:r>
    </w:p>
    <w:p w14:paraId="1D1F70B1">
      <w:pPr>
        <w:ind w:left="630" w:leftChars="300" w:firstLine="630" w:firstLineChars="300"/>
        <w:outlineLvl w:val="0"/>
        <w:rPr>
          <w:rFonts w:ascii="宋体" w:hAnsi="宋体"/>
          <w:szCs w:val="21"/>
        </w:rPr>
      </w:pPr>
      <w:r>
        <w:rPr>
          <w:rFonts w:hint="eastAsia" w:ascii="宋体" w:hAnsi="宋体"/>
          <w:szCs w:val="21"/>
        </w:rPr>
        <w:t>第一章  招标公告</w:t>
      </w:r>
    </w:p>
    <w:p w14:paraId="1881539C">
      <w:pPr>
        <w:ind w:left="630" w:leftChars="300" w:firstLine="630" w:firstLineChars="300"/>
        <w:outlineLvl w:val="0"/>
        <w:rPr>
          <w:rFonts w:ascii="宋体" w:hAnsi="宋体"/>
          <w:szCs w:val="21"/>
        </w:rPr>
      </w:pPr>
      <w:r>
        <w:rPr>
          <w:rFonts w:hint="eastAsia" w:ascii="宋体" w:hAnsi="宋体"/>
          <w:szCs w:val="21"/>
        </w:rPr>
        <w:t xml:space="preserve">第二章  </w:t>
      </w:r>
      <w:bookmarkStart w:id="4" w:name="_Hlk71994379"/>
      <w:r>
        <w:rPr>
          <w:rFonts w:hint="eastAsia" w:ascii="宋体" w:hAnsi="宋体"/>
          <w:szCs w:val="21"/>
        </w:rPr>
        <w:t>对通用条款的补充内容及其他关键信息</w:t>
      </w:r>
      <w:bookmarkEnd w:id="4"/>
    </w:p>
    <w:p w14:paraId="6EA106B8">
      <w:pPr>
        <w:ind w:left="630" w:leftChars="300" w:firstLine="630" w:firstLineChars="300"/>
        <w:outlineLvl w:val="0"/>
        <w:rPr>
          <w:rFonts w:ascii="宋体" w:hAnsi="宋体"/>
          <w:szCs w:val="21"/>
        </w:rPr>
      </w:pPr>
      <w:r>
        <w:rPr>
          <w:rFonts w:hint="eastAsia" w:ascii="宋体" w:hAnsi="宋体"/>
          <w:szCs w:val="21"/>
        </w:rPr>
        <w:t>第三章  用户需求书</w:t>
      </w:r>
    </w:p>
    <w:p w14:paraId="6DDB1392">
      <w:pPr>
        <w:ind w:left="630" w:leftChars="300" w:firstLine="630" w:firstLineChars="300"/>
        <w:outlineLvl w:val="0"/>
        <w:rPr>
          <w:rFonts w:ascii="宋体" w:hAnsi="宋体"/>
          <w:szCs w:val="21"/>
        </w:rPr>
      </w:pPr>
      <w:r>
        <w:rPr>
          <w:rFonts w:hint="eastAsia" w:ascii="宋体" w:hAnsi="宋体"/>
          <w:szCs w:val="21"/>
        </w:rPr>
        <w:t>第四章  投标文件组成要求及格式</w:t>
      </w:r>
    </w:p>
    <w:p w14:paraId="60A15D2C">
      <w:pPr>
        <w:ind w:left="630" w:leftChars="300" w:firstLine="630" w:firstLineChars="300"/>
        <w:outlineLvl w:val="0"/>
        <w:rPr>
          <w:rFonts w:ascii="宋体" w:hAnsi="宋体"/>
          <w:szCs w:val="21"/>
        </w:rPr>
      </w:pPr>
      <w:r>
        <w:rPr>
          <w:rFonts w:hint="eastAsia" w:ascii="宋体" w:hAnsi="宋体"/>
          <w:szCs w:val="21"/>
        </w:rPr>
        <w:t>第五章  合同条款及格式</w:t>
      </w:r>
    </w:p>
    <w:p w14:paraId="026AB417">
      <w:pPr>
        <w:rPr>
          <w:b/>
          <w:sz w:val="24"/>
        </w:rPr>
      </w:pPr>
    </w:p>
    <w:p w14:paraId="7FE04F50">
      <w:pPr>
        <w:outlineLvl w:val="0"/>
        <w:rPr>
          <w:b/>
          <w:sz w:val="24"/>
        </w:rPr>
      </w:pPr>
      <w:r>
        <w:rPr>
          <w:rFonts w:hint="eastAsia"/>
          <w:b/>
          <w:sz w:val="24"/>
        </w:rPr>
        <w:t>第二册  通用条款</w:t>
      </w:r>
    </w:p>
    <w:p w14:paraId="7E680971">
      <w:pPr>
        <w:ind w:left="630" w:leftChars="300" w:firstLine="411" w:firstLineChars="196"/>
        <w:outlineLvl w:val="0"/>
        <w:rPr>
          <w:rFonts w:ascii="宋体" w:hAnsi="宋体"/>
          <w:szCs w:val="21"/>
        </w:rPr>
      </w:pPr>
      <w:r>
        <w:rPr>
          <w:rFonts w:hint="eastAsia" w:ascii="宋体" w:hAnsi="宋体"/>
          <w:szCs w:val="21"/>
        </w:rPr>
        <w:t>第一章  总则</w:t>
      </w:r>
    </w:p>
    <w:p w14:paraId="029373F5">
      <w:pPr>
        <w:ind w:left="630" w:leftChars="300" w:firstLine="411" w:firstLineChars="196"/>
        <w:outlineLvl w:val="0"/>
        <w:rPr>
          <w:rFonts w:ascii="宋体" w:hAnsi="宋体"/>
          <w:szCs w:val="21"/>
        </w:rPr>
      </w:pPr>
      <w:r>
        <w:rPr>
          <w:rFonts w:hint="eastAsia" w:ascii="宋体" w:hAnsi="宋体"/>
          <w:szCs w:val="21"/>
        </w:rPr>
        <w:t>第二章  招标文件</w:t>
      </w:r>
    </w:p>
    <w:p w14:paraId="4DBCE5C8">
      <w:pPr>
        <w:ind w:left="630" w:leftChars="300" w:firstLine="411" w:firstLineChars="196"/>
        <w:outlineLvl w:val="0"/>
        <w:rPr>
          <w:rFonts w:ascii="宋体" w:hAnsi="宋体"/>
          <w:szCs w:val="21"/>
        </w:rPr>
      </w:pPr>
      <w:r>
        <w:rPr>
          <w:rFonts w:hint="eastAsia" w:ascii="宋体" w:hAnsi="宋体"/>
          <w:szCs w:val="21"/>
        </w:rPr>
        <w:t>第三章  投标文件的编制</w:t>
      </w:r>
    </w:p>
    <w:p w14:paraId="6DB067FA">
      <w:pPr>
        <w:ind w:left="630" w:leftChars="300" w:firstLine="411" w:firstLineChars="196"/>
        <w:outlineLvl w:val="0"/>
        <w:rPr>
          <w:rFonts w:ascii="宋体" w:hAnsi="宋体"/>
          <w:szCs w:val="21"/>
        </w:rPr>
      </w:pPr>
      <w:r>
        <w:rPr>
          <w:rFonts w:hint="eastAsia" w:ascii="宋体" w:hAnsi="宋体"/>
          <w:szCs w:val="21"/>
        </w:rPr>
        <w:t>第四章  投标文件的递交</w:t>
      </w:r>
    </w:p>
    <w:p w14:paraId="38C1B3C9">
      <w:pPr>
        <w:ind w:left="630" w:leftChars="300" w:firstLine="411" w:firstLineChars="196"/>
        <w:outlineLvl w:val="0"/>
        <w:rPr>
          <w:rFonts w:ascii="宋体" w:hAnsi="宋体"/>
          <w:szCs w:val="21"/>
        </w:rPr>
      </w:pPr>
      <w:r>
        <w:rPr>
          <w:rFonts w:hint="eastAsia" w:ascii="宋体" w:hAnsi="宋体"/>
          <w:szCs w:val="21"/>
        </w:rPr>
        <w:t>第五章  开标</w:t>
      </w:r>
    </w:p>
    <w:p w14:paraId="3115241C">
      <w:pPr>
        <w:ind w:left="630" w:leftChars="300" w:firstLine="411" w:firstLineChars="196"/>
        <w:outlineLvl w:val="0"/>
        <w:rPr>
          <w:rFonts w:ascii="宋体" w:hAnsi="宋体"/>
          <w:szCs w:val="21"/>
        </w:rPr>
      </w:pPr>
      <w:r>
        <w:rPr>
          <w:rFonts w:hint="eastAsia" w:ascii="宋体" w:hAnsi="宋体"/>
          <w:szCs w:val="21"/>
        </w:rPr>
        <w:t>第六章  评审要求</w:t>
      </w:r>
    </w:p>
    <w:p w14:paraId="1ACB834B">
      <w:pPr>
        <w:ind w:left="630" w:leftChars="300" w:firstLine="411" w:firstLineChars="196"/>
        <w:outlineLvl w:val="0"/>
        <w:rPr>
          <w:rFonts w:ascii="宋体" w:hAnsi="宋体"/>
          <w:szCs w:val="21"/>
        </w:rPr>
      </w:pPr>
      <w:r>
        <w:rPr>
          <w:rFonts w:hint="eastAsia" w:ascii="宋体" w:hAnsi="宋体"/>
          <w:szCs w:val="21"/>
        </w:rPr>
        <w:t>第七章  评审程序及评审方法</w:t>
      </w:r>
    </w:p>
    <w:p w14:paraId="732A2980">
      <w:pPr>
        <w:ind w:left="630" w:leftChars="300" w:firstLine="411" w:firstLineChars="196"/>
        <w:outlineLvl w:val="0"/>
        <w:rPr>
          <w:rFonts w:ascii="宋体" w:hAnsi="宋体"/>
          <w:szCs w:val="21"/>
        </w:rPr>
      </w:pPr>
      <w:r>
        <w:rPr>
          <w:rFonts w:hint="eastAsia" w:ascii="宋体" w:hAnsi="宋体"/>
          <w:szCs w:val="21"/>
        </w:rPr>
        <w:t>第八章  定标及公示</w:t>
      </w:r>
    </w:p>
    <w:p w14:paraId="30563B93">
      <w:pPr>
        <w:ind w:left="630" w:leftChars="300" w:firstLine="411" w:firstLineChars="196"/>
        <w:outlineLvl w:val="0"/>
        <w:rPr>
          <w:rFonts w:ascii="宋体" w:hAnsi="宋体"/>
          <w:szCs w:val="21"/>
        </w:rPr>
      </w:pPr>
      <w:r>
        <w:rPr>
          <w:rFonts w:hint="eastAsia" w:ascii="宋体" w:hAnsi="宋体"/>
          <w:szCs w:val="21"/>
        </w:rPr>
        <w:t>第九章  公开招标失败的后续处理</w:t>
      </w:r>
    </w:p>
    <w:p w14:paraId="7079F080">
      <w:pPr>
        <w:ind w:left="630" w:leftChars="300" w:firstLine="411" w:firstLineChars="196"/>
        <w:outlineLvl w:val="0"/>
        <w:rPr>
          <w:rFonts w:ascii="宋体" w:hAnsi="宋体"/>
          <w:szCs w:val="21"/>
        </w:rPr>
      </w:pPr>
      <w:r>
        <w:rPr>
          <w:rFonts w:hint="eastAsia" w:ascii="宋体" w:hAnsi="宋体"/>
          <w:szCs w:val="21"/>
        </w:rPr>
        <w:t>第十章  合同的授予与备案</w:t>
      </w:r>
    </w:p>
    <w:p w14:paraId="194DB519">
      <w:pPr>
        <w:ind w:left="630" w:leftChars="300" w:firstLine="411" w:firstLineChars="196"/>
        <w:outlineLvl w:val="0"/>
        <w:rPr>
          <w:rFonts w:ascii="宋体" w:hAnsi="宋体"/>
          <w:szCs w:val="21"/>
        </w:rPr>
      </w:pPr>
      <w:r>
        <w:rPr>
          <w:rFonts w:hint="eastAsia" w:ascii="宋体" w:hAnsi="宋体"/>
          <w:szCs w:val="21"/>
        </w:rPr>
        <w:t>第十一章  质疑处理</w:t>
      </w:r>
    </w:p>
    <w:bookmarkEnd w:id="3"/>
    <w:p w14:paraId="21E35CA9">
      <w:pPr>
        <w:widowControl/>
        <w:jc w:val="left"/>
        <w:rPr>
          <w:rFonts w:ascii="宋体" w:hAnsi="宋体" w:eastAsia="黑体"/>
          <w:b/>
          <w:bCs/>
          <w:kern w:val="44"/>
          <w:sz w:val="28"/>
          <w:szCs w:val="44"/>
        </w:rPr>
      </w:pPr>
      <w:bookmarkStart w:id="5" w:name="bt合同条款及格式"/>
      <w:bookmarkEnd w:id="5"/>
      <w:bookmarkStart w:id="6" w:name="bt项目管理班子配备情况"/>
      <w:bookmarkEnd w:id="6"/>
      <w:bookmarkStart w:id="7" w:name="bt开标一览表"/>
      <w:bookmarkEnd w:id="7"/>
      <w:bookmarkStart w:id="8" w:name="bt投标报价汇总表"/>
      <w:bookmarkEnd w:id="8"/>
      <w:bookmarkStart w:id="9" w:name="bt投标文件签署授权委托书"/>
      <w:bookmarkEnd w:id="9"/>
      <w:bookmarkStart w:id="10" w:name="bt合同格式"/>
      <w:bookmarkEnd w:id="10"/>
      <w:bookmarkStart w:id="11" w:name="bt其他资料由投标人自定"/>
      <w:bookmarkEnd w:id="11"/>
      <w:bookmarkStart w:id="12" w:name="bt投标人须知"/>
      <w:bookmarkEnd w:id="12"/>
      <w:bookmarkStart w:id="13" w:name="bt说明"/>
      <w:bookmarkEnd w:id="13"/>
      <w:bookmarkStart w:id="14" w:name="合同格式"/>
      <w:bookmarkEnd w:id="14"/>
      <w:bookmarkStart w:id="15" w:name="bt商务标投标文件格式"/>
      <w:bookmarkEnd w:id="15"/>
      <w:bookmarkStart w:id="16" w:name="bt投标函"/>
      <w:bookmarkEnd w:id="16"/>
      <w:bookmarkStart w:id="17" w:name="bt合同条款"/>
      <w:bookmarkEnd w:id="17"/>
      <w:bookmarkStart w:id="18" w:name="bt本工程承诺书"/>
      <w:bookmarkEnd w:id="18"/>
      <w:bookmarkStart w:id="19" w:name="bt其他资料2"/>
      <w:bookmarkEnd w:id="19"/>
      <w:bookmarkStart w:id="20" w:name="bt投标人情况介绍"/>
      <w:bookmarkEnd w:id="20"/>
      <w:bookmarkStart w:id="21" w:name="bt技术标投标文件格式"/>
      <w:bookmarkEnd w:id="21"/>
      <w:r>
        <w:br w:type="page"/>
      </w:r>
    </w:p>
    <w:p w14:paraId="6200A258">
      <w:pPr>
        <w:pStyle w:val="4"/>
        <w:rPr>
          <w:color w:val="FF0000"/>
          <w:sz w:val="24"/>
        </w:rPr>
      </w:pPr>
      <w:r>
        <w:rPr>
          <w:rFonts w:hint="eastAsia"/>
        </w:rPr>
        <w:t>第一册  专用条款</w:t>
      </w:r>
    </w:p>
    <w:p w14:paraId="58EE8049">
      <w:pPr>
        <w:pStyle w:val="7"/>
        <w:rPr>
          <w:sz w:val="28"/>
          <w:szCs w:val="28"/>
        </w:rPr>
      </w:pPr>
      <w:r>
        <w:rPr>
          <w:rFonts w:hint="eastAsia"/>
          <w:sz w:val="28"/>
          <w:szCs w:val="28"/>
        </w:rPr>
        <w:t>第一章  招标公告</w:t>
      </w:r>
    </w:p>
    <w:p w14:paraId="7E7305B9">
      <w:pPr>
        <w:spacing w:line="360" w:lineRule="auto"/>
        <w:rPr>
          <w:rFonts w:ascii="宋体" w:hAnsi="宋体" w:cs="宋体"/>
          <w:kern w:val="0"/>
          <w:sz w:val="18"/>
          <w:szCs w:val="18"/>
        </w:rPr>
      </w:pPr>
      <w:r>
        <w:rPr>
          <w:rFonts w:hint="eastAsia" w:ascii="宋体" w:hAnsi="宋体" w:cs="宋体"/>
          <w:b/>
          <w:bCs/>
          <w:kern w:val="0"/>
          <w:szCs w:val="21"/>
        </w:rPr>
        <w:t>申请人的资格要求</w:t>
      </w:r>
    </w:p>
    <w:p w14:paraId="0C5CF067">
      <w:pPr>
        <w:ind w:firstLine="420" w:firstLineChars="200"/>
        <w:rPr>
          <w:rFonts w:ascii="宋体" w:hAnsi="宋体" w:cs="宋体"/>
          <w:szCs w:val="21"/>
        </w:rPr>
      </w:pPr>
      <w:r>
        <w:rPr>
          <w:rFonts w:hint="eastAsia" w:ascii="宋体" w:hAnsi="宋体" w:cs="宋体"/>
          <w:szCs w:val="21"/>
        </w:rPr>
        <w:t>1.满足《中华人民共和国政府采购法》第二十二条规定；</w:t>
      </w:r>
    </w:p>
    <w:p w14:paraId="20B7F341">
      <w:pPr>
        <w:ind w:firstLine="420" w:firstLineChars="200"/>
        <w:rPr>
          <w:rFonts w:ascii="宋体" w:hAnsi="宋体" w:cs="宋体"/>
          <w:szCs w:val="21"/>
        </w:rPr>
      </w:pPr>
      <w:r>
        <w:rPr>
          <w:rFonts w:hint="eastAsia" w:ascii="宋体" w:hAnsi="宋体" w:cs="宋体"/>
          <w:szCs w:val="21"/>
        </w:rPr>
        <w:t>2.落实政府采购政策需满足的资格要求：本项目是（否）专门面向中小企业采购：否。</w:t>
      </w:r>
    </w:p>
    <w:p w14:paraId="7CC617E7">
      <w:pPr>
        <w:ind w:firstLine="420" w:firstLineChars="200"/>
        <w:rPr>
          <w:rFonts w:ascii="宋体" w:hAnsi="宋体" w:cs="宋体"/>
          <w:szCs w:val="21"/>
        </w:rPr>
      </w:pPr>
      <w:r>
        <w:rPr>
          <w:rFonts w:hint="eastAsia" w:ascii="宋体" w:hAnsi="宋体" w:cs="宋体"/>
          <w:szCs w:val="21"/>
        </w:rPr>
        <w:t>3.本项目的特定资格要求：</w:t>
      </w:r>
    </w:p>
    <w:p w14:paraId="05AAF5C7">
      <w:pPr>
        <w:ind w:firstLine="420" w:firstLineChars="200"/>
        <w:rPr>
          <w:rFonts w:ascii="宋体" w:hAnsi="宋体" w:cs="宋体"/>
          <w:szCs w:val="21"/>
        </w:rPr>
      </w:pPr>
      <w:r>
        <w:rPr>
          <w:rFonts w:hint="eastAsia" w:ascii="宋体" w:hAnsi="宋体" w:cs="宋体"/>
          <w:szCs w:val="21"/>
        </w:rPr>
        <w:t>（1）</w:t>
      </w:r>
      <w:r>
        <w:rPr>
          <w:rFonts w:hint="eastAsia" w:ascii="宋体" w:hAnsi="宋体"/>
          <w:kern w:val="0"/>
        </w:rPr>
        <w:t>具有独立法人资格或是具有独立承担民事责任能力的其它组织（提供营业执照或事业单位法人证书等证明资料扫描件，原件备查；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hint="eastAsia" w:ascii="宋体" w:hAnsi="宋体" w:cs="宋体"/>
          <w:szCs w:val="21"/>
        </w:rPr>
        <w:t>；</w:t>
      </w:r>
    </w:p>
    <w:p w14:paraId="746A0D53">
      <w:pPr>
        <w:ind w:firstLine="420" w:firstLineChars="200"/>
        <w:rPr>
          <w:rFonts w:ascii="宋体" w:hAnsi="宋体" w:cs="宋体"/>
          <w:szCs w:val="21"/>
        </w:rPr>
      </w:pPr>
      <w:r>
        <w:rPr>
          <w:rFonts w:hint="eastAsia" w:ascii="宋体" w:hAnsi="宋体" w:cs="宋体"/>
          <w:szCs w:val="21"/>
        </w:rPr>
        <w:t>（2）</w:t>
      </w:r>
      <w:r>
        <w:rPr>
          <w:rFonts w:hint="eastAsia" w:ascii="宋体" w:hAnsi="宋体"/>
          <w:color w:val="FF0000"/>
          <w:kern w:val="0"/>
        </w:rPr>
        <w:t>本项目不接受联合体投标，不允许分包、转包（由供应商在《政府采购投标及履约承诺函》中作出声明），是否接受投标人选用进口产品参与投标详见招标文件“货物需求明细”表；</w:t>
      </w:r>
    </w:p>
    <w:p w14:paraId="17D40EAB">
      <w:pPr>
        <w:ind w:firstLine="420" w:firstLineChars="200"/>
        <w:rPr>
          <w:rFonts w:ascii="宋体" w:hAnsi="宋体"/>
          <w:kern w:val="0"/>
        </w:rPr>
      </w:pPr>
      <w:r>
        <w:rPr>
          <w:rFonts w:hint="eastAsia" w:ascii="宋体" w:hAnsi="宋体" w:cs="宋体"/>
          <w:szCs w:val="21"/>
        </w:rPr>
        <w:t>（3）</w:t>
      </w:r>
      <w:r>
        <w:rPr>
          <w:rFonts w:hint="eastAsia" w:ascii="宋体" w:hAnsi="宋体"/>
          <w:kern w:val="0"/>
        </w:rPr>
        <w:t>参与本项目政府采购活动时不存在被有关部门禁止参与政府采购活动且在有效期内的情况（由供应商在《政府采购投标及履约承诺函》中作出声明）；</w:t>
      </w:r>
    </w:p>
    <w:p w14:paraId="3EFF0AB5">
      <w:pPr>
        <w:ind w:firstLine="420" w:firstLineChars="200"/>
        <w:rPr>
          <w:rFonts w:ascii="宋体" w:hAnsi="宋体"/>
          <w:kern w:val="0"/>
        </w:rPr>
      </w:pPr>
      <w:r>
        <w:rPr>
          <w:rFonts w:hint="eastAsia" w:ascii="宋体" w:hAnsi="宋体"/>
          <w:kern w:val="0"/>
        </w:rPr>
        <w:t>（4）具备《中华人民共和国政府采购法》第二十二条的条件（由供应商在《政府采购投标及履约承诺函》中作出声明）；</w:t>
      </w:r>
    </w:p>
    <w:p w14:paraId="082C1B99">
      <w:pPr>
        <w:ind w:firstLine="420" w:firstLineChars="200"/>
        <w:rPr>
          <w:rFonts w:ascii="宋体" w:hAnsi="宋体"/>
          <w:kern w:val="0"/>
        </w:rPr>
      </w:pPr>
      <w:r>
        <w:rPr>
          <w:rFonts w:hint="eastAsia" w:ascii="宋体" w:hAnsi="宋体"/>
          <w:kern w:val="0"/>
        </w:rPr>
        <w:t>（5）未被列入失信被执行人、重大税收违法案件当事人名单（重大税收违法失信主体）、政府采购严重违法失信行为记录名单（由供应商在《政府采购投标及履约承诺函》中作出声明）；</w:t>
      </w:r>
    </w:p>
    <w:p w14:paraId="6B224B6A">
      <w:pPr>
        <w:ind w:firstLine="420" w:firstLineChars="200"/>
        <w:rPr>
          <w:rFonts w:hint="eastAsia" w:ascii="宋体" w:hAnsi="宋体"/>
          <w:kern w:val="0"/>
        </w:rPr>
      </w:pPr>
      <w:r>
        <w:rPr>
          <w:rFonts w:hint="eastAsia" w:ascii="宋体" w:hAnsi="宋体"/>
          <w:kern w:val="0"/>
        </w:rPr>
        <w:t>（6）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由供应商在《政府采购投标及履约承诺函》中作出声明）；</w:t>
      </w:r>
    </w:p>
    <w:p w14:paraId="77AE42A3">
      <w:pPr>
        <w:ind w:firstLine="420" w:firstLineChars="200"/>
        <w:rPr>
          <w:rFonts w:hint="eastAsia" w:ascii="宋体" w:hAnsi="宋体" w:eastAsia="宋体"/>
          <w:kern w:val="0"/>
          <w:lang w:eastAsia="zh-CN"/>
        </w:rPr>
      </w:pPr>
      <w:r>
        <w:rPr>
          <w:rFonts w:hint="eastAsia" w:ascii="宋体" w:hAnsi="宋体"/>
          <w:kern w:val="0"/>
        </w:rPr>
        <w:t>（7）</w:t>
      </w:r>
      <w:r>
        <w:rPr>
          <w:rFonts w:hint="eastAsia" w:ascii="宋体" w:hAnsi="宋体"/>
          <w:b/>
          <w:bCs/>
          <w:color w:val="FF0000"/>
          <w:kern w:val="0"/>
        </w:rPr>
        <w:t>投标人必须具有电子与智能化工程专业承包一级资质和建筑机电安装工程专业承包一级资质（</w:t>
      </w:r>
      <w:r>
        <w:rPr>
          <w:rFonts w:hint="eastAsia" w:ascii="宋体" w:hAnsi="宋体"/>
          <w:b/>
          <w:bCs/>
          <w:color w:val="FF0000"/>
          <w:kern w:val="0"/>
          <w:szCs w:val="21"/>
          <w:shd w:val="clear" w:color="auto" w:fill="FFFFFF"/>
        </w:rPr>
        <w:t>投标时须提供资质证书扫描件</w:t>
      </w:r>
      <w:r>
        <w:rPr>
          <w:rFonts w:hint="eastAsia" w:ascii="宋体" w:hAnsi="宋体"/>
          <w:b/>
          <w:bCs/>
          <w:color w:val="FF0000"/>
          <w:kern w:val="0"/>
        </w:rPr>
        <w:t>）</w:t>
      </w:r>
    </w:p>
    <w:p w14:paraId="08ACFC5F">
      <w:pPr>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8</w:t>
      </w:r>
      <w:r>
        <w:rPr>
          <w:rFonts w:hint="eastAsia" w:ascii="宋体" w:hAnsi="宋体" w:cs="宋体"/>
          <w:szCs w:val="21"/>
        </w:rPr>
        <w:t>）按招标公告要求领取招标文件的；</w:t>
      </w:r>
    </w:p>
    <w:p w14:paraId="6620836F">
      <w:pPr>
        <w:ind w:firstLine="420" w:firstLineChars="200"/>
        <w:rPr>
          <w:rFonts w:ascii="宋体" w:hAnsi="宋体" w:cs="宋体"/>
          <w:szCs w:val="21"/>
        </w:rPr>
      </w:pPr>
    </w:p>
    <w:p w14:paraId="19BD193B">
      <w:pPr>
        <w:ind w:firstLine="420" w:firstLineChars="200"/>
        <w:rPr>
          <w:rFonts w:ascii="宋体" w:hAnsi="宋体" w:cs="宋体"/>
          <w:szCs w:val="21"/>
        </w:rPr>
      </w:pPr>
      <w:r>
        <w:rPr>
          <w:rFonts w:hint="eastAsia" w:ascii="宋体" w:hAnsi="宋体" w:cs="宋体"/>
          <w:szCs w:val="21"/>
        </w:rPr>
        <w:t>注：“信用中国”、“中国政府采购网”为供应商信用信息的查询渠道，相关信息以开标当日的查询结果为准；</w:t>
      </w:r>
    </w:p>
    <w:p w14:paraId="067AEEF0">
      <w:pPr>
        <w:pStyle w:val="7"/>
        <w:jc w:val="left"/>
        <w:rPr>
          <w:rFonts w:hint="eastAsia" w:ascii="Times New Roman" w:hAnsi="Times New Roman"/>
          <w:sz w:val="22"/>
          <w:szCs w:val="18"/>
        </w:rPr>
      </w:pPr>
      <w:r>
        <w:rPr>
          <w:rFonts w:hint="eastAsia"/>
          <w:sz w:val="22"/>
          <w:szCs w:val="18"/>
        </w:rPr>
        <w:t>完整公告内容详见：</w:t>
      </w:r>
      <w:r>
        <w:rPr>
          <w:rFonts w:hint="eastAsia"/>
          <w:sz w:val="22"/>
          <w:szCs w:val="18"/>
          <w:lang w:val="en-US" w:eastAsia="zh-CN"/>
        </w:rPr>
        <w:t>深圳交易集团官网（https://www.szexgrp.com/static/index.html）</w:t>
      </w:r>
      <w:r>
        <w:rPr>
          <w:rFonts w:hint="eastAsia" w:ascii="Times New Roman" w:hAnsi="Times New Roman"/>
          <w:sz w:val="22"/>
          <w:szCs w:val="18"/>
        </w:rPr>
        <w:t>中国政府采购网（http://www.ccgp.gov.cn/）</w:t>
      </w:r>
    </w:p>
    <w:p w14:paraId="52396BE2">
      <w:pPr>
        <w:pStyle w:val="6"/>
        <w:rPr>
          <w:rFonts w:hint="default" w:eastAsia="黑体"/>
          <w:highlight w:val="yellow"/>
          <w:lang w:val="en-US" w:eastAsia="zh-CN"/>
        </w:rPr>
      </w:pPr>
      <w:r>
        <w:rPr>
          <w:rFonts w:hint="eastAsia" w:ascii="Times New Roman" w:hAnsi="Times New Roman"/>
          <w:sz w:val="22"/>
          <w:szCs w:val="18"/>
          <w:highlight w:val="yellow"/>
          <w:lang w:val="en-US" w:eastAsia="zh-CN"/>
        </w:rPr>
        <w:t>本项目组织踏勘，详见本项目发布的招标公告。</w:t>
      </w:r>
    </w:p>
    <w:p w14:paraId="0896F3BC">
      <w:pPr>
        <w:widowControl/>
        <w:jc w:val="left"/>
        <w:rPr>
          <w:rFonts w:ascii="宋体" w:hAnsi="宋体"/>
          <w:b/>
          <w:bCs/>
          <w:kern w:val="0"/>
          <w:sz w:val="28"/>
          <w:szCs w:val="28"/>
        </w:rPr>
      </w:pPr>
      <w:r>
        <w:rPr>
          <w:sz w:val="28"/>
          <w:szCs w:val="28"/>
        </w:rPr>
        <w:br w:type="page"/>
      </w:r>
    </w:p>
    <w:p w14:paraId="79D01805">
      <w:pPr>
        <w:pStyle w:val="7"/>
        <w:rPr>
          <w:sz w:val="28"/>
          <w:szCs w:val="28"/>
        </w:rPr>
      </w:pPr>
      <w:r>
        <w:rPr>
          <w:rFonts w:hint="eastAsia"/>
          <w:sz w:val="28"/>
          <w:szCs w:val="28"/>
        </w:rPr>
        <w:t xml:space="preserve">第二章 </w:t>
      </w:r>
      <w:bookmarkStart w:id="22" w:name="_Hlk71926094"/>
      <w:r>
        <w:rPr>
          <w:rFonts w:hint="eastAsia"/>
          <w:sz w:val="28"/>
          <w:szCs w:val="28"/>
        </w:rPr>
        <w:t>对通用条款的补充内容及其他关键信息</w:t>
      </w:r>
      <w:bookmarkEnd w:id="22"/>
    </w:p>
    <w:p w14:paraId="5F9A4A85">
      <w:pPr>
        <w:pStyle w:val="7"/>
        <w:spacing w:before="156" w:beforeLines="50" w:after="156" w:afterLines="50"/>
        <w:rPr>
          <w:szCs w:val="24"/>
        </w:rPr>
      </w:pPr>
      <w:bookmarkStart w:id="23" w:name="_Toc101074876"/>
      <w:bookmarkStart w:id="24" w:name="_Toc73518117"/>
      <w:bookmarkStart w:id="25" w:name="_Toc73521635"/>
      <w:bookmarkStart w:id="26" w:name="_Toc60560625"/>
      <w:bookmarkStart w:id="27" w:name="_Toc73517639"/>
      <w:bookmarkStart w:id="28" w:name="_Toc100052364"/>
      <w:bookmarkStart w:id="29" w:name="_Toc73521547"/>
      <w:bookmarkStart w:id="30" w:name="_Toc60631620"/>
      <w:r>
        <w:rPr>
          <w:rFonts w:hint="eastAsia"/>
          <w:szCs w:val="24"/>
        </w:rPr>
        <w:t>一、对通用条款的补充内容</w:t>
      </w:r>
    </w:p>
    <w:bookmarkEnd w:id="23"/>
    <w:bookmarkEnd w:id="24"/>
    <w:bookmarkEnd w:id="25"/>
    <w:bookmarkEnd w:id="26"/>
    <w:bookmarkEnd w:id="27"/>
    <w:bookmarkEnd w:id="28"/>
    <w:bookmarkEnd w:id="29"/>
    <w:bookmarkEnd w:id="30"/>
    <w:tbl>
      <w:tblPr>
        <w:tblStyle w:val="45"/>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978"/>
        <w:gridCol w:w="2409"/>
        <w:gridCol w:w="4980"/>
      </w:tblGrid>
      <w:tr w14:paraId="7EB526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FCEF364">
            <w:pPr>
              <w:jc w:val="center"/>
              <w:rPr>
                <w:rFonts w:ascii="宋体" w:hAnsi="宋体"/>
                <w:b/>
                <w:bCs/>
              </w:rPr>
            </w:pPr>
            <w:bookmarkStart w:id="31" w:name="_Hlk72218097"/>
            <w:r>
              <w:rPr>
                <w:rFonts w:hint="eastAsia" w:ascii="宋体" w:hAnsi="宋体"/>
                <w:b/>
                <w:bCs/>
              </w:rPr>
              <w:t>通用条款序号</w:t>
            </w:r>
          </w:p>
        </w:tc>
        <w:tc>
          <w:tcPr>
            <w:tcW w:w="2409" w:type="dxa"/>
            <w:vAlign w:val="center"/>
          </w:tcPr>
          <w:p w14:paraId="2BA03D62">
            <w:pPr>
              <w:jc w:val="center"/>
              <w:rPr>
                <w:rFonts w:ascii="宋体" w:hAnsi="宋体"/>
                <w:b/>
                <w:bCs/>
              </w:rPr>
            </w:pPr>
            <w:r>
              <w:rPr>
                <w:rFonts w:hint="eastAsia" w:ascii="宋体" w:hAnsi="宋体"/>
                <w:b/>
                <w:bCs/>
              </w:rPr>
              <w:t>涉及事项</w:t>
            </w:r>
          </w:p>
        </w:tc>
        <w:tc>
          <w:tcPr>
            <w:tcW w:w="4980" w:type="dxa"/>
            <w:vAlign w:val="center"/>
          </w:tcPr>
          <w:p w14:paraId="2FEE5451">
            <w:pPr>
              <w:jc w:val="center"/>
              <w:rPr>
                <w:rFonts w:ascii="宋体" w:hAnsi="宋体"/>
                <w:b/>
                <w:bCs/>
              </w:rPr>
            </w:pPr>
            <w:r>
              <w:rPr>
                <w:rFonts w:hint="eastAsia" w:ascii="宋体" w:hAnsi="宋体"/>
                <w:b/>
                <w:bCs/>
              </w:rPr>
              <w:t>具 体 补 充 内 容</w:t>
            </w:r>
          </w:p>
        </w:tc>
      </w:tr>
      <w:tr w14:paraId="2D0342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D101151">
            <w:pPr>
              <w:jc w:val="center"/>
              <w:rPr>
                <w:rFonts w:ascii="宋体" w:hAnsi="宋体"/>
              </w:rPr>
            </w:pPr>
            <w:r>
              <w:rPr>
                <w:rFonts w:hint="eastAsia" w:ascii="宋体" w:hAnsi="宋体"/>
              </w:rPr>
              <w:t>3</w:t>
            </w:r>
            <w:r>
              <w:rPr>
                <w:rFonts w:ascii="宋体" w:hAnsi="宋体"/>
              </w:rPr>
              <w:t>.1</w:t>
            </w:r>
          </w:p>
        </w:tc>
        <w:tc>
          <w:tcPr>
            <w:tcW w:w="2409" w:type="dxa"/>
            <w:vAlign w:val="center"/>
          </w:tcPr>
          <w:p w14:paraId="5A4D7FF2">
            <w:pPr>
              <w:jc w:val="center"/>
            </w:pPr>
            <w:r>
              <w:rPr>
                <w:rFonts w:hint="eastAsia"/>
              </w:rPr>
              <w:t>采购人</w:t>
            </w:r>
          </w:p>
        </w:tc>
        <w:tc>
          <w:tcPr>
            <w:tcW w:w="4980" w:type="dxa"/>
            <w:vAlign w:val="center"/>
          </w:tcPr>
          <w:p w14:paraId="372936C1">
            <w:pPr>
              <w:jc w:val="center"/>
              <w:rPr>
                <w:rFonts w:ascii="宋体" w:hAnsi="宋体"/>
              </w:rPr>
            </w:pPr>
            <w:r>
              <w:rPr>
                <w:rFonts w:hint="eastAsia" w:ascii="宋体" w:hAnsi="宋体"/>
              </w:rPr>
              <w:t>zycgr21071303</w:t>
            </w:r>
          </w:p>
        </w:tc>
      </w:tr>
      <w:tr w14:paraId="3A6786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296A4DE">
            <w:pPr>
              <w:jc w:val="center"/>
              <w:rPr>
                <w:rFonts w:ascii="宋体" w:hAnsi="宋体"/>
              </w:rPr>
            </w:pPr>
            <w:r>
              <w:rPr>
                <w:rFonts w:hint="eastAsia" w:ascii="宋体" w:hAnsi="宋体"/>
              </w:rPr>
              <w:t>3</w:t>
            </w:r>
            <w:r>
              <w:rPr>
                <w:rFonts w:ascii="宋体" w:hAnsi="宋体"/>
              </w:rPr>
              <w:t>.2</w:t>
            </w:r>
          </w:p>
        </w:tc>
        <w:tc>
          <w:tcPr>
            <w:tcW w:w="2409" w:type="dxa"/>
            <w:vAlign w:val="center"/>
          </w:tcPr>
          <w:p w14:paraId="15C9FACF">
            <w:pPr>
              <w:jc w:val="center"/>
              <w:rPr>
                <w:rFonts w:ascii="宋体" w:hAnsi="宋体"/>
              </w:rPr>
            </w:pPr>
            <w:r>
              <w:rPr>
                <w:rFonts w:hint="eastAsia" w:ascii="宋体" w:hAnsi="宋体"/>
              </w:rPr>
              <w:t>政府集中采购机构</w:t>
            </w:r>
          </w:p>
        </w:tc>
        <w:tc>
          <w:tcPr>
            <w:tcW w:w="4980" w:type="dxa"/>
            <w:vAlign w:val="center"/>
          </w:tcPr>
          <w:p w14:paraId="3C3E6F3D">
            <w:pPr>
              <w:jc w:val="center"/>
              <w:rPr>
                <w:rFonts w:ascii="宋体" w:hAnsi="宋体"/>
              </w:rPr>
            </w:pPr>
            <w:r>
              <w:rPr>
                <w:rFonts w:hint="eastAsia" w:ascii="宋体" w:hAnsi="宋体"/>
              </w:rPr>
              <w:t>深圳公共资源交易中心</w:t>
            </w:r>
          </w:p>
          <w:p w14:paraId="365BB29F">
            <w:pPr>
              <w:jc w:val="center"/>
              <w:rPr>
                <w:rFonts w:ascii="宋体" w:hAnsi="宋体"/>
              </w:rPr>
            </w:pPr>
            <w:r>
              <w:rPr>
                <w:rFonts w:hint="eastAsia" w:ascii="宋体" w:hAnsi="宋体"/>
              </w:rPr>
              <w:t>（深圳交易集团有限公司政府采购业务分公司）</w:t>
            </w:r>
          </w:p>
        </w:tc>
      </w:tr>
      <w:tr w14:paraId="0D7422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B9BD62E">
            <w:pPr>
              <w:jc w:val="center"/>
              <w:rPr>
                <w:rFonts w:ascii="宋体" w:hAnsi="宋体"/>
              </w:rPr>
            </w:pPr>
            <w:r>
              <w:rPr>
                <w:rFonts w:hint="eastAsia" w:ascii="宋体" w:hAnsi="宋体"/>
              </w:rPr>
              <w:t>9</w:t>
            </w:r>
          </w:p>
        </w:tc>
        <w:tc>
          <w:tcPr>
            <w:tcW w:w="2409" w:type="dxa"/>
            <w:vAlign w:val="center"/>
          </w:tcPr>
          <w:p w14:paraId="5E07E2CA">
            <w:pPr>
              <w:jc w:val="center"/>
              <w:rPr>
                <w:rFonts w:ascii="宋体" w:hAnsi="宋体"/>
              </w:rPr>
            </w:pPr>
            <w:r>
              <w:rPr>
                <w:rFonts w:hint="eastAsia" w:ascii="宋体" w:hAnsi="宋体"/>
              </w:rPr>
              <w:t>踏勘现场</w:t>
            </w:r>
          </w:p>
        </w:tc>
        <w:tc>
          <w:tcPr>
            <w:tcW w:w="4980" w:type="dxa"/>
            <w:vAlign w:val="center"/>
          </w:tcPr>
          <w:p w14:paraId="62871FB5">
            <w:pPr>
              <w:jc w:val="center"/>
              <w:rPr>
                <w:rFonts w:ascii="宋体" w:hAnsi="宋体"/>
              </w:rPr>
            </w:pPr>
            <w:r>
              <w:rPr>
                <w:rFonts w:hint="eastAsia" w:ascii="宋体" w:hAnsi="宋体"/>
                <w:highlight w:val="yellow"/>
              </w:rPr>
              <w:t>组织</w:t>
            </w:r>
          </w:p>
        </w:tc>
      </w:tr>
      <w:tr w14:paraId="30610F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CA4841C">
            <w:pPr>
              <w:jc w:val="center"/>
              <w:rPr>
                <w:rFonts w:ascii="宋体" w:hAnsi="宋体"/>
              </w:rPr>
            </w:pPr>
            <w:r>
              <w:rPr>
                <w:rFonts w:hint="eastAsia" w:ascii="宋体" w:hAnsi="宋体"/>
              </w:rPr>
              <w:t>1</w:t>
            </w:r>
            <w:r>
              <w:rPr>
                <w:rFonts w:ascii="宋体" w:hAnsi="宋体"/>
              </w:rPr>
              <w:t>0</w:t>
            </w:r>
          </w:p>
        </w:tc>
        <w:tc>
          <w:tcPr>
            <w:tcW w:w="2409" w:type="dxa"/>
            <w:vAlign w:val="center"/>
          </w:tcPr>
          <w:p w14:paraId="6F702359">
            <w:pPr>
              <w:jc w:val="center"/>
              <w:rPr>
                <w:rFonts w:ascii="宋体" w:hAnsi="宋体"/>
              </w:rPr>
            </w:pPr>
            <w:r>
              <w:rPr>
                <w:rFonts w:hint="eastAsia" w:ascii="宋体" w:hAnsi="宋体"/>
              </w:rPr>
              <w:t>标前会议</w:t>
            </w:r>
          </w:p>
        </w:tc>
        <w:tc>
          <w:tcPr>
            <w:tcW w:w="4980" w:type="dxa"/>
            <w:vAlign w:val="center"/>
          </w:tcPr>
          <w:p w14:paraId="7B070ED9">
            <w:pPr>
              <w:jc w:val="center"/>
              <w:rPr>
                <w:rFonts w:ascii="宋体" w:hAnsi="宋体"/>
              </w:rPr>
            </w:pPr>
            <w:r>
              <w:rPr>
                <w:rFonts w:hint="eastAsia" w:ascii="宋体" w:hAnsi="宋体"/>
              </w:rPr>
              <w:t>不组织</w:t>
            </w:r>
          </w:p>
        </w:tc>
      </w:tr>
      <w:tr w14:paraId="31DADA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898AE39">
            <w:pPr>
              <w:jc w:val="center"/>
              <w:rPr>
                <w:rFonts w:ascii="宋体" w:hAnsi="宋体"/>
              </w:rPr>
            </w:pPr>
            <w:r>
              <w:rPr>
                <w:rFonts w:hint="eastAsia" w:ascii="宋体" w:hAnsi="宋体"/>
              </w:rPr>
              <w:t>1</w:t>
            </w:r>
            <w:r>
              <w:rPr>
                <w:rFonts w:ascii="宋体" w:hAnsi="宋体"/>
              </w:rPr>
              <w:t>2</w:t>
            </w:r>
            <w:r>
              <w:rPr>
                <w:rFonts w:hint="eastAsia" w:ascii="宋体" w:hAnsi="宋体"/>
              </w:rPr>
              <w:t>/1</w:t>
            </w:r>
            <w:r>
              <w:rPr>
                <w:rFonts w:ascii="宋体" w:hAnsi="宋体"/>
              </w:rPr>
              <w:t>3</w:t>
            </w:r>
          </w:p>
        </w:tc>
        <w:tc>
          <w:tcPr>
            <w:tcW w:w="2409" w:type="dxa"/>
            <w:vAlign w:val="center"/>
          </w:tcPr>
          <w:p w14:paraId="4DADD987">
            <w:pPr>
              <w:jc w:val="center"/>
              <w:rPr>
                <w:rFonts w:ascii="宋体" w:hAnsi="宋体"/>
              </w:rPr>
            </w:pPr>
            <w:r>
              <w:rPr>
                <w:rFonts w:hint="eastAsia" w:ascii="宋体" w:hAnsi="宋体"/>
              </w:rPr>
              <w:t>招标文件的澄清和修改</w:t>
            </w:r>
          </w:p>
        </w:tc>
        <w:tc>
          <w:tcPr>
            <w:tcW w:w="4980" w:type="dxa"/>
            <w:vAlign w:val="center"/>
          </w:tcPr>
          <w:p w14:paraId="0D0B73B5">
            <w:pPr>
              <w:jc w:val="left"/>
              <w:rPr>
                <w:rFonts w:ascii="宋体" w:hAnsi="宋体"/>
              </w:rPr>
            </w:pPr>
            <w:r>
              <w:rPr>
                <w:rFonts w:hint="eastAsia" w:ascii="宋体" w:hAnsi="宋体"/>
              </w:rPr>
              <w:t>不晚于投标截止日15日前，投标人有义务在招标期间在政府集中采购机构网站浏览与本项目有关的澄清和修改信息</w:t>
            </w:r>
          </w:p>
        </w:tc>
      </w:tr>
      <w:tr w14:paraId="59D3C1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81E64BC">
            <w:pPr>
              <w:jc w:val="center"/>
              <w:rPr>
                <w:rFonts w:ascii="宋体" w:hAnsi="宋体"/>
              </w:rPr>
            </w:pPr>
            <w:r>
              <w:rPr>
                <w:rFonts w:hint="eastAsia" w:ascii="宋体" w:hAnsi="宋体"/>
              </w:rPr>
              <w:t>2</w:t>
            </w:r>
            <w:r>
              <w:rPr>
                <w:rFonts w:ascii="宋体" w:hAnsi="宋体"/>
              </w:rPr>
              <w:t>0</w:t>
            </w:r>
          </w:p>
        </w:tc>
        <w:tc>
          <w:tcPr>
            <w:tcW w:w="2409" w:type="dxa"/>
            <w:vAlign w:val="center"/>
          </w:tcPr>
          <w:p w14:paraId="30E2AA21">
            <w:pPr>
              <w:jc w:val="center"/>
              <w:rPr>
                <w:rFonts w:ascii="宋体" w:hAnsi="宋体"/>
              </w:rPr>
            </w:pPr>
            <w:r>
              <w:rPr>
                <w:rFonts w:hint="eastAsia" w:ascii="宋体" w:hAnsi="宋体"/>
              </w:rPr>
              <w:t>投标有效期</w:t>
            </w:r>
          </w:p>
        </w:tc>
        <w:tc>
          <w:tcPr>
            <w:tcW w:w="4980" w:type="dxa"/>
            <w:vAlign w:val="center"/>
          </w:tcPr>
          <w:p w14:paraId="2B498B69">
            <w:pPr>
              <w:jc w:val="center"/>
              <w:rPr>
                <w:rFonts w:ascii="宋体" w:hAnsi="宋体"/>
              </w:rPr>
            </w:pPr>
            <w:r>
              <w:rPr>
                <w:rFonts w:hint="eastAsia" w:ascii="宋体" w:hAnsi="宋体"/>
              </w:rPr>
              <w:t>1</w:t>
            </w:r>
            <w:r>
              <w:rPr>
                <w:rFonts w:ascii="宋体" w:hAnsi="宋体"/>
              </w:rPr>
              <w:t>20</w:t>
            </w:r>
            <w:r>
              <w:rPr>
                <w:rFonts w:hint="eastAsia" w:ascii="宋体" w:hAnsi="宋体"/>
              </w:rPr>
              <w:t>个日历日</w:t>
            </w:r>
          </w:p>
        </w:tc>
      </w:tr>
      <w:tr w14:paraId="274396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979962B">
            <w:pPr>
              <w:jc w:val="center"/>
              <w:rPr>
                <w:rFonts w:ascii="宋体" w:hAnsi="宋体"/>
              </w:rPr>
            </w:pPr>
            <w:r>
              <w:rPr>
                <w:rFonts w:hint="eastAsia" w:ascii="宋体" w:hAnsi="宋体"/>
              </w:rPr>
              <w:t>2</w:t>
            </w:r>
            <w:r>
              <w:rPr>
                <w:rFonts w:ascii="宋体" w:hAnsi="宋体"/>
              </w:rPr>
              <w:t>2</w:t>
            </w:r>
          </w:p>
        </w:tc>
        <w:tc>
          <w:tcPr>
            <w:tcW w:w="2409" w:type="dxa"/>
            <w:vAlign w:val="center"/>
          </w:tcPr>
          <w:p w14:paraId="5C1D5DC3">
            <w:pPr>
              <w:jc w:val="center"/>
              <w:rPr>
                <w:rFonts w:ascii="宋体" w:hAnsi="宋体"/>
              </w:rPr>
            </w:pPr>
            <w:r>
              <w:rPr>
                <w:rFonts w:hint="eastAsia" w:ascii="宋体" w:hAnsi="宋体"/>
              </w:rPr>
              <w:t>投标人的替代方案</w:t>
            </w:r>
          </w:p>
        </w:tc>
        <w:tc>
          <w:tcPr>
            <w:tcW w:w="4980" w:type="dxa"/>
            <w:vAlign w:val="center"/>
          </w:tcPr>
          <w:p w14:paraId="4122D0ED">
            <w:pPr>
              <w:jc w:val="center"/>
              <w:rPr>
                <w:rFonts w:ascii="宋体" w:hAnsi="宋体"/>
              </w:rPr>
            </w:pPr>
            <w:r>
              <w:rPr>
                <w:rFonts w:hint="eastAsia" w:ascii="宋体" w:hAnsi="宋体"/>
              </w:rPr>
              <w:t>不接受</w:t>
            </w:r>
          </w:p>
        </w:tc>
      </w:tr>
      <w:tr w14:paraId="5DAF15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F16DDC1">
            <w:pPr>
              <w:jc w:val="center"/>
              <w:rPr>
                <w:rFonts w:ascii="宋体" w:hAnsi="宋体"/>
              </w:rPr>
            </w:pPr>
            <w:r>
              <w:rPr>
                <w:rFonts w:hint="eastAsia" w:ascii="宋体" w:hAnsi="宋体"/>
              </w:rPr>
              <w:t>2</w:t>
            </w:r>
            <w:r>
              <w:rPr>
                <w:rFonts w:ascii="宋体" w:hAnsi="宋体"/>
              </w:rPr>
              <w:t>6</w:t>
            </w:r>
          </w:p>
        </w:tc>
        <w:tc>
          <w:tcPr>
            <w:tcW w:w="2409" w:type="dxa"/>
            <w:vAlign w:val="center"/>
          </w:tcPr>
          <w:p w14:paraId="298A7C1B">
            <w:pPr>
              <w:jc w:val="center"/>
              <w:rPr>
                <w:rFonts w:ascii="宋体" w:hAnsi="宋体"/>
              </w:rPr>
            </w:pPr>
            <w:bookmarkStart w:id="32" w:name="_Hlk71664860"/>
            <w:r>
              <w:rPr>
                <w:rFonts w:hint="eastAsia" w:ascii="宋体" w:hAnsi="宋体"/>
              </w:rPr>
              <w:t>样品、演示、方案讲解</w:t>
            </w:r>
            <w:bookmarkEnd w:id="32"/>
          </w:p>
        </w:tc>
        <w:tc>
          <w:tcPr>
            <w:tcW w:w="4980" w:type="dxa"/>
            <w:vAlign w:val="center"/>
          </w:tcPr>
          <w:p w14:paraId="366D620F">
            <w:pPr>
              <w:jc w:val="left"/>
              <w:rPr>
                <w:rFonts w:ascii="宋体" w:hAnsi="宋体"/>
              </w:rPr>
            </w:pPr>
            <w:r>
              <w:rPr>
                <w:rFonts w:hint="eastAsia" w:ascii="宋体" w:hAnsi="宋体"/>
              </w:rPr>
              <w:t>如有样品、演示、方案讲解，具体安排见第三章 用户需求书相关要求</w:t>
            </w:r>
          </w:p>
        </w:tc>
      </w:tr>
      <w:tr w14:paraId="5E75A8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C37313C">
            <w:pPr>
              <w:jc w:val="center"/>
              <w:rPr>
                <w:rFonts w:ascii="宋体" w:hAnsi="宋体"/>
              </w:rPr>
            </w:pPr>
            <w:r>
              <w:rPr>
                <w:rFonts w:hint="eastAsia" w:ascii="宋体" w:hAnsi="宋体"/>
              </w:rPr>
              <w:t>3</w:t>
            </w:r>
            <w:r>
              <w:rPr>
                <w:rFonts w:ascii="宋体" w:hAnsi="宋体"/>
              </w:rPr>
              <w:t>7</w:t>
            </w:r>
          </w:p>
        </w:tc>
        <w:tc>
          <w:tcPr>
            <w:tcW w:w="2409" w:type="dxa"/>
            <w:vAlign w:val="center"/>
          </w:tcPr>
          <w:p w14:paraId="6A0F41FD">
            <w:pPr>
              <w:jc w:val="center"/>
              <w:rPr>
                <w:rFonts w:ascii="宋体" w:hAnsi="宋体"/>
              </w:rPr>
            </w:pPr>
            <w:r>
              <w:rPr>
                <w:rFonts w:hint="eastAsia" w:ascii="宋体" w:hAnsi="宋体"/>
              </w:rPr>
              <w:t>评审方法</w:t>
            </w:r>
          </w:p>
        </w:tc>
        <w:tc>
          <w:tcPr>
            <w:tcW w:w="4980" w:type="dxa"/>
            <w:vAlign w:val="center"/>
          </w:tcPr>
          <w:p w14:paraId="08B093AE">
            <w:pPr>
              <w:jc w:val="center"/>
              <w:rPr>
                <w:rFonts w:ascii="宋体" w:hAnsi="宋体"/>
              </w:rPr>
            </w:pPr>
            <w:r>
              <w:rPr>
                <w:rFonts w:hint="eastAsia" w:ascii="宋体" w:hAnsi="宋体"/>
              </w:rPr>
              <w:t>综合评分法</w:t>
            </w:r>
          </w:p>
        </w:tc>
      </w:tr>
      <w:tr w14:paraId="1DEA57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9567D60">
            <w:pPr>
              <w:jc w:val="center"/>
              <w:rPr>
                <w:rFonts w:ascii="宋体" w:hAnsi="宋体"/>
              </w:rPr>
            </w:pPr>
            <w:r>
              <w:rPr>
                <w:rFonts w:hint="eastAsia" w:ascii="宋体" w:hAnsi="宋体"/>
              </w:rPr>
              <w:t>3</w:t>
            </w:r>
            <w:r>
              <w:rPr>
                <w:rFonts w:ascii="宋体" w:hAnsi="宋体"/>
              </w:rPr>
              <w:t>8</w:t>
            </w:r>
          </w:p>
        </w:tc>
        <w:tc>
          <w:tcPr>
            <w:tcW w:w="2409" w:type="dxa"/>
            <w:vAlign w:val="center"/>
          </w:tcPr>
          <w:p w14:paraId="4347A9DE">
            <w:pPr>
              <w:jc w:val="center"/>
              <w:rPr>
                <w:rFonts w:ascii="宋体" w:hAnsi="宋体"/>
              </w:rPr>
            </w:pPr>
            <w:r>
              <w:rPr>
                <w:rFonts w:hint="eastAsia" w:ascii="宋体" w:hAnsi="宋体"/>
              </w:rPr>
              <w:t>定标方法</w:t>
            </w:r>
          </w:p>
        </w:tc>
        <w:tc>
          <w:tcPr>
            <w:tcW w:w="4980" w:type="dxa"/>
            <w:vAlign w:val="center"/>
          </w:tcPr>
          <w:p w14:paraId="1A765F9F">
            <w:pPr>
              <w:jc w:val="center"/>
              <w:rPr>
                <w:rFonts w:ascii="宋体" w:hAnsi="宋体"/>
              </w:rPr>
            </w:pPr>
            <w:r>
              <w:rPr>
                <w:rFonts w:hint="eastAsia" w:ascii="宋体" w:hAnsi="宋体"/>
              </w:rPr>
              <w:t>非评定分离</w:t>
            </w:r>
          </w:p>
        </w:tc>
      </w:tr>
      <w:tr w14:paraId="09FEC7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7F9764B">
            <w:pPr>
              <w:jc w:val="center"/>
              <w:rPr>
                <w:rFonts w:ascii="宋体" w:hAnsi="宋体"/>
              </w:rPr>
            </w:pPr>
            <w:r>
              <w:rPr>
                <w:rFonts w:hint="eastAsia" w:ascii="宋体" w:hAnsi="宋体"/>
              </w:rPr>
              <w:t>4</w:t>
            </w:r>
            <w:r>
              <w:rPr>
                <w:rFonts w:ascii="宋体" w:hAnsi="宋体"/>
              </w:rPr>
              <w:t>6</w:t>
            </w:r>
          </w:p>
        </w:tc>
        <w:tc>
          <w:tcPr>
            <w:tcW w:w="2409" w:type="dxa"/>
            <w:vAlign w:val="center"/>
          </w:tcPr>
          <w:p w14:paraId="375FD058">
            <w:pPr>
              <w:jc w:val="center"/>
              <w:rPr>
                <w:rFonts w:ascii="宋体" w:hAnsi="宋体"/>
              </w:rPr>
            </w:pPr>
            <w:r>
              <w:rPr>
                <w:rFonts w:hint="eastAsia" w:ascii="宋体" w:hAnsi="宋体"/>
              </w:rPr>
              <w:t>履约担保</w:t>
            </w:r>
          </w:p>
        </w:tc>
        <w:tc>
          <w:tcPr>
            <w:tcW w:w="4980" w:type="dxa"/>
            <w:vAlign w:val="center"/>
          </w:tcPr>
          <w:p w14:paraId="39495DA3">
            <w:pPr>
              <w:jc w:val="left"/>
              <w:rPr>
                <w:rFonts w:ascii="宋体" w:hAnsi="宋体"/>
              </w:rPr>
            </w:pPr>
            <w:r>
              <w:rPr>
                <w:rFonts w:hint="eastAsia" w:ascii="宋体" w:hAnsi="宋体"/>
              </w:rPr>
              <w:t xml:space="preserve">需要，合同金额的 </w:t>
            </w:r>
            <w:r>
              <w:rPr>
                <w:rFonts w:ascii="宋体" w:hAnsi="宋体"/>
              </w:rPr>
              <w:t>5</w:t>
            </w:r>
            <w:r>
              <w:rPr>
                <w:rFonts w:hint="eastAsia" w:ascii="宋体" w:hAnsi="宋体"/>
              </w:rPr>
              <w:t xml:space="preserve"> %，投标供应商自主选择以支票、汇票、本票、保函等非现金形式缴纳或提交。履约保证金在中标人履行完成合同约定权利义务事项在合同期满之日起  </w:t>
            </w:r>
            <w:r>
              <w:rPr>
                <w:rFonts w:ascii="宋体" w:hAnsi="宋体"/>
              </w:rPr>
              <w:t>365</w:t>
            </w:r>
            <w:r>
              <w:rPr>
                <w:rFonts w:hint="eastAsia" w:ascii="宋体" w:hAnsi="宋体"/>
              </w:rPr>
              <w:t xml:space="preserve">  日内按原方式退还，不计利息。采购人逾期退还履约保证金的，向中标人每日偿付履约保证金的0.5‰的利息。因中标人原因而未能达到本项目验收标准或验收不通过的，履约保证金不予退还。</w:t>
            </w:r>
          </w:p>
        </w:tc>
      </w:tr>
      <w:tr w14:paraId="6F6F72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DFB7B16">
            <w:pPr>
              <w:jc w:val="center"/>
              <w:rPr>
                <w:rFonts w:ascii="宋体" w:hAnsi="宋体"/>
              </w:rPr>
            </w:pPr>
            <w:r>
              <w:rPr>
                <w:rFonts w:hint="eastAsia" w:asciiTheme="minorEastAsia" w:hAnsiTheme="minorEastAsia" w:eastAsiaTheme="minorEastAsia"/>
                <w:szCs w:val="21"/>
              </w:rPr>
              <w:t>23</w:t>
            </w:r>
          </w:p>
        </w:tc>
        <w:tc>
          <w:tcPr>
            <w:tcW w:w="2409" w:type="dxa"/>
            <w:vAlign w:val="center"/>
          </w:tcPr>
          <w:p w14:paraId="1FA98E22">
            <w:pPr>
              <w:jc w:val="center"/>
              <w:rPr>
                <w:rFonts w:ascii="宋体" w:hAnsi="宋体"/>
              </w:rPr>
            </w:pPr>
            <w:r>
              <w:rPr>
                <w:rFonts w:hint="eastAsia" w:asciiTheme="minorEastAsia" w:hAnsiTheme="minorEastAsia" w:eastAsiaTheme="minorEastAsia"/>
                <w:szCs w:val="21"/>
              </w:rPr>
              <w:t>投标文件数量</w:t>
            </w:r>
          </w:p>
        </w:tc>
        <w:tc>
          <w:tcPr>
            <w:tcW w:w="4980" w:type="dxa"/>
            <w:vAlign w:val="center"/>
          </w:tcPr>
          <w:p w14:paraId="28C02A3B">
            <w:pPr>
              <w:jc w:val="left"/>
              <w:rPr>
                <w:rFonts w:hint="eastAsia" w:asciiTheme="minorEastAsia" w:hAnsiTheme="minorEastAsia" w:eastAsiaTheme="minorEastAsia"/>
                <w:b/>
                <w:bCs/>
                <w:szCs w:val="21"/>
              </w:rPr>
            </w:pPr>
            <w:r>
              <w:rPr>
                <w:rFonts w:hint="eastAsia" w:asciiTheme="minorEastAsia" w:hAnsiTheme="minorEastAsia" w:eastAsiaTheme="minorEastAsia"/>
                <w:b/>
                <w:bCs/>
                <w:szCs w:val="21"/>
              </w:rPr>
              <w:t>投标文件份数：</w:t>
            </w:r>
            <w:r>
              <w:rPr>
                <w:rFonts w:hint="eastAsia" w:asciiTheme="minorEastAsia" w:hAnsiTheme="minorEastAsia" w:eastAsiaTheme="minorEastAsia"/>
                <w:b/>
                <w:bCs/>
                <w:szCs w:val="21"/>
                <w:highlight w:val="yellow"/>
              </w:rPr>
              <w:t>一份正本、</w:t>
            </w:r>
            <w:r>
              <w:rPr>
                <w:rFonts w:hint="eastAsia" w:asciiTheme="minorEastAsia" w:hAnsiTheme="minorEastAsia" w:eastAsiaTheme="minorEastAsia"/>
                <w:b/>
                <w:bCs/>
                <w:szCs w:val="21"/>
                <w:highlight w:val="yellow"/>
                <w:lang w:val="en-US" w:eastAsia="zh-CN"/>
              </w:rPr>
              <w:t>六</w:t>
            </w:r>
            <w:r>
              <w:rPr>
                <w:rFonts w:hint="eastAsia" w:asciiTheme="minorEastAsia" w:hAnsiTheme="minorEastAsia" w:eastAsiaTheme="minorEastAsia"/>
                <w:b/>
                <w:bCs/>
                <w:szCs w:val="21"/>
                <w:highlight w:val="yellow"/>
              </w:rPr>
              <w:t>份副本、一份唱标信封、一份电子文档（U盘储存）</w:t>
            </w:r>
          </w:p>
          <w:p w14:paraId="330BBDA5">
            <w:pPr>
              <w:jc w:val="left"/>
              <w:rPr>
                <w:rFonts w:asciiTheme="minorEastAsia" w:hAnsiTheme="minorEastAsia" w:eastAsiaTheme="minorEastAsia"/>
                <w:b/>
                <w:bCs/>
                <w:szCs w:val="21"/>
              </w:rPr>
            </w:pPr>
            <w:r>
              <w:rPr>
                <w:rFonts w:hint="eastAsia" w:asciiTheme="minorEastAsia" w:hAnsiTheme="minorEastAsia" w:eastAsiaTheme="minorEastAsia"/>
                <w:b/>
                <w:bCs/>
                <w:szCs w:val="21"/>
              </w:rPr>
              <w:t>电子文档要求：</w:t>
            </w:r>
          </w:p>
          <w:p w14:paraId="52293CAA">
            <w:pPr>
              <w:jc w:val="left"/>
            </w:pPr>
            <w:r>
              <w:rPr>
                <w:rFonts w:hint="eastAsia" w:ascii="宋体" w:hAnsi="宋体" w:cs="宋体"/>
              </w:rPr>
              <w:t>①投标文件完整的Word版本（DOC或者DOCX格式）；②投标文件正本扫描件（PDF分为公开部分和非公开部分，要求彩色扫描，扫描页面清晰、完整），内容包括：由投标人自行制作的与投标文件正本一致的所有文件；电子文件用U盘储存，并密封于“唱标信封”内</w:t>
            </w:r>
          </w:p>
        </w:tc>
      </w:tr>
    </w:tbl>
    <w:p w14:paraId="66C7EBE8">
      <w:pPr>
        <w:rPr>
          <w:b/>
        </w:rPr>
      </w:pPr>
      <w:r>
        <w:rPr>
          <w:rFonts w:hint="eastAsia"/>
          <w:szCs w:val="21"/>
        </w:rPr>
        <w:t>备注：本表是通用条款相关条款的补充和明确，如与通用条款内容相冲突的，以本表为准。</w:t>
      </w:r>
    </w:p>
    <w:bookmarkEnd w:id="31"/>
    <w:p w14:paraId="010E2592">
      <w:pPr>
        <w:pStyle w:val="7"/>
        <w:spacing w:before="156" w:beforeLines="50" w:after="156" w:afterLines="50"/>
        <w:rPr>
          <w:szCs w:val="24"/>
        </w:rPr>
      </w:pPr>
      <w:bookmarkStart w:id="33" w:name="_Hlk72218117"/>
      <w:r>
        <w:rPr>
          <w:rFonts w:hint="eastAsia"/>
          <w:szCs w:val="24"/>
        </w:rPr>
        <w:t>二、其他关键信息</w:t>
      </w:r>
    </w:p>
    <w:p w14:paraId="4401750E">
      <w:pPr>
        <w:ind w:firstLine="422" w:firstLineChars="200"/>
        <w:rPr>
          <w:b/>
          <w:bCs/>
        </w:rPr>
      </w:pPr>
      <w:bookmarkStart w:id="34" w:name="_Hlk72579427"/>
      <w:r>
        <w:rPr>
          <w:rFonts w:hint="eastAsia"/>
          <w:b/>
          <w:bCs/>
        </w:rPr>
        <w:t>（一）评审方式</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43A61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2474878C">
            <w:pPr>
              <w:jc w:val="center"/>
            </w:pPr>
            <w:bookmarkStart w:id="35" w:name="_Hlk74239733"/>
            <w:r>
              <w:rPr>
                <w:rFonts w:hint="eastAsia"/>
              </w:rPr>
              <w:t>评标方法</w:t>
            </w:r>
          </w:p>
        </w:tc>
        <w:tc>
          <w:tcPr>
            <w:tcW w:w="4265" w:type="dxa"/>
          </w:tcPr>
          <w:p w14:paraId="3818A23A">
            <w:pPr>
              <w:jc w:val="center"/>
            </w:pPr>
            <w:r>
              <w:rPr>
                <w:rFonts w:hint="eastAsia"/>
              </w:rPr>
              <w:t>综合评分法</w:t>
            </w:r>
          </w:p>
        </w:tc>
      </w:tr>
      <w:tr w14:paraId="4C36C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714EA7AA">
            <w:pPr>
              <w:jc w:val="center"/>
            </w:pPr>
            <w:r>
              <w:rPr>
                <w:rFonts w:hint="eastAsia"/>
              </w:rPr>
              <w:t>候选中标供应商家数</w:t>
            </w:r>
          </w:p>
        </w:tc>
        <w:tc>
          <w:tcPr>
            <w:tcW w:w="4265" w:type="dxa"/>
          </w:tcPr>
          <w:p w14:paraId="1D30668F">
            <w:pPr>
              <w:jc w:val="center"/>
            </w:pPr>
            <w:r>
              <w:rPr>
                <w:rFonts w:hint="eastAsia"/>
              </w:rPr>
              <w:t>3</w:t>
            </w:r>
          </w:p>
        </w:tc>
      </w:tr>
      <w:tr w14:paraId="32458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293B1230">
            <w:pPr>
              <w:jc w:val="center"/>
            </w:pPr>
            <w:r>
              <w:rPr>
                <w:rFonts w:hint="eastAsia"/>
              </w:rPr>
              <w:t>中标供应商家数</w:t>
            </w:r>
          </w:p>
        </w:tc>
        <w:tc>
          <w:tcPr>
            <w:tcW w:w="4265" w:type="dxa"/>
          </w:tcPr>
          <w:p w14:paraId="0726E76D">
            <w:pPr>
              <w:jc w:val="center"/>
            </w:pPr>
            <w:r>
              <w:rPr>
                <w:rFonts w:hint="eastAsia"/>
              </w:rPr>
              <w:t>1</w:t>
            </w:r>
          </w:p>
        </w:tc>
      </w:tr>
      <w:bookmarkEnd w:id="35"/>
    </w:tbl>
    <w:p w14:paraId="25858297">
      <w:pPr>
        <w:ind w:firstLine="422" w:firstLineChars="200"/>
        <w:rPr>
          <w:b/>
        </w:rPr>
      </w:pPr>
    </w:p>
    <w:p w14:paraId="6FB0F488">
      <w:pPr>
        <w:ind w:firstLine="422" w:firstLineChars="200"/>
        <w:rPr>
          <w:b/>
        </w:rPr>
      </w:pPr>
      <w:r>
        <w:rPr>
          <w:rFonts w:hint="eastAsia"/>
          <w:b/>
        </w:rPr>
        <w:t>（二）其他事项</w:t>
      </w:r>
      <w:bookmarkEnd w:id="34"/>
    </w:p>
    <w:p w14:paraId="0B9CC5CF">
      <w:pPr>
        <w:ind w:firstLine="422" w:firstLineChars="200"/>
        <w:rPr>
          <w:b/>
          <w:bCs/>
        </w:rPr>
      </w:pPr>
      <w:r>
        <w:rPr>
          <w:b/>
          <w:bCs/>
        </w:rPr>
        <w:t>1</w:t>
      </w:r>
      <w:r>
        <w:rPr>
          <w:rFonts w:hint="eastAsia"/>
          <w:b/>
          <w:bCs/>
        </w:rPr>
        <w:t>.关于享受优惠政策的主体及价格扣除比例</w:t>
      </w:r>
    </w:p>
    <w:p w14:paraId="36992A21">
      <w:pPr>
        <w:ind w:firstLine="420" w:firstLineChars="200"/>
      </w:pPr>
      <w:r>
        <w:rPr>
          <w:rFonts w:hint="eastAsia"/>
        </w:rPr>
        <w:t>（1）投标人提供的货物（以招标文件用户需求书“货物需求明细”的“货物名称”一栏为准）全部均由优惠主体制造，则对其投标总价给予</w:t>
      </w:r>
      <w:r>
        <w:rPr>
          <w:rFonts w:hint="eastAsia"/>
          <w:color w:val="FF0000"/>
          <w:u w:val="single"/>
        </w:rPr>
        <w:t>10</w:t>
      </w:r>
      <w:r>
        <w:rPr>
          <w:color w:val="FF0000"/>
          <w:u w:val="single"/>
        </w:rPr>
        <w:t xml:space="preserve"> %</w:t>
      </w:r>
      <w:r>
        <w:rPr>
          <w:rFonts w:hint="eastAsia"/>
        </w:rPr>
        <w:t>的扣除，用扣除后的价格参与评审。满足多项优惠政策的企业，不重复享受多项价格扣除政策。</w:t>
      </w:r>
    </w:p>
    <w:p w14:paraId="150628D9">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14:paraId="5C875E55">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pPr>
      <w:r>
        <w:rPr>
          <w:rFonts w:hint="eastAsia"/>
        </w:rPr>
        <w:t>（2）根据</w:t>
      </w:r>
      <w:r>
        <w:rPr>
          <w:rFonts w:hint="eastAsia"/>
          <w:szCs w:val="22"/>
        </w:rPr>
        <w:t>《工业和信息化部、国家统计局、国家发展和改革委员会、财政部关于印发中小企业划型标准规定的通知》（工信部联企业〔2011〕300 号）</w:t>
      </w:r>
      <w:r>
        <w:rPr>
          <w:rFonts w:hint="eastAsia"/>
        </w:rPr>
        <w:t>，</w:t>
      </w:r>
      <w:bookmarkStart w:id="36" w:name="_Hlk71970739"/>
      <w:r>
        <w:rPr>
          <w:rFonts w:hint="eastAsia"/>
        </w:rPr>
        <w:t>本项目</w:t>
      </w:r>
      <w:bookmarkStart w:id="37" w:name="_Hlk71924718"/>
      <w:r>
        <w:rPr>
          <w:rFonts w:hint="eastAsia"/>
          <w:b/>
          <w:bCs/>
        </w:rPr>
        <w:t>采购标的（货物）</w:t>
      </w:r>
      <w:r>
        <w:rPr>
          <w:rFonts w:hint="eastAsia"/>
        </w:rPr>
        <w:t>对应的中小企业划分标准所</w:t>
      </w:r>
      <w:r>
        <w:rPr>
          <w:rFonts w:hint="eastAsia"/>
          <w:sz w:val="21"/>
          <w:szCs w:val="21"/>
        </w:rPr>
        <w:t>属行业</w:t>
      </w:r>
      <w:bookmarkEnd w:id="37"/>
      <w:r>
        <w:rPr>
          <w:rFonts w:hint="eastAsia"/>
          <w:sz w:val="21"/>
          <w:szCs w:val="21"/>
        </w:rPr>
        <w:t>为</w:t>
      </w:r>
      <w:r>
        <w:rPr>
          <w:rFonts w:hint="eastAsia"/>
          <w:sz w:val="21"/>
          <w:szCs w:val="21"/>
          <w:lang w:val="en-US" w:eastAsia="zh-CN"/>
        </w:rPr>
        <w:t xml:space="preserve"> </w:t>
      </w:r>
      <w:r>
        <w:rPr>
          <w:rFonts w:hint="eastAsia" w:ascii="宋体" w:hAnsi="宋体" w:cs="宋体"/>
          <w:b/>
          <w:bCs/>
          <w:color w:val="FF0000"/>
          <w:sz w:val="21"/>
          <w:szCs w:val="21"/>
          <w:highlight w:val="yellow"/>
          <w:u w:val="single"/>
          <w:lang w:val="en-US" w:eastAsia="zh-CN"/>
        </w:rPr>
        <w:t xml:space="preserve">工 </w:t>
      </w:r>
      <w:r>
        <w:rPr>
          <w:rFonts w:hint="eastAsia" w:ascii="宋体" w:hAnsi="宋体" w:eastAsia="宋体" w:cs="宋体"/>
          <w:b/>
          <w:bCs/>
          <w:color w:val="FF0000"/>
          <w:sz w:val="21"/>
          <w:szCs w:val="21"/>
          <w:highlight w:val="yellow"/>
          <w:u w:val="single"/>
        </w:rPr>
        <w:t>业</w:t>
      </w:r>
      <w:r>
        <w:rPr>
          <w:rFonts w:hint="eastAsia"/>
          <w:sz w:val="21"/>
          <w:szCs w:val="21"/>
        </w:rPr>
        <w:t>。</w:t>
      </w:r>
      <w:bookmarkEnd w:id="36"/>
    </w:p>
    <w:p w14:paraId="77272993">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pPr>
      <w:r>
        <w:rPr>
          <w:rFonts w:hint="eastAsia"/>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w:t>
      </w:r>
      <w:r>
        <w:rPr>
          <w:rFonts w:hint="eastAsia"/>
          <w:lang w:val="en-US" w:eastAsia="zh-CN"/>
        </w:rPr>
        <w:t>四</w:t>
      </w:r>
      <w:r>
        <w:rPr>
          <w:rFonts w:hint="eastAsia"/>
        </w:rPr>
        <w:t>章“投标文件格式、附件”中“</w:t>
      </w:r>
      <w:r>
        <w:rPr>
          <w:rFonts w:hint="eastAsia"/>
          <w:lang w:val="en-US" w:eastAsia="zh-CN"/>
        </w:rPr>
        <w:t>三</w:t>
      </w:r>
      <w:r>
        <w:rPr>
          <w:rFonts w:hint="eastAsia"/>
        </w:rPr>
        <w:t>、投标人情况及资格证明文件”章节提供的格式）。</w:t>
      </w:r>
    </w:p>
    <w:p w14:paraId="03420442">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仿宋" w:hAnsi="仿宋" w:eastAsia="仿宋"/>
          <w:sz w:val="28"/>
          <w:szCs w:val="28"/>
        </w:rPr>
      </w:pPr>
      <w:r>
        <w:rPr>
          <w:rFonts w:hint="eastAsia"/>
        </w:rPr>
        <w:t>（4）享受价格扣除获得政府采购合同的，小微企业不得将合同分包给大中型企业。</w:t>
      </w:r>
    </w:p>
    <w:p w14:paraId="16288B5C">
      <w:pPr>
        <w:rPr>
          <w:b/>
        </w:rPr>
      </w:pPr>
    </w:p>
    <w:p w14:paraId="5A051E36">
      <w:pPr>
        <w:ind w:firstLine="422" w:firstLineChars="200"/>
        <w:rPr>
          <w:b/>
          <w:bCs/>
        </w:rPr>
      </w:pPr>
      <w:r>
        <w:rPr>
          <w:b/>
          <w:bCs/>
        </w:rPr>
        <w:t>2、</w:t>
      </w:r>
      <w:r>
        <w:rPr>
          <w:rFonts w:hint="eastAsia"/>
          <w:b/>
          <w:bCs/>
        </w:rPr>
        <w:t>关于政府采购订单融资政策</w:t>
      </w:r>
    </w:p>
    <w:p w14:paraId="092232E0">
      <w:pPr>
        <w:ind w:firstLine="420" w:firstLineChars="200"/>
        <w:rPr>
          <w:b/>
          <w:bCs/>
        </w:rPr>
      </w:pPr>
      <w:r>
        <w:rPr>
          <w:rFonts w:hint="eastAsia"/>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14:paraId="623CF686">
      <w:pPr>
        <w:pStyle w:val="2"/>
      </w:pPr>
    </w:p>
    <w:p w14:paraId="340EE445">
      <w:pPr>
        <w:ind w:firstLine="422" w:firstLineChars="200"/>
        <w:jc w:val="left"/>
        <w:rPr>
          <w:rFonts w:ascii="宋体" w:hAnsi="宋体" w:cs="宋体"/>
          <w:b/>
          <w:color w:val="FF0000"/>
          <w:szCs w:val="21"/>
        </w:rPr>
      </w:pPr>
      <w:r>
        <w:rPr>
          <w:rFonts w:hint="eastAsia"/>
          <w:b/>
          <w:color w:val="FF0000"/>
        </w:rPr>
        <w:t>3.代理服务费</w:t>
      </w:r>
    </w:p>
    <w:p w14:paraId="50DC72E8">
      <w:pPr>
        <w:spacing w:before="50" w:after="50"/>
        <w:ind w:firstLine="420" w:firstLineChars="200"/>
        <w:rPr>
          <w:rFonts w:ascii="宋体" w:hAnsi="宋体" w:cs="宋体"/>
          <w:color w:val="FF0000"/>
          <w:szCs w:val="21"/>
        </w:rPr>
      </w:pPr>
      <w:r>
        <w:rPr>
          <w:rFonts w:hint="eastAsia" w:ascii="宋体" w:hAnsi="宋体" w:cs="宋体"/>
          <w:color w:val="FF0000"/>
          <w:szCs w:val="21"/>
        </w:rPr>
        <w:t>本项目向中标供应商收取代理服务费</w:t>
      </w:r>
    </w:p>
    <w:p w14:paraId="4EEC98E7">
      <w:pPr>
        <w:spacing w:before="50" w:after="50"/>
        <w:ind w:firstLine="420" w:firstLineChars="200"/>
        <w:rPr>
          <w:rFonts w:ascii="宋体" w:hAnsi="宋体" w:cs="宋体"/>
          <w:color w:val="FF0000"/>
          <w:szCs w:val="21"/>
        </w:rPr>
      </w:pPr>
      <w:r>
        <w:rPr>
          <w:rFonts w:hint="eastAsia" w:ascii="宋体" w:hAnsi="宋体" w:cs="宋体"/>
          <w:color w:val="FF0000"/>
          <w:szCs w:val="21"/>
        </w:rPr>
        <w:t>中标供应商在领取《中标通知书》之前须向深圳交易集团有限公司交纳代理服务费。若因中标供应商交纳代理服务费所产生的时间影响到合同签订的，由中标供应商自行承担责任。代理服务费标准参照《关于印发深圳交易集团有限公司（深圳公共资源交易中心）业务收费标准的通知》（深交易〔2023〕69号）收取。本项目类别为</w:t>
      </w:r>
      <w:r>
        <w:rPr>
          <w:rFonts w:hint="eastAsia" w:ascii="宋体" w:hAnsi="宋体" w:cs="宋体"/>
          <w:b/>
          <w:bCs/>
          <w:color w:val="FF0000"/>
          <w:szCs w:val="21"/>
        </w:rPr>
        <w:t xml:space="preserve"> 货物招标</w:t>
      </w:r>
      <w:r>
        <w:rPr>
          <w:rFonts w:hint="eastAsia" w:ascii="宋体" w:hAnsi="宋体" w:cs="宋体"/>
          <w:color w:val="FF0000"/>
          <w:szCs w:val="21"/>
        </w:rPr>
        <w:t>：</w:t>
      </w:r>
    </w:p>
    <w:p w14:paraId="170AEBC3">
      <w:pPr>
        <w:tabs>
          <w:tab w:val="left" w:pos="1182"/>
        </w:tabs>
        <w:ind w:left="360" w:right="-317" w:rightChars="-151"/>
        <w:rPr>
          <w:rFonts w:ascii="宋体" w:hAnsi="宋体" w:cs="宋体"/>
          <w:bCs/>
          <w:color w:val="FF0000"/>
          <w:spacing w:val="-4"/>
          <w:szCs w:val="21"/>
        </w:rPr>
      </w:pPr>
      <w:r>
        <w:rPr>
          <w:rFonts w:hint="eastAsia" w:ascii="宋体" w:hAnsi="宋体" w:cs="宋体"/>
          <w:bCs/>
          <w:color w:val="FF0000"/>
          <w:spacing w:val="-4"/>
          <w:szCs w:val="21"/>
        </w:rPr>
        <w:t>（一）代理服务费以《中标通知书》确定的中标金额作为计算基数，按差额定率累进法计算。</w:t>
      </w:r>
    </w:p>
    <w:p w14:paraId="4CD942E8">
      <w:pPr>
        <w:tabs>
          <w:tab w:val="left" w:pos="1182"/>
        </w:tabs>
        <w:ind w:left="360" w:right="-317" w:rightChars="-151"/>
        <w:rPr>
          <w:rFonts w:ascii="宋体" w:hAnsi="宋体" w:cs="宋体"/>
          <w:bCs/>
          <w:color w:val="FF0000"/>
          <w:spacing w:val="-4"/>
          <w:szCs w:val="21"/>
        </w:rPr>
      </w:pPr>
      <w:r>
        <w:rPr>
          <w:rFonts w:hint="eastAsia" w:ascii="宋体" w:hAnsi="宋体" w:cs="宋体"/>
          <w:bCs/>
          <w:color w:val="FF0000"/>
          <w:spacing w:val="-4"/>
          <w:szCs w:val="21"/>
        </w:rPr>
        <w:t>（二）中标金额的各部分费率如下表：</w:t>
      </w:r>
    </w:p>
    <w:tbl>
      <w:tblPr>
        <w:tblStyle w:val="45"/>
        <w:tblW w:w="7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7"/>
        <w:gridCol w:w="1440"/>
        <w:gridCol w:w="1395"/>
        <w:gridCol w:w="1439"/>
      </w:tblGrid>
      <w:tr w14:paraId="357E2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887" w:type="dxa"/>
            <w:tcBorders>
              <w:tl2br w:val="single" w:color="auto" w:sz="4" w:space="0"/>
            </w:tcBorders>
            <w:vAlign w:val="center"/>
          </w:tcPr>
          <w:p w14:paraId="7401DC6E">
            <w:pPr>
              <w:widowControl/>
              <w:spacing w:before="156" w:beforeLines="50" w:after="156" w:afterLines="50" w:line="240" w:lineRule="exact"/>
              <w:ind w:firstLine="1470" w:firstLineChars="700"/>
              <w:jc w:val="left"/>
              <w:rPr>
                <w:rFonts w:ascii="宋体" w:hAnsi="宋体" w:cs="仿宋_GB2312"/>
                <w:bCs/>
                <w:color w:val="FF0000"/>
                <w:kern w:val="0"/>
                <w:szCs w:val="21"/>
              </w:rPr>
            </w:pPr>
            <w:r>
              <w:rPr>
                <w:rFonts w:hint="eastAsia" w:ascii="宋体" w:hAnsi="宋体" w:cs="仿宋_GB2312"/>
                <w:bCs/>
                <w:color w:val="FF0000"/>
                <w:kern w:val="0"/>
                <w:szCs w:val="21"/>
              </w:rPr>
              <w:t>类别</w:t>
            </w:r>
          </w:p>
          <w:p w14:paraId="722B8192">
            <w:pPr>
              <w:widowControl/>
              <w:spacing w:before="156" w:beforeLines="50" w:after="156" w:afterLines="50" w:line="240" w:lineRule="exact"/>
              <w:jc w:val="left"/>
              <w:rPr>
                <w:rFonts w:ascii="宋体" w:hAnsi="宋体" w:cs="仿宋_GB2312"/>
                <w:bCs/>
                <w:color w:val="FF0000"/>
                <w:kern w:val="0"/>
                <w:szCs w:val="21"/>
              </w:rPr>
            </w:pPr>
            <w:r>
              <w:rPr>
                <w:rFonts w:hint="eastAsia" w:ascii="宋体" w:hAnsi="宋体" w:cs="仿宋_GB2312"/>
                <w:bCs/>
                <w:color w:val="FF0000"/>
                <w:kern w:val="0"/>
                <w:szCs w:val="21"/>
              </w:rPr>
              <w:t>金额(万元)</w:t>
            </w:r>
          </w:p>
        </w:tc>
        <w:tc>
          <w:tcPr>
            <w:tcW w:w="1440" w:type="dxa"/>
            <w:vAlign w:val="center"/>
          </w:tcPr>
          <w:p w14:paraId="22BE636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工程招标</w:t>
            </w:r>
          </w:p>
        </w:tc>
        <w:tc>
          <w:tcPr>
            <w:tcW w:w="1395" w:type="dxa"/>
            <w:vAlign w:val="center"/>
          </w:tcPr>
          <w:p w14:paraId="5CF3EABE">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货物招标</w:t>
            </w:r>
          </w:p>
        </w:tc>
        <w:tc>
          <w:tcPr>
            <w:tcW w:w="1439" w:type="dxa"/>
            <w:vAlign w:val="center"/>
          </w:tcPr>
          <w:p w14:paraId="75B1B977">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服务招标</w:t>
            </w:r>
          </w:p>
        </w:tc>
      </w:tr>
      <w:tr w14:paraId="478C0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7F00DD25">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100以下</w:t>
            </w:r>
          </w:p>
        </w:tc>
        <w:tc>
          <w:tcPr>
            <w:tcW w:w="1440" w:type="dxa"/>
          </w:tcPr>
          <w:p w14:paraId="3936D44B">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1.00%</w:t>
            </w:r>
          </w:p>
        </w:tc>
        <w:tc>
          <w:tcPr>
            <w:tcW w:w="1395" w:type="dxa"/>
          </w:tcPr>
          <w:p w14:paraId="61BEFDF9">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1.50%</w:t>
            </w:r>
          </w:p>
        </w:tc>
        <w:tc>
          <w:tcPr>
            <w:tcW w:w="1439" w:type="dxa"/>
          </w:tcPr>
          <w:p w14:paraId="7E3D78CA">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1.50%</w:t>
            </w:r>
          </w:p>
        </w:tc>
      </w:tr>
      <w:tr w14:paraId="1CF1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4D08BDE6">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100-500</w:t>
            </w:r>
          </w:p>
        </w:tc>
        <w:tc>
          <w:tcPr>
            <w:tcW w:w="1440" w:type="dxa"/>
          </w:tcPr>
          <w:p w14:paraId="2A8D66FE">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0.70%</w:t>
            </w:r>
          </w:p>
        </w:tc>
        <w:tc>
          <w:tcPr>
            <w:tcW w:w="1395" w:type="dxa"/>
          </w:tcPr>
          <w:p w14:paraId="4DAD4203">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1.10%</w:t>
            </w:r>
          </w:p>
        </w:tc>
        <w:tc>
          <w:tcPr>
            <w:tcW w:w="1439" w:type="dxa"/>
          </w:tcPr>
          <w:p w14:paraId="4B26750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0.80%</w:t>
            </w:r>
          </w:p>
        </w:tc>
      </w:tr>
      <w:tr w14:paraId="675B9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20C5A021">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500-1000</w:t>
            </w:r>
          </w:p>
        </w:tc>
        <w:tc>
          <w:tcPr>
            <w:tcW w:w="1440" w:type="dxa"/>
          </w:tcPr>
          <w:p w14:paraId="42FF5E6E">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0.55%</w:t>
            </w:r>
          </w:p>
        </w:tc>
        <w:tc>
          <w:tcPr>
            <w:tcW w:w="1395" w:type="dxa"/>
          </w:tcPr>
          <w:p w14:paraId="4F49440D">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0.80%</w:t>
            </w:r>
          </w:p>
        </w:tc>
        <w:tc>
          <w:tcPr>
            <w:tcW w:w="1439" w:type="dxa"/>
          </w:tcPr>
          <w:p w14:paraId="60975BC1">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0.45%</w:t>
            </w:r>
          </w:p>
        </w:tc>
      </w:tr>
      <w:tr w14:paraId="6F3B1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0C740982">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1000-5000</w:t>
            </w:r>
          </w:p>
        </w:tc>
        <w:tc>
          <w:tcPr>
            <w:tcW w:w="1440" w:type="dxa"/>
          </w:tcPr>
          <w:p w14:paraId="5493359B">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0.35%</w:t>
            </w:r>
          </w:p>
        </w:tc>
        <w:tc>
          <w:tcPr>
            <w:tcW w:w="1395" w:type="dxa"/>
          </w:tcPr>
          <w:p w14:paraId="356E51F2">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0.50%</w:t>
            </w:r>
          </w:p>
        </w:tc>
        <w:tc>
          <w:tcPr>
            <w:tcW w:w="1439" w:type="dxa"/>
          </w:tcPr>
          <w:p w14:paraId="48F9E3D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0.25%</w:t>
            </w:r>
          </w:p>
        </w:tc>
      </w:tr>
      <w:tr w14:paraId="50B61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112971BF">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5000-10000</w:t>
            </w:r>
          </w:p>
        </w:tc>
        <w:tc>
          <w:tcPr>
            <w:tcW w:w="1440" w:type="dxa"/>
          </w:tcPr>
          <w:p w14:paraId="6EFFF84F">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0.20%</w:t>
            </w:r>
          </w:p>
        </w:tc>
        <w:tc>
          <w:tcPr>
            <w:tcW w:w="1395" w:type="dxa"/>
          </w:tcPr>
          <w:p w14:paraId="449703A0">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0.25%</w:t>
            </w:r>
          </w:p>
        </w:tc>
        <w:tc>
          <w:tcPr>
            <w:tcW w:w="1439" w:type="dxa"/>
          </w:tcPr>
          <w:p w14:paraId="771DA948">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0.10%</w:t>
            </w:r>
          </w:p>
        </w:tc>
      </w:tr>
      <w:tr w14:paraId="07031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6F3DF7E6">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10000-50000</w:t>
            </w:r>
          </w:p>
        </w:tc>
        <w:tc>
          <w:tcPr>
            <w:tcW w:w="1440" w:type="dxa"/>
          </w:tcPr>
          <w:p w14:paraId="0F48A5B6">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0.05%</w:t>
            </w:r>
          </w:p>
        </w:tc>
        <w:tc>
          <w:tcPr>
            <w:tcW w:w="1395" w:type="dxa"/>
          </w:tcPr>
          <w:p w14:paraId="1496AB66">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0.05%</w:t>
            </w:r>
          </w:p>
        </w:tc>
        <w:tc>
          <w:tcPr>
            <w:tcW w:w="1439" w:type="dxa"/>
          </w:tcPr>
          <w:p w14:paraId="05031FBA">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0.05%</w:t>
            </w:r>
          </w:p>
        </w:tc>
      </w:tr>
      <w:tr w14:paraId="5D05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32B0E1E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50000-100000</w:t>
            </w:r>
          </w:p>
        </w:tc>
        <w:tc>
          <w:tcPr>
            <w:tcW w:w="1440" w:type="dxa"/>
          </w:tcPr>
          <w:p w14:paraId="1BB2C32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0.035%</w:t>
            </w:r>
          </w:p>
        </w:tc>
        <w:tc>
          <w:tcPr>
            <w:tcW w:w="1395" w:type="dxa"/>
          </w:tcPr>
          <w:p w14:paraId="7CC2256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0.035%</w:t>
            </w:r>
          </w:p>
        </w:tc>
        <w:tc>
          <w:tcPr>
            <w:tcW w:w="1439" w:type="dxa"/>
          </w:tcPr>
          <w:p w14:paraId="793C0027">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0.035%</w:t>
            </w:r>
          </w:p>
        </w:tc>
      </w:tr>
      <w:tr w14:paraId="201AF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47C3C0BE">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100000-500000</w:t>
            </w:r>
          </w:p>
        </w:tc>
        <w:tc>
          <w:tcPr>
            <w:tcW w:w="1440" w:type="dxa"/>
          </w:tcPr>
          <w:p w14:paraId="16C35625">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0.008%</w:t>
            </w:r>
          </w:p>
        </w:tc>
        <w:tc>
          <w:tcPr>
            <w:tcW w:w="1395" w:type="dxa"/>
          </w:tcPr>
          <w:p w14:paraId="0D05595E">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0.008%</w:t>
            </w:r>
          </w:p>
        </w:tc>
        <w:tc>
          <w:tcPr>
            <w:tcW w:w="1439" w:type="dxa"/>
          </w:tcPr>
          <w:p w14:paraId="584CBA43">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0.008%</w:t>
            </w:r>
          </w:p>
        </w:tc>
      </w:tr>
      <w:tr w14:paraId="5FF60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0399CF30">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500000-1000000</w:t>
            </w:r>
          </w:p>
        </w:tc>
        <w:tc>
          <w:tcPr>
            <w:tcW w:w="1440" w:type="dxa"/>
          </w:tcPr>
          <w:p w14:paraId="18D50941">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0.006%</w:t>
            </w:r>
          </w:p>
        </w:tc>
        <w:tc>
          <w:tcPr>
            <w:tcW w:w="1395" w:type="dxa"/>
          </w:tcPr>
          <w:p w14:paraId="09B32E05">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0.006%</w:t>
            </w:r>
          </w:p>
        </w:tc>
        <w:tc>
          <w:tcPr>
            <w:tcW w:w="1439" w:type="dxa"/>
          </w:tcPr>
          <w:p w14:paraId="5BB1F8A2">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0.006%</w:t>
            </w:r>
          </w:p>
        </w:tc>
      </w:tr>
      <w:tr w14:paraId="2FBC0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887" w:type="dxa"/>
          </w:tcPr>
          <w:p w14:paraId="051E121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1000000以上</w:t>
            </w:r>
          </w:p>
        </w:tc>
        <w:tc>
          <w:tcPr>
            <w:tcW w:w="1440" w:type="dxa"/>
          </w:tcPr>
          <w:p w14:paraId="19031938">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0.004%</w:t>
            </w:r>
          </w:p>
        </w:tc>
        <w:tc>
          <w:tcPr>
            <w:tcW w:w="1395" w:type="dxa"/>
          </w:tcPr>
          <w:p w14:paraId="44B644D9">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0.004%</w:t>
            </w:r>
          </w:p>
        </w:tc>
        <w:tc>
          <w:tcPr>
            <w:tcW w:w="1439" w:type="dxa"/>
          </w:tcPr>
          <w:p w14:paraId="2FF3C5FC">
            <w:pPr>
              <w:widowControl/>
              <w:spacing w:before="156" w:beforeLines="50" w:after="156" w:afterLines="50" w:line="240" w:lineRule="exact"/>
              <w:jc w:val="center"/>
              <w:rPr>
                <w:rFonts w:ascii="宋体" w:hAnsi="宋体" w:cs="仿宋_GB2312"/>
                <w:bCs/>
                <w:color w:val="FF0000"/>
                <w:kern w:val="0"/>
                <w:szCs w:val="21"/>
              </w:rPr>
            </w:pPr>
            <w:r>
              <w:rPr>
                <w:rFonts w:hint="eastAsia" w:ascii="宋体" w:hAnsi="宋体" w:cs="仿宋_GB2312"/>
                <w:bCs/>
                <w:color w:val="FF0000"/>
                <w:kern w:val="0"/>
                <w:szCs w:val="21"/>
              </w:rPr>
              <w:t>0.004%</w:t>
            </w:r>
          </w:p>
        </w:tc>
      </w:tr>
    </w:tbl>
    <w:p w14:paraId="29FDE1BC">
      <w:pPr>
        <w:ind w:firstLine="420" w:firstLineChars="200"/>
        <w:rPr>
          <w:rFonts w:ascii="宋体" w:hAnsi="宋体" w:cs="宋体"/>
          <w:color w:val="FF0000"/>
          <w:szCs w:val="21"/>
        </w:rPr>
      </w:pPr>
      <w:r>
        <w:rPr>
          <w:rFonts w:hint="eastAsia" w:ascii="宋体" w:hAnsi="宋体" w:cs="宋体"/>
          <w:color w:val="FF0000"/>
          <w:szCs w:val="21"/>
        </w:rPr>
        <w:t>如某货物招标项目，中标金额为600万，需交纳的代理服务费具体计算如下：</w:t>
      </w:r>
    </w:p>
    <w:p w14:paraId="6350D4A4">
      <w:pPr>
        <w:ind w:firstLine="420" w:firstLineChars="200"/>
        <w:rPr>
          <w:rFonts w:ascii="宋体" w:hAnsi="宋体" w:cs="宋体"/>
          <w:color w:val="FF0000"/>
          <w:szCs w:val="21"/>
        </w:rPr>
      </w:pPr>
      <w:r>
        <w:rPr>
          <w:rFonts w:hint="eastAsia" w:ascii="宋体" w:hAnsi="宋体" w:cs="宋体"/>
          <w:color w:val="FF0000"/>
          <w:szCs w:val="21"/>
        </w:rPr>
        <w:t>代理服务费＝（100万以下部分的代理服务费）+（100万～500万部分的代理服务费）+（500万～600万部分的代理服务费）＝100万元×1.5%+（500-100）万元×1.1%+（600-500）万元×0.8%=1.5万元+4.4万元+0.8万元＝6.7万元</w:t>
      </w:r>
    </w:p>
    <w:p w14:paraId="1B9C4EA9">
      <w:pPr>
        <w:ind w:firstLine="420" w:firstLineChars="200"/>
        <w:rPr>
          <w:rFonts w:ascii="宋体" w:hAnsi="宋体" w:cs="宋体"/>
          <w:color w:val="FF0000"/>
          <w:szCs w:val="21"/>
        </w:rPr>
      </w:pPr>
      <w:r>
        <w:rPr>
          <w:rFonts w:hint="eastAsia" w:ascii="宋体" w:hAnsi="宋体" w:cs="宋体"/>
          <w:color w:val="FF0000"/>
          <w:szCs w:val="21"/>
        </w:rPr>
        <w:t>（三）每宗交易代理服务费不低于5000元；</w:t>
      </w:r>
    </w:p>
    <w:p w14:paraId="5FF4103B">
      <w:pPr>
        <w:ind w:firstLine="420" w:firstLineChars="200"/>
        <w:rPr>
          <w:rFonts w:ascii="宋体" w:hAnsi="宋体" w:cs="宋体"/>
          <w:color w:val="FF0000"/>
          <w:szCs w:val="21"/>
        </w:rPr>
      </w:pPr>
      <w:r>
        <w:rPr>
          <w:rFonts w:hint="eastAsia" w:ascii="宋体" w:hAnsi="宋体" w:cs="宋体"/>
          <w:color w:val="FF0000"/>
          <w:szCs w:val="21"/>
        </w:rPr>
        <w:t>（四）中标供应商中标后，必须按规定采用银行对公转账方式向深圳交易集团有限公司直接交纳代理服务费，交纳信息及要求按以下规定执行：</w:t>
      </w:r>
    </w:p>
    <w:p w14:paraId="01315FEF">
      <w:pPr>
        <w:ind w:firstLine="422" w:firstLineChars="200"/>
        <w:rPr>
          <w:rFonts w:ascii="宋体" w:hAnsi="宋体" w:cs="宋体"/>
          <w:bCs/>
          <w:color w:val="FF0000"/>
          <w:szCs w:val="21"/>
        </w:rPr>
      </w:pPr>
      <w:r>
        <w:rPr>
          <w:rFonts w:hint="eastAsia" w:ascii="宋体" w:hAnsi="宋体" w:cs="宋体"/>
          <w:b/>
          <w:bCs/>
          <w:color w:val="FF0000"/>
          <w:szCs w:val="21"/>
        </w:rPr>
        <w:t>基本户信息：</w:t>
      </w:r>
    </w:p>
    <w:p w14:paraId="18F34136">
      <w:pPr>
        <w:ind w:firstLine="420" w:firstLineChars="200"/>
        <w:rPr>
          <w:rFonts w:ascii="宋体" w:hAnsi="宋体" w:cs="宋体"/>
          <w:color w:val="FF0000"/>
          <w:szCs w:val="21"/>
        </w:rPr>
      </w:pPr>
      <w:r>
        <w:rPr>
          <w:rFonts w:hint="eastAsia" w:ascii="宋体" w:hAnsi="宋体" w:cs="宋体"/>
          <w:color w:val="FF0000"/>
          <w:szCs w:val="21"/>
        </w:rPr>
        <w:t>账户名：深圳交易集团有限公司</w:t>
      </w:r>
    </w:p>
    <w:p w14:paraId="73787A1A">
      <w:pPr>
        <w:ind w:firstLine="420" w:firstLineChars="200"/>
        <w:rPr>
          <w:rFonts w:ascii="宋体" w:hAnsi="宋体" w:cs="宋体"/>
          <w:color w:val="FF0000"/>
          <w:szCs w:val="21"/>
        </w:rPr>
      </w:pPr>
      <w:r>
        <w:rPr>
          <w:rFonts w:hint="eastAsia" w:ascii="宋体" w:hAnsi="宋体" w:cs="宋体"/>
          <w:color w:val="FF0000"/>
          <w:szCs w:val="21"/>
        </w:rPr>
        <w:t>账号：632765883</w:t>
      </w:r>
    </w:p>
    <w:p w14:paraId="5C37FBCD">
      <w:pPr>
        <w:ind w:firstLine="420" w:firstLineChars="200"/>
        <w:rPr>
          <w:rFonts w:ascii="宋体" w:hAnsi="宋体" w:cs="宋体"/>
          <w:color w:val="FF0000"/>
          <w:szCs w:val="21"/>
        </w:rPr>
      </w:pPr>
      <w:r>
        <w:rPr>
          <w:rFonts w:hint="eastAsia" w:ascii="宋体" w:hAnsi="宋体" w:cs="宋体"/>
          <w:color w:val="FF0000"/>
          <w:szCs w:val="21"/>
        </w:rPr>
        <w:t>开户行：民生银行深圳五洲支行</w:t>
      </w:r>
    </w:p>
    <w:p w14:paraId="2172EBDF">
      <w:pPr>
        <w:ind w:firstLine="422" w:firstLineChars="200"/>
        <w:rPr>
          <w:rFonts w:ascii="宋体" w:hAnsi="宋体" w:cs="宋体"/>
          <w:bCs/>
          <w:color w:val="FF0000"/>
          <w:szCs w:val="21"/>
        </w:rPr>
      </w:pPr>
      <w:r>
        <w:rPr>
          <w:rFonts w:hint="eastAsia" w:ascii="宋体" w:hAnsi="宋体" w:cs="宋体"/>
          <w:b/>
          <w:bCs/>
          <w:color w:val="FF0000"/>
          <w:szCs w:val="21"/>
        </w:rPr>
        <w:t>转账备注：</w:t>
      </w:r>
    </w:p>
    <w:p w14:paraId="1CE19FCC">
      <w:pPr>
        <w:ind w:firstLine="420" w:firstLineChars="200"/>
      </w:pPr>
      <w:r>
        <w:rPr>
          <w:rFonts w:hint="eastAsia" w:ascii="宋体" w:hAnsi="宋体" w:cs="宋体"/>
          <w:bCs/>
          <w:color w:val="FF0000"/>
          <w:szCs w:val="21"/>
        </w:rPr>
        <w:t>项目编号+项目名称+中标金额+中标供应商名称</w:t>
      </w:r>
    </w:p>
    <w:p w14:paraId="6ED41017">
      <w:pPr>
        <w:spacing w:after="160" w:line="259" w:lineRule="auto"/>
        <w:ind w:firstLine="422" w:firstLineChars="200"/>
        <w:jc w:val="left"/>
        <w:rPr>
          <w:b/>
          <w:color w:val="000000" w:themeColor="text1"/>
          <w14:textFill>
            <w14:solidFill>
              <w14:schemeClr w14:val="tx1"/>
            </w14:solidFill>
          </w14:textFill>
        </w:rPr>
      </w:pPr>
    </w:p>
    <w:p w14:paraId="08ED5D4A">
      <w:pPr>
        <w:ind w:firstLine="422" w:firstLineChars="200"/>
        <w:rPr>
          <w:b/>
          <w:color w:val="000000" w:themeColor="text1"/>
          <w14:textFill>
            <w14:solidFill>
              <w14:schemeClr w14:val="tx1"/>
            </w14:solidFill>
          </w14:textFill>
        </w:rPr>
      </w:pPr>
      <w:r>
        <w:rPr>
          <w:b/>
          <w:color w:val="000000" w:themeColor="text1"/>
          <w14:textFill>
            <w14:solidFill>
              <w14:schemeClr w14:val="tx1"/>
            </w14:solidFill>
          </w14:textFill>
        </w:rPr>
        <w:t>4</w:t>
      </w:r>
      <w:r>
        <w:rPr>
          <w:rFonts w:hint="eastAsia"/>
          <w:b/>
          <w:color w:val="000000" w:themeColor="text1"/>
          <w14:textFill>
            <w14:solidFill>
              <w14:schemeClr w14:val="tx1"/>
            </w14:solidFill>
          </w14:textFill>
        </w:rPr>
        <w:t>.其他要求：</w:t>
      </w:r>
    </w:p>
    <w:p w14:paraId="5A734266">
      <w:r>
        <w:rPr>
          <w:rFonts w:hint="eastAsia"/>
        </w:rPr>
        <w:t>投标人如需了解采购人具体名称，需要提供保密承诺函《具体内容格式详见附件: 保密承诺函)》，收到书面保密承诺函扫描件后进行答复。</w:t>
      </w:r>
    </w:p>
    <w:p w14:paraId="4FAC997B">
      <w:pPr>
        <w:ind w:firstLine="420" w:firstLineChars="200"/>
      </w:pPr>
      <w:r>
        <w:rPr>
          <w:rFonts w:hint="eastAsia"/>
        </w:rPr>
        <w:t>附件：</w:t>
      </w:r>
    </w:p>
    <w:p w14:paraId="18FAC7C6">
      <w:pPr>
        <w:ind w:firstLine="420" w:firstLineChars="200"/>
        <w:jc w:val="center"/>
      </w:pPr>
      <w:r>
        <w:rPr>
          <w:rFonts w:hint="eastAsia"/>
        </w:rPr>
        <w:t>保密承诺函</w:t>
      </w:r>
    </w:p>
    <w:p w14:paraId="250F2BBB">
      <w:pPr>
        <w:ind w:firstLine="420" w:firstLineChars="200"/>
      </w:pPr>
      <w:r>
        <w:rPr>
          <w:rFonts w:hint="eastAsia"/>
        </w:rPr>
        <w:t>致：zycgr21071303</w:t>
      </w:r>
    </w:p>
    <w:p w14:paraId="681E8CE6">
      <w:pPr>
        <w:ind w:firstLine="420" w:firstLineChars="200"/>
      </w:pPr>
      <w:r>
        <w:rPr>
          <w:rFonts w:hint="eastAsia"/>
        </w:rPr>
        <w:t>我方作为“       项目（项目编号：       ）”的投标人，须向贵单位了解具体采购人名称，我方在此承诺：未经贵单位许可，我方不对外公开、宣传或泄露贵单位具体名称有关信息及采购项目等相关信息，如违反上述承诺，给贵方造成任何不利后果（包括但不限于经济责任、行政责任等），均由我方承担。</w:t>
      </w:r>
    </w:p>
    <w:p w14:paraId="04426F81">
      <w:pPr>
        <w:ind w:firstLine="5670" w:firstLineChars="2700"/>
      </w:pPr>
      <w:r>
        <w:rPr>
          <w:rFonts w:hint="eastAsia"/>
        </w:rPr>
        <w:t xml:space="preserve">投标人(公章）： </w:t>
      </w:r>
    </w:p>
    <w:p w14:paraId="7BF67B9D">
      <w:pPr>
        <w:ind w:firstLine="420" w:firstLineChars="200"/>
        <w:jc w:val="right"/>
      </w:pPr>
      <w:r>
        <w:rPr>
          <w:rFonts w:hint="eastAsia"/>
        </w:rPr>
        <w:t xml:space="preserve"> 年   月    日</w:t>
      </w:r>
    </w:p>
    <w:p w14:paraId="08304F56">
      <w:pPr>
        <w:rPr>
          <w:rFonts w:ascii="宋体" w:hAnsi="宋体"/>
          <w:b/>
          <w:bCs/>
          <w:kern w:val="0"/>
          <w:sz w:val="28"/>
          <w:szCs w:val="28"/>
        </w:rPr>
      </w:pPr>
      <w:r>
        <w:rPr>
          <w:sz w:val="28"/>
          <w:szCs w:val="28"/>
        </w:rPr>
        <w:br w:type="page"/>
      </w:r>
    </w:p>
    <w:bookmarkEnd w:id="33"/>
    <w:p w14:paraId="149DB974">
      <w:pPr>
        <w:pStyle w:val="7"/>
        <w:rPr>
          <w:sz w:val="28"/>
          <w:szCs w:val="28"/>
        </w:rPr>
      </w:pPr>
      <w:r>
        <w:rPr>
          <w:rFonts w:hint="eastAsia"/>
          <w:sz w:val="28"/>
          <w:szCs w:val="28"/>
        </w:rPr>
        <w:t>第三章 用户需求书</w:t>
      </w:r>
    </w:p>
    <w:p w14:paraId="70328D7C">
      <w:pPr>
        <w:pStyle w:val="7"/>
        <w:spacing w:before="156" w:beforeLines="50" w:after="156" w:afterLines="50"/>
        <w:rPr>
          <w:szCs w:val="24"/>
        </w:rPr>
      </w:pPr>
      <w:r>
        <w:rPr>
          <w:rFonts w:hint="eastAsia"/>
          <w:szCs w:val="24"/>
        </w:rPr>
        <w:t>一、项目基本信息</w:t>
      </w:r>
    </w:p>
    <w:tbl>
      <w:tblPr>
        <w:tblStyle w:val="45"/>
        <w:tblpPr w:leftFromText="180" w:rightFromText="180" w:vertAnchor="text" w:horzAnchor="margin" w:tblpY="17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2417"/>
        <w:gridCol w:w="1892"/>
        <w:gridCol w:w="1892"/>
        <w:gridCol w:w="1892"/>
      </w:tblGrid>
      <w:tr w14:paraId="5C239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50" w:type="pct"/>
            <w:vAlign w:val="center"/>
          </w:tcPr>
          <w:p w14:paraId="1A1C5340">
            <w:pPr>
              <w:jc w:val="center"/>
              <w:rPr>
                <w:bCs/>
                <w:szCs w:val="21"/>
              </w:rPr>
            </w:pPr>
            <w:r>
              <w:rPr>
                <w:rFonts w:hint="eastAsia"/>
                <w:bCs/>
                <w:szCs w:val="21"/>
              </w:rPr>
              <w:t>序号</w:t>
            </w:r>
          </w:p>
        </w:tc>
        <w:tc>
          <w:tcPr>
            <w:tcW w:w="1418" w:type="pct"/>
            <w:vAlign w:val="center"/>
          </w:tcPr>
          <w:p w14:paraId="2D49E59E">
            <w:pPr>
              <w:jc w:val="center"/>
              <w:rPr>
                <w:bCs/>
                <w:szCs w:val="21"/>
              </w:rPr>
            </w:pPr>
            <w:r>
              <w:rPr>
                <w:rFonts w:hint="eastAsia"/>
                <w:bCs/>
                <w:szCs w:val="21"/>
              </w:rPr>
              <w:t>采购项目名称</w:t>
            </w:r>
          </w:p>
        </w:tc>
        <w:tc>
          <w:tcPr>
            <w:tcW w:w="1110" w:type="pct"/>
            <w:vAlign w:val="center"/>
          </w:tcPr>
          <w:p w14:paraId="00C31135">
            <w:pPr>
              <w:jc w:val="center"/>
              <w:rPr>
                <w:b/>
                <w:bCs/>
                <w:color w:val="FF0000"/>
                <w:szCs w:val="21"/>
              </w:rPr>
            </w:pPr>
            <w:r>
              <w:rPr>
                <w:rFonts w:hint="eastAsia"/>
                <w:b/>
                <w:bCs/>
                <w:color w:val="FF0000"/>
                <w:szCs w:val="21"/>
              </w:rPr>
              <w:t>预算金额（元）</w:t>
            </w:r>
          </w:p>
        </w:tc>
        <w:tc>
          <w:tcPr>
            <w:tcW w:w="1110" w:type="pct"/>
            <w:vAlign w:val="center"/>
          </w:tcPr>
          <w:p w14:paraId="6AE7A1BC">
            <w:pPr>
              <w:jc w:val="center"/>
              <w:rPr>
                <w:b/>
                <w:bCs/>
                <w:color w:val="FF0000"/>
                <w:szCs w:val="21"/>
              </w:rPr>
            </w:pPr>
            <w:r>
              <w:rPr>
                <w:rFonts w:hint="eastAsia"/>
                <w:b/>
                <w:bCs/>
                <w:color w:val="FF0000"/>
                <w:szCs w:val="21"/>
              </w:rPr>
              <w:t>最高限价（元）</w:t>
            </w:r>
          </w:p>
        </w:tc>
        <w:tc>
          <w:tcPr>
            <w:tcW w:w="1110" w:type="pct"/>
            <w:vAlign w:val="center"/>
          </w:tcPr>
          <w:p w14:paraId="7BF75AF0">
            <w:pPr>
              <w:jc w:val="center"/>
              <w:rPr>
                <w:rFonts w:hint="eastAsia" w:eastAsia="宋体"/>
                <w:b/>
                <w:bCs/>
                <w:color w:val="FF0000"/>
                <w:szCs w:val="21"/>
                <w:lang w:val="en-US" w:eastAsia="zh-CN"/>
              </w:rPr>
            </w:pPr>
            <w:r>
              <w:rPr>
                <w:rFonts w:hint="eastAsia"/>
                <w:b/>
                <w:bCs/>
                <w:color w:val="FF0000"/>
                <w:szCs w:val="21"/>
                <w:lang w:val="en-US" w:eastAsia="zh-CN"/>
              </w:rPr>
              <w:t>备注</w:t>
            </w:r>
          </w:p>
        </w:tc>
      </w:tr>
      <w:tr w14:paraId="225CD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250" w:type="pct"/>
            <w:vAlign w:val="center"/>
          </w:tcPr>
          <w:p w14:paraId="7DBEF73D">
            <w:pPr>
              <w:jc w:val="center"/>
              <w:rPr>
                <w:bCs/>
                <w:color w:val="FF0000"/>
                <w:szCs w:val="21"/>
              </w:rPr>
            </w:pPr>
            <w:r>
              <w:rPr>
                <w:rFonts w:hint="eastAsia"/>
                <w:bCs/>
                <w:szCs w:val="21"/>
              </w:rPr>
              <w:t>1</w:t>
            </w:r>
          </w:p>
        </w:tc>
        <w:tc>
          <w:tcPr>
            <w:tcW w:w="1418" w:type="pct"/>
            <w:vAlign w:val="center"/>
          </w:tcPr>
          <w:p w14:paraId="3F2235CA">
            <w:pPr>
              <w:jc w:val="center"/>
              <w:rPr>
                <w:b/>
                <w:bCs/>
                <w:color w:val="FF0000"/>
                <w:szCs w:val="21"/>
              </w:rPr>
            </w:pPr>
            <w:bookmarkStart w:id="38" w:name="OLE_LINK4"/>
            <w:bookmarkStart w:id="39" w:name="OLE_LINK3"/>
            <w:r>
              <w:rPr>
                <w:rFonts w:hint="eastAsia"/>
                <w:b/>
                <w:bCs/>
                <w:color w:val="FF0000"/>
                <w:szCs w:val="21"/>
              </w:rPr>
              <w:t>科研平台配套设施采购项目</w:t>
            </w:r>
            <w:bookmarkEnd w:id="38"/>
            <w:bookmarkEnd w:id="39"/>
          </w:p>
        </w:tc>
        <w:tc>
          <w:tcPr>
            <w:tcW w:w="1110" w:type="pct"/>
            <w:vAlign w:val="center"/>
          </w:tcPr>
          <w:p w14:paraId="680F6839">
            <w:pPr>
              <w:jc w:val="center"/>
              <w:rPr>
                <w:rFonts w:hint="default" w:eastAsia="宋体"/>
                <w:b/>
                <w:bCs/>
                <w:color w:val="FF0000"/>
                <w:szCs w:val="21"/>
                <w:lang w:val="en-US" w:eastAsia="zh-CN"/>
              </w:rPr>
            </w:pPr>
            <w:r>
              <w:rPr>
                <w:rFonts w:hint="eastAsia"/>
                <w:b/>
                <w:bCs/>
                <w:color w:val="FF0000"/>
                <w:szCs w:val="21"/>
                <w:lang w:val="en-US" w:eastAsia="zh-CN"/>
              </w:rPr>
              <w:t>37530000.00</w:t>
            </w:r>
          </w:p>
        </w:tc>
        <w:tc>
          <w:tcPr>
            <w:tcW w:w="1110" w:type="pct"/>
            <w:vAlign w:val="center"/>
          </w:tcPr>
          <w:p w14:paraId="1E8B538E">
            <w:pPr>
              <w:jc w:val="center"/>
              <w:rPr>
                <w:rFonts w:hint="default" w:eastAsia="宋体"/>
                <w:b/>
                <w:bCs/>
                <w:color w:val="FF0000"/>
                <w:szCs w:val="21"/>
                <w:lang w:val="en-US" w:eastAsia="zh-CN"/>
              </w:rPr>
            </w:pPr>
            <w:r>
              <w:rPr>
                <w:rFonts w:hint="eastAsia"/>
                <w:b/>
                <w:bCs/>
                <w:color w:val="FF0000"/>
                <w:lang w:val="en-US" w:eastAsia="zh-CN"/>
              </w:rPr>
              <w:t>37000000.00</w:t>
            </w:r>
          </w:p>
        </w:tc>
        <w:tc>
          <w:tcPr>
            <w:tcW w:w="1110" w:type="pct"/>
            <w:vAlign w:val="center"/>
          </w:tcPr>
          <w:p w14:paraId="49AEEAFE">
            <w:pPr>
              <w:jc w:val="center"/>
              <w:rPr>
                <w:rFonts w:hint="eastAsia" w:ascii="宋体" w:hAnsi="宋体" w:eastAsia="宋体" w:cs="宋体"/>
              </w:rPr>
            </w:pPr>
            <w:r>
              <w:rPr>
                <w:rFonts w:hint="eastAsia" w:ascii="宋体" w:hAnsi="宋体" w:cs="宋体"/>
                <w:lang w:eastAsia="zh-CN"/>
              </w:rPr>
              <w:t>《</w:t>
            </w:r>
            <w:r>
              <w:rPr>
                <w:rFonts w:hint="eastAsia" w:ascii="宋体" w:hAnsi="宋体" w:eastAsia="宋体" w:cs="宋体"/>
              </w:rPr>
              <w:t>项目要求</w:t>
            </w:r>
            <w:r>
              <w:rPr>
                <w:rFonts w:hint="eastAsia" w:ascii="宋体" w:hAnsi="宋体" w:cs="宋体"/>
                <w:lang w:eastAsia="zh-CN"/>
              </w:rPr>
              <w:t>》</w:t>
            </w:r>
            <w:r>
              <w:rPr>
                <w:rFonts w:hint="eastAsia" w:ascii="宋体" w:hAnsi="宋体" w:eastAsia="宋体" w:cs="宋体"/>
              </w:rPr>
              <w:t>见附件1</w:t>
            </w:r>
          </w:p>
          <w:p w14:paraId="0DB54173">
            <w:pPr>
              <w:jc w:val="center"/>
            </w:pPr>
            <w:r>
              <w:rPr>
                <w:rFonts w:hint="eastAsia" w:ascii="宋体" w:hAnsi="宋体" w:cs="宋体"/>
                <w:lang w:eastAsia="zh-CN"/>
              </w:rPr>
              <w:t>《</w:t>
            </w:r>
            <w:r>
              <w:rPr>
                <w:rFonts w:hint="eastAsia" w:ascii="宋体" w:hAnsi="宋体" w:eastAsia="宋体" w:cs="宋体"/>
              </w:rPr>
              <w:t>技术规范</w:t>
            </w:r>
            <w:r>
              <w:rPr>
                <w:rFonts w:hint="eastAsia" w:ascii="宋体" w:hAnsi="宋体" w:cs="宋体"/>
                <w:lang w:eastAsia="zh-CN"/>
              </w:rPr>
              <w:t>》</w:t>
            </w:r>
            <w:r>
              <w:rPr>
                <w:rFonts w:hint="eastAsia" w:ascii="宋体" w:hAnsi="宋体" w:eastAsia="宋体" w:cs="宋体"/>
              </w:rPr>
              <w:t>见附件2</w:t>
            </w:r>
          </w:p>
        </w:tc>
      </w:tr>
    </w:tbl>
    <w:p w14:paraId="1D50BE19">
      <w:pPr>
        <w:pStyle w:val="2"/>
        <w:spacing w:line="240" w:lineRule="auto"/>
        <w:rPr>
          <w:b/>
          <w:bCs/>
          <w:color w:val="FF0000"/>
          <w:sz w:val="21"/>
          <w:szCs w:val="21"/>
        </w:rPr>
      </w:pPr>
      <w:bookmarkStart w:id="40" w:name="_Hlk72258617"/>
      <w:r>
        <w:rPr>
          <w:rFonts w:hint="eastAsia"/>
          <w:b/>
          <w:bCs/>
          <w:color w:val="FF0000"/>
          <w:sz w:val="21"/>
          <w:szCs w:val="21"/>
        </w:rPr>
        <w:t>本项目在预算金额下设定最高限价，如投标人的投标报价超过最高限价，将按照符合性审查要求作投标无效处理。</w:t>
      </w:r>
    </w:p>
    <w:p w14:paraId="65E0C514">
      <w:pPr>
        <w:pStyle w:val="7"/>
        <w:spacing w:before="156" w:beforeLines="50" w:after="156" w:afterLines="50"/>
        <w:rPr>
          <w:szCs w:val="24"/>
        </w:rPr>
      </w:pPr>
      <w:r>
        <w:rPr>
          <w:rFonts w:hint="eastAsia"/>
          <w:szCs w:val="24"/>
        </w:rPr>
        <w:t>二、</w:t>
      </w:r>
      <w:bookmarkStart w:id="41" w:name="_Hlk72073432"/>
      <w:r>
        <w:rPr>
          <w:rFonts w:hint="eastAsia"/>
          <w:szCs w:val="24"/>
        </w:rPr>
        <w:t>货物需求明细</w:t>
      </w:r>
      <w:bookmarkEnd w:id="41"/>
    </w:p>
    <w:tbl>
      <w:tblPr>
        <w:tblStyle w:val="45"/>
        <w:tblpPr w:leftFromText="180" w:rightFromText="180" w:vertAnchor="text" w:horzAnchor="margin" w:tblpY="17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
        <w:gridCol w:w="4156"/>
        <w:gridCol w:w="630"/>
        <w:gridCol w:w="630"/>
        <w:gridCol w:w="710"/>
        <w:gridCol w:w="829"/>
        <w:gridCol w:w="1047"/>
      </w:tblGrid>
      <w:tr w14:paraId="38B33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02" w:type="pct"/>
            <w:vAlign w:val="center"/>
          </w:tcPr>
          <w:p w14:paraId="57187D74">
            <w:pPr>
              <w:jc w:val="center"/>
              <w:rPr>
                <w:bCs/>
                <w:sz w:val="21"/>
                <w:szCs w:val="21"/>
              </w:rPr>
            </w:pPr>
            <w:r>
              <w:rPr>
                <w:rFonts w:hint="eastAsia"/>
                <w:bCs/>
                <w:sz w:val="21"/>
                <w:szCs w:val="21"/>
              </w:rPr>
              <w:t>序号</w:t>
            </w:r>
          </w:p>
        </w:tc>
        <w:tc>
          <w:tcPr>
            <w:tcW w:w="2439" w:type="pct"/>
            <w:vAlign w:val="center"/>
          </w:tcPr>
          <w:p w14:paraId="1593A577">
            <w:pPr>
              <w:jc w:val="center"/>
              <w:rPr>
                <w:bCs/>
                <w:sz w:val="21"/>
                <w:szCs w:val="21"/>
              </w:rPr>
            </w:pPr>
            <w:r>
              <w:rPr>
                <w:rFonts w:hint="eastAsia"/>
                <w:bCs/>
                <w:sz w:val="21"/>
                <w:szCs w:val="21"/>
              </w:rPr>
              <w:t>货物名称（标的名称）</w:t>
            </w:r>
          </w:p>
        </w:tc>
        <w:tc>
          <w:tcPr>
            <w:tcW w:w="369" w:type="pct"/>
            <w:vAlign w:val="center"/>
          </w:tcPr>
          <w:p w14:paraId="7446BE78">
            <w:pPr>
              <w:jc w:val="center"/>
              <w:rPr>
                <w:bCs/>
                <w:sz w:val="21"/>
                <w:szCs w:val="21"/>
              </w:rPr>
            </w:pPr>
            <w:r>
              <w:rPr>
                <w:rFonts w:hint="eastAsia"/>
                <w:bCs/>
                <w:sz w:val="21"/>
                <w:szCs w:val="21"/>
              </w:rPr>
              <w:t>数量</w:t>
            </w:r>
          </w:p>
        </w:tc>
        <w:tc>
          <w:tcPr>
            <w:tcW w:w="369" w:type="pct"/>
            <w:vAlign w:val="center"/>
          </w:tcPr>
          <w:p w14:paraId="002F531A">
            <w:pPr>
              <w:jc w:val="center"/>
              <w:rPr>
                <w:bCs/>
                <w:sz w:val="21"/>
                <w:szCs w:val="21"/>
              </w:rPr>
            </w:pPr>
            <w:r>
              <w:rPr>
                <w:rFonts w:hint="eastAsia"/>
                <w:bCs/>
                <w:sz w:val="21"/>
                <w:szCs w:val="21"/>
              </w:rPr>
              <w:t>单位</w:t>
            </w:r>
          </w:p>
        </w:tc>
        <w:tc>
          <w:tcPr>
            <w:tcW w:w="416" w:type="pct"/>
            <w:vAlign w:val="center"/>
          </w:tcPr>
          <w:p w14:paraId="41368E36">
            <w:pPr>
              <w:jc w:val="center"/>
              <w:rPr>
                <w:b/>
                <w:bCs/>
                <w:color w:val="FF0000"/>
                <w:sz w:val="21"/>
                <w:szCs w:val="21"/>
              </w:rPr>
            </w:pPr>
            <w:r>
              <w:rPr>
                <w:rFonts w:hint="eastAsia"/>
                <w:b/>
                <w:bCs/>
                <w:color w:val="FF0000"/>
                <w:sz w:val="21"/>
                <w:szCs w:val="21"/>
              </w:rPr>
              <w:t>备注</w:t>
            </w:r>
          </w:p>
        </w:tc>
        <w:tc>
          <w:tcPr>
            <w:tcW w:w="486" w:type="pct"/>
            <w:vAlign w:val="center"/>
          </w:tcPr>
          <w:p w14:paraId="799228CE">
            <w:pPr>
              <w:jc w:val="center"/>
              <w:rPr>
                <w:b/>
                <w:bCs/>
                <w:color w:val="FF0000"/>
                <w:sz w:val="21"/>
                <w:szCs w:val="21"/>
              </w:rPr>
            </w:pPr>
            <w:r>
              <w:rPr>
                <w:rFonts w:hint="eastAsia"/>
                <w:b/>
                <w:bCs/>
                <w:color w:val="FF0000"/>
                <w:sz w:val="21"/>
                <w:szCs w:val="21"/>
              </w:rPr>
              <w:t>预算金额（元）</w:t>
            </w:r>
          </w:p>
        </w:tc>
        <w:tc>
          <w:tcPr>
            <w:tcW w:w="614" w:type="pct"/>
            <w:vAlign w:val="center"/>
          </w:tcPr>
          <w:p w14:paraId="2D9B54B0">
            <w:pPr>
              <w:jc w:val="center"/>
              <w:rPr>
                <w:b/>
                <w:bCs/>
                <w:color w:val="FF0000"/>
                <w:sz w:val="21"/>
                <w:szCs w:val="21"/>
              </w:rPr>
            </w:pPr>
            <w:r>
              <w:rPr>
                <w:rFonts w:hint="eastAsia"/>
                <w:b/>
                <w:bCs/>
                <w:color w:val="FF0000"/>
                <w:sz w:val="21"/>
                <w:szCs w:val="21"/>
              </w:rPr>
              <w:t>最高限价（元）</w:t>
            </w:r>
          </w:p>
        </w:tc>
      </w:tr>
      <w:tr w14:paraId="69470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4D6289E6">
            <w:pPr>
              <w:ind w:right="36" w:rightChars="17"/>
              <w:jc w:val="center"/>
              <w:rPr>
                <w:bCs/>
                <w:sz w:val="21"/>
                <w:szCs w:val="21"/>
              </w:rPr>
            </w:pPr>
            <w:r>
              <w:rPr>
                <w:rFonts w:hint="eastAsia" w:ascii="宋体" w:hAnsi="宋体"/>
                <w:sz w:val="21"/>
                <w:szCs w:val="21"/>
              </w:rPr>
              <w:t>1</w:t>
            </w:r>
          </w:p>
        </w:tc>
        <w:tc>
          <w:tcPr>
            <w:tcW w:w="2439" w:type="pct"/>
            <w:vAlign w:val="center"/>
          </w:tcPr>
          <w:p w14:paraId="1C4DBF5A">
            <w:pPr>
              <w:widowControl/>
              <w:ind w:right="36" w:rightChars="17"/>
              <w:jc w:val="center"/>
              <w:rPr>
                <w:bCs/>
                <w:sz w:val="21"/>
                <w:szCs w:val="21"/>
              </w:rPr>
            </w:pPr>
            <w:r>
              <w:rPr>
                <w:rFonts w:hint="eastAsia" w:ascii="宋体" w:hAnsi="宋体"/>
                <w:sz w:val="21"/>
                <w:szCs w:val="21"/>
              </w:rPr>
              <w:t>服务器机柜1（10kW）</w:t>
            </w:r>
          </w:p>
        </w:tc>
        <w:tc>
          <w:tcPr>
            <w:tcW w:w="369" w:type="pct"/>
            <w:vAlign w:val="center"/>
          </w:tcPr>
          <w:p w14:paraId="7A6F4530">
            <w:pPr>
              <w:ind w:right="36" w:rightChars="17"/>
              <w:jc w:val="center"/>
              <w:rPr>
                <w:bCs/>
                <w:sz w:val="21"/>
                <w:szCs w:val="21"/>
              </w:rPr>
            </w:pPr>
            <w:r>
              <w:rPr>
                <w:rFonts w:hint="eastAsia" w:ascii="宋体" w:hAnsi="宋体"/>
                <w:sz w:val="21"/>
                <w:szCs w:val="21"/>
              </w:rPr>
              <w:t>181</w:t>
            </w:r>
          </w:p>
        </w:tc>
        <w:tc>
          <w:tcPr>
            <w:tcW w:w="369" w:type="pct"/>
            <w:vAlign w:val="center"/>
          </w:tcPr>
          <w:p w14:paraId="480C0797">
            <w:pPr>
              <w:ind w:right="36" w:rightChars="17"/>
              <w:jc w:val="center"/>
              <w:rPr>
                <w:bCs/>
                <w:sz w:val="21"/>
                <w:szCs w:val="21"/>
              </w:rPr>
            </w:pPr>
            <w:r>
              <w:rPr>
                <w:rFonts w:hint="eastAsia" w:ascii="宋体" w:hAnsi="宋体"/>
                <w:sz w:val="21"/>
                <w:szCs w:val="21"/>
              </w:rPr>
              <w:t>个</w:t>
            </w:r>
          </w:p>
        </w:tc>
        <w:tc>
          <w:tcPr>
            <w:tcW w:w="416" w:type="pct"/>
            <w:vAlign w:val="center"/>
          </w:tcPr>
          <w:p w14:paraId="753FED3D">
            <w:pPr>
              <w:jc w:val="center"/>
              <w:rPr>
                <w:rFonts w:hint="default" w:eastAsia="宋体"/>
                <w:b/>
                <w:bCs/>
                <w:color w:val="FF0000"/>
                <w:sz w:val="21"/>
                <w:szCs w:val="21"/>
                <w:lang w:val="en-US" w:eastAsia="zh-CN"/>
              </w:rPr>
            </w:pPr>
            <w:r>
              <w:rPr>
                <w:rFonts w:hint="eastAsia"/>
                <w:b/>
                <w:bCs/>
                <w:color w:val="FF0000"/>
                <w:sz w:val="21"/>
                <w:szCs w:val="21"/>
                <w:lang w:val="en-US" w:eastAsia="zh-CN"/>
              </w:rPr>
              <w:t>拒绝进口</w:t>
            </w:r>
          </w:p>
        </w:tc>
        <w:tc>
          <w:tcPr>
            <w:tcW w:w="486" w:type="pct"/>
            <w:vMerge w:val="restart"/>
            <w:vAlign w:val="center"/>
          </w:tcPr>
          <w:p w14:paraId="1D97FF9A">
            <w:pPr>
              <w:jc w:val="center"/>
              <w:rPr>
                <w:rFonts w:hint="default" w:eastAsia="宋体"/>
                <w:b/>
                <w:bCs/>
                <w:color w:val="FF0000"/>
                <w:sz w:val="21"/>
                <w:szCs w:val="21"/>
                <w:lang w:val="en-US" w:eastAsia="zh-CN"/>
              </w:rPr>
            </w:pPr>
            <w:r>
              <w:rPr>
                <w:rFonts w:hint="eastAsia"/>
                <w:b/>
                <w:bCs/>
                <w:color w:val="FF0000"/>
                <w:sz w:val="21"/>
                <w:szCs w:val="21"/>
                <w:lang w:val="en-US" w:eastAsia="zh-CN"/>
              </w:rPr>
              <w:t>37530000.00</w:t>
            </w:r>
          </w:p>
        </w:tc>
        <w:tc>
          <w:tcPr>
            <w:tcW w:w="614" w:type="pct"/>
            <w:vMerge w:val="restart"/>
            <w:vAlign w:val="center"/>
          </w:tcPr>
          <w:p w14:paraId="172D93BD">
            <w:pPr>
              <w:jc w:val="center"/>
              <w:rPr>
                <w:rFonts w:hint="default" w:eastAsia="宋体"/>
                <w:b/>
                <w:bCs/>
                <w:color w:val="FF0000"/>
                <w:sz w:val="21"/>
                <w:szCs w:val="21"/>
                <w:lang w:val="en-US" w:eastAsia="zh-CN"/>
              </w:rPr>
            </w:pPr>
            <w:r>
              <w:rPr>
                <w:rFonts w:hint="eastAsia"/>
                <w:b/>
                <w:bCs/>
                <w:color w:val="FF0000"/>
                <w:lang w:val="en-US" w:eastAsia="zh-CN"/>
              </w:rPr>
              <w:t>37000000.00</w:t>
            </w:r>
          </w:p>
        </w:tc>
      </w:tr>
      <w:tr w14:paraId="10FC7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7CB8BCCD">
            <w:pPr>
              <w:ind w:right="36" w:rightChars="17"/>
              <w:jc w:val="center"/>
              <w:rPr>
                <w:rFonts w:hint="eastAsia" w:eastAsia="宋体"/>
                <w:bCs/>
                <w:sz w:val="21"/>
                <w:szCs w:val="21"/>
                <w:lang w:val="en-US" w:eastAsia="zh-CN"/>
              </w:rPr>
            </w:pPr>
            <w:r>
              <w:rPr>
                <w:rFonts w:hint="eastAsia" w:ascii="宋体" w:hAnsi="宋体"/>
                <w:sz w:val="21"/>
                <w:szCs w:val="21"/>
              </w:rPr>
              <w:t>2</w:t>
            </w:r>
          </w:p>
        </w:tc>
        <w:tc>
          <w:tcPr>
            <w:tcW w:w="2439" w:type="pct"/>
            <w:vAlign w:val="center"/>
          </w:tcPr>
          <w:p w14:paraId="57642698">
            <w:pPr>
              <w:ind w:right="36" w:rightChars="17"/>
              <w:jc w:val="center"/>
              <w:rPr>
                <w:rFonts w:hint="eastAsia"/>
                <w:bCs/>
                <w:sz w:val="21"/>
                <w:szCs w:val="21"/>
              </w:rPr>
            </w:pPr>
            <w:r>
              <w:rPr>
                <w:rFonts w:hint="eastAsia" w:ascii="宋体" w:hAnsi="宋体"/>
                <w:sz w:val="21"/>
                <w:szCs w:val="21"/>
              </w:rPr>
              <w:t>服务器机柜2（15kW）</w:t>
            </w:r>
          </w:p>
        </w:tc>
        <w:tc>
          <w:tcPr>
            <w:tcW w:w="369" w:type="pct"/>
            <w:vAlign w:val="center"/>
          </w:tcPr>
          <w:p w14:paraId="33B4EA17">
            <w:pPr>
              <w:ind w:right="36" w:rightChars="17"/>
              <w:jc w:val="center"/>
              <w:rPr>
                <w:rFonts w:hint="eastAsia"/>
                <w:bCs/>
                <w:sz w:val="21"/>
                <w:szCs w:val="21"/>
              </w:rPr>
            </w:pPr>
            <w:r>
              <w:rPr>
                <w:rFonts w:hint="eastAsia" w:ascii="宋体" w:hAnsi="宋体"/>
                <w:sz w:val="21"/>
                <w:szCs w:val="21"/>
              </w:rPr>
              <w:t>126</w:t>
            </w:r>
          </w:p>
        </w:tc>
        <w:tc>
          <w:tcPr>
            <w:tcW w:w="369" w:type="pct"/>
            <w:vAlign w:val="center"/>
          </w:tcPr>
          <w:p w14:paraId="73F80A86">
            <w:pPr>
              <w:ind w:right="36" w:rightChars="17"/>
              <w:jc w:val="center"/>
              <w:rPr>
                <w:rFonts w:hint="eastAsia"/>
                <w:bCs/>
                <w:sz w:val="21"/>
                <w:szCs w:val="21"/>
              </w:rPr>
            </w:pPr>
            <w:r>
              <w:rPr>
                <w:rFonts w:hint="eastAsia" w:ascii="宋体" w:hAnsi="宋体"/>
                <w:sz w:val="21"/>
                <w:szCs w:val="21"/>
              </w:rPr>
              <w:t>个</w:t>
            </w:r>
          </w:p>
        </w:tc>
        <w:tc>
          <w:tcPr>
            <w:tcW w:w="416" w:type="pct"/>
            <w:vAlign w:val="center"/>
          </w:tcPr>
          <w:p w14:paraId="2C61C2DD">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54674069">
            <w:pPr>
              <w:jc w:val="center"/>
              <w:rPr>
                <w:rFonts w:hint="eastAsia"/>
                <w:b/>
                <w:bCs/>
                <w:color w:val="FF0000"/>
                <w:sz w:val="21"/>
                <w:szCs w:val="21"/>
              </w:rPr>
            </w:pPr>
          </w:p>
        </w:tc>
        <w:tc>
          <w:tcPr>
            <w:tcW w:w="614" w:type="pct"/>
            <w:vMerge w:val="continue"/>
            <w:vAlign w:val="center"/>
          </w:tcPr>
          <w:p w14:paraId="47965928">
            <w:pPr>
              <w:jc w:val="center"/>
              <w:rPr>
                <w:rFonts w:hint="eastAsia"/>
                <w:b/>
                <w:bCs/>
                <w:color w:val="FF0000"/>
                <w:sz w:val="21"/>
                <w:szCs w:val="21"/>
              </w:rPr>
            </w:pPr>
          </w:p>
        </w:tc>
      </w:tr>
      <w:tr w14:paraId="60C5B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537D274F">
            <w:pPr>
              <w:ind w:right="36" w:rightChars="17"/>
              <w:jc w:val="center"/>
              <w:rPr>
                <w:rFonts w:hint="eastAsia" w:eastAsia="宋体"/>
                <w:bCs/>
                <w:sz w:val="21"/>
                <w:szCs w:val="21"/>
                <w:lang w:val="en-US" w:eastAsia="zh-CN"/>
              </w:rPr>
            </w:pPr>
            <w:r>
              <w:rPr>
                <w:rFonts w:hint="eastAsia" w:ascii="宋体" w:hAnsi="宋体"/>
                <w:sz w:val="21"/>
                <w:szCs w:val="21"/>
              </w:rPr>
              <w:t>3</w:t>
            </w:r>
          </w:p>
        </w:tc>
        <w:tc>
          <w:tcPr>
            <w:tcW w:w="2439" w:type="pct"/>
            <w:vAlign w:val="center"/>
          </w:tcPr>
          <w:p w14:paraId="57F44B21">
            <w:pPr>
              <w:ind w:right="36" w:rightChars="17"/>
              <w:jc w:val="center"/>
              <w:rPr>
                <w:rFonts w:hint="eastAsia"/>
                <w:bCs/>
                <w:sz w:val="21"/>
                <w:szCs w:val="21"/>
              </w:rPr>
            </w:pPr>
            <w:r>
              <w:rPr>
                <w:rFonts w:hint="eastAsia" w:ascii="宋体" w:hAnsi="宋体"/>
                <w:sz w:val="21"/>
                <w:szCs w:val="21"/>
              </w:rPr>
              <w:t>密闭冷通道组件</w:t>
            </w:r>
          </w:p>
        </w:tc>
        <w:tc>
          <w:tcPr>
            <w:tcW w:w="369" w:type="pct"/>
            <w:vAlign w:val="center"/>
          </w:tcPr>
          <w:p w14:paraId="37696DDB">
            <w:pPr>
              <w:ind w:right="36" w:rightChars="17"/>
              <w:jc w:val="center"/>
              <w:rPr>
                <w:rFonts w:hint="eastAsia"/>
                <w:bCs/>
                <w:sz w:val="21"/>
                <w:szCs w:val="21"/>
              </w:rPr>
            </w:pPr>
            <w:r>
              <w:rPr>
                <w:rFonts w:hint="eastAsia" w:ascii="宋体" w:hAnsi="宋体"/>
                <w:sz w:val="21"/>
                <w:szCs w:val="21"/>
              </w:rPr>
              <w:t>10</w:t>
            </w:r>
          </w:p>
        </w:tc>
        <w:tc>
          <w:tcPr>
            <w:tcW w:w="369" w:type="pct"/>
            <w:vAlign w:val="center"/>
          </w:tcPr>
          <w:p w14:paraId="197BF4A2">
            <w:pPr>
              <w:ind w:right="36" w:rightChars="17"/>
              <w:jc w:val="center"/>
              <w:rPr>
                <w:rFonts w:hint="eastAsia"/>
                <w:bCs/>
                <w:sz w:val="21"/>
                <w:szCs w:val="21"/>
              </w:rPr>
            </w:pPr>
            <w:r>
              <w:rPr>
                <w:rFonts w:hint="eastAsia" w:ascii="宋体" w:hAnsi="宋体"/>
                <w:sz w:val="21"/>
                <w:szCs w:val="21"/>
              </w:rPr>
              <w:t>套</w:t>
            </w:r>
          </w:p>
        </w:tc>
        <w:tc>
          <w:tcPr>
            <w:tcW w:w="416" w:type="pct"/>
            <w:vAlign w:val="center"/>
          </w:tcPr>
          <w:p w14:paraId="293F0EDF">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0946C250">
            <w:pPr>
              <w:jc w:val="center"/>
              <w:rPr>
                <w:rFonts w:hint="eastAsia"/>
                <w:b/>
                <w:bCs/>
                <w:color w:val="FF0000"/>
                <w:sz w:val="21"/>
                <w:szCs w:val="21"/>
              </w:rPr>
            </w:pPr>
          </w:p>
        </w:tc>
        <w:tc>
          <w:tcPr>
            <w:tcW w:w="614" w:type="pct"/>
            <w:vMerge w:val="continue"/>
            <w:vAlign w:val="center"/>
          </w:tcPr>
          <w:p w14:paraId="526516AB">
            <w:pPr>
              <w:jc w:val="center"/>
              <w:rPr>
                <w:rFonts w:hint="eastAsia"/>
                <w:b/>
                <w:bCs/>
                <w:color w:val="FF0000"/>
                <w:sz w:val="21"/>
                <w:szCs w:val="21"/>
              </w:rPr>
            </w:pPr>
          </w:p>
        </w:tc>
      </w:tr>
      <w:tr w14:paraId="5B9C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0ED34876">
            <w:pPr>
              <w:ind w:right="36" w:rightChars="17"/>
              <w:jc w:val="center"/>
              <w:rPr>
                <w:rFonts w:hint="eastAsia"/>
                <w:bCs/>
                <w:sz w:val="21"/>
                <w:szCs w:val="21"/>
              </w:rPr>
            </w:pPr>
            <w:r>
              <w:rPr>
                <w:rFonts w:hint="eastAsia" w:ascii="宋体" w:hAnsi="宋体"/>
                <w:sz w:val="21"/>
                <w:szCs w:val="21"/>
              </w:rPr>
              <w:t>4</w:t>
            </w:r>
          </w:p>
        </w:tc>
        <w:tc>
          <w:tcPr>
            <w:tcW w:w="2439" w:type="pct"/>
            <w:vAlign w:val="center"/>
          </w:tcPr>
          <w:p w14:paraId="6B1369A5">
            <w:pPr>
              <w:ind w:right="36" w:rightChars="17"/>
              <w:jc w:val="center"/>
              <w:rPr>
                <w:rFonts w:hint="eastAsia"/>
                <w:bCs/>
                <w:sz w:val="21"/>
                <w:szCs w:val="21"/>
              </w:rPr>
            </w:pPr>
            <w:r>
              <w:rPr>
                <w:rFonts w:hint="eastAsia" w:ascii="宋体" w:hAnsi="宋体"/>
                <w:sz w:val="21"/>
                <w:szCs w:val="21"/>
              </w:rPr>
              <w:t>密闭冷通道内部动环</w:t>
            </w:r>
          </w:p>
        </w:tc>
        <w:tc>
          <w:tcPr>
            <w:tcW w:w="369" w:type="pct"/>
            <w:vAlign w:val="center"/>
          </w:tcPr>
          <w:p w14:paraId="38D82D6E">
            <w:pPr>
              <w:ind w:right="36" w:rightChars="17"/>
              <w:jc w:val="center"/>
              <w:rPr>
                <w:rFonts w:hint="eastAsia"/>
                <w:bCs/>
                <w:sz w:val="21"/>
                <w:szCs w:val="21"/>
              </w:rPr>
            </w:pPr>
            <w:r>
              <w:rPr>
                <w:rFonts w:hint="eastAsia" w:ascii="宋体" w:hAnsi="宋体"/>
                <w:sz w:val="21"/>
                <w:szCs w:val="21"/>
              </w:rPr>
              <w:t>10</w:t>
            </w:r>
          </w:p>
        </w:tc>
        <w:tc>
          <w:tcPr>
            <w:tcW w:w="369" w:type="pct"/>
            <w:vAlign w:val="center"/>
          </w:tcPr>
          <w:p w14:paraId="47578D7F">
            <w:pPr>
              <w:ind w:right="36" w:rightChars="17"/>
              <w:jc w:val="center"/>
              <w:rPr>
                <w:rFonts w:hint="eastAsia"/>
                <w:bCs/>
                <w:sz w:val="21"/>
                <w:szCs w:val="21"/>
              </w:rPr>
            </w:pPr>
            <w:r>
              <w:rPr>
                <w:rFonts w:hint="eastAsia" w:ascii="宋体" w:hAnsi="宋体"/>
                <w:sz w:val="21"/>
                <w:szCs w:val="21"/>
              </w:rPr>
              <w:t>套</w:t>
            </w:r>
          </w:p>
        </w:tc>
        <w:tc>
          <w:tcPr>
            <w:tcW w:w="416" w:type="pct"/>
            <w:vAlign w:val="center"/>
          </w:tcPr>
          <w:p w14:paraId="680B3893">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51FADE66">
            <w:pPr>
              <w:jc w:val="center"/>
              <w:rPr>
                <w:rFonts w:hint="eastAsia"/>
                <w:b/>
                <w:bCs/>
                <w:color w:val="FF0000"/>
                <w:sz w:val="21"/>
                <w:szCs w:val="21"/>
              </w:rPr>
            </w:pPr>
          </w:p>
        </w:tc>
        <w:tc>
          <w:tcPr>
            <w:tcW w:w="614" w:type="pct"/>
            <w:vMerge w:val="continue"/>
            <w:vAlign w:val="center"/>
          </w:tcPr>
          <w:p w14:paraId="4E0ADAE7">
            <w:pPr>
              <w:jc w:val="center"/>
              <w:rPr>
                <w:rFonts w:hint="eastAsia"/>
                <w:b/>
                <w:bCs/>
                <w:color w:val="FF0000"/>
                <w:sz w:val="21"/>
                <w:szCs w:val="21"/>
              </w:rPr>
            </w:pPr>
          </w:p>
        </w:tc>
      </w:tr>
      <w:tr w14:paraId="4D9A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637A493E">
            <w:pPr>
              <w:ind w:right="36" w:rightChars="17"/>
              <w:jc w:val="center"/>
              <w:rPr>
                <w:rFonts w:hint="eastAsia"/>
                <w:bCs/>
                <w:sz w:val="21"/>
                <w:szCs w:val="21"/>
              </w:rPr>
            </w:pPr>
            <w:r>
              <w:rPr>
                <w:rFonts w:hint="eastAsia" w:ascii="宋体" w:hAnsi="宋体"/>
                <w:sz w:val="21"/>
                <w:szCs w:val="21"/>
              </w:rPr>
              <w:t>5</w:t>
            </w:r>
          </w:p>
        </w:tc>
        <w:tc>
          <w:tcPr>
            <w:tcW w:w="2439" w:type="pct"/>
            <w:vAlign w:val="center"/>
          </w:tcPr>
          <w:p w14:paraId="3CF230FE">
            <w:pPr>
              <w:ind w:right="36" w:rightChars="17"/>
              <w:jc w:val="center"/>
              <w:rPr>
                <w:rFonts w:hint="eastAsia"/>
                <w:bCs/>
                <w:sz w:val="21"/>
                <w:szCs w:val="21"/>
              </w:rPr>
            </w:pPr>
            <w:r>
              <w:rPr>
                <w:rFonts w:hint="eastAsia" w:ascii="宋体" w:hAnsi="宋体"/>
                <w:sz w:val="21"/>
                <w:szCs w:val="21"/>
              </w:rPr>
              <w:t>UPS及功率模块（含1台UPS及功率模块）</w:t>
            </w:r>
          </w:p>
        </w:tc>
        <w:tc>
          <w:tcPr>
            <w:tcW w:w="369" w:type="pct"/>
            <w:vAlign w:val="center"/>
          </w:tcPr>
          <w:p w14:paraId="57AA6A06">
            <w:pPr>
              <w:ind w:right="36" w:rightChars="17"/>
              <w:jc w:val="center"/>
              <w:rPr>
                <w:rFonts w:hint="eastAsia"/>
                <w:bCs/>
                <w:sz w:val="21"/>
                <w:szCs w:val="21"/>
              </w:rPr>
            </w:pPr>
            <w:r>
              <w:rPr>
                <w:rFonts w:hint="eastAsia" w:ascii="宋体" w:hAnsi="宋体"/>
                <w:sz w:val="21"/>
                <w:szCs w:val="21"/>
              </w:rPr>
              <w:t>16</w:t>
            </w:r>
          </w:p>
        </w:tc>
        <w:tc>
          <w:tcPr>
            <w:tcW w:w="369" w:type="pct"/>
            <w:vAlign w:val="center"/>
          </w:tcPr>
          <w:p w14:paraId="1180F5E3">
            <w:pPr>
              <w:ind w:right="36" w:rightChars="17"/>
              <w:jc w:val="center"/>
              <w:rPr>
                <w:rFonts w:hint="eastAsia"/>
                <w:bCs/>
                <w:sz w:val="21"/>
                <w:szCs w:val="21"/>
              </w:rPr>
            </w:pPr>
            <w:r>
              <w:rPr>
                <w:rFonts w:hint="eastAsia" w:ascii="宋体" w:hAnsi="宋体"/>
                <w:sz w:val="21"/>
                <w:szCs w:val="21"/>
              </w:rPr>
              <w:t>套</w:t>
            </w:r>
          </w:p>
        </w:tc>
        <w:tc>
          <w:tcPr>
            <w:tcW w:w="416" w:type="pct"/>
            <w:vAlign w:val="center"/>
          </w:tcPr>
          <w:p w14:paraId="72623CF0">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4300FDF3">
            <w:pPr>
              <w:jc w:val="center"/>
              <w:rPr>
                <w:rFonts w:hint="eastAsia"/>
                <w:b/>
                <w:bCs/>
                <w:color w:val="FF0000"/>
                <w:sz w:val="21"/>
                <w:szCs w:val="21"/>
              </w:rPr>
            </w:pPr>
          </w:p>
        </w:tc>
        <w:tc>
          <w:tcPr>
            <w:tcW w:w="614" w:type="pct"/>
            <w:vMerge w:val="continue"/>
            <w:vAlign w:val="center"/>
          </w:tcPr>
          <w:p w14:paraId="3C53DA77">
            <w:pPr>
              <w:jc w:val="center"/>
              <w:rPr>
                <w:rFonts w:hint="eastAsia"/>
                <w:b/>
                <w:bCs/>
                <w:color w:val="FF0000"/>
                <w:sz w:val="21"/>
                <w:szCs w:val="21"/>
              </w:rPr>
            </w:pPr>
          </w:p>
        </w:tc>
      </w:tr>
      <w:tr w14:paraId="1F02F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725B3FA2">
            <w:pPr>
              <w:ind w:right="36" w:rightChars="17"/>
              <w:jc w:val="center"/>
              <w:rPr>
                <w:rFonts w:hint="eastAsia"/>
                <w:bCs/>
                <w:sz w:val="21"/>
                <w:szCs w:val="21"/>
              </w:rPr>
            </w:pPr>
            <w:r>
              <w:rPr>
                <w:rFonts w:hint="eastAsia" w:ascii="宋体" w:hAnsi="宋体"/>
                <w:sz w:val="21"/>
                <w:szCs w:val="21"/>
              </w:rPr>
              <w:t>6</w:t>
            </w:r>
          </w:p>
        </w:tc>
        <w:tc>
          <w:tcPr>
            <w:tcW w:w="2439" w:type="pct"/>
            <w:vAlign w:val="center"/>
          </w:tcPr>
          <w:p w14:paraId="7AD64FA6">
            <w:pPr>
              <w:ind w:right="36" w:rightChars="17"/>
              <w:jc w:val="center"/>
              <w:rPr>
                <w:rFonts w:hint="eastAsia"/>
                <w:bCs/>
                <w:sz w:val="21"/>
                <w:szCs w:val="21"/>
              </w:rPr>
            </w:pPr>
            <w:r>
              <w:rPr>
                <w:rFonts w:hint="eastAsia" w:ascii="宋体" w:hAnsi="宋体"/>
                <w:sz w:val="21"/>
                <w:szCs w:val="21"/>
              </w:rPr>
              <w:t>铅酸电池系统（含后备电池、</w:t>
            </w:r>
            <w:r>
              <w:rPr>
                <w:rFonts w:hint="eastAsia" w:ascii="宋体" w:hAnsi="宋体"/>
                <w:kern w:val="0"/>
                <w:sz w:val="21"/>
                <w:szCs w:val="21"/>
              </w:rPr>
              <w:t>电池架、</w:t>
            </w:r>
            <w:r>
              <w:rPr>
                <w:rFonts w:hint="eastAsia" w:ascii="宋体" w:hAnsi="宋体"/>
                <w:sz w:val="21"/>
                <w:szCs w:val="21"/>
              </w:rPr>
              <w:t>蓄电池监控模块；</w:t>
            </w:r>
            <w:r>
              <w:rPr>
                <w:rFonts w:hint="eastAsia" w:ascii="宋体" w:hAnsi="宋体"/>
                <w:kern w:val="0"/>
                <w:sz w:val="21"/>
                <w:szCs w:val="21"/>
              </w:rPr>
              <w:t>电池开关柜；相关配件）</w:t>
            </w:r>
          </w:p>
        </w:tc>
        <w:tc>
          <w:tcPr>
            <w:tcW w:w="369" w:type="pct"/>
            <w:vAlign w:val="center"/>
          </w:tcPr>
          <w:p w14:paraId="211D84AF">
            <w:pPr>
              <w:ind w:right="36" w:rightChars="17"/>
              <w:jc w:val="center"/>
              <w:rPr>
                <w:rFonts w:hint="eastAsia"/>
                <w:bCs/>
                <w:sz w:val="21"/>
                <w:szCs w:val="21"/>
              </w:rPr>
            </w:pPr>
            <w:r>
              <w:rPr>
                <w:rFonts w:hint="eastAsia" w:ascii="宋体" w:hAnsi="宋体"/>
                <w:kern w:val="0"/>
                <w:sz w:val="21"/>
                <w:szCs w:val="21"/>
              </w:rPr>
              <w:t>16</w:t>
            </w:r>
          </w:p>
        </w:tc>
        <w:tc>
          <w:tcPr>
            <w:tcW w:w="369" w:type="pct"/>
            <w:vAlign w:val="center"/>
          </w:tcPr>
          <w:p w14:paraId="3F7578B6">
            <w:pPr>
              <w:ind w:right="36" w:rightChars="17"/>
              <w:jc w:val="center"/>
              <w:rPr>
                <w:rFonts w:hint="eastAsia"/>
                <w:bCs/>
                <w:sz w:val="21"/>
                <w:szCs w:val="21"/>
              </w:rPr>
            </w:pPr>
            <w:r>
              <w:rPr>
                <w:rFonts w:hint="eastAsia" w:ascii="宋体" w:hAnsi="宋体"/>
                <w:kern w:val="0"/>
                <w:sz w:val="21"/>
                <w:szCs w:val="21"/>
              </w:rPr>
              <w:t>套</w:t>
            </w:r>
          </w:p>
        </w:tc>
        <w:tc>
          <w:tcPr>
            <w:tcW w:w="416" w:type="pct"/>
            <w:vAlign w:val="center"/>
          </w:tcPr>
          <w:p w14:paraId="23CBCF15">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42E22C25">
            <w:pPr>
              <w:jc w:val="center"/>
              <w:rPr>
                <w:rFonts w:hint="eastAsia"/>
                <w:b/>
                <w:bCs/>
                <w:color w:val="FF0000"/>
                <w:sz w:val="21"/>
                <w:szCs w:val="21"/>
              </w:rPr>
            </w:pPr>
          </w:p>
        </w:tc>
        <w:tc>
          <w:tcPr>
            <w:tcW w:w="614" w:type="pct"/>
            <w:vMerge w:val="continue"/>
            <w:vAlign w:val="center"/>
          </w:tcPr>
          <w:p w14:paraId="5AE97402">
            <w:pPr>
              <w:jc w:val="center"/>
              <w:rPr>
                <w:rFonts w:hint="eastAsia"/>
                <w:b/>
                <w:bCs/>
                <w:color w:val="FF0000"/>
                <w:sz w:val="21"/>
                <w:szCs w:val="21"/>
              </w:rPr>
            </w:pPr>
          </w:p>
        </w:tc>
      </w:tr>
      <w:tr w14:paraId="40A42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7BD70F80">
            <w:pPr>
              <w:ind w:right="36" w:rightChars="17"/>
              <w:jc w:val="center"/>
              <w:rPr>
                <w:rFonts w:hint="eastAsia"/>
                <w:bCs/>
                <w:sz w:val="21"/>
                <w:szCs w:val="21"/>
              </w:rPr>
            </w:pPr>
            <w:r>
              <w:rPr>
                <w:rFonts w:hint="eastAsia" w:ascii="宋体" w:hAnsi="宋体"/>
                <w:sz w:val="21"/>
                <w:szCs w:val="21"/>
              </w:rPr>
              <w:t>7</w:t>
            </w:r>
          </w:p>
        </w:tc>
        <w:tc>
          <w:tcPr>
            <w:tcW w:w="2439" w:type="pct"/>
            <w:vAlign w:val="center"/>
          </w:tcPr>
          <w:p w14:paraId="10A8BBDA">
            <w:pPr>
              <w:ind w:right="36" w:rightChars="17"/>
              <w:jc w:val="center"/>
              <w:rPr>
                <w:rFonts w:hint="eastAsia"/>
                <w:bCs/>
                <w:sz w:val="21"/>
                <w:szCs w:val="21"/>
              </w:rPr>
            </w:pPr>
            <w:r>
              <w:rPr>
                <w:rFonts w:hint="eastAsia" w:ascii="宋体" w:hAnsi="宋体"/>
                <w:sz w:val="21"/>
                <w:szCs w:val="21"/>
              </w:rPr>
              <w:t>2.</w:t>
            </w:r>
            <w:r>
              <w:rPr>
                <w:rFonts w:ascii="宋体" w:hAnsi="宋体"/>
                <w:sz w:val="21"/>
                <w:szCs w:val="21"/>
              </w:rPr>
              <w:t>4</w:t>
            </w:r>
            <w:r>
              <w:rPr>
                <w:rFonts w:hint="eastAsia" w:ascii="宋体" w:hAnsi="宋体"/>
                <w:sz w:val="21"/>
                <w:szCs w:val="21"/>
              </w:rPr>
              <w:t>MW配电柜系统</w:t>
            </w:r>
          </w:p>
        </w:tc>
        <w:tc>
          <w:tcPr>
            <w:tcW w:w="369" w:type="pct"/>
            <w:vAlign w:val="center"/>
          </w:tcPr>
          <w:p w14:paraId="63EE2F8B">
            <w:pPr>
              <w:ind w:right="36" w:rightChars="17"/>
              <w:jc w:val="center"/>
              <w:rPr>
                <w:rFonts w:hint="eastAsia"/>
                <w:bCs/>
                <w:sz w:val="21"/>
                <w:szCs w:val="21"/>
              </w:rPr>
            </w:pPr>
            <w:r>
              <w:rPr>
                <w:rFonts w:hint="eastAsia" w:ascii="宋体" w:hAnsi="宋体"/>
                <w:sz w:val="21"/>
                <w:szCs w:val="21"/>
              </w:rPr>
              <w:t>4</w:t>
            </w:r>
          </w:p>
        </w:tc>
        <w:tc>
          <w:tcPr>
            <w:tcW w:w="369" w:type="pct"/>
            <w:vAlign w:val="center"/>
          </w:tcPr>
          <w:p w14:paraId="4881E09B">
            <w:pPr>
              <w:ind w:right="36" w:rightChars="17"/>
              <w:jc w:val="center"/>
              <w:rPr>
                <w:rFonts w:hint="eastAsia"/>
                <w:bCs/>
                <w:sz w:val="21"/>
                <w:szCs w:val="21"/>
              </w:rPr>
            </w:pPr>
            <w:r>
              <w:rPr>
                <w:rFonts w:hint="eastAsia" w:ascii="宋体" w:hAnsi="宋体"/>
                <w:sz w:val="21"/>
                <w:szCs w:val="21"/>
              </w:rPr>
              <w:t>套</w:t>
            </w:r>
          </w:p>
        </w:tc>
        <w:tc>
          <w:tcPr>
            <w:tcW w:w="416" w:type="pct"/>
            <w:vAlign w:val="center"/>
          </w:tcPr>
          <w:p w14:paraId="0D96DB79">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3B583CEB">
            <w:pPr>
              <w:jc w:val="center"/>
              <w:rPr>
                <w:rFonts w:hint="eastAsia"/>
                <w:b/>
                <w:bCs/>
                <w:color w:val="FF0000"/>
                <w:sz w:val="21"/>
                <w:szCs w:val="21"/>
              </w:rPr>
            </w:pPr>
          </w:p>
        </w:tc>
        <w:tc>
          <w:tcPr>
            <w:tcW w:w="614" w:type="pct"/>
            <w:vMerge w:val="continue"/>
            <w:vAlign w:val="center"/>
          </w:tcPr>
          <w:p w14:paraId="19A0ECAB">
            <w:pPr>
              <w:jc w:val="center"/>
              <w:rPr>
                <w:rFonts w:hint="eastAsia"/>
                <w:b/>
                <w:bCs/>
                <w:color w:val="FF0000"/>
                <w:sz w:val="21"/>
                <w:szCs w:val="21"/>
              </w:rPr>
            </w:pPr>
          </w:p>
        </w:tc>
      </w:tr>
      <w:tr w14:paraId="1700B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28BB0C9C">
            <w:pPr>
              <w:ind w:right="36" w:rightChars="17"/>
              <w:jc w:val="center"/>
              <w:rPr>
                <w:rFonts w:hint="eastAsia"/>
                <w:bCs/>
                <w:sz w:val="21"/>
                <w:szCs w:val="21"/>
              </w:rPr>
            </w:pPr>
            <w:r>
              <w:rPr>
                <w:rFonts w:hint="eastAsia" w:ascii="宋体" w:hAnsi="宋体"/>
                <w:sz w:val="21"/>
                <w:szCs w:val="21"/>
              </w:rPr>
              <w:t>8</w:t>
            </w:r>
          </w:p>
        </w:tc>
        <w:tc>
          <w:tcPr>
            <w:tcW w:w="2439" w:type="pct"/>
            <w:vAlign w:val="center"/>
          </w:tcPr>
          <w:p w14:paraId="38B6710B">
            <w:pPr>
              <w:ind w:right="36" w:rightChars="17"/>
              <w:jc w:val="center"/>
              <w:rPr>
                <w:rFonts w:hint="eastAsia"/>
                <w:bCs/>
                <w:sz w:val="21"/>
                <w:szCs w:val="21"/>
              </w:rPr>
            </w:pPr>
            <w:r>
              <w:rPr>
                <w:rFonts w:hint="eastAsia" w:ascii="宋体" w:hAnsi="宋体"/>
                <w:sz w:val="21"/>
                <w:szCs w:val="21"/>
              </w:rPr>
              <w:t>电缆及桥架（变电所出线至机房电缆及桥架）</w:t>
            </w:r>
          </w:p>
        </w:tc>
        <w:tc>
          <w:tcPr>
            <w:tcW w:w="369" w:type="pct"/>
            <w:vAlign w:val="center"/>
          </w:tcPr>
          <w:p w14:paraId="64CA7BC5">
            <w:pPr>
              <w:ind w:right="36" w:rightChars="17"/>
              <w:jc w:val="center"/>
              <w:rPr>
                <w:rFonts w:hint="eastAsia"/>
                <w:bCs/>
                <w:sz w:val="21"/>
                <w:szCs w:val="21"/>
              </w:rPr>
            </w:pPr>
            <w:r>
              <w:rPr>
                <w:rFonts w:hint="eastAsia" w:ascii="宋体" w:hAnsi="宋体"/>
                <w:sz w:val="21"/>
                <w:szCs w:val="21"/>
              </w:rPr>
              <w:t>10</w:t>
            </w:r>
          </w:p>
        </w:tc>
        <w:tc>
          <w:tcPr>
            <w:tcW w:w="369" w:type="pct"/>
            <w:vAlign w:val="center"/>
          </w:tcPr>
          <w:p w14:paraId="78F9BF78">
            <w:pPr>
              <w:ind w:right="36" w:rightChars="17"/>
              <w:jc w:val="center"/>
              <w:rPr>
                <w:rFonts w:hint="eastAsia"/>
                <w:bCs/>
                <w:sz w:val="21"/>
                <w:szCs w:val="21"/>
              </w:rPr>
            </w:pPr>
            <w:r>
              <w:rPr>
                <w:rFonts w:hint="eastAsia" w:ascii="宋体" w:hAnsi="宋体"/>
                <w:sz w:val="21"/>
                <w:szCs w:val="21"/>
              </w:rPr>
              <w:t>套</w:t>
            </w:r>
          </w:p>
        </w:tc>
        <w:tc>
          <w:tcPr>
            <w:tcW w:w="416" w:type="pct"/>
            <w:vAlign w:val="center"/>
          </w:tcPr>
          <w:p w14:paraId="7A17DB95">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78F950BA">
            <w:pPr>
              <w:jc w:val="center"/>
              <w:rPr>
                <w:rFonts w:hint="eastAsia"/>
                <w:b/>
                <w:bCs/>
                <w:color w:val="FF0000"/>
                <w:sz w:val="21"/>
                <w:szCs w:val="21"/>
              </w:rPr>
            </w:pPr>
          </w:p>
        </w:tc>
        <w:tc>
          <w:tcPr>
            <w:tcW w:w="614" w:type="pct"/>
            <w:vMerge w:val="continue"/>
            <w:vAlign w:val="center"/>
          </w:tcPr>
          <w:p w14:paraId="060F31B0">
            <w:pPr>
              <w:jc w:val="center"/>
              <w:rPr>
                <w:rFonts w:hint="eastAsia"/>
                <w:b/>
                <w:bCs/>
                <w:color w:val="FF0000"/>
                <w:sz w:val="21"/>
                <w:szCs w:val="21"/>
              </w:rPr>
            </w:pPr>
          </w:p>
        </w:tc>
      </w:tr>
      <w:tr w14:paraId="78A6B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12E76C85">
            <w:pPr>
              <w:ind w:right="36" w:rightChars="17"/>
              <w:jc w:val="center"/>
              <w:rPr>
                <w:rFonts w:hint="eastAsia"/>
                <w:bCs/>
                <w:sz w:val="21"/>
                <w:szCs w:val="21"/>
              </w:rPr>
            </w:pPr>
            <w:r>
              <w:rPr>
                <w:rFonts w:hint="eastAsia" w:ascii="宋体" w:hAnsi="宋体"/>
                <w:sz w:val="21"/>
                <w:szCs w:val="21"/>
              </w:rPr>
              <w:t>9</w:t>
            </w:r>
          </w:p>
        </w:tc>
        <w:tc>
          <w:tcPr>
            <w:tcW w:w="2439" w:type="pct"/>
            <w:vAlign w:val="center"/>
          </w:tcPr>
          <w:p w14:paraId="0D5D6157">
            <w:pPr>
              <w:ind w:right="36" w:rightChars="17"/>
              <w:jc w:val="center"/>
              <w:rPr>
                <w:rFonts w:hint="eastAsia"/>
                <w:bCs/>
                <w:sz w:val="21"/>
                <w:szCs w:val="21"/>
              </w:rPr>
            </w:pPr>
            <w:r>
              <w:rPr>
                <w:rFonts w:hint="eastAsia" w:ascii="宋体" w:hAnsi="宋体"/>
                <w:sz w:val="21"/>
                <w:szCs w:val="21"/>
              </w:rPr>
              <w:t>小母线（含10KW机柜用机房小母线6套；15KW机柜用机房小母线4套）</w:t>
            </w:r>
          </w:p>
        </w:tc>
        <w:tc>
          <w:tcPr>
            <w:tcW w:w="369" w:type="pct"/>
            <w:vAlign w:val="center"/>
          </w:tcPr>
          <w:p w14:paraId="072F9907">
            <w:pPr>
              <w:ind w:right="36" w:rightChars="17"/>
              <w:jc w:val="center"/>
              <w:rPr>
                <w:rFonts w:hint="eastAsia"/>
                <w:bCs/>
                <w:sz w:val="21"/>
                <w:szCs w:val="21"/>
              </w:rPr>
            </w:pPr>
            <w:r>
              <w:rPr>
                <w:rFonts w:hint="eastAsia" w:ascii="宋体" w:hAnsi="宋体"/>
                <w:sz w:val="21"/>
                <w:szCs w:val="21"/>
              </w:rPr>
              <w:t>10</w:t>
            </w:r>
          </w:p>
        </w:tc>
        <w:tc>
          <w:tcPr>
            <w:tcW w:w="369" w:type="pct"/>
            <w:vAlign w:val="center"/>
          </w:tcPr>
          <w:p w14:paraId="27457DC6">
            <w:pPr>
              <w:ind w:right="36" w:rightChars="17"/>
              <w:jc w:val="center"/>
              <w:rPr>
                <w:rFonts w:hint="eastAsia"/>
                <w:bCs/>
                <w:sz w:val="21"/>
                <w:szCs w:val="21"/>
              </w:rPr>
            </w:pPr>
            <w:r>
              <w:rPr>
                <w:rFonts w:hint="eastAsia" w:ascii="宋体" w:hAnsi="宋体"/>
                <w:sz w:val="21"/>
                <w:szCs w:val="21"/>
              </w:rPr>
              <w:t>套</w:t>
            </w:r>
          </w:p>
        </w:tc>
        <w:tc>
          <w:tcPr>
            <w:tcW w:w="416" w:type="pct"/>
            <w:vAlign w:val="center"/>
          </w:tcPr>
          <w:p w14:paraId="4F75F052">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587E9405">
            <w:pPr>
              <w:jc w:val="center"/>
              <w:rPr>
                <w:rFonts w:hint="eastAsia"/>
                <w:b/>
                <w:bCs/>
                <w:color w:val="FF0000"/>
                <w:sz w:val="21"/>
                <w:szCs w:val="21"/>
              </w:rPr>
            </w:pPr>
          </w:p>
        </w:tc>
        <w:tc>
          <w:tcPr>
            <w:tcW w:w="614" w:type="pct"/>
            <w:vMerge w:val="continue"/>
            <w:vAlign w:val="center"/>
          </w:tcPr>
          <w:p w14:paraId="3D27C932">
            <w:pPr>
              <w:jc w:val="center"/>
              <w:rPr>
                <w:rFonts w:hint="eastAsia"/>
                <w:b/>
                <w:bCs/>
                <w:color w:val="FF0000"/>
                <w:sz w:val="21"/>
                <w:szCs w:val="21"/>
              </w:rPr>
            </w:pPr>
          </w:p>
        </w:tc>
      </w:tr>
      <w:tr w14:paraId="5197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305BD86C">
            <w:pPr>
              <w:ind w:right="36" w:rightChars="17"/>
              <w:jc w:val="center"/>
              <w:rPr>
                <w:rFonts w:hint="eastAsia"/>
                <w:bCs/>
                <w:sz w:val="21"/>
                <w:szCs w:val="21"/>
              </w:rPr>
            </w:pPr>
            <w:r>
              <w:rPr>
                <w:rFonts w:hint="eastAsia" w:ascii="宋体" w:hAnsi="宋体"/>
                <w:sz w:val="21"/>
                <w:szCs w:val="21"/>
              </w:rPr>
              <w:t>10</w:t>
            </w:r>
          </w:p>
        </w:tc>
        <w:tc>
          <w:tcPr>
            <w:tcW w:w="2439" w:type="pct"/>
            <w:vAlign w:val="center"/>
          </w:tcPr>
          <w:p w14:paraId="4672E884">
            <w:pPr>
              <w:ind w:right="36" w:rightChars="17"/>
              <w:jc w:val="center"/>
              <w:rPr>
                <w:rFonts w:hint="eastAsia"/>
                <w:bCs/>
                <w:sz w:val="21"/>
                <w:szCs w:val="21"/>
              </w:rPr>
            </w:pPr>
            <w:r>
              <w:rPr>
                <w:rFonts w:hint="eastAsia" w:ascii="宋体" w:hAnsi="宋体"/>
                <w:sz w:val="21"/>
                <w:szCs w:val="21"/>
              </w:rPr>
              <w:t>动力配电箱</w:t>
            </w:r>
          </w:p>
        </w:tc>
        <w:tc>
          <w:tcPr>
            <w:tcW w:w="369" w:type="pct"/>
            <w:vAlign w:val="center"/>
          </w:tcPr>
          <w:p w14:paraId="49D85742">
            <w:pPr>
              <w:ind w:right="36" w:rightChars="17"/>
              <w:jc w:val="center"/>
              <w:rPr>
                <w:rFonts w:hint="eastAsia"/>
                <w:bCs/>
                <w:sz w:val="21"/>
                <w:szCs w:val="21"/>
              </w:rPr>
            </w:pPr>
            <w:r>
              <w:rPr>
                <w:rFonts w:hint="eastAsia" w:ascii="宋体" w:hAnsi="宋体"/>
                <w:sz w:val="21"/>
                <w:szCs w:val="21"/>
              </w:rPr>
              <w:t>22</w:t>
            </w:r>
          </w:p>
        </w:tc>
        <w:tc>
          <w:tcPr>
            <w:tcW w:w="369" w:type="pct"/>
            <w:vAlign w:val="center"/>
          </w:tcPr>
          <w:p w14:paraId="26C3A92E">
            <w:pPr>
              <w:ind w:right="36" w:rightChars="17"/>
              <w:jc w:val="center"/>
              <w:rPr>
                <w:rFonts w:hint="eastAsia"/>
                <w:bCs/>
                <w:sz w:val="21"/>
                <w:szCs w:val="21"/>
              </w:rPr>
            </w:pPr>
            <w:r>
              <w:rPr>
                <w:rFonts w:hint="eastAsia" w:ascii="宋体" w:hAnsi="宋体"/>
                <w:sz w:val="21"/>
                <w:szCs w:val="21"/>
              </w:rPr>
              <w:t>台</w:t>
            </w:r>
          </w:p>
        </w:tc>
        <w:tc>
          <w:tcPr>
            <w:tcW w:w="416" w:type="pct"/>
            <w:vAlign w:val="center"/>
          </w:tcPr>
          <w:p w14:paraId="23DC855F">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456AB3EA">
            <w:pPr>
              <w:jc w:val="center"/>
              <w:rPr>
                <w:rFonts w:hint="eastAsia"/>
                <w:b/>
                <w:bCs/>
                <w:color w:val="FF0000"/>
                <w:sz w:val="21"/>
                <w:szCs w:val="21"/>
              </w:rPr>
            </w:pPr>
          </w:p>
        </w:tc>
        <w:tc>
          <w:tcPr>
            <w:tcW w:w="614" w:type="pct"/>
            <w:vMerge w:val="continue"/>
            <w:vAlign w:val="center"/>
          </w:tcPr>
          <w:p w14:paraId="2BFAF820">
            <w:pPr>
              <w:jc w:val="center"/>
              <w:rPr>
                <w:rFonts w:hint="eastAsia"/>
                <w:b/>
                <w:bCs/>
                <w:color w:val="FF0000"/>
                <w:sz w:val="21"/>
                <w:szCs w:val="21"/>
              </w:rPr>
            </w:pPr>
          </w:p>
        </w:tc>
      </w:tr>
      <w:tr w14:paraId="1454C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4B8CF103">
            <w:pPr>
              <w:ind w:right="36" w:rightChars="17"/>
              <w:jc w:val="center"/>
              <w:rPr>
                <w:rFonts w:hint="eastAsia"/>
                <w:bCs/>
                <w:sz w:val="21"/>
                <w:szCs w:val="21"/>
              </w:rPr>
            </w:pPr>
            <w:r>
              <w:rPr>
                <w:rFonts w:hint="eastAsia" w:ascii="宋体" w:hAnsi="宋体"/>
                <w:sz w:val="21"/>
                <w:szCs w:val="21"/>
              </w:rPr>
              <w:t>11</w:t>
            </w:r>
          </w:p>
        </w:tc>
        <w:tc>
          <w:tcPr>
            <w:tcW w:w="2439" w:type="pct"/>
            <w:vAlign w:val="center"/>
          </w:tcPr>
          <w:p w14:paraId="3CC012B5">
            <w:pPr>
              <w:ind w:right="36" w:rightChars="17"/>
              <w:jc w:val="center"/>
              <w:rPr>
                <w:rFonts w:hint="eastAsia"/>
                <w:bCs/>
                <w:sz w:val="21"/>
                <w:szCs w:val="21"/>
              </w:rPr>
            </w:pPr>
            <w:r>
              <w:rPr>
                <w:rFonts w:hint="eastAsia" w:ascii="宋体" w:hAnsi="宋体"/>
                <w:sz w:val="21"/>
                <w:szCs w:val="21"/>
              </w:rPr>
              <w:t>水冷型行间空调</w:t>
            </w:r>
          </w:p>
        </w:tc>
        <w:tc>
          <w:tcPr>
            <w:tcW w:w="369" w:type="pct"/>
            <w:vAlign w:val="center"/>
          </w:tcPr>
          <w:p w14:paraId="245E7D3F">
            <w:pPr>
              <w:ind w:right="36" w:rightChars="17"/>
              <w:jc w:val="center"/>
              <w:rPr>
                <w:rFonts w:hint="eastAsia"/>
                <w:bCs/>
                <w:sz w:val="21"/>
                <w:szCs w:val="21"/>
              </w:rPr>
            </w:pPr>
            <w:r>
              <w:rPr>
                <w:rFonts w:hint="eastAsia" w:ascii="宋体" w:hAnsi="宋体"/>
                <w:sz w:val="21"/>
                <w:szCs w:val="21"/>
              </w:rPr>
              <w:t>107</w:t>
            </w:r>
          </w:p>
        </w:tc>
        <w:tc>
          <w:tcPr>
            <w:tcW w:w="369" w:type="pct"/>
            <w:vAlign w:val="center"/>
          </w:tcPr>
          <w:p w14:paraId="37CE5452">
            <w:pPr>
              <w:ind w:right="36" w:rightChars="17"/>
              <w:jc w:val="center"/>
              <w:rPr>
                <w:rFonts w:hint="eastAsia"/>
                <w:bCs/>
                <w:sz w:val="21"/>
                <w:szCs w:val="21"/>
              </w:rPr>
            </w:pPr>
            <w:r>
              <w:rPr>
                <w:rFonts w:hint="eastAsia" w:ascii="宋体" w:hAnsi="宋体"/>
                <w:sz w:val="21"/>
                <w:szCs w:val="21"/>
              </w:rPr>
              <w:t>台</w:t>
            </w:r>
          </w:p>
        </w:tc>
        <w:tc>
          <w:tcPr>
            <w:tcW w:w="416" w:type="pct"/>
            <w:vAlign w:val="center"/>
          </w:tcPr>
          <w:p w14:paraId="0BF11B99">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133D5F32">
            <w:pPr>
              <w:jc w:val="center"/>
              <w:rPr>
                <w:rFonts w:hint="eastAsia"/>
                <w:b/>
                <w:bCs/>
                <w:color w:val="FF0000"/>
                <w:sz w:val="21"/>
                <w:szCs w:val="21"/>
              </w:rPr>
            </w:pPr>
          </w:p>
        </w:tc>
        <w:tc>
          <w:tcPr>
            <w:tcW w:w="614" w:type="pct"/>
            <w:vMerge w:val="continue"/>
            <w:vAlign w:val="center"/>
          </w:tcPr>
          <w:p w14:paraId="6B472B0C">
            <w:pPr>
              <w:jc w:val="center"/>
              <w:rPr>
                <w:rFonts w:hint="eastAsia"/>
                <w:b/>
                <w:bCs/>
                <w:color w:val="FF0000"/>
                <w:sz w:val="21"/>
                <w:szCs w:val="21"/>
              </w:rPr>
            </w:pPr>
          </w:p>
        </w:tc>
      </w:tr>
      <w:tr w14:paraId="6C55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5270C85A">
            <w:pPr>
              <w:ind w:right="36" w:rightChars="17"/>
              <w:jc w:val="center"/>
              <w:rPr>
                <w:rFonts w:hint="eastAsia"/>
                <w:bCs/>
                <w:sz w:val="21"/>
                <w:szCs w:val="21"/>
              </w:rPr>
            </w:pPr>
            <w:r>
              <w:rPr>
                <w:rFonts w:hint="eastAsia" w:ascii="宋体" w:hAnsi="宋体"/>
                <w:sz w:val="21"/>
                <w:szCs w:val="21"/>
              </w:rPr>
              <w:t>12</w:t>
            </w:r>
          </w:p>
        </w:tc>
        <w:tc>
          <w:tcPr>
            <w:tcW w:w="2439" w:type="pct"/>
            <w:vAlign w:val="center"/>
          </w:tcPr>
          <w:p w14:paraId="40ACE0E7">
            <w:pPr>
              <w:ind w:right="36" w:rightChars="17"/>
              <w:jc w:val="center"/>
              <w:rPr>
                <w:rFonts w:hint="eastAsia"/>
                <w:bCs/>
                <w:sz w:val="21"/>
                <w:szCs w:val="21"/>
              </w:rPr>
            </w:pPr>
            <w:r>
              <w:rPr>
                <w:rFonts w:hint="eastAsia" w:ascii="宋体" w:hAnsi="宋体"/>
                <w:sz w:val="21"/>
                <w:szCs w:val="21"/>
              </w:rPr>
              <w:t>水冷型房间级空调</w:t>
            </w:r>
          </w:p>
        </w:tc>
        <w:tc>
          <w:tcPr>
            <w:tcW w:w="369" w:type="pct"/>
            <w:vAlign w:val="center"/>
          </w:tcPr>
          <w:p w14:paraId="50ECBA42">
            <w:pPr>
              <w:ind w:right="36" w:rightChars="17"/>
              <w:jc w:val="center"/>
              <w:rPr>
                <w:rFonts w:hint="eastAsia"/>
                <w:bCs/>
                <w:sz w:val="21"/>
                <w:szCs w:val="21"/>
              </w:rPr>
            </w:pPr>
            <w:r>
              <w:rPr>
                <w:rFonts w:hint="eastAsia" w:ascii="宋体" w:hAnsi="宋体"/>
                <w:sz w:val="21"/>
                <w:szCs w:val="21"/>
              </w:rPr>
              <w:t>10</w:t>
            </w:r>
          </w:p>
        </w:tc>
        <w:tc>
          <w:tcPr>
            <w:tcW w:w="369" w:type="pct"/>
            <w:vAlign w:val="center"/>
          </w:tcPr>
          <w:p w14:paraId="0C0557A9">
            <w:pPr>
              <w:ind w:right="36" w:rightChars="17"/>
              <w:jc w:val="center"/>
              <w:rPr>
                <w:rFonts w:hint="eastAsia"/>
                <w:bCs/>
                <w:sz w:val="21"/>
                <w:szCs w:val="21"/>
              </w:rPr>
            </w:pPr>
            <w:r>
              <w:rPr>
                <w:rFonts w:hint="eastAsia" w:ascii="宋体" w:hAnsi="宋体"/>
                <w:sz w:val="21"/>
                <w:szCs w:val="21"/>
              </w:rPr>
              <w:t>台</w:t>
            </w:r>
          </w:p>
        </w:tc>
        <w:tc>
          <w:tcPr>
            <w:tcW w:w="416" w:type="pct"/>
            <w:vAlign w:val="center"/>
          </w:tcPr>
          <w:p w14:paraId="18B5E150">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3DB06182">
            <w:pPr>
              <w:jc w:val="center"/>
              <w:rPr>
                <w:rFonts w:hint="eastAsia"/>
                <w:b/>
                <w:bCs/>
                <w:color w:val="FF0000"/>
                <w:sz w:val="21"/>
                <w:szCs w:val="21"/>
              </w:rPr>
            </w:pPr>
          </w:p>
        </w:tc>
        <w:tc>
          <w:tcPr>
            <w:tcW w:w="614" w:type="pct"/>
            <w:vMerge w:val="continue"/>
            <w:vAlign w:val="center"/>
          </w:tcPr>
          <w:p w14:paraId="019B125C">
            <w:pPr>
              <w:jc w:val="center"/>
              <w:rPr>
                <w:rFonts w:hint="eastAsia"/>
                <w:b/>
                <w:bCs/>
                <w:color w:val="FF0000"/>
                <w:sz w:val="21"/>
                <w:szCs w:val="21"/>
              </w:rPr>
            </w:pPr>
          </w:p>
        </w:tc>
      </w:tr>
      <w:tr w14:paraId="2E66B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3BCFB0F1">
            <w:pPr>
              <w:ind w:right="36" w:rightChars="17"/>
              <w:jc w:val="center"/>
              <w:rPr>
                <w:rFonts w:hint="eastAsia"/>
                <w:bCs/>
                <w:sz w:val="21"/>
                <w:szCs w:val="21"/>
              </w:rPr>
            </w:pPr>
            <w:r>
              <w:rPr>
                <w:rFonts w:hint="eastAsia" w:ascii="宋体" w:hAnsi="宋体"/>
                <w:sz w:val="21"/>
                <w:szCs w:val="21"/>
              </w:rPr>
              <w:t>13</w:t>
            </w:r>
          </w:p>
        </w:tc>
        <w:tc>
          <w:tcPr>
            <w:tcW w:w="2439" w:type="pct"/>
            <w:vAlign w:val="center"/>
          </w:tcPr>
          <w:p w14:paraId="50D9BA44">
            <w:pPr>
              <w:ind w:right="36" w:rightChars="17"/>
              <w:jc w:val="center"/>
              <w:rPr>
                <w:rFonts w:hint="eastAsia"/>
                <w:bCs/>
                <w:sz w:val="21"/>
                <w:szCs w:val="21"/>
              </w:rPr>
            </w:pPr>
            <w:r>
              <w:rPr>
                <w:rFonts w:hint="eastAsia" w:ascii="宋体" w:hAnsi="宋体"/>
                <w:sz w:val="21"/>
                <w:szCs w:val="21"/>
              </w:rPr>
              <w:t>风冷型行间空调</w:t>
            </w:r>
          </w:p>
        </w:tc>
        <w:tc>
          <w:tcPr>
            <w:tcW w:w="369" w:type="pct"/>
            <w:vAlign w:val="center"/>
          </w:tcPr>
          <w:p w14:paraId="248DB94E">
            <w:pPr>
              <w:ind w:right="36" w:rightChars="17"/>
              <w:jc w:val="center"/>
              <w:rPr>
                <w:rFonts w:hint="eastAsia"/>
                <w:bCs/>
                <w:sz w:val="21"/>
                <w:szCs w:val="21"/>
              </w:rPr>
            </w:pPr>
            <w:r>
              <w:rPr>
                <w:rFonts w:hint="eastAsia" w:ascii="宋体" w:hAnsi="宋体"/>
                <w:sz w:val="21"/>
                <w:szCs w:val="21"/>
              </w:rPr>
              <w:t>6</w:t>
            </w:r>
          </w:p>
        </w:tc>
        <w:tc>
          <w:tcPr>
            <w:tcW w:w="369" w:type="pct"/>
            <w:vAlign w:val="center"/>
          </w:tcPr>
          <w:p w14:paraId="630A67FB">
            <w:pPr>
              <w:ind w:right="36" w:rightChars="17"/>
              <w:jc w:val="center"/>
              <w:rPr>
                <w:rFonts w:hint="eastAsia"/>
                <w:bCs/>
                <w:sz w:val="21"/>
                <w:szCs w:val="21"/>
              </w:rPr>
            </w:pPr>
            <w:r>
              <w:rPr>
                <w:rFonts w:hint="eastAsia" w:ascii="宋体" w:hAnsi="宋体"/>
                <w:sz w:val="21"/>
                <w:szCs w:val="21"/>
              </w:rPr>
              <w:t>台</w:t>
            </w:r>
          </w:p>
        </w:tc>
        <w:tc>
          <w:tcPr>
            <w:tcW w:w="416" w:type="pct"/>
            <w:vAlign w:val="center"/>
          </w:tcPr>
          <w:p w14:paraId="1516DF25">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08130A75">
            <w:pPr>
              <w:jc w:val="center"/>
              <w:rPr>
                <w:rFonts w:hint="eastAsia"/>
                <w:b/>
                <w:bCs/>
                <w:color w:val="FF0000"/>
                <w:sz w:val="21"/>
                <w:szCs w:val="21"/>
              </w:rPr>
            </w:pPr>
          </w:p>
        </w:tc>
        <w:tc>
          <w:tcPr>
            <w:tcW w:w="614" w:type="pct"/>
            <w:vMerge w:val="continue"/>
            <w:vAlign w:val="center"/>
          </w:tcPr>
          <w:p w14:paraId="6BB9CAE4">
            <w:pPr>
              <w:jc w:val="center"/>
              <w:rPr>
                <w:rFonts w:hint="eastAsia"/>
                <w:b/>
                <w:bCs/>
                <w:color w:val="FF0000"/>
                <w:sz w:val="21"/>
                <w:szCs w:val="21"/>
              </w:rPr>
            </w:pPr>
          </w:p>
        </w:tc>
      </w:tr>
      <w:tr w14:paraId="178E6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2DBB1672">
            <w:pPr>
              <w:ind w:right="36" w:rightChars="17"/>
              <w:jc w:val="center"/>
              <w:rPr>
                <w:rFonts w:hint="eastAsia"/>
                <w:bCs/>
                <w:sz w:val="21"/>
                <w:szCs w:val="21"/>
              </w:rPr>
            </w:pPr>
            <w:r>
              <w:rPr>
                <w:rFonts w:hint="eastAsia" w:ascii="宋体" w:hAnsi="宋体"/>
                <w:sz w:val="21"/>
                <w:szCs w:val="21"/>
              </w:rPr>
              <w:t>14</w:t>
            </w:r>
          </w:p>
        </w:tc>
        <w:tc>
          <w:tcPr>
            <w:tcW w:w="2439" w:type="pct"/>
            <w:vAlign w:val="center"/>
          </w:tcPr>
          <w:p w14:paraId="6448E858">
            <w:pPr>
              <w:ind w:right="36" w:rightChars="17"/>
              <w:jc w:val="center"/>
              <w:rPr>
                <w:rFonts w:hint="eastAsia"/>
                <w:bCs/>
                <w:sz w:val="21"/>
                <w:szCs w:val="21"/>
              </w:rPr>
            </w:pPr>
            <w:r>
              <w:rPr>
                <w:rFonts w:hint="eastAsia" w:ascii="宋体" w:hAnsi="宋体"/>
                <w:kern w:val="0"/>
                <w:sz w:val="21"/>
                <w:szCs w:val="21"/>
              </w:rPr>
              <w:t>屏蔽机房（含一个微模块，≥</w:t>
            </w:r>
            <w:r>
              <w:rPr>
                <w:rFonts w:ascii="宋体" w:hAnsi="宋体"/>
                <w:kern w:val="0"/>
                <w:sz w:val="21"/>
                <w:szCs w:val="21"/>
              </w:rPr>
              <w:t>20</w:t>
            </w:r>
            <w:r>
              <w:rPr>
                <w:rFonts w:hint="eastAsia" w:ascii="宋体" w:hAnsi="宋体"/>
                <w:kern w:val="0"/>
                <w:sz w:val="21"/>
                <w:szCs w:val="21"/>
              </w:rPr>
              <w:t>个屏蔽机柜）</w:t>
            </w:r>
          </w:p>
        </w:tc>
        <w:tc>
          <w:tcPr>
            <w:tcW w:w="369" w:type="pct"/>
            <w:vAlign w:val="center"/>
          </w:tcPr>
          <w:p w14:paraId="325711BD">
            <w:pPr>
              <w:ind w:right="36" w:rightChars="17"/>
              <w:jc w:val="center"/>
              <w:rPr>
                <w:rFonts w:hint="eastAsia"/>
                <w:bCs/>
                <w:sz w:val="21"/>
                <w:szCs w:val="21"/>
              </w:rPr>
            </w:pPr>
            <w:r>
              <w:rPr>
                <w:rFonts w:hint="eastAsia" w:ascii="宋体" w:hAnsi="宋体"/>
                <w:kern w:val="0"/>
                <w:sz w:val="21"/>
                <w:szCs w:val="21"/>
              </w:rPr>
              <w:t>1</w:t>
            </w:r>
          </w:p>
        </w:tc>
        <w:tc>
          <w:tcPr>
            <w:tcW w:w="369" w:type="pct"/>
            <w:vAlign w:val="center"/>
          </w:tcPr>
          <w:p w14:paraId="4C245DA7">
            <w:pPr>
              <w:ind w:right="36" w:rightChars="17"/>
              <w:jc w:val="center"/>
              <w:rPr>
                <w:rFonts w:hint="eastAsia"/>
                <w:bCs/>
                <w:sz w:val="21"/>
                <w:szCs w:val="21"/>
              </w:rPr>
            </w:pPr>
            <w:r>
              <w:rPr>
                <w:rFonts w:hint="eastAsia" w:ascii="宋体" w:hAnsi="宋体"/>
                <w:kern w:val="0"/>
                <w:sz w:val="21"/>
                <w:szCs w:val="21"/>
              </w:rPr>
              <w:t>个</w:t>
            </w:r>
          </w:p>
        </w:tc>
        <w:tc>
          <w:tcPr>
            <w:tcW w:w="416" w:type="pct"/>
            <w:vAlign w:val="center"/>
          </w:tcPr>
          <w:p w14:paraId="5F0BEEB5">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7C33BBF1">
            <w:pPr>
              <w:jc w:val="center"/>
              <w:rPr>
                <w:rFonts w:hint="eastAsia"/>
                <w:b/>
                <w:bCs/>
                <w:color w:val="FF0000"/>
                <w:sz w:val="21"/>
                <w:szCs w:val="21"/>
              </w:rPr>
            </w:pPr>
          </w:p>
        </w:tc>
        <w:tc>
          <w:tcPr>
            <w:tcW w:w="614" w:type="pct"/>
            <w:vMerge w:val="continue"/>
            <w:vAlign w:val="center"/>
          </w:tcPr>
          <w:p w14:paraId="0988F93D">
            <w:pPr>
              <w:jc w:val="center"/>
              <w:rPr>
                <w:rFonts w:hint="eastAsia"/>
                <w:b/>
                <w:bCs/>
                <w:color w:val="FF0000"/>
                <w:sz w:val="21"/>
                <w:szCs w:val="21"/>
              </w:rPr>
            </w:pPr>
          </w:p>
        </w:tc>
      </w:tr>
      <w:tr w14:paraId="67A4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0E8A4AA6">
            <w:pPr>
              <w:ind w:right="36" w:rightChars="17"/>
              <w:jc w:val="center"/>
              <w:rPr>
                <w:rFonts w:hint="eastAsia"/>
                <w:bCs/>
                <w:sz w:val="21"/>
                <w:szCs w:val="21"/>
              </w:rPr>
            </w:pPr>
            <w:r>
              <w:rPr>
                <w:rFonts w:hint="eastAsia" w:ascii="宋体" w:hAnsi="宋体"/>
                <w:sz w:val="21"/>
                <w:szCs w:val="21"/>
              </w:rPr>
              <w:t>15</w:t>
            </w:r>
          </w:p>
        </w:tc>
        <w:tc>
          <w:tcPr>
            <w:tcW w:w="2439" w:type="pct"/>
            <w:vAlign w:val="center"/>
          </w:tcPr>
          <w:p w14:paraId="393CD488">
            <w:pPr>
              <w:ind w:right="36" w:rightChars="17"/>
              <w:jc w:val="center"/>
              <w:rPr>
                <w:rFonts w:hint="eastAsia"/>
                <w:bCs/>
                <w:sz w:val="21"/>
                <w:szCs w:val="21"/>
              </w:rPr>
            </w:pPr>
            <w:r>
              <w:rPr>
                <w:rFonts w:hint="eastAsia" w:ascii="宋体" w:hAnsi="宋体"/>
                <w:kern w:val="0"/>
                <w:sz w:val="21"/>
                <w:szCs w:val="21"/>
              </w:rPr>
              <w:t>防雷接地设备</w:t>
            </w:r>
          </w:p>
        </w:tc>
        <w:tc>
          <w:tcPr>
            <w:tcW w:w="369" w:type="pct"/>
            <w:vAlign w:val="center"/>
          </w:tcPr>
          <w:p w14:paraId="28DBCF5E">
            <w:pPr>
              <w:ind w:right="36" w:rightChars="17"/>
              <w:jc w:val="center"/>
              <w:rPr>
                <w:rFonts w:hint="eastAsia"/>
                <w:bCs/>
                <w:sz w:val="21"/>
                <w:szCs w:val="21"/>
              </w:rPr>
            </w:pPr>
            <w:r>
              <w:rPr>
                <w:rFonts w:hint="eastAsia" w:ascii="宋体" w:hAnsi="宋体"/>
                <w:kern w:val="0"/>
                <w:sz w:val="21"/>
                <w:szCs w:val="21"/>
              </w:rPr>
              <w:t>1</w:t>
            </w:r>
          </w:p>
        </w:tc>
        <w:tc>
          <w:tcPr>
            <w:tcW w:w="369" w:type="pct"/>
            <w:vAlign w:val="center"/>
          </w:tcPr>
          <w:p w14:paraId="45FB6F57">
            <w:pPr>
              <w:ind w:right="36" w:rightChars="17"/>
              <w:jc w:val="center"/>
              <w:rPr>
                <w:rFonts w:hint="eastAsia"/>
                <w:bCs/>
                <w:sz w:val="21"/>
                <w:szCs w:val="21"/>
              </w:rPr>
            </w:pPr>
            <w:r>
              <w:rPr>
                <w:rFonts w:hint="eastAsia" w:ascii="宋体" w:hAnsi="宋体"/>
                <w:kern w:val="0"/>
                <w:sz w:val="21"/>
                <w:szCs w:val="21"/>
              </w:rPr>
              <w:t>套</w:t>
            </w:r>
          </w:p>
        </w:tc>
        <w:tc>
          <w:tcPr>
            <w:tcW w:w="416" w:type="pct"/>
            <w:vAlign w:val="center"/>
          </w:tcPr>
          <w:p w14:paraId="6835564F">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5E13CB61">
            <w:pPr>
              <w:jc w:val="center"/>
              <w:rPr>
                <w:rFonts w:hint="eastAsia"/>
                <w:b/>
                <w:bCs/>
                <w:color w:val="FF0000"/>
                <w:sz w:val="21"/>
                <w:szCs w:val="21"/>
              </w:rPr>
            </w:pPr>
          </w:p>
        </w:tc>
        <w:tc>
          <w:tcPr>
            <w:tcW w:w="614" w:type="pct"/>
            <w:vMerge w:val="continue"/>
            <w:vAlign w:val="center"/>
          </w:tcPr>
          <w:p w14:paraId="018086DC">
            <w:pPr>
              <w:jc w:val="center"/>
              <w:rPr>
                <w:rFonts w:hint="eastAsia"/>
                <w:b/>
                <w:bCs/>
                <w:color w:val="FF0000"/>
                <w:sz w:val="21"/>
                <w:szCs w:val="21"/>
              </w:rPr>
            </w:pPr>
          </w:p>
        </w:tc>
      </w:tr>
      <w:tr w14:paraId="0665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618B3CEC">
            <w:pPr>
              <w:ind w:right="36" w:rightChars="17"/>
              <w:jc w:val="center"/>
              <w:rPr>
                <w:rFonts w:hint="eastAsia"/>
                <w:bCs/>
                <w:sz w:val="21"/>
                <w:szCs w:val="21"/>
              </w:rPr>
            </w:pPr>
            <w:r>
              <w:rPr>
                <w:rFonts w:hint="eastAsia" w:ascii="宋体" w:hAnsi="宋体"/>
                <w:sz w:val="21"/>
                <w:szCs w:val="21"/>
              </w:rPr>
              <w:t>16</w:t>
            </w:r>
          </w:p>
        </w:tc>
        <w:tc>
          <w:tcPr>
            <w:tcW w:w="2439" w:type="pct"/>
            <w:vAlign w:val="center"/>
          </w:tcPr>
          <w:p w14:paraId="320B38FD">
            <w:pPr>
              <w:ind w:right="36" w:rightChars="17"/>
              <w:jc w:val="center"/>
              <w:rPr>
                <w:rFonts w:hint="eastAsia"/>
                <w:bCs/>
                <w:sz w:val="21"/>
                <w:szCs w:val="21"/>
              </w:rPr>
            </w:pPr>
            <w:r>
              <w:rPr>
                <w:rFonts w:hint="eastAsia" w:ascii="宋体" w:hAnsi="宋体"/>
                <w:kern w:val="0"/>
                <w:sz w:val="21"/>
                <w:szCs w:val="21"/>
              </w:rPr>
              <w:t>气体消防设备</w:t>
            </w:r>
          </w:p>
        </w:tc>
        <w:tc>
          <w:tcPr>
            <w:tcW w:w="369" w:type="pct"/>
            <w:vAlign w:val="center"/>
          </w:tcPr>
          <w:p w14:paraId="33E1A8FB">
            <w:pPr>
              <w:ind w:right="36" w:rightChars="17"/>
              <w:jc w:val="center"/>
              <w:rPr>
                <w:rFonts w:hint="eastAsia"/>
                <w:bCs/>
                <w:sz w:val="21"/>
                <w:szCs w:val="21"/>
              </w:rPr>
            </w:pPr>
            <w:r>
              <w:rPr>
                <w:rFonts w:hint="eastAsia" w:ascii="宋体" w:hAnsi="宋体"/>
                <w:kern w:val="0"/>
                <w:sz w:val="21"/>
                <w:szCs w:val="21"/>
              </w:rPr>
              <w:t>1</w:t>
            </w:r>
          </w:p>
        </w:tc>
        <w:tc>
          <w:tcPr>
            <w:tcW w:w="369" w:type="pct"/>
            <w:vAlign w:val="center"/>
          </w:tcPr>
          <w:p w14:paraId="35877059">
            <w:pPr>
              <w:ind w:right="36" w:rightChars="17"/>
              <w:jc w:val="center"/>
              <w:rPr>
                <w:rFonts w:hint="eastAsia"/>
                <w:bCs/>
                <w:sz w:val="21"/>
                <w:szCs w:val="21"/>
              </w:rPr>
            </w:pPr>
            <w:r>
              <w:rPr>
                <w:rFonts w:hint="eastAsia" w:ascii="宋体" w:hAnsi="宋体"/>
                <w:kern w:val="0"/>
                <w:sz w:val="21"/>
                <w:szCs w:val="21"/>
              </w:rPr>
              <w:t>套</w:t>
            </w:r>
          </w:p>
        </w:tc>
        <w:tc>
          <w:tcPr>
            <w:tcW w:w="416" w:type="pct"/>
            <w:vAlign w:val="center"/>
          </w:tcPr>
          <w:p w14:paraId="13DE5537">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23A9F0CE">
            <w:pPr>
              <w:jc w:val="center"/>
              <w:rPr>
                <w:rFonts w:hint="eastAsia"/>
                <w:b/>
                <w:bCs/>
                <w:color w:val="FF0000"/>
                <w:sz w:val="21"/>
                <w:szCs w:val="21"/>
              </w:rPr>
            </w:pPr>
          </w:p>
        </w:tc>
        <w:tc>
          <w:tcPr>
            <w:tcW w:w="614" w:type="pct"/>
            <w:vMerge w:val="continue"/>
            <w:vAlign w:val="center"/>
          </w:tcPr>
          <w:p w14:paraId="7297CCC1">
            <w:pPr>
              <w:jc w:val="center"/>
              <w:rPr>
                <w:rFonts w:hint="eastAsia"/>
                <w:b/>
                <w:bCs/>
                <w:color w:val="FF0000"/>
                <w:sz w:val="21"/>
                <w:szCs w:val="21"/>
              </w:rPr>
            </w:pPr>
          </w:p>
        </w:tc>
      </w:tr>
      <w:tr w14:paraId="19557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6EF6912F">
            <w:pPr>
              <w:ind w:right="36" w:rightChars="17"/>
              <w:jc w:val="center"/>
              <w:rPr>
                <w:rFonts w:hint="eastAsia"/>
                <w:bCs/>
                <w:sz w:val="21"/>
                <w:szCs w:val="21"/>
              </w:rPr>
            </w:pPr>
            <w:r>
              <w:rPr>
                <w:rFonts w:hint="eastAsia" w:ascii="宋体" w:hAnsi="宋体"/>
                <w:sz w:val="21"/>
                <w:szCs w:val="21"/>
              </w:rPr>
              <w:t>17</w:t>
            </w:r>
          </w:p>
        </w:tc>
        <w:tc>
          <w:tcPr>
            <w:tcW w:w="2439" w:type="pct"/>
            <w:vAlign w:val="center"/>
          </w:tcPr>
          <w:p w14:paraId="6CFC11E7">
            <w:pPr>
              <w:ind w:right="36" w:rightChars="17"/>
              <w:jc w:val="center"/>
              <w:rPr>
                <w:rFonts w:hint="eastAsia"/>
                <w:bCs/>
                <w:sz w:val="21"/>
                <w:szCs w:val="21"/>
              </w:rPr>
            </w:pPr>
            <w:r>
              <w:rPr>
                <w:rFonts w:hint="eastAsia" w:ascii="宋体" w:hAnsi="宋体"/>
                <w:kern w:val="0"/>
                <w:sz w:val="21"/>
                <w:szCs w:val="21"/>
              </w:rPr>
              <w:t>动环管理系统（含安防）</w:t>
            </w:r>
          </w:p>
        </w:tc>
        <w:tc>
          <w:tcPr>
            <w:tcW w:w="369" w:type="pct"/>
            <w:vAlign w:val="center"/>
          </w:tcPr>
          <w:p w14:paraId="385E8C46">
            <w:pPr>
              <w:ind w:right="36" w:rightChars="17"/>
              <w:jc w:val="center"/>
              <w:rPr>
                <w:rFonts w:hint="eastAsia"/>
                <w:bCs/>
                <w:sz w:val="21"/>
                <w:szCs w:val="21"/>
              </w:rPr>
            </w:pPr>
            <w:r>
              <w:rPr>
                <w:rFonts w:hint="eastAsia" w:ascii="宋体" w:hAnsi="宋体"/>
                <w:kern w:val="0"/>
                <w:sz w:val="21"/>
                <w:szCs w:val="21"/>
              </w:rPr>
              <w:t>1</w:t>
            </w:r>
          </w:p>
        </w:tc>
        <w:tc>
          <w:tcPr>
            <w:tcW w:w="369" w:type="pct"/>
            <w:vAlign w:val="center"/>
          </w:tcPr>
          <w:p w14:paraId="62D8A048">
            <w:pPr>
              <w:ind w:right="36" w:rightChars="17"/>
              <w:jc w:val="center"/>
              <w:rPr>
                <w:rFonts w:hint="eastAsia"/>
                <w:bCs/>
                <w:sz w:val="21"/>
                <w:szCs w:val="21"/>
              </w:rPr>
            </w:pPr>
            <w:r>
              <w:rPr>
                <w:rFonts w:hint="eastAsia" w:ascii="宋体" w:hAnsi="宋体"/>
                <w:kern w:val="0"/>
                <w:sz w:val="21"/>
                <w:szCs w:val="21"/>
              </w:rPr>
              <w:t>套</w:t>
            </w:r>
          </w:p>
        </w:tc>
        <w:tc>
          <w:tcPr>
            <w:tcW w:w="416" w:type="pct"/>
            <w:vAlign w:val="center"/>
          </w:tcPr>
          <w:p w14:paraId="695A2A9B">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04D6349A">
            <w:pPr>
              <w:jc w:val="center"/>
              <w:rPr>
                <w:rFonts w:hint="eastAsia"/>
                <w:b/>
                <w:bCs/>
                <w:color w:val="FF0000"/>
                <w:sz w:val="21"/>
                <w:szCs w:val="21"/>
              </w:rPr>
            </w:pPr>
          </w:p>
        </w:tc>
        <w:tc>
          <w:tcPr>
            <w:tcW w:w="614" w:type="pct"/>
            <w:vMerge w:val="continue"/>
            <w:vAlign w:val="center"/>
          </w:tcPr>
          <w:p w14:paraId="25274337">
            <w:pPr>
              <w:jc w:val="center"/>
              <w:rPr>
                <w:rFonts w:hint="eastAsia"/>
                <w:b/>
                <w:bCs/>
                <w:color w:val="FF0000"/>
                <w:sz w:val="21"/>
                <w:szCs w:val="21"/>
              </w:rPr>
            </w:pPr>
          </w:p>
        </w:tc>
      </w:tr>
      <w:tr w14:paraId="73223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785710EC">
            <w:pPr>
              <w:ind w:right="36" w:rightChars="17"/>
              <w:jc w:val="center"/>
              <w:rPr>
                <w:rFonts w:hint="eastAsia"/>
                <w:bCs/>
                <w:sz w:val="21"/>
                <w:szCs w:val="21"/>
              </w:rPr>
            </w:pPr>
            <w:r>
              <w:rPr>
                <w:rFonts w:hint="eastAsia" w:ascii="宋体" w:hAnsi="宋体"/>
                <w:sz w:val="21"/>
                <w:szCs w:val="21"/>
              </w:rPr>
              <w:t>18</w:t>
            </w:r>
          </w:p>
        </w:tc>
        <w:tc>
          <w:tcPr>
            <w:tcW w:w="2439" w:type="pct"/>
            <w:vAlign w:val="center"/>
          </w:tcPr>
          <w:p w14:paraId="1A488DB8">
            <w:pPr>
              <w:ind w:right="36" w:rightChars="17"/>
              <w:jc w:val="center"/>
              <w:rPr>
                <w:rFonts w:hint="eastAsia"/>
                <w:bCs/>
                <w:sz w:val="21"/>
                <w:szCs w:val="21"/>
              </w:rPr>
            </w:pPr>
            <w:r>
              <w:rPr>
                <w:rFonts w:hint="eastAsia" w:ascii="宋体" w:hAnsi="宋体"/>
                <w:kern w:val="0"/>
                <w:sz w:val="21"/>
                <w:szCs w:val="21"/>
              </w:rPr>
              <w:t>防火墙</w:t>
            </w:r>
          </w:p>
        </w:tc>
        <w:tc>
          <w:tcPr>
            <w:tcW w:w="369" w:type="pct"/>
            <w:vAlign w:val="center"/>
          </w:tcPr>
          <w:p w14:paraId="73CD24BE">
            <w:pPr>
              <w:ind w:right="36" w:rightChars="17"/>
              <w:jc w:val="center"/>
              <w:rPr>
                <w:rFonts w:hint="eastAsia"/>
                <w:bCs/>
                <w:sz w:val="21"/>
                <w:szCs w:val="21"/>
              </w:rPr>
            </w:pPr>
            <w:r>
              <w:rPr>
                <w:rFonts w:hint="eastAsia" w:ascii="宋体" w:hAnsi="宋体"/>
                <w:sz w:val="21"/>
                <w:szCs w:val="21"/>
              </w:rPr>
              <w:t>2</w:t>
            </w:r>
          </w:p>
        </w:tc>
        <w:tc>
          <w:tcPr>
            <w:tcW w:w="369" w:type="pct"/>
            <w:vAlign w:val="center"/>
          </w:tcPr>
          <w:p w14:paraId="15BAD7C3">
            <w:pPr>
              <w:ind w:right="36" w:rightChars="17"/>
              <w:jc w:val="center"/>
              <w:rPr>
                <w:rFonts w:hint="eastAsia"/>
                <w:bCs/>
                <w:sz w:val="21"/>
                <w:szCs w:val="21"/>
              </w:rPr>
            </w:pPr>
            <w:r>
              <w:rPr>
                <w:rFonts w:hint="eastAsia" w:ascii="宋体" w:hAnsi="宋体"/>
                <w:kern w:val="0"/>
                <w:sz w:val="21"/>
                <w:szCs w:val="21"/>
              </w:rPr>
              <w:t>台</w:t>
            </w:r>
          </w:p>
        </w:tc>
        <w:tc>
          <w:tcPr>
            <w:tcW w:w="416" w:type="pct"/>
            <w:vAlign w:val="center"/>
          </w:tcPr>
          <w:p w14:paraId="7D619C72">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2772BAFE">
            <w:pPr>
              <w:jc w:val="center"/>
              <w:rPr>
                <w:rFonts w:hint="eastAsia"/>
                <w:b/>
                <w:bCs/>
                <w:color w:val="FF0000"/>
                <w:sz w:val="21"/>
                <w:szCs w:val="21"/>
              </w:rPr>
            </w:pPr>
          </w:p>
        </w:tc>
        <w:tc>
          <w:tcPr>
            <w:tcW w:w="614" w:type="pct"/>
            <w:vMerge w:val="continue"/>
            <w:vAlign w:val="center"/>
          </w:tcPr>
          <w:p w14:paraId="53BB962B">
            <w:pPr>
              <w:jc w:val="center"/>
              <w:rPr>
                <w:rFonts w:hint="eastAsia"/>
                <w:b/>
                <w:bCs/>
                <w:color w:val="FF0000"/>
                <w:sz w:val="21"/>
                <w:szCs w:val="21"/>
              </w:rPr>
            </w:pPr>
          </w:p>
        </w:tc>
      </w:tr>
      <w:tr w14:paraId="318A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1B19C15C">
            <w:pPr>
              <w:ind w:right="36" w:rightChars="17"/>
              <w:jc w:val="center"/>
              <w:rPr>
                <w:rFonts w:hint="eastAsia"/>
                <w:bCs/>
                <w:sz w:val="21"/>
                <w:szCs w:val="21"/>
              </w:rPr>
            </w:pPr>
            <w:r>
              <w:rPr>
                <w:rFonts w:hint="eastAsia" w:ascii="宋体" w:hAnsi="宋体"/>
                <w:sz w:val="21"/>
                <w:szCs w:val="21"/>
              </w:rPr>
              <w:t>19</w:t>
            </w:r>
          </w:p>
        </w:tc>
        <w:tc>
          <w:tcPr>
            <w:tcW w:w="2439" w:type="pct"/>
            <w:vAlign w:val="center"/>
          </w:tcPr>
          <w:p w14:paraId="2D43ED69">
            <w:pPr>
              <w:ind w:right="36" w:rightChars="17"/>
              <w:jc w:val="center"/>
              <w:rPr>
                <w:rFonts w:hint="eastAsia"/>
                <w:bCs/>
                <w:sz w:val="21"/>
                <w:szCs w:val="21"/>
              </w:rPr>
            </w:pPr>
            <w:r>
              <w:rPr>
                <w:rFonts w:hint="eastAsia" w:ascii="宋体" w:hAnsi="宋体"/>
                <w:sz w:val="21"/>
                <w:szCs w:val="21"/>
              </w:rPr>
              <w:t>堡垒机</w:t>
            </w:r>
          </w:p>
        </w:tc>
        <w:tc>
          <w:tcPr>
            <w:tcW w:w="369" w:type="pct"/>
            <w:vAlign w:val="center"/>
          </w:tcPr>
          <w:p w14:paraId="2FC51283">
            <w:pPr>
              <w:ind w:right="36" w:rightChars="17"/>
              <w:jc w:val="center"/>
              <w:rPr>
                <w:rFonts w:hint="eastAsia"/>
                <w:bCs/>
                <w:sz w:val="21"/>
                <w:szCs w:val="21"/>
              </w:rPr>
            </w:pPr>
            <w:r>
              <w:rPr>
                <w:rFonts w:hint="eastAsia" w:ascii="宋体" w:hAnsi="宋体"/>
                <w:sz w:val="21"/>
                <w:szCs w:val="21"/>
              </w:rPr>
              <w:t>1</w:t>
            </w:r>
          </w:p>
        </w:tc>
        <w:tc>
          <w:tcPr>
            <w:tcW w:w="369" w:type="pct"/>
            <w:vAlign w:val="center"/>
          </w:tcPr>
          <w:p w14:paraId="10E18898">
            <w:pPr>
              <w:ind w:right="36" w:rightChars="17"/>
              <w:jc w:val="center"/>
              <w:rPr>
                <w:rFonts w:hint="eastAsia"/>
                <w:bCs/>
                <w:sz w:val="21"/>
                <w:szCs w:val="21"/>
              </w:rPr>
            </w:pPr>
            <w:r>
              <w:rPr>
                <w:rFonts w:hint="eastAsia" w:ascii="宋体" w:hAnsi="宋体"/>
                <w:kern w:val="0"/>
                <w:sz w:val="21"/>
                <w:szCs w:val="21"/>
              </w:rPr>
              <w:t>台</w:t>
            </w:r>
          </w:p>
        </w:tc>
        <w:tc>
          <w:tcPr>
            <w:tcW w:w="416" w:type="pct"/>
            <w:vAlign w:val="center"/>
          </w:tcPr>
          <w:p w14:paraId="5425B6A8">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303C2455">
            <w:pPr>
              <w:jc w:val="center"/>
              <w:rPr>
                <w:rFonts w:hint="eastAsia"/>
                <w:b/>
                <w:bCs/>
                <w:color w:val="FF0000"/>
                <w:sz w:val="21"/>
                <w:szCs w:val="21"/>
              </w:rPr>
            </w:pPr>
          </w:p>
        </w:tc>
        <w:tc>
          <w:tcPr>
            <w:tcW w:w="614" w:type="pct"/>
            <w:vMerge w:val="continue"/>
            <w:vAlign w:val="center"/>
          </w:tcPr>
          <w:p w14:paraId="2886D098">
            <w:pPr>
              <w:jc w:val="center"/>
              <w:rPr>
                <w:rFonts w:hint="eastAsia"/>
                <w:b/>
                <w:bCs/>
                <w:color w:val="FF0000"/>
                <w:sz w:val="21"/>
                <w:szCs w:val="21"/>
              </w:rPr>
            </w:pPr>
          </w:p>
        </w:tc>
      </w:tr>
      <w:tr w14:paraId="0E654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02" w:type="pct"/>
            <w:vAlign w:val="center"/>
          </w:tcPr>
          <w:p w14:paraId="082FFB8E">
            <w:pPr>
              <w:ind w:right="36" w:rightChars="17"/>
              <w:jc w:val="center"/>
              <w:rPr>
                <w:rFonts w:hint="eastAsia"/>
                <w:bCs/>
                <w:sz w:val="21"/>
                <w:szCs w:val="21"/>
              </w:rPr>
            </w:pPr>
            <w:r>
              <w:rPr>
                <w:rFonts w:hint="eastAsia" w:ascii="宋体" w:hAnsi="宋体"/>
                <w:sz w:val="21"/>
                <w:szCs w:val="21"/>
              </w:rPr>
              <w:t>20</w:t>
            </w:r>
          </w:p>
        </w:tc>
        <w:tc>
          <w:tcPr>
            <w:tcW w:w="2439" w:type="pct"/>
            <w:vAlign w:val="center"/>
          </w:tcPr>
          <w:p w14:paraId="59A64842">
            <w:pPr>
              <w:ind w:right="36" w:rightChars="17"/>
              <w:jc w:val="center"/>
              <w:rPr>
                <w:rFonts w:hint="eastAsia"/>
                <w:bCs/>
                <w:sz w:val="21"/>
                <w:szCs w:val="21"/>
              </w:rPr>
            </w:pPr>
            <w:r>
              <w:rPr>
                <w:rFonts w:hint="eastAsia" w:ascii="宋体" w:hAnsi="宋体"/>
                <w:sz w:val="21"/>
                <w:szCs w:val="21"/>
              </w:rPr>
              <w:t>集成服务</w:t>
            </w:r>
          </w:p>
        </w:tc>
        <w:tc>
          <w:tcPr>
            <w:tcW w:w="369" w:type="pct"/>
            <w:vAlign w:val="center"/>
          </w:tcPr>
          <w:p w14:paraId="3181DBFF">
            <w:pPr>
              <w:ind w:right="36" w:rightChars="17"/>
              <w:jc w:val="center"/>
              <w:rPr>
                <w:rFonts w:hint="eastAsia"/>
                <w:bCs/>
                <w:sz w:val="21"/>
                <w:szCs w:val="21"/>
              </w:rPr>
            </w:pPr>
            <w:r>
              <w:rPr>
                <w:rFonts w:hint="eastAsia" w:ascii="宋体" w:hAnsi="宋体"/>
                <w:sz w:val="21"/>
                <w:szCs w:val="21"/>
              </w:rPr>
              <w:t>1</w:t>
            </w:r>
          </w:p>
        </w:tc>
        <w:tc>
          <w:tcPr>
            <w:tcW w:w="369" w:type="pct"/>
            <w:vAlign w:val="center"/>
          </w:tcPr>
          <w:p w14:paraId="07BB9095">
            <w:pPr>
              <w:ind w:right="36" w:rightChars="17"/>
              <w:jc w:val="center"/>
              <w:rPr>
                <w:rFonts w:hint="eastAsia"/>
                <w:bCs/>
                <w:sz w:val="21"/>
                <w:szCs w:val="21"/>
              </w:rPr>
            </w:pPr>
            <w:r>
              <w:rPr>
                <w:rFonts w:hint="eastAsia" w:ascii="宋体" w:hAnsi="宋体"/>
                <w:sz w:val="21"/>
                <w:szCs w:val="21"/>
              </w:rPr>
              <w:t>项</w:t>
            </w:r>
          </w:p>
        </w:tc>
        <w:tc>
          <w:tcPr>
            <w:tcW w:w="416" w:type="pct"/>
            <w:vAlign w:val="center"/>
          </w:tcPr>
          <w:p w14:paraId="60B96CD9">
            <w:pPr>
              <w:jc w:val="center"/>
              <w:rPr>
                <w:rFonts w:hint="eastAsia"/>
                <w:b/>
                <w:bCs/>
                <w:color w:val="FF0000"/>
                <w:sz w:val="21"/>
                <w:szCs w:val="21"/>
              </w:rPr>
            </w:pPr>
            <w:r>
              <w:rPr>
                <w:rFonts w:hint="eastAsia"/>
                <w:b/>
                <w:bCs/>
                <w:color w:val="FF0000"/>
                <w:sz w:val="21"/>
                <w:szCs w:val="21"/>
                <w:lang w:val="en-US" w:eastAsia="zh-CN"/>
              </w:rPr>
              <w:t>拒绝进口</w:t>
            </w:r>
          </w:p>
        </w:tc>
        <w:tc>
          <w:tcPr>
            <w:tcW w:w="486" w:type="pct"/>
            <w:vMerge w:val="continue"/>
            <w:vAlign w:val="center"/>
          </w:tcPr>
          <w:p w14:paraId="34E5B151">
            <w:pPr>
              <w:jc w:val="center"/>
              <w:rPr>
                <w:rFonts w:hint="eastAsia"/>
                <w:b/>
                <w:bCs/>
                <w:color w:val="FF0000"/>
                <w:sz w:val="21"/>
                <w:szCs w:val="21"/>
              </w:rPr>
            </w:pPr>
          </w:p>
        </w:tc>
        <w:tc>
          <w:tcPr>
            <w:tcW w:w="614" w:type="pct"/>
            <w:vMerge w:val="continue"/>
            <w:vAlign w:val="center"/>
          </w:tcPr>
          <w:p w14:paraId="0BAB2776">
            <w:pPr>
              <w:jc w:val="center"/>
              <w:rPr>
                <w:rFonts w:hint="eastAsia"/>
                <w:b/>
                <w:bCs/>
                <w:color w:val="FF0000"/>
                <w:sz w:val="21"/>
                <w:szCs w:val="21"/>
              </w:rPr>
            </w:pPr>
          </w:p>
        </w:tc>
      </w:tr>
    </w:tbl>
    <w:p w14:paraId="51F45432">
      <w:pPr>
        <w:ind w:firstLine="422" w:firstLineChars="200"/>
        <w:rPr>
          <w:rFonts w:ascii="宋体" w:hAnsi="宋体"/>
          <w:b/>
          <w:color w:val="FF0000"/>
          <w:szCs w:val="21"/>
        </w:rPr>
      </w:pPr>
      <w:r>
        <w:rPr>
          <w:rFonts w:hint="eastAsia" w:ascii="宋体" w:hAnsi="宋体"/>
          <w:b/>
          <w:color w:val="FF0000"/>
          <w:szCs w:val="21"/>
        </w:rPr>
        <w:t xml:space="preserve">备注：1.备注栏注明“拒绝进口”的产品不接受投标人选用进口产品参与投标；注明“接受进口”的产品允许投标人选用进口产品参与投标，但不排斥国内产品。 </w:t>
      </w:r>
    </w:p>
    <w:p w14:paraId="288DD94E">
      <w:pPr>
        <w:ind w:firstLine="422" w:firstLineChars="200"/>
        <w:rPr>
          <w:rFonts w:ascii="宋体" w:hAnsi="宋体"/>
          <w:b/>
          <w:color w:val="FF0000"/>
          <w:szCs w:val="21"/>
        </w:rPr>
      </w:pPr>
      <w:r>
        <w:rPr>
          <w:rFonts w:hint="eastAsia" w:ascii="宋体" w:hAnsi="宋体"/>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bookmarkEnd w:id="40"/>
    <w:p w14:paraId="7D56D78C">
      <w:pPr>
        <w:tabs>
          <w:tab w:val="center" w:pos="4153"/>
        </w:tabs>
        <w:ind w:firstLine="422" w:firstLineChars="200"/>
        <w:rPr>
          <w:rFonts w:ascii="宋体" w:hAnsi="宋体"/>
          <w:b/>
          <w:color w:val="FF0000"/>
          <w:szCs w:val="21"/>
        </w:rPr>
      </w:pPr>
      <w:r>
        <w:rPr>
          <w:rFonts w:hint="eastAsia" w:ascii="宋体" w:hAnsi="宋体"/>
          <w:b/>
          <w:color w:val="FF0000"/>
          <w:szCs w:val="21"/>
        </w:rPr>
        <w:t>3.本项目核心产品为：</w:t>
      </w:r>
      <w:r>
        <w:rPr>
          <w:rFonts w:hint="eastAsia" w:ascii="宋体" w:hAnsi="宋体"/>
          <w:b/>
          <w:color w:val="FF0000"/>
          <w:szCs w:val="21"/>
          <w:u w:val="single"/>
          <w:lang w:eastAsia="zh-CN"/>
        </w:rPr>
        <w:tab/>
      </w:r>
      <w:r>
        <w:rPr>
          <w:rFonts w:hint="eastAsia" w:ascii="宋体" w:hAnsi="宋体"/>
          <w:b/>
          <w:color w:val="FF0000"/>
          <w:szCs w:val="21"/>
          <w:u w:val="single"/>
          <w:lang w:eastAsia="zh-CN"/>
        </w:rPr>
        <w:t>UPS及功率模块（含1台UPS及功率模块）（</w:t>
      </w:r>
      <w:r>
        <w:rPr>
          <w:rFonts w:hint="eastAsia" w:ascii="宋体" w:hAnsi="宋体"/>
          <w:b/>
          <w:color w:val="FF0000"/>
          <w:szCs w:val="21"/>
          <w:u w:val="single"/>
          <w:lang w:val="en-US" w:eastAsia="zh-CN"/>
        </w:rPr>
        <w:t>序号5</w:t>
      </w:r>
      <w:r>
        <w:rPr>
          <w:rFonts w:hint="eastAsia" w:ascii="宋体" w:hAnsi="宋体"/>
          <w:b/>
          <w:color w:val="FF0000"/>
          <w:szCs w:val="21"/>
          <w:u w:val="single"/>
          <w:lang w:eastAsia="zh-CN"/>
        </w:rPr>
        <w:t>）</w:t>
      </w:r>
      <w:r>
        <w:rPr>
          <w:rFonts w:hint="eastAsia" w:ascii="宋体" w:hAnsi="宋体"/>
          <w:b/>
          <w:color w:val="FF0000"/>
          <w:szCs w:val="21"/>
          <w:u w:val="single"/>
        </w:rPr>
        <w:t>。</w:t>
      </w:r>
    </w:p>
    <w:p w14:paraId="181DFD4F">
      <w:pPr>
        <w:ind w:firstLine="422" w:firstLineChars="200"/>
        <w:rPr>
          <w:rFonts w:hint="eastAsia" w:ascii="宋体" w:hAnsi="宋体"/>
          <w:b/>
          <w:color w:val="FF0000"/>
          <w:szCs w:val="21"/>
          <w:lang w:val="en-US" w:eastAsia="zh-CN"/>
        </w:rPr>
      </w:pPr>
      <w:r>
        <w:rPr>
          <w:rFonts w:hint="eastAsia" w:ascii="宋体" w:hAnsi="宋体"/>
          <w:b/>
          <w:color w:val="FF0000"/>
          <w:szCs w:val="21"/>
          <w:lang w:val="en-US" w:eastAsia="zh-CN"/>
        </w:rPr>
        <w:t>4.如“货物需求明细”中货物名称（标的名称）含配件、辅材、系统调试、安装类、装修类等，以上部分无需填报《中小企业声明函》，如填报亦不作为认定依据，不影响声明函有效性。</w:t>
      </w:r>
    </w:p>
    <w:p w14:paraId="188E4579">
      <w:pPr>
        <w:ind w:firstLine="422" w:firstLineChars="200"/>
        <w:rPr>
          <w:rFonts w:hint="default" w:ascii="宋体" w:hAnsi="宋体" w:eastAsia="宋体"/>
          <w:b/>
          <w:color w:val="FF0000"/>
          <w:szCs w:val="21"/>
          <w:lang w:val="en-US" w:eastAsia="zh-CN"/>
        </w:rPr>
      </w:pPr>
    </w:p>
    <w:p w14:paraId="4E6CFAEF">
      <w:pPr>
        <w:pStyle w:val="7"/>
        <w:spacing w:before="156" w:beforeLines="50" w:after="156" w:afterLines="50"/>
        <w:rPr>
          <w:sz w:val="28"/>
          <w:szCs w:val="28"/>
        </w:rPr>
      </w:pPr>
      <w:bookmarkStart w:id="42" w:name="_Toc128884461"/>
      <w:r>
        <w:rPr>
          <w:rFonts w:hint="eastAsia"/>
          <w:sz w:val="28"/>
          <w:szCs w:val="28"/>
        </w:rPr>
        <w:t>三、实质性条款</w:t>
      </w:r>
    </w:p>
    <w:tbl>
      <w:tblPr>
        <w:tblStyle w:val="45"/>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7483"/>
      </w:tblGrid>
      <w:tr w14:paraId="2CA8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05" w:type="dxa"/>
            <w:vAlign w:val="center"/>
          </w:tcPr>
          <w:p w14:paraId="4CD241CE">
            <w:pPr>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7483" w:type="dxa"/>
            <w:vAlign w:val="center"/>
          </w:tcPr>
          <w:p w14:paraId="0CBDBCE0">
            <w:pPr>
              <w:adjustRightInd w:val="0"/>
              <w:snapToGrid w:val="0"/>
              <w:spacing w:line="360" w:lineRule="auto"/>
              <w:jc w:val="center"/>
              <w:rPr>
                <w:rFonts w:ascii="宋体" w:hAnsi="宋体"/>
                <w:kern w:val="0"/>
                <w:szCs w:val="21"/>
              </w:rPr>
            </w:pPr>
            <w:r>
              <w:rPr>
                <w:rFonts w:hint="eastAsia" w:ascii="宋体" w:hAnsi="宋体"/>
                <w:kern w:val="0"/>
                <w:szCs w:val="21"/>
              </w:rPr>
              <w:t>实质性条款具体内容</w:t>
            </w:r>
          </w:p>
        </w:tc>
      </w:tr>
      <w:tr w14:paraId="56CD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Align w:val="center"/>
          </w:tcPr>
          <w:p w14:paraId="70E0FD17">
            <w:pPr>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7483" w:type="dxa"/>
          </w:tcPr>
          <w:p w14:paraId="57EFC603">
            <w:pPr>
              <w:adjustRightInd w:val="0"/>
              <w:snapToGrid w:val="0"/>
              <w:spacing w:line="360" w:lineRule="auto"/>
              <w:rPr>
                <w:rFonts w:hAnsi="宋体"/>
                <w:kern w:val="0"/>
                <w:szCs w:val="21"/>
              </w:rPr>
            </w:pPr>
            <w:r>
              <w:rPr>
                <w:rFonts w:hint="eastAsia" w:hAnsi="宋体"/>
                <w:kern w:val="0"/>
                <w:szCs w:val="21"/>
              </w:rPr>
              <w:t>满足本项目标★的条款要求</w:t>
            </w:r>
          </w:p>
        </w:tc>
      </w:tr>
      <w:tr w14:paraId="69E9F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Align w:val="center"/>
          </w:tcPr>
          <w:p w14:paraId="2DA3F195">
            <w:pPr>
              <w:adjustRightInd w:val="0"/>
              <w:snapToGrid w:val="0"/>
              <w:spacing w:line="360" w:lineRule="auto"/>
              <w:jc w:val="center"/>
              <w:rPr>
                <w:rFonts w:hint="eastAsia" w:ascii="宋体" w:hAnsi="宋体" w:eastAsia="宋体"/>
                <w:kern w:val="0"/>
                <w:szCs w:val="21"/>
                <w:lang w:val="en-US" w:eastAsia="zh-CN"/>
              </w:rPr>
            </w:pPr>
            <w:r>
              <w:rPr>
                <w:rFonts w:hint="eastAsia" w:ascii="宋体" w:hAnsi="宋体"/>
                <w:kern w:val="0"/>
                <w:szCs w:val="21"/>
                <w:lang w:val="en-US" w:eastAsia="zh-CN"/>
              </w:rPr>
              <w:t>2</w:t>
            </w:r>
          </w:p>
        </w:tc>
        <w:tc>
          <w:tcPr>
            <w:tcW w:w="7483" w:type="dxa"/>
          </w:tcPr>
          <w:p w14:paraId="6CBC3879">
            <w:pPr>
              <w:adjustRightInd w:val="0"/>
              <w:snapToGrid w:val="0"/>
              <w:spacing w:line="360" w:lineRule="auto"/>
              <w:rPr>
                <w:rFonts w:hint="eastAsia" w:hAnsi="宋体"/>
                <w:kern w:val="0"/>
                <w:szCs w:val="21"/>
              </w:rPr>
            </w:pPr>
            <w:r>
              <w:rPr>
                <w:rFonts w:hint="eastAsia" w:hAnsi="宋体"/>
                <w:kern w:val="0"/>
                <w:szCs w:val="21"/>
              </w:rPr>
              <w:t>投标人满足附件1《项目要求》和附件2《技术规范》有关规定要求。</w:t>
            </w:r>
          </w:p>
        </w:tc>
      </w:tr>
      <w:bookmarkEnd w:id="42"/>
    </w:tbl>
    <w:p w14:paraId="34650938">
      <w:pPr>
        <w:rPr>
          <w:sz w:val="22"/>
        </w:rPr>
      </w:pPr>
      <w:r>
        <w:rPr>
          <w:rFonts w:hint="eastAsia"/>
          <w:sz w:val="22"/>
        </w:rPr>
        <w:t>注：上表所列内容为不可负偏离条款，负偏离将视为未实质性满足招标文件要求和条件作投标无效处理。</w:t>
      </w:r>
    </w:p>
    <w:p w14:paraId="6EA0E908">
      <w:pPr>
        <w:rPr>
          <w:b/>
          <w:szCs w:val="21"/>
        </w:rPr>
      </w:pPr>
    </w:p>
    <w:p w14:paraId="01777244">
      <w:pPr>
        <w:pStyle w:val="7"/>
        <w:spacing w:before="156" w:beforeLines="50" w:after="156" w:afterLines="50"/>
        <w:rPr>
          <w:sz w:val="28"/>
          <w:szCs w:val="28"/>
        </w:rPr>
      </w:pPr>
      <w:r>
        <w:rPr>
          <w:rFonts w:hint="eastAsia"/>
          <w:sz w:val="28"/>
          <w:szCs w:val="28"/>
        </w:rPr>
        <w:t>四、技术要求</w:t>
      </w:r>
    </w:p>
    <w:p w14:paraId="79555A0E">
      <w:pPr>
        <w:ind w:firstLine="422" w:firstLineChars="200"/>
        <w:rPr>
          <w:b/>
        </w:rPr>
      </w:pPr>
      <w:r>
        <w:rPr>
          <w:rFonts w:hint="eastAsia"/>
          <w:b/>
          <w:szCs w:val="21"/>
        </w:rPr>
        <w:t>说明：</w:t>
      </w:r>
      <w:r>
        <w:rPr>
          <w:b/>
        </w:rPr>
        <w:t>1</w:t>
      </w:r>
      <w:r>
        <w:rPr>
          <w:rFonts w:hint="eastAsia"/>
          <w:b/>
        </w:rPr>
        <w:t>、评分时，如对一项招标技术要求（以划分框为准）中的内容存在两处（或以上）负偏离的，在评分时只作一项负偏离扣分。</w:t>
      </w:r>
    </w:p>
    <w:p w14:paraId="3EE99363">
      <w:pPr>
        <w:ind w:firstLine="422" w:firstLineChars="200"/>
        <w:rPr>
          <w:b/>
          <w:szCs w:val="21"/>
        </w:rPr>
      </w:pPr>
      <w:r>
        <w:rPr>
          <w:b/>
          <w:szCs w:val="21"/>
        </w:rPr>
        <w:t>2</w:t>
      </w:r>
      <w:r>
        <w:rPr>
          <w:rFonts w:hint="eastAsia"/>
          <w:b/>
          <w:szCs w:val="21"/>
        </w:rPr>
        <w:t>、带“</w:t>
      </w:r>
      <w:r>
        <w:rPr>
          <w:rFonts w:hint="eastAsia" w:ascii="宋体" w:hAnsi="宋体" w:cs="宋体"/>
          <w:b/>
          <w:szCs w:val="21"/>
        </w:rPr>
        <w:t>★</w:t>
      </w:r>
      <w:r>
        <w:rPr>
          <w:rFonts w:hint="eastAsia"/>
          <w:b/>
          <w:szCs w:val="21"/>
        </w:rPr>
        <w:t>”指标项为实质性条款，如出现负偏离，将被视为未实质性满足招标文件要求作投标无效处理；带“</w:t>
      </w:r>
      <w:r>
        <w:t>▲</w:t>
      </w:r>
      <w:r>
        <w:rPr>
          <w:rFonts w:hint="eastAsia"/>
          <w:b/>
          <w:szCs w:val="21"/>
        </w:rPr>
        <w:t>”指标项为重要参数条款，负偏离时依相关评分准则内容作重点扣分处理。</w:t>
      </w:r>
    </w:p>
    <w:p w14:paraId="489E34E8">
      <w:pPr>
        <w:ind w:firstLine="422" w:firstLineChars="200"/>
        <w:rPr>
          <w:b/>
          <w:szCs w:val="21"/>
        </w:rPr>
      </w:pPr>
      <w:r>
        <w:rPr>
          <w:b/>
          <w:szCs w:val="21"/>
        </w:rPr>
        <w:t>3</w:t>
      </w:r>
      <w:r>
        <w:rPr>
          <w:rFonts w:hint="eastAsia"/>
          <w:b/>
          <w:szCs w:val="21"/>
        </w:rPr>
        <w:t>、</w:t>
      </w:r>
      <w:bookmarkStart w:id="43" w:name="_Hlk72585069"/>
      <w:r>
        <w:rPr>
          <w:rFonts w:hint="eastAsia"/>
          <w:b/>
          <w:szCs w:val="21"/>
        </w:rPr>
        <w:t>招标技术要求中，用</w:t>
      </w:r>
      <w:r>
        <w:rPr>
          <w:rFonts w:hint="eastAsia"/>
          <w:b/>
          <w:color w:val="FF0000"/>
          <w:szCs w:val="21"/>
        </w:rPr>
        <w:t>红色加粗字体标注</w:t>
      </w:r>
      <w:r>
        <w:rPr>
          <w:rFonts w:hint="eastAsia"/>
          <w:b/>
          <w:szCs w:val="21"/>
        </w:rPr>
        <w:t>的指标项均要求提供证明资料，其余指标项未要求提供证明资料，无需提供相关证明资料。</w:t>
      </w:r>
    </w:p>
    <w:p w14:paraId="34E488B0">
      <w:pPr>
        <w:ind w:firstLine="422" w:firstLineChars="200"/>
        <w:rPr>
          <w:rFonts w:hint="eastAsia" w:ascii="Times New Roman" w:hAnsi="Times New Roman" w:eastAsia="宋体" w:cs="Times New Roman"/>
          <w:b/>
          <w:szCs w:val="21"/>
        </w:rPr>
      </w:pPr>
      <w:r>
        <w:rPr>
          <w:rFonts w:hint="eastAsia" w:ascii="Times New Roman" w:hAnsi="Times New Roman" w:eastAsia="宋体" w:cs="Times New Roman"/>
          <w:b/>
          <w:color w:val="FF0000"/>
          <w:szCs w:val="21"/>
        </w:rPr>
        <w:t>4、涉及区间的参数，除特别注明以外，</w:t>
      </w:r>
      <w:bookmarkStart w:id="44" w:name="_Hlk75447406"/>
      <w:r>
        <w:rPr>
          <w:rFonts w:hint="eastAsia" w:ascii="Times New Roman" w:hAnsi="Times New Roman" w:eastAsia="宋体" w:cs="Times New Roman"/>
          <w:b/>
          <w:color w:val="FF0000"/>
          <w:szCs w:val="21"/>
        </w:rPr>
        <w:t>产品参数区间与招标要求不一致的均视为负偏离。</w:t>
      </w:r>
      <w:bookmarkEnd w:id="44"/>
      <w:r>
        <w:rPr>
          <w:rFonts w:hint="eastAsia" w:ascii="Times New Roman" w:hAnsi="Times New Roman" w:eastAsia="宋体" w:cs="Times New Roman"/>
          <w:b/>
          <w:color w:val="FF0000"/>
          <w:szCs w:val="21"/>
        </w:rPr>
        <w:t>例：区间要求为0-20ML,只要响应的不是“0-20ML”，如投标文件响应为 0-15ML 、0-21ML 、1-12ML 、 9-20ML 、6-21ML 、9ML等情形均视为负偏离。</w:t>
      </w:r>
    </w:p>
    <w:p w14:paraId="5DD3DCD2">
      <w:pPr>
        <w:pStyle w:val="2"/>
        <w:spacing w:line="240" w:lineRule="auto"/>
        <w:ind w:firstLine="422" w:firstLineChars="200"/>
        <w:rPr>
          <w:rFonts w:hint="eastAsia" w:ascii="Times New Roman" w:hAnsi="Times New Roman" w:eastAsia="宋体" w:cs="Times New Roman"/>
          <w:b/>
          <w:bCs w:val="0"/>
          <w:color w:val="FF0000"/>
          <w:kern w:val="2"/>
          <w:sz w:val="21"/>
          <w:szCs w:val="21"/>
          <w:lang w:val="en-US" w:eastAsia="zh-CN" w:bidi="ar-SA"/>
        </w:rPr>
      </w:pPr>
      <w:r>
        <w:rPr>
          <w:rFonts w:hint="eastAsia" w:ascii="Times New Roman" w:hAnsi="Times New Roman" w:eastAsia="宋体" w:cs="Times New Roman"/>
          <w:b/>
          <w:bCs w:val="0"/>
          <w:color w:val="FF0000"/>
          <w:kern w:val="2"/>
          <w:sz w:val="21"/>
          <w:szCs w:val="21"/>
          <w:lang w:val="en-US" w:eastAsia="zh-CN" w:bidi="ar-SA"/>
        </w:rPr>
        <w:t>5、检验（检测）报告要求具有CMA、CNAS等标识的，若有材料证明相关检测事项不在实施该项检测的机构许可（认可）CMA、CNAS等资质范围或检测范围内的，该检验（检测）报告视为不满足招标文件要求，作负偏离处理。</w:t>
      </w:r>
    </w:p>
    <w:p w14:paraId="1CDA9998">
      <w:pPr>
        <w:pStyle w:val="2"/>
        <w:ind w:firstLine="422" w:firstLineChars="200"/>
        <w:rPr>
          <w:rFonts w:hint="eastAsia" w:ascii="Times New Roman" w:hAnsi="Times New Roman" w:eastAsia="宋体" w:cs="Times New Roman"/>
          <w:b/>
          <w:bCs w:val="0"/>
          <w:color w:val="FF0000"/>
          <w:kern w:val="2"/>
          <w:sz w:val="21"/>
          <w:szCs w:val="21"/>
          <w:lang w:val="en-US" w:eastAsia="zh-CN" w:bidi="ar-SA"/>
        </w:rPr>
      </w:pPr>
    </w:p>
    <w:tbl>
      <w:tblPr>
        <w:tblStyle w:val="4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59"/>
        <w:gridCol w:w="1766"/>
        <w:gridCol w:w="5834"/>
      </w:tblGrid>
      <w:tr w14:paraId="5EA23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0" w:hRule="atLeast"/>
          <w:jc w:val="center"/>
        </w:trPr>
        <w:tc>
          <w:tcPr>
            <w:tcW w:w="454" w:type="pct"/>
            <w:vAlign w:val="center"/>
          </w:tcPr>
          <w:p w14:paraId="4E0C59A6">
            <w:pPr>
              <w:keepNext w:val="0"/>
              <w:keepLines w:val="0"/>
              <w:pageBreakBefore w:val="0"/>
              <w:widowControl/>
              <w:kinsoku/>
              <w:wordWrap/>
              <w:overflowPunct/>
              <w:topLinePunct w:val="0"/>
              <w:bidi w:val="0"/>
              <w:spacing w:line="276" w:lineRule="auto"/>
              <w:ind w:right="36" w:rightChars="17"/>
              <w:jc w:val="center"/>
              <w:rPr>
                <w:rFonts w:ascii="宋体" w:hAnsi="宋体"/>
                <w:b/>
                <w:sz w:val="21"/>
                <w:szCs w:val="21"/>
              </w:rPr>
            </w:pPr>
            <w:r>
              <w:rPr>
                <w:rFonts w:hint="eastAsia" w:ascii="宋体" w:hAnsi="宋体"/>
                <w:b/>
                <w:sz w:val="21"/>
                <w:szCs w:val="21"/>
              </w:rPr>
              <w:t>序号</w:t>
            </w:r>
          </w:p>
        </w:tc>
        <w:tc>
          <w:tcPr>
            <w:tcW w:w="1056" w:type="pct"/>
            <w:vAlign w:val="center"/>
          </w:tcPr>
          <w:p w14:paraId="0A030213">
            <w:pPr>
              <w:keepNext w:val="0"/>
              <w:keepLines w:val="0"/>
              <w:pageBreakBefore w:val="0"/>
              <w:widowControl/>
              <w:kinsoku/>
              <w:wordWrap/>
              <w:overflowPunct/>
              <w:topLinePunct w:val="0"/>
              <w:bidi w:val="0"/>
              <w:spacing w:line="276" w:lineRule="auto"/>
              <w:ind w:right="36" w:rightChars="17"/>
              <w:jc w:val="center"/>
              <w:rPr>
                <w:rFonts w:ascii="宋体" w:hAnsi="宋体"/>
                <w:b/>
                <w:sz w:val="21"/>
                <w:szCs w:val="21"/>
              </w:rPr>
            </w:pPr>
            <w:r>
              <w:rPr>
                <w:rFonts w:hint="eastAsia" w:ascii="宋体" w:hAnsi="宋体"/>
                <w:b/>
                <w:sz w:val="21"/>
                <w:szCs w:val="21"/>
              </w:rPr>
              <w:t>货物名称</w:t>
            </w:r>
          </w:p>
        </w:tc>
        <w:tc>
          <w:tcPr>
            <w:tcW w:w="3489" w:type="pct"/>
            <w:vAlign w:val="center"/>
          </w:tcPr>
          <w:p w14:paraId="281FA11E">
            <w:pPr>
              <w:keepNext w:val="0"/>
              <w:keepLines w:val="0"/>
              <w:pageBreakBefore w:val="0"/>
              <w:widowControl/>
              <w:kinsoku/>
              <w:wordWrap/>
              <w:overflowPunct/>
              <w:topLinePunct w:val="0"/>
              <w:bidi w:val="0"/>
              <w:spacing w:line="276" w:lineRule="auto"/>
              <w:ind w:right="36" w:rightChars="17"/>
              <w:jc w:val="center"/>
              <w:rPr>
                <w:rFonts w:ascii="宋体" w:hAnsi="宋体"/>
                <w:b/>
                <w:sz w:val="21"/>
                <w:szCs w:val="21"/>
              </w:rPr>
            </w:pPr>
            <w:r>
              <w:rPr>
                <w:rFonts w:hint="eastAsia" w:ascii="宋体" w:hAnsi="宋体"/>
                <w:b/>
                <w:sz w:val="21"/>
                <w:szCs w:val="21"/>
              </w:rPr>
              <w:t>招标技术指标</w:t>
            </w:r>
          </w:p>
        </w:tc>
      </w:tr>
      <w:tr w14:paraId="078B5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454" w:type="pct"/>
            <w:vMerge w:val="restart"/>
            <w:vAlign w:val="center"/>
          </w:tcPr>
          <w:p w14:paraId="7A9C844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w:t>
            </w:r>
          </w:p>
        </w:tc>
        <w:tc>
          <w:tcPr>
            <w:tcW w:w="1056" w:type="pct"/>
            <w:vMerge w:val="restart"/>
            <w:vAlign w:val="center"/>
          </w:tcPr>
          <w:p w14:paraId="53A12167">
            <w:pPr>
              <w:keepNext w:val="0"/>
              <w:keepLines w:val="0"/>
              <w:pageBreakBefore w:val="0"/>
              <w:widowControl/>
              <w:kinsoku/>
              <w:wordWrap/>
              <w:overflowPunct/>
              <w:topLinePunct w:val="0"/>
              <w:bidi w:val="0"/>
              <w:spacing w:line="276" w:lineRule="auto"/>
              <w:ind w:right="36" w:rightChars="17"/>
              <w:jc w:val="center"/>
              <w:rPr>
                <w:sz w:val="21"/>
                <w:szCs w:val="21"/>
              </w:rPr>
            </w:pPr>
            <w:r>
              <w:rPr>
                <w:rFonts w:hint="eastAsia" w:ascii="宋体" w:hAnsi="宋体"/>
                <w:sz w:val="21"/>
                <w:szCs w:val="21"/>
              </w:rPr>
              <w:t>服务器机柜</w:t>
            </w:r>
          </w:p>
          <w:p w14:paraId="18806F5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sz w:val="21"/>
                <w:szCs w:val="21"/>
              </w:rPr>
              <w:t>（</w:t>
            </w:r>
            <w:r>
              <w:rPr>
                <w:rFonts w:hint="eastAsia" w:ascii="宋体" w:hAnsi="宋体"/>
                <w:sz w:val="21"/>
                <w:szCs w:val="21"/>
              </w:rPr>
              <w:t>服务器机柜1（10kW）、服务器机柜2（15kW）</w:t>
            </w:r>
            <w:r>
              <w:rPr>
                <w:rFonts w:hint="eastAsia"/>
                <w:sz w:val="21"/>
                <w:szCs w:val="21"/>
              </w:rPr>
              <w:t>）</w:t>
            </w:r>
          </w:p>
        </w:tc>
        <w:tc>
          <w:tcPr>
            <w:tcW w:w="3489" w:type="pct"/>
            <w:vAlign w:val="center"/>
          </w:tcPr>
          <w:p w14:paraId="12E0B61E">
            <w:pPr>
              <w:keepNext w:val="0"/>
              <w:keepLines w:val="0"/>
              <w:pageBreakBefore w:val="0"/>
              <w:kinsoku/>
              <w:wordWrap/>
              <w:overflowPunct/>
              <w:topLinePunct w:val="0"/>
              <w:bidi w:val="0"/>
              <w:spacing w:line="276" w:lineRule="auto"/>
              <w:ind w:right="36" w:rightChars="17"/>
              <w:rPr>
                <w:rFonts w:hint="eastAsia" w:ascii="宋体" w:hAnsi="宋体" w:eastAsia="宋体"/>
                <w:kern w:val="0"/>
                <w:sz w:val="21"/>
                <w:szCs w:val="21"/>
                <w:lang w:val="en-US" w:eastAsia="zh-CN"/>
              </w:rPr>
            </w:pPr>
            <w:r>
              <w:rPr>
                <w:rFonts w:hint="eastAsia" w:ascii="宋体" w:hAnsi="宋体"/>
                <w:kern w:val="0"/>
                <w:sz w:val="21"/>
                <w:szCs w:val="21"/>
              </w:rPr>
              <w:t>1. 前后门为网孔门设计，满足散热需求。前门单开门，后门双开；侧板需能速拆卸式加固型侧板，方便安装和拆卸</w:t>
            </w:r>
            <w:r>
              <w:rPr>
                <w:rFonts w:hint="eastAsia" w:ascii="宋体" w:hAnsi="宋体"/>
                <w:kern w:val="0"/>
                <w:sz w:val="21"/>
                <w:szCs w:val="21"/>
                <w:lang w:eastAsia="zh-CN"/>
              </w:rPr>
              <w:t>，</w:t>
            </w:r>
            <w:r>
              <w:rPr>
                <w:rFonts w:hint="eastAsia" w:ascii="宋体" w:hAnsi="宋体"/>
                <w:kern w:val="0"/>
                <w:sz w:val="21"/>
                <w:szCs w:val="21"/>
              </w:rPr>
              <w:t>并且前后门开启角度≥130°</w:t>
            </w:r>
            <w:r>
              <w:rPr>
                <w:rFonts w:hint="eastAsia" w:ascii="宋体" w:hAnsi="宋体"/>
                <w:kern w:val="0"/>
                <w:sz w:val="21"/>
                <w:szCs w:val="21"/>
                <w:lang w:val="en-US" w:eastAsia="zh-CN"/>
              </w:rPr>
              <w:t>；</w:t>
            </w:r>
          </w:p>
          <w:p w14:paraId="00A0758F">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 10kW和15kW机柜为47U，机柜尺寸（W*D*H）：</w:t>
            </w:r>
          </w:p>
          <w:p w14:paraId="4CEBDB95">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600mm*1200mm*2200mm；其中有31个15kW机柜尺寸（W*D*H）：600mm*1400mm*2200mm；</w:t>
            </w:r>
          </w:p>
          <w:p w14:paraId="7F52A49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屏蔽机房机柜功率1</w:t>
            </w:r>
            <w:r>
              <w:rPr>
                <w:rFonts w:ascii="宋体" w:hAnsi="宋体"/>
                <w:kern w:val="0"/>
                <w:sz w:val="21"/>
                <w:szCs w:val="21"/>
              </w:rPr>
              <w:t>0kw</w:t>
            </w:r>
            <w:r>
              <w:rPr>
                <w:rFonts w:hint="eastAsia" w:ascii="宋体" w:hAnsi="宋体"/>
                <w:kern w:val="0"/>
                <w:sz w:val="21"/>
                <w:szCs w:val="21"/>
              </w:rPr>
              <w:t>，为42U机柜，机柜尺寸（W*D*H）：</w:t>
            </w:r>
          </w:p>
          <w:p w14:paraId="62C62ED9">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600mm*1100mm*2000mm</w:t>
            </w:r>
            <w:r>
              <w:rPr>
                <w:rFonts w:hint="eastAsia" w:ascii="宋体" w:hAnsi="宋体"/>
                <w:kern w:val="0"/>
                <w:sz w:val="21"/>
                <w:szCs w:val="21"/>
                <w:lang w:val="en-US" w:eastAsia="zh-CN"/>
              </w:rPr>
              <w:t>；</w:t>
            </w:r>
          </w:p>
          <w:p w14:paraId="65A2E876">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每个机柜含有≥2个PDU:其中15kw机柜:配置2个三相32A输入12*GB10A+12*GB16A的P</w:t>
            </w:r>
            <w:r>
              <w:rPr>
                <w:rFonts w:ascii="宋体" w:hAnsi="宋体"/>
                <w:sz w:val="21"/>
                <w:szCs w:val="21"/>
              </w:rPr>
              <w:t>DU</w:t>
            </w:r>
            <w:r>
              <w:rPr>
                <w:rFonts w:hint="eastAsia" w:ascii="宋体" w:hAnsi="宋体"/>
                <w:sz w:val="21"/>
                <w:szCs w:val="21"/>
              </w:rPr>
              <w:t>;10kw机柜:配置2个三相16A输入18*GB10A+6*GB16A的P</w:t>
            </w:r>
            <w:r>
              <w:rPr>
                <w:rFonts w:ascii="宋体" w:hAnsi="宋体"/>
                <w:sz w:val="21"/>
                <w:szCs w:val="21"/>
              </w:rPr>
              <w:t>DU</w:t>
            </w:r>
            <w:r>
              <w:rPr>
                <w:rFonts w:hint="eastAsia" w:ascii="宋体" w:hAnsi="宋体"/>
                <w:sz w:val="21"/>
                <w:szCs w:val="21"/>
                <w:lang w:eastAsia="zh-CN"/>
              </w:rPr>
              <w:t>。</w:t>
            </w:r>
          </w:p>
        </w:tc>
      </w:tr>
      <w:tr w14:paraId="0FC55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454" w:type="pct"/>
            <w:vMerge w:val="continue"/>
            <w:vAlign w:val="center"/>
          </w:tcPr>
          <w:p w14:paraId="5DF30F0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08C4F945">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3489" w:type="pct"/>
            <w:vAlign w:val="center"/>
          </w:tcPr>
          <w:p w14:paraId="7D1F8AF1">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3.每个机柜标配底板及侧板。机柜内部应设置≥4根安装立柱，用于安装设备和固定层板。安装立柱能够前后移动调节。安装立柱的间距、孔距等机柜内部尺寸结构应满足GB/T 19520.16-2015的要求。机架前门立柱需要有具体U数标示。生产材料选用优质冷轧钢材主框架，前门</w:t>
            </w:r>
            <w:r>
              <w:rPr>
                <w:rFonts w:hint="eastAsia"/>
                <w:sz w:val="21"/>
                <w:szCs w:val="21"/>
              </w:rPr>
              <w:t>≥</w:t>
            </w:r>
            <w:r>
              <w:rPr>
                <w:rFonts w:hint="eastAsia" w:ascii="宋体" w:hAnsi="宋体"/>
                <w:kern w:val="0"/>
                <w:sz w:val="21"/>
                <w:szCs w:val="21"/>
              </w:rPr>
              <w:t>1.5mm厚钢材，后门</w:t>
            </w:r>
            <w:r>
              <w:rPr>
                <w:rFonts w:hint="eastAsia"/>
                <w:sz w:val="21"/>
                <w:szCs w:val="21"/>
              </w:rPr>
              <w:t>≥</w:t>
            </w:r>
            <w:r>
              <w:rPr>
                <w:rFonts w:hint="eastAsia" w:ascii="宋体" w:hAnsi="宋体"/>
                <w:kern w:val="0"/>
                <w:sz w:val="21"/>
                <w:szCs w:val="21"/>
              </w:rPr>
              <w:t>1.2mm厚的钢材。</w:t>
            </w:r>
          </w:p>
        </w:tc>
      </w:tr>
      <w:tr w14:paraId="0F7A8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454" w:type="pct"/>
            <w:vMerge w:val="continue"/>
            <w:vAlign w:val="center"/>
          </w:tcPr>
          <w:p w14:paraId="13A5D1D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 xml:space="preserve"> </w:t>
            </w:r>
          </w:p>
        </w:tc>
        <w:tc>
          <w:tcPr>
            <w:tcW w:w="1056" w:type="pct"/>
            <w:vMerge w:val="continue"/>
            <w:vAlign w:val="center"/>
          </w:tcPr>
          <w:p w14:paraId="3BD47EFA">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3489" w:type="pct"/>
            <w:vAlign w:val="center"/>
          </w:tcPr>
          <w:p w14:paraId="641F2CC8">
            <w:pPr>
              <w:keepNext w:val="0"/>
              <w:keepLines w:val="0"/>
              <w:pageBreakBefore w:val="0"/>
              <w:kinsoku/>
              <w:wordWrap/>
              <w:overflowPunct/>
              <w:topLinePunct w:val="0"/>
              <w:bidi w:val="0"/>
              <w:spacing w:line="276" w:lineRule="auto"/>
              <w:ind w:right="36" w:rightChars="17"/>
              <w:rPr>
                <w:rFonts w:hint="eastAsia" w:ascii="宋体" w:hAnsi="宋体" w:eastAsia="宋体"/>
                <w:sz w:val="21"/>
                <w:szCs w:val="21"/>
                <w:lang w:eastAsia="zh-CN"/>
              </w:rPr>
            </w:pPr>
            <w:r>
              <w:rPr>
                <w:rFonts w:hint="eastAsia" w:ascii="宋体" w:hAnsi="宋体"/>
                <w:b/>
                <w:bCs/>
                <w:color w:val="FF0000"/>
                <w:kern w:val="0"/>
                <w:sz w:val="21"/>
                <w:szCs w:val="21"/>
              </w:rPr>
              <w:t>▲4服务器机柜需满足抗震要求，依照YD 5083-2005 《电信设备抗地震性能检测规范》标准，投标产品带载</w:t>
            </w:r>
            <w:r>
              <w:rPr>
                <w:rFonts w:hint="eastAsia" w:ascii="宋体" w:hAnsi="宋体"/>
                <w:b/>
                <w:bCs/>
                <w:color w:val="FF0000"/>
                <w:sz w:val="21"/>
                <w:szCs w:val="21"/>
              </w:rPr>
              <w:t>≥</w:t>
            </w:r>
            <w:r>
              <w:rPr>
                <w:rFonts w:ascii="宋体" w:hAnsi="宋体"/>
                <w:b/>
                <w:bCs/>
                <w:color w:val="FF0000"/>
                <w:sz w:val="21"/>
                <w:szCs w:val="21"/>
              </w:rPr>
              <w:t>800</w:t>
            </w:r>
            <w:r>
              <w:rPr>
                <w:rFonts w:ascii="宋体" w:hAnsi="宋体"/>
                <w:b/>
                <w:bCs/>
                <w:color w:val="FF0000"/>
                <w:kern w:val="0"/>
                <w:sz w:val="21"/>
                <w:szCs w:val="21"/>
              </w:rPr>
              <w:t>kg情况下，需连续通过8、9级烈度结构抗地震考核</w:t>
            </w:r>
            <w:r>
              <w:rPr>
                <w:rFonts w:hint="eastAsia" w:ascii="宋体" w:hAnsi="宋体"/>
                <w:b/>
                <w:bCs/>
                <w:color w:val="FF0000"/>
                <w:kern w:val="0"/>
                <w:sz w:val="21"/>
                <w:szCs w:val="21"/>
              </w:rPr>
              <w:t>，提供第三方检测机构出具的抗震测试报告。</w:t>
            </w:r>
            <w:r>
              <w:rPr>
                <w:rFonts w:hint="eastAsia" w:ascii="宋体" w:hAnsi="宋体"/>
                <w:b/>
                <w:color w:val="FF0000"/>
                <w:sz w:val="21"/>
                <w:szCs w:val="21"/>
              </w:rPr>
              <w:t>（投标时提供第三方检测机构出具具有“</w:t>
            </w:r>
            <w:r>
              <w:rPr>
                <w:rFonts w:ascii="宋体" w:hAnsi="宋体"/>
                <w:b/>
                <w:color w:val="FF0000"/>
                <w:sz w:val="21"/>
                <w:szCs w:val="21"/>
              </w:rPr>
              <w:t>CNAS</w:t>
            </w:r>
            <w:r>
              <w:rPr>
                <w:rFonts w:hint="eastAsia" w:ascii="宋体" w:hAnsi="宋体"/>
                <w:b/>
                <w:color w:val="FF0000"/>
                <w:sz w:val="21"/>
                <w:szCs w:val="21"/>
              </w:rPr>
              <w:t>”或“</w:t>
            </w:r>
            <w:r>
              <w:rPr>
                <w:rFonts w:ascii="宋体" w:hAnsi="宋体"/>
                <w:b/>
                <w:color w:val="FF0000"/>
                <w:sz w:val="21"/>
                <w:szCs w:val="21"/>
              </w:rPr>
              <w:t>CMA”标识的检测/检验报告</w:t>
            </w:r>
            <w:r>
              <w:rPr>
                <w:rFonts w:hint="eastAsia" w:ascii="宋体" w:hAnsi="宋体"/>
                <w:b/>
                <w:color w:val="FF0000"/>
                <w:sz w:val="21"/>
                <w:szCs w:val="21"/>
              </w:rPr>
              <w:t>扫描件或复印件</w:t>
            </w:r>
            <w:r>
              <w:rPr>
                <w:rFonts w:ascii="宋体" w:hAnsi="宋体"/>
                <w:b/>
                <w:color w:val="FF0000"/>
                <w:sz w:val="21"/>
                <w:szCs w:val="21"/>
              </w:rPr>
              <w:t>，并加</w:t>
            </w:r>
            <w:r>
              <w:rPr>
                <w:rFonts w:hint="eastAsia" w:ascii="宋体" w:hAnsi="宋体"/>
                <w:b/>
                <w:color w:val="FF0000"/>
                <w:sz w:val="21"/>
                <w:szCs w:val="21"/>
              </w:rPr>
              <w:t>盖投标人公章）</w:t>
            </w:r>
            <w:r>
              <w:rPr>
                <w:rFonts w:hint="eastAsia" w:ascii="宋体" w:hAnsi="宋体"/>
                <w:b/>
                <w:color w:val="FF0000"/>
                <w:sz w:val="21"/>
                <w:szCs w:val="21"/>
                <w:lang w:eastAsia="zh-CN"/>
              </w:rPr>
              <w:t>。</w:t>
            </w:r>
          </w:p>
        </w:tc>
      </w:tr>
      <w:tr w14:paraId="68F25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454" w:type="pct"/>
            <w:vMerge w:val="continue"/>
            <w:vAlign w:val="center"/>
          </w:tcPr>
          <w:p w14:paraId="0CEEE46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01E84D8C">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3489" w:type="pct"/>
            <w:vAlign w:val="center"/>
          </w:tcPr>
          <w:p w14:paraId="0769C66A">
            <w:pPr>
              <w:keepNext w:val="0"/>
              <w:keepLines w:val="0"/>
              <w:pageBreakBefore w:val="0"/>
              <w:kinsoku/>
              <w:wordWrap/>
              <w:overflowPunct/>
              <w:topLinePunct w:val="0"/>
              <w:bidi w:val="0"/>
              <w:spacing w:line="276" w:lineRule="auto"/>
              <w:ind w:right="36" w:rightChars="17"/>
              <w:rPr>
                <w:rFonts w:hint="eastAsia" w:ascii="宋体" w:hAnsi="宋体" w:eastAsia="宋体"/>
                <w:sz w:val="21"/>
                <w:szCs w:val="21"/>
                <w:lang w:eastAsia="zh-CN"/>
              </w:rPr>
            </w:pPr>
            <w:r>
              <w:rPr>
                <w:rFonts w:hint="eastAsia" w:ascii="宋体" w:hAnsi="宋体"/>
                <w:b/>
                <w:bCs/>
                <w:color w:val="FF0000"/>
                <w:kern w:val="0"/>
                <w:sz w:val="21"/>
                <w:szCs w:val="21"/>
              </w:rPr>
              <w:t>▲5. 服务器</w:t>
            </w:r>
            <w:r>
              <w:rPr>
                <w:rFonts w:hint="eastAsia" w:ascii="宋体" w:hAnsi="宋体"/>
                <w:b/>
                <w:bCs/>
                <w:color w:val="FF0000"/>
                <w:sz w:val="21"/>
                <w:szCs w:val="21"/>
              </w:rPr>
              <w:t>机柜静载</w:t>
            </w:r>
            <w:r>
              <w:rPr>
                <w:rFonts w:hint="eastAsia" w:ascii="宋体" w:hAnsi="宋体"/>
                <w:b/>
                <w:bCs/>
                <w:color w:val="FF0000"/>
                <w:kern w:val="0"/>
                <w:sz w:val="21"/>
                <w:szCs w:val="21"/>
              </w:rPr>
              <w:t>≥</w:t>
            </w:r>
            <w:r>
              <w:rPr>
                <w:rFonts w:hint="eastAsia" w:ascii="宋体" w:hAnsi="宋体"/>
                <w:b/>
                <w:bCs/>
                <w:color w:val="FF0000"/>
                <w:sz w:val="21"/>
                <w:szCs w:val="21"/>
              </w:rPr>
              <w:t>2800KG，动载</w:t>
            </w:r>
            <w:r>
              <w:rPr>
                <w:rFonts w:hint="eastAsia" w:ascii="宋体" w:hAnsi="宋体"/>
                <w:b/>
                <w:bCs/>
                <w:color w:val="FF0000"/>
                <w:kern w:val="0"/>
                <w:sz w:val="21"/>
                <w:szCs w:val="21"/>
              </w:rPr>
              <w:t>≥</w:t>
            </w:r>
            <w:r>
              <w:rPr>
                <w:rFonts w:hint="eastAsia" w:ascii="宋体" w:hAnsi="宋体"/>
                <w:b/>
                <w:bCs/>
                <w:color w:val="FF0000"/>
                <w:sz w:val="21"/>
                <w:szCs w:val="21"/>
              </w:rPr>
              <w:t>1700KG，柜体外观完好,未出现变形等情况。（投标时提供第三方检测机构出具具有“CNAS”或“CMA”标识的检测/检验报告扫描件或复印件，并加盖投标人公章）</w:t>
            </w:r>
            <w:r>
              <w:rPr>
                <w:rFonts w:hint="eastAsia" w:ascii="宋体" w:hAnsi="宋体"/>
                <w:b/>
                <w:bCs/>
                <w:color w:val="FF0000"/>
                <w:sz w:val="21"/>
                <w:szCs w:val="21"/>
                <w:lang w:eastAsia="zh-CN"/>
              </w:rPr>
              <w:t>。</w:t>
            </w:r>
          </w:p>
        </w:tc>
      </w:tr>
      <w:tr w14:paraId="07BE6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454" w:type="pct"/>
            <w:vMerge w:val="continue"/>
            <w:vAlign w:val="center"/>
          </w:tcPr>
          <w:p w14:paraId="2F57926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680288CF">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3489" w:type="pct"/>
            <w:vAlign w:val="center"/>
          </w:tcPr>
          <w:p w14:paraId="310457D8">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b/>
                <w:bCs/>
                <w:color w:val="FF0000"/>
                <w:kern w:val="0"/>
                <w:sz w:val="21"/>
                <w:szCs w:val="21"/>
              </w:rPr>
              <w:t>▲</w:t>
            </w:r>
            <w:r>
              <w:rPr>
                <w:rFonts w:ascii="宋体" w:hAnsi="宋体"/>
                <w:b/>
                <w:bCs/>
                <w:color w:val="FF0000"/>
                <w:kern w:val="0"/>
                <w:sz w:val="21"/>
                <w:szCs w:val="21"/>
              </w:rPr>
              <w:t>6</w:t>
            </w:r>
            <w:r>
              <w:rPr>
                <w:rFonts w:hint="eastAsia" w:ascii="宋体" w:hAnsi="宋体"/>
                <w:b/>
                <w:bCs/>
                <w:color w:val="FF0000"/>
                <w:kern w:val="0"/>
                <w:sz w:val="21"/>
                <w:szCs w:val="21"/>
              </w:rPr>
              <w:t>.</w:t>
            </w:r>
            <w:r>
              <w:rPr>
                <w:rFonts w:hint="eastAsia"/>
                <w:b/>
                <w:bCs/>
                <w:color w:val="FF0000"/>
                <w:sz w:val="21"/>
                <w:szCs w:val="21"/>
              </w:rPr>
              <w:t>提供服务器机柜的盐雾测试报告，测试结果为合格。（</w:t>
            </w:r>
            <w:r>
              <w:rPr>
                <w:rFonts w:hint="eastAsia" w:ascii="宋体" w:hAnsi="宋体"/>
                <w:b/>
                <w:bCs/>
                <w:color w:val="FF0000"/>
                <w:sz w:val="21"/>
                <w:szCs w:val="21"/>
              </w:rPr>
              <w:t>投标时提供第三方检测机构出具具有“CNAS”或“CMA”标识的检测/检验报告扫描件或复印件，并加盖投标人公章</w:t>
            </w:r>
            <w:r>
              <w:rPr>
                <w:rFonts w:hint="eastAsia"/>
                <w:b/>
                <w:bCs/>
                <w:color w:val="FF0000"/>
                <w:sz w:val="21"/>
                <w:szCs w:val="21"/>
              </w:rPr>
              <w:t>）。</w:t>
            </w:r>
          </w:p>
        </w:tc>
      </w:tr>
      <w:tr w14:paraId="2E64A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454" w:type="pct"/>
            <w:vMerge w:val="continue"/>
            <w:vAlign w:val="center"/>
          </w:tcPr>
          <w:p w14:paraId="2DCDE88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5E5C2D7">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3489" w:type="pct"/>
            <w:vAlign w:val="center"/>
          </w:tcPr>
          <w:p w14:paraId="420DF646">
            <w:pPr>
              <w:pStyle w:val="58"/>
              <w:keepNext w:val="0"/>
              <w:keepLines w:val="0"/>
              <w:pageBreakBefore w:val="0"/>
              <w:kinsoku/>
              <w:wordWrap/>
              <w:overflowPunct/>
              <w:topLinePunct w:val="0"/>
              <w:bidi w:val="0"/>
              <w:spacing w:line="276" w:lineRule="auto"/>
              <w:ind w:firstLine="0" w:firstLineChars="0"/>
              <w:rPr>
                <w:rFonts w:ascii="宋体" w:hAnsi="宋体"/>
                <w:kern w:val="0"/>
                <w:sz w:val="21"/>
                <w:szCs w:val="21"/>
              </w:rPr>
            </w:pPr>
            <w:r>
              <w:rPr>
                <w:rFonts w:hint="eastAsia" w:ascii="宋体" w:hAnsi="宋体"/>
                <w:kern w:val="0"/>
                <w:sz w:val="21"/>
                <w:szCs w:val="21"/>
              </w:rPr>
              <w:t>▲</w:t>
            </w:r>
            <w:r>
              <w:rPr>
                <w:rFonts w:ascii="宋体" w:hAnsi="宋体"/>
                <w:kern w:val="0"/>
                <w:sz w:val="21"/>
                <w:szCs w:val="21"/>
              </w:rPr>
              <w:t>7.</w:t>
            </w:r>
            <w:r>
              <w:rPr>
                <w:rFonts w:hint="eastAsia" w:ascii="宋体" w:hAnsi="宋体"/>
                <w:kern w:val="0"/>
                <w:sz w:val="21"/>
                <w:szCs w:val="21"/>
              </w:rPr>
              <w:t>后门需采用网孔门设计，网孔为六边形设计,通孔率需</w:t>
            </w:r>
            <w:r>
              <w:rPr>
                <w:rFonts w:hint="eastAsia"/>
                <w:sz w:val="21"/>
                <w:szCs w:val="21"/>
              </w:rPr>
              <w:t>≥</w:t>
            </w:r>
            <w:r>
              <w:rPr>
                <w:rFonts w:hint="eastAsia" w:ascii="宋体" w:hAnsi="宋体"/>
                <w:kern w:val="0"/>
                <w:sz w:val="21"/>
                <w:szCs w:val="21"/>
              </w:rPr>
              <w:t>80％，有利于机柜内设备通风散热，适应新型服务器高热密度的散热需求</w:t>
            </w:r>
            <w:r>
              <w:rPr>
                <w:rFonts w:hint="eastAsia" w:ascii="宋体" w:hAnsi="宋体"/>
                <w:b/>
                <w:bCs/>
                <w:kern w:val="0"/>
                <w:sz w:val="21"/>
                <w:szCs w:val="21"/>
              </w:rPr>
              <w:t>。</w:t>
            </w:r>
            <w:r>
              <w:rPr>
                <w:rFonts w:hint="eastAsia" w:ascii="宋体" w:hAnsi="宋体"/>
                <w:b/>
                <w:bCs/>
                <w:color w:val="FF0000"/>
                <w:kern w:val="0"/>
                <w:sz w:val="21"/>
                <w:szCs w:val="21"/>
              </w:rPr>
              <w:t>投标时需提供第三方检测机构出具的“通孔率</w:t>
            </w:r>
            <w:r>
              <w:rPr>
                <w:rFonts w:hint="eastAsia"/>
                <w:b/>
                <w:bCs/>
                <w:color w:val="FF0000"/>
                <w:sz w:val="21"/>
                <w:szCs w:val="21"/>
              </w:rPr>
              <w:t>≥</w:t>
            </w:r>
            <w:r>
              <w:rPr>
                <w:rFonts w:hint="eastAsia" w:ascii="宋体" w:hAnsi="宋体"/>
                <w:b/>
                <w:bCs/>
                <w:color w:val="FF0000"/>
                <w:kern w:val="0"/>
                <w:sz w:val="21"/>
                <w:szCs w:val="21"/>
              </w:rPr>
              <w:t>80％”的检测报告扫描件或复印件,并加盖投标人公章</w:t>
            </w:r>
            <w:r>
              <w:rPr>
                <w:rFonts w:hint="eastAsia" w:ascii="宋体" w:hAnsi="宋体"/>
                <w:kern w:val="0"/>
                <w:sz w:val="21"/>
                <w:szCs w:val="21"/>
              </w:rPr>
              <w:t>。</w:t>
            </w:r>
          </w:p>
        </w:tc>
      </w:tr>
      <w:tr w14:paraId="7BAFF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1" w:hRule="atLeast"/>
          <w:jc w:val="center"/>
        </w:trPr>
        <w:tc>
          <w:tcPr>
            <w:tcW w:w="454" w:type="pct"/>
            <w:vMerge w:val="restart"/>
            <w:vAlign w:val="center"/>
          </w:tcPr>
          <w:p w14:paraId="404CBBD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2</w:t>
            </w:r>
          </w:p>
        </w:tc>
        <w:tc>
          <w:tcPr>
            <w:tcW w:w="1056" w:type="pct"/>
            <w:vMerge w:val="restart"/>
            <w:vAlign w:val="center"/>
          </w:tcPr>
          <w:p w14:paraId="131BCCC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密闭冷通道组件</w:t>
            </w:r>
          </w:p>
        </w:tc>
        <w:tc>
          <w:tcPr>
            <w:tcW w:w="3489" w:type="pct"/>
            <w:vAlign w:val="center"/>
          </w:tcPr>
          <w:p w14:paraId="2C5869A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 密封通道由机柜、密封侧板、天窗以及通道端门、led照明等组成，形成密封，冷热气流隔离。冷通道地面（地板）上不允许有地轨、门槛等影响人员、设备进出。</w:t>
            </w:r>
          </w:p>
          <w:p w14:paraId="4BA35815">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2. 为保证微模块通道的安全性能，微模块天窗厚度应不低于5mm；为保证通道光照充足，透明天窗的透光率应不少于90%。</w:t>
            </w:r>
          </w:p>
          <w:p w14:paraId="45D22CC2">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3. 为保证整体设备安全性能，微模块通道整体架构应具有抗震要求，并满足不小于8-9级烈度结构抗地震测试实验。</w:t>
            </w:r>
          </w:p>
          <w:p w14:paraId="7A5884CF">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 xml:space="preserve">4. </w:t>
            </w:r>
            <w:r>
              <w:rPr>
                <w:rFonts w:hint="eastAsia" w:ascii="宋体" w:hAnsi="宋体"/>
                <w:sz w:val="21"/>
                <w:szCs w:val="21"/>
              </w:rPr>
              <w:t>通道内结构件排列合理、整齐，线缆颜色和截面合理、布放平整，接插件牢固，进出线符合工程需要，标牌、标记应平整清晰。焊缝要求整齐均匀，不允许有裂缝、咬边、豁口，烧穿等明显缺陷，表面粗糙度符合行业相关标准。</w:t>
            </w:r>
            <w:r>
              <w:rPr>
                <w:rFonts w:hint="eastAsia" w:ascii="宋体" w:hAnsi="宋体"/>
                <w:sz w:val="21"/>
                <w:szCs w:val="21"/>
                <w:lang w:val="zh-CN"/>
              </w:rPr>
              <w:t>通道内结构件颜色要求与机房机柜的颜色一致，在机房灯光下应无晕眩。表面应进行脱脂、酸洗、防锈磷化、纯水清洗、静电喷塑等处理，要求不脱漆、耐酸碱、耐溶剂、耐腐蚀、耐指纹不受手汗影响。表面处理应采用高硬度粉沫静电喷涂和高温烤漆处理工艺，表层外观表面应光洁、色泽均匀、无露底、无流积、无起泡、无裂纹、无橘皮、金属件要求无毛刺和锈蚀、应防静电。</w:t>
            </w:r>
          </w:p>
        </w:tc>
      </w:tr>
      <w:tr w14:paraId="167EC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2" w:hRule="atLeast"/>
          <w:jc w:val="center"/>
        </w:trPr>
        <w:tc>
          <w:tcPr>
            <w:tcW w:w="454" w:type="pct"/>
            <w:vMerge w:val="continue"/>
            <w:vAlign w:val="center"/>
          </w:tcPr>
          <w:p w14:paraId="12DE44C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2A2A3E2">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3489" w:type="pct"/>
            <w:vAlign w:val="center"/>
          </w:tcPr>
          <w:p w14:paraId="46CA17DD">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5. 翻转天窗应能支持自动或手动开启.</w:t>
            </w:r>
            <w:r>
              <w:rPr>
                <w:rFonts w:hint="eastAsia" w:ascii="宋体" w:hAnsi="宋体"/>
                <w:sz w:val="21"/>
                <w:szCs w:val="21"/>
                <w:lang w:val="zh-CN"/>
              </w:rPr>
              <w:t>封闭冷通道组件产品应具备与机房气体消防系统联动从而解决通道内消防问题的功能。封闭冷通道顶部应具备消防联动天窗自动翻转功能，在正常状态下，天窗由通电磁铁吸合，为确保顶部密封，天窗需配密封胶圈。一旦发生火警，在消防系统启动之前，天窗处磁铁断电，天窗由于重力作用翻转打开，以便灭火气体迅速进入封闭通道空间内，达到灭火目的；</w:t>
            </w:r>
            <w:r>
              <w:rPr>
                <w:rFonts w:hint="eastAsia" w:ascii="宋体" w:hAnsi="宋体"/>
                <w:sz w:val="21"/>
                <w:szCs w:val="21"/>
              </w:rPr>
              <w:t>同时发出声光报警信号，并将告警信号上传至机房管理系统。</w:t>
            </w:r>
          </w:p>
          <w:p w14:paraId="79A1F4BE">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6. 通道端门侧应预留开门按钮、刷卡器、通道照明开关、紧急按钮、通道灯带等的安装接口，方便安装通道级门禁和照明使用。通道内部应设置紧急按钮，在干接点开门信号失效的极端情况下，通过物理掉电方式开启端门电磁锁，以保证通道内部人员的逃生顺畅。</w:t>
            </w:r>
          </w:p>
        </w:tc>
      </w:tr>
      <w:tr w14:paraId="483DF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2" w:hRule="atLeast"/>
          <w:jc w:val="center"/>
        </w:trPr>
        <w:tc>
          <w:tcPr>
            <w:tcW w:w="454" w:type="pct"/>
            <w:vMerge w:val="continue"/>
            <w:vAlign w:val="center"/>
          </w:tcPr>
          <w:p w14:paraId="06BA6FD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16DAB126">
            <w:pPr>
              <w:keepNext w:val="0"/>
              <w:keepLines w:val="0"/>
              <w:pageBreakBefore w:val="0"/>
              <w:widowControl/>
              <w:kinsoku/>
              <w:wordWrap/>
              <w:overflowPunct/>
              <w:topLinePunct w:val="0"/>
              <w:bidi w:val="0"/>
              <w:spacing w:line="276" w:lineRule="auto"/>
              <w:ind w:left="181" w:leftChars="86" w:right="36" w:rightChars="17"/>
              <w:rPr>
                <w:rFonts w:ascii="宋体" w:hAnsi="宋体"/>
                <w:sz w:val="21"/>
                <w:szCs w:val="21"/>
              </w:rPr>
            </w:pPr>
          </w:p>
        </w:tc>
        <w:tc>
          <w:tcPr>
            <w:tcW w:w="3489" w:type="pct"/>
            <w:vAlign w:val="center"/>
          </w:tcPr>
          <w:p w14:paraId="31F9D615">
            <w:pPr>
              <w:keepNext w:val="0"/>
              <w:keepLines w:val="0"/>
              <w:pageBreakBefore w:val="0"/>
              <w:kinsoku/>
              <w:wordWrap/>
              <w:overflowPunct/>
              <w:topLinePunct w:val="0"/>
              <w:bidi w:val="0"/>
              <w:spacing w:line="276" w:lineRule="auto"/>
              <w:ind w:left="181" w:leftChars="86" w:right="36" w:rightChars="17"/>
              <w:rPr>
                <w:sz w:val="21"/>
                <w:szCs w:val="21"/>
              </w:rPr>
            </w:pPr>
            <w:r>
              <w:rPr>
                <w:rFonts w:hint="eastAsia" w:ascii="宋体" w:hAnsi="宋体"/>
                <w:color w:val="FF0000"/>
                <w:kern w:val="0"/>
                <w:sz w:val="21"/>
                <w:szCs w:val="21"/>
              </w:rPr>
              <w:t>▲7.</w:t>
            </w:r>
            <w:r>
              <w:rPr>
                <w:rFonts w:hint="eastAsia"/>
                <w:b/>
                <w:bCs/>
                <w:color w:val="FF0000"/>
                <w:sz w:val="21"/>
                <w:szCs w:val="21"/>
              </w:rPr>
              <w:t>提供所投产品</w:t>
            </w:r>
            <w:r>
              <w:rPr>
                <w:rFonts w:hint="eastAsia" w:ascii="宋体" w:hAnsi="宋体"/>
                <w:b/>
                <w:bCs/>
                <w:color w:val="FF0000"/>
                <w:kern w:val="0"/>
                <w:sz w:val="21"/>
                <w:szCs w:val="21"/>
              </w:rPr>
              <w:t>PUE测试报告，要求实验室环境下模拟在外部环境5℃，100%负载工况下最低PUE</w:t>
            </w:r>
            <w:r>
              <w:rPr>
                <w:rFonts w:hint="eastAsia" w:ascii="宋体" w:hAnsi="宋体"/>
                <w:color w:val="FF0000"/>
                <w:sz w:val="21"/>
                <w:szCs w:val="21"/>
              </w:rPr>
              <w:t>≤</w:t>
            </w:r>
            <w:r>
              <w:rPr>
                <w:rFonts w:hint="eastAsia" w:ascii="宋体" w:hAnsi="宋体"/>
                <w:b/>
                <w:bCs/>
                <w:color w:val="FF0000"/>
                <w:kern w:val="0"/>
                <w:sz w:val="21"/>
                <w:szCs w:val="21"/>
              </w:rPr>
              <w:t>1.13。</w:t>
            </w:r>
            <w:r>
              <w:rPr>
                <w:rFonts w:hint="eastAsia"/>
                <w:b/>
                <w:bCs/>
                <w:color w:val="FF0000"/>
                <w:sz w:val="21"/>
                <w:szCs w:val="21"/>
              </w:rPr>
              <w:t>（</w:t>
            </w:r>
            <w:r>
              <w:rPr>
                <w:rFonts w:hint="eastAsia" w:ascii="宋体" w:hAnsi="宋体"/>
                <w:b/>
                <w:bCs/>
                <w:color w:val="FF0000"/>
                <w:sz w:val="21"/>
                <w:szCs w:val="21"/>
              </w:rPr>
              <w:t>投标时提供第三方检测机构出具具有“CNAS”或“CMA”标识的检测/检验报告扫描件或复印件，并加盖投标人公章</w:t>
            </w:r>
            <w:r>
              <w:rPr>
                <w:rFonts w:hint="eastAsia"/>
                <w:b/>
                <w:bCs/>
                <w:color w:val="FF0000"/>
                <w:sz w:val="21"/>
                <w:szCs w:val="21"/>
              </w:rPr>
              <w:t>）。</w:t>
            </w:r>
          </w:p>
        </w:tc>
      </w:tr>
      <w:tr w14:paraId="02166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3" w:hRule="atLeast"/>
          <w:jc w:val="center"/>
        </w:trPr>
        <w:tc>
          <w:tcPr>
            <w:tcW w:w="454" w:type="pct"/>
            <w:vMerge w:val="restart"/>
            <w:vAlign w:val="center"/>
          </w:tcPr>
          <w:p w14:paraId="653CA5E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3</w:t>
            </w:r>
          </w:p>
        </w:tc>
        <w:tc>
          <w:tcPr>
            <w:tcW w:w="1056" w:type="pct"/>
            <w:vMerge w:val="restart"/>
            <w:vAlign w:val="center"/>
          </w:tcPr>
          <w:p w14:paraId="102795A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密闭冷通道内部动环</w:t>
            </w:r>
          </w:p>
        </w:tc>
        <w:tc>
          <w:tcPr>
            <w:tcW w:w="3489" w:type="pct"/>
            <w:vAlign w:val="center"/>
          </w:tcPr>
          <w:p w14:paraId="67DEC556">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 双排冷通道需设置烟感、温湿度传感器、监控摄像头，随时监控和展示通道内设备运行情况，并能够及时上报告警信息至动环系统和DCIM平台。</w:t>
            </w:r>
          </w:p>
        </w:tc>
      </w:tr>
      <w:tr w14:paraId="10B7A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 w:hRule="atLeast"/>
          <w:jc w:val="center"/>
        </w:trPr>
        <w:tc>
          <w:tcPr>
            <w:tcW w:w="454" w:type="pct"/>
            <w:vMerge w:val="continue"/>
            <w:vAlign w:val="center"/>
          </w:tcPr>
          <w:p w14:paraId="2C831F4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6CDA2A2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3DF0853B">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▲2. 管理系统通信总线具备容错能力，单点故障应不影响其他设备；管理系统电源总线应具有热备份，具备支持热插拔，在线更换功能。</w:t>
            </w:r>
            <w:r>
              <w:rPr>
                <w:rFonts w:hint="eastAsia" w:ascii="宋体" w:hAnsi="宋体"/>
                <w:b/>
                <w:color w:val="FF0000"/>
                <w:sz w:val="21"/>
                <w:szCs w:val="21"/>
              </w:rPr>
              <w:t>（投标时提供第三方检测机构出具具有“</w:t>
            </w:r>
            <w:r>
              <w:rPr>
                <w:rFonts w:ascii="宋体" w:hAnsi="宋体"/>
                <w:b/>
                <w:color w:val="FF0000"/>
                <w:sz w:val="21"/>
                <w:szCs w:val="21"/>
              </w:rPr>
              <w:t>CNAS”或“CMA”标识的检测/检验报告</w:t>
            </w:r>
            <w:r>
              <w:rPr>
                <w:rFonts w:hint="eastAsia" w:ascii="宋体" w:hAnsi="宋体"/>
                <w:b/>
                <w:color w:val="FF0000"/>
                <w:sz w:val="21"/>
                <w:szCs w:val="21"/>
              </w:rPr>
              <w:t>扫描件或</w:t>
            </w:r>
            <w:r>
              <w:rPr>
                <w:rFonts w:ascii="宋体" w:hAnsi="宋体"/>
                <w:b/>
                <w:color w:val="FF0000"/>
                <w:sz w:val="21"/>
                <w:szCs w:val="21"/>
              </w:rPr>
              <w:t>复印件，并加盖</w:t>
            </w:r>
            <w:r>
              <w:rPr>
                <w:rFonts w:hint="eastAsia" w:ascii="宋体" w:hAnsi="宋体"/>
                <w:b/>
                <w:color w:val="FF0000"/>
                <w:sz w:val="21"/>
                <w:szCs w:val="21"/>
              </w:rPr>
              <w:t>投标人</w:t>
            </w:r>
            <w:r>
              <w:rPr>
                <w:rFonts w:ascii="宋体" w:hAnsi="宋体"/>
                <w:b/>
                <w:color w:val="FF0000"/>
                <w:sz w:val="21"/>
                <w:szCs w:val="21"/>
              </w:rPr>
              <w:t>公章）</w:t>
            </w:r>
          </w:p>
        </w:tc>
      </w:tr>
      <w:tr w14:paraId="756A8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 w:hRule="atLeast"/>
          <w:jc w:val="center"/>
        </w:trPr>
        <w:tc>
          <w:tcPr>
            <w:tcW w:w="454" w:type="pct"/>
            <w:vMerge w:val="continue"/>
            <w:vAlign w:val="center"/>
          </w:tcPr>
          <w:p w14:paraId="56F38EB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3C4AFB7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412B6582">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3. 智能温控管理，通过机柜温度和能耗变化，驱动空调智能调控，实现节能减排；智能联动管理，出现火情时，微模块能控制天窗自动翻转、通道门打开、空调自动停止运行。</w:t>
            </w:r>
          </w:p>
          <w:p w14:paraId="0B1953C1">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4</w:t>
            </w:r>
            <w:r>
              <w:rPr>
                <w:rFonts w:hint="eastAsia" w:ascii="宋体" w:hAnsi="宋体"/>
                <w:sz w:val="21"/>
                <w:szCs w:val="21"/>
              </w:rPr>
              <w:t>. 支持生成与微模块匹配的平面视图，包括精密配电、空调、机柜、温湿度、摄像头显示；支持在平面图上直观显示温湿度、漏水监测、烟雾传感器实时状态监测和告警；支持通过点击平面视图中的精密配电、空调、温湿度等设备，可查看该设备的实时运行详细参数。</w:t>
            </w:r>
          </w:p>
          <w:p w14:paraId="5A58D08A">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5</w:t>
            </w:r>
            <w:r>
              <w:rPr>
                <w:rFonts w:hint="eastAsia" w:ascii="宋体" w:hAnsi="宋体"/>
                <w:sz w:val="21"/>
                <w:szCs w:val="21"/>
              </w:rPr>
              <w:t>. 微模块控制器硬件要求：高度≤1U，机架式安装，系统内存≥512M，Flash存储≥1GB+64MB存储空间；支持≥2路WAN接口，≥2路LAN接口，≥100Mbps通讯速率；预留≥4路RS485接口，通讯速率默认9600bps；支持≥5路AI/DI接口；干接点触点容量20W，最大允许接入电压60V DC，额定电流500mA；支持4G、</w:t>
            </w:r>
            <w:r>
              <w:rPr>
                <w:rFonts w:ascii="宋体" w:hAnsi="宋体"/>
                <w:sz w:val="21"/>
                <w:szCs w:val="21"/>
              </w:rPr>
              <w:t>5</w:t>
            </w:r>
            <w:r>
              <w:rPr>
                <w:rFonts w:hint="eastAsia" w:ascii="宋体" w:hAnsi="宋体"/>
                <w:sz w:val="21"/>
                <w:szCs w:val="21"/>
              </w:rPr>
              <w:t>G通讯，提供一个SIM卡插槽；支持平板访问，在APP上查看当前告警、设备参数。支持与第三方网管对接，实现多场景的集中管理。</w:t>
            </w:r>
          </w:p>
        </w:tc>
      </w:tr>
      <w:tr w14:paraId="69229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 w:hRule="atLeast"/>
          <w:jc w:val="center"/>
        </w:trPr>
        <w:tc>
          <w:tcPr>
            <w:tcW w:w="454" w:type="pct"/>
            <w:vMerge w:val="continue"/>
            <w:vAlign w:val="center"/>
          </w:tcPr>
          <w:p w14:paraId="5B2AA32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1244B31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44BB4CD7">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w:t>
            </w:r>
            <w:r>
              <w:rPr>
                <w:rFonts w:ascii="宋体" w:hAnsi="宋体"/>
                <w:b/>
                <w:bCs/>
                <w:color w:val="FF0000"/>
                <w:sz w:val="21"/>
                <w:szCs w:val="21"/>
              </w:rPr>
              <w:t>6</w:t>
            </w:r>
            <w:r>
              <w:rPr>
                <w:rFonts w:hint="eastAsia" w:ascii="宋体" w:hAnsi="宋体"/>
                <w:b/>
                <w:bCs/>
                <w:color w:val="FF0000"/>
                <w:sz w:val="21"/>
                <w:szCs w:val="21"/>
              </w:rPr>
              <w:t>. 设备应具备供电全链路显示功能：从微模块的总输入到IT机柜的PDU，整个配电拓扑展示、开关状态、能量流图、设备故障状态、支路对应关系、关键信号参数（电压、电流、温度等）。（</w:t>
            </w:r>
            <w:r>
              <w:rPr>
                <w:rFonts w:hint="eastAsia" w:ascii="宋体" w:hAnsi="宋体"/>
                <w:b/>
                <w:color w:val="FF0000"/>
                <w:sz w:val="21"/>
                <w:szCs w:val="21"/>
              </w:rPr>
              <w:t>投标时提供第三方检测机构出具具有“</w:t>
            </w:r>
            <w:r>
              <w:rPr>
                <w:rFonts w:ascii="宋体" w:hAnsi="宋体"/>
                <w:b/>
                <w:color w:val="FF0000"/>
                <w:sz w:val="21"/>
                <w:szCs w:val="21"/>
              </w:rPr>
              <w:t>CNAS”或“CMA”标识的检测/检验报告</w:t>
            </w:r>
            <w:r>
              <w:rPr>
                <w:rFonts w:hint="eastAsia" w:ascii="宋体" w:hAnsi="宋体"/>
                <w:b/>
                <w:color w:val="FF0000"/>
                <w:sz w:val="21"/>
                <w:szCs w:val="21"/>
              </w:rPr>
              <w:t>扫描件或</w:t>
            </w:r>
            <w:r>
              <w:rPr>
                <w:rFonts w:ascii="宋体" w:hAnsi="宋体"/>
                <w:b/>
                <w:color w:val="FF0000"/>
                <w:sz w:val="21"/>
                <w:szCs w:val="21"/>
              </w:rPr>
              <w:t>复印件，并加盖</w:t>
            </w:r>
            <w:r>
              <w:rPr>
                <w:rFonts w:hint="eastAsia" w:ascii="宋体" w:hAnsi="宋体"/>
                <w:b/>
                <w:color w:val="FF0000"/>
                <w:sz w:val="21"/>
                <w:szCs w:val="21"/>
              </w:rPr>
              <w:t>投标人</w:t>
            </w:r>
            <w:r>
              <w:rPr>
                <w:rFonts w:ascii="宋体" w:hAnsi="宋体"/>
                <w:b/>
                <w:color w:val="FF0000"/>
                <w:sz w:val="21"/>
                <w:szCs w:val="21"/>
              </w:rPr>
              <w:t>公章</w:t>
            </w:r>
            <w:r>
              <w:rPr>
                <w:rFonts w:hint="eastAsia" w:ascii="宋体" w:hAnsi="宋体"/>
                <w:b/>
                <w:bCs/>
                <w:color w:val="FF0000"/>
                <w:sz w:val="21"/>
                <w:szCs w:val="21"/>
              </w:rPr>
              <w:t>）</w:t>
            </w:r>
          </w:p>
        </w:tc>
      </w:tr>
      <w:tr w14:paraId="5DD1F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454" w:type="pct"/>
            <w:vMerge w:val="continue"/>
            <w:vAlign w:val="center"/>
          </w:tcPr>
          <w:p w14:paraId="6DBF6A9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EB6BAF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1A5AEF88">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w:t>
            </w:r>
            <w:r>
              <w:rPr>
                <w:rFonts w:ascii="宋体" w:hAnsi="宋体"/>
                <w:b/>
                <w:bCs/>
                <w:color w:val="FF0000"/>
                <w:sz w:val="21"/>
                <w:szCs w:val="21"/>
              </w:rPr>
              <w:t>7</w:t>
            </w:r>
            <w:r>
              <w:rPr>
                <w:rFonts w:hint="eastAsia" w:ascii="宋体" w:hAnsi="宋体"/>
                <w:b/>
                <w:bCs/>
                <w:color w:val="FF0000"/>
                <w:sz w:val="21"/>
                <w:szCs w:val="21"/>
              </w:rPr>
              <w:t>. 设备应具备制冷链路显示功能：1）显示整个微模块的温湿度状态、风道示意显示、冷媒流动显示、通道内外温湿度、室外温度、空调进出风温度、机柜温度；2）可以显示空调单机的制冷链路、状态（制冷、制热、加湿、除湿）、关键部件的状态和参数、风道冷媒流动状态。（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r>
      <w:tr w14:paraId="78CF1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454" w:type="pct"/>
            <w:vMerge w:val="continue"/>
            <w:vAlign w:val="center"/>
          </w:tcPr>
          <w:p w14:paraId="47EC1E29">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213B7423">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42B939E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color w:val="FF0000"/>
                <w:kern w:val="0"/>
                <w:sz w:val="21"/>
                <w:szCs w:val="21"/>
              </w:rPr>
              <w:t>▲</w:t>
            </w:r>
            <w:r>
              <w:rPr>
                <w:rFonts w:ascii="宋体" w:hAnsi="宋体"/>
                <w:color w:val="FF0000"/>
                <w:kern w:val="0"/>
                <w:sz w:val="21"/>
                <w:szCs w:val="21"/>
              </w:rPr>
              <w:t>8</w:t>
            </w:r>
            <w:r>
              <w:rPr>
                <w:rFonts w:hint="eastAsia" w:ascii="宋体" w:hAnsi="宋体"/>
                <w:color w:val="FF0000"/>
                <w:kern w:val="0"/>
                <w:sz w:val="21"/>
                <w:szCs w:val="21"/>
              </w:rPr>
              <w:t>.</w:t>
            </w:r>
            <w:r>
              <w:rPr>
                <w:rFonts w:hint="eastAsia" w:ascii="宋体" w:hAnsi="宋体"/>
                <w:b/>
                <w:bCs/>
                <w:color w:val="FF0000"/>
                <w:kern w:val="0"/>
                <w:sz w:val="21"/>
                <w:szCs w:val="21"/>
              </w:rPr>
              <w:t>支持按小时维度呈现微模块设备总功率、IT负载功率、PUE值，以便及时评估机房的耗电情况。（投标时需提供功能界面截图</w:t>
            </w:r>
            <w:r>
              <w:rPr>
                <w:rStyle w:val="54"/>
                <w:rFonts w:hint="eastAsia" w:cs="Times New Roman"/>
                <w:b/>
                <w:bCs/>
                <w:color w:val="FF0000"/>
                <w:sz w:val="21"/>
                <w:szCs w:val="21"/>
              </w:rPr>
              <w:t>）</w:t>
            </w:r>
          </w:p>
        </w:tc>
      </w:tr>
      <w:tr w14:paraId="5FF48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454" w:type="pct"/>
            <w:vMerge w:val="continue"/>
            <w:vAlign w:val="center"/>
          </w:tcPr>
          <w:p w14:paraId="471B8992">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5EC734C9">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1811478F">
            <w:pPr>
              <w:keepNext w:val="0"/>
              <w:keepLines w:val="0"/>
              <w:pageBreakBefore w:val="0"/>
              <w:widowControl/>
              <w:kinsoku/>
              <w:wordWrap/>
              <w:overflowPunct/>
              <w:topLinePunct w:val="0"/>
              <w:bidi w:val="0"/>
              <w:spacing w:line="276" w:lineRule="auto"/>
              <w:jc w:val="left"/>
              <w:rPr>
                <w:rFonts w:ascii="宋体" w:hAnsi="宋体"/>
                <w:kern w:val="0"/>
                <w:sz w:val="21"/>
                <w:szCs w:val="21"/>
              </w:rPr>
            </w:pPr>
            <w:r>
              <w:rPr>
                <w:rFonts w:hint="eastAsia" w:ascii="宋体" w:hAnsi="宋体"/>
                <w:b/>
                <w:bCs/>
                <w:color w:val="FF0000"/>
                <w:kern w:val="0"/>
                <w:sz w:val="21"/>
                <w:szCs w:val="21"/>
              </w:rPr>
              <w:t>▲9.为保障告警消息不遗漏，移动运维App应至少支持短信通知、微信通知、电话语音通知、App消息通知、紧急告警原厂主动电话通知5种通知方式。（投标时需提供功能界面截图</w:t>
            </w:r>
            <w:r>
              <w:rPr>
                <w:rStyle w:val="54"/>
                <w:rFonts w:hint="eastAsia" w:cs="Times New Roman"/>
                <w:b/>
                <w:bCs/>
                <w:color w:val="FF0000"/>
                <w:sz w:val="21"/>
                <w:szCs w:val="21"/>
              </w:rPr>
              <w:t>）</w:t>
            </w:r>
          </w:p>
        </w:tc>
      </w:tr>
      <w:tr w14:paraId="73B37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8" w:hRule="atLeast"/>
          <w:jc w:val="center"/>
        </w:trPr>
        <w:tc>
          <w:tcPr>
            <w:tcW w:w="454" w:type="pct"/>
            <w:vMerge w:val="continue"/>
            <w:vAlign w:val="center"/>
          </w:tcPr>
          <w:p w14:paraId="774F1CDB">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38CAD9DE">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745EA04F">
            <w:pPr>
              <w:keepNext w:val="0"/>
              <w:keepLines w:val="0"/>
              <w:pageBreakBefore w:val="0"/>
              <w:widowControl/>
              <w:kinsoku/>
              <w:wordWrap/>
              <w:overflowPunct/>
              <w:topLinePunct w:val="0"/>
              <w:bidi w:val="0"/>
              <w:spacing w:line="276" w:lineRule="auto"/>
              <w:jc w:val="left"/>
              <w:rPr>
                <w:rFonts w:ascii="宋体" w:hAnsi="宋体"/>
                <w:kern w:val="0"/>
                <w:sz w:val="21"/>
                <w:szCs w:val="21"/>
              </w:rPr>
            </w:pPr>
            <w:r>
              <w:rPr>
                <w:rFonts w:hint="eastAsia" w:ascii="宋体" w:hAnsi="宋体"/>
                <w:b/>
                <w:bCs/>
                <w:color w:val="FF0000"/>
                <w:kern w:val="0"/>
                <w:sz w:val="21"/>
                <w:szCs w:val="21"/>
              </w:rPr>
              <w:t>▲1</w:t>
            </w:r>
            <w:r>
              <w:rPr>
                <w:rFonts w:ascii="宋体" w:hAnsi="宋体"/>
                <w:b/>
                <w:bCs/>
                <w:color w:val="FF0000"/>
                <w:kern w:val="0"/>
                <w:sz w:val="21"/>
                <w:szCs w:val="21"/>
              </w:rPr>
              <w:t>0</w:t>
            </w:r>
            <w:r>
              <w:rPr>
                <w:rFonts w:hint="eastAsia" w:ascii="宋体" w:hAnsi="宋体"/>
                <w:b/>
                <w:bCs/>
                <w:color w:val="FF0000"/>
                <w:kern w:val="0"/>
                <w:sz w:val="21"/>
                <w:szCs w:val="21"/>
              </w:rPr>
              <w:t>.支持查看微模块内行级空调的送风温度，冷热通道温湿度，以便随时了解机房温度情况。（投标时需提供功能界面截图</w:t>
            </w:r>
            <w:r>
              <w:rPr>
                <w:rStyle w:val="54"/>
                <w:rFonts w:hint="eastAsia" w:cs="Times New Roman"/>
                <w:b/>
                <w:bCs/>
                <w:color w:val="FF0000"/>
                <w:sz w:val="21"/>
                <w:szCs w:val="21"/>
              </w:rPr>
              <w:t>）</w:t>
            </w:r>
          </w:p>
        </w:tc>
      </w:tr>
      <w:tr w14:paraId="42314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454" w:type="pct"/>
            <w:vMerge w:val="continue"/>
            <w:vAlign w:val="center"/>
          </w:tcPr>
          <w:p w14:paraId="3AA8385B">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048EF053">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672338B8">
            <w:pPr>
              <w:keepNext w:val="0"/>
              <w:keepLines w:val="0"/>
              <w:pageBreakBefore w:val="0"/>
              <w:widowControl/>
              <w:kinsoku/>
              <w:wordWrap/>
              <w:overflowPunct/>
              <w:topLinePunct w:val="0"/>
              <w:bidi w:val="0"/>
              <w:spacing w:line="276" w:lineRule="auto"/>
              <w:jc w:val="left"/>
              <w:rPr>
                <w:rFonts w:ascii="宋体" w:hAnsi="宋体"/>
                <w:kern w:val="0"/>
                <w:sz w:val="21"/>
                <w:szCs w:val="21"/>
              </w:rPr>
            </w:pPr>
            <w:r>
              <w:rPr>
                <w:rFonts w:hint="eastAsia" w:ascii="宋体" w:hAnsi="宋体"/>
                <w:b/>
                <w:bCs/>
                <w:color w:val="FF0000"/>
                <w:kern w:val="0"/>
                <w:sz w:val="21"/>
                <w:szCs w:val="21"/>
              </w:rPr>
              <w:t>▲1</w:t>
            </w:r>
            <w:r>
              <w:rPr>
                <w:rFonts w:ascii="宋体" w:hAnsi="宋体"/>
                <w:b/>
                <w:bCs/>
                <w:color w:val="FF0000"/>
                <w:kern w:val="0"/>
                <w:sz w:val="21"/>
                <w:szCs w:val="21"/>
              </w:rPr>
              <w:t>1</w:t>
            </w:r>
            <w:r>
              <w:rPr>
                <w:rFonts w:hint="eastAsia" w:ascii="宋体" w:hAnsi="宋体"/>
                <w:b/>
                <w:bCs/>
                <w:color w:val="FF0000"/>
                <w:kern w:val="0"/>
                <w:sz w:val="21"/>
                <w:szCs w:val="21"/>
              </w:rPr>
              <w:t>.为提高故障处理效率，移动运维App需支持查看告警详情如告警原因、修复建议，并能主动建立问题工单，远程发送故障日志，快速跟踪问题。（投标时需提供功能界面截图</w:t>
            </w:r>
            <w:r>
              <w:rPr>
                <w:rStyle w:val="54"/>
                <w:rFonts w:hint="eastAsia" w:cs="Times New Roman"/>
                <w:b/>
                <w:bCs/>
                <w:color w:val="FF0000"/>
                <w:sz w:val="21"/>
                <w:szCs w:val="21"/>
              </w:rPr>
              <w:t>）</w:t>
            </w:r>
          </w:p>
        </w:tc>
      </w:tr>
      <w:tr w14:paraId="33BA4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454" w:type="pct"/>
            <w:vMerge w:val="continue"/>
            <w:vAlign w:val="center"/>
          </w:tcPr>
          <w:p w14:paraId="261E1CE9">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1A23A0F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057C5C0B">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▲1</w:t>
            </w:r>
            <w:r>
              <w:rPr>
                <w:rFonts w:ascii="宋体" w:hAnsi="宋体"/>
                <w:kern w:val="0"/>
                <w:sz w:val="21"/>
                <w:szCs w:val="21"/>
              </w:rPr>
              <w:t>2</w:t>
            </w:r>
            <w:r>
              <w:rPr>
                <w:rFonts w:hint="eastAsia" w:ascii="宋体" w:hAnsi="宋体"/>
                <w:kern w:val="0"/>
                <w:sz w:val="21"/>
                <w:szCs w:val="21"/>
              </w:rPr>
              <w:t>.为确保系统安全可靠，</w:t>
            </w:r>
            <w:r>
              <w:rPr>
                <w:rFonts w:hint="eastAsia"/>
                <w:b/>
                <w:bCs/>
                <w:color w:val="FF0000"/>
                <w:sz w:val="21"/>
                <w:szCs w:val="21"/>
              </w:rPr>
              <w:t>要求投标时提供</w:t>
            </w:r>
            <w:r>
              <w:rPr>
                <w:rFonts w:hint="eastAsia" w:ascii="宋体" w:hAnsi="宋体"/>
                <w:b/>
                <w:bCs/>
                <w:color w:val="FF0000"/>
                <w:kern w:val="0"/>
                <w:sz w:val="21"/>
                <w:szCs w:val="21"/>
              </w:rPr>
              <w:t>云安全管理体系</w:t>
            </w:r>
            <w:r>
              <w:rPr>
                <w:rFonts w:ascii="宋体" w:hAnsi="宋体"/>
                <w:b/>
                <w:bCs/>
                <w:color w:val="FF0000"/>
                <w:kern w:val="0"/>
                <w:sz w:val="21"/>
                <w:szCs w:val="21"/>
              </w:rPr>
              <w:t>CSA STAR认证</w:t>
            </w:r>
            <w:r>
              <w:rPr>
                <w:rFonts w:hint="eastAsia" w:ascii="宋体" w:hAnsi="宋体"/>
                <w:b/>
                <w:bCs/>
                <w:color w:val="FF0000"/>
                <w:kern w:val="0"/>
                <w:sz w:val="21"/>
                <w:szCs w:val="21"/>
              </w:rPr>
              <w:t>证书扫描件或复印件（其中，认证活动（范围）含“移动智能管理”）</w:t>
            </w:r>
          </w:p>
        </w:tc>
      </w:tr>
      <w:tr w14:paraId="744EF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restart"/>
            <w:shd w:val="clear" w:color="auto" w:fill="auto"/>
            <w:vAlign w:val="center"/>
          </w:tcPr>
          <w:p w14:paraId="44A8CAFE">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4</w:t>
            </w:r>
          </w:p>
        </w:tc>
        <w:tc>
          <w:tcPr>
            <w:tcW w:w="1056" w:type="pct"/>
            <w:vMerge w:val="restart"/>
            <w:shd w:val="clear" w:color="auto" w:fill="auto"/>
            <w:vAlign w:val="center"/>
          </w:tcPr>
          <w:p w14:paraId="4F5FC248">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UPS及功率模块（含1台UPS及功率模块）</w:t>
            </w:r>
          </w:p>
        </w:tc>
        <w:tc>
          <w:tcPr>
            <w:tcW w:w="3489" w:type="pct"/>
            <w:shd w:val="clear" w:color="auto" w:fill="auto"/>
            <w:vAlign w:val="center"/>
          </w:tcPr>
          <w:p w14:paraId="42A15AF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 UPS 主机为高频模块化在线式主机，设备容量不低于600kVA,单个功率模块不小于60kVA,UPS 主机配置的整流器、逆变器均采用 IGBT部件。</w:t>
            </w:r>
          </w:p>
        </w:tc>
      </w:tr>
      <w:tr w14:paraId="34D1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5D464DF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1854137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8DF2CE2">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sz w:val="21"/>
                <w:szCs w:val="21"/>
              </w:rPr>
              <w:t>2. UPS主机须内置机组节能休眠功能及控制、监测功能，预留RJ45或RS485标准通讯接口；满足标准/可开放工业协议。</w:t>
            </w:r>
          </w:p>
        </w:tc>
      </w:tr>
      <w:tr w14:paraId="60F4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3DFBC16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03EDD9D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60157E41">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sz w:val="21"/>
                <w:szCs w:val="21"/>
              </w:rPr>
              <w:t>3. UPS运行于节能模式或其他类似功能命名（如ECO模式等）时，并且当市电掉电时，应能够在0ms内不间断切换至逆变器供电，UPS输出电压波形无中断。</w:t>
            </w:r>
          </w:p>
        </w:tc>
      </w:tr>
      <w:tr w14:paraId="085D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62A5307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4613B2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575454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w:t>
            </w:r>
            <w:r>
              <w:rPr>
                <w:rFonts w:hint="eastAsia" w:ascii="宋体" w:hAnsi="宋体"/>
                <w:b/>
                <w:bCs/>
                <w:color w:val="FF0000"/>
                <w:sz w:val="21"/>
                <w:szCs w:val="21"/>
              </w:rPr>
              <w:t>4. UPS应采用集中或分散控制的逻辑，控制器应采用冗余架构，避免单点故障。系统对电容等易损件有故障告警定位功能，并且具备电容等易损件的剩余寿命预测功能，并可支持在显示屏界面查看。（投标时提供控制界面截图证明，并加盖投标人公章）</w:t>
            </w:r>
          </w:p>
        </w:tc>
      </w:tr>
      <w:tr w14:paraId="7CD30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4B29887E">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546A148D">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shd w:val="clear" w:color="auto" w:fill="auto"/>
            <w:vAlign w:val="center"/>
          </w:tcPr>
          <w:p w14:paraId="68E440B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w:t>
            </w:r>
            <w:r>
              <w:rPr>
                <w:rFonts w:hint="eastAsia" w:ascii="宋体" w:hAnsi="宋体"/>
                <w:b/>
                <w:bCs/>
                <w:color w:val="FF0000"/>
                <w:sz w:val="21"/>
                <w:szCs w:val="21"/>
              </w:rPr>
              <w:t>5. UPS系统采用模块化架构，其中功率模块、旁路模块和控制模块应具有热插拔功能，方便设备维修维护，提供第三方检测报告证明，并提供带电情况下热插拔照片。（投标时提供第三方检测机构出具具有“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r>
      <w:tr w14:paraId="6BAA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0F44A3B0">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0A628584">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shd w:val="clear" w:color="auto" w:fill="auto"/>
            <w:vAlign w:val="center"/>
          </w:tcPr>
          <w:p w14:paraId="5BB51066">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 xml:space="preserve">▲6. </w:t>
            </w:r>
            <w:r>
              <w:rPr>
                <w:rFonts w:hint="eastAsia" w:ascii="宋体" w:hAnsi="宋体"/>
                <w:b/>
                <w:bCs/>
                <w:color w:val="FF0000"/>
                <w:sz w:val="21"/>
                <w:szCs w:val="21"/>
              </w:rPr>
              <w:t>为避免因UPS并机系统旁路不均流引起的过载过温风险，要求所投的UPS具备旁路主动均流功能，满载时不均流度小于10%。考虑额外硬件使用性能使用衰减因素，不接受通过使用额外的硬件设备实现此功能。（投标时需提供实验室测试报告或第三方检测机构出具具有“CNAS”或“CMA”标识的检测/检验报告。</w:t>
            </w:r>
            <w:r>
              <w:rPr>
                <w:rFonts w:hint="eastAsia" w:ascii="宋体" w:hAnsi="宋体"/>
                <w:b/>
                <w:bCs/>
                <w:color w:val="FF0000"/>
                <w:kern w:val="0"/>
                <w:sz w:val="21"/>
                <w:szCs w:val="21"/>
              </w:rPr>
              <w:t>上述资料均要求提供扫描件或复印件，并加盖投标人公章</w:t>
            </w:r>
            <w:r>
              <w:rPr>
                <w:rFonts w:hint="eastAsia" w:ascii="宋体" w:hAnsi="宋体"/>
                <w:b/>
                <w:bCs/>
                <w:color w:val="FF0000"/>
                <w:sz w:val="21"/>
                <w:szCs w:val="21"/>
              </w:rPr>
              <w:t>）</w:t>
            </w:r>
          </w:p>
        </w:tc>
      </w:tr>
      <w:tr w14:paraId="3E3BA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53F420F9">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0322FA9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shd w:val="clear" w:color="auto" w:fill="auto"/>
            <w:vAlign w:val="center"/>
          </w:tcPr>
          <w:p w14:paraId="415B6B5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w:t>
            </w:r>
            <w:r>
              <w:rPr>
                <w:rFonts w:hint="eastAsia" w:ascii="宋体" w:hAnsi="宋体"/>
                <w:b/>
                <w:bCs/>
                <w:color w:val="FF0000"/>
                <w:sz w:val="21"/>
                <w:szCs w:val="21"/>
              </w:rPr>
              <w:t>7. 海拔高度1</w:t>
            </w:r>
            <w:r>
              <w:rPr>
                <w:rFonts w:ascii="宋体" w:hAnsi="宋体"/>
                <w:b/>
                <w:bCs/>
                <w:color w:val="FF0000"/>
                <w:sz w:val="21"/>
                <w:szCs w:val="21"/>
              </w:rPr>
              <w:t>500</w:t>
            </w:r>
            <w:r>
              <w:rPr>
                <w:rFonts w:hint="eastAsia" w:ascii="宋体" w:hAnsi="宋体"/>
                <w:b/>
                <w:bCs/>
                <w:color w:val="FF0000"/>
                <w:sz w:val="21"/>
                <w:szCs w:val="21"/>
              </w:rPr>
              <w:t>米（含）以下不降容，若超过</w:t>
            </w:r>
            <w:r>
              <w:rPr>
                <w:rFonts w:ascii="宋体" w:hAnsi="宋体"/>
                <w:b/>
                <w:bCs/>
                <w:color w:val="FF0000"/>
                <w:sz w:val="21"/>
                <w:szCs w:val="21"/>
              </w:rPr>
              <w:t>15</w:t>
            </w:r>
            <w:r>
              <w:rPr>
                <w:rFonts w:hint="eastAsia" w:ascii="宋体" w:hAnsi="宋体"/>
                <w:b/>
                <w:bCs/>
                <w:color w:val="FF0000"/>
                <w:sz w:val="21"/>
                <w:szCs w:val="21"/>
              </w:rPr>
              <w:t>00 米时，应按 IEC62040-3规定降容使用。（投标时提供第三方检测机构出具具有“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r>
      <w:tr w14:paraId="710C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028E077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56F72AC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shd w:val="clear" w:color="auto" w:fill="auto"/>
            <w:vAlign w:val="center"/>
          </w:tcPr>
          <w:p w14:paraId="3BA4F11E">
            <w:pPr>
              <w:keepNext w:val="0"/>
              <w:keepLines w:val="0"/>
              <w:pageBreakBefore w:val="0"/>
              <w:widowControl/>
              <w:kinsoku/>
              <w:wordWrap/>
              <w:overflowPunct/>
              <w:topLinePunct w:val="0"/>
              <w:bidi w:val="0"/>
              <w:spacing w:line="276" w:lineRule="auto"/>
              <w:jc w:val="left"/>
              <w:rPr>
                <w:rFonts w:ascii="宋体" w:hAnsi="宋体"/>
                <w:sz w:val="21"/>
                <w:szCs w:val="21"/>
              </w:rPr>
            </w:pPr>
            <w:r>
              <w:rPr>
                <w:rFonts w:hint="eastAsia" w:ascii="宋体" w:hAnsi="宋体"/>
                <w:b/>
                <w:bCs/>
                <w:color w:val="FF0000"/>
                <w:kern w:val="0"/>
                <w:sz w:val="21"/>
                <w:szCs w:val="21"/>
              </w:rPr>
              <w:t>▲8. 机组应满足网络安全要求，检测标准</w:t>
            </w:r>
            <w:r>
              <w:rPr>
                <w:b/>
                <w:bCs/>
                <w:color w:val="FF0000"/>
                <w:sz w:val="21"/>
                <w:szCs w:val="21"/>
              </w:rPr>
              <w:t>GB/T18336-2024</w:t>
            </w:r>
            <w:r>
              <w:rPr>
                <w:rFonts w:ascii="宋体" w:hAnsi="宋体"/>
                <w:b/>
                <w:bCs/>
                <w:color w:val="FF0000"/>
                <w:kern w:val="0"/>
                <w:sz w:val="21"/>
                <w:szCs w:val="21"/>
              </w:rPr>
              <w:t xml:space="preserve"> </w:t>
            </w:r>
            <w:r>
              <w:rPr>
                <w:rFonts w:hint="eastAsia" w:ascii="宋体" w:hAnsi="宋体"/>
                <w:b/>
                <w:bCs/>
                <w:color w:val="FF0000"/>
                <w:kern w:val="0"/>
                <w:sz w:val="21"/>
                <w:szCs w:val="21"/>
              </w:rPr>
              <w:t>《信息技术 安全技术 信息技术安全评估准则》。（</w:t>
            </w:r>
            <w:r>
              <w:rPr>
                <w:rFonts w:hint="eastAsia" w:ascii="宋体" w:hAnsi="宋体"/>
                <w:b/>
                <w:bCs/>
                <w:color w:val="FF0000"/>
                <w:sz w:val="21"/>
                <w:szCs w:val="21"/>
              </w:rPr>
              <w:t>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ascii="宋体" w:hAnsi="宋体"/>
                <w:b/>
                <w:bCs/>
                <w:color w:val="FF0000"/>
                <w:kern w:val="0"/>
                <w:sz w:val="21"/>
                <w:szCs w:val="21"/>
              </w:rPr>
              <w:t>）</w:t>
            </w:r>
          </w:p>
        </w:tc>
      </w:tr>
      <w:tr w14:paraId="048F5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36E40F76">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2FD08ADC">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shd w:val="clear" w:color="auto" w:fill="auto"/>
            <w:vAlign w:val="center"/>
          </w:tcPr>
          <w:p w14:paraId="72E06CCF">
            <w:pPr>
              <w:keepNext w:val="0"/>
              <w:keepLines w:val="0"/>
              <w:pageBreakBefore w:val="0"/>
              <w:widowControl/>
              <w:kinsoku/>
              <w:wordWrap/>
              <w:overflowPunct/>
              <w:topLinePunct w:val="0"/>
              <w:bidi w:val="0"/>
              <w:spacing w:line="276" w:lineRule="auto"/>
              <w:jc w:val="left"/>
              <w:rPr>
                <w:rFonts w:ascii="宋体" w:hAnsi="宋体"/>
                <w:sz w:val="21"/>
                <w:szCs w:val="21"/>
              </w:rPr>
            </w:pPr>
            <w:r>
              <w:rPr>
                <w:rFonts w:hint="eastAsia" w:ascii="宋体" w:hAnsi="宋体"/>
                <w:b/>
                <w:bCs/>
                <w:color w:val="FF0000"/>
                <w:kern w:val="0"/>
                <w:sz w:val="21"/>
                <w:szCs w:val="21"/>
              </w:rPr>
              <w:t>▲9. 为保证数据中心的安全可信，投标UPS主机需符合《网络安全审查办法》要求，检测内容包括安全功能要求和安全保障要求，结果为合格。（投标时提供社会公共安全产品认证证书及第三方检测机构出具具有“</w:t>
            </w:r>
            <w:r>
              <w:rPr>
                <w:rFonts w:ascii="宋体" w:hAnsi="宋体"/>
                <w:b/>
                <w:bCs/>
                <w:color w:val="FF0000"/>
                <w:kern w:val="0"/>
                <w:sz w:val="21"/>
                <w:szCs w:val="21"/>
              </w:rPr>
              <w:t>CNAS”或“CMA”标识的检测/检验</w:t>
            </w:r>
            <w:r>
              <w:rPr>
                <w:rFonts w:hint="eastAsia" w:ascii="宋体" w:hAnsi="宋体"/>
                <w:b/>
                <w:bCs/>
                <w:color w:val="FF0000"/>
                <w:kern w:val="0"/>
                <w:sz w:val="21"/>
                <w:szCs w:val="21"/>
              </w:rPr>
              <w:t>报告。上述资料均要求提供扫描件或复印件，并均加盖投标人公章）</w:t>
            </w:r>
          </w:p>
        </w:tc>
      </w:tr>
      <w:tr w14:paraId="39CBD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454" w:type="pct"/>
            <w:vMerge w:val="continue"/>
            <w:vAlign w:val="center"/>
          </w:tcPr>
          <w:p w14:paraId="172BA0E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2492955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064C8C0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w:t>
            </w:r>
            <w:r>
              <w:rPr>
                <w:rFonts w:hint="eastAsia" w:ascii="宋体" w:hAnsi="宋体"/>
                <w:b/>
                <w:bCs/>
                <w:color w:val="FF0000"/>
                <w:kern w:val="0"/>
                <w:sz w:val="21"/>
                <w:szCs w:val="21"/>
              </w:rPr>
              <w:t>10.设备应能提供全中文监控及操作界面和全中文远程监控管理界面，应提供8英寸（含）以上 全中文显示的LCD显示器，方便查看与操作。（投标时需提供彩页或用户手册作证明材料。）</w:t>
            </w:r>
          </w:p>
        </w:tc>
      </w:tr>
      <w:tr w14:paraId="4BAB3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454" w:type="pct"/>
            <w:vMerge w:val="continue"/>
            <w:vAlign w:val="center"/>
          </w:tcPr>
          <w:p w14:paraId="4EEEE9D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2CB4E84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4EBA516">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w:t>
            </w:r>
            <w:r>
              <w:rPr>
                <w:rFonts w:ascii="宋体" w:hAnsi="宋体"/>
                <w:kern w:val="0"/>
                <w:sz w:val="21"/>
                <w:szCs w:val="21"/>
              </w:rPr>
              <w:t>1</w:t>
            </w:r>
            <w:r>
              <w:rPr>
                <w:rFonts w:hint="eastAsia" w:ascii="宋体" w:hAnsi="宋体"/>
                <w:kern w:val="0"/>
                <w:sz w:val="21"/>
                <w:szCs w:val="21"/>
              </w:rPr>
              <w:t>.</w:t>
            </w:r>
            <w:r>
              <w:rPr>
                <w:rFonts w:hint="eastAsia" w:ascii="宋体" w:hAnsi="宋体"/>
                <w:sz w:val="21"/>
                <w:szCs w:val="21"/>
              </w:rPr>
              <w:t xml:space="preserve"> UPS应具备电池智能管理功能，并且支持电池节数可调,可调节数不少于10只。应具有定期对电池组进行自动浮充、均充转换、自动温度补偿、电池组放电及记录功能；监控故障时，应具有对电池组限流恒压充电功能，电池充电限流值可调节。</w:t>
            </w:r>
          </w:p>
        </w:tc>
      </w:tr>
      <w:tr w14:paraId="4F12E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 w:hRule="atLeast"/>
          <w:jc w:val="center"/>
        </w:trPr>
        <w:tc>
          <w:tcPr>
            <w:tcW w:w="454" w:type="pct"/>
            <w:vMerge w:val="continue"/>
            <w:vAlign w:val="center"/>
          </w:tcPr>
          <w:p w14:paraId="720A5D4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663DBFA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027FBFE7">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▲12. 系统具有过温自动降额运行功能：41-45℃，降额至90%长期运行；46-50℃，降额至80%长期运行；51-55℃，降额至70%长期运行。（投标时需提供实验室测试报告或第三方检测机构出具具有“CNAS”或“CMA”标识的检测/检验报告。</w:t>
            </w:r>
            <w:r>
              <w:rPr>
                <w:rFonts w:hint="eastAsia" w:ascii="宋体" w:hAnsi="宋体"/>
                <w:b/>
                <w:bCs/>
                <w:color w:val="FF0000"/>
                <w:kern w:val="0"/>
                <w:sz w:val="21"/>
                <w:szCs w:val="21"/>
              </w:rPr>
              <w:t>上述资料要求提供扫描件或复印件，并加盖投标人公章</w:t>
            </w:r>
            <w:r>
              <w:rPr>
                <w:rFonts w:hint="eastAsia" w:ascii="宋体" w:hAnsi="宋体"/>
                <w:b/>
                <w:bCs/>
                <w:color w:val="FF0000"/>
                <w:sz w:val="21"/>
                <w:szCs w:val="21"/>
              </w:rPr>
              <w:t>）</w:t>
            </w:r>
          </w:p>
        </w:tc>
      </w:tr>
      <w:tr w14:paraId="75422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454" w:type="pct"/>
            <w:vMerge w:val="continue"/>
            <w:vAlign w:val="center"/>
          </w:tcPr>
          <w:p w14:paraId="5710791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005DFC9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2A099FC0">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▲13. UPS设备应具备铜排温度测试功能。（投标时需提供第三方机构出具的检测/检验报告扫描件或复印件，并加盖投标人公章）</w:t>
            </w:r>
          </w:p>
        </w:tc>
      </w:tr>
      <w:tr w14:paraId="4F2BF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454" w:type="pct"/>
            <w:vMerge w:val="continue"/>
            <w:vAlign w:val="center"/>
          </w:tcPr>
          <w:p w14:paraId="4B6D270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3F2CBAE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2DCFBB1E">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▲14.UPS系统需具有市电与电池联合供电能力</w:t>
            </w:r>
            <w:r>
              <w:rPr>
                <w:rFonts w:hint="eastAsia" w:ascii="宋体" w:hAnsi="宋体"/>
                <w:color w:val="FF0000"/>
                <w:sz w:val="21"/>
                <w:szCs w:val="21"/>
              </w:rPr>
              <w:t>。</w:t>
            </w:r>
            <w:r>
              <w:rPr>
                <w:rFonts w:hint="eastAsia" w:ascii="宋体" w:hAnsi="宋体"/>
                <w:b/>
                <w:bCs/>
                <w:color w:val="FF0000"/>
                <w:sz w:val="21"/>
                <w:szCs w:val="21"/>
              </w:rPr>
              <w:t>（投标时需提供实验室测试报告或第三方检测机构出具的检测/检验报告。</w:t>
            </w:r>
            <w:r>
              <w:rPr>
                <w:rFonts w:hint="eastAsia" w:ascii="宋体" w:hAnsi="宋体"/>
                <w:b/>
                <w:bCs/>
                <w:color w:val="FF0000"/>
                <w:kern w:val="0"/>
                <w:sz w:val="21"/>
                <w:szCs w:val="21"/>
              </w:rPr>
              <w:t>上述资料要求提供扫描件或复印件，并加盖投标人公章</w:t>
            </w:r>
            <w:r>
              <w:rPr>
                <w:rFonts w:hint="eastAsia" w:ascii="宋体" w:hAnsi="宋体"/>
                <w:b/>
                <w:bCs/>
                <w:color w:val="FF0000"/>
                <w:sz w:val="21"/>
                <w:szCs w:val="21"/>
              </w:rPr>
              <w:t>）</w:t>
            </w:r>
          </w:p>
        </w:tc>
      </w:tr>
      <w:tr w14:paraId="3F2C8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454" w:type="pct"/>
            <w:vMerge w:val="continue"/>
            <w:vAlign w:val="center"/>
          </w:tcPr>
          <w:p w14:paraId="0EF913E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D762A1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6681A009">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15、UPS效率应满足：UPS运行于在线双变换模式：10%负载时，效率不低于95.5%；20%负载时，效率不低于96.5%；30%负载时，效率不低于96.5%；50%负载时，效率不低于96.5%，100%负载时，效率不低于96%。（投标时需提供第三方检测机构出具的检测/检验报告</w:t>
            </w:r>
            <w:r>
              <w:rPr>
                <w:rFonts w:hint="eastAsia" w:ascii="宋体" w:hAnsi="宋体"/>
                <w:b/>
                <w:bCs/>
                <w:color w:val="FF0000"/>
                <w:kern w:val="0"/>
                <w:sz w:val="21"/>
                <w:szCs w:val="21"/>
              </w:rPr>
              <w:t>扫描件或复印件，并加盖投标人公章</w:t>
            </w:r>
            <w:r>
              <w:rPr>
                <w:rFonts w:hint="eastAsia" w:ascii="宋体" w:hAnsi="宋体"/>
                <w:b/>
                <w:bCs/>
                <w:color w:val="FF0000"/>
                <w:sz w:val="21"/>
                <w:szCs w:val="21"/>
              </w:rPr>
              <w:t xml:space="preserve">） </w:t>
            </w:r>
          </w:p>
        </w:tc>
      </w:tr>
      <w:tr w14:paraId="7AEC2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454" w:type="pct"/>
            <w:vMerge w:val="continue"/>
            <w:vAlign w:val="center"/>
          </w:tcPr>
          <w:p w14:paraId="69017DC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7F72285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5ABDFA8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▲16.电压输入范围：-60%～+25%。（投标时需提供产品彩页或产品说明书作为证明材料，并加盖投标人公章）</w:t>
            </w:r>
          </w:p>
        </w:tc>
      </w:tr>
      <w:tr w14:paraId="5D78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454" w:type="pct"/>
            <w:vMerge w:val="continue"/>
            <w:vAlign w:val="center"/>
          </w:tcPr>
          <w:p w14:paraId="33393F4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627518C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D878868">
            <w:pPr>
              <w:keepNext w:val="0"/>
              <w:keepLines w:val="0"/>
              <w:pageBreakBefore w:val="0"/>
              <w:kinsoku/>
              <w:wordWrap/>
              <w:overflowPunct/>
              <w:topLinePunct w:val="0"/>
              <w:bidi w:val="0"/>
              <w:spacing w:line="276" w:lineRule="auto"/>
              <w:rPr>
                <w:rFonts w:ascii="宋体" w:hAnsi="宋体"/>
                <w:b/>
                <w:bCs/>
                <w:color w:val="FF0000"/>
                <w:sz w:val="21"/>
                <w:szCs w:val="21"/>
              </w:rPr>
            </w:pPr>
            <w:r>
              <w:rPr>
                <w:rFonts w:hint="eastAsia" w:ascii="宋体" w:hAnsi="宋体"/>
                <w:sz w:val="21"/>
                <w:szCs w:val="21"/>
              </w:rPr>
              <w:t>17.UPS系统应支持通过采集母线电容在当前时刻的工况参数，并根据所述当前时刻的工况参数及预设对应关系，获取所述母线电容在所述当前时刻的工况参数下的总寿命值。</w:t>
            </w:r>
          </w:p>
        </w:tc>
      </w:tr>
      <w:tr w14:paraId="72740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454" w:type="pct"/>
            <w:vMerge w:val="continue"/>
            <w:vAlign w:val="center"/>
          </w:tcPr>
          <w:p w14:paraId="3A408CC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7C7344C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4826D227">
            <w:pPr>
              <w:keepNext w:val="0"/>
              <w:keepLines w:val="0"/>
              <w:pageBreakBefore w:val="0"/>
              <w:kinsoku/>
              <w:wordWrap/>
              <w:overflowPunct/>
              <w:topLinePunct w:val="0"/>
              <w:bidi w:val="0"/>
              <w:spacing w:line="276" w:lineRule="auto"/>
              <w:rPr>
                <w:rFonts w:ascii="宋体" w:hAnsi="宋体"/>
                <w:b/>
                <w:bCs/>
                <w:color w:val="FF0000"/>
                <w:sz w:val="21"/>
                <w:szCs w:val="21"/>
              </w:rPr>
            </w:pPr>
            <w:r>
              <w:rPr>
                <w:rFonts w:hint="eastAsia" w:ascii="宋体" w:hAnsi="宋体"/>
                <w:b/>
                <w:bCs/>
                <w:color w:val="FF0000"/>
                <w:sz w:val="21"/>
                <w:szCs w:val="21"/>
              </w:rPr>
              <w:t>▲18.正常模式下，10%非线性负载率，要求输入功率因数：≥0.99。（投标时需提供第三方机构出具的检测/检验报告扫描件或复印件，并加盖投标人公章）</w:t>
            </w:r>
          </w:p>
        </w:tc>
      </w:tr>
      <w:tr w14:paraId="4B4D0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454" w:type="pct"/>
            <w:vMerge w:val="continue"/>
            <w:vAlign w:val="center"/>
          </w:tcPr>
          <w:p w14:paraId="57A5889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706641F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2A331047">
            <w:pPr>
              <w:keepNext w:val="0"/>
              <w:keepLines w:val="0"/>
              <w:pageBreakBefore w:val="0"/>
              <w:kinsoku/>
              <w:wordWrap/>
              <w:overflowPunct/>
              <w:topLinePunct w:val="0"/>
              <w:bidi w:val="0"/>
              <w:spacing w:line="276" w:lineRule="auto"/>
              <w:rPr>
                <w:rFonts w:ascii="宋体" w:hAnsi="宋体"/>
                <w:b/>
                <w:bCs/>
                <w:color w:val="FF0000"/>
                <w:sz w:val="21"/>
                <w:szCs w:val="21"/>
              </w:rPr>
            </w:pPr>
            <w:r>
              <w:rPr>
                <w:rFonts w:hint="eastAsia" w:ascii="宋体" w:hAnsi="宋体"/>
                <w:b/>
                <w:bCs/>
                <w:color w:val="FF0000"/>
                <w:sz w:val="21"/>
                <w:szCs w:val="21"/>
              </w:rPr>
              <w:t>▲19</w:t>
            </w:r>
            <w:r>
              <w:rPr>
                <w:rFonts w:hint="eastAsia" w:ascii="宋体" w:hAnsi="宋体"/>
                <w:b/>
                <w:bCs/>
                <w:color w:val="FF0000"/>
                <w:kern w:val="0"/>
                <w:sz w:val="21"/>
                <w:szCs w:val="21"/>
              </w:rPr>
              <w:t>.输出电流不均衡度：≤0.5%（50%负载率）</w:t>
            </w:r>
            <w:r>
              <w:rPr>
                <w:rFonts w:hint="eastAsia" w:ascii="宋体" w:hAnsi="宋体"/>
                <w:b/>
                <w:bCs/>
                <w:color w:val="FF0000"/>
                <w:sz w:val="21"/>
                <w:szCs w:val="21"/>
              </w:rPr>
              <w:t>或</w:t>
            </w:r>
            <w:r>
              <w:rPr>
                <w:rFonts w:hint="eastAsia" w:ascii="宋体" w:hAnsi="宋体"/>
                <w:b/>
                <w:bCs/>
                <w:color w:val="FF0000"/>
                <w:kern w:val="0"/>
                <w:sz w:val="21"/>
                <w:szCs w:val="21"/>
              </w:rPr>
              <w:t>≤1%</w:t>
            </w:r>
            <w:r>
              <w:rPr>
                <w:rFonts w:hint="eastAsia" w:ascii="宋体" w:hAnsi="宋体"/>
                <w:b/>
                <w:bCs/>
                <w:color w:val="FF0000"/>
                <w:sz w:val="21"/>
                <w:szCs w:val="21"/>
              </w:rPr>
              <w:t>(100%负载率)</w:t>
            </w:r>
            <w:r>
              <w:rPr>
                <w:rFonts w:hint="eastAsia" w:ascii="宋体" w:hAnsi="宋体"/>
                <w:b/>
                <w:bCs/>
                <w:color w:val="FF0000"/>
                <w:kern w:val="0"/>
                <w:sz w:val="21"/>
                <w:szCs w:val="21"/>
              </w:rPr>
              <w:t>。</w:t>
            </w:r>
            <w:r>
              <w:rPr>
                <w:rFonts w:hint="eastAsia" w:ascii="宋体" w:hAnsi="宋体"/>
                <w:b/>
                <w:bCs/>
                <w:color w:val="FF0000"/>
                <w:sz w:val="21"/>
                <w:szCs w:val="21"/>
              </w:rPr>
              <w:t>（投标时需提供第三方机构出具的检测/检验报告扫描件或复印件，并加盖投标人公章）</w:t>
            </w:r>
          </w:p>
        </w:tc>
      </w:tr>
      <w:tr w14:paraId="5F58F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9" w:hRule="atLeast"/>
          <w:jc w:val="center"/>
        </w:trPr>
        <w:tc>
          <w:tcPr>
            <w:tcW w:w="454" w:type="pct"/>
            <w:vMerge w:val="continue"/>
            <w:vAlign w:val="center"/>
          </w:tcPr>
          <w:p w14:paraId="66EBAB7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4CC37D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69966C3">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b/>
                <w:bCs/>
                <w:color w:val="FF0000"/>
                <w:sz w:val="21"/>
                <w:szCs w:val="21"/>
              </w:rPr>
              <w:t>▲20. UPS功率模块内部散热风道要求采用独立风道设计， 防止灰尘积累导致短路、拉弧等故障发生。（投标时需提供彩页或用户手册作证明材料，并加盖投标人公章）</w:t>
            </w:r>
          </w:p>
        </w:tc>
      </w:tr>
      <w:tr w14:paraId="25D99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atLeast"/>
          <w:jc w:val="center"/>
        </w:trPr>
        <w:tc>
          <w:tcPr>
            <w:tcW w:w="454" w:type="pct"/>
            <w:vMerge w:val="restart"/>
            <w:vAlign w:val="center"/>
          </w:tcPr>
          <w:p w14:paraId="692EB27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5</w:t>
            </w:r>
          </w:p>
        </w:tc>
        <w:tc>
          <w:tcPr>
            <w:tcW w:w="1056" w:type="pct"/>
            <w:vMerge w:val="restart"/>
            <w:vAlign w:val="center"/>
          </w:tcPr>
          <w:p w14:paraId="1BE8A0A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铅酸电池系统（含后备电池、</w:t>
            </w:r>
            <w:r>
              <w:rPr>
                <w:rFonts w:hint="eastAsia" w:ascii="宋体" w:hAnsi="宋体"/>
                <w:kern w:val="0"/>
                <w:sz w:val="21"/>
                <w:szCs w:val="21"/>
              </w:rPr>
              <w:t>电池架、</w:t>
            </w:r>
            <w:r>
              <w:rPr>
                <w:rFonts w:hint="eastAsia" w:ascii="宋体" w:hAnsi="宋体"/>
                <w:sz w:val="21"/>
                <w:szCs w:val="21"/>
              </w:rPr>
              <w:t>蓄电池监控模块；</w:t>
            </w:r>
            <w:r>
              <w:rPr>
                <w:rFonts w:hint="eastAsia" w:ascii="宋体" w:hAnsi="宋体"/>
                <w:kern w:val="0"/>
                <w:sz w:val="21"/>
                <w:szCs w:val="21"/>
              </w:rPr>
              <w:t>电池开关柜；相关配件）</w:t>
            </w:r>
          </w:p>
        </w:tc>
        <w:tc>
          <w:tcPr>
            <w:tcW w:w="3489" w:type="pct"/>
            <w:vAlign w:val="center"/>
          </w:tcPr>
          <w:p w14:paraId="36AF4CDE">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sz w:val="21"/>
                <w:szCs w:val="21"/>
              </w:rPr>
              <w:t>1.包括电池、电池架、连接线、智能电池管理、配电柜、监控模块等。配置单体蓄电池监控模块，监控数据包括电压、内阻、温度整需接入机房动力环境监控系统。为保护电池，电池监测模块具备低功耗休眠功能。电池容量满足单边≥7min 备电要求，采用高倍率阀控式密封铅酸蓄电池。</w:t>
            </w:r>
          </w:p>
        </w:tc>
      </w:tr>
      <w:tr w14:paraId="05873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atLeast"/>
          <w:jc w:val="center"/>
        </w:trPr>
        <w:tc>
          <w:tcPr>
            <w:tcW w:w="454" w:type="pct"/>
            <w:vMerge w:val="continue"/>
            <w:vAlign w:val="center"/>
          </w:tcPr>
          <w:p w14:paraId="3801C136">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2B80DA17">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5542925C">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color w:val="FF0000"/>
                <w:sz w:val="21"/>
                <w:szCs w:val="21"/>
              </w:rPr>
              <w:t>▲</w:t>
            </w:r>
            <w:r>
              <w:rPr>
                <w:rFonts w:hint="eastAsia" w:ascii="宋体" w:hAnsi="宋体"/>
                <w:color w:val="FF0000"/>
                <w:sz w:val="21"/>
                <w:szCs w:val="21"/>
                <w:lang w:val="en-US" w:eastAsia="zh-CN"/>
              </w:rPr>
              <w:t>2.</w:t>
            </w:r>
            <w:r>
              <w:rPr>
                <w:rFonts w:hint="eastAsia"/>
                <w:b/>
                <w:bCs/>
                <w:color w:val="FF0000"/>
                <w:sz w:val="21"/>
                <w:szCs w:val="21"/>
              </w:rPr>
              <w:t>所投产品产品制造商同时满足：</w:t>
            </w:r>
            <w:r>
              <w:rPr>
                <w:rFonts w:ascii="Calibri" w:hAnsi="Calibri" w:cs="Calibri"/>
                <w:b/>
                <w:bCs/>
                <w:color w:val="FF0000"/>
                <w:sz w:val="21"/>
                <w:szCs w:val="21"/>
              </w:rPr>
              <w:t>①</w:t>
            </w:r>
            <w:r>
              <w:rPr>
                <w:rFonts w:hint="eastAsia" w:ascii="宋体" w:hAnsi="宋体"/>
                <w:b/>
                <w:bCs/>
                <w:color w:val="FF0000"/>
                <w:sz w:val="21"/>
                <w:szCs w:val="21"/>
              </w:rPr>
              <w:t>入围工信部发布的绿色工厂名单里；</w:t>
            </w:r>
            <w:r>
              <w:rPr>
                <w:rFonts w:ascii="Calibri" w:hAnsi="Calibri" w:cs="Calibri"/>
                <w:b/>
                <w:bCs/>
                <w:color w:val="FF0000"/>
                <w:sz w:val="21"/>
                <w:szCs w:val="21"/>
              </w:rPr>
              <w:t>②</w:t>
            </w:r>
            <w:r>
              <w:rPr>
                <w:rFonts w:hint="eastAsia" w:ascii="宋体" w:hAnsi="宋体"/>
                <w:b/>
                <w:bCs/>
                <w:color w:val="FF0000"/>
                <w:sz w:val="21"/>
                <w:szCs w:val="21"/>
              </w:rPr>
              <w:t>在工业和信息化部公布的符合《铅蓄电池行业规范条件》企业名单内。（要求提供截图证明作为证明资料，并加盖投标人公章）</w:t>
            </w:r>
          </w:p>
        </w:tc>
      </w:tr>
      <w:tr w14:paraId="04955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atLeast"/>
          <w:jc w:val="center"/>
        </w:trPr>
        <w:tc>
          <w:tcPr>
            <w:tcW w:w="454" w:type="pct"/>
            <w:vMerge w:val="continue"/>
            <w:vAlign w:val="center"/>
          </w:tcPr>
          <w:p w14:paraId="02A3017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26EEACFB">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33C2B3BF">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.在额定功率放电测试时，每隔3分钟用红外线测温枪测量正负极柱、蓄电池各单格连接处的外壳部位、电池间连接件，最大温度≤41℃，</w:t>
            </w:r>
            <w:r>
              <w:rPr>
                <w:rFonts w:hint="eastAsia" w:ascii="宋体" w:hAnsi="宋体"/>
                <w:b/>
                <w:bCs/>
                <w:color w:val="FF0000"/>
                <w:sz w:val="21"/>
                <w:szCs w:val="21"/>
              </w:rPr>
              <w:t>并提供第三方检测报告（此报告用于证明（体现）“最大温度≤41℃”）</w:t>
            </w:r>
            <w:r>
              <w:rPr>
                <w:rFonts w:hint="eastAsia" w:ascii="宋体" w:hAnsi="宋体"/>
                <w:sz w:val="21"/>
                <w:szCs w:val="21"/>
              </w:rPr>
              <w:t>。</w:t>
            </w:r>
          </w:p>
          <w:p w14:paraId="28EC17EA">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rPr>
              <w:t>提供蓄电池高温加速浮充寿命试验测试的第三方检测报告（此报告用于证明（体现）“高温加速浮充次数不得低于9次”）</w:t>
            </w:r>
            <w:r>
              <w:rPr>
                <w:rFonts w:hint="eastAsia" w:ascii="宋体" w:hAnsi="宋体"/>
                <w:sz w:val="21"/>
                <w:szCs w:val="21"/>
              </w:rPr>
              <w:t>。</w:t>
            </w:r>
          </w:p>
        </w:tc>
      </w:tr>
      <w:tr w14:paraId="1A26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0" w:hRule="atLeast"/>
          <w:jc w:val="center"/>
        </w:trPr>
        <w:tc>
          <w:tcPr>
            <w:tcW w:w="454" w:type="pct"/>
            <w:vMerge w:val="continue"/>
            <w:vAlign w:val="center"/>
          </w:tcPr>
          <w:p w14:paraId="72FEC35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2FCD0F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5F2CDCB1">
            <w:pPr>
              <w:keepNext w:val="0"/>
              <w:keepLines w:val="0"/>
              <w:pageBreakBefore w:val="0"/>
              <w:widowControl/>
              <w:kinsoku/>
              <w:wordWrap/>
              <w:overflowPunct/>
              <w:topLinePunct w:val="0"/>
              <w:bidi w:val="0"/>
              <w:spacing w:line="276" w:lineRule="auto"/>
              <w:ind w:right="36" w:rightChars="17"/>
              <w:jc w:val="left"/>
              <w:rPr>
                <w:rFonts w:ascii="宋体" w:hAnsi="宋体"/>
                <w:b/>
                <w:bCs/>
                <w:color w:val="FF0000"/>
                <w:sz w:val="21"/>
                <w:szCs w:val="21"/>
              </w:rPr>
            </w:pPr>
            <w:r>
              <w:rPr>
                <w:rFonts w:hint="eastAsia" w:ascii="宋体" w:hAnsi="宋体"/>
                <w:color w:val="FF0000"/>
                <w:sz w:val="21"/>
                <w:szCs w:val="21"/>
              </w:rPr>
              <w:t>▲</w:t>
            </w:r>
            <w:r>
              <w:rPr>
                <w:rFonts w:hint="eastAsia" w:ascii="宋体" w:hAnsi="宋体"/>
                <w:color w:val="FF0000"/>
                <w:sz w:val="21"/>
                <w:szCs w:val="21"/>
                <w:lang w:val="en-US" w:eastAsia="zh-CN"/>
              </w:rPr>
              <w:t>4</w:t>
            </w:r>
            <w:r>
              <w:rPr>
                <w:rFonts w:hint="eastAsia" w:ascii="宋体" w:hAnsi="宋体"/>
                <w:color w:val="FF0000"/>
                <w:sz w:val="21"/>
                <w:szCs w:val="21"/>
              </w:rPr>
              <w:t>.</w:t>
            </w:r>
            <w:r>
              <w:rPr>
                <w:rFonts w:hint="eastAsia" w:ascii="宋体" w:hAnsi="宋体"/>
                <w:b/>
                <w:bCs/>
                <w:color w:val="FF0000"/>
                <w:sz w:val="21"/>
                <w:szCs w:val="21"/>
              </w:rPr>
              <w:t>（1）电池外壳应具有阻燃性能，蓄电池壳、盖、连接条保护罩应符合《塑料燃烧性能试验方法 水平法和垂直法》（GB/T 2408-20</w:t>
            </w:r>
            <w:r>
              <w:rPr>
                <w:rFonts w:ascii="宋体" w:hAnsi="宋体"/>
                <w:b/>
                <w:bCs/>
                <w:color w:val="FF0000"/>
                <w:sz w:val="21"/>
                <w:szCs w:val="21"/>
              </w:rPr>
              <w:t>21</w:t>
            </w:r>
            <w:r>
              <w:rPr>
                <w:rFonts w:hint="eastAsia" w:ascii="宋体" w:hAnsi="宋体"/>
                <w:b/>
                <w:bCs/>
                <w:color w:val="FF0000"/>
                <w:sz w:val="21"/>
                <w:szCs w:val="21"/>
              </w:rPr>
              <w:t>）中的第8.4.1条HB（水平级）和第9.4条V-0（垂直级）的要求。（投标时需提供第三方检测机构出具的检验/检测报告扫描件或复印件，并加盖投标人公章）</w:t>
            </w:r>
          </w:p>
          <w:p w14:paraId="18E41450">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rPr>
              <w:t>（2）蓄电池壳、盖材料：氧指数（LOI）参照EN ISO 4589-2，不得低于24%；烟雾密度参照EN ISO 5659-2，不得高于950（25KW/m2）；烟雾毒性参照NF X70-100-1，不得大于0.5（600℃）。（投标时需提供第三方检测机构出具的检验/检测报告扫描件或复印件，并加盖投标人公章）</w:t>
            </w:r>
          </w:p>
        </w:tc>
      </w:tr>
      <w:tr w14:paraId="370AE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454" w:type="pct"/>
            <w:vMerge w:val="continue"/>
            <w:vAlign w:val="center"/>
          </w:tcPr>
          <w:p w14:paraId="609D3C9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2702A1B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561B4688">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5</w:t>
            </w:r>
            <w:r>
              <w:rPr>
                <w:rFonts w:hint="eastAsia" w:ascii="宋体" w:hAnsi="宋体"/>
                <w:b/>
                <w:bCs/>
                <w:color w:val="FF0000"/>
                <w:sz w:val="21"/>
                <w:szCs w:val="21"/>
              </w:rPr>
              <w:t>.蓄电池静置28天（含）后其功率保存率不低于94%，密封反应效率应不低于97.0%。（投标时需提供第三方检测机构出具的检验/检测报告扫描件或复印件，并加盖投标人公章）</w:t>
            </w:r>
          </w:p>
        </w:tc>
      </w:tr>
      <w:tr w14:paraId="1C64B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454" w:type="pct"/>
            <w:vMerge w:val="continue"/>
            <w:vAlign w:val="center"/>
          </w:tcPr>
          <w:p w14:paraId="0D272FB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7A1DD1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4A3C1473">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6</w:t>
            </w:r>
            <w:r>
              <w:rPr>
                <w:rFonts w:hint="eastAsia" w:ascii="宋体" w:hAnsi="宋体"/>
                <w:b/>
                <w:bCs/>
                <w:color w:val="FF0000"/>
                <w:sz w:val="21"/>
                <w:szCs w:val="21"/>
              </w:rPr>
              <w:t>.安全阀应具有自动开启和自动关闭的功能，其开阀压力应在15kPa～25kPa范围内，闭阀压力应在10～15kPa范围内，开阀压力与闭阀压力差值不得高于15Kpa。（投标时需提供第三方检测机构出具的检验/检测报告扫描件或复印件，并加盖投标人公章）</w:t>
            </w:r>
          </w:p>
        </w:tc>
      </w:tr>
      <w:tr w14:paraId="1FDB3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454" w:type="pct"/>
            <w:vMerge w:val="continue"/>
            <w:vAlign w:val="center"/>
          </w:tcPr>
          <w:p w14:paraId="5B6D1E3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EAE399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5C61195D">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7</w:t>
            </w:r>
            <w:r>
              <w:rPr>
                <w:rFonts w:hint="eastAsia" w:ascii="宋体" w:hAnsi="宋体"/>
                <w:b/>
                <w:bCs/>
                <w:color w:val="FF0000"/>
                <w:sz w:val="21"/>
                <w:szCs w:val="21"/>
              </w:rPr>
              <w:t>.单体蓄电池和由若干个单体组成一体的组合蓄电池，其各单体电池间的开路电压最高与最低差值应≤15mV。蓄电池进入浮充状态后24h后,各蓄电池之间的端电压差应≤40mV。蓄电池放电时，各蓄电池之间的端电压差应不超过140mV。当蓄电池按15min率放电时，同一电池架内相邻两只蓄电池极柱根部测量的连接条电压降应不大于20mV。（投标时需提供第三方检测机构出具的检验/检测报告扫描件或复印件，并加盖投标人公章）</w:t>
            </w:r>
          </w:p>
        </w:tc>
      </w:tr>
      <w:tr w14:paraId="62084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454" w:type="pct"/>
            <w:vMerge w:val="continue"/>
            <w:vAlign w:val="center"/>
          </w:tcPr>
          <w:p w14:paraId="1850867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20D644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79A00AB2">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8</w:t>
            </w:r>
            <w:r>
              <w:rPr>
                <w:rFonts w:ascii="宋体" w:hAnsi="宋体"/>
                <w:b/>
                <w:bCs/>
                <w:color w:val="FF0000"/>
                <w:sz w:val="21"/>
                <w:szCs w:val="21"/>
              </w:rPr>
              <w:t>.</w:t>
            </w:r>
            <w:r>
              <w:rPr>
                <w:rFonts w:hint="eastAsia" w:ascii="宋体" w:hAnsi="宋体"/>
                <w:b/>
                <w:bCs/>
                <w:color w:val="FF0000"/>
                <w:sz w:val="21"/>
                <w:szCs w:val="21"/>
              </w:rPr>
              <w:t>蓄电池按YD/T 3427-2018《通信用高倍率阀控式密封铅酸蓄电池》7.22要求试验后，容量恢复值≥95%，10h率容量应不低于0.93C10；7.23要求试验后，蓄电池温度应≤35℃，每24h的电流增长率应≤30%；外观应无破裂、过度膨胀及槽、盖分离现象，7.25要求试验后，恒压充电24h的再充电能力因素Rbf24h应≥95%，同组蓄电池以P15额定功率试验时，最大放电时间与最小放电时间差值≤2%。（投标时需提供第三方检测机构出具的检验/检测报告扫描件或复印件，并加盖投标人公章）</w:t>
            </w:r>
          </w:p>
        </w:tc>
      </w:tr>
      <w:tr w14:paraId="01512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 w:hRule="atLeast"/>
          <w:jc w:val="center"/>
        </w:trPr>
        <w:tc>
          <w:tcPr>
            <w:tcW w:w="454" w:type="pct"/>
            <w:vMerge w:val="restart"/>
            <w:vAlign w:val="center"/>
          </w:tcPr>
          <w:p w14:paraId="4065EB7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6</w:t>
            </w:r>
          </w:p>
        </w:tc>
        <w:tc>
          <w:tcPr>
            <w:tcW w:w="1056" w:type="pct"/>
            <w:vMerge w:val="restart"/>
            <w:vAlign w:val="center"/>
          </w:tcPr>
          <w:p w14:paraId="40882BF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2.</w:t>
            </w:r>
            <w:r>
              <w:rPr>
                <w:rFonts w:ascii="宋体" w:hAnsi="宋体"/>
                <w:sz w:val="21"/>
                <w:szCs w:val="21"/>
              </w:rPr>
              <w:t>4</w:t>
            </w:r>
            <w:r>
              <w:rPr>
                <w:rFonts w:hint="eastAsia" w:ascii="宋体" w:hAnsi="宋体"/>
                <w:sz w:val="21"/>
                <w:szCs w:val="21"/>
              </w:rPr>
              <w:t>MW配电柜系统</w:t>
            </w:r>
          </w:p>
        </w:tc>
        <w:tc>
          <w:tcPr>
            <w:tcW w:w="3489" w:type="pct"/>
            <w:vAlign w:val="center"/>
          </w:tcPr>
          <w:p w14:paraId="5BF748AA">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 含</w:t>
            </w:r>
            <w:r>
              <w:rPr>
                <w:rFonts w:hint="eastAsia" w:ascii="宋体" w:hAnsi="宋体"/>
                <w:kern w:val="0"/>
                <w:sz w:val="21"/>
                <w:szCs w:val="21"/>
              </w:rPr>
              <w:t>进线柜、低压成套开关设备-IT维修旁路柜、低压成套开关设备-动力维修旁路柜、预制铜排和可视化监控系统</w:t>
            </w:r>
            <w:r>
              <w:rPr>
                <w:rFonts w:hint="eastAsia" w:ascii="宋体" w:hAnsi="宋体"/>
                <w:sz w:val="21"/>
                <w:szCs w:val="21"/>
              </w:rPr>
              <w:t>≥</w:t>
            </w:r>
            <w:r>
              <w:rPr>
                <w:rFonts w:hint="eastAsia" w:ascii="宋体" w:hAnsi="宋体"/>
                <w:kern w:val="0"/>
                <w:sz w:val="21"/>
                <w:szCs w:val="21"/>
              </w:rPr>
              <w:t>4套；低压成套开关设备-IT UPS输出馈线柜</w:t>
            </w:r>
            <w:r>
              <w:rPr>
                <w:rFonts w:hint="eastAsia" w:ascii="宋体" w:hAnsi="宋体"/>
                <w:sz w:val="21"/>
                <w:szCs w:val="21"/>
              </w:rPr>
              <w:t>≥</w:t>
            </w:r>
            <w:r>
              <w:rPr>
                <w:rFonts w:ascii="宋体" w:hAnsi="宋体"/>
                <w:kern w:val="0"/>
                <w:sz w:val="21"/>
                <w:szCs w:val="21"/>
              </w:rPr>
              <w:t>2</w:t>
            </w:r>
            <w:r>
              <w:rPr>
                <w:rFonts w:hint="eastAsia" w:ascii="宋体" w:hAnsi="宋体"/>
                <w:kern w:val="0"/>
                <w:sz w:val="21"/>
                <w:szCs w:val="21"/>
              </w:rPr>
              <w:t>套。各部件要求统一颜色、尺寸。</w:t>
            </w:r>
          </w:p>
        </w:tc>
      </w:tr>
      <w:tr w14:paraId="3572E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 w:hRule="atLeast"/>
          <w:jc w:val="center"/>
        </w:trPr>
        <w:tc>
          <w:tcPr>
            <w:tcW w:w="454" w:type="pct"/>
            <w:vMerge w:val="continue"/>
            <w:vAlign w:val="center"/>
          </w:tcPr>
          <w:p w14:paraId="66BFFE8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7619893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0CE18F0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kern w:val="0"/>
                <w:sz w:val="21"/>
                <w:szCs w:val="21"/>
              </w:rPr>
              <w:t>2. 配电系统内部含有相关电气、电源设备所有一/二次接线接口、开关设备参数整定、模块内系统调试均由设备供应商在工厂预制化生产的集成化配电产品；</w:t>
            </w:r>
          </w:p>
          <w:p w14:paraId="4326F596">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kern w:val="0"/>
                <w:sz w:val="21"/>
                <w:szCs w:val="21"/>
              </w:rPr>
              <w:t>配电系统对外一/二次接口实现统一化、简单化。</w:t>
            </w:r>
          </w:p>
          <w:p w14:paraId="69AE4011">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3. 配电系统中的所有部件，如低压柜、UPS、馈线柜、铜排等所有部件集中管理，有统一的管理界面，具备实时监测功能。</w:t>
            </w:r>
          </w:p>
          <w:p w14:paraId="4C3C0F49">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4．开关设备防护等级IP20，在所有位置（接通、试验、断开）均可保持低压开关柜原有的防护等级。</w:t>
            </w:r>
          </w:p>
          <w:p w14:paraId="4A91C91A">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5. 开关柜应为由钢板外壳封闭的刚性、自承式独立结构，并应能承受所安装元件和短路时产生的动、热稳定。框架、门板和元件安装板均采用厚度</w:t>
            </w:r>
            <w:r>
              <w:rPr>
                <w:rFonts w:hint="eastAsia" w:ascii="宋体" w:hAnsi="宋体"/>
                <w:sz w:val="21"/>
                <w:szCs w:val="21"/>
              </w:rPr>
              <w:t>≥</w:t>
            </w:r>
            <w:r>
              <w:rPr>
                <w:rFonts w:hint="eastAsia" w:ascii="宋体" w:hAnsi="宋体"/>
                <w:kern w:val="0"/>
                <w:sz w:val="21"/>
                <w:szCs w:val="21"/>
              </w:rPr>
              <w:t>1.5mm的冷轧钢板。</w:t>
            </w:r>
          </w:p>
        </w:tc>
      </w:tr>
      <w:tr w14:paraId="08418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3" w:hRule="atLeast"/>
          <w:jc w:val="center"/>
        </w:trPr>
        <w:tc>
          <w:tcPr>
            <w:tcW w:w="454" w:type="pct"/>
            <w:vMerge w:val="continue"/>
            <w:vAlign w:val="center"/>
          </w:tcPr>
          <w:p w14:paraId="354DDA5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23E0A23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56BF5D6E">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6. 开关柜应具有内部燃弧故障耐受能力，当出现内部燃弧故障时，开关柜隔室的结构应能承受三相短路产生的电弧或游离气体所产生的压力而不造成损坏，并且防止电弧对操作人员造成伤害。</w:t>
            </w:r>
          </w:p>
          <w:p w14:paraId="56C86A69">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7. 预制母排采用三相五线制，选用国标T2电解铜材制造，铜排纯度在99.95%以上。母排表面光洁并进行防氧化处理。屏内N排的截面积规格和相排一致，选用的铜母线截面满足国家规定的额定短时耐受电流和额定峰值所产生的热应力和电动力要求。预制一体化配电系统内母排须出厂时预制完成，便于现场安装。</w:t>
            </w:r>
          </w:p>
        </w:tc>
      </w:tr>
      <w:tr w14:paraId="13F79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454" w:type="pct"/>
            <w:vMerge w:val="continue"/>
            <w:vAlign w:val="center"/>
          </w:tcPr>
          <w:p w14:paraId="46ED377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67C932A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4DE8AD8B">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b/>
                <w:bCs/>
                <w:color w:val="FF0000"/>
                <w:sz w:val="21"/>
                <w:szCs w:val="21"/>
              </w:rPr>
              <w:t>▲</w:t>
            </w:r>
            <w:r>
              <w:rPr>
                <w:rFonts w:hint="eastAsia" w:ascii="宋体" w:hAnsi="宋体"/>
                <w:b/>
                <w:bCs/>
                <w:color w:val="FF0000"/>
                <w:kern w:val="0"/>
                <w:sz w:val="21"/>
                <w:szCs w:val="21"/>
              </w:rPr>
              <w:t>8.提供所投2.</w:t>
            </w:r>
            <w:r>
              <w:rPr>
                <w:rFonts w:ascii="宋体" w:hAnsi="宋体"/>
                <w:b/>
                <w:bCs/>
                <w:color w:val="FF0000"/>
                <w:kern w:val="0"/>
                <w:sz w:val="21"/>
                <w:szCs w:val="21"/>
              </w:rPr>
              <w:t>4MW</w:t>
            </w:r>
            <w:r>
              <w:rPr>
                <w:rFonts w:hint="eastAsia" w:ascii="宋体" w:hAnsi="宋体"/>
                <w:b/>
                <w:bCs/>
                <w:color w:val="FF0000"/>
                <w:kern w:val="0"/>
                <w:sz w:val="21"/>
                <w:szCs w:val="21"/>
              </w:rPr>
              <w:t>配电柜系统中柜体的内燃弧检验报告、EMC电磁兼容检验报告、盐雾检测报告、节能认证检测报告及泰尔检测报告，上述5项报告检测结果均合格。</w:t>
            </w:r>
            <w:r>
              <w:rPr>
                <w:rFonts w:hint="eastAsia" w:ascii="宋体" w:hAnsi="宋体"/>
                <w:b/>
                <w:bCs/>
                <w:color w:val="FF0000"/>
                <w:sz w:val="21"/>
                <w:szCs w:val="21"/>
              </w:rPr>
              <w:t>（投标时需提供第三方检测机构出具具有“CNAS”或“CMA”标识的检测/检验报告。</w:t>
            </w:r>
            <w:r>
              <w:rPr>
                <w:rFonts w:hint="eastAsia" w:ascii="宋体" w:hAnsi="宋体"/>
                <w:b/>
                <w:bCs/>
                <w:color w:val="FF0000"/>
                <w:kern w:val="0"/>
                <w:sz w:val="21"/>
                <w:szCs w:val="21"/>
              </w:rPr>
              <w:t>上述资料均要求提供扫描件或复印件，并加盖投标人公章</w:t>
            </w:r>
            <w:r>
              <w:rPr>
                <w:rFonts w:hint="eastAsia" w:ascii="宋体" w:hAnsi="宋体"/>
                <w:b/>
                <w:bCs/>
                <w:color w:val="FF0000"/>
                <w:sz w:val="21"/>
                <w:szCs w:val="21"/>
              </w:rPr>
              <w:t>）</w:t>
            </w:r>
          </w:p>
        </w:tc>
      </w:tr>
      <w:tr w14:paraId="194F3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454" w:type="pct"/>
            <w:vMerge w:val="continue"/>
            <w:vAlign w:val="center"/>
          </w:tcPr>
          <w:p w14:paraId="5657B71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31EB6B0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3C2D415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color w:val="FF0000"/>
                <w:sz w:val="21"/>
                <w:szCs w:val="21"/>
              </w:rPr>
              <w:t>▲</w:t>
            </w:r>
            <w:r>
              <w:rPr>
                <w:rFonts w:hint="eastAsia" w:ascii="宋体" w:hAnsi="宋体"/>
                <w:color w:val="FF0000"/>
                <w:kern w:val="0"/>
                <w:sz w:val="21"/>
                <w:szCs w:val="21"/>
              </w:rPr>
              <w:t>9.</w:t>
            </w:r>
            <w:r>
              <w:rPr>
                <w:rFonts w:hint="eastAsia" w:ascii="宋体" w:hAnsi="宋体"/>
                <w:b/>
                <w:bCs/>
                <w:color w:val="FF0000"/>
                <w:kern w:val="0"/>
                <w:sz w:val="21"/>
                <w:szCs w:val="21"/>
              </w:rPr>
              <w:t>柜内母线应选用国标T2电解铜材制造，导电率不低于98%，纯度不低于99.97%，</w:t>
            </w:r>
            <w:r>
              <w:rPr>
                <w:rFonts w:hint="eastAsia" w:ascii="宋体" w:hAnsi="宋体"/>
                <w:kern w:val="0"/>
                <w:sz w:val="21"/>
                <w:szCs w:val="21"/>
              </w:rPr>
              <w:t>且母排载流量满足对应的UPS容量和招标方提供一次系统图的要求。（</w:t>
            </w:r>
            <w:r>
              <w:rPr>
                <w:rFonts w:hint="eastAsia" w:ascii="宋体" w:hAnsi="宋体"/>
                <w:b/>
                <w:bCs/>
                <w:color w:val="FF0000"/>
                <w:sz w:val="21"/>
                <w:szCs w:val="21"/>
              </w:rPr>
              <w:t>投标时需提供第三方检测机构出具具有“CNAS”或“CMA”标识的检测/检验报告扫描件或复印件，</w:t>
            </w:r>
            <w:r>
              <w:rPr>
                <w:rFonts w:hint="eastAsia" w:ascii="宋体" w:hAnsi="宋体"/>
                <w:b/>
                <w:bCs/>
                <w:color w:val="FF0000"/>
                <w:kern w:val="0"/>
                <w:sz w:val="21"/>
                <w:szCs w:val="21"/>
              </w:rPr>
              <w:t>并加盖投标人公章</w:t>
            </w:r>
            <w:r>
              <w:rPr>
                <w:rFonts w:hint="eastAsia" w:ascii="宋体" w:hAnsi="宋体"/>
                <w:kern w:val="0"/>
                <w:sz w:val="21"/>
                <w:szCs w:val="21"/>
              </w:rPr>
              <w:t>）</w:t>
            </w:r>
          </w:p>
        </w:tc>
      </w:tr>
      <w:tr w14:paraId="1C33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3" w:hRule="atLeast"/>
          <w:jc w:val="center"/>
        </w:trPr>
        <w:tc>
          <w:tcPr>
            <w:tcW w:w="454" w:type="pct"/>
            <w:vMerge w:val="continue"/>
            <w:vAlign w:val="center"/>
          </w:tcPr>
          <w:p w14:paraId="32FAE4D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3671789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4FF39885">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w:t>
            </w:r>
            <w:r>
              <w:rPr>
                <w:rFonts w:hint="eastAsia" w:ascii="宋体" w:hAnsi="宋体"/>
                <w:kern w:val="0"/>
                <w:sz w:val="21"/>
                <w:szCs w:val="21"/>
              </w:rPr>
              <w:t>10. 如无特殊说明， 630A以上电流等级采用框架断路器，630A及以下采用塑壳断路器。框架式断路器开关智能控制单元功能包括：可调整长延时保护、可调整短延时保护、可调整瞬时脱扣保护；断路器三段保护、四段保护需根据图纸要求选择即可；控制单元需具备显示界面及设置按键，方便设置参数，支持后续功能扩充。</w:t>
            </w:r>
          </w:p>
        </w:tc>
      </w:tr>
      <w:tr w14:paraId="1D25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454" w:type="pct"/>
            <w:vMerge w:val="continue"/>
            <w:vAlign w:val="center"/>
          </w:tcPr>
          <w:p w14:paraId="2FD6B66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D3F4F6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5EC822DA">
            <w:pPr>
              <w:pStyle w:val="18"/>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▲11</w:t>
            </w:r>
            <w:r>
              <w:rPr>
                <w:rFonts w:hint="eastAsia"/>
                <w:sz w:val="21"/>
                <w:szCs w:val="21"/>
              </w:rPr>
              <w:t>所投产品应具有整体稳定性，</w:t>
            </w:r>
            <w:r>
              <w:rPr>
                <w:rFonts w:hint="eastAsia" w:ascii="宋体" w:hAnsi="宋体"/>
                <w:b/>
                <w:bCs/>
                <w:color w:val="FF0000"/>
                <w:kern w:val="0"/>
                <w:sz w:val="21"/>
                <w:szCs w:val="21"/>
              </w:rPr>
              <w:t>提供所投产品的检测报告，检测报告内容需涵盖系统性能指标、系统功能、系统可靠性、系统特性、软件测试评估、配电系统测试检测项目，检测结果均为合格。</w:t>
            </w:r>
            <w:r>
              <w:rPr>
                <w:rFonts w:hint="eastAsia" w:ascii="宋体" w:hAnsi="宋体"/>
                <w:color w:val="FF0000"/>
                <w:kern w:val="0"/>
                <w:sz w:val="21"/>
                <w:szCs w:val="21"/>
              </w:rPr>
              <w:t>（</w:t>
            </w:r>
            <w:r>
              <w:rPr>
                <w:rFonts w:hint="eastAsia" w:ascii="宋体" w:hAnsi="宋体"/>
                <w:b/>
                <w:bCs/>
                <w:color w:val="FF0000"/>
                <w:sz w:val="21"/>
                <w:szCs w:val="21"/>
              </w:rPr>
              <w:t>投标时需提供第三方检测机构出具具有“CNAS”或“CMA”标识的检测/检验报告扫描件或复印件，</w:t>
            </w:r>
            <w:r>
              <w:rPr>
                <w:rFonts w:hint="eastAsia" w:ascii="宋体" w:hAnsi="宋体"/>
                <w:b/>
                <w:bCs/>
                <w:color w:val="FF0000"/>
                <w:kern w:val="0"/>
                <w:sz w:val="21"/>
                <w:szCs w:val="21"/>
              </w:rPr>
              <w:t>并加盖投标人公章</w:t>
            </w:r>
            <w:r>
              <w:rPr>
                <w:rFonts w:hint="eastAsia" w:ascii="宋体" w:hAnsi="宋体"/>
                <w:color w:val="FF0000"/>
                <w:kern w:val="0"/>
                <w:sz w:val="21"/>
                <w:szCs w:val="21"/>
              </w:rPr>
              <w:t>）</w:t>
            </w:r>
          </w:p>
        </w:tc>
      </w:tr>
      <w:tr w14:paraId="7339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454" w:type="pct"/>
            <w:vMerge w:val="continue"/>
            <w:vAlign w:val="center"/>
          </w:tcPr>
          <w:p w14:paraId="717DF77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3D6ADA8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52284FED">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12. 电力模块监控管理系统应有统一的管理界面，具备实时监测和故障告警功能。智能监控模块应能够实时测量单相与三相电流、电压、频率、有功功率、无功功率、视在功率、功率因数、电压、电流、0～63次谐波（总谐波畸变，分次谐波）等全电量参数，提供实时工作状态信息；具有故障录波功能；具有事故记录功能。</w:t>
            </w:r>
          </w:p>
          <w:p w14:paraId="14F5325B">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w:t>
            </w:r>
            <w:r>
              <w:rPr>
                <w:rFonts w:hint="eastAsia" w:ascii="宋体" w:hAnsi="宋体"/>
                <w:kern w:val="0"/>
                <w:sz w:val="21"/>
                <w:szCs w:val="21"/>
                <w:lang w:val="en-US" w:eastAsia="zh-CN"/>
              </w:rPr>
              <w:t>3</w:t>
            </w:r>
            <w:r>
              <w:rPr>
                <w:rFonts w:hint="eastAsia" w:ascii="宋体" w:hAnsi="宋体"/>
                <w:kern w:val="0"/>
                <w:sz w:val="21"/>
                <w:szCs w:val="21"/>
              </w:rPr>
              <w:t>. 保障集中监控管理系统与各机柜的通信与检测能独立不互相影响，应在每台设备设置一个独立的监控单元，该监控单元能独立运行自行监控柜内的电压、电流、温度及柜内部件和模块的运行状态；或每台设备各个回路配置智能仪表、温度监测装置来监控回路电压、电流、温度等参量。</w:t>
            </w:r>
            <w:r>
              <w:rPr>
                <w:rFonts w:hint="eastAsia" w:ascii="宋体" w:hAnsi="宋体"/>
                <w:kern w:val="0"/>
                <w:sz w:val="21"/>
                <w:szCs w:val="21"/>
                <w:lang w:val="en-US" w:eastAsia="zh-CN"/>
              </w:rPr>
              <w:t>同时</w:t>
            </w:r>
            <w:r>
              <w:rPr>
                <w:rFonts w:hint="eastAsia" w:ascii="宋体" w:hAnsi="宋体"/>
                <w:kern w:val="0"/>
                <w:sz w:val="21"/>
                <w:szCs w:val="21"/>
              </w:rPr>
              <w:t>每套一体化电源系统配置一套监控管理系统，安装在一体化电源系统设备上，可监控本套一体化电源系统的配电柜、UPS设备等设备参数，进行统一集中式管理，通过统一接口将监控参数上传到后台集中监控装置。二次监控线路在工厂内预制好，可现场实现快速连接。</w:t>
            </w:r>
          </w:p>
        </w:tc>
      </w:tr>
      <w:tr w14:paraId="5DA7E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6" w:hRule="atLeast"/>
          <w:jc w:val="center"/>
        </w:trPr>
        <w:tc>
          <w:tcPr>
            <w:tcW w:w="454" w:type="pct"/>
            <w:vMerge w:val="continue"/>
            <w:vAlign w:val="center"/>
          </w:tcPr>
          <w:p w14:paraId="425EBF5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388ACEC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61BC1ED6">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b/>
                <w:bCs/>
                <w:color w:val="FF0000"/>
                <w:kern w:val="0"/>
                <w:sz w:val="21"/>
                <w:szCs w:val="21"/>
              </w:rPr>
              <w:t>▲</w:t>
            </w:r>
            <w:r>
              <w:rPr>
                <w:rFonts w:hint="eastAsia" w:ascii="宋体" w:hAnsi="宋体"/>
                <w:b/>
                <w:bCs/>
                <w:color w:val="FF0000"/>
                <w:sz w:val="21"/>
                <w:szCs w:val="21"/>
              </w:rPr>
              <w:t>1</w:t>
            </w:r>
            <w:r>
              <w:rPr>
                <w:rFonts w:hint="eastAsia" w:ascii="宋体" w:hAnsi="宋体"/>
                <w:b/>
                <w:bCs/>
                <w:color w:val="FF0000"/>
                <w:sz w:val="21"/>
                <w:szCs w:val="21"/>
                <w:lang w:val="en-US" w:eastAsia="zh-CN"/>
              </w:rPr>
              <w:t>4</w:t>
            </w:r>
            <w:r>
              <w:rPr>
                <w:rFonts w:hint="eastAsia" w:ascii="宋体" w:hAnsi="宋体"/>
                <w:b/>
                <w:bCs/>
                <w:color w:val="FF0000"/>
                <w:sz w:val="21"/>
                <w:szCs w:val="21"/>
              </w:rPr>
              <w:t>.为了提供供配电系统可用性，减少维护时间，关键部件（即：（1）SVG模块；（2）馈线柜监控单元或断路器单元；（3）集中监控主控单元；（4）UPS功率模块、静态旁路模块、监控模块）采用热插拔形式。（投标时需提供第三方检测机构出具的检验/检测报告扫描件或复印件，并加盖投标人公章）</w:t>
            </w:r>
          </w:p>
        </w:tc>
      </w:tr>
      <w:tr w14:paraId="3944B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Align w:val="center"/>
          </w:tcPr>
          <w:p w14:paraId="598EA55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7</w:t>
            </w:r>
          </w:p>
        </w:tc>
        <w:tc>
          <w:tcPr>
            <w:tcW w:w="1056" w:type="pct"/>
            <w:vAlign w:val="center"/>
          </w:tcPr>
          <w:p w14:paraId="17BA7EE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电缆及桥架（</w:t>
            </w:r>
            <w:r>
              <w:rPr>
                <w:rFonts w:hint="eastAsia" w:ascii="宋体" w:hAnsi="宋体"/>
                <w:kern w:val="0"/>
                <w:sz w:val="21"/>
                <w:szCs w:val="21"/>
              </w:rPr>
              <w:t>变电所出线至机房电缆及桥架</w:t>
            </w:r>
            <w:r>
              <w:rPr>
                <w:rFonts w:hint="eastAsia" w:ascii="宋体" w:hAnsi="宋体"/>
                <w:sz w:val="21"/>
                <w:szCs w:val="21"/>
              </w:rPr>
              <w:t>）</w:t>
            </w:r>
          </w:p>
        </w:tc>
        <w:tc>
          <w:tcPr>
            <w:tcW w:w="3489" w:type="pct"/>
            <w:vAlign w:val="center"/>
          </w:tcPr>
          <w:p w14:paraId="62502553">
            <w:pPr>
              <w:pStyle w:val="58"/>
              <w:keepNext w:val="0"/>
              <w:keepLines w:val="0"/>
              <w:pageBreakBefore w:val="0"/>
              <w:kinsoku/>
              <w:wordWrap/>
              <w:overflowPunct/>
              <w:topLinePunct w:val="0"/>
              <w:bidi w:val="0"/>
              <w:spacing w:before="156" w:beforeLines="50" w:line="276" w:lineRule="auto"/>
              <w:ind w:firstLine="0" w:firstLineChars="0"/>
              <w:rPr>
                <w:rFonts w:ascii="宋体" w:hAnsi="宋体"/>
                <w:sz w:val="21"/>
                <w:szCs w:val="21"/>
              </w:rPr>
            </w:pPr>
            <w:r>
              <w:rPr>
                <w:rFonts w:hint="eastAsia" w:ascii="宋体" w:hAnsi="宋体"/>
                <w:kern w:val="0"/>
                <w:sz w:val="21"/>
                <w:szCs w:val="21"/>
              </w:rPr>
              <w:t>1.包括变电所至机房电缆及桥架，包括小母线至机柜配电电缆及套管。采用ZA-YJV电缆；桥架为金属封闭式桥架,</w:t>
            </w:r>
            <w:r>
              <w:rPr>
                <w:rFonts w:hint="eastAsia" w:ascii="宋体" w:hAnsi="宋体"/>
                <w:sz w:val="21"/>
                <w:szCs w:val="21"/>
              </w:rPr>
              <w:t>必须强度大，结构轻，配线灵活，安装标准，维护检修方便、安全，造型美观，线形流畅，表面平整光洁，无毛刺，过烧，挂灰等，色彩协调。30年内满足不变形、不锈蚀、不褪色、不霉变的要求。</w:t>
            </w:r>
          </w:p>
          <w:p w14:paraId="5719025D">
            <w:pPr>
              <w:pStyle w:val="58"/>
              <w:keepNext w:val="0"/>
              <w:keepLines w:val="0"/>
              <w:pageBreakBefore w:val="0"/>
              <w:kinsoku/>
              <w:wordWrap/>
              <w:overflowPunct/>
              <w:topLinePunct w:val="0"/>
              <w:bidi w:val="0"/>
              <w:spacing w:before="156" w:beforeLines="50" w:line="276" w:lineRule="auto"/>
              <w:ind w:firstLine="0" w:firstLineChars="0"/>
              <w:rPr>
                <w:rFonts w:ascii="宋体" w:hAnsi="宋体"/>
                <w:sz w:val="21"/>
                <w:szCs w:val="21"/>
              </w:rPr>
            </w:pPr>
            <w:r>
              <w:rPr>
                <w:rFonts w:ascii="宋体" w:hAnsi="宋体"/>
                <w:kern w:val="0"/>
                <w:sz w:val="21"/>
                <w:szCs w:val="21"/>
              </w:rPr>
              <w:t>2</w:t>
            </w:r>
            <w:r>
              <w:rPr>
                <w:rFonts w:hint="eastAsia" w:ascii="宋体" w:hAnsi="宋体"/>
                <w:kern w:val="0"/>
                <w:sz w:val="21"/>
                <w:szCs w:val="21"/>
              </w:rPr>
              <w:t>.所有装置、材料和工艺须符合相应的国家规范和批准的相等国际标准及当地有关部门的要求。</w:t>
            </w:r>
            <w:r>
              <w:rPr>
                <w:rFonts w:hint="eastAsia" w:ascii="宋体" w:hAnsi="宋体"/>
                <w:sz w:val="21"/>
                <w:szCs w:val="21"/>
              </w:rPr>
              <w:t>相同桥架和相同部件的结构、性能参数、尺寸和公差配合，应完全相同，保证互换性。</w:t>
            </w:r>
          </w:p>
          <w:p w14:paraId="0A9DA5A7">
            <w:pPr>
              <w:pStyle w:val="58"/>
              <w:keepNext w:val="0"/>
              <w:keepLines w:val="0"/>
              <w:pageBreakBefore w:val="0"/>
              <w:kinsoku/>
              <w:wordWrap/>
              <w:overflowPunct/>
              <w:topLinePunct w:val="0"/>
              <w:bidi w:val="0"/>
              <w:spacing w:before="156" w:beforeLines="50" w:line="276" w:lineRule="auto"/>
              <w:ind w:firstLine="0" w:firstLineChars="0"/>
              <w:rPr>
                <w:rFonts w:ascii="宋体" w:hAnsi="宋体"/>
                <w:sz w:val="21"/>
                <w:szCs w:val="21"/>
              </w:rPr>
            </w:pPr>
            <w:r>
              <w:rPr>
                <w:rFonts w:ascii="宋体" w:hAnsi="宋体"/>
                <w:sz w:val="21"/>
                <w:szCs w:val="21"/>
              </w:rPr>
              <w:t>3</w:t>
            </w:r>
            <w:r>
              <w:rPr>
                <w:rFonts w:hint="eastAsia" w:ascii="宋体" w:hAnsi="宋体"/>
                <w:sz w:val="21"/>
                <w:szCs w:val="21"/>
              </w:rPr>
              <w:t>.电缆绝缘要求：绝缘材料采用交联聚乙烯材质，绝缘标称厚度应符合GB/T12527-2008，绝缘表面应光滑，色泽均匀：绝缘层的横断面上应无目力可见的气泡和沙眼等缺陷，禁止使用重新（二次）处理过的绝缘材料。</w:t>
            </w:r>
          </w:p>
          <w:p w14:paraId="30A6512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ascii="宋体" w:hAnsi="宋体"/>
                <w:sz w:val="21"/>
                <w:szCs w:val="21"/>
              </w:rPr>
              <w:t>4</w:t>
            </w:r>
            <w:r>
              <w:rPr>
                <w:rFonts w:hint="eastAsia" w:ascii="宋体" w:hAnsi="宋体"/>
                <w:sz w:val="21"/>
                <w:szCs w:val="21"/>
              </w:rPr>
              <w:t>.护套要求：所有低压电缆应有外护套，护套材料使用交联聚乙烯，应有良好的防腐蚀、防蚁、防潮和阻燃性能。外护套通常为黑色，应与规定的电缆运行温度相适应。外护套应经受规定的火花试验。</w:t>
            </w:r>
          </w:p>
        </w:tc>
      </w:tr>
      <w:tr w14:paraId="597F2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454" w:type="pct"/>
            <w:vMerge w:val="restart"/>
            <w:shd w:val="clear" w:color="auto" w:fill="auto"/>
            <w:vAlign w:val="center"/>
          </w:tcPr>
          <w:p w14:paraId="2C352BB1">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r>
              <w:rPr>
                <w:rFonts w:hint="eastAsia" w:eastAsia="仿宋_GB2312" w:cs="Times New Roman"/>
                <w:sz w:val="21"/>
                <w:szCs w:val="21"/>
              </w:rPr>
              <w:t>8</w:t>
            </w:r>
          </w:p>
        </w:tc>
        <w:tc>
          <w:tcPr>
            <w:tcW w:w="1056" w:type="pct"/>
            <w:vMerge w:val="restart"/>
            <w:shd w:val="clear" w:color="auto" w:fill="auto"/>
            <w:vAlign w:val="center"/>
          </w:tcPr>
          <w:p w14:paraId="1D7DD4F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小母线（含10KW机柜用机房小母线6套；15KW机柜用机房小母线4套）</w:t>
            </w:r>
          </w:p>
        </w:tc>
        <w:tc>
          <w:tcPr>
            <w:tcW w:w="3489" w:type="pct"/>
            <w:shd w:val="clear" w:color="auto" w:fill="auto"/>
            <w:vAlign w:val="center"/>
          </w:tcPr>
          <w:p w14:paraId="628311E9">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 10个微模块机房内小母线全套设备</w:t>
            </w:r>
            <w:r>
              <w:rPr>
                <w:rFonts w:hint="eastAsia" w:ascii="宋体" w:hAnsi="宋体"/>
                <w:sz w:val="21"/>
                <w:szCs w:val="21"/>
              </w:rPr>
              <w:t>；</w:t>
            </w:r>
            <w:r>
              <w:rPr>
                <w:rFonts w:hint="eastAsia" w:ascii="宋体" w:hAnsi="宋体"/>
                <w:kern w:val="0"/>
                <w:sz w:val="21"/>
                <w:szCs w:val="21"/>
              </w:rPr>
              <w:t>为保证微模块整体空间利用率，小母线系统应不占用机柜空间，可设置为机柜上方安装方式。母线配电架构为三相五线制，其中零线和地线应配置独立的铜排母线应采用智能管理系统，可以将母线中的温湿度、电压、电流、频率等基础参数统一采集监测。</w:t>
            </w:r>
          </w:p>
        </w:tc>
      </w:tr>
      <w:tr w14:paraId="031D2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454" w:type="pct"/>
            <w:vMerge w:val="continue"/>
            <w:shd w:val="clear" w:color="auto" w:fill="auto"/>
            <w:vAlign w:val="center"/>
          </w:tcPr>
          <w:p w14:paraId="1A09003B">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1056" w:type="pct"/>
            <w:vMerge w:val="continue"/>
            <w:shd w:val="clear" w:color="auto" w:fill="auto"/>
            <w:vAlign w:val="center"/>
          </w:tcPr>
          <w:p w14:paraId="01EE0D5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6548E12">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lang w:val="en-US" w:eastAsia="zh-CN"/>
              </w:rPr>
              <w:t>2</w:t>
            </w:r>
            <w:r>
              <w:rPr>
                <w:rFonts w:hint="eastAsia" w:ascii="宋体" w:hAnsi="宋体"/>
                <w:b/>
                <w:bCs/>
                <w:color w:val="FF0000"/>
                <w:kern w:val="0"/>
                <w:sz w:val="21"/>
                <w:szCs w:val="21"/>
              </w:rPr>
              <w:t>.母线槽产品具备抗8、9级烈度抗地震的能力，并在投标时提供检测结论是“经过8，9级烈度抗地震试验合格”的泰尔检测报告。（投标时需提供第三方检测机构出具的检验/检测报告扫描件或复印件，并加盖投标人公章）</w:t>
            </w:r>
          </w:p>
        </w:tc>
      </w:tr>
      <w:tr w14:paraId="602A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454" w:type="pct"/>
            <w:vMerge w:val="continue"/>
            <w:shd w:val="clear" w:color="auto" w:fill="auto"/>
            <w:vAlign w:val="center"/>
          </w:tcPr>
          <w:p w14:paraId="6CEF30D8">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1056" w:type="pct"/>
            <w:vMerge w:val="continue"/>
            <w:shd w:val="clear" w:color="auto" w:fill="auto"/>
            <w:vAlign w:val="center"/>
          </w:tcPr>
          <w:p w14:paraId="15BF41D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76B2018">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sz w:val="21"/>
                <w:szCs w:val="21"/>
                <w:lang w:val="en-US" w:eastAsia="zh-CN"/>
              </w:rPr>
              <w:t>3</w:t>
            </w:r>
            <w:r>
              <w:rPr>
                <w:rFonts w:hint="eastAsia" w:ascii="宋体" w:hAnsi="宋体"/>
                <w:sz w:val="21"/>
                <w:szCs w:val="21"/>
              </w:rPr>
              <w:t>.额定工作电压380V AC/400V AC/415V AC,额定频率为50Hz，额定短时耐受电流6kA，额定绝缘电压：690V AC，防护等级IP30。</w:t>
            </w:r>
          </w:p>
        </w:tc>
      </w:tr>
      <w:tr w14:paraId="1EB5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454" w:type="pct"/>
            <w:vMerge w:val="continue"/>
            <w:shd w:val="clear" w:color="auto" w:fill="auto"/>
            <w:vAlign w:val="center"/>
          </w:tcPr>
          <w:p w14:paraId="2EE1A172">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1056" w:type="pct"/>
            <w:vMerge w:val="continue"/>
            <w:shd w:val="clear" w:color="auto" w:fill="auto"/>
            <w:vAlign w:val="center"/>
          </w:tcPr>
          <w:p w14:paraId="0FB0C79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28A7CE6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4</w:t>
            </w:r>
            <w:r>
              <w:rPr>
                <w:rFonts w:hint="eastAsia" w:ascii="宋体" w:hAnsi="宋体"/>
                <w:kern w:val="0"/>
                <w:sz w:val="21"/>
                <w:szCs w:val="21"/>
              </w:rPr>
              <w:t>.母线导体采用铜及铜合金材质，铜排全线段任何位置有效截面积的载流量满足要求电流值、</w:t>
            </w:r>
            <w:r>
              <w:rPr>
                <w:rFonts w:hint="eastAsia" w:ascii="宋体" w:hAnsi="宋体"/>
                <w:b/>
                <w:bCs/>
                <w:color w:val="FF0000"/>
                <w:kern w:val="0"/>
                <w:sz w:val="21"/>
                <w:szCs w:val="21"/>
              </w:rPr>
              <w:t>铜排采用T2电解铜，含铜率不低于99.98%、铜排导电率不低于99% IACS（国际退火铜标准）。</w:t>
            </w:r>
            <w:r>
              <w:rPr>
                <w:rFonts w:hint="eastAsia" w:ascii="宋体" w:hAnsi="宋体"/>
                <w:b/>
                <w:bCs/>
                <w:color w:val="FF0000"/>
                <w:sz w:val="21"/>
                <w:szCs w:val="21"/>
              </w:rPr>
              <w:t>（投标时需提供第三方检测机构出具的检验/检测报告扫描件或复印件，并加盖投标人公章）</w:t>
            </w:r>
          </w:p>
        </w:tc>
      </w:tr>
      <w:tr w14:paraId="6155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454" w:type="pct"/>
            <w:vMerge w:val="continue"/>
            <w:shd w:val="clear" w:color="auto" w:fill="auto"/>
            <w:vAlign w:val="center"/>
          </w:tcPr>
          <w:p w14:paraId="6C8FB67E">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1056" w:type="pct"/>
            <w:vMerge w:val="continue"/>
            <w:shd w:val="clear" w:color="auto" w:fill="auto"/>
            <w:vAlign w:val="center"/>
          </w:tcPr>
          <w:p w14:paraId="0074FF0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A54FF4D">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5</w:t>
            </w:r>
            <w:r>
              <w:rPr>
                <w:rFonts w:hint="eastAsia" w:ascii="宋体" w:hAnsi="宋体"/>
                <w:kern w:val="0"/>
                <w:sz w:val="21"/>
                <w:szCs w:val="21"/>
              </w:rPr>
              <w:t>.插接箱配置（16A/32A/63A，1P或2P或3P）断路器应符合IEC60947-2 规定额定运行短路分断能力和额定极限短路分断能力均不低于6kA。</w:t>
            </w:r>
          </w:p>
          <w:p w14:paraId="3DCEDB4E">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6</w:t>
            </w:r>
            <w:r>
              <w:rPr>
                <w:rFonts w:hint="eastAsia" w:ascii="宋体" w:hAnsi="宋体"/>
                <w:kern w:val="0"/>
                <w:sz w:val="21"/>
                <w:szCs w:val="21"/>
              </w:rPr>
              <w:t>. 母线槽应具备智能监测功能，可采集的电气参数包括：（1）输入分路的电压、电流、谐波、频率、功率、电度，输出分路电流、功率、电度、铜排/电缆连接处的实时运行温度。支持北向FE接口(Modbus-MAC协议)或RS485(Modbus-RTU协议)，支持远程查看运行参数和运行状态，设置告警阀值和告警级别。</w:t>
            </w:r>
          </w:p>
          <w:p w14:paraId="55450B5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7</w:t>
            </w:r>
            <w:r>
              <w:rPr>
                <w:rFonts w:hint="eastAsia" w:ascii="宋体" w:hAnsi="宋体"/>
                <w:kern w:val="0"/>
                <w:sz w:val="21"/>
                <w:szCs w:val="21"/>
              </w:rPr>
              <w:t>.插接箱可安装在母线主体的任意位置，连接器处也可实现插接取电。</w:t>
            </w:r>
            <w:r>
              <w:rPr>
                <w:rFonts w:hint="eastAsia" w:ascii="宋体" w:hAnsi="宋体"/>
                <w:sz w:val="21"/>
                <w:szCs w:val="21"/>
              </w:rPr>
              <w:t>插接箱需具备机械联锁，在安装的时候插接箱具备“先连接，后上电”的安全设计，即插接箱与母线槽完全固定后，插接箱才能通过绝缘手柄控制插接箱插爪的上电，完成上电后自动锁定，降低飞弧风险，保障人员操作安全。</w:t>
            </w:r>
          </w:p>
        </w:tc>
      </w:tr>
      <w:tr w14:paraId="60267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Align w:val="center"/>
          </w:tcPr>
          <w:p w14:paraId="1D8F534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9</w:t>
            </w:r>
          </w:p>
        </w:tc>
        <w:tc>
          <w:tcPr>
            <w:tcW w:w="1056" w:type="pct"/>
            <w:vAlign w:val="center"/>
          </w:tcPr>
          <w:p w14:paraId="4162398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动力配电箱</w:t>
            </w:r>
          </w:p>
        </w:tc>
        <w:tc>
          <w:tcPr>
            <w:tcW w:w="3489" w:type="pct"/>
            <w:vAlign w:val="center"/>
          </w:tcPr>
          <w:p w14:paraId="767D126B">
            <w:pPr>
              <w:keepNext w:val="0"/>
              <w:keepLines w:val="0"/>
              <w:pageBreakBefore w:val="0"/>
              <w:numPr>
                <w:ilvl w:val="0"/>
                <w:numId w:val="7"/>
              </w:numPr>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支持</w:t>
            </w:r>
            <w:bookmarkStart w:id="45" w:name="OLE_LINK1"/>
            <w:r>
              <w:rPr>
                <w:rFonts w:hint="eastAsia" w:ascii="宋体" w:hAnsi="宋体"/>
                <w:kern w:val="0"/>
                <w:sz w:val="21"/>
                <w:szCs w:val="21"/>
              </w:rPr>
              <w:t>配电房，电池室，ECC及机房内</w:t>
            </w:r>
            <w:bookmarkEnd w:id="45"/>
            <w:r>
              <w:rPr>
                <w:rFonts w:hint="eastAsia" w:ascii="宋体" w:hAnsi="宋体"/>
                <w:kern w:val="0"/>
                <w:sz w:val="21"/>
                <w:szCs w:val="21"/>
              </w:rPr>
              <w:t>的配电(含照明插座、精密空调、行级空调、新风排风、事故排风、机柜等配电);额定工作电压 380V，频率 50HZ，工作温度-10℃~+50℃；</w:t>
            </w:r>
            <w:r>
              <w:rPr>
                <w:rFonts w:hint="eastAsia" w:ascii="宋体" w:hAnsi="宋体"/>
                <w:sz w:val="21"/>
                <w:szCs w:val="21"/>
              </w:rPr>
              <w:t>户内配电盘防护等级为IP42，户外和潮湿环境配电盘防护等级为IP55；</w:t>
            </w:r>
          </w:p>
          <w:p w14:paraId="052A9033">
            <w:pPr>
              <w:keepNext w:val="0"/>
              <w:keepLines w:val="0"/>
              <w:pageBreakBefore w:val="0"/>
              <w:numPr>
                <w:ilvl w:val="0"/>
                <w:numId w:val="7"/>
              </w:numPr>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柜（箱体）防护结构包括端子盖/绝缘隔板、金属前面板主门、金属二次内门等组成，最大程度地防止操作人员直接接触母线并防止异物与电气装置接触；防水要求的区域需配置透明钢化玻璃门，保证操作检修人员的安全，又能观察断路器的分合闸状态；</w:t>
            </w:r>
          </w:p>
          <w:p w14:paraId="51990A61">
            <w:pPr>
              <w:keepNext w:val="0"/>
              <w:keepLines w:val="0"/>
              <w:pageBreakBefore w:val="0"/>
              <w:kinsoku/>
              <w:wordWrap/>
              <w:overflowPunct/>
              <w:topLinePunct w:val="0"/>
              <w:bidi w:val="0"/>
              <w:adjustRightInd w:val="0"/>
              <w:snapToGrid w:val="0"/>
              <w:spacing w:line="276" w:lineRule="auto"/>
              <w:rPr>
                <w:rFonts w:ascii="宋体" w:hAnsi="宋体"/>
                <w:sz w:val="21"/>
                <w:szCs w:val="21"/>
              </w:rPr>
            </w:pPr>
            <w:r>
              <w:rPr>
                <w:rFonts w:hint="eastAsia" w:ascii="宋体" w:hAnsi="宋体"/>
                <w:kern w:val="0"/>
                <w:sz w:val="21"/>
                <w:szCs w:val="21"/>
              </w:rPr>
              <w:t>3、柜（箱体）全部门板、侧板采用进口敷铝锌板或优质冷轧钢板组成，外部及内面板作静电喷涂，挂墙箱厚度不小于1.5mm，落地柜厚度不小于2.0mm。断路器具有过载保护、短路保护。</w:t>
            </w:r>
            <w:r>
              <w:rPr>
                <w:rFonts w:hint="eastAsia" w:ascii="宋体" w:hAnsi="宋体"/>
                <w:sz w:val="21"/>
                <w:szCs w:val="21"/>
              </w:rPr>
              <w:t>配电柜/箱中的引入引出线均编上号，表明线路的去向、功用，方便控制、设备管理及检修。</w:t>
            </w:r>
          </w:p>
          <w:p w14:paraId="27C6050A">
            <w:pPr>
              <w:keepNext w:val="0"/>
              <w:keepLines w:val="0"/>
              <w:pageBreakBefore w:val="0"/>
              <w:kinsoku/>
              <w:wordWrap/>
              <w:overflowPunct/>
              <w:topLinePunct w:val="0"/>
              <w:bidi w:val="0"/>
              <w:adjustRightInd w:val="0"/>
              <w:snapToGrid w:val="0"/>
              <w:spacing w:line="276" w:lineRule="auto"/>
              <w:rPr>
                <w:rFonts w:ascii="宋体" w:hAnsi="宋体"/>
                <w:sz w:val="21"/>
                <w:szCs w:val="21"/>
              </w:rPr>
            </w:pPr>
            <w:r>
              <w:rPr>
                <w:rFonts w:hint="eastAsia" w:ascii="宋体" w:hAnsi="宋体"/>
                <w:sz w:val="21"/>
                <w:szCs w:val="21"/>
              </w:rPr>
              <w:t>4、配电柜/箱均采用自动空气开关控制，设置过负荷及短路、防雷保护，主机房配电柜设有电压、电流的检测指示，并有相关的指示报警等功能，同时具有独立的零、地汇流排。考虑今后的扩展要求，配电柜均留出一定的备用容量。</w:t>
            </w:r>
          </w:p>
          <w:p w14:paraId="07DDB79D">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5、箱体制作前应提供详细的实际制作的线路接线图及系统图，开关、多功能仪表等元器件排列图及箱体设计图；电涌保护器等元件按招标图纸设计要求配置，电源线路浪涌保护器在各个位置安装时，浪涌保护器的连接导线应短直，其总长度不宜大于0.5M。</w:t>
            </w:r>
          </w:p>
        </w:tc>
      </w:tr>
      <w:tr w14:paraId="67381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restart"/>
            <w:shd w:val="clear" w:color="auto" w:fill="auto"/>
            <w:vAlign w:val="center"/>
          </w:tcPr>
          <w:p w14:paraId="1FAA980B">
            <w:pPr>
              <w:keepNext w:val="0"/>
              <w:keepLines w:val="0"/>
              <w:pageBreakBefore w:val="0"/>
              <w:widowControl/>
              <w:kinsoku/>
              <w:wordWrap/>
              <w:overflowPunct/>
              <w:topLinePunct w:val="0"/>
              <w:bidi w:val="0"/>
              <w:spacing w:line="276" w:lineRule="auto"/>
              <w:rPr>
                <w:rFonts w:ascii="宋体" w:hAnsi="宋体"/>
                <w:sz w:val="21"/>
                <w:szCs w:val="21"/>
              </w:rPr>
            </w:pPr>
            <w:r>
              <w:rPr>
                <w:rFonts w:hint="eastAsia" w:ascii="宋体" w:hAnsi="宋体"/>
                <w:sz w:val="21"/>
                <w:szCs w:val="21"/>
              </w:rPr>
              <w:t>10</w:t>
            </w:r>
          </w:p>
        </w:tc>
        <w:tc>
          <w:tcPr>
            <w:tcW w:w="1056" w:type="pct"/>
            <w:vMerge w:val="restart"/>
            <w:shd w:val="clear" w:color="auto" w:fill="auto"/>
            <w:vAlign w:val="center"/>
          </w:tcPr>
          <w:p w14:paraId="407BA44E">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水冷型行间空调</w:t>
            </w:r>
          </w:p>
        </w:tc>
        <w:tc>
          <w:tcPr>
            <w:tcW w:w="3489" w:type="pct"/>
            <w:shd w:val="clear" w:color="auto" w:fill="auto"/>
            <w:vAlign w:val="center"/>
          </w:tcPr>
          <w:p w14:paraId="618A25A3">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1、冷冻水行级精密空在工况：回风温度37℃，回风相对湿度24%，供回水温度15/22℃，机外静压0Pa，制冷量≥40KW，风量≥8500（m3/h）。</w:t>
            </w:r>
          </w:p>
          <w:p w14:paraId="71D9BD04">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2. 空调冷冻水盘管应为铜管翅片式换热器，翅片应采用亲水铝箔，以提高换热性能，利于排水和提高防腐性能。</w:t>
            </w:r>
          </w:p>
          <w:p w14:paraId="758DDFD9">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3. 空调机采用无级调速EC风机送风风机，应根据附近机柜的温度自动调节送风量和制冷量；每个风机的状态均可以监控，一旦出现故障可以准确定位故障风机。</w:t>
            </w:r>
          </w:p>
        </w:tc>
      </w:tr>
      <w:tr w14:paraId="31DAE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7FF4B6C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8D0273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189D0AA7">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kern w:val="0"/>
                <w:sz w:val="21"/>
                <w:szCs w:val="21"/>
              </w:rPr>
              <w:t xml:space="preserve">4. </w:t>
            </w:r>
            <w:r>
              <w:rPr>
                <w:rFonts w:hint="eastAsia" w:ascii="宋体" w:hAnsi="宋体"/>
                <w:sz w:val="21"/>
                <w:szCs w:val="21"/>
              </w:rPr>
              <w:t>精密空调应具有良好的防雷性能，防雷能力应不低于6kva。</w:t>
            </w:r>
          </w:p>
          <w:p w14:paraId="2A5EF048">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5. 空调机组应安装空气过滤器，空气过滤器应便于更换，滤网可反复清洗和更换，空气过滤器应具有脏堵检测及报警功能。</w:t>
            </w:r>
          </w:p>
        </w:tc>
      </w:tr>
      <w:tr w14:paraId="0D7FE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2963685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688D2B3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D52DA62">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eastAsia="宋体" w:cs="宋体"/>
                <w:b/>
                <w:bCs/>
                <w:color w:val="FF0000"/>
                <w:sz w:val="21"/>
                <w:szCs w:val="21"/>
              </w:rPr>
              <w:t>▲6. 选配加湿功能空调时、加湿应采用高效的湿膜加湿，最大加湿功耗需小于40W。（投标时提供第三方检测机构出具</w:t>
            </w:r>
            <w:r>
              <w:rPr>
                <w:rFonts w:hint="eastAsia" w:ascii="宋体" w:hAnsi="宋体"/>
                <w:b/>
                <w:bCs/>
                <w:color w:val="FF0000"/>
                <w:sz w:val="21"/>
                <w:szCs w:val="21"/>
              </w:rPr>
              <w:t>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r>
      <w:tr w14:paraId="3E462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2B9525B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2E4F8E2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21297D5">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7</w:t>
            </w:r>
            <w:r>
              <w:rPr>
                <w:rFonts w:hint="eastAsia" w:ascii="宋体" w:hAnsi="宋体"/>
                <w:sz w:val="21"/>
                <w:szCs w:val="21"/>
              </w:rPr>
              <w:t>. 精密空调机组的额定电源规格应该为220~240V、1Ph、50/60Hz；电压允许波动范围：190~260V ；频率允许波动范围±5 Hz（45~65Hz）；应能按要求自动调节室内温、湿度，温度调节范围：+18℃~ +45℃（回风），+15℃~ +35℃（送风）；温度调节精度：±1℃，温度变化率&lt; 5℃/小时；温、湿度波动超限应能发出报警信号。</w:t>
            </w:r>
          </w:p>
          <w:p w14:paraId="5DC47570">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8</w:t>
            </w:r>
            <w:r>
              <w:rPr>
                <w:rFonts w:hint="eastAsia" w:ascii="宋体" w:hAnsi="宋体"/>
                <w:sz w:val="21"/>
                <w:szCs w:val="21"/>
              </w:rPr>
              <w:t>. 空调机组应采用≧</w:t>
            </w:r>
            <w:r>
              <w:rPr>
                <w:rFonts w:hint="eastAsia" w:ascii="宋体" w:hAnsi="宋体"/>
                <w:sz w:val="21"/>
                <w:szCs w:val="21"/>
                <w:lang w:val="en-US" w:eastAsia="zh-CN"/>
              </w:rPr>
              <w:t>2</w:t>
            </w:r>
            <w:r>
              <w:rPr>
                <w:rFonts w:hint="eastAsia" w:ascii="宋体" w:hAnsi="宋体"/>
                <w:sz w:val="21"/>
                <w:szCs w:val="21"/>
              </w:rPr>
              <w:t>个高效、节能、无级调速EC风机送风，应根据附近机柜的温度自动调节送风量和制冷量。每个风机的状态均可以监控，一旦出现故障可以准确定位故障风机。</w:t>
            </w:r>
          </w:p>
        </w:tc>
      </w:tr>
      <w:tr w14:paraId="6F5E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24F94DC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754990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55F03915">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9</w:t>
            </w:r>
            <w:r>
              <w:rPr>
                <w:rFonts w:hint="eastAsia" w:ascii="宋体" w:hAnsi="宋体"/>
                <w:sz w:val="21"/>
                <w:szCs w:val="21"/>
              </w:rPr>
              <w:t>. 具有故障自诊断功能，故障发生后可通过此功能自动判断故障根因，智能排除无关故障原因，指导运维人员快速完成维护，大幅降低运维难度，缩短故障排查时间。</w:t>
            </w:r>
          </w:p>
          <w:p w14:paraId="47F989B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0</w:t>
            </w:r>
            <w:r>
              <w:rPr>
                <w:rFonts w:hint="eastAsia" w:ascii="宋体" w:hAnsi="宋体"/>
                <w:sz w:val="21"/>
                <w:szCs w:val="21"/>
              </w:rPr>
              <w:t>. 精密空调应安装在机柜排当中，采用水平送风方式，机房空调的宽度为600mm，深度为1200mm，高度为2000mm。</w:t>
            </w:r>
          </w:p>
          <w:p w14:paraId="4333DDED">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1</w:t>
            </w:r>
            <w:r>
              <w:rPr>
                <w:rFonts w:hint="eastAsia" w:ascii="宋体" w:hAnsi="宋体"/>
                <w:sz w:val="21"/>
                <w:szCs w:val="21"/>
              </w:rPr>
              <w:t>. 机组应具有一键式故障信息显示和收集功能，应具有大容量的故障报警和操作日志记录储存的功能，存储历史告警信息不小于1500条，操作日志不小于1000条；机组应具有7英寸 LCD触摸真彩屏，人机交互好，界面生动，简单灵活，监测点足够，能显示30天温湿度彩色曲线，具有图形显示机组内各组件运行状态的功能。</w:t>
            </w:r>
          </w:p>
          <w:p w14:paraId="7775C87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2</w:t>
            </w:r>
            <w:r>
              <w:rPr>
                <w:rFonts w:hint="eastAsia" w:ascii="宋体" w:hAnsi="宋体"/>
                <w:sz w:val="21"/>
                <w:szCs w:val="21"/>
              </w:rPr>
              <w:t>. 精密空调输入电缆符合GB/T 5023.5-2008、IEC60227-5：2003等中国国家标准；相关配件应包含进回水钢管及保温，配套蝶阀、温度表、过滤器和压力表设备</w:t>
            </w:r>
          </w:p>
        </w:tc>
      </w:tr>
      <w:tr w14:paraId="7B178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restart"/>
            <w:shd w:val="clear" w:color="auto" w:fill="auto"/>
            <w:vAlign w:val="center"/>
          </w:tcPr>
          <w:p w14:paraId="22665380">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11</w:t>
            </w:r>
          </w:p>
        </w:tc>
        <w:tc>
          <w:tcPr>
            <w:tcW w:w="1056" w:type="pct"/>
            <w:vMerge w:val="restart"/>
            <w:shd w:val="clear" w:color="auto" w:fill="auto"/>
            <w:vAlign w:val="center"/>
          </w:tcPr>
          <w:p w14:paraId="2E577D3F">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水冷型房间级空调</w:t>
            </w:r>
          </w:p>
        </w:tc>
        <w:tc>
          <w:tcPr>
            <w:tcW w:w="3489" w:type="pct"/>
            <w:shd w:val="clear" w:color="auto" w:fill="auto"/>
            <w:vAlign w:val="center"/>
          </w:tcPr>
          <w:p w14:paraId="3C6A643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此房间级空调用于配电房，标准工况下，制冷量≥95kW，风量≥32000m3/h，送风方式：上送风。参考尺寸（W*D*H）：不大于2730mm*996mm*2280mm。标准工况下制冷量应在不高于在回风温度30℃，回风相对湿度不低于30%，供回水温度不低于15/22℃，机外静压20Pa的条件下测定的。</w:t>
            </w:r>
          </w:p>
        </w:tc>
      </w:tr>
      <w:tr w14:paraId="5438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shd w:val="clear" w:color="auto" w:fill="auto"/>
            <w:vAlign w:val="center"/>
          </w:tcPr>
          <w:p w14:paraId="4B097D8A">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1056" w:type="pct"/>
            <w:vMerge w:val="continue"/>
            <w:shd w:val="clear" w:color="auto" w:fill="auto"/>
            <w:vAlign w:val="center"/>
          </w:tcPr>
          <w:p w14:paraId="3AADD1FF">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3489" w:type="pct"/>
            <w:shd w:val="clear" w:color="auto" w:fill="auto"/>
            <w:vAlign w:val="center"/>
          </w:tcPr>
          <w:p w14:paraId="29A7B00E">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▲2. 此房间级空调用于电池间，标准工况下，制冷量≥21.1kW，风量≥11000m3/h。参考尺寸（W*D*H）：不大于1130mm*996mm*2280mm。送风方式：上送。标准工况下制冷量应在不高于在回风温度25℃，回风相对湿度不低于30%，供回水温度不低于15/22℃，机外静压20Pa的条件下测定的。</w:t>
            </w:r>
          </w:p>
        </w:tc>
      </w:tr>
      <w:tr w14:paraId="28086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shd w:val="clear" w:color="auto" w:fill="auto"/>
            <w:vAlign w:val="center"/>
          </w:tcPr>
          <w:p w14:paraId="6DB326BD">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1056" w:type="pct"/>
            <w:vMerge w:val="continue"/>
            <w:shd w:val="clear" w:color="auto" w:fill="auto"/>
            <w:vAlign w:val="center"/>
          </w:tcPr>
          <w:p w14:paraId="36813D4B">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3489" w:type="pct"/>
            <w:shd w:val="clear" w:color="auto" w:fill="auto"/>
            <w:vAlign w:val="center"/>
          </w:tcPr>
          <w:p w14:paraId="4BB120B2">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3. 空调机采用无级调速EC风机送风风机，可根据附近机柜的温度自动调节送风量和制冷量。精密空调应具有良好的防雷性能，防雷能力应不低于6kva。</w:t>
            </w:r>
          </w:p>
          <w:p w14:paraId="160C20FE">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4. 空调机组应安装空气过滤器，空气过滤器应便于更换，滤网可反复清洗和更换，空气过滤器应具有脏堵检测及报警功能。</w:t>
            </w:r>
          </w:p>
        </w:tc>
      </w:tr>
      <w:tr w14:paraId="1B7B0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7F2C06E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2392AE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E58F4F7">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5</w:t>
            </w:r>
            <w:r>
              <w:rPr>
                <w:rFonts w:hint="eastAsia" w:ascii="宋体" w:hAnsi="宋体"/>
                <w:sz w:val="21"/>
                <w:szCs w:val="21"/>
              </w:rPr>
              <w:t>. 精密空调机组的输入电压允许波动范围：380V ±10%；频率允许波动范围频率：50/60 Hz±2 Hz。</w:t>
            </w:r>
          </w:p>
          <w:p w14:paraId="39A9C348">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6</w:t>
            </w:r>
            <w:r>
              <w:rPr>
                <w:rFonts w:hint="eastAsia" w:ascii="宋体" w:hAnsi="宋体"/>
                <w:sz w:val="21"/>
                <w:szCs w:val="21"/>
              </w:rPr>
              <w:t>. 精密空调应能按要求自动调节室内温、湿度，温度调节范围：+15℃~ +45℃；温度调节精度：±1℃，温度变化率&lt; 5℃/小时；温、湿度波动超限应能发出报警信号。</w:t>
            </w:r>
          </w:p>
        </w:tc>
      </w:tr>
      <w:tr w14:paraId="0C220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6F091FA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6BAE80A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C8E36CB">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7</w:t>
            </w:r>
            <w:r>
              <w:rPr>
                <w:rFonts w:hint="eastAsia" w:ascii="宋体" w:hAnsi="宋体"/>
                <w:sz w:val="21"/>
                <w:szCs w:val="21"/>
              </w:rPr>
              <w:t>. 具有开机向导调试功能，向导式引导操作人员进行调试，自动采集机组运行数据信息并帮助运维人员评估机组关键部件状态，大幅降低操作难度。</w:t>
            </w:r>
          </w:p>
          <w:p w14:paraId="1244B904">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8</w:t>
            </w:r>
            <w:r>
              <w:rPr>
                <w:rFonts w:hint="eastAsia" w:ascii="宋体" w:hAnsi="宋体"/>
                <w:sz w:val="21"/>
                <w:szCs w:val="21"/>
              </w:rPr>
              <w:t>. 具有故障自诊断功能，故障发生后可通过此功能自动判断故障根因，智能排除无关故障原因，指导运维人员快速完成维护，大幅降低运维难度，缩短故障排查时间。</w:t>
            </w:r>
          </w:p>
          <w:p w14:paraId="02746FED">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9</w:t>
            </w:r>
            <w:r>
              <w:rPr>
                <w:rFonts w:hint="eastAsia" w:ascii="宋体" w:hAnsi="宋体"/>
                <w:sz w:val="21"/>
                <w:szCs w:val="21"/>
              </w:rPr>
              <w:t>. 机组应具有一键式故障信息显示和收集功能，应具有大容量的故障报警和操作日志记录储存的功能，存储历史告警信息不小于1500条，操作日志不小于1000条 。</w:t>
            </w:r>
          </w:p>
          <w:p w14:paraId="1B2482F2">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10</w:t>
            </w:r>
            <w:r>
              <w:rPr>
                <w:rFonts w:hint="eastAsia" w:ascii="宋体" w:hAnsi="宋体"/>
                <w:sz w:val="21"/>
                <w:szCs w:val="21"/>
              </w:rPr>
              <w:t>. 机组应具有7英寸 LCD触摸真彩屏，人机交互好，界面生动，简单灵活，监测点足够，能显示30天温湿度彩色曲线，具有图形显示机组内各组件运行状态的功能。</w:t>
            </w:r>
          </w:p>
        </w:tc>
      </w:tr>
      <w:tr w14:paraId="6FAEF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restart"/>
            <w:shd w:val="clear" w:color="auto" w:fill="auto"/>
            <w:vAlign w:val="center"/>
          </w:tcPr>
          <w:p w14:paraId="61B97BFD">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12</w:t>
            </w:r>
          </w:p>
        </w:tc>
        <w:tc>
          <w:tcPr>
            <w:tcW w:w="1056" w:type="pct"/>
            <w:vMerge w:val="restart"/>
            <w:shd w:val="clear" w:color="auto" w:fill="auto"/>
            <w:vAlign w:val="center"/>
          </w:tcPr>
          <w:p w14:paraId="4CCAACCF">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风冷型行间空调</w:t>
            </w:r>
          </w:p>
        </w:tc>
        <w:tc>
          <w:tcPr>
            <w:tcW w:w="3489" w:type="pct"/>
            <w:shd w:val="clear" w:color="auto" w:fill="auto"/>
            <w:vAlign w:val="center"/>
          </w:tcPr>
          <w:p w14:paraId="6B942855">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1.用于屏蔽机房微模块，总冷量≥60KW，显冷量≥60kW，水平送风，风量≥</w:t>
            </w:r>
            <w:r>
              <w:rPr>
                <w:rFonts w:ascii="宋体" w:hAnsi="宋体"/>
                <w:sz w:val="21"/>
                <w:szCs w:val="21"/>
              </w:rPr>
              <w:t>11</w:t>
            </w:r>
            <w:r>
              <w:rPr>
                <w:rFonts w:hint="eastAsia" w:ascii="宋体" w:hAnsi="宋体"/>
                <w:sz w:val="21"/>
                <w:szCs w:val="21"/>
              </w:rPr>
              <w:t>500 m3/h，尺寸600（W）*1200(D)*2000（H）mm。空调采用高效直流变频压缩机与EC风机。</w:t>
            </w:r>
          </w:p>
        </w:tc>
      </w:tr>
      <w:tr w14:paraId="1EF39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4845254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0BA87CF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83A39B7">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.加热应采用PTC电加热，再加热量≥6kW。加湿应采用高效的湿膜加湿，加湿量≥3kg/h。</w:t>
            </w:r>
          </w:p>
        </w:tc>
      </w:tr>
      <w:tr w14:paraId="53446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49733A4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02BB69D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3008EA09">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.可以实现在≤5%显热制冷量（即显热制冷量≤3250W）且室内高湿度情况下稳定除湿功能，降低高湿环境下数据中心低载运行的设备结露风险。</w:t>
            </w:r>
          </w:p>
        </w:tc>
      </w:tr>
      <w:tr w14:paraId="65B30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58883E0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27FAD68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B7452D4">
            <w:pPr>
              <w:keepNext w:val="0"/>
              <w:keepLines w:val="0"/>
              <w:pageBreakBefore w:val="0"/>
              <w:kinsoku/>
              <w:wordWrap/>
              <w:overflowPunct/>
              <w:topLinePunct w:val="0"/>
              <w:bidi w:val="0"/>
              <w:spacing w:line="276" w:lineRule="auto"/>
              <w:rPr>
                <w:rFonts w:ascii="宋体" w:hAnsi="宋体"/>
                <w:sz w:val="21"/>
                <w:szCs w:val="21"/>
              </w:rPr>
            </w:pPr>
            <w:r>
              <w:rPr>
                <w:rFonts w:ascii="宋体" w:hAnsi="宋体"/>
                <w:sz w:val="21"/>
                <w:szCs w:val="21"/>
              </w:rPr>
              <w:t>4</w:t>
            </w:r>
            <w:r>
              <w:rPr>
                <w:rFonts w:hint="eastAsia" w:ascii="宋体" w:hAnsi="宋体"/>
                <w:sz w:val="21"/>
                <w:szCs w:val="21"/>
              </w:rPr>
              <w:t>.应设置≥7英寸真彩触摸屏，可实时显示冷量、风量等关键参数信息，易于操作和运维管理，并具备访问日志回溯功能，可显示用户登陆及设置修改历史，存储历史记录信息可达200条，存储历史告警信息≥500条。具备联动与群控功能，同一区域可将≥30套机组进行统一控制管理。</w:t>
            </w:r>
          </w:p>
        </w:tc>
      </w:tr>
      <w:tr w14:paraId="090D7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20F445E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77C755E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4C8A85DF">
            <w:pPr>
              <w:keepNext w:val="0"/>
              <w:keepLines w:val="0"/>
              <w:pageBreakBefore w:val="0"/>
              <w:kinsoku/>
              <w:wordWrap/>
              <w:overflowPunct/>
              <w:topLinePunct w:val="0"/>
              <w:bidi w:val="0"/>
              <w:spacing w:line="276" w:lineRule="auto"/>
              <w:rPr>
                <w:rFonts w:ascii="宋体" w:hAnsi="宋体"/>
                <w:sz w:val="21"/>
                <w:szCs w:val="21"/>
              </w:rPr>
            </w:pPr>
            <w:r>
              <w:rPr>
                <w:rFonts w:ascii="宋体" w:hAnsi="宋体"/>
                <w:sz w:val="21"/>
                <w:szCs w:val="21"/>
              </w:rPr>
              <w:t>5</w:t>
            </w:r>
            <w:r>
              <w:rPr>
                <w:rFonts w:hint="eastAsia" w:ascii="宋体" w:hAnsi="宋体"/>
                <w:sz w:val="21"/>
                <w:szCs w:val="21"/>
              </w:rPr>
              <w:t>. 机组主控单元采用模块化方式设计；应具有RS485/FE通讯接口，对系统进行远程巡检和参数的设置，及提供Modbus/SNMP开放协议；机组应标配防雷器，要求室内外机防浪涌电压值≥6kV，安全可靠。</w:t>
            </w:r>
          </w:p>
        </w:tc>
      </w:tr>
      <w:tr w14:paraId="12AA8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6C1DDF4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1759230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7C2C4845">
            <w:pPr>
              <w:keepNext w:val="0"/>
              <w:keepLines w:val="0"/>
              <w:pageBreakBefore w:val="0"/>
              <w:kinsoku/>
              <w:wordWrap/>
              <w:overflowPunct/>
              <w:topLinePunct w:val="0"/>
              <w:bidi w:val="0"/>
              <w:spacing w:line="276" w:lineRule="auto"/>
              <w:rPr>
                <w:rFonts w:ascii="宋体" w:hAnsi="宋体"/>
                <w:color w:val="FF0000"/>
                <w:sz w:val="21"/>
                <w:szCs w:val="21"/>
              </w:rPr>
            </w:pPr>
            <w:r>
              <w:rPr>
                <w:rFonts w:hint="eastAsia" w:ascii="宋体" w:hAnsi="宋体"/>
                <w:color w:val="FF0000"/>
                <w:sz w:val="21"/>
                <w:szCs w:val="21"/>
              </w:rPr>
              <w:t>▲</w:t>
            </w:r>
            <w:r>
              <w:rPr>
                <w:rFonts w:ascii="宋体" w:hAnsi="宋体"/>
                <w:b/>
                <w:bCs/>
                <w:color w:val="FF0000"/>
                <w:sz w:val="21"/>
                <w:szCs w:val="21"/>
              </w:rPr>
              <w:t>6</w:t>
            </w:r>
            <w:r>
              <w:rPr>
                <w:rFonts w:hint="eastAsia" w:ascii="宋体" w:hAnsi="宋体"/>
                <w:b/>
                <w:bCs/>
                <w:color w:val="FF0000"/>
                <w:sz w:val="21"/>
                <w:szCs w:val="21"/>
              </w:rPr>
              <w:t>. 按照标准YD5083-2005《电信设备抗地震性能检测规范》要求，通过不低于9烈度抗震检验。（投标时提供第三方检测机构出具具有“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r>
      <w:tr w14:paraId="23F1B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continue"/>
            <w:vAlign w:val="center"/>
          </w:tcPr>
          <w:p w14:paraId="3FE0C48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3133CCF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vAlign w:val="center"/>
          </w:tcPr>
          <w:p w14:paraId="6BD6F0C9">
            <w:pPr>
              <w:keepNext w:val="0"/>
              <w:keepLines w:val="0"/>
              <w:pageBreakBefore w:val="0"/>
              <w:kinsoku/>
              <w:wordWrap/>
              <w:overflowPunct/>
              <w:topLinePunct w:val="0"/>
              <w:bidi w:val="0"/>
              <w:spacing w:line="276" w:lineRule="auto"/>
              <w:rPr>
                <w:rFonts w:ascii="宋体" w:hAnsi="宋体"/>
                <w:color w:val="FF0000"/>
                <w:sz w:val="21"/>
                <w:szCs w:val="21"/>
              </w:rPr>
            </w:pPr>
            <w:r>
              <w:rPr>
                <w:rFonts w:hint="eastAsia" w:ascii="宋体" w:hAnsi="宋体"/>
                <w:color w:val="FF0000"/>
                <w:sz w:val="21"/>
                <w:szCs w:val="21"/>
              </w:rPr>
              <w:t>▲</w:t>
            </w:r>
            <w:r>
              <w:rPr>
                <w:rFonts w:ascii="宋体" w:hAnsi="宋体"/>
                <w:b/>
                <w:bCs/>
                <w:color w:val="FF0000"/>
                <w:sz w:val="21"/>
                <w:szCs w:val="21"/>
              </w:rPr>
              <w:t>7</w:t>
            </w:r>
            <w:r>
              <w:rPr>
                <w:rFonts w:hint="eastAsia" w:ascii="宋体" w:hAnsi="宋体"/>
                <w:b/>
                <w:bCs/>
                <w:color w:val="FF0000"/>
                <w:sz w:val="21"/>
                <w:szCs w:val="21"/>
              </w:rPr>
              <w:t>.产品应符合节能认证，并能提供第三方检测机构出具的节能认证证书。（投标时提供上述证书扫描件或复印件，并加盖投标人公章）</w:t>
            </w:r>
          </w:p>
        </w:tc>
      </w:tr>
      <w:tr w14:paraId="6BD2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 w:hRule="atLeast"/>
          <w:jc w:val="center"/>
        </w:trPr>
        <w:tc>
          <w:tcPr>
            <w:tcW w:w="454" w:type="pct"/>
            <w:vAlign w:val="center"/>
          </w:tcPr>
          <w:p w14:paraId="4984A89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13</w:t>
            </w:r>
          </w:p>
        </w:tc>
        <w:tc>
          <w:tcPr>
            <w:tcW w:w="1056" w:type="pct"/>
            <w:vAlign w:val="center"/>
          </w:tcPr>
          <w:p w14:paraId="70E4BD6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highlight w:val="yellow"/>
              </w:rPr>
              <w:t>★屏蔽机房</w:t>
            </w:r>
            <w:r>
              <w:rPr>
                <w:rFonts w:hint="eastAsia" w:ascii="宋体" w:hAnsi="宋体"/>
                <w:kern w:val="0"/>
                <w:sz w:val="21"/>
                <w:szCs w:val="21"/>
              </w:rPr>
              <w:t>（含一个微模块，≥</w:t>
            </w:r>
            <w:r>
              <w:rPr>
                <w:rFonts w:ascii="宋体" w:hAnsi="宋体"/>
                <w:kern w:val="0"/>
                <w:sz w:val="21"/>
                <w:szCs w:val="21"/>
              </w:rPr>
              <w:t>20</w:t>
            </w:r>
            <w:r>
              <w:rPr>
                <w:rFonts w:hint="eastAsia" w:ascii="宋体" w:hAnsi="宋体"/>
                <w:kern w:val="0"/>
                <w:sz w:val="21"/>
                <w:szCs w:val="21"/>
              </w:rPr>
              <w:t>个屏蔽机柜）</w:t>
            </w:r>
          </w:p>
        </w:tc>
        <w:tc>
          <w:tcPr>
            <w:tcW w:w="3489" w:type="pct"/>
            <w:vAlign w:val="center"/>
          </w:tcPr>
          <w:p w14:paraId="62C8450E">
            <w:pPr>
              <w:keepNext w:val="0"/>
              <w:keepLines w:val="0"/>
              <w:pageBreakBefore w:val="0"/>
              <w:kinsoku/>
              <w:wordWrap/>
              <w:overflowPunct/>
              <w:topLinePunct w:val="0"/>
              <w:bidi w:val="0"/>
              <w:spacing w:line="276" w:lineRule="auto"/>
              <w:ind w:right="36" w:rightChars="17"/>
              <w:jc w:val="left"/>
              <w:rPr>
                <w:rFonts w:hint="eastAsia" w:ascii="宋体" w:hAnsi="宋体" w:eastAsia="宋体" w:cs="宋体"/>
                <w:b/>
                <w:color w:val="FF0000"/>
                <w:sz w:val="21"/>
                <w:szCs w:val="21"/>
                <w:highlight w:val="yellow"/>
              </w:rPr>
            </w:pPr>
            <w:r>
              <w:rPr>
                <w:rFonts w:hint="eastAsia" w:ascii="宋体" w:hAnsi="宋体" w:eastAsia="宋体" w:cs="宋体"/>
                <w:b/>
                <w:bCs/>
                <w:color w:val="FF0000"/>
                <w:sz w:val="21"/>
                <w:szCs w:val="21"/>
                <w:highlight w:val="yellow"/>
                <w:lang w:val="en-US" w:eastAsia="zh-CN"/>
              </w:rPr>
              <w:t>总体要求：</w:t>
            </w:r>
            <w:r>
              <w:rPr>
                <w:rFonts w:hint="eastAsia" w:ascii="宋体" w:hAnsi="宋体" w:eastAsia="宋体" w:cs="宋体"/>
                <w:b/>
                <w:color w:val="FF0000"/>
                <w:sz w:val="21"/>
                <w:szCs w:val="21"/>
                <w:highlight w:val="yellow"/>
              </w:rPr>
              <w:t>本项目允许投标人将</w:t>
            </w:r>
            <w:r>
              <w:rPr>
                <w:rFonts w:hint="eastAsia" w:ascii="宋体" w:hAnsi="宋体" w:eastAsia="宋体" w:cs="宋体"/>
                <w:b/>
                <w:color w:val="FF0000"/>
                <w:sz w:val="21"/>
                <w:szCs w:val="21"/>
                <w:highlight w:val="yellow"/>
                <w:lang w:val="en-US" w:eastAsia="zh-CN"/>
              </w:rPr>
              <w:t>屏蔽机房建设</w:t>
            </w:r>
            <w:r>
              <w:rPr>
                <w:rFonts w:hint="eastAsia" w:ascii="宋体" w:hAnsi="宋体" w:eastAsia="宋体" w:cs="宋体"/>
                <w:b/>
                <w:color w:val="FF0000"/>
                <w:sz w:val="21"/>
                <w:szCs w:val="21"/>
                <w:highlight w:val="yellow"/>
              </w:rPr>
              <w:t>工作分包。</w:t>
            </w:r>
          </w:p>
          <w:p w14:paraId="45EC58DE">
            <w:pPr>
              <w:keepNext w:val="0"/>
              <w:keepLines w:val="0"/>
              <w:pageBreakBefore w:val="0"/>
              <w:kinsoku/>
              <w:wordWrap/>
              <w:overflowPunct/>
              <w:topLinePunct w:val="0"/>
              <w:bidi w:val="0"/>
              <w:spacing w:line="276" w:lineRule="auto"/>
              <w:jc w:val="left"/>
              <w:rPr>
                <w:rFonts w:hint="eastAsia" w:ascii="宋体" w:hAnsi="宋体" w:eastAsia="宋体" w:cs="宋体"/>
                <w:b/>
                <w:color w:val="FF0000"/>
                <w:sz w:val="21"/>
                <w:szCs w:val="21"/>
                <w:highlight w:val="yellow"/>
              </w:rPr>
            </w:pP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lang w:val="en-US" w:eastAsia="zh-CN"/>
              </w:rPr>
              <w:t>1</w:t>
            </w: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rPr>
              <w:t>若不分包，投标人须符合</w:t>
            </w:r>
            <w:r>
              <w:rPr>
                <w:rFonts w:hint="eastAsia" w:ascii="宋体" w:hAnsi="宋体" w:eastAsia="宋体" w:cs="宋体"/>
                <w:b/>
                <w:color w:val="FF0000"/>
                <w:sz w:val="21"/>
                <w:szCs w:val="21"/>
                <w:highlight w:val="yellow"/>
                <w:lang w:val="en-US" w:eastAsia="zh-CN"/>
              </w:rPr>
              <w:t>法律法规</w:t>
            </w:r>
            <w:r>
              <w:rPr>
                <w:rFonts w:hint="eastAsia" w:ascii="宋体" w:hAnsi="宋体" w:eastAsia="宋体" w:cs="宋体"/>
                <w:b/>
                <w:color w:val="FF0000"/>
                <w:sz w:val="21"/>
                <w:szCs w:val="21"/>
                <w:highlight w:val="yellow"/>
              </w:rPr>
              <w:t>相关规定。</w:t>
            </w:r>
          </w:p>
          <w:p w14:paraId="37E87AC0">
            <w:pPr>
              <w:keepNext w:val="0"/>
              <w:keepLines w:val="0"/>
              <w:pageBreakBefore w:val="0"/>
              <w:kinsoku/>
              <w:wordWrap/>
              <w:overflowPunct/>
              <w:topLinePunct w:val="0"/>
              <w:bidi w:val="0"/>
              <w:spacing w:line="276" w:lineRule="auto"/>
              <w:ind w:right="0" w:rightChars="0"/>
              <w:jc w:val="left"/>
              <w:rPr>
                <w:rFonts w:hint="default" w:ascii="宋体" w:hAnsi="宋体"/>
                <w:sz w:val="21"/>
                <w:szCs w:val="21"/>
                <w:highlight w:val="yellow"/>
                <w:lang w:val="en-US" w:eastAsia="zh-CN"/>
              </w:rPr>
            </w:pP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lang w:val="en-US" w:eastAsia="zh-CN"/>
              </w:rPr>
              <w:t>2</w:t>
            </w: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rPr>
              <w:t>若投标人选择分包的，</w:t>
            </w:r>
            <w:r>
              <w:rPr>
                <w:rFonts w:hint="eastAsia" w:ascii="宋体" w:hAnsi="宋体" w:eastAsia="宋体" w:cs="宋体"/>
                <w:b/>
                <w:color w:val="FF0000"/>
                <w:sz w:val="21"/>
                <w:szCs w:val="21"/>
                <w:highlight w:val="yellow"/>
                <w:lang w:val="en-US" w:eastAsia="zh-CN"/>
              </w:rPr>
              <w:t>屏蔽机房建设</w:t>
            </w:r>
            <w:r>
              <w:rPr>
                <w:rFonts w:hint="eastAsia" w:ascii="宋体" w:hAnsi="宋体" w:eastAsia="宋体" w:cs="宋体"/>
                <w:b/>
                <w:color w:val="FF0000"/>
                <w:sz w:val="21"/>
                <w:szCs w:val="21"/>
                <w:highlight w:val="yellow"/>
              </w:rPr>
              <w:t>分包承担主体不多于1家，且分包承担主体须符合</w:t>
            </w:r>
            <w:r>
              <w:rPr>
                <w:rFonts w:hint="eastAsia" w:ascii="宋体" w:hAnsi="宋体" w:eastAsia="宋体" w:cs="宋体"/>
                <w:b/>
                <w:color w:val="FF0000"/>
                <w:sz w:val="21"/>
                <w:szCs w:val="21"/>
                <w:highlight w:val="yellow"/>
                <w:lang w:val="en-US" w:eastAsia="zh-CN"/>
              </w:rPr>
              <w:t>法律法规</w:t>
            </w:r>
            <w:r>
              <w:rPr>
                <w:rFonts w:hint="eastAsia" w:ascii="宋体" w:hAnsi="宋体" w:eastAsia="宋体" w:cs="宋体"/>
                <w:b/>
                <w:color w:val="FF0000"/>
                <w:sz w:val="21"/>
                <w:szCs w:val="21"/>
                <w:highlight w:val="yellow"/>
              </w:rPr>
              <w:t>相关规定，并提供《分包意向协议》（格式自拟，须载明分包承担主体，且承诺分包承担主体不得再次分包，加盖投标人与各分包承担主体的公章）</w:t>
            </w:r>
          </w:p>
          <w:p w14:paraId="5B56C287">
            <w:pPr>
              <w:keepNext w:val="0"/>
              <w:keepLines w:val="0"/>
              <w:pageBreakBefore w:val="0"/>
              <w:kinsoku/>
              <w:wordWrap/>
              <w:overflowPunct/>
              <w:topLinePunct w:val="0"/>
              <w:bidi w:val="0"/>
              <w:spacing w:line="276" w:lineRule="auto"/>
              <w:ind w:right="36" w:rightChars="17"/>
              <w:rPr>
                <w:rFonts w:hint="eastAsia" w:ascii="宋体" w:hAnsi="宋体" w:eastAsia="宋体"/>
                <w:sz w:val="21"/>
                <w:szCs w:val="21"/>
                <w:lang w:eastAsia="zh-CN"/>
              </w:rPr>
            </w:pPr>
            <w:r>
              <w:rPr>
                <w:rFonts w:hint="eastAsia" w:ascii="宋体" w:hAnsi="宋体"/>
                <w:sz w:val="21"/>
                <w:szCs w:val="21"/>
              </w:rPr>
              <w:t>1. 屏蔽机房包括屏蔽壳体、</w:t>
            </w:r>
            <w:r>
              <w:rPr>
                <w:rFonts w:hint="eastAsia" w:ascii="宋体" w:hAnsi="宋体"/>
                <w:kern w:val="0"/>
                <w:sz w:val="21"/>
                <w:szCs w:val="21"/>
              </w:rPr>
              <w:t>≥</w:t>
            </w:r>
            <w:r>
              <w:rPr>
                <w:rFonts w:hint="eastAsia" w:ascii="宋体" w:hAnsi="宋体"/>
                <w:sz w:val="21"/>
                <w:szCs w:val="21"/>
              </w:rPr>
              <w:t>20个机柜微模块（单机柜</w:t>
            </w:r>
            <w:r>
              <w:rPr>
                <w:rFonts w:ascii="宋体" w:hAnsi="宋体"/>
                <w:sz w:val="21"/>
                <w:szCs w:val="21"/>
              </w:rPr>
              <w:t>10</w:t>
            </w:r>
            <w:r>
              <w:rPr>
                <w:rFonts w:hint="eastAsia" w:ascii="宋体" w:hAnsi="宋体"/>
                <w:sz w:val="21"/>
                <w:szCs w:val="21"/>
              </w:rPr>
              <w:t>kW）及其机房内各设备，机房地面采用600x600x32防静电全钢地板，高度≥ 3.5 米</w:t>
            </w:r>
            <w:r>
              <w:rPr>
                <w:rFonts w:hint="eastAsia" w:ascii="宋体" w:hAnsi="宋体"/>
                <w:sz w:val="21"/>
                <w:szCs w:val="21"/>
                <w:lang w:eastAsia="zh-CN"/>
              </w:rPr>
              <w:t>；</w:t>
            </w:r>
          </w:p>
          <w:p w14:paraId="730C2008">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2、屏蔽壳体为主体骨架与钢板焊接式多面体，支撑主体采用刚性骨架与顶部吊装相结合的结构形式。整体进行防潮防湿防腐处理。</w:t>
            </w:r>
          </w:p>
          <w:p w14:paraId="1C13FA5F">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3、屏蔽系统包括屏蔽壳体、电动屏蔽门、屏蔽电源滤波器、信号接口、通风波导、空调电源、信号、水、汽、液屏蔽接口、消防信号屏蔽处理等部分。</w:t>
            </w:r>
          </w:p>
          <w:p w14:paraId="6C9C2646">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4.屏蔽室设置滤波维修间，所有进线应集中在滤波维修间进行滤波处理，维修间设计和施工应便于机房线路的维护，同时满足实用性和可参观性要求。</w:t>
            </w:r>
          </w:p>
        </w:tc>
      </w:tr>
      <w:tr w14:paraId="58638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Align w:val="center"/>
          </w:tcPr>
          <w:p w14:paraId="7C32685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14</w:t>
            </w:r>
          </w:p>
        </w:tc>
        <w:tc>
          <w:tcPr>
            <w:tcW w:w="1056" w:type="pct"/>
            <w:vAlign w:val="center"/>
          </w:tcPr>
          <w:p w14:paraId="7EC4669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防雷接地设备</w:t>
            </w:r>
          </w:p>
        </w:tc>
        <w:tc>
          <w:tcPr>
            <w:tcW w:w="3489" w:type="pct"/>
            <w:vAlign w:val="center"/>
          </w:tcPr>
          <w:p w14:paraId="20141ED5">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1．改造区域涉及防雷接地系统。</w:t>
            </w:r>
          </w:p>
          <w:p w14:paraId="7F7F5D97">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空调间、电池间、机房接地系统考虑接大楼综合接地体；空调，电池，机柜等各设备做接地网、接地线缆、接地端子等，大楼共用综合接地体；数据中心内所有设备金属外壳、各类金属管道、金属线槽、建筑物金属结构等必须进行等电位联结并接地；屋顶新增空调设备防雷接地工程。</w:t>
            </w:r>
          </w:p>
        </w:tc>
      </w:tr>
      <w:tr w14:paraId="790F6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Align w:val="center"/>
          </w:tcPr>
          <w:p w14:paraId="2AC7773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15</w:t>
            </w:r>
          </w:p>
        </w:tc>
        <w:tc>
          <w:tcPr>
            <w:tcW w:w="1056" w:type="pct"/>
            <w:vAlign w:val="center"/>
          </w:tcPr>
          <w:p w14:paraId="4D30ADA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气体消防设备</w:t>
            </w:r>
          </w:p>
        </w:tc>
        <w:tc>
          <w:tcPr>
            <w:tcW w:w="3489" w:type="pct"/>
            <w:vAlign w:val="center"/>
          </w:tcPr>
          <w:p w14:paraId="24843F37">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1</w:t>
            </w:r>
            <w:r>
              <w:rPr>
                <w:rFonts w:hint="eastAsia" w:ascii="宋体" w:hAnsi="宋体"/>
                <w:sz w:val="21"/>
                <w:szCs w:val="21"/>
              </w:rPr>
              <w:t>．包括高度智能型火灾自动报警探测、控制系统、气体灭火系统设备及灭火剂输送管道集成、水消防系统、灭火器系统、排烟系统：火灾自动报警包括智能型光电感烟火灾探测器、智能型感温探测器、智能型气体灭火控制器、消防警铃、声光报警器、紧急启停按钮、放气指示灯等及</w:t>
            </w:r>
            <w:r>
              <w:rPr>
                <w:rFonts w:hint="eastAsia" w:ascii="宋体" w:hAnsi="宋体"/>
                <w:kern w:val="0"/>
                <w:sz w:val="21"/>
                <w:szCs w:val="21"/>
              </w:rPr>
              <w:t>其安装工程</w:t>
            </w:r>
            <w:r>
              <w:rPr>
                <w:rFonts w:hint="eastAsia" w:ascii="宋体" w:hAnsi="宋体"/>
                <w:sz w:val="21"/>
                <w:szCs w:val="21"/>
              </w:rPr>
              <w:t>。</w:t>
            </w:r>
          </w:p>
          <w:p w14:paraId="1A487B25">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有管网气体灭火系统包括灭火剂储存装置（含药剂）、电磁驱动装置、连接软管、集流管、安全阀、单向阀、选择阀、控制气管、瓶架、压力信号器、喷头、管道、泄压装置等内容；无管网气体灭火气体包含柜式七氟丙烷气体灭火装置灭火剂瓶组以及泄压装置等内容及</w:t>
            </w:r>
            <w:r>
              <w:rPr>
                <w:rFonts w:hint="eastAsia" w:ascii="宋体" w:hAnsi="宋体"/>
                <w:kern w:val="0"/>
                <w:sz w:val="21"/>
                <w:szCs w:val="21"/>
              </w:rPr>
              <w:t>其安装工程</w:t>
            </w:r>
            <w:r>
              <w:rPr>
                <w:rFonts w:hint="eastAsia" w:ascii="宋体" w:hAnsi="宋体"/>
                <w:sz w:val="21"/>
                <w:szCs w:val="21"/>
              </w:rPr>
              <w:t>。水消防系统包含室内消火栓系统和喷淋系统；室内消火栓系统包含组合式消防柜(消火栓口径DN65，每支水枪最小用水量5L/S，水枪最小充实水柱13m，水枪口径</w:t>
            </w:r>
            <w:r>
              <w:rPr>
                <w:rFonts w:hint="eastAsia" w:ascii="MS Gothic" w:hAnsi="MS Gothic" w:eastAsia="MS Gothic" w:cs="MS Gothic"/>
                <w:sz w:val="21"/>
                <w:szCs w:val="21"/>
              </w:rPr>
              <w:t>∅</w:t>
            </w:r>
            <w:r>
              <w:rPr>
                <w:rFonts w:hint="eastAsia" w:ascii="宋体" w:hAnsi="宋体"/>
                <w:sz w:val="21"/>
                <w:szCs w:val="21"/>
              </w:rPr>
              <w:t>19，衬胶消防水带</w:t>
            </w:r>
            <w:r>
              <w:rPr>
                <w:rFonts w:hint="eastAsia" w:ascii="MS Gothic" w:hAnsi="MS Gothic" w:eastAsia="MS Gothic" w:cs="MS Gothic"/>
                <w:sz w:val="21"/>
                <w:szCs w:val="21"/>
              </w:rPr>
              <w:t>∅</w:t>
            </w:r>
            <w:r>
              <w:rPr>
                <w:rFonts w:hint="eastAsia" w:ascii="宋体" w:hAnsi="宋体"/>
                <w:sz w:val="21"/>
                <w:szCs w:val="21"/>
              </w:rPr>
              <w:t>65，长25m以及灭火器（MF/ABC4）、管道及阀门等内容；喷淋系统包含喷头、管道及阀门等内容及</w:t>
            </w:r>
            <w:r>
              <w:rPr>
                <w:rFonts w:hint="eastAsia" w:ascii="宋体" w:hAnsi="宋体"/>
                <w:kern w:val="0"/>
                <w:sz w:val="21"/>
                <w:szCs w:val="21"/>
              </w:rPr>
              <w:t>其安装工程</w:t>
            </w:r>
            <w:r>
              <w:rPr>
                <w:rFonts w:hint="eastAsia" w:ascii="宋体" w:hAnsi="宋体"/>
                <w:sz w:val="21"/>
                <w:szCs w:val="21"/>
              </w:rPr>
              <w:t>。灭火器包含手提式灭火器（MF/ABC4）、灭火器箱、推车式灭火器（CO2推车式灭火器MTT50x2）；排烟设备包括排烟风管为800*320镀锌风管，定制排烟百叶，排烟阀，280度防火阀等及</w:t>
            </w:r>
            <w:r>
              <w:rPr>
                <w:rFonts w:hint="eastAsia" w:ascii="宋体" w:hAnsi="宋体"/>
                <w:kern w:val="0"/>
                <w:sz w:val="21"/>
                <w:szCs w:val="21"/>
              </w:rPr>
              <w:t>其安装工程</w:t>
            </w:r>
            <w:r>
              <w:rPr>
                <w:rFonts w:hint="eastAsia" w:ascii="宋体" w:hAnsi="宋体"/>
                <w:sz w:val="21"/>
                <w:szCs w:val="21"/>
              </w:rPr>
              <w:t>。</w:t>
            </w:r>
          </w:p>
        </w:tc>
      </w:tr>
      <w:tr w14:paraId="0C3C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454" w:type="pct"/>
            <w:vMerge w:val="restart"/>
            <w:vAlign w:val="center"/>
          </w:tcPr>
          <w:p w14:paraId="28AAD53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16</w:t>
            </w:r>
          </w:p>
        </w:tc>
        <w:tc>
          <w:tcPr>
            <w:tcW w:w="1056" w:type="pct"/>
            <w:vMerge w:val="restart"/>
            <w:vAlign w:val="center"/>
          </w:tcPr>
          <w:p w14:paraId="15F03A6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动环管理系统（含安防）</w:t>
            </w:r>
          </w:p>
        </w:tc>
        <w:tc>
          <w:tcPr>
            <w:tcW w:w="3489" w:type="pct"/>
            <w:vAlign w:val="center"/>
          </w:tcPr>
          <w:p w14:paraId="4838A01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 微模块集成，门禁、视频、消防等南向接口；对接鹏城云脑；兼容SNMP、ModBus等主流协议；对本项目相关设备（如供配电、微模块、视频、门禁、消防等）运行状态或部分使用状态进行采集监控，将原始信息上传至鹏城云脑基础设施管理平台；</w:t>
            </w:r>
          </w:p>
          <w:p w14:paraId="5A97CCC8">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ascii="宋体" w:hAnsi="宋体"/>
                <w:kern w:val="0"/>
                <w:sz w:val="21"/>
                <w:szCs w:val="21"/>
              </w:rPr>
              <w:t>2</w:t>
            </w:r>
            <w:r>
              <w:rPr>
                <w:rFonts w:hint="eastAsia" w:ascii="宋体" w:hAnsi="宋体"/>
                <w:kern w:val="0"/>
                <w:sz w:val="21"/>
                <w:szCs w:val="21"/>
              </w:rPr>
              <w:t>. 对本项目相关设备进行接口开发或改造（如需要），能够接收管理平台下发控制指令或信息；结合本项目设备数目，扩容鹏城云脑基础设施管理平台纳管相应设备的授权；支持数据中心基础设施管理需求，并能下发相关指令或信息到设备。</w:t>
            </w:r>
          </w:p>
          <w:p w14:paraId="3E7479C6">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3</w:t>
            </w:r>
            <w:r>
              <w:rPr>
                <w:rFonts w:hint="eastAsia" w:ascii="宋体" w:hAnsi="宋体"/>
                <w:sz w:val="21"/>
                <w:szCs w:val="21"/>
              </w:rPr>
              <w:t>. 系统支持多种通讯协议，如modbus、电总、SNMP，并且内置主流UPS和空调的通讯协议内容和设备模型，方便用户直接调用。</w:t>
            </w:r>
          </w:p>
        </w:tc>
      </w:tr>
      <w:tr w14:paraId="63067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8" w:hRule="atLeast"/>
          <w:jc w:val="center"/>
        </w:trPr>
        <w:tc>
          <w:tcPr>
            <w:tcW w:w="454" w:type="pct"/>
            <w:vMerge w:val="continue"/>
            <w:vAlign w:val="center"/>
          </w:tcPr>
          <w:p w14:paraId="2B70D10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7CE3A8DE">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3489" w:type="pct"/>
            <w:vAlign w:val="center"/>
          </w:tcPr>
          <w:p w14:paraId="7EC1FFD9">
            <w:pPr>
              <w:keepNext w:val="0"/>
              <w:keepLines w:val="0"/>
              <w:pageBreakBefore w:val="0"/>
              <w:kinsoku/>
              <w:wordWrap/>
              <w:overflowPunct/>
              <w:topLinePunct w:val="0"/>
              <w:bidi w:val="0"/>
              <w:spacing w:line="276" w:lineRule="auto"/>
              <w:ind w:right="36" w:rightChars="17"/>
              <w:rPr>
                <w:sz w:val="21"/>
                <w:szCs w:val="21"/>
              </w:rPr>
            </w:pPr>
            <w:r>
              <w:rPr>
                <w:rFonts w:hint="eastAsia" w:ascii="宋体" w:hAnsi="宋体"/>
                <w:b/>
                <w:bCs/>
                <w:color w:val="FF0000"/>
                <w:sz w:val="21"/>
                <w:szCs w:val="21"/>
              </w:rPr>
              <w:t>▲</w:t>
            </w:r>
            <w:r>
              <w:rPr>
                <w:rFonts w:ascii="宋体" w:hAnsi="宋体"/>
                <w:b/>
                <w:bCs/>
                <w:color w:val="FF0000"/>
                <w:sz w:val="21"/>
                <w:szCs w:val="21"/>
              </w:rPr>
              <w:t>4</w:t>
            </w:r>
            <w:r>
              <w:rPr>
                <w:rFonts w:hint="eastAsia" w:ascii="宋体" w:hAnsi="宋体"/>
                <w:b/>
                <w:bCs/>
                <w:color w:val="FF0000"/>
                <w:sz w:val="21"/>
                <w:szCs w:val="21"/>
              </w:rPr>
              <w:t>. 控制器（或能源控制中心）满足网络安全要求，应通过智能联网产品网络安全认证，提供产品社会公共安全认证证书及第三方检测报告。</w:t>
            </w:r>
            <w:r>
              <w:rPr>
                <w:rFonts w:hint="eastAsia" w:ascii="宋体" w:hAnsi="宋体"/>
                <w:b/>
                <w:bCs/>
                <w:color w:val="FF0000"/>
                <w:kern w:val="0"/>
                <w:sz w:val="21"/>
                <w:szCs w:val="21"/>
              </w:rPr>
              <w:t>（投标时提供社会公共安全产品认证证书及第三方检测机构出具具有“</w:t>
            </w:r>
            <w:r>
              <w:rPr>
                <w:rFonts w:ascii="宋体" w:hAnsi="宋体"/>
                <w:b/>
                <w:bCs/>
                <w:color w:val="FF0000"/>
                <w:kern w:val="0"/>
                <w:sz w:val="21"/>
                <w:szCs w:val="21"/>
              </w:rPr>
              <w:t>CNAS”或“CMA”标识的检测/检验</w:t>
            </w:r>
            <w:r>
              <w:rPr>
                <w:rFonts w:hint="eastAsia" w:ascii="宋体" w:hAnsi="宋体"/>
                <w:b/>
                <w:bCs/>
                <w:color w:val="FF0000"/>
                <w:kern w:val="0"/>
                <w:sz w:val="21"/>
                <w:szCs w:val="21"/>
              </w:rPr>
              <w:t>报告。上述资料均要求提供扫描件或复印件，并均加盖投标人公章）</w:t>
            </w:r>
          </w:p>
        </w:tc>
      </w:tr>
      <w:tr w14:paraId="791CA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9" w:hRule="atLeast"/>
          <w:jc w:val="center"/>
        </w:trPr>
        <w:tc>
          <w:tcPr>
            <w:tcW w:w="454" w:type="pct"/>
            <w:vMerge w:val="restart"/>
            <w:shd w:val="clear" w:color="auto" w:fill="auto"/>
            <w:vAlign w:val="center"/>
          </w:tcPr>
          <w:p w14:paraId="786B4BF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17</w:t>
            </w:r>
          </w:p>
        </w:tc>
        <w:tc>
          <w:tcPr>
            <w:tcW w:w="1056" w:type="pct"/>
            <w:vMerge w:val="restart"/>
            <w:shd w:val="clear" w:color="auto" w:fill="auto"/>
            <w:vAlign w:val="center"/>
          </w:tcPr>
          <w:p w14:paraId="16F5BE1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防火墙</w:t>
            </w:r>
          </w:p>
        </w:tc>
        <w:tc>
          <w:tcPr>
            <w:tcW w:w="3489" w:type="pct"/>
            <w:shd w:val="clear" w:color="auto" w:fill="auto"/>
          </w:tcPr>
          <w:p w14:paraId="19D37F2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1、内存大小≥16G，硬盘容量≥3.84T SSD，千兆电接口≥16个，万兆光口SFP+≥6个，含5年硬件质保服务；网络层吞吐量≥35G，应用层吞吐量≥20G，防病毒吞吐量≥3.5G，并发连接数≥800万，HTTP新建连接数≥18万，含5年软件功能、安全库等升级许可及远程技术支持。</w:t>
            </w:r>
          </w:p>
        </w:tc>
      </w:tr>
      <w:tr w14:paraId="48719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2" w:hRule="atLeast"/>
          <w:jc w:val="center"/>
        </w:trPr>
        <w:tc>
          <w:tcPr>
            <w:tcW w:w="454" w:type="pct"/>
            <w:vMerge w:val="continue"/>
            <w:shd w:val="clear" w:color="auto" w:fill="auto"/>
            <w:vAlign w:val="center"/>
          </w:tcPr>
          <w:p w14:paraId="296A2432">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shd w:val="clear" w:color="auto" w:fill="auto"/>
            <w:vAlign w:val="center"/>
          </w:tcPr>
          <w:p w14:paraId="15E9A086">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shd w:val="clear" w:color="auto" w:fill="auto"/>
          </w:tcPr>
          <w:p w14:paraId="7A480F12">
            <w:pPr>
              <w:keepNext w:val="0"/>
              <w:keepLines w:val="0"/>
              <w:pageBreakBefore w:val="0"/>
              <w:kinsoku/>
              <w:wordWrap/>
              <w:overflowPunct/>
              <w:topLinePunct w:val="0"/>
              <w:bidi w:val="0"/>
              <w:spacing w:line="276" w:lineRule="auto"/>
              <w:ind w:right="36" w:rightChars="17"/>
              <w:rPr>
                <w:rFonts w:ascii="宋体" w:hAnsi="宋体"/>
                <w:b/>
                <w:bCs/>
                <w:color w:val="FF0000"/>
                <w:sz w:val="21"/>
                <w:szCs w:val="21"/>
              </w:rPr>
            </w:pPr>
            <w:r>
              <w:rPr>
                <w:rFonts w:hint="eastAsia" w:ascii="宋体" w:hAnsi="宋体"/>
                <w:b/>
                <w:bCs/>
                <w:color w:val="FF0000"/>
                <w:kern w:val="0"/>
                <w:sz w:val="21"/>
                <w:szCs w:val="21"/>
              </w:rPr>
              <w:t>▲2、（1）产品支持IPSec VPN智能选路功能，根据线路质量和应用实现自动链路切换选路模式支持智能负载选路、按指定顺序选路、优先使用质量最优的线路、按剩余带宽比例负载。</w:t>
            </w:r>
            <w:r>
              <w:rPr>
                <w:rFonts w:hint="eastAsia" w:ascii="宋体" w:hAnsi="宋体"/>
                <w:color w:val="FF0000"/>
                <w:kern w:val="0"/>
                <w:sz w:val="21"/>
                <w:szCs w:val="21"/>
              </w:rPr>
              <w:t>（</w:t>
            </w:r>
            <w:r>
              <w:rPr>
                <w:rFonts w:hint="eastAsia" w:ascii="宋体" w:hAnsi="宋体"/>
                <w:b/>
                <w:bCs/>
                <w:color w:val="FF0000"/>
                <w:sz w:val="21"/>
                <w:szCs w:val="21"/>
              </w:rPr>
              <w:t>投标时需提供产品功能截图证明）</w:t>
            </w:r>
          </w:p>
          <w:p w14:paraId="21582DD0">
            <w:pPr>
              <w:pStyle w:val="2"/>
              <w:keepNext w:val="0"/>
              <w:keepLines w:val="0"/>
              <w:pageBreakBefore w:val="0"/>
              <w:kinsoku/>
              <w:wordWrap/>
              <w:overflowPunct/>
              <w:topLinePunct w:val="0"/>
              <w:bidi w:val="0"/>
              <w:spacing w:line="276" w:lineRule="auto"/>
              <w:ind w:firstLine="0" w:firstLineChars="0"/>
              <w:rPr>
                <w:sz w:val="21"/>
                <w:szCs w:val="21"/>
              </w:rPr>
            </w:pPr>
            <w:r>
              <w:rPr>
                <w:rFonts w:hint="eastAsia" w:ascii="宋体" w:hAnsi="宋体" w:eastAsia="宋体" w:cs="宋体"/>
                <w:b/>
                <w:bCs/>
                <w:color w:val="FF0000"/>
                <w:kern w:val="0"/>
                <w:sz w:val="21"/>
                <w:szCs w:val="21"/>
              </w:rPr>
              <w:t>（2）投标时提供第三方检测机构出具具有“CNAS”或“CMA”标识的关于“SD-WAN智能选路”的证书或检测报告扫描件（或复印件），并加盖投标人公章。</w:t>
            </w:r>
          </w:p>
        </w:tc>
      </w:tr>
      <w:tr w14:paraId="0F7D9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9" w:hRule="atLeast"/>
          <w:jc w:val="center"/>
        </w:trPr>
        <w:tc>
          <w:tcPr>
            <w:tcW w:w="454" w:type="pct"/>
            <w:vMerge w:val="continue"/>
            <w:shd w:val="clear" w:color="auto" w:fill="auto"/>
            <w:vAlign w:val="center"/>
          </w:tcPr>
          <w:p w14:paraId="11CE79F6">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shd w:val="clear" w:color="auto" w:fill="auto"/>
            <w:vAlign w:val="center"/>
          </w:tcPr>
          <w:p w14:paraId="74E067A7">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shd w:val="clear" w:color="auto" w:fill="auto"/>
          </w:tcPr>
          <w:p w14:paraId="2F9C0E28">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▲3、产品支持SD-WAN组网丢包优化功能，优化互联网场景下丢包严重的问题，改善实时类应用的业务访问体验，满足用户业务稳定访问需求。（投标时需提供产品功能截图证明，并提供第三方检测机构出具具有“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w:t>
            </w:r>
            <w:r>
              <w:rPr>
                <w:rFonts w:hint="eastAsia" w:ascii="宋体" w:hAnsi="宋体"/>
                <w:b/>
                <w:bCs/>
                <w:color w:val="FF0000"/>
                <w:sz w:val="21"/>
                <w:szCs w:val="21"/>
              </w:rPr>
              <w:t>）</w:t>
            </w:r>
          </w:p>
        </w:tc>
      </w:tr>
      <w:tr w14:paraId="51CF7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454" w:type="pct"/>
            <w:vMerge w:val="continue"/>
            <w:shd w:val="clear" w:color="auto" w:fill="auto"/>
            <w:vAlign w:val="center"/>
          </w:tcPr>
          <w:p w14:paraId="58658E6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shd w:val="clear" w:color="auto" w:fill="auto"/>
            <w:vAlign w:val="center"/>
          </w:tcPr>
          <w:p w14:paraId="3050D26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tcPr>
          <w:p w14:paraId="06E73CD4">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▲4、产品支持策略生命周期管理功能，支持对安全策略修改的时间、原因、变更类型进行统一管理，便于策略的运维与管理。（投标时需提供产品功能截图证明，并提供第三方检测机构出具具有“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w:t>
            </w:r>
            <w:r>
              <w:rPr>
                <w:rFonts w:hint="eastAsia" w:ascii="宋体" w:hAnsi="宋体"/>
                <w:b/>
                <w:bCs/>
                <w:color w:val="FF0000"/>
                <w:sz w:val="21"/>
                <w:szCs w:val="21"/>
              </w:rPr>
              <w:t>）</w:t>
            </w:r>
          </w:p>
        </w:tc>
      </w:tr>
      <w:tr w14:paraId="056A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 w:hRule="atLeast"/>
          <w:jc w:val="center"/>
        </w:trPr>
        <w:tc>
          <w:tcPr>
            <w:tcW w:w="454" w:type="pct"/>
            <w:vMerge w:val="continue"/>
            <w:shd w:val="clear" w:color="auto" w:fill="auto"/>
            <w:vAlign w:val="center"/>
          </w:tcPr>
          <w:p w14:paraId="14A4EBB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shd w:val="clear" w:color="auto" w:fill="auto"/>
            <w:vAlign w:val="center"/>
          </w:tcPr>
          <w:p w14:paraId="31B106C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shd w:val="clear" w:color="auto" w:fill="auto"/>
          </w:tcPr>
          <w:p w14:paraId="4AB862E2">
            <w:pPr>
              <w:keepNext w:val="0"/>
              <w:keepLines w:val="0"/>
              <w:pageBreakBefore w:val="0"/>
              <w:kinsoku/>
              <w:wordWrap/>
              <w:overflowPunct/>
              <w:topLinePunct w:val="0"/>
              <w:bidi w:val="0"/>
              <w:spacing w:line="276" w:lineRule="auto"/>
              <w:ind w:right="36" w:rightChars="17"/>
              <w:rPr>
                <w:rFonts w:ascii="宋体" w:hAnsi="宋体"/>
                <w:color w:val="FF0000"/>
                <w:sz w:val="21"/>
                <w:szCs w:val="21"/>
              </w:rPr>
            </w:pPr>
            <w:r>
              <w:rPr>
                <w:rFonts w:hint="eastAsia" w:ascii="宋体" w:hAnsi="宋体"/>
                <w:color w:val="FF0000"/>
                <w:sz w:val="21"/>
                <w:szCs w:val="21"/>
              </w:rPr>
              <w:t>▲5、</w:t>
            </w:r>
          </w:p>
          <w:p w14:paraId="22E29A24">
            <w:pPr>
              <w:keepNext w:val="0"/>
              <w:keepLines w:val="0"/>
              <w:pageBreakBefore w:val="0"/>
              <w:kinsoku/>
              <w:wordWrap/>
              <w:overflowPunct/>
              <w:topLinePunct w:val="0"/>
              <w:bidi w:val="0"/>
              <w:spacing w:line="276" w:lineRule="auto"/>
              <w:ind w:right="36" w:rightChars="17"/>
              <w:rPr>
                <w:rFonts w:ascii="宋体" w:hAnsi="宋体"/>
                <w:b/>
                <w:bCs/>
                <w:color w:val="FF0000"/>
                <w:sz w:val="21"/>
                <w:szCs w:val="21"/>
              </w:rPr>
            </w:pPr>
            <w:r>
              <w:rPr>
                <w:rFonts w:hint="eastAsia" w:ascii="宋体" w:hAnsi="宋体"/>
                <w:b/>
                <w:bCs/>
                <w:color w:val="FF0000"/>
                <w:sz w:val="21"/>
                <w:szCs w:val="21"/>
              </w:rPr>
              <w:t>（1）产品支持独立的账号安全防护模块，具备事前账号脆弱性、事中账号爆破、事后账号失陷的全生命周期安全防护，在设备界面可以详细展示账号安全相关信息，包括风险业务、风险等级、存在账号入口、存在弱口令、遭受口令爆破、异常登录账号登。（投标时需提供产品功能截图证明）</w:t>
            </w:r>
          </w:p>
          <w:p w14:paraId="0ECFF27A">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b/>
                <w:bCs/>
                <w:color w:val="FF0000"/>
                <w:sz w:val="21"/>
                <w:szCs w:val="21"/>
              </w:rPr>
              <w:t>（2）</w:t>
            </w:r>
            <w:r>
              <w:rPr>
                <w:rFonts w:hint="eastAsia" w:ascii="宋体" w:hAnsi="宋体"/>
                <w:b/>
                <w:bCs/>
                <w:color w:val="FF0000"/>
                <w:sz w:val="21"/>
                <w:szCs w:val="21"/>
              </w:rPr>
              <w:t>投标时提供“账号安全”相关计算机软件著作权登记证书扫描件或复印件。</w:t>
            </w:r>
          </w:p>
        </w:tc>
      </w:tr>
      <w:tr w14:paraId="5A697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atLeast"/>
          <w:jc w:val="center"/>
        </w:trPr>
        <w:tc>
          <w:tcPr>
            <w:tcW w:w="454" w:type="pct"/>
            <w:vMerge w:val="restart"/>
            <w:vAlign w:val="center"/>
          </w:tcPr>
          <w:p w14:paraId="53CE9D8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18</w:t>
            </w:r>
          </w:p>
        </w:tc>
        <w:tc>
          <w:tcPr>
            <w:tcW w:w="1056" w:type="pct"/>
            <w:vMerge w:val="restart"/>
            <w:vAlign w:val="center"/>
          </w:tcPr>
          <w:p w14:paraId="4FF8FC7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堡垒机</w:t>
            </w:r>
          </w:p>
        </w:tc>
        <w:tc>
          <w:tcPr>
            <w:tcW w:w="3489" w:type="pct"/>
          </w:tcPr>
          <w:p w14:paraId="6A15DCD2">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1.标准2U机架式；配置≥6个千兆电口，≥2个接口扩展槽位；内置≥4TB硬盘；冗余电源；支持液晶屏；最大支持不低于500路图形会话或不低于1000路字符会话并发；含3000个被管资源授权许可，含五年标准售后服务。</w:t>
            </w:r>
          </w:p>
        </w:tc>
      </w:tr>
      <w:tr w14:paraId="51C51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atLeast"/>
          <w:jc w:val="center"/>
        </w:trPr>
        <w:tc>
          <w:tcPr>
            <w:tcW w:w="454" w:type="pct"/>
            <w:vMerge w:val="continue"/>
            <w:vAlign w:val="center"/>
          </w:tcPr>
          <w:p w14:paraId="5B82D41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1C70415A">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4C02A586">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 xml:space="preserve">2.支持应用发布功能，可集中管控各类B/S、C/S应用，且B/S资产支持使用中文账号；应用发布支持负载均衡，无需借助负载均衡设备，即可实现自动调度；支持对通过rdp协议登录到目标资产后的剪贴板控制，可限制剪贴板的文件上行、字符上行、文件下行、字符下行操作，可限制剪贴板传输字符长度； </w:t>
            </w:r>
          </w:p>
        </w:tc>
      </w:tr>
      <w:tr w14:paraId="52BEA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454" w:type="pct"/>
            <w:vMerge w:val="continue"/>
            <w:vAlign w:val="center"/>
          </w:tcPr>
          <w:p w14:paraId="3FA9B70B">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1056" w:type="pct"/>
            <w:vMerge w:val="continue"/>
            <w:vAlign w:val="center"/>
          </w:tcPr>
          <w:p w14:paraId="5E07C20F">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489" w:type="pct"/>
            <w:vAlign w:val="center"/>
          </w:tcPr>
          <w:p w14:paraId="36E2A7F0">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color w:val="FF0000"/>
                <w:kern w:val="0"/>
                <w:sz w:val="21"/>
                <w:szCs w:val="21"/>
              </w:rPr>
              <w:t>▲3</w:t>
            </w:r>
            <w:r>
              <w:rPr>
                <w:rFonts w:hint="eastAsia" w:ascii="宋体" w:hAnsi="宋体"/>
                <w:b/>
                <w:bCs/>
                <w:color w:val="FF0000"/>
                <w:kern w:val="0"/>
                <w:sz w:val="21"/>
                <w:szCs w:val="21"/>
              </w:rPr>
              <w:t>.支持等价资产管理和等价账号管理，当等价关系设定后，其中一台资产内的账号密码发生变更，等价的资产、账号密码随之自动变更。（投标时提供设备或软件的系统功能截图，截图可证明支持上述功能，并加盖投标人公章）</w:t>
            </w:r>
          </w:p>
        </w:tc>
      </w:tr>
      <w:tr w14:paraId="6430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454" w:type="pct"/>
            <w:vMerge w:val="continue"/>
            <w:vAlign w:val="center"/>
          </w:tcPr>
          <w:p w14:paraId="4219868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73AF1B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0199B8A8">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4.支持变更单管理功能，管理员可以基于使用人、资产、系统账号、到期时间，来上传、创建值班表模式的权限变更单，变更单无需审批，但可以自动生成时效性的访问权限；当变更单即将到期时，支持管理员点击延期按钮，延长用户访问权限。（投标时提供设备或软件的系统功能截图，截图可证明支持上述功能，并加盖投标人公章）</w:t>
            </w:r>
          </w:p>
        </w:tc>
      </w:tr>
      <w:tr w14:paraId="24AB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454" w:type="pct"/>
            <w:vMerge w:val="continue"/>
            <w:vAlign w:val="center"/>
          </w:tcPr>
          <w:p w14:paraId="0BD14F8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17B7A89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tcPr>
          <w:p w14:paraId="1ABDFE5F">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5.支持基于A/B角管理模式的双人复核，当用户登录到目标资产时，必须经过复核人的复核确认后才能正常操作；当会话复核人发现操作存在风险，可实时暂停。支持远程授权码授权模式：操作人员访问资产时，只需输入复核人的授权码即可实现授权访问，管理员无需在线值守。（投标时提供设备或软件的系统功能截图，截图可证明支持上述功能，并加盖投标人公章）</w:t>
            </w:r>
          </w:p>
        </w:tc>
      </w:tr>
      <w:tr w14:paraId="50D93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454" w:type="pct"/>
            <w:vMerge w:val="continue"/>
            <w:vAlign w:val="center"/>
          </w:tcPr>
          <w:p w14:paraId="19A24E1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BBBF13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60CF57E3">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6.内置密码获取工单：申请人可根据需要填写包含目标资产名称、系统账号名称、使用时间段的密码工单；管理员对密码工单审批通过后，系统自动将密码获取链接发送给申请人；申请人打开链接后，可凭借登录密码+解密密码，获取对应的账号密码；工单过期后，系统自动对该账号进行改密操作；（投标时提供设备或软件的系统功能截图，截图可证明支持上述功能，并加盖投标人公章）</w:t>
            </w:r>
          </w:p>
        </w:tc>
      </w:tr>
      <w:tr w14:paraId="1FD9F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454" w:type="pct"/>
            <w:vMerge w:val="continue"/>
            <w:vAlign w:val="center"/>
          </w:tcPr>
          <w:p w14:paraId="2028C64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1117582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5477546F">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7.具备命令识别方面的先进性技术，可实现对命令行操作行为的100%记录；具备数据库审计方面的先进性技术，可实现对oracle、sqlserver、mysql数据库客户端操作行为的100%的SQL语句解析审计，非键盘记录；</w:t>
            </w:r>
          </w:p>
        </w:tc>
      </w:tr>
      <w:tr w14:paraId="54AD2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36" w:hRule="atLeast"/>
          <w:jc w:val="center"/>
        </w:trPr>
        <w:tc>
          <w:tcPr>
            <w:tcW w:w="454" w:type="pct"/>
            <w:vMerge w:val="continue"/>
            <w:vAlign w:val="center"/>
          </w:tcPr>
          <w:p w14:paraId="0844A44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B73373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44314842">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8.支持审计可疑会话，将超过一定时长，或会话日志超过一定大小的在线会话视作可疑会话，以告警的形式通知审计人员，并支持审计人员实时查看会话内容，必要时可切断会话。（投标时提供设备或软件的系统功能截图，截图可证明支持上述功能，并加盖投标人公章）</w:t>
            </w:r>
          </w:p>
        </w:tc>
      </w:tr>
      <w:tr w14:paraId="386B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454" w:type="pct"/>
            <w:vMerge w:val="restart"/>
            <w:vAlign w:val="center"/>
          </w:tcPr>
          <w:p w14:paraId="05B7A29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19</w:t>
            </w:r>
          </w:p>
        </w:tc>
        <w:tc>
          <w:tcPr>
            <w:tcW w:w="1056" w:type="pct"/>
            <w:vMerge w:val="restart"/>
            <w:vAlign w:val="center"/>
          </w:tcPr>
          <w:p w14:paraId="1B34D48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★集成服务</w:t>
            </w:r>
          </w:p>
        </w:tc>
        <w:tc>
          <w:tcPr>
            <w:tcW w:w="3489" w:type="pct"/>
            <w:vAlign w:val="center"/>
          </w:tcPr>
          <w:p w14:paraId="7F1CC517">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 完成对所有采购内容及相关配套附件等安装、调试，与现有系统及设备的对接，以及正常运行、管理运维等所需环境的改造，包含且不限于功能区隔墙、墙面粉刷、地面防静电地板、强弱电桥架、空调水管系统、新排风管道、消防疏散指示和配套插座照明配电、机柜、空调、新风排风系统等配电、给排水系统、网络综合布线工程、原智能化各系统对接，做到机房各功能区布局合理、安全设备措施完备，达到机房设备正常运行所需的温度、湿度、洁净度及防静电的要求，提供精密空调冷冻水供回水管路系统的产品设计、生产供货、安装调试、售后服务，无缝钢管和各类阀门使用国标优质材料，管路严格保温，合理设置滤网、温度计和压力表等，便于系统维护和保养。</w:t>
            </w:r>
          </w:p>
          <w:p w14:paraId="0BAB0EDD">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本项目会组织踏勘，</w:t>
            </w:r>
            <w:r>
              <w:rPr>
                <w:rFonts w:hint="eastAsia" w:ascii="宋体" w:hAnsi="宋体"/>
                <w:b/>
                <w:bCs/>
                <w:color w:val="FF0000"/>
                <w:sz w:val="21"/>
                <w:szCs w:val="21"/>
                <w:highlight w:val="yellow"/>
              </w:rPr>
              <w:t>中标人不得以不了解现场情况为由，不履行施工义务。</w:t>
            </w:r>
            <w:r>
              <w:rPr>
                <w:rFonts w:hint="eastAsia" w:ascii="宋体" w:hAnsi="宋体"/>
                <w:b/>
                <w:color w:val="FF0000"/>
                <w:sz w:val="21"/>
                <w:szCs w:val="21"/>
                <w:highlight w:val="yellow"/>
              </w:rPr>
              <w:t>（投标时提供承诺书并加盖投标人公章，格式自拟）</w:t>
            </w:r>
          </w:p>
        </w:tc>
      </w:tr>
      <w:tr w14:paraId="499CB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454" w:type="pct"/>
            <w:vMerge w:val="continue"/>
            <w:vAlign w:val="center"/>
          </w:tcPr>
          <w:p w14:paraId="28CFCBD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04EB2E6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02F6253F">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2.为更好保障科研平台的稳定性：</w:t>
            </w:r>
          </w:p>
          <w:p w14:paraId="512341D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2.1 投标产品中（以</w:t>
            </w:r>
            <w:r>
              <w:rPr>
                <w:rFonts w:hint="eastAsia" w:ascii="宋体" w:hAnsi="宋体"/>
                <w:kern w:val="0"/>
                <w:sz w:val="21"/>
                <w:szCs w:val="21"/>
                <w:lang w:val="en-US" w:eastAsia="zh-CN"/>
              </w:rPr>
              <w:t>分项报价表</w:t>
            </w:r>
            <w:r>
              <w:rPr>
                <w:rFonts w:hint="eastAsia" w:ascii="宋体" w:hAnsi="宋体"/>
                <w:kern w:val="0"/>
                <w:sz w:val="21"/>
                <w:szCs w:val="21"/>
              </w:rPr>
              <w:t>为准）：</w:t>
            </w:r>
            <w:r>
              <w:rPr>
                <w:rFonts w:hint="eastAsia" w:ascii="宋体" w:hAnsi="宋体"/>
                <w:sz w:val="21"/>
                <w:szCs w:val="21"/>
              </w:rPr>
              <w:t>2.</w:t>
            </w:r>
            <w:r>
              <w:rPr>
                <w:rFonts w:ascii="宋体" w:hAnsi="宋体"/>
                <w:sz w:val="21"/>
                <w:szCs w:val="21"/>
              </w:rPr>
              <w:t>4</w:t>
            </w:r>
            <w:r>
              <w:rPr>
                <w:rFonts w:hint="eastAsia" w:ascii="宋体" w:hAnsi="宋体"/>
                <w:sz w:val="21"/>
                <w:szCs w:val="21"/>
              </w:rPr>
              <w:t>MW配电柜系统（序号7）</w:t>
            </w:r>
            <w:r>
              <w:rPr>
                <w:rFonts w:hint="eastAsia" w:ascii="宋体" w:hAnsi="宋体"/>
                <w:kern w:val="0"/>
                <w:sz w:val="21"/>
                <w:szCs w:val="21"/>
              </w:rPr>
              <w:t>、UPS及功率模块（序号5）、小母线（序号9）三个产品必须为同一品牌；</w:t>
            </w:r>
          </w:p>
          <w:p w14:paraId="01EE00A2">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2.2投标产品中（以</w:t>
            </w:r>
            <w:r>
              <w:rPr>
                <w:rFonts w:hint="eastAsia" w:ascii="宋体" w:hAnsi="宋体"/>
                <w:kern w:val="0"/>
                <w:sz w:val="21"/>
                <w:szCs w:val="21"/>
                <w:lang w:val="en-US" w:eastAsia="zh-CN"/>
              </w:rPr>
              <w:t>分项报价表</w:t>
            </w:r>
            <w:r>
              <w:rPr>
                <w:rFonts w:hint="eastAsia" w:ascii="宋体" w:hAnsi="宋体"/>
                <w:kern w:val="0"/>
                <w:sz w:val="21"/>
                <w:szCs w:val="21"/>
              </w:rPr>
              <w:t>为准）：密闭冷通道组件（序号3）、服务器机柜1和2（序号1和2）以及水冷型行间空调（序号11）四个产品必须为同一品牌；</w:t>
            </w:r>
          </w:p>
        </w:tc>
      </w:tr>
      <w:tr w14:paraId="1EE4E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454" w:type="pct"/>
            <w:vMerge w:val="continue"/>
            <w:vAlign w:val="center"/>
          </w:tcPr>
          <w:p w14:paraId="5EB07D2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43DB06F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2C5EC6C2">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3．屏蔽机房需选择具备相关资质的单位进行建设实施，建设规范及设备满足有关部门对电磁屏蔽的要求，建设完成后需通过甲方委托的测评机构的安全检测评估。</w:t>
            </w:r>
          </w:p>
          <w:p w14:paraId="3CF18DF3">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3.1技术团队要求</w:t>
            </w:r>
          </w:p>
          <w:p w14:paraId="6220C5D2">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屏蔽壳体承建单位的专家团队需要具备：项目经理、高级工程师、高级系统集成项目管理师、电气专业贰级或以上注册建造师证书且具备安全生产考核合格证书、备案的安全管理人员、安全员等方面的人才，可以为采购人提供完善的信息安全整套解决方案、及技术咨询、技术服务。</w:t>
            </w:r>
          </w:p>
          <w:p w14:paraId="702F04B9">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3.2专业检测设备要求</w:t>
            </w:r>
          </w:p>
          <w:p w14:paraId="212830D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屏蔽壳体建设完成后，屏蔽壳体承建单位需具备自我检查的能力，能够开展电磁泄漏和传导泄漏检查分析以及屏蔽室的屏蔽效能的检测。</w:t>
            </w:r>
          </w:p>
          <w:p w14:paraId="2E1CDF54">
            <w:pPr>
              <w:keepNext w:val="0"/>
              <w:keepLines w:val="0"/>
              <w:pageBreakBefore w:val="0"/>
              <w:kinsoku/>
              <w:wordWrap/>
              <w:overflowPunct/>
              <w:topLinePunct w:val="0"/>
              <w:bidi w:val="0"/>
              <w:spacing w:line="276" w:lineRule="auto"/>
              <w:rPr>
                <w:sz w:val="21"/>
                <w:szCs w:val="21"/>
              </w:rPr>
            </w:pPr>
            <w:r>
              <w:rPr>
                <w:rFonts w:hint="eastAsia" w:ascii="宋体" w:hAnsi="宋体"/>
                <w:b/>
                <w:bCs/>
                <w:color w:val="FF0000"/>
                <w:kern w:val="0"/>
                <w:sz w:val="21"/>
                <w:szCs w:val="21"/>
                <w:highlight w:val="yellow"/>
              </w:rPr>
              <w:t>3.3 服务网点及团队</w:t>
            </w:r>
            <w:r>
              <w:rPr>
                <w:rFonts w:hint="eastAsia" w:ascii="宋体" w:hAnsi="宋体"/>
                <w:b/>
                <w:bCs/>
                <w:color w:val="FF0000"/>
                <w:sz w:val="21"/>
                <w:szCs w:val="21"/>
                <w:highlight w:val="yellow"/>
              </w:rPr>
              <w:t>：投标人承诺中标后提供本地经营（服务）网点，并提供不少于10人的团队服务于本项目。（要求投标时提供承诺函（格式自拟）扫描件或复印件，并加盖投标人公章）</w:t>
            </w:r>
          </w:p>
        </w:tc>
      </w:tr>
      <w:tr w14:paraId="37AC4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454" w:type="pct"/>
            <w:vMerge w:val="continue"/>
            <w:vAlign w:val="center"/>
          </w:tcPr>
          <w:p w14:paraId="1F284E6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1056" w:type="pct"/>
            <w:vMerge w:val="continue"/>
            <w:vAlign w:val="center"/>
          </w:tcPr>
          <w:p w14:paraId="5F42689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3489" w:type="pct"/>
            <w:vAlign w:val="center"/>
          </w:tcPr>
          <w:p w14:paraId="46BD1D42">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 xml:space="preserve">4. </w:t>
            </w:r>
            <w:r>
              <w:rPr>
                <w:rFonts w:hint="eastAsia" w:ascii="宋体" w:hAnsi="宋体"/>
                <w:kern w:val="0"/>
                <w:sz w:val="21"/>
                <w:szCs w:val="21"/>
              </w:rPr>
              <w:t>配电系统提供一体化服务，包含产品设计生产、工程组装调试、现场督导、售后服务等，并接入动环系统，提供统一的管理界面。</w:t>
            </w:r>
          </w:p>
          <w:p w14:paraId="4CE49A46">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5.给排水系统包含但不限于给排水管道、阀门、水表、磁性密封防干涸地漏、检查口及其安装工程等内容。</w:t>
            </w:r>
          </w:p>
          <w:p w14:paraId="60AE54F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 xml:space="preserve">（1）增加排水地漏及排水管道                              </w:t>
            </w:r>
          </w:p>
          <w:p w14:paraId="2F2E6638">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（2）增加补水管及阀门</w:t>
            </w:r>
          </w:p>
          <w:p w14:paraId="3C265A7A">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 xml:space="preserve">6. </w:t>
            </w:r>
            <w:r>
              <w:rPr>
                <w:rFonts w:hint="eastAsia" w:ascii="宋体" w:hAnsi="宋体"/>
                <w:kern w:val="0"/>
                <w:sz w:val="21"/>
                <w:szCs w:val="21"/>
              </w:rPr>
              <w:t>网络综合布线设备：</w:t>
            </w:r>
          </w:p>
          <w:p w14:paraId="0821CD6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（1）包括本项目通信由室外引至一层汇聚机房，再由汇聚机房引至二层微模块机柜内通讯，网络，电缆，光纤，网格桥架，光纤槽等所有通信设备。</w:t>
            </w:r>
          </w:p>
          <w:p w14:paraId="4F9F59A7">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（2）包括ECC办公，操作台和机房内网络通讯电缆，桥架等综合布线设备。</w:t>
            </w:r>
          </w:p>
          <w:p w14:paraId="525F5FD7">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（3）设计OM4的预端接光纤，尾纤，UTP网线，光纤配线架，网络柜等。</w:t>
            </w:r>
          </w:p>
          <w:p w14:paraId="6D187BD0">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 xml:space="preserve">7. </w:t>
            </w:r>
            <w:r>
              <w:rPr>
                <w:rFonts w:hint="eastAsia" w:ascii="宋体" w:hAnsi="宋体"/>
                <w:kern w:val="0"/>
                <w:sz w:val="21"/>
                <w:szCs w:val="21"/>
              </w:rPr>
              <w:t>智能化系统在园区已有系统上扩容：</w:t>
            </w:r>
          </w:p>
          <w:p w14:paraId="065675AA">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（1）监控系统：包括数据机房内的微模块内通道对射监控、机房内监控至ECC监控机柜内设备，管线，桥架，存储设施。</w:t>
            </w:r>
          </w:p>
          <w:p w14:paraId="1FE103D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（2）BA系统：包括电力监控系统，漏水检测系统等所有管线，机组等设施。</w:t>
            </w:r>
          </w:p>
          <w:p w14:paraId="455B14A1">
            <w:pPr>
              <w:keepNext w:val="0"/>
              <w:keepLines w:val="0"/>
              <w:pageBreakBefore w:val="0"/>
              <w:kinsoku/>
              <w:wordWrap/>
              <w:overflowPunct/>
              <w:topLinePunct w:val="0"/>
              <w:bidi w:val="0"/>
              <w:spacing w:line="276" w:lineRule="auto"/>
              <w:rPr>
                <w:rFonts w:ascii="宋体" w:hAnsi="宋体"/>
                <w:b/>
                <w:bCs/>
                <w:color w:val="FF0000"/>
                <w:kern w:val="0"/>
                <w:sz w:val="21"/>
                <w:szCs w:val="21"/>
              </w:rPr>
            </w:pPr>
            <w:r>
              <w:rPr>
                <w:rFonts w:hint="eastAsia" w:ascii="宋体" w:hAnsi="宋体"/>
                <w:kern w:val="0"/>
                <w:sz w:val="21"/>
                <w:szCs w:val="21"/>
              </w:rPr>
              <w:t>（3）门禁系统：包括机房，电池室，电力室，空调间，ECC及其他房间的门禁设备，包括门禁控制器，感应读卡器，电磁锁及其软件设备。</w:t>
            </w:r>
          </w:p>
        </w:tc>
      </w:tr>
    </w:tbl>
    <w:p w14:paraId="6CD75425">
      <w:pPr>
        <w:pStyle w:val="2"/>
        <w:rPr>
          <w:b/>
          <w:color w:val="FF0000"/>
        </w:rPr>
      </w:pPr>
    </w:p>
    <w:bookmarkEnd w:id="43"/>
    <w:p w14:paraId="7E669A78">
      <w:pPr>
        <w:pStyle w:val="7"/>
        <w:spacing w:before="156" w:beforeLines="50" w:after="156" w:afterLines="50"/>
        <w:rPr>
          <w:sz w:val="28"/>
          <w:szCs w:val="28"/>
        </w:rPr>
      </w:pPr>
      <w:r>
        <w:rPr>
          <w:rFonts w:hint="eastAsia"/>
          <w:sz w:val="28"/>
          <w:szCs w:val="28"/>
        </w:rPr>
        <w:t>五、商务要求</w:t>
      </w:r>
    </w:p>
    <w:p w14:paraId="63584A10">
      <w:pPr>
        <w:ind w:firstLine="422" w:firstLineChars="200"/>
        <w:rPr>
          <w:b/>
        </w:rPr>
      </w:pPr>
      <w:r>
        <w:rPr>
          <w:rFonts w:hint="eastAsia"/>
          <w:b/>
          <w:szCs w:val="21"/>
        </w:rPr>
        <w:t>说明：</w:t>
      </w:r>
      <w:r>
        <w:rPr>
          <w:b/>
        </w:rPr>
        <w:t>1</w:t>
      </w:r>
      <w:r>
        <w:rPr>
          <w:rFonts w:hint="eastAsia"/>
          <w:b/>
        </w:rPr>
        <w:t>、评分时，如对一项招标商务要求（以划分框为准）中的内容存在两处（或以上）负偏离的，在评分时只作一项负偏离扣分。</w:t>
      </w:r>
    </w:p>
    <w:p w14:paraId="730EC85A">
      <w:pPr>
        <w:numPr>
          <w:ilvl w:val="0"/>
          <w:numId w:val="8"/>
        </w:numPr>
        <w:ind w:firstLine="422" w:firstLineChars="200"/>
        <w:rPr>
          <w:b/>
          <w:szCs w:val="21"/>
        </w:rPr>
      </w:pPr>
      <w:r>
        <w:rPr>
          <w:rFonts w:hint="eastAsia"/>
          <w:b/>
          <w:szCs w:val="21"/>
        </w:rPr>
        <w:t>带“</w:t>
      </w:r>
      <w:r>
        <w:rPr>
          <w:rFonts w:hint="eastAsia" w:ascii="宋体" w:hAnsi="宋体" w:cs="宋体"/>
          <w:b/>
          <w:szCs w:val="21"/>
        </w:rPr>
        <w:t>★</w:t>
      </w:r>
      <w:r>
        <w:rPr>
          <w:rFonts w:hint="eastAsia"/>
          <w:b/>
          <w:szCs w:val="21"/>
        </w:rPr>
        <w:t>”指标项为实质性条款，如出现负偏离，将被视为未实质性满足招标文件要求作投标无效处理；带“</w:t>
      </w:r>
      <w:r>
        <w:t>▲</w:t>
      </w:r>
      <w:r>
        <w:rPr>
          <w:rFonts w:hint="eastAsia"/>
          <w:b/>
          <w:szCs w:val="21"/>
        </w:rPr>
        <w:t>”指标项为重要参数，负偏离时依相关评分准则内容作重点扣分处理。</w:t>
      </w:r>
    </w:p>
    <w:p w14:paraId="374877DA">
      <w:pPr>
        <w:pStyle w:val="9"/>
        <w:spacing w:before="78" w:beforeLines="25" w:after="78" w:afterLines="25"/>
        <w:ind w:firstLine="0"/>
        <w:rPr>
          <w:rFonts w:ascii="宋体" w:hAnsi="宋体"/>
          <w:szCs w:val="21"/>
        </w:rPr>
      </w:pPr>
    </w:p>
    <w:tbl>
      <w:tblPr>
        <w:tblStyle w:val="4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1452"/>
        <w:gridCol w:w="6321"/>
      </w:tblGrid>
      <w:tr w14:paraId="77CC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14:paraId="3D7CEC6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序号</w:t>
            </w:r>
          </w:p>
        </w:tc>
        <w:tc>
          <w:tcPr>
            <w:tcW w:w="852" w:type="pct"/>
            <w:tcBorders>
              <w:top w:val="single" w:color="auto" w:sz="4" w:space="0"/>
              <w:left w:val="single" w:color="auto" w:sz="4" w:space="0"/>
              <w:bottom w:val="single" w:color="auto" w:sz="4" w:space="0"/>
              <w:right w:val="single" w:color="auto" w:sz="4" w:space="0"/>
            </w:tcBorders>
            <w:vAlign w:val="center"/>
          </w:tcPr>
          <w:p w14:paraId="142BD22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目录</w:t>
            </w:r>
          </w:p>
        </w:tc>
        <w:tc>
          <w:tcPr>
            <w:tcW w:w="3708" w:type="pct"/>
            <w:tcBorders>
              <w:top w:val="single" w:color="auto" w:sz="4" w:space="0"/>
              <w:left w:val="single" w:color="auto" w:sz="4" w:space="0"/>
              <w:bottom w:val="single" w:color="auto" w:sz="4" w:space="0"/>
              <w:right w:val="single" w:color="auto" w:sz="4" w:space="0"/>
            </w:tcBorders>
            <w:vAlign w:val="center"/>
          </w:tcPr>
          <w:p w14:paraId="53E87938">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商务需求</w:t>
            </w:r>
          </w:p>
        </w:tc>
      </w:tr>
      <w:tr w14:paraId="6081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438" w:type="pct"/>
            <w:vMerge w:val="restart"/>
            <w:tcBorders>
              <w:top w:val="single" w:color="auto" w:sz="4" w:space="0"/>
              <w:left w:val="single" w:color="auto" w:sz="4" w:space="0"/>
              <w:bottom w:val="single" w:color="auto" w:sz="4" w:space="0"/>
              <w:right w:val="single" w:color="auto" w:sz="4" w:space="0"/>
            </w:tcBorders>
            <w:vAlign w:val="center"/>
          </w:tcPr>
          <w:p w14:paraId="54F6BB71">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1</w:t>
            </w:r>
          </w:p>
        </w:tc>
        <w:tc>
          <w:tcPr>
            <w:tcW w:w="852" w:type="pct"/>
            <w:vMerge w:val="restart"/>
            <w:tcBorders>
              <w:top w:val="single" w:color="auto" w:sz="4" w:space="0"/>
              <w:left w:val="single" w:color="auto" w:sz="4" w:space="0"/>
              <w:bottom w:val="single" w:color="auto" w:sz="4" w:space="0"/>
              <w:right w:val="single" w:color="auto" w:sz="4" w:space="0"/>
            </w:tcBorders>
            <w:vAlign w:val="center"/>
          </w:tcPr>
          <w:p w14:paraId="356C6B32">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r>
              <w:rPr>
                <w:rFonts w:hint="eastAsia" w:ascii="宋体" w:hAnsi="宋体"/>
                <w:sz w:val="21"/>
                <w:szCs w:val="21"/>
              </w:rPr>
              <w:t>★</w:t>
            </w:r>
            <w:r>
              <w:rPr>
                <w:rFonts w:hint="eastAsia" w:ascii="宋体" w:hAnsi="宋体"/>
                <w:b/>
                <w:sz w:val="21"/>
                <w:szCs w:val="21"/>
              </w:rPr>
              <w:t>关于交货</w:t>
            </w:r>
          </w:p>
        </w:tc>
        <w:tc>
          <w:tcPr>
            <w:tcW w:w="3708" w:type="pct"/>
            <w:tcBorders>
              <w:top w:val="single" w:color="auto" w:sz="4" w:space="0"/>
              <w:left w:val="single" w:color="auto" w:sz="4" w:space="0"/>
              <w:bottom w:val="single" w:color="auto" w:sz="4" w:space="0"/>
              <w:right w:val="single" w:color="auto" w:sz="4" w:space="0"/>
            </w:tcBorders>
          </w:tcPr>
          <w:p w14:paraId="3D1F0DBD">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1.1交货地点：深圳市南山区。</w:t>
            </w:r>
          </w:p>
        </w:tc>
      </w:tr>
      <w:tr w14:paraId="77C09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5DD77AF4">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bottom w:val="single" w:color="auto" w:sz="4" w:space="0"/>
              <w:right w:val="single" w:color="auto" w:sz="4" w:space="0"/>
            </w:tcBorders>
            <w:vAlign w:val="center"/>
          </w:tcPr>
          <w:p w14:paraId="64FE9AB0">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10E346D8">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1.2</w:t>
            </w:r>
            <w:r>
              <w:rPr>
                <w:rFonts w:hint="eastAsia" w:ascii="宋体" w:hAnsi="宋体"/>
                <w:bCs/>
                <w:sz w:val="21"/>
                <w:szCs w:val="21"/>
                <w:lang w:val="zh-CN"/>
              </w:rPr>
              <w:t>交货期：合同签订后</w:t>
            </w:r>
            <w:r>
              <w:rPr>
                <w:rFonts w:hint="eastAsia" w:ascii="宋体" w:hAnsi="宋体"/>
                <w:bCs/>
                <w:sz w:val="21"/>
                <w:szCs w:val="21"/>
              </w:rPr>
              <w:t>15日内</w:t>
            </w:r>
            <w:r>
              <w:rPr>
                <w:rFonts w:hint="eastAsia" w:ascii="宋体" w:hAnsi="宋体"/>
                <w:bCs/>
                <w:sz w:val="21"/>
                <w:szCs w:val="21"/>
                <w:lang w:val="zh-CN"/>
              </w:rPr>
              <w:t>（自然日）</w:t>
            </w:r>
            <w:r>
              <w:rPr>
                <w:rFonts w:hint="eastAsia" w:ascii="宋体" w:hAnsi="宋体"/>
                <w:bCs/>
                <w:sz w:val="21"/>
                <w:szCs w:val="21"/>
              </w:rPr>
              <w:t>主要设备到达现场，</w:t>
            </w:r>
            <w:r>
              <w:rPr>
                <w:rFonts w:ascii="宋体" w:hAnsi="宋体"/>
                <w:bCs/>
                <w:sz w:val="21"/>
                <w:szCs w:val="21"/>
              </w:rPr>
              <w:t>6</w:t>
            </w:r>
            <w:r>
              <w:rPr>
                <w:rFonts w:hint="eastAsia" w:ascii="宋体" w:hAnsi="宋体"/>
                <w:bCs/>
                <w:sz w:val="21"/>
                <w:szCs w:val="21"/>
                <w:lang w:val="zh-CN"/>
              </w:rPr>
              <w:t>0日内（自然日）交付合同条款约定的货物</w:t>
            </w:r>
            <w:r>
              <w:rPr>
                <w:rFonts w:hint="eastAsia" w:ascii="宋体" w:hAnsi="宋体"/>
                <w:bCs/>
                <w:sz w:val="21"/>
                <w:szCs w:val="21"/>
              </w:rPr>
              <w:t>。</w:t>
            </w:r>
          </w:p>
        </w:tc>
      </w:tr>
      <w:tr w14:paraId="43A98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536A6EEA">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bottom w:val="single" w:color="auto" w:sz="4" w:space="0"/>
              <w:right w:val="single" w:color="auto" w:sz="4" w:space="0"/>
            </w:tcBorders>
            <w:vAlign w:val="center"/>
          </w:tcPr>
          <w:p w14:paraId="4D3C08E2">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53ED0AB7">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1.3当货物抵达交货地点时，由中标人自行安排的工作人员和货运方验收货物并签收运单，采购人提供存放地点，采购人对于货物运输过程出现的问题以及其他问题不负任何责任。</w:t>
            </w:r>
          </w:p>
        </w:tc>
      </w:tr>
      <w:tr w14:paraId="35E90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6A4E0BDA">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1.4</w:t>
            </w:r>
          </w:p>
        </w:tc>
        <w:tc>
          <w:tcPr>
            <w:tcW w:w="852" w:type="pct"/>
            <w:vMerge w:val="continue"/>
            <w:tcBorders>
              <w:top w:val="single" w:color="auto" w:sz="4" w:space="0"/>
              <w:left w:val="single" w:color="auto" w:sz="4" w:space="0"/>
              <w:bottom w:val="single" w:color="auto" w:sz="4" w:space="0"/>
              <w:right w:val="single" w:color="auto" w:sz="4" w:space="0"/>
            </w:tcBorders>
            <w:vAlign w:val="center"/>
          </w:tcPr>
          <w:p w14:paraId="2704F77F">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3FA7EE6D">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1.4签订合同前，采购人有权要求中标人提供每类产品至少1台样机用于检验或进行厂验。检验内容由采购人根据技术要求自行检测，或邀请第三方检测。如果检测结果与中标人承诺不符，</w:t>
            </w:r>
            <w:r>
              <w:rPr>
                <w:rFonts w:hint="eastAsia" w:ascii="宋体" w:hAnsi="宋体"/>
                <w:color w:val="000000" w:themeColor="text1"/>
                <w:sz w:val="21"/>
                <w:szCs w:val="21"/>
                <w14:textFill>
                  <w14:solidFill>
                    <w14:schemeClr w14:val="tx1"/>
                  </w14:solidFill>
                </w14:textFill>
              </w:rPr>
              <w:t>采购人有权要求中标人限期重新提供符合要求的产品，同时</w:t>
            </w:r>
            <w:r>
              <w:rPr>
                <w:rFonts w:hint="eastAsia"/>
                <w:sz w:val="21"/>
                <w:szCs w:val="21"/>
              </w:rPr>
              <w:t>采购人有权视情况报财政主管部门申请解除合同，</w:t>
            </w:r>
            <w:r>
              <w:rPr>
                <w:rFonts w:hint="eastAsia" w:ascii="宋体" w:hAnsi="宋体"/>
                <w:color w:val="000000" w:themeColor="text1"/>
                <w:sz w:val="21"/>
                <w:szCs w:val="21"/>
                <w14:textFill>
                  <w14:solidFill>
                    <w14:schemeClr w14:val="tx1"/>
                  </w14:solidFill>
                </w14:textFill>
              </w:rPr>
              <w:t>由此造成的一</w:t>
            </w:r>
            <w:r>
              <w:rPr>
                <w:rFonts w:hint="eastAsia" w:ascii="宋体" w:hAnsi="宋体"/>
                <w:kern w:val="0"/>
                <w:sz w:val="21"/>
                <w:szCs w:val="21"/>
                <w:lang w:val="zh-CN"/>
              </w:rPr>
              <w:t>切损失由中标人承</w:t>
            </w:r>
            <w:r>
              <w:rPr>
                <w:rFonts w:hint="eastAsia" w:ascii="宋体" w:hAnsi="宋体"/>
                <w:color w:val="000000" w:themeColor="text1"/>
                <w:sz w:val="21"/>
                <w:szCs w:val="21"/>
                <w14:textFill>
                  <w14:solidFill>
                    <w14:schemeClr w14:val="tx1"/>
                  </w14:solidFill>
                </w14:textFill>
              </w:rPr>
              <w:t>担。</w:t>
            </w:r>
          </w:p>
        </w:tc>
      </w:tr>
      <w:tr w14:paraId="2A54C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4C94F82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bottom w:val="single" w:color="auto" w:sz="4" w:space="0"/>
              <w:right w:val="single" w:color="auto" w:sz="4" w:space="0"/>
            </w:tcBorders>
            <w:vAlign w:val="center"/>
          </w:tcPr>
          <w:p w14:paraId="6E0BAF4D">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6E3E0E74">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1.5中标人必须承担设备运输、安装调试、验收检测和提供设备操作说明书、图纸等其他类似的义务。</w:t>
            </w:r>
          </w:p>
          <w:p w14:paraId="341785E5">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1.6实际交付产品，必须与应标方案中所选产品的品牌型号数量保持一致，如果某一产品因特殊原因无法交付，经采购人同意后，可以替换为同品牌其它型号，其产品性能不能低于原投票产品，并且要求原厂出具证明函，加盖厂商公章。</w:t>
            </w:r>
          </w:p>
        </w:tc>
      </w:tr>
      <w:tr w14:paraId="64DE0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438" w:type="pct"/>
            <w:tcBorders>
              <w:top w:val="single" w:color="auto" w:sz="4" w:space="0"/>
              <w:left w:val="single" w:color="auto" w:sz="4" w:space="0"/>
              <w:right w:val="single" w:color="auto" w:sz="4" w:space="0"/>
            </w:tcBorders>
            <w:vAlign w:val="center"/>
          </w:tcPr>
          <w:p w14:paraId="26C0182A">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2</w:t>
            </w:r>
          </w:p>
        </w:tc>
        <w:tc>
          <w:tcPr>
            <w:tcW w:w="852" w:type="pct"/>
            <w:tcBorders>
              <w:top w:val="single" w:color="auto" w:sz="4" w:space="0"/>
              <w:left w:val="single" w:color="auto" w:sz="4" w:space="0"/>
              <w:right w:val="single" w:color="auto" w:sz="4" w:space="0"/>
            </w:tcBorders>
            <w:vAlign w:val="center"/>
          </w:tcPr>
          <w:p w14:paraId="076DACDA">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关于报价方式</w:t>
            </w:r>
          </w:p>
        </w:tc>
        <w:tc>
          <w:tcPr>
            <w:tcW w:w="3708" w:type="pct"/>
            <w:tcBorders>
              <w:top w:val="single" w:color="auto" w:sz="4" w:space="0"/>
              <w:left w:val="single" w:color="auto" w:sz="4" w:space="0"/>
              <w:bottom w:val="single" w:color="auto" w:sz="4" w:space="0"/>
              <w:right w:val="single" w:color="auto" w:sz="4" w:space="0"/>
            </w:tcBorders>
          </w:tcPr>
          <w:p w14:paraId="2476ABC0">
            <w:pPr>
              <w:pStyle w:val="44"/>
              <w:keepNext w:val="0"/>
              <w:keepLines w:val="0"/>
              <w:pageBreakBefore w:val="0"/>
              <w:widowControl w:val="0"/>
              <w:kinsoku/>
              <w:wordWrap/>
              <w:overflowPunct/>
              <w:topLinePunct w:val="0"/>
              <w:bidi w:val="0"/>
              <w:snapToGrid/>
              <w:spacing w:after="0" w:line="276" w:lineRule="auto"/>
              <w:ind w:left="0" w:leftChars="0" w:right="36" w:rightChars="17" w:firstLine="0" w:firstLineChars="0"/>
              <w:rPr>
                <w:rFonts w:ascii="宋体" w:hAnsi="宋体" w:cs="宋体"/>
                <w:sz w:val="21"/>
                <w:szCs w:val="21"/>
              </w:rPr>
            </w:pPr>
            <w:r>
              <w:rPr>
                <w:rFonts w:hint="eastAsia" w:ascii="宋体" w:hAnsi="宋体" w:cs="宋体"/>
                <w:sz w:val="21"/>
                <w:szCs w:val="21"/>
              </w:rPr>
              <w:t>（1）投标价必须是人民币含税价。</w:t>
            </w:r>
          </w:p>
          <w:p w14:paraId="40AC311B">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r>
              <w:rPr>
                <w:rFonts w:hint="eastAsia" w:ascii="宋体" w:hAnsi="宋体"/>
                <w:sz w:val="21"/>
                <w:szCs w:val="21"/>
              </w:rPr>
              <w:t>（2）投标价包含所有费用，包含但不限于仪器设备辅助设施及配件购置、税费、包装、运输、保险、装卸、调试、技术服务、培训、检测、服务、免费保修期（免费保修期内设备及部件故障的更换，维修和退运返修）、售后服务等，验收合格交付使用之前的一切费用，采购人不再另行支付其他费用。</w:t>
            </w:r>
          </w:p>
          <w:p w14:paraId="2A95EB0A">
            <w:pPr>
              <w:keepNext w:val="0"/>
              <w:keepLines w:val="0"/>
              <w:pageBreakBefore w:val="0"/>
              <w:widowControl w:val="0"/>
              <w:kinsoku/>
              <w:wordWrap/>
              <w:overflowPunct/>
              <w:topLinePunct w:val="0"/>
              <w:bidi w:val="0"/>
              <w:snapToGrid/>
              <w:spacing w:line="276" w:lineRule="auto"/>
              <w:ind w:left="0" w:leftChars="-4" w:right="36" w:rightChars="17" w:hanging="8" w:hangingChars="4"/>
              <w:rPr>
                <w:rFonts w:ascii="宋体" w:hAnsi="宋体"/>
                <w:sz w:val="21"/>
                <w:szCs w:val="21"/>
              </w:rPr>
            </w:pPr>
            <w:r>
              <w:rPr>
                <w:rFonts w:hint="eastAsia" w:ascii="宋体" w:hAnsi="宋体"/>
                <w:sz w:val="21"/>
                <w:szCs w:val="21"/>
              </w:rPr>
              <w:t>（4）本项目需求中所称的免费是指由此产生的一切费用由中标人承担，中标金额是采购人支付的唯一依据，采购人不再另行支付其他任何费用。</w:t>
            </w:r>
          </w:p>
        </w:tc>
      </w:tr>
      <w:tr w14:paraId="2B54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14:paraId="203B23C6">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3</w:t>
            </w:r>
          </w:p>
        </w:tc>
        <w:tc>
          <w:tcPr>
            <w:tcW w:w="852" w:type="pct"/>
            <w:tcBorders>
              <w:top w:val="single" w:color="auto" w:sz="4" w:space="0"/>
              <w:left w:val="single" w:color="auto" w:sz="4" w:space="0"/>
              <w:bottom w:val="single" w:color="auto" w:sz="4" w:space="0"/>
              <w:right w:val="single" w:color="auto" w:sz="4" w:space="0"/>
            </w:tcBorders>
            <w:vAlign w:val="center"/>
          </w:tcPr>
          <w:p w14:paraId="344950D9">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r>
              <w:rPr>
                <w:rFonts w:hint="eastAsia" w:ascii="宋体" w:hAnsi="宋体"/>
                <w:sz w:val="21"/>
                <w:szCs w:val="21"/>
              </w:rPr>
              <w:t>★</w:t>
            </w:r>
            <w:r>
              <w:rPr>
                <w:rFonts w:hint="eastAsia" w:ascii="宋体" w:hAnsi="宋体"/>
                <w:b/>
                <w:sz w:val="21"/>
                <w:szCs w:val="21"/>
              </w:rPr>
              <w:t>关于付款方式</w:t>
            </w:r>
          </w:p>
        </w:tc>
        <w:tc>
          <w:tcPr>
            <w:tcW w:w="3708" w:type="pct"/>
            <w:tcBorders>
              <w:top w:val="single" w:color="auto" w:sz="4" w:space="0"/>
              <w:left w:val="single" w:color="auto" w:sz="4" w:space="0"/>
              <w:right w:val="single" w:color="auto" w:sz="4" w:space="0"/>
            </w:tcBorders>
            <w:vAlign w:val="center"/>
          </w:tcPr>
          <w:p w14:paraId="4B2ABFE3">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①合同签订后，中标人提供供货清单及到货时间，经采购人确认后，支付合同总金额</w:t>
            </w:r>
            <w:r>
              <w:rPr>
                <w:rFonts w:ascii="宋体" w:hAnsi="宋体"/>
                <w:kern w:val="0"/>
                <w:sz w:val="21"/>
                <w:szCs w:val="21"/>
              </w:rPr>
              <w:t>20</w:t>
            </w:r>
            <w:r>
              <w:rPr>
                <w:rFonts w:hint="eastAsia" w:ascii="宋体" w:hAnsi="宋体"/>
                <w:kern w:val="0"/>
                <w:sz w:val="21"/>
                <w:szCs w:val="21"/>
              </w:rPr>
              <w:t>%货款；</w:t>
            </w:r>
          </w:p>
          <w:p w14:paraId="2F00B14A">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②主要设备到货后，经采购人或采购人代表确认后，支付合同总金额</w:t>
            </w:r>
            <w:r>
              <w:rPr>
                <w:rFonts w:ascii="宋体" w:hAnsi="宋体"/>
                <w:kern w:val="0"/>
                <w:sz w:val="21"/>
                <w:szCs w:val="21"/>
              </w:rPr>
              <w:t>30</w:t>
            </w:r>
            <w:r>
              <w:rPr>
                <w:rFonts w:hint="eastAsia" w:ascii="宋体" w:hAnsi="宋体"/>
                <w:kern w:val="0"/>
                <w:sz w:val="21"/>
                <w:szCs w:val="21"/>
              </w:rPr>
              <w:t>%货款；</w:t>
            </w:r>
          </w:p>
          <w:p w14:paraId="4CBCFF51">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③设备安装、调试完成，经采购人或采购人代表确认后，支付合同总金额</w:t>
            </w:r>
            <w:r>
              <w:rPr>
                <w:rFonts w:ascii="宋体" w:hAnsi="宋体"/>
                <w:kern w:val="0"/>
                <w:sz w:val="21"/>
                <w:szCs w:val="21"/>
              </w:rPr>
              <w:t>20</w:t>
            </w:r>
            <w:r>
              <w:rPr>
                <w:rFonts w:hint="eastAsia" w:ascii="宋体" w:hAnsi="宋体"/>
                <w:kern w:val="0"/>
                <w:sz w:val="21"/>
                <w:szCs w:val="21"/>
              </w:rPr>
              <w:t>%货款；</w:t>
            </w:r>
          </w:p>
          <w:p w14:paraId="4E8DCAC5">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rPr>
              <w:t>④试运行后，凭试运行报告、整改通过后的第三方测试验收报告、屏蔽机房验收报告、5年原厂保修服务证明（证明材料需要包含设备清单、服务起止日期、服务内容、服务响应时间等，盖原厂公章），经采购人或采购人代表确认后，支付合同总金额</w:t>
            </w:r>
            <w:r>
              <w:rPr>
                <w:rFonts w:ascii="宋体" w:hAnsi="宋体"/>
                <w:kern w:val="0"/>
                <w:sz w:val="21"/>
                <w:szCs w:val="21"/>
              </w:rPr>
              <w:t>3</w:t>
            </w:r>
            <w:r>
              <w:rPr>
                <w:rFonts w:hint="eastAsia" w:ascii="宋体" w:hAnsi="宋体"/>
                <w:kern w:val="0"/>
                <w:sz w:val="21"/>
                <w:szCs w:val="21"/>
              </w:rPr>
              <w:t>0%货款；</w:t>
            </w:r>
          </w:p>
        </w:tc>
      </w:tr>
      <w:tr w14:paraId="1D7A8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restart"/>
            <w:tcBorders>
              <w:top w:val="single" w:color="auto" w:sz="4" w:space="0"/>
              <w:left w:val="single" w:color="auto" w:sz="4" w:space="0"/>
              <w:right w:val="single" w:color="auto" w:sz="4" w:space="0"/>
            </w:tcBorders>
            <w:vAlign w:val="center"/>
          </w:tcPr>
          <w:p w14:paraId="32B2B12A">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4</w:t>
            </w:r>
          </w:p>
        </w:tc>
        <w:tc>
          <w:tcPr>
            <w:tcW w:w="852" w:type="pct"/>
            <w:vMerge w:val="restart"/>
            <w:tcBorders>
              <w:top w:val="single" w:color="auto" w:sz="4" w:space="0"/>
              <w:left w:val="single" w:color="auto" w:sz="4" w:space="0"/>
              <w:right w:val="single" w:color="auto" w:sz="4" w:space="0"/>
            </w:tcBorders>
            <w:vAlign w:val="center"/>
          </w:tcPr>
          <w:p w14:paraId="13C248BA">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关于售后服务和培训</w:t>
            </w:r>
          </w:p>
        </w:tc>
        <w:tc>
          <w:tcPr>
            <w:tcW w:w="3708" w:type="pct"/>
            <w:tcBorders>
              <w:top w:val="single" w:color="auto" w:sz="4" w:space="0"/>
              <w:left w:val="single" w:color="auto" w:sz="4" w:space="0"/>
              <w:bottom w:val="single" w:color="auto" w:sz="4" w:space="0"/>
              <w:right w:val="single" w:color="auto" w:sz="4" w:space="0"/>
            </w:tcBorders>
          </w:tcPr>
          <w:p w14:paraId="7371EB83">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4.1中标人需为本项目配备足够的售后服务力量；如果</w:t>
            </w:r>
            <w:r>
              <w:rPr>
                <w:rFonts w:hint="eastAsia" w:ascii="宋体" w:hAnsi="宋体"/>
                <w:kern w:val="0"/>
                <w:sz w:val="21"/>
                <w:szCs w:val="21"/>
              </w:rPr>
              <w:t>所供</w:t>
            </w:r>
            <w:r>
              <w:rPr>
                <w:rFonts w:hint="eastAsia" w:ascii="宋体" w:hAnsi="宋体"/>
                <w:kern w:val="0"/>
                <w:sz w:val="21"/>
                <w:szCs w:val="21"/>
                <w:lang w:val="zh-CN"/>
              </w:rPr>
              <w:t>设备发生故障，中标人要排查故障并修复至原最终验收指标和性能的要求。</w:t>
            </w:r>
          </w:p>
        </w:tc>
      </w:tr>
      <w:tr w14:paraId="2F553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top w:val="single" w:color="auto" w:sz="4" w:space="0"/>
              <w:left w:val="single" w:color="auto" w:sz="4" w:space="0"/>
              <w:right w:val="single" w:color="auto" w:sz="4" w:space="0"/>
            </w:tcBorders>
            <w:vAlign w:val="center"/>
          </w:tcPr>
          <w:p w14:paraId="20200A75">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right w:val="single" w:color="auto" w:sz="4" w:space="0"/>
            </w:tcBorders>
            <w:vAlign w:val="center"/>
          </w:tcPr>
          <w:p w14:paraId="6D1E6FBB">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5CB0E7A9">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4.2中标人提供</w:t>
            </w:r>
            <w:r>
              <w:rPr>
                <w:rFonts w:hint="eastAsia" w:ascii="宋体" w:hAnsi="宋体"/>
                <w:kern w:val="0"/>
                <w:sz w:val="21"/>
                <w:szCs w:val="21"/>
              </w:rPr>
              <w:t>所供</w:t>
            </w:r>
            <w:r>
              <w:rPr>
                <w:rFonts w:hint="eastAsia" w:ascii="宋体" w:hAnsi="宋体"/>
                <w:kern w:val="0"/>
                <w:sz w:val="21"/>
                <w:szCs w:val="21"/>
                <w:lang w:val="zh-CN"/>
              </w:rPr>
              <w:t>设备的免费保修期至少</w:t>
            </w:r>
            <w:r>
              <w:rPr>
                <w:rFonts w:hint="eastAsia" w:ascii="宋体" w:hAnsi="宋体"/>
                <w:kern w:val="0"/>
                <w:sz w:val="21"/>
                <w:szCs w:val="21"/>
                <w:u w:val="single"/>
                <w:lang w:val="zh-CN"/>
              </w:rPr>
              <w:t xml:space="preserve"> </w:t>
            </w:r>
            <w:r>
              <w:rPr>
                <w:rFonts w:hint="eastAsia" w:ascii="宋体" w:hAnsi="宋体"/>
                <w:kern w:val="0"/>
                <w:sz w:val="21"/>
                <w:szCs w:val="21"/>
                <w:u w:val="single"/>
              </w:rPr>
              <w:t>5</w:t>
            </w:r>
            <w:r>
              <w:rPr>
                <w:rFonts w:hint="eastAsia" w:ascii="宋体" w:hAnsi="宋体"/>
                <w:kern w:val="0"/>
                <w:sz w:val="21"/>
                <w:szCs w:val="21"/>
                <w:u w:val="single"/>
                <w:lang w:val="zh-CN"/>
              </w:rPr>
              <w:t xml:space="preserve"> </w:t>
            </w:r>
            <w:r>
              <w:rPr>
                <w:rFonts w:hint="eastAsia" w:ascii="宋体" w:hAnsi="宋体"/>
                <w:kern w:val="0"/>
                <w:sz w:val="21"/>
                <w:szCs w:val="21"/>
                <w:lang w:val="zh-CN"/>
              </w:rPr>
              <w:t>年（保修期内免费维修并更换</w:t>
            </w:r>
            <w:r>
              <w:rPr>
                <w:rFonts w:hint="eastAsia" w:ascii="宋体" w:hAnsi="宋体"/>
                <w:kern w:val="0"/>
                <w:sz w:val="21"/>
                <w:szCs w:val="21"/>
              </w:rPr>
              <w:t>有问题的</w:t>
            </w:r>
            <w:r>
              <w:rPr>
                <w:rFonts w:hint="eastAsia" w:ascii="宋体" w:hAnsi="宋体"/>
                <w:kern w:val="0"/>
                <w:sz w:val="21"/>
                <w:szCs w:val="21"/>
                <w:lang w:val="zh-CN"/>
              </w:rPr>
              <w:t>零部件，维修人员的路费、食宿等自理），</w:t>
            </w:r>
            <w:r>
              <w:rPr>
                <w:rFonts w:hint="eastAsia" w:ascii="宋体" w:hAnsi="宋体"/>
                <w:bCs/>
                <w:sz w:val="21"/>
                <w:szCs w:val="21"/>
              </w:rPr>
              <w:t>保修期自最终安装验收合格且通过第三方测试验证，签字确认之日算起。</w:t>
            </w:r>
            <w:r>
              <w:rPr>
                <w:rFonts w:ascii="宋体" w:hAnsi="宋体"/>
                <w:kern w:val="0"/>
                <w:sz w:val="21"/>
                <w:szCs w:val="21"/>
                <w:lang w:val="zh-CN"/>
              </w:rPr>
              <w:t xml:space="preserve"> </w:t>
            </w:r>
          </w:p>
        </w:tc>
      </w:tr>
      <w:tr w14:paraId="0A832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left w:val="single" w:color="auto" w:sz="4" w:space="0"/>
              <w:right w:val="single" w:color="auto" w:sz="4" w:space="0"/>
            </w:tcBorders>
            <w:vAlign w:val="center"/>
          </w:tcPr>
          <w:p w14:paraId="7332DDE0">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6B10194E">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4595D35C">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4.3中标人售后服务响应时间（24小时热线电话、email）：电话响应时间要求1小时内，到场响应时间要求4个小时内（指从接到报障至到达故障现场的时间）；email响应时间要求为24小时内。</w:t>
            </w:r>
          </w:p>
        </w:tc>
      </w:tr>
      <w:tr w14:paraId="7B19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left w:val="single" w:color="auto" w:sz="4" w:space="0"/>
              <w:right w:val="single" w:color="auto" w:sz="4" w:space="0"/>
            </w:tcBorders>
            <w:vAlign w:val="center"/>
          </w:tcPr>
          <w:p w14:paraId="6FBF9B6B">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27199C19">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568142EA">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4.4中标人必须能够随时提供全新备品，一旦设备出现问题必须保证全新备品能在24小时内到现场，48小时内解决相关问题。</w:t>
            </w:r>
          </w:p>
        </w:tc>
      </w:tr>
      <w:tr w14:paraId="0E9AA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left w:val="single" w:color="auto" w:sz="4" w:space="0"/>
              <w:right w:val="single" w:color="auto" w:sz="4" w:space="0"/>
            </w:tcBorders>
            <w:vAlign w:val="center"/>
          </w:tcPr>
          <w:p w14:paraId="66BCD5AE">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014074E4">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2712F058">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rPr>
              <w:t>4.5</w:t>
            </w:r>
            <w:r>
              <w:rPr>
                <w:rFonts w:hint="eastAsia" w:ascii="宋体" w:hAnsi="宋体"/>
                <w:kern w:val="0"/>
                <w:sz w:val="21"/>
                <w:szCs w:val="21"/>
                <w:lang w:val="zh-CN"/>
              </w:rPr>
              <w:t>为保证中标人所提供的</w:t>
            </w:r>
            <w:r>
              <w:rPr>
                <w:rFonts w:hint="eastAsia" w:ascii="宋体" w:hAnsi="宋体"/>
                <w:kern w:val="0"/>
                <w:sz w:val="21"/>
                <w:szCs w:val="21"/>
              </w:rPr>
              <w:t>所供</w:t>
            </w:r>
            <w:r>
              <w:rPr>
                <w:rFonts w:hint="eastAsia" w:ascii="宋体" w:hAnsi="宋体"/>
                <w:kern w:val="0"/>
                <w:sz w:val="21"/>
                <w:szCs w:val="21"/>
                <w:lang w:val="zh-CN"/>
              </w:rPr>
              <w:t>设备安全、可靠运行，便于采购人运行维护，中标人必须对采购人培训合格的维护和管理人员；</w:t>
            </w:r>
          </w:p>
        </w:tc>
      </w:tr>
      <w:tr w14:paraId="18264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left w:val="single" w:color="auto" w:sz="4" w:space="0"/>
              <w:right w:val="single" w:color="auto" w:sz="4" w:space="0"/>
            </w:tcBorders>
            <w:vAlign w:val="center"/>
          </w:tcPr>
          <w:p w14:paraId="3439AE2C">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584E1378">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3B0D90F7">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4.6中标人负责对采购人提供至少一次现场技术培训，以便工作人员在培训后能熟练地掌握系统的维护工作，并能及时排除大部分的系统障碍。</w:t>
            </w:r>
          </w:p>
        </w:tc>
      </w:tr>
      <w:tr w14:paraId="3BD5A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38" w:type="pct"/>
            <w:vMerge w:val="continue"/>
            <w:tcBorders>
              <w:left w:val="single" w:color="auto" w:sz="4" w:space="0"/>
              <w:right w:val="single" w:color="auto" w:sz="4" w:space="0"/>
            </w:tcBorders>
            <w:vAlign w:val="center"/>
          </w:tcPr>
          <w:p w14:paraId="4C38EFC4">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471969C2">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675B762A">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4.7中标人提供该设备的技术使用说明书及外购配件说明书，并指导在使用该设备时的操作注意。</w:t>
            </w:r>
          </w:p>
        </w:tc>
      </w:tr>
      <w:tr w14:paraId="33C87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8" w:type="pct"/>
            <w:vMerge w:val="continue"/>
            <w:tcBorders>
              <w:left w:val="single" w:color="auto" w:sz="4" w:space="0"/>
              <w:right w:val="single" w:color="auto" w:sz="4" w:space="0"/>
            </w:tcBorders>
            <w:vAlign w:val="center"/>
          </w:tcPr>
          <w:p w14:paraId="7BB0554D">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45183C66">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70D2CD44">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4.8 免费保修期外，</w:t>
            </w:r>
            <w:r>
              <w:rPr>
                <w:rFonts w:hint="eastAsia" w:ascii="宋体" w:hAnsi="宋体"/>
                <w:kern w:val="0"/>
                <w:sz w:val="21"/>
                <w:szCs w:val="21"/>
              </w:rPr>
              <w:t>主要设备</w:t>
            </w:r>
            <w:r>
              <w:rPr>
                <w:rFonts w:hint="eastAsia" w:ascii="宋体" w:hAnsi="宋体"/>
                <w:sz w:val="21"/>
                <w:szCs w:val="21"/>
              </w:rPr>
              <w:t>（</w:t>
            </w:r>
            <w:r>
              <w:rPr>
                <w:sz w:val="21"/>
                <w:szCs w:val="21"/>
              </w:rPr>
              <w:t>UPS</w:t>
            </w:r>
            <w:r>
              <w:rPr>
                <w:rFonts w:hint="eastAsia"/>
                <w:sz w:val="21"/>
                <w:szCs w:val="21"/>
              </w:rPr>
              <w:t>及功率模块、铅酸电池系统、</w:t>
            </w:r>
            <w:r>
              <w:rPr>
                <w:sz w:val="21"/>
                <w:szCs w:val="21"/>
              </w:rPr>
              <w:t>2.4MW</w:t>
            </w:r>
            <w:r>
              <w:rPr>
                <w:rFonts w:hint="eastAsia"/>
                <w:sz w:val="21"/>
                <w:szCs w:val="21"/>
              </w:rPr>
              <w:t>配电柜系统、</w:t>
            </w:r>
            <w:r>
              <w:rPr>
                <w:rFonts w:hint="eastAsia" w:ascii="宋体" w:hAnsi="宋体"/>
                <w:sz w:val="21"/>
                <w:szCs w:val="21"/>
              </w:rPr>
              <w:t>水冷型行间空调</w:t>
            </w:r>
            <w:r>
              <w:rPr>
                <w:rFonts w:hint="eastAsia"/>
                <w:sz w:val="21"/>
                <w:szCs w:val="21"/>
              </w:rPr>
              <w:t>、</w:t>
            </w:r>
            <w:r>
              <w:rPr>
                <w:rFonts w:hint="eastAsia" w:ascii="宋体" w:hAnsi="宋体"/>
                <w:sz w:val="21"/>
                <w:szCs w:val="21"/>
              </w:rPr>
              <w:t>水冷型房间级空调、风冷型行间空调、</w:t>
            </w:r>
            <w:r>
              <w:rPr>
                <w:rFonts w:hint="eastAsia"/>
                <w:sz w:val="21"/>
                <w:szCs w:val="21"/>
              </w:rPr>
              <w:t>动环管理系统</w:t>
            </w:r>
            <w:r>
              <w:rPr>
                <w:rFonts w:hint="eastAsia" w:ascii="宋体" w:hAnsi="宋体"/>
                <w:kern w:val="0"/>
                <w:sz w:val="21"/>
                <w:szCs w:val="21"/>
              </w:rPr>
              <w:t>）维保不高于合同价额的2%。</w:t>
            </w:r>
          </w:p>
        </w:tc>
      </w:tr>
      <w:tr w14:paraId="407F0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438" w:type="pct"/>
            <w:vMerge w:val="continue"/>
            <w:tcBorders>
              <w:left w:val="single" w:color="auto" w:sz="4" w:space="0"/>
              <w:right w:val="single" w:color="auto" w:sz="4" w:space="0"/>
            </w:tcBorders>
            <w:vAlign w:val="center"/>
          </w:tcPr>
          <w:p w14:paraId="4EF33D1E">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852" w:type="pct"/>
            <w:vMerge w:val="continue"/>
            <w:tcBorders>
              <w:left w:val="single" w:color="auto" w:sz="4" w:space="0"/>
              <w:right w:val="single" w:color="auto" w:sz="4" w:space="0"/>
            </w:tcBorders>
          </w:tcPr>
          <w:p w14:paraId="2BCE1999">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00E23C87">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4.9本次采</w:t>
            </w:r>
            <w:r>
              <w:rPr>
                <w:rFonts w:hint="eastAsia" w:ascii="宋体" w:hAnsi="宋体"/>
                <w:b w:val="0"/>
                <w:bCs w:val="0"/>
                <w:i w:val="0"/>
                <w:iCs w:val="0"/>
                <w:color w:val="auto"/>
                <w:kern w:val="0"/>
                <w:sz w:val="21"/>
                <w:szCs w:val="21"/>
                <w:lang w:val="zh-CN"/>
              </w:rPr>
              <w:t>购</w:t>
            </w:r>
            <w:r>
              <w:rPr>
                <w:rFonts w:hint="eastAsia" w:ascii="宋体" w:hAnsi="宋体"/>
                <w:b w:val="0"/>
                <w:bCs w:val="0"/>
                <w:i w:val="0"/>
                <w:iCs w:val="0"/>
                <w:color w:val="auto"/>
                <w:kern w:val="0"/>
                <w:sz w:val="21"/>
                <w:szCs w:val="21"/>
                <w:lang w:val="en-US" w:eastAsia="zh-CN"/>
              </w:rPr>
              <w:t>的主要设备（</w:t>
            </w:r>
            <w:r>
              <w:rPr>
                <w:b w:val="0"/>
                <w:bCs w:val="0"/>
                <w:i w:val="0"/>
                <w:iCs w:val="0"/>
                <w:color w:val="auto"/>
                <w:sz w:val="21"/>
                <w:szCs w:val="21"/>
              </w:rPr>
              <w:t>UPS</w:t>
            </w:r>
            <w:r>
              <w:rPr>
                <w:rFonts w:hint="eastAsia"/>
                <w:b w:val="0"/>
                <w:bCs w:val="0"/>
                <w:i w:val="0"/>
                <w:iCs w:val="0"/>
                <w:color w:val="auto"/>
                <w:sz w:val="21"/>
                <w:szCs w:val="21"/>
              </w:rPr>
              <w:t>及功率模块、铅酸电池系统、</w:t>
            </w:r>
            <w:r>
              <w:rPr>
                <w:b w:val="0"/>
                <w:bCs w:val="0"/>
                <w:i w:val="0"/>
                <w:iCs w:val="0"/>
                <w:color w:val="auto"/>
                <w:sz w:val="21"/>
                <w:szCs w:val="21"/>
              </w:rPr>
              <w:t>2.4MW</w:t>
            </w:r>
            <w:r>
              <w:rPr>
                <w:rFonts w:hint="eastAsia"/>
                <w:b w:val="0"/>
                <w:bCs w:val="0"/>
                <w:i w:val="0"/>
                <w:iCs w:val="0"/>
                <w:color w:val="auto"/>
                <w:sz w:val="21"/>
                <w:szCs w:val="21"/>
              </w:rPr>
              <w:t>配电柜系统、</w:t>
            </w:r>
            <w:r>
              <w:rPr>
                <w:rFonts w:hint="eastAsia" w:ascii="宋体" w:hAnsi="宋体"/>
                <w:b w:val="0"/>
                <w:bCs w:val="0"/>
                <w:i w:val="0"/>
                <w:iCs w:val="0"/>
                <w:color w:val="auto"/>
                <w:sz w:val="21"/>
                <w:szCs w:val="21"/>
              </w:rPr>
              <w:t>水冷型行间空调</w:t>
            </w:r>
            <w:r>
              <w:rPr>
                <w:rFonts w:hint="eastAsia"/>
                <w:b w:val="0"/>
                <w:bCs w:val="0"/>
                <w:i w:val="0"/>
                <w:iCs w:val="0"/>
                <w:color w:val="auto"/>
                <w:sz w:val="21"/>
                <w:szCs w:val="21"/>
              </w:rPr>
              <w:t>、</w:t>
            </w:r>
            <w:r>
              <w:rPr>
                <w:rFonts w:hint="eastAsia" w:ascii="宋体" w:hAnsi="宋体"/>
                <w:b w:val="0"/>
                <w:bCs w:val="0"/>
                <w:i w:val="0"/>
                <w:iCs w:val="0"/>
                <w:color w:val="auto"/>
                <w:sz w:val="21"/>
                <w:szCs w:val="21"/>
              </w:rPr>
              <w:t>水冷型房间级空调、风冷型行间空调、小母线、动环管理系统</w:t>
            </w:r>
            <w:r>
              <w:rPr>
                <w:rFonts w:hint="eastAsia" w:ascii="宋体" w:hAnsi="宋体"/>
                <w:b w:val="0"/>
                <w:bCs w:val="0"/>
                <w:i w:val="0"/>
                <w:iCs w:val="0"/>
                <w:color w:val="auto"/>
                <w:sz w:val="21"/>
                <w:szCs w:val="21"/>
                <w:lang w:eastAsia="zh-CN"/>
              </w:rPr>
              <w:t>、</w:t>
            </w:r>
            <w:r>
              <w:rPr>
                <w:rFonts w:hint="eastAsia" w:ascii="宋体" w:hAnsi="宋体"/>
                <w:b w:val="0"/>
                <w:bCs w:val="0"/>
                <w:i w:val="0"/>
                <w:iCs w:val="0"/>
                <w:color w:val="auto"/>
                <w:sz w:val="21"/>
                <w:szCs w:val="21"/>
                <w:lang w:val="en-US" w:eastAsia="zh-CN"/>
              </w:rPr>
              <w:t>防火墙、堡垒机等</w:t>
            </w:r>
            <w:r>
              <w:rPr>
                <w:rFonts w:hint="eastAsia" w:ascii="宋体" w:hAnsi="宋体"/>
                <w:b w:val="0"/>
                <w:bCs w:val="0"/>
                <w:i w:val="0"/>
                <w:iCs w:val="0"/>
                <w:color w:val="auto"/>
                <w:kern w:val="0"/>
                <w:sz w:val="21"/>
                <w:szCs w:val="21"/>
                <w:lang w:val="en-US" w:eastAsia="zh-CN"/>
              </w:rPr>
              <w:t>）</w:t>
            </w:r>
            <w:r>
              <w:rPr>
                <w:rFonts w:hint="eastAsia" w:ascii="宋体" w:hAnsi="宋体"/>
                <w:b w:val="0"/>
                <w:bCs w:val="0"/>
                <w:i w:val="0"/>
                <w:iCs w:val="0"/>
                <w:color w:val="auto"/>
                <w:kern w:val="0"/>
                <w:sz w:val="21"/>
                <w:szCs w:val="21"/>
                <w:lang w:val="zh-CN"/>
              </w:rPr>
              <w:t>，均需提供原厂保修</w:t>
            </w:r>
            <w:r>
              <w:rPr>
                <w:rFonts w:hint="eastAsia" w:ascii="宋体" w:hAnsi="宋体"/>
                <w:b w:val="0"/>
                <w:bCs w:val="0"/>
                <w:i w:val="0"/>
                <w:iCs w:val="0"/>
                <w:color w:val="auto"/>
                <w:kern w:val="0"/>
                <w:sz w:val="21"/>
                <w:szCs w:val="21"/>
              </w:rPr>
              <w:t>5</w:t>
            </w:r>
            <w:r>
              <w:rPr>
                <w:rFonts w:hint="eastAsia" w:ascii="宋体" w:hAnsi="宋体"/>
                <w:b w:val="0"/>
                <w:bCs w:val="0"/>
                <w:i w:val="0"/>
                <w:iCs w:val="0"/>
                <w:color w:val="auto"/>
                <w:kern w:val="0"/>
                <w:sz w:val="21"/>
                <w:szCs w:val="21"/>
                <w:lang w:val="zh-CN"/>
              </w:rPr>
              <w:t>年。免费保修期内，中标人还需提供关键性设备如UPS电源系统、精密空调每半年一次的巡检维护并出具</w:t>
            </w:r>
            <w:r>
              <w:rPr>
                <w:rFonts w:hint="eastAsia" w:ascii="宋体" w:hAnsi="宋体"/>
                <w:kern w:val="0"/>
                <w:sz w:val="21"/>
                <w:szCs w:val="21"/>
                <w:lang w:val="zh-CN"/>
              </w:rPr>
              <w:t>详细报告。</w:t>
            </w:r>
          </w:p>
        </w:tc>
      </w:tr>
      <w:tr w14:paraId="0DD22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438" w:type="pct"/>
            <w:vMerge w:val="continue"/>
            <w:tcBorders>
              <w:left w:val="single" w:color="auto" w:sz="4" w:space="0"/>
              <w:right w:val="single" w:color="auto" w:sz="4" w:space="0"/>
            </w:tcBorders>
            <w:vAlign w:val="center"/>
          </w:tcPr>
          <w:p w14:paraId="4FB9A7F0">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852" w:type="pct"/>
            <w:vMerge w:val="continue"/>
            <w:tcBorders>
              <w:left w:val="single" w:color="auto" w:sz="4" w:space="0"/>
              <w:right w:val="single" w:color="auto" w:sz="4" w:space="0"/>
            </w:tcBorders>
          </w:tcPr>
          <w:p w14:paraId="442EA11F">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32803997">
            <w:pPr>
              <w:pStyle w:val="18"/>
              <w:keepNext w:val="0"/>
              <w:keepLines w:val="0"/>
              <w:pageBreakBefore w:val="0"/>
              <w:widowControl w:val="0"/>
              <w:kinsoku/>
              <w:wordWrap/>
              <w:overflowPunct/>
              <w:topLinePunct w:val="0"/>
              <w:bidi w:val="0"/>
              <w:snapToGrid/>
              <w:spacing w:line="276" w:lineRule="auto"/>
              <w:rPr>
                <w:rFonts w:ascii="宋体" w:hAnsi="宋体"/>
                <w:kern w:val="0"/>
                <w:sz w:val="21"/>
                <w:szCs w:val="21"/>
              </w:rPr>
            </w:pPr>
            <w:r>
              <w:rPr>
                <w:rFonts w:hint="eastAsia"/>
                <w:b/>
                <w:bCs/>
                <w:color w:val="FF0000"/>
                <w:sz w:val="21"/>
                <w:szCs w:val="21"/>
                <w:highlight w:val="yellow"/>
              </w:rPr>
              <w:t>4.10</w:t>
            </w:r>
            <w:r>
              <w:rPr>
                <w:rFonts w:hint="eastAsia"/>
                <w:b/>
                <w:bCs/>
                <w:color w:val="FF0000"/>
                <w:sz w:val="21"/>
                <w:szCs w:val="21"/>
                <w:highlight w:val="yellow"/>
                <w:lang w:val="en-US" w:eastAsia="zh-CN"/>
              </w:rPr>
              <w:t xml:space="preserve"> </w:t>
            </w:r>
            <w:r>
              <w:rPr>
                <w:rFonts w:hint="eastAsia"/>
                <w:b/>
                <w:bCs/>
                <w:color w:val="FF0000"/>
                <w:sz w:val="21"/>
                <w:szCs w:val="21"/>
                <w:highlight w:val="yellow"/>
              </w:rPr>
              <w:t>投标人承诺对本项目提供的电池承担废电池回收、处理服务。（投标时要求提供满足要求的承诺函扫描件或复印件（格式自拟），并加盖投标人公章）</w:t>
            </w:r>
          </w:p>
        </w:tc>
      </w:tr>
      <w:tr w14:paraId="38F57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8" w:type="pct"/>
            <w:vMerge w:val="continue"/>
            <w:tcBorders>
              <w:left w:val="single" w:color="auto" w:sz="4" w:space="0"/>
              <w:bottom w:val="single" w:color="auto" w:sz="4" w:space="0"/>
              <w:right w:val="single" w:color="auto" w:sz="4" w:space="0"/>
            </w:tcBorders>
            <w:vAlign w:val="center"/>
          </w:tcPr>
          <w:p w14:paraId="51DA4BEF">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bottom w:val="single" w:color="auto" w:sz="4" w:space="0"/>
              <w:right w:val="single" w:color="auto" w:sz="4" w:space="0"/>
            </w:tcBorders>
          </w:tcPr>
          <w:p w14:paraId="27C0AE59">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175DE7BC">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4.</w:t>
            </w:r>
            <w:r>
              <w:rPr>
                <w:rFonts w:ascii="宋体" w:hAnsi="宋体"/>
                <w:kern w:val="0"/>
                <w:sz w:val="21"/>
                <w:szCs w:val="21"/>
              </w:rPr>
              <w:t>11</w:t>
            </w:r>
            <w:r>
              <w:rPr>
                <w:rFonts w:hint="eastAsia" w:ascii="宋体" w:hAnsi="宋体"/>
                <w:kern w:val="0"/>
                <w:sz w:val="21"/>
                <w:szCs w:val="21"/>
              </w:rPr>
              <w:t xml:space="preserve"> 通过第三方测试验证后1年内，中标人提供≧2人的驻场服务。</w:t>
            </w:r>
          </w:p>
        </w:tc>
      </w:tr>
      <w:tr w14:paraId="62278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restart"/>
            <w:tcBorders>
              <w:top w:val="single" w:color="auto" w:sz="4" w:space="0"/>
              <w:left w:val="single" w:color="auto" w:sz="4" w:space="0"/>
              <w:right w:val="single" w:color="auto" w:sz="4" w:space="0"/>
            </w:tcBorders>
            <w:vAlign w:val="center"/>
          </w:tcPr>
          <w:p w14:paraId="7499AFCC">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5</w:t>
            </w:r>
          </w:p>
        </w:tc>
        <w:tc>
          <w:tcPr>
            <w:tcW w:w="852" w:type="pct"/>
            <w:vMerge w:val="restart"/>
            <w:tcBorders>
              <w:top w:val="single" w:color="auto" w:sz="4" w:space="0"/>
              <w:left w:val="single" w:color="auto" w:sz="4" w:space="0"/>
              <w:right w:val="single" w:color="auto" w:sz="4" w:space="0"/>
            </w:tcBorders>
            <w:vAlign w:val="center"/>
          </w:tcPr>
          <w:p w14:paraId="1D689612">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关于安装、调试和验收</w:t>
            </w:r>
          </w:p>
        </w:tc>
        <w:tc>
          <w:tcPr>
            <w:tcW w:w="3708" w:type="pct"/>
            <w:tcBorders>
              <w:top w:val="single" w:color="auto" w:sz="4" w:space="0"/>
              <w:left w:val="single" w:color="auto" w:sz="4" w:space="0"/>
              <w:bottom w:val="single" w:color="auto" w:sz="4" w:space="0"/>
              <w:right w:val="single" w:color="auto" w:sz="4" w:space="0"/>
            </w:tcBorders>
          </w:tcPr>
          <w:p w14:paraId="41680D76">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5.1</w:t>
            </w:r>
            <w:r>
              <w:rPr>
                <w:rFonts w:hint="eastAsia" w:ascii="宋体" w:hAnsi="宋体"/>
                <w:kern w:val="0"/>
                <w:sz w:val="21"/>
                <w:szCs w:val="21"/>
                <w:lang w:val="zh-CN"/>
              </w:rPr>
              <w:t>中标人技术</w:t>
            </w:r>
            <w:r>
              <w:rPr>
                <w:rFonts w:hint="eastAsia" w:ascii="宋体" w:hAnsi="宋体"/>
                <w:bCs/>
                <w:sz w:val="21"/>
                <w:szCs w:val="21"/>
                <w:lang w:val="zh-CN"/>
              </w:rPr>
              <w:t>工程师负责现场的免费安装、调试；如需特殊安装条件的，中标人应当发货前</w:t>
            </w:r>
            <w:r>
              <w:rPr>
                <w:rFonts w:hint="eastAsia" w:ascii="宋体" w:hAnsi="宋体"/>
                <w:bCs/>
                <w:sz w:val="21"/>
                <w:szCs w:val="21"/>
                <w:u w:val="single"/>
              </w:rPr>
              <w:t>15</w:t>
            </w:r>
            <w:r>
              <w:rPr>
                <w:rFonts w:hint="eastAsia" w:ascii="宋体" w:hAnsi="宋体"/>
                <w:bCs/>
                <w:sz w:val="21"/>
                <w:szCs w:val="21"/>
                <w:lang w:val="zh-CN"/>
              </w:rPr>
              <w:t>天内与采购人进行场地安装事宜的确认。</w:t>
            </w:r>
          </w:p>
        </w:tc>
      </w:tr>
      <w:tr w14:paraId="5297F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continue"/>
            <w:tcBorders>
              <w:left w:val="single" w:color="auto" w:sz="4" w:space="0"/>
              <w:right w:val="single" w:color="auto" w:sz="4" w:space="0"/>
            </w:tcBorders>
            <w:vAlign w:val="center"/>
          </w:tcPr>
          <w:p w14:paraId="3B956648">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056119CF">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62F721F8">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5.2货物</w:t>
            </w:r>
            <w:r>
              <w:rPr>
                <w:rFonts w:hint="eastAsia" w:ascii="宋体" w:hAnsi="宋体"/>
                <w:bCs/>
                <w:sz w:val="21"/>
                <w:szCs w:val="21"/>
                <w:lang w:val="zh-CN"/>
              </w:rPr>
              <w:t>运抵安装现场后，采购人应当与中标人共同开箱；中标人技术工程师负责现场的免费安装、调试，验收结果以采购人的验收报告为最终验收结果，验收时发现短缺、破损, 采购人有权要求中标人立即补发和负责更换。</w:t>
            </w:r>
          </w:p>
        </w:tc>
      </w:tr>
      <w:tr w14:paraId="34700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continue"/>
            <w:tcBorders>
              <w:left w:val="single" w:color="auto" w:sz="4" w:space="0"/>
              <w:right w:val="single" w:color="auto" w:sz="4" w:space="0"/>
            </w:tcBorders>
            <w:vAlign w:val="center"/>
          </w:tcPr>
          <w:p w14:paraId="0351D15C">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79B454B2">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420384FF">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5.3</w:t>
            </w:r>
            <w:r>
              <w:rPr>
                <w:rFonts w:hint="eastAsia" w:ascii="宋体" w:hAnsi="宋体"/>
                <w:kern w:val="0"/>
                <w:sz w:val="21"/>
                <w:szCs w:val="21"/>
                <w:lang w:val="zh-CN"/>
              </w:rPr>
              <w:t>中标人应提出</w:t>
            </w:r>
            <w:r>
              <w:rPr>
                <w:rFonts w:hint="eastAsia" w:ascii="宋体" w:hAnsi="宋体"/>
                <w:kern w:val="0"/>
                <w:sz w:val="21"/>
                <w:szCs w:val="21"/>
              </w:rPr>
              <w:t>所供</w:t>
            </w:r>
            <w:r>
              <w:rPr>
                <w:rFonts w:hint="eastAsia" w:ascii="宋体" w:hAnsi="宋体"/>
                <w:kern w:val="0"/>
                <w:sz w:val="21"/>
                <w:szCs w:val="21"/>
                <w:lang w:val="zh-CN"/>
              </w:rPr>
              <w:t xml:space="preserve">设备测试的内容、项目、指标和方法, 中标人有责任对采购人的技术人员提出的问题作出解答。测试应进行详细记录, </w:t>
            </w:r>
            <w:r>
              <w:rPr>
                <w:rFonts w:hint="eastAsia" w:ascii="宋体" w:hAnsi="宋体"/>
                <w:kern w:val="0"/>
                <w:sz w:val="21"/>
                <w:szCs w:val="21"/>
              </w:rPr>
              <w:t>所供</w:t>
            </w:r>
            <w:r>
              <w:rPr>
                <w:rFonts w:hint="eastAsia" w:ascii="宋体" w:hAnsi="宋体"/>
                <w:kern w:val="0"/>
                <w:sz w:val="21"/>
                <w:szCs w:val="21"/>
                <w:lang w:val="zh-CN"/>
              </w:rPr>
              <w:t>设备测试结束后, 由中标人技术人员签字后交给采购人验收</w:t>
            </w:r>
            <w:r>
              <w:rPr>
                <w:rFonts w:hint="eastAsia" w:ascii="宋体" w:hAnsi="宋体"/>
                <w:bCs/>
                <w:sz w:val="21"/>
                <w:szCs w:val="21"/>
                <w:lang w:val="zh-CN"/>
              </w:rPr>
              <w:t>。</w:t>
            </w:r>
          </w:p>
        </w:tc>
      </w:tr>
      <w:tr w14:paraId="6AA4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continue"/>
            <w:tcBorders>
              <w:left w:val="single" w:color="auto" w:sz="4" w:space="0"/>
              <w:right w:val="single" w:color="auto" w:sz="4" w:space="0"/>
            </w:tcBorders>
            <w:vAlign w:val="center"/>
          </w:tcPr>
          <w:p w14:paraId="40559755">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73E6B7B3">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762D16D5">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5.4中标人应提前一周将发货信息提供给采购人。货物到达后，采购人应将到货信息立即通知中标人。中标人应协助采购人于到货后一周（7天）内将设备在安装基础上就位，并做好现场安装调试、验收的各项准备工作，包括必要的软硬件及检具等。验收期应最晚不迟于交货安装后90天内，除双方协商的特殊情况外。</w:t>
            </w:r>
          </w:p>
        </w:tc>
      </w:tr>
      <w:tr w14:paraId="581EA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continue"/>
            <w:tcBorders>
              <w:left w:val="single" w:color="auto" w:sz="4" w:space="0"/>
              <w:right w:val="single" w:color="auto" w:sz="4" w:space="0"/>
            </w:tcBorders>
            <w:vAlign w:val="center"/>
          </w:tcPr>
          <w:p w14:paraId="75B5F256">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52282582">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6DFD8003">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5.5当同时满足以下条件时，采购人才向中标人签发货物验收报告：</w:t>
            </w:r>
          </w:p>
          <w:p w14:paraId="75248DAE">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bCs/>
                <w:sz w:val="21"/>
                <w:szCs w:val="21"/>
              </w:rPr>
              <w:t>a、</w:t>
            </w:r>
            <w:r>
              <w:rPr>
                <w:rFonts w:hint="eastAsia" w:ascii="宋体" w:hAnsi="宋体"/>
                <w:kern w:val="0"/>
                <w:sz w:val="21"/>
                <w:szCs w:val="21"/>
                <w:lang w:val="zh-CN"/>
              </w:rPr>
              <w:t>中标人已按照合同规定提供了全部产品及完整的技术资料。</w:t>
            </w:r>
          </w:p>
          <w:p w14:paraId="665E1279">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kern w:val="0"/>
                <w:sz w:val="21"/>
                <w:szCs w:val="21"/>
                <w:lang w:val="zh-CN"/>
              </w:rPr>
              <w:t>b、货物符合采购文</w:t>
            </w:r>
            <w:r>
              <w:rPr>
                <w:rFonts w:hint="eastAsia" w:ascii="宋体" w:hAnsi="宋体"/>
                <w:bCs/>
                <w:sz w:val="21"/>
                <w:szCs w:val="21"/>
              </w:rPr>
              <w:t>件技术规格书的要求，性能满足要求。</w:t>
            </w:r>
          </w:p>
          <w:p w14:paraId="115823F2">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c、货物具备产品合格证。</w:t>
            </w:r>
          </w:p>
        </w:tc>
      </w:tr>
      <w:tr w14:paraId="5EFDB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438" w:type="pct"/>
            <w:vMerge w:val="continue"/>
            <w:tcBorders>
              <w:left w:val="single" w:color="auto" w:sz="4" w:space="0"/>
              <w:right w:val="single" w:color="auto" w:sz="4" w:space="0"/>
            </w:tcBorders>
            <w:vAlign w:val="center"/>
          </w:tcPr>
          <w:p w14:paraId="3A970C43">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tcPr>
          <w:p w14:paraId="5F1DB4D8">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right w:val="single" w:color="auto" w:sz="4" w:space="0"/>
            </w:tcBorders>
          </w:tcPr>
          <w:p w14:paraId="7D7EF2CA">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5.6 对于采购人不具备验收测试环境的设备和软件等，可考虑增加验收条款在厂家发货前进行验收测试，或要求提供有资质的第三方测试报告。</w:t>
            </w:r>
          </w:p>
        </w:tc>
      </w:tr>
      <w:tr w14:paraId="0BB21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438" w:type="pct"/>
            <w:vMerge w:val="continue"/>
            <w:tcBorders>
              <w:left w:val="single" w:color="auto" w:sz="4" w:space="0"/>
              <w:right w:val="single" w:color="auto" w:sz="4" w:space="0"/>
            </w:tcBorders>
            <w:vAlign w:val="center"/>
          </w:tcPr>
          <w:p w14:paraId="71BB0992">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p>
        </w:tc>
        <w:tc>
          <w:tcPr>
            <w:tcW w:w="852" w:type="pct"/>
            <w:vMerge w:val="continue"/>
            <w:tcBorders>
              <w:left w:val="single" w:color="auto" w:sz="4" w:space="0"/>
              <w:right w:val="single" w:color="auto" w:sz="4" w:space="0"/>
            </w:tcBorders>
          </w:tcPr>
          <w:p w14:paraId="6FB6538A">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p>
        </w:tc>
        <w:tc>
          <w:tcPr>
            <w:tcW w:w="3708" w:type="pct"/>
            <w:tcBorders>
              <w:top w:val="single" w:color="auto" w:sz="4" w:space="0"/>
              <w:left w:val="single" w:color="auto" w:sz="4" w:space="0"/>
              <w:right w:val="single" w:color="auto" w:sz="4" w:space="0"/>
            </w:tcBorders>
          </w:tcPr>
          <w:p w14:paraId="5F3B64A8">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Style w:val="54"/>
                <w:rFonts w:hint="eastAsia" w:ascii="宋体" w:hAnsi="宋体"/>
                <w:kern w:val="0"/>
                <w:sz w:val="21"/>
                <w:szCs w:val="21"/>
              </w:rPr>
              <w:t>5.7中标人拟安排的项目团队成员须为投标人现有员工、不少于</w:t>
            </w:r>
            <w:r>
              <w:rPr>
                <w:rStyle w:val="54"/>
                <w:rFonts w:ascii="宋体" w:hAnsi="宋体"/>
                <w:kern w:val="0"/>
                <w:sz w:val="21"/>
                <w:szCs w:val="21"/>
              </w:rPr>
              <w:t>7</w:t>
            </w:r>
            <w:r>
              <w:rPr>
                <w:rStyle w:val="54"/>
                <w:rFonts w:hint="eastAsia" w:ascii="宋体" w:hAnsi="宋体"/>
                <w:kern w:val="0"/>
                <w:sz w:val="21"/>
                <w:szCs w:val="21"/>
              </w:rPr>
              <w:t>人。</w:t>
            </w:r>
          </w:p>
        </w:tc>
      </w:tr>
      <w:tr w14:paraId="20B26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tcBorders>
              <w:left w:val="single" w:color="auto" w:sz="4" w:space="0"/>
              <w:right w:val="single" w:color="auto" w:sz="4" w:space="0"/>
            </w:tcBorders>
            <w:vAlign w:val="center"/>
          </w:tcPr>
          <w:p w14:paraId="256CE686">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6</w:t>
            </w:r>
          </w:p>
        </w:tc>
        <w:tc>
          <w:tcPr>
            <w:tcW w:w="852" w:type="pct"/>
            <w:tcBorders>
              <w:left w:val="single" w:color="auto" w:sz="4" w:space="0"/>
              <w:right w:val="single" w:color="auto" w:sz="4" w:space="0"/>
            </w:tcBorders>
            <w:vAlign w:val="center"/>
          </w:tcPr>
          <w:p w14:paraId="5FC1A060">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关于运输及包装方式</w:t>
            </w:r>
          </w:p>
        </w:tc>
        <w:tc>
          <w:tcPr>
            <w:tcW w:w="3708" w:type="pct"/>
            <w:tcBorders>
              <w:top w:val="single" w:color="auto" w:sz="4" w:space="0"/>
              <w:left w:val="single" w:color="auto" w:sz="4" w:space="0"/>
              <w:bottom w:val="single" w:color="auto" w:sz="4" w:space="0"/>
              <w:right w:val="single" w:color="auto" w:sz="4" w:space="0"/>
            </w:tcBorders>
          </w:tcPr>
          <w:p w14:paraId="2D4218A8">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kern w:val="0"/>
                <w:sz w:val="21"/>
                <w:szCs w:val="21"/>
                <w:lang w:val="zh-CN"/>
              </w:rPr>
              <w:t>货物到达采购人指点地点前的包装、运输等均由中标人负责。针对特殊设备应使用崭新坚固的木质包装（标准包装，必要时为木质烟熏包装），适合于空运、或陆运等长途运输方式；适合气候变化；中标人应对任何由于不当包装或防护措施不利而导致的商品损坏、损失、费用增长等后果负责。</w:t>
            </w:r>
          </w:p>
        </w:tc>
      </w:tr>
      <w:tr w14:paraId="37487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restart"/>
            <w:tcBorders>
              <w:top w:val="single" w:color="auto" w:sz="4" w:space="0"/>
              <w:left w:val="single" w:color="auto" w:sz="4" w:space="0"/>
              <w:bottom w:val="single" w:color="auto" w:sz="4" w:space="0"/>
              <w:right w:val="single" w:color="auto" w:sz="4" w:space="0"/>
            </w:tcBorders>
            <w:vAlign w:val="center"/>
          </w:tcPr>
          <w:p w14:paraId="2DECEA35">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r>
              <w:rPr>
                <w:rFonts w:hint="eastAsia" w:ascii="宋体" w:hAnsi="宋体"/>
                <w:b/>
                <w:sz w:val="21"/>
                <w:szCs w:val="21"/>
              </w:rPr>
              <w:t>7</w:t>
            </w:r>
          </w:p>
        </w:tc>
        <w:tc>
          <w:tcPr>
            <w:tcW w:w="852" w:type="pct"/>
            <w:vMerge w:val="restart"/>
            <w:tcBorders>
              <w:top w:val="single" w:color="auto" w:sz="4" w:space="0"/>
              <w:left w:val="single" w:color="auto" w:sz="4" w:space="0"/>
              <w:bottom w:val="single" w:color="auto" w:sz="4" w:space="0"/>
              <w:right w:val="single" w:color="auto" w:sz="4" w:space="0"/>
            </w:tcBorders>
            <w:vAlign w:val="center"/>
          </w:tcPr>
          <w:p w14:paraId="6663216C">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关于违约责任要求</w:t>
            </w:r>
          </w:p>
        </w:tc>
        <w:tc>
          <w:tcPr>
            <w:tcW w:w="3708" w:type="pct"/>
            <w:tcBorders>
              <w:top w:val="single" w:color="auto" w:sz="4" w:space="0"/>
              <w:left w:val="single" w:color="auto" w:sz="4" w:space="0"/>
              <w:bottom w:val="single" w:color="auto" w:sz="4" w:space="0"/>
              <w:right w:val="single" w:color="auto" w:sz="4" w:space="0"/>
            </w:tcBorders>
          </w:tcPr>
          <w:p w14:paraId="72CD35FA">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7.1由于中标人的原因未能按时供货的，每迟一天支付合同总额的</w:t>
            </w:r>
            <w:r>
              <w:rPr>
                <w:rFonts w:ascii="宋体" w:hAnsi="宋体"/>
                <w:bCs/>
                <w:sz w:val="21"/>
                <w:szCs w:val="21"/>
              </w:rPr>
              <w:t>1</w:t>
            </w:r>
            <w:r>
              <w:rPr>
                <w:rFonts w:hint="eastAsia" w:ascii="宋体" w:hAnsi="宋体"/>
                <w:bCs/>
                <w:sz w:val="21"/>
                <w:szCs w:val="21"/>
              </w:rPr>
              <w:t>%违约金，累计不超过</w:t>
            </w:r>
            <w:r>
              <w:rPr>
                <w:rFonts w:hint="eastAsia" w:ascii="宋体" w:hAnsi="宋体"/>
                <w:bCs/>
                <w:sz w:val="21"/>
                <w:szCs w:val="21"/>
                <w:u w:val="single"/>
              </w:rPr>
              <w:t xml:space="preserve"> </w:t>
            </w:r>
            <w:r>
              <w:rPr>
                <w:rFonts w:ascii="宋体" w:hAnsi="宋体"/>
                <w:bCs/>
                <w:sz w:val="21"/>
                <w:szCs w:val="21"/>
                <w:u w:val="single"/>
              </w:rPr>
              <w:t>3</w:t>
            </w:r>
            <w:r>
              <w:rPr>
                <w:rFonts w:hint="eastAsia" w:ascii="宋体" w:hAnsi="宋体"/>
                <w:bCs/>
                <w:sz w:val="21"/>
                <w:szCs w:val="21"/>
                <w:u w:val="single"/>
              </w:rPr>
              <w:t xml:space="preserve">0% </w:t>
            </w:r>
            <w:r>
              <w:rPr>
                <w:rFonts w:hint="eastAsia" w:ascii="宋体" w:hAnsi="宋体"/>
                <w:bCs/>
                <w:sz w:val="21"/>
                <w:szCs w:val="21"/>
              </w:rPr>
              <w:t>。如超过供货期3</w:t>
            </w:r>
            <w:r>
              <w:rPr>
                <w:rFonts w:ascii="宋体" w:hAnsi="宋体"/>
                <w:bCs/>
                <w:sz w:val="21"/>
                <w:szCs w:val="21"/>
              </w:rPr>
              <w:t>0</w:t>
            </w:r>
            <w:r>
              <w:rPr>
                <w:rFonts w:hint="eastAsia" w:ascii="宋体" w:hAnsi="宋体"/>
                <w:bCs/>
                <w:sz w:val="21"/>
                <w:szCs w:val="21"/>
              </w:rPr>
              <w:t>天，采购人有权视情况终止采购合同并通过法律程序对供应商进行索赔。</w:t>
            </w:r>
          </w:p>
        </w:tc>
      </w:tr>
      <w:tr w14:paraId="6B48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7E4342A0">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bottom w:val="single" w:color="auto" w:sz="4" w:space="0"/>
              <w:right w:val="single" w:color="auto" w:sz="4" w:space="0"/>
            </w:tcBorders>
          </w:tcPr>
          <w:p w14:paraId="3800AA0D">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4C722DD8">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7.2</w:t>
            </w:r>
            <w:r>
              <w:rPr>
                <w:rFonts w:hint="eastAsia" w:ascii="宋体" w:hAnsi="宋体"/>
                <w:color w:val="000000" w:themeColor="text1"/>
                <w:sz w:val="21"/>
                <w:szCs w:val="21"/>
                <w14:textFill>
                  <w14:solidFill>
                    <w14:schemeClr w14:val="tx1"/>
                  </w14:solidFill>
                </w14:textFill>
              </w:rPr>
              <w:t>中标人所提供的服务及所交付的产品品种、型号、规格、质量不符合同规定标准的，采购人有权拒绝收货且无需承担任何责任，同时采购人有权要求中标人限期重新供货，并且</w:t>
            </w:r>
            <w:r>
              <w:rPr>
                <w:rFonts w:hint="eastAsia"/>
                <w:sz w:val="21"/>
                <w:szCs w:val="21"/>
              </w:rPr>
              <w:t>采购人有权视情况报财政主管部门申请解除合同，</w:t>
            </w:r>
            <w:r>
              <w:rPr>
                <w:rFonts w:hint="eastAsia" w:ascii="宋体" w:hAnsi="宋体"/>
                <w:color w:val="000000" w:themeColor="text1"/>
                <w:sz w:val="21"/>
                <w:szCs w:val="21"/>
                <w14:textFill>
                  <w14:solidFill>
                    <w14:schemeClr w14:val="tx1"/>
                  </w14:solidFill>
                </w14:textFill>
              </w:rPr>
              <w:t>由此造成的一</w:t>
            </w:r>
            <w:r>
              <w:rPr>
                <w:rFonts w:hint="eastAsia" w:ascii="宋体" w:hAnsi="宋体"/>
                <w:kern w:val="0"/>
                <w:sz w:val="21"/>
                <w:szCs w:val="21"/>
                <w:lang w:val="zh-CN"/>
              </w:rPr>
              <w:t>切损失由中标人承</w:t>
            </w:r>
            <w:r>
              <w:rPr>
                <w:rFonts w:hint="eastAsia" w:ascii="宋体" w:hAnsi="宋体"/>
                <w:color w:val="000000" w:themeColor="text1"/>
                <w:sz w:val="21"/>
                <w:szCs w:val="21"/>
                <w14:textFill>
                  <w14:solidFill>
                    <w14:schemeClr w14:val="tx1"/>
                  </w14:solidFill>
                </w14:textFill>
              </w:rPr>
              <w:t>担。</w:t>
            </w:r>
          </w:p>
        </w:tc>
      </w:tr>
      <w:tr w14:paraId="7CF93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3BC2892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bottom w:val="single" w:color="auto" w:sz="4" w:space="0"/>
              <w:right w:val="single" w:color="auto" w:sz="4" w:space="0"/>
            </w:tcBorders>
          </w:tcPr>
          <w:p w14:paraId="27759040">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581DB7B1">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7.3采购人有权对中标人就本项目提供的相关证明资料（原件）进行审查。中标人提供虚假资料被查实的，则可能面临被取消本项目中标资格、列入不良行为记录名单和三年内禁止参与政府采购活动的风险，另外，中标人应当向采购人赔偿合同总金额30%的违约金。违约金不足以弥补采购人损失的，中标人应当继续赔偿。由此造成的一切损失由中标人承担。</w:t>
            </w:r>
          </w:p>
        </w:tc>
      </w:tr>
      <w:tr w14:paraId="3011C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28DF9904">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bottom w:val="single" w:color="auto" w:sz="4" w:space="0"/>
              <w:right w:val="single" w:color="auto" w:sz="4" w:space="0"/>
            </w:tcBorders>
          </w:tcPr>
          <w:p w14:paraId="7A388BE8">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17508507">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7.4中标</w:t>
            </w:r>
            <w:r>
              <w:rPr>
                <w:rFonts w:hint="eastAsia" w:ascii="宋体" w:hAnsi="宋体"/>
                <w:kern w:val="0"/>
                <w:sz w:val="21"/>
                <w:szCs w:val="21"/>
                <w:lang w:val="zh-CN"/>
              </w:rPr>
              <w:t>人</w:t>
            </w:r>
            <w:r>
              <w:rPr>
                <w:rFonts w:hint="eastAsia" w:ascii="宋体" w:hAnsi="宋体"/>
                <w:bCs/>
                <w:sz w:val="21"/>
                <w:szCs w:val="21"/>
              </w:rPr>
              <w:t>原则上不允许分包，必须分包的须经过采购人同意，否则由此</w:t>
            </w:r>
            <w:r>
              <w:rPr>
                <w:rFonts w:hint="eastAsia" w:ascii="宋体" w:hAnsi="宋体"/>
                <w:sz w:val="21"/>
                <w:szCs w:val="21"/>
              </w:rPr>
              <w:t>造成的一</w:t>
            </w:r>
            <w:r>
              <w:rPr>
                <w:rFonts w:hint="eastAsia" w:ascii="宋体" w:hAnsi="宋体"/>
                <w:kern w:val="0"/>
                <w:sz w:val="21"/>
                <w:szCs w:val="21"/>
                <w:lang w:val="zh-CN"/>
              </w:rPr>
              <w:t>切损失由中标人承</w:t>
            </w:r>
            <w:r>
              <w:rPr>
                <w:rFonts w:hint="eastAsia" w:ascii="宋体" w:hAnsi="宋体"/>
                <w:sz w:val="21"/>
                <w:szCs w:val="21"/>
              </w:rPr>
              <w:t>担。</w:t>
            </w:r>
          </w:p>
        </w:tc>
      </w:tr>
      <w:tr w14:paraId="19837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438" w:type="pct"/>
            <w:vMerge w:val="continue"/>
            <w:tcBorders>
              <w:top w:val="single" w:color="auto" w:sz="4" w:space="0"/>
              <w:left w:val="single" w:color="auto" w:sz="4" w:space="0"/>
              <w:bottom w:val="single" w:color="auto" w:sz="4" w:space="0"/>
              <w:right w:val="single" w:color="auto" w:sz="4" w:space="0"/>
            </w:tcBorders>
            <w:vAlign w:val="center"/>
          </w:tcPr>
          <w:p w14:paraId="4A896851">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top w:val="single" w:color="auto" w:sz="4" w:space="0"/>
              <w:left w:val="single" w:color="auto" w:sz="4" w:space="0"/>
              <w:bottom w:val="single" w:color="auto" w:sz="4" w:space="0"/>
              <w:right w:val="single" w:color="auto" w:sz="4" w:space="0"/>
            </w:tcBorders>
          </w:tcPr>
          <w:p w14:paraId="7561E23B">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34F72911">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7.5其他由违法导致违约的行为按相关法律法规执行。</w:t>
            </w:r>
          </w:p>
        </w:tc>
      </w:tr>
      <w:tr w14:paraId="0088F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38" w:type="pct"/>
            <w:vMerge w:val="restart"/>
            <w:tcBorders>
              <w:top w:val="single" w:color="auto" w:sz="4" w:space="0"/>
              <w:left w:val="single" w:color="auto" w:sz="4" w:space="0"/>
              <w:right w:val="single" w:color="auto" w:sz="4" w:space="0"/>
            </w:tcBorders>
            <w:vAlign w:val="center"/>
          </w:tcPr>
          <w:p w14:paraId="2CDF566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8</w:t>
            </w:r>
          </w:p>
        </w:tc>
        <w:tc>
          <w:tcPr>
            <w:tcW w:w="852" w:type="pct"/>
            <w:vMerge w:val="restart"/>
            <w:tcBorders>
              <w:top w:val="single" w:color="auto" w:sz="4" w:space="0"/>
              <w:left w:val="single" w:color="auto" w:sz="4" w:space="0"/>
              <w:right w:val="single" w:color="auto" w:sz="4" w:space="0"/>
            </w:tcBorders>
            <w:vAlign w:val="center"/>
          </w:tcPr>
          <w:p w14:paraId="0FA928BD">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关于质量及知识产权要求</w:t>
            </w:r>
          </w:p>
        </w:tc>
        <w:tc>
          <w:tcPr>
            <w:tcW w:w="3708" w:type="pct"/>
            <w:tcBorders>
              <w:top w:val="single" w:color="auto" w:sz="4" w:space="0"/>
              <w:left w:val="single" w:color="auto" w:sz="4" w:space="0"/>
              <w:bottom w:val="single" w:color="auto" w:sz="4" w:space="0"/>
              <w:right w:val="single" w:color="auto" w:sz="4" w:space="0"/>
            </w:tcBorders>
          </w:tcPr>
          <w:p w14:paraId="5AF2CCCD">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8.1</w:t>
            </w:r>
            <w:r>
              <w:rPr>
                <w:rFonts w:hint="eastAsia" w:ascii="宋体" w:hAnsi="宋体"/>
                <w:kern w:val="0"/>
                <w:sz w:val="21"/>
                <w:szCs w:val="21"/>
                <w:lang w:val="zh-CN"/>
              </w:rPr>
              <w:t>中标人提供完</w:t>
            </w:r>
            <w:r>
              <w:rPr>
                <w:rFonts w:hint="eastAsia" w:ascii="宋体" w:hAnsi="宋体"/>
                <w:bCs/>
                <w:sz w:val="21"/>
                <w:szCs w:val="21"/>
                <w:lang w:val="zh-CN"/>
              </w:rPr>
              <w:t>好、全新的原包装产品（包括零配件），随机技术资料齐全。产品符合国家质量检测标准，必须具有生产日期、厂名、厂址、产品合格证等。</w:t>
            </w:r>
          </w:p>
        </w:tc>
      </w:tr>
      <w:tr w14:paraId="7CC2D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438" w:type="pct"/>
            <w:vMerge w:val="continue"/>
            <w:tcBorders>
              <w:left w:val="single" w:color="auto" w:sz="4" w:space="0"/>
              <w:right w:val="single" w:color="auto" w:sz="4" w:space="0"/>
            </w:tcBorders>
            <w:vAlign w:val="center"/>
          </w:tcPr>
          <w:p w14:paraId="1D43C8C6">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vAlign w:val="center"/>
          </w:tcPr>
          <w:p w14:paraId="52DB9093">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0AD18C0B">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8.2中标人应当保证其交付给采购人的货物或服务不侵犯任何第三人的合法权益。如发生第三人指控采购人实施的技术侵权的，中标人应当承担全部责任。采购人在使用该货物或服务的任何一部分时，免受第三方提出的侵犯其专利权、商标权或工业设计权等知识产权的起诉或司法干预。如果发生上述起诉或干预，则其法律责任均由中标人负责。</w:t>
            </w:r>
          </w:p>
        </w:tc>
      </w:tr>
      <w:tr w14:paraId="7710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38" w:type="pct"/>
            <w:vMerge w:val="continue"/>
            <w:tcBorders>
              <w:left w:val="single" w:color="auto" w:sz="4" w:space="0"/>
              <w:right w:val="single" w:color="auto" w:sz="4" w:space="0"/>
            </w:tcBorders>
            <w:vAlign w:val="center"/>
          </w:tcPr>
          <w:p w14:paraId="6D4CB76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vAlign w:val="center"/>
          </w:tcPr>
          <w:p w14:paraId="26AC7D73">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708" w:type="pct"/>
            <w:tcBorders>
              <w:top w:val="single" w:color="auto" w:sz="4" w:space="0"/>
              <w:left w:val="single" w:color="auto" w:sz="4" w:space="0"/>
              <w:bottom w:val="single" w:color="auto" w:sz="4" w:space="0"/>
              <w:right w:val="single" w:color="auto" w:sz="4" w:space="0"/>
            </w:tcBorders>
          </w:tcPr>
          <w:p w14:paraId="5348F705">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8.3定制开发的货物或服务，所产生的研究开发成果及其相关知识产权权利归属采购人，采购人享有知识产权，知识产权取得后的使用和有关利益分配归采购人所有。</w:t>
            </w:r>
          </w:p>
        </w:tc>
      </w:tr>
      <w:tr w14:paraId="406A0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438" w:type="pct"/>
            <w:vMerge w:val="continue"/>
            <w:tcBorders>
              <w:left w:val="single" w:color="auto" w:sz="4" w:space="0"/>
              <w:right w:val="single" w:color="auto" w:sz="4" w:space="0"/>
            </w:tcBorders>
            <w:vAlign w:val="center"/>
          </w:tcPr>
          <w:p w14:paraId="2A4E5ECD">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852" w:type="pct"/>
            <w:vMerge w:val="continue"/>
            <w:tcBorders>
              <w:left w:val="single" w:color="auto" w:sz="4" w:space="0"/>
              <w:right w:val="single" w:color="auto" w:sz="4" w:space="0"/>
            </w:tcBorders>
            <w:vAlign w:val="center"/>
          </w:tcPr>
          <w:p w14:paraId="0F027466">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708" w:type="pct"/>
            <w:tcBorders>
              <w:top w:val="single" w:color="auto" w:sz="4" w:space="0"/>
              <w:left w:val="single" w:color="auto" w:sz="4" w:space="0"/>
              <w:right w:val="single" w:color="auto" w:sz="4" w:space="0"/>
            </w:tcBorders>
            <w:vAlign w:val="center"/>
          </w:tcPr>
          <w:p w14:paraId="0AF96BBC">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8.4中标人保证所提供的货物或服务为中标人通过合法来源依法取得，如应采购人要求，中标人有义务向采购人提供相关证明材料。</w:t>
            </w:r>
          </w:p>
        </w:tc>
      </w:tr>
      <w:tr w14:paraId="727B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jc w:val="center"/>
        </w:trPr>
        <w:tc>
          <w:tcPr>
            <w:tcW w:w="438" w:type="pct"/>
            <w:vMerge w:val="restart"/>
            <w:tcBorders>
              <w:top w:val="single" w:color="auto" w:sz="4" w:space="0"/>
              <w:left w:val="single" w:color="auto" w:sz="4" w:space="0"/>
              <w:right w:val="single" w:color="auto" w:sz="4" w:space="0"/>
            </w:tcBorders>
            <w:vAlign w:val="center"/>
          </w:tcPr>
          <w:p w14:paraId="56A7B0E0">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b/>
                <w:sz w:val="21"/>
                <w:szCs w:val="21"/>
              </w:rPr>
              <w:t>9</w:t>
            </w:r>
          </w:p>
        </w:tc>
        <w:tc>
          <w:tcPr>
            <w:tcW w:w="852" w:type="pct"/>
            <w:vMerge w:val="restart"/>
            <w:tcBorders>
              <w:top w:val="single" w:color="auto" w:sz="4" w:space="0"/>
              <w:left w:val="single" w:color="auto" w:sz="4" w:space="0"/>
              <w:right w:val="single" w:color="auto" w:sz="4" w:space="0"/>
            </w:tcBorders>
            <w:vAlign w:val="center"/>
          </w:tcPr>
          <w:p w14:paraId="17B232FD">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b/>
                <w:sz w:val="21"/>
                <w:szCs w:val="21"/>
              </w:rPr>
              <w:t>关于证书/资质要求</w:t>
            </w:r>
          </w:p>
        </w:tc>
        <w:tc>
          <w:tcPr>
            <w:tcW w:w="3708" w:type="pct"/>
            <w:tcBorders>
              <w:top w:val="single" w:color="auto" w:sz="4" w:space="0"/>
              <w:left w:val="single" w:color="auto" w:sz="4" w:space="0"/>
              <w:bottom w:val="single" w:color="auto" w:sz="4" w:space="0"/>
              <w:right w:val="single" w:color="auto" w:sz="4" w:space="0"/>
            </w:tcBorders>
          </w:tcPr>
          <w:p w14:paraId="3E3AF60D">
            <w:pPr>
              <w:pStyle w:val="18"/>
              <w:keepNext w:val="0"/>
              <w:keepLines w:val="0"/>
              <w:pageBreakBefore w:val="0"/>
              <w:widowControl w:val="0"/>
              <w:kinsoku/>
              <w:wordWrap/>
              <w:overflowPunct/>
              <w:topLinePunct w:val="0"/>
              <w:bidi w:val="0"/>
              <w:snapToGrid/>
              <w:spacing w:line="276" w:lineRule="auto"/>
              <w:rPr>
                <w:rFonts w:ascii="宋体" w:hAnsi="宋体"/>
                <w:b/>
                <w:bCs/>
                <w:color w:val="FF0000"/>
                <w:sz w:val="21"/>
                <w:szCs w:val="21"/>
                <w:highlight w:val="yellow"/>
              </w:rPr>
            </w:pPr>
            <w:r>
              <w:rPr>
                <w:rFonts w:hint="eastAsia" w:ascii="宋体" w:hAnsi="宋体"/>
                <w:b/>
                <w:bCs/>
                <w:color w:val="FF0000"/>
                <w:sz w:val="21"/>
                <w:szCs w:val="21"/>
                <w:highlight w:val="yellow"/>
              </w:rPr>
              <w:t>★9.1项目经理：需要具有住房和城乡建设部颁发的机电工程专业的一级建造师证书。（备注：要求与“评标信息——拟安排的项目经理情况”中项目经理为同一人，否则视为未实质性满足招标文件要求。）</w:t>
            </w:r>
          </w:p>
          <w:p w14:paraId="1FAF8CF8">
            <w:pPr>
              <w:pStyle w:val="18"/>
              <w:keepNext w:val="0"/>
              <w:keepLines w:val="0"/>
              <w:pageBreakBefore w:val="0"/>
              <w:widowControl w:val="0"/>
              <w:kinsoku/>
              <w:wordWrap/>
              <w:overflowPunct/>
              <w:topLinePunct w:val="0"/>
              <w:bidi w:val="0"/>
              <w:snapToGrid/>
              <w:spacing w:line="276" w:lineRule="auto"/>
              <w:rPr>
                <w:b/>
                <w:bCs/>
                <w:color w:val="FF0000"/>
                <w:sz w:val="21"/>
                <w:szCs w:val="21"/>
                <w:highlight w:val="yellow"/>
              </w:rPr>
            </w:pPr>
            <w:r>
              <w:rPr>
                <w:rFonts w:hint="eastAsia" w:ascii="宋体" w:hAnsi="宋体"/>
                <w:b/>
                <w:bCs/>
                <w:color w:val="FF0000"/>
                <w:sz w:val="21"/>
                <w:szCs w:val="21"/>
                <w:highlight w:val="yellow"/>
              </w:rPr>
              <w:t>技术负责人：具有住房和城乡建设部颁发的机电工程专业的一级建造师证书。（备注：要求与“评标信息——拟安排的项目主要团队成员（项目经理除外）情况”中技术负责人为同一人，否则视为未实质性满足招标文件要求。）</w:t>
            </w:r>
          </w:p>
          <w:p w14:paraId="740E50C9">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r>
              <w:rPr>
                <w:rFonts w:hint="eastAsia" w:ascii="宋体" w:hAnsi="宋体"/>
                <w:b/>
                <w:bCs/>
                <w:color w:val="FF0000"/>
                <w:sz w:val="21"/>
                <w:szCs w:val="21"/>
                <w:highlight w:val="yellow"/>
              </w:rPr>
              <w:t>（投标时提供相关证书扫描件或复印件，且法人（或授权代表）签字并加盖投标人公章）。</w:t>
            </w:r>
          </w:p>
        </w:tc>
      </w:tr>
      <w:tr w14:paraId="56A50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8" w:type="pct"/>
            <w:vMerge w:val="continue"/>
            <w:tcBorders>
              <w:left w:val="single" w:color="auto" w:sz="4" w:space="0"/>
              <w:right w:val="single" w:color="auto" w:sz="4" w:space="0"/>
            </w:tcBorders>
            <w:vAlign w:val="center"/>
          </w:tcPr>
          <w:p w14:paraId="0E8174CC">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852" w:type="pct"/>
            <w:vMerge w:val="continue"/>
            <w:tcBorders>
              <w:left w:val="single" w:color="auto" w:sz="4" w:space="0"/>
              <w:right w:val="single" w:color="auto" w:sz="4" w:space="0"/>
            </w:tcBorders>
            <w:vAlign w:val="center"/>
          </w:tcPr>
          <w:p w14:paraId="1C152B7C">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4728DC03">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r>
              <w:rPr>
                <w:rFonts w:hint="eastAsia" w:ascii="宋体" w:hAnsi="宋体"/>
                <w:b/>
                <w:bCs/>
                <w:color w:val="FF0000"/>
                <w:sz w:val="21"/>
                <w:szCs w:val="21"/>
              </w:rPr>
              <w:t>▲9.2投标人需在投标时提供所投设备（以</w:t>
            </w:r>
            <w:r>
              <w:rPr>
                <w:rFonts w:hint="eastAsia" w:ascii="宋体" w:hAnsi="宋体"/>
                <w:b/>
                <w:bCs/>
                <w:color w:val="FF0000"/>
                <w:sz w:val="21"/>
                <w:szCs w:val="21"/>
                <w:lang w:val="en-US" w:eastAsia="zh-CN"/>
              </w:rPr>
              <w:t>分项报价表</w:t>
            </w:r>
            <w:r>
              <w:rPr>
                <w:rFonts w:hint="eastAsia" w:ascii="宋体" w:hAnsi="宋体"/>
                <w:b/>
                <w:bCs/>
                <w:color w:val="FF0000"/>
                <w:sz w:val="21"/>
                <w:szCs w:val="21"/>
              </w:rPr>
              <w:t>为准）（</w:t>
            </w:r>
            <w:r>
              <w:rPr>
                <w:rFonts w:hint="eastAsia" w:ascii="宋体" w:hAnsi="宋体"/>
                <w:b/>
                <w:bCs/>
                <w:color w:val="FF0000"/>
                <w:kern w:val="0"/>
                <w:sz w:val="21"/>
                <w:szCs w:val="21"/>
              </w:rPr>
              <w:t>服务器机柜1和2</w:t>
            </w:r>
            <w:r>
              <w:rPr>
                <w:rFonts w:hint="eastAsia" w:ascii="宋体" w:hAnsi="宋体"/>
                <w:b/>
                <w:bCs/>
                <w:color w:val="FF0000"/>
                <w:sz w:val="21"/>
                <w:szCs w:val="21"/>
              </w:rPr>
              <w:t>、密闭冷通道组件、</w:t>
            </w:r>
            <w:r>
              <w:rPr>
                <w:b/>
                <w:bCs/>
                <w:color w:val="FF0000"/>
                <w:sz w:val="21"/>
                <w:szCs w:val="21"/>
              </w:rPr>
              <w:t>UPS</w:t>
            </w:r>
            <w:r>
              <w:rPr>
                <w:rFonts w:hint="eastAsia"/>
                <w:b/>
                <w:bCs/>
                <w:color w:val="FF0000"/>
                <w:sz w:val="21"/>
                <w:szCs w:val="21"/>
              </w:rPr>
              <w:t>及功率模块</w:t>
            </w:r>
            <w:r>
              <w:rPr>
                <w:rFonts w:hint="eastAsia" w:ascii="宋体" w:hAnsi="宋体"/>
                <w:b/>
                <w:bCs/>
                <w:color w:val="FF0000"/>
                <w:sz w:val="21"/>
                <w:szCs w:val="21"/>
              </w:rPr>
              <w:t>、</w:t>
            </w:r>
            <w:r>
              <w:rPr>
                <w:rFonts w:hint="eastAsia"/>
                <w:b/>
                <w:bCs/>
                <w:color w:val="FF0000"/>
                <w:sz w:val="21"/>
                <w:szCs w:val="21"/>
              </w:rPr>
              <w:t>铅酸电池系统</w:t>
            </w:r>
            <w:r>
              <w:rPr>
                <w:rFonts w:hint="eastAsia" w:ascii="宋体" w:hAnsi="宋体"/>
                <w:b/>
                <w:bCs/>
                <w:color w:val="FF0000"/>
                <w:sz w:val="21"/>
                <w:szCs w:val="21"/>
              </w:rPr>
              <w:t>、水冷型行间空调</w:t>
            </w:r>
            <w:r>
              <w:rPr>
                <w:rFonts w:hint="eastAsia"/>
                <w:b/>
                <w:bCs/>
                <w:color w:val="FF0000"/>
                <w:sz w:val="21"/>
                <w:szCs w:val="21"/>
              </w:rPr>
              <w:t>、</w:t>
            </w:r>
            <w:r>
              <w:rPr>
                <w:rFonts w:hint="eastAsia" w:ascii="宋体" w:hAnsi="宋体"/>
                <w:b/>
                <w:bCs/>
                <w:color w:val="FF0000"/>
                <w:sz w:val="21"/>
                <w:szCs w:val="21"/>
              </w:rPr>
              <w:t>水冷型房间级空调、风冷型行间空调、2.</w:t>
            </w:r>
            <w:r>
              <w:rPr>
                <w:rFonts w:ascii="宋体" w:hAnsi="宋体"/>
                <w:b/>
                <w:bCs/>
                <w:color w:val="FF0000"/>
                <w:sz w:val="21"/>
                <w:szCs w:val="21"/>
              </w:rPr>
              <w:t>4</w:t>
            </w:r>
            <w:r>
              <w:rPr>
                <w:rFonts w:hint="eastAsia" w:ascii="宋体" w:hAnsi="宋体"/>
                <w:b/>
                <w:bCs/>
                <w:color w:val="FF0000"/>
                <w:sz w:val="21"/>
                <w:szCs w:val="21"/>
              </w:rPr>
              <w:t>MW配电柜系统、小母线、</w:t>
            </w:r>
            <w:r>
              <w:rPr>
                <w:rFonts w:hint="eastAsia" w:ascii="宋体" w:hAnsi="宋体"/>
                <w:b/>
                <w:bCs/>
                <w:color w:val="FF0000"/>
                <w:kern w:val="0"/>
                <w:sz w:val="21"/>
                <w:szCs w:val="21"/>
              </w:rPr>
              <w:t>动环管理系统</w:t>
            </w:r>
            <w:r>
              <w:rPr>
                <w:rFonts w:hint="eastAsia" w:ascii="宋体" w:hAnsi="宋体"/>
                <w:b/>
                <w:bCs/>
                <w:color w:val="FF0000"/>
                <w:kern w:val="0"/>
                <w:sz w:val="21"/>
                <w:szCs w:val="21"/>
                <w:lang w:eastAsia="zh-CN"/>
              </w:rPr>
              <w:t>、</w:t>
            </w:r>
            <w:r>
              <w:rPr>
                <w:rFonts w:hint="eastAsia" w:ascii="宋体" w:hAnsi="宋体"/>
                <w:b/>
                <w:bCs/>
                <w:color w:val="FF0000"/>
                <w:kern w:val="0"/>
                <w:sz w:val="21"/>
                <w:szCs w:val="21"/>
                <w:lang w:val="en-US" w:eastAsia="zh-CN"/>
              </w:rPr>
              <w:t>防火墙、堡垒机</w:t>
            </w:r>
            <w:r>
              <w:rPr>
                <w:rFonts w:hint="eastAsia" w:ascii="宋体" w:hAnsi="宋体"/>
                <w:b/>
                <w:bCs/>
                <w:color w:val="FF0000"/>
                <w:sz w:val="21"/>
                <w:szCs w:val="21"/>
              </w:rPr>
              <w:t>）的制造商出具的授权书并加盖原厂公章。</w:t>
            </w:r>
          </w:p>
        </w:tc>
      </w:tr>
      <w:tr w14:paraId="0BD96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jc w:val="center"/>
        </w:trPr>
        <w:tc>
          <w:tcPr>
            <w:tcW w:w="438" w:type="pct"/>
            <w:vMerge w:val="continue"/>
            <w:tcBorders>
              <w:left w:val="single" w:color="auto" w:sz="4" w:space="0"/>
              <w:right w:val="single" w:color="auto" w:sz="4" w:space="0"/>
            </w:tcBorders>
            <w:vAlign w:val="center"/>
          </w:tcPr>
          <w:p w14:paraId="7FCA1F62">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852" w:type="pct"/>
            <w:vMerge w:val="continue"/>
            <w:tcBorders>
              <w:left w:val="single" w:color="auto" w:sz="4" w:space="0"/>
              <w:right w:val="single" w:color="auto" w:sz="4" w:space="0"/>
            </w:tcBorders>
            <w:vAlign w:val="center"/>
          </w:tcPr>
          <w:p w14:paraId="0A92D4A6">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708" w:type="pct"/>
            <w:tcBorders>
              <w:top w:val="single" w:color="auto" w:sz="4" w:space="0"/>
              <w:left w:val="single" w:color="auto" w:sz="4" w:space="0"/>
              <w:bottom w:val="single" w:color="auto" w:sz="4" w:space="0"/>
              <w:right w:val="single" w:color="auto" w:sz="4" w:space="0"/>
            </w:tcBorders>
          </w:tcPr>
          <w:p w14:paraId="706FADF7">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r>
              <w:rPr>
                <w:rFonts w:hint="eastAsia" w:ascii="宋体" w:hAnsi="宋体"/>
                <w:b/>
                <w:bCs/>
                <w:color w:val="FF0000"/>
                <w:sz w:val="21"/>
                <w:szCs w:val="21"/>
              </w:rPr>
              <w:t>▲9.3投标时需提供所投设备（以</w:t>
            </w:r>
            <w:r>
              <w:rPr>
                <w:rFonts w:hint="eastAsia" w:ascii="宋体" w:hAnsi="宋体"/>
                <w:b/>
                <w:bCs/>
                <w:color w:val="FF0000"/>
                <w:sz w:val="21"/>
                <w:szCs w:val="21"/>
                <w:lang w:val="en-US" w:eastAsia="zh-CN"/>
              </w:rPr>
              <w:t>分项报价表</w:t>
            </w:r>
            <w:r>
              <w:rPr>
                <w:rFonts w:hint="eastAsia" w:ascii="宋体" w:hAnsi="宋体"/>
                <w:b/>
                <w:bCs/>
                <w:color w:val="FF0000"/>
                <w:sz w:val="21"/>
                <w:szCs w:val="21"/>
              </w:rPr>
              <w:t>为准）（</w:t>
            </w:r>
            <w:r>
              <w:rPr>
                <w:b/>
                <w:bCs/>
                <w:color w:val="FF0000"/>
                <w:sz w:val="21"/>
                <w:szCs w:val="21"/>
              </w:rPr>
              <w:t>UPS</w:t>
            </w:r>
            <w:r>
              <w:rPr>
                <w:rFonts w:hint="eastAsia"/>
                <w:b/>
                <w:bCs/>
                <w:color w:val="FF0000"/>
                <w:sz w:val="21"/>
                <w:szCs w:val="21"/>
              </w:rPr>
              <w:t>及功率模块、铅酸电池系统、</w:t>
            </w:r>
            <w:r>
              <w:rPr>
                <w:b/>
                <w:bCs/>
                <w:color w:val="FF0000"/>
                <w:sz w:val="21"/>
                <w:szCs w:val="21"/>
              </w:rPr>
              <w:t>2.4MW</w:t>
            </w:r>
            <w:r>
              <w:rPr>
                <w:rFonts w:hint="eastAsia"/>
                <w:b/>
                <w:bCs/>
                <w:color w:val="FF0000"/>
                <w:sz w:val="21"/>
                <w:szCs w:val="21"/>
              </w:rPr>
              <w:t>配电柜系统、</w:t>
            </w:r>
            <w:r>
              <w:rPr>
                <w:rFonts w:hint="eastAsia" w:ascii="宋体" w:hAnsi="宋体"/>
                <w:b/>
                <w:bCs/>
                <w:color w:val="FF0000"/>
                <w:sz w:val="21"/>
                <w:szCs w:val="21"/>
              </w:rPr>
              <w:t>水冷型行间空调</w:t>
            </w:r>
            <w:r>
              <w:rPr>
                <w:rFonts w:hint="eastAsia"/>
                <w:b/>
                <w:bCs/>
                <w:color w:val="FF0000"/>
                <w:sz w:val="21"/>
                <w:szCs w:val="21"/>
              </w:rPr>
              <w:t>、</w:t>
            </w:r>
            <w:r>
              <w:rPr>
                <w:rFonts w:hint="eastAsia" w:ascii="宋体" w:hAnsi="宋体"/>
                <w:b/>
                <w:bCs/>
                <w:color w:val="FF0000"/>
                <w:sz w:val="21"/>
                <w:szCs w:val="21"/>
              </w:rPr>
              <w:t>水冷型房间级空调、风冷型行间空调、小母线、动环管理系统</w:t>
            </w:r>
            <w:r>
              <w:rPr>
                <w:rFonts w:hint="eastAsia" w:ascii="宋体" w:hAnsi="宋体"/>
                <w:b/>
                <w:bCs/>
                <w:color w:val="FF0000"/>
                <w:sz w:val="21"/>
                <w:szCs w:val="21"/>
                <w:lang w:eastAsia="zh-CN"/>
              </w:rPr>
              <w:t>、</w:t>
            </w:r>
            <w:r>
              <w:rPr>
                <w:rFonts w:hint="eastAsia" w:ascii="宋体" w:hAnsi="宋体"/>
                <w:b/>
                <w:bCs/>
                <w:color w:val="FF0000"/>
                <w:sz w:val="21"/>
                <w:szCs w:val="21"/>
                <w:lang w:val="en-US" w:eastAsia="zh-CN"/>
              </w:rPr>
              <w:t>防火墙、堡垒机</w:t>
            </w:r>
            <w:r>
              <w:rPr>
                <w:rFonts w:hint="eastAsia" w:ascii="宋体" w:hAnsi="宋体"/>
                <w:b/>
                <w:bCs/>
                <w:color w:val="FF0000"/>
                <w:sz w:val="21"/>
                <w:szCs w:val="21"/>
              </w:rPr>
              <w:t>）厂商提供的5年原厂售后服务承诺函，并加盖原厂公章。</w:t>
            </w:r>
          </w:p>
        </w:tc>
      </w:tr>
    </w:tbl>
    <w:p w14:paraId="4E5905FB">
      <w:pPr>
        <w:pStyle w:val="3"/>
      </w:pPr>
    </w:p>
    <w:p w14:paraId="642C115B">
      <w:pPr>
        <w:pStyle w:val="7"/>
        <w:spacing w:before="156" w:beforeLines="50" w:after="156" w:afterLines="50"/>
        <w:rPr>
          <w:sz w:val="28"/>
          <w:szCs w:val="28"/>
        </w:rPr>
      </w:pPr>
      <w:r>
        <w:rPr>
          <w:rFonts w:hint="eastAsia"/>
          <w:sz w:val="28"/>
          <w:szCs w:val="28"/>
        </w:rPr>
        <w:t>六、其他重要条款</w:t>
      </w:r>
    </w:p>
    <w:p w14:paraId="5C0ED96E">
      <w:pPr>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12806A3E">
      <w:pPr>
        <w:pStyle w:val="9"/>
        <w:spacing w:before="78" w:beforeLines="25" w:after="78" w:afterLines="25"/>
        <w:ind w:firstLine="392" w:firstLineChars="187"/>
        <w:rPr>
          <w:rFonts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14:paraId="372EB830">
      <w:pPr>
        <w:ind w:firstLine="42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48645594">
      <w:pPr>
        <w:ind w:firstLine="420" w:firstLineChars="200"/>
        <w:rPr>
          <w:bCs/>
          <w:szCs w:val="21"/>
        </w:rPr>
      </w:pPr>
      <w:r>
        <w:rPr>
          <w:bCs/>
          <w:szCs w:val="21"/>
        </w:rPr>
        <w:t>4</w:t>
      </w:r>
      <w:r>
        <w:rPr>
          <w:rFonts w:hint="eastAsia"/>
          <w:bCs/>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14:paraId="76F29ED4">
      <w:pPr>
        <w:ind w:firstLine="420" w:firstLineChars="200"/>
        <w:rPr>
          <w:bCs/>
          <w:szCs w:val="21"/>
        </w:rPr>
      </w:pPr>
      <w:r>
        <w:rPr>
          <w:bCs/>
          <w:szCs w:val="21"/>
        </w:rPr>
        <w:t>5</w:t>
      </w:r>
      <w:r>
        <w:rPr>
          <w:rFonts w:hint="eastAsia"/>
          <w:bCs/>
          <w:szCs w:val="21"/>
        </w:rPr>
        <w:t>、除政府采购合同继续履行将损害国家利益和社会公共利益外，双方当事人不得擅自变更、中止或者终止合同。</w:t>
      </w:r>
    </w:p>
    <w:p w14:paraId="4032A93A">
      <w:pPr>
        <w:ind w:firstLine="420" w:firstLineChars="200"/>
        <w:rPr>
          <w:bCs/>
          <w:szCs w:val="21"/>
        </w:rPr>
      </w:pPr>
    </w:p>
    <w:p w14:paraId="26EC380F">
      <w:pPr>
        <w:pStyle w:val="7"/>
        <w:rPr>
          <w:kern w:val="2"/>
        </w:rPr>
      </w:pPr>
      <w:r>
        <w:rPr>
          <w:rFonts w:hint="eastAsia"/>
          <w:sz w:val="28"/>
          <w:szCs w:val="28"/>
        </w:rPr>
        <w:br w:type="page"/>
      </w:r>
      <w:bookmarkStart w:id="46" w:name="_Hlk86246764"/>
      <w:r>
        <w:rPr>
          <w:rFonts w:hint="eastAsia"/>
          <w:kern w:val="2"/>
        </w:rPr>
        <w:t>第四章 投标文件组成要求及格式</w:t>
      </w:r>
    </w:p>
    <w:p w14:paraId="5F880299">
      <w:pPr>
        <w:rPr>
          <w:rStyle w:val="62"/>
          <w:sz w:val="24"/>
        </w:rPr>
      </w:pPr>
      <w:r>
        <w:rPr>
          <w:rStyle w:val="62"/>
          <w:rFonts w:hint="eastAsia"/>
          <w:sz w:val="24"/>
        </w:rPr>
        <w:t>特别提醒：</w:t>
      </w:r>
    </w:p>
    <w:p w14:paraId="224CA10A">
      <w:pPr>
        <w:ind w:firstLine="480" w:firstLineChars="200"/>
        <w:rPr>
          <w:rFonts w:ascii="仿宋_GB2312" w:eastAsia="仿宋_GB2312"/>
          <w:sz w:val="24"/>
        </w:rPr>
      </w:pPr>
      <w:bookmarkStart w:id="47" w:name="_Hlk72257167"/>
      <w:r>
        <w:rPr>
          <w:rFonts w:hint="eastAsia" w:ascii="仿宋_GB2312" w:eastAsia="仿宋_GB2312"/>
          <w:sz w:val="24"/>
        </w:rPr>
        <w:t>采购代理机构将在中标（成交）结果公示中公布投标文件正文（信息公开部分），</w:t>
      </w:r>
      <w:r>
        <w:rPr>
          <w:rFonts w:hint="eastAsia" w:ascii="仿宋_GB2312" w:eastAsia="仿宋_GB2312"/>
          <w:b/>
          <w:bCs/>
          <w:sz w:val="24"/>
        </w:rPr>
        <w:t>如投标人误将涉及个人隐私的信息放入投标文件正文，相关后果由投标人自负</w:t>
      </w:r>
      <w:r>
        <w:rPr>
          <w:rFonts w:hint="eastAsia" w:ascii="仿宋_GB2312" w:eastAsia="仿宋_GB2312"/>
          <w:sz w:val="24"/>
        </w:rPr>
        <w:t>。</w:t>
      </w:r>
      <w:bookmarkEnd w:id="46"/>
      <w:bookmarkEnd w:id="47"/>
    </w:p>
    <w:p w14:paraId="5AE089C3">
      <w:pPr>
        <w:ind w:firstLine="480" w:firstLineChars="200"/>
        <w:rPr>
          <w:rFonts w:ascii="仿宋_GB2312" w:eastAsia="仿宋_GB2312"/>
          <w:sz w:val="24"/>
        </w:rPr>
      </w:pPr>
    </w:p>
    <w:p w14:paraId="097D13BC">
      <w:pPr>
        <w:pStyle w:val="9"/>
      </w:pPr>
    </w:p>
    <w:p w14:paraId="72EB341A">
      <w:pPr>
        <w:outlineLvl w:val="0"/>
        <w:rPr>
          <w:rStyle w:val="62"/>
          <w:sz w:val="28"/>
          <w:szCs w:val="28"/>
        </w:rPr>
      </w:pPr>
      <w:r>
        <w:rPr>
          <w:rStyle w:val="62"/>
          <w:rFonts w:hint="eastAsia"/>
          <w:sz w:val="28"/>
          <w:szCs w:val="28"/>
        </w:rPr>
        <w:t>投标文件组成：</w:t>
      </w:r>
    </w:p>
    <w:p w14:paraId="188AC36D">
      <w:pPr>
        <w:ind w:firstLine="1200" w:firstLineChars="500"/>
        <w:outlineLvl w:val="0"/>
        <w:rPr>
          <w:rFonts w:ascii="宋体" w:hAnsi="宋体"/>
          <w:sz w:val="24"/>
        </w:rPr>
      </w:pPr>
      <w:bookmarkStart w:id="48" w:name="_Hlk72257253"/>
      <w:r>
        <w:rPr>
          <w:rFonts w:hint="eastAsia" w:ascii="宋体" w:hAnsi="宋体"/>
          <w:sz w:val="24"/>
        </w:rPr>
        <w:t>1.投标文件正文</w:t>
      </w:r>
      <w:r>
        <w:rPr>
          <w:rFonts w:hint="eastAsia" w:ascii="宋体" w:hAnsi="宋体"/>
          <w:b/>
          <w:color w:val="FF0000"/>
          <w:sz w:val="24"/>
        </w:rPr>
        <w:t>（信息公开部分）</w:t>
      </w:r>
      <w:r>
        <w:rPr>
          <w:rFonts w:hint="eastAsia" w:ascii="宋体" w:hAnsi="宋体"/>
          <w:sz w:val="24"/>
        </w:rPr>
        <w:t>，主要包括以下内容：</w:t>
      </w:r>
    </w:p>
    <w:p w14:paraId="2F3FC5D0">
      <w:pPr>
        <w:ind w:left="718" w:leftChars="342" w:firstLine="1417" w:firstLineChars="675"/>
        <w:rPr>
          <w:szCs w:val="21"/>
        </w:rPr>
      </w:pPr>
      <w:r>
        <w:rPr>
          <w:rFonts w:hint="eastAsia"/>
          <w:szCs w:val="21"/>
        </w:rPr>
        <w:t>（1）</w:t>
      </w:r>
      <w:bookmarkStart w:id="49" w:name="_Hlk72070784"/>
      <w:r>
        <w:rPr>
          <w:rFonts w:hint="eastAsia"/>
          <w:szCs w:val="21"/>
        </w:rPr>
        <w:t>投标函</w:t>
      </w:r>
      <w:bookmarkEnd w:id="49"/>
    </w:p>
    <w:p w14:paraId="3F71044F">
      <w:pPr>
        <w:ind w:left="718" w:leftChars="342" w:firstLine="1417" w:firstLineChars="675"/>
        <w:rPr>
          <w:szCs w:val="21"/>
        </w:rPr>
      </w:pPr>
      <w:r>
        <w:rPr>
          <w:rFonts w:hint="eastAsia"/>
          <w:szCs w:val="21"/>
        </w:rPr>
        <w:t>（2）</w:t>
      </w:r>
      <w:bookmarkStart w:id="50" w:name="_Hlk72062521"/>
      <w:r>
        <w:rPr>
          <w:rFonts w:hint="eastAsia"/>
          <w:szCs w:val="21"/>
        </w:rPr>
        <w:t>政府采购投标及履约承诺函</w:t>
      </w:r>
      <w:bookmarkEnd w:id="50"/>
    </w:p>
    <w:p w14:paraId="683ED475">
      <w:pPr>
        <w:ind w:left="718" w:leftChars="342" w:firstLine="1417" w:firstLineChars="675"/>
        <w:rPr>
          <w:szCs w:val="21"/>
        </w:rPr>
      </w:pPr>
      <w:r>
        <w:rPr>
          <w:rFonts w:hint="eastAsia"/>
          <w:szCs w:val="21"/>
        </w:rPr>
        <w:t>（</w:t>
      </w:r>
      <w:r>
        <w:rPr>
          <w:szCs w:val="21"/>
        </w:rPr>
        <w:t>3</w:t>
      </w:r>
      <w:r>
        <w:rPr>
          <w:rFonts w:hint="eastAsia"/>
          <w:szCs w:val="21"/>
        </w:rPr>
        <w:t>）投标人情况及资格证明文件</w:t>
      </w:r>
    </w:p>
    <w:p w14:paraId="6B9508FB">
      <w:pPr>
        <w:ind w:left="718" w:leftChars="342" w:firstLine="1417" w:firstLineChars="675"/>
        <w:rPr>
          <w:szCs w:val="21"/>
        </w:rPr>
      </w:pPr>
      <w:bookmarkStart w:id="51" w:name="_Hlk72257201"/>
      <w:r>
        <w:rPr>
          <w:rFonts w:hint="eastAsia"/>
          <w:szCs w:val="21"/>
        </w:rPr>
        <w:t>（</w:t>
      </w:r>
      <w:r>
        <w:rPr>
          <w:szCs w:val="21"/>
        </w:rPr>
        <w:t>4</w:t>
      </w:r>
      <w:r>
        <w:rPr>
          <w:rFonts w:hint="eastAsia"/>
          <w:szCs w:val="21"/>
        </w:rPr>
        <w:t>）项目详细报价</w:t>
      </w:r>
    </w:p>
    <w:p w14:paraId="39ACCFBF">
      <w:pPr>
        <w:ind w:left="718" w:leftChars="342" w:firstLine="1417" w:firstLineChars="675"/>
        <w:rPr>
          <w:szCs w:val="21"/>
        </w:rPr>
      </w:pPr>
    </w:p>
    <w:bookmarkEnd w:id="51"/>
    <w:p w14:paraId="63E160CF">
      <w:pPr>
        <w:ind w:firstLine="1200" w:firstLineChars="500"/>
        <w:outlineLvl w:val="0"/>
        <w:rPr>
          <w:rFonts w:ascii="宋体" w:hAnsi="宋体"/>
          <w:sz w:val="24"/>
        </w:rPr>
      </w:pPr>
      <w:r>
        <w:rPr>
          <w:rFonts w:hint="eastAsia" w:ascii="宋体" w:hAnsi="宋体"/>
          <w:sz w:val="24"/>
        </w:rPr>
        <w:t>2.投标文件附件</w:t>
      </w:r>
      <w:r>
        <w:rPr>
          <w:rFonts w:hint="eastAsia" w:ascii="宋体" w:hAnsi="宋体"/>
          <w:b/>
          <w:color w:val="FF0000"/>
          <w:sz w:val="24"/>
        </w:rPr>
        <w:t>（信息不公开部分）</w:t>
      </w:r>
      <w:r>
        <w:rPr>
          <w:rFonts w:hint="eastAsia" w:ascii="宋体" w:hAnsi="宋体"/>
          <w:sz w:val="24"/>
        </w:rPr>
        <w:t>：主要包括以下内容：</w:t>
      </w:r>
    </w:p>
    <w:p w14:paraId="395646E8">
      <w:pPr>
        <w:ind w:firstLine="2100" w:firstLineChars="1000"/>
        <w:rPr>
          <w:szCs w:val="21"/>
        </w:rPr>
      </w:pPr>
      <w:r>
        <w:rPr>
          <w:rFonts w:hint="eastAsia"/>
          <w:szCs w:val="21"/>
        </w:rPr>
        <w:t>（1）法定代表人（负责人）证明书</w:t>
      </w:r>
    </w:p>
    <w:p w14:paraId="3F312A40">
      <w:pPr>
        <w:ind w:left="718" w:leftChars="342" w:firstLine="1417" w:firstLineChars="675"/>
        <w:rPr>
          <w:szCs w:val="21"/>
        </w:rPr>
      </w:pPr>
      <w:r>
        <w:rPr>
          <w:rFonts w:hint="eastAsia"/>
          <w:szCs w:val="21"/>
        </w:rPr>
        <w:t>（2）投标文件签署授权委托书</w:t>
      </w:r>
    </w:p>
    <w:p w14:paraId="4134923F">
      <w:pPr>
        <w:ind w:left="718" w:leftChars="342" w:firstLine="1417" w:firstLineChars="675"/>
        <w:rPr>
          <w:szCs w:val="21"/>
        </w:rPr>
      </w:pPr>
      <w:r>
        <w:rPr>
          <w:rFonts w:hint="eastAsia"/>
          <w:szCs w:val="21"/>
        </w:rPr>
        <w:t>（3）实质性条款响应情况表</w:t>
      </w:r>
    </w:p>
    <w:p w14:paraId="302BB846">
      <w:pPr>
        <w:ind w:left="718" w:leftChars="342" w:firstLine="1417" w:firstLineChars="675"/>
        <w:rPr>
          <w:szCs w:val="21"/>
        </w:rPr>
      </w:pPr>
      <w:r>
        <w:rPr>
          <w:rFonts w:hint="eastAsia"/>
          <w:szCs w:val="21"/>
        </w:rPr>
        <w:t>（</w:t>
      </w:r>
      <w:r>
        <w:rPr>
          <w:szCs w:val="21"/>
        </w:rPr>
        <w:t>4</w:t>
      </w:r>
      <w:r>
        <w:rPr>
          <w:rFonts w:hint="eastAsia"/>
          <w:szCs w:val="21"/>
        </w:rPr>
        <w:t>）</w:t>
      </w:r>
      <w:r>
        <w:rPr>
          <w:rFonts w:hint="eastAsia" w:ascii="宋体" w:hAnsi="宋体" w:cs="宋体"/>
          <w:bCs/>
          <w:color w:val="000000" w:themeColor="text1"/>
          <w14:textFill>
            <w14:solidFill>
              <w14:schemeClr w14:val="tx1"/>
            </w14:solidFill>
          </w14:textFill>
        </w:rPr>
        <w:t>技术要求偏离表</w:t>
      </w:r>
    </w:p>
    <w:p w14:paraId="11903042">
      <w:pPr>
        <w:ind w:left="718" w:leftChars="342" w:firstLine="1417" w:firstLineChars="675"/>
        <w:rPr>
          <w:szCs w:val="21"/>
        </w:rPr>
      </w:pPr>
      <w:r>
        <w:rPr>
          <w:rFonts w:hint="eastAsia"/>
          <w:szCs w:val="21"/>
        </w:rPr>
        <w:t>（</w:t>
      </w:r>
      <w:r>
        <w:rPr>
          <w:szCs w:val="21"/>
        </w:rPr>
        <w:t>5</w:t>
      </w:r>
      <w:r>
        <w:rPr>
          <w:rFonts w:hint="eastAsia"/>
          <w:szCs w:val="21"/>
        </w:rPr>
        <w:t>）</w:t>
      </w:r>
      <w:r>
        <w:rPr>
          <w:rFonts w:hint="eastAsia" w:ascii="宋体" w:hAnsi="宋体" w:cs="宋体"/>
          <w:bCs/>
          <w:color w:val="000000" w:themeColor="text1"/>
          <w14:textFill>
            <w14:solidFill>
              <w14:schemeClr w14:val="tx1"/>
            </w14:solidFill>
          </w14:textFill>
        </w:rPr>
        <w:t>商务要求偏离表</w:t>
      </w:r>
    </w:p>
    <w:p w14:paraId="31D10D60">
      <w:pPr>
        <w:ind w:left="718" w:leftChars="342" w:firstLine="1417" w:firstLineChars="675"/>
        <w:rPr>
          <w:szCs w:val="21"/>
        </w:rPr>
      </w:pPr>
      <w:r>
        <w:rPr>
          <w:rFonts w:hint="eastAsia"/>
          <w:szCs w:val="21"/>
        </w:rPr>
        <w:t>（</w:t>
      </w:r>
      <w:r>
        <w:rPr>
          <w:szCs w:val="21"/>
        </w:rPr>
        <w:t>6</w:t>
      </w:r>
      <w:r>
        <w:rPr>
          <w:rFonts w:hint="eastAsia"/>
          <w:szCs w:val="21"/>
        </w:rPr>
        <w:t>）</w:t>
      </w:r>
      <w:bookmarkEnd w:id="48"/>
      <w:r>
        <w:rPr>
          <w:rFonts w:hint="eastAsia" w:ascii="宋体" w:hAnsi="宋体"/>
        </w:rPr>
        <w:t>安装部署方案设计</w:t>
      </w:r>
      <w:r>
        <w:rPr>
          <w:rFonts w:hint="eastAsia"/>
        </w:rPr>
        <w:t>（格式自定）</w:t>
      </w:r>
    </w:p>
    <w:p w14:paraId="796B78BF">
      <w:pPr>
        <w:ind w:left="718" w:leftChars="342" w:firstLine="1417" w:firstLineChars="675"/>
        <w:rPr>
          <w:szCs w:val="21"/>
        </w:rPr>
      </w:pPr>
      <w:r>
        <w:rPr>
          <w:rFonts w:hint="eastAsia"/>
          <w:szCs w:val="21"/>
        </w:rPr>
        <w:t>（7）企业认证</w:t>
      </w:r>
      <w:r>
        <w:rPr>
          <w:rFonts w:hint="eastAsia"/>
        </w:rPr>
        <w:t>（格式自定）</w:t>
      </w:r>
    </w:p>
    <w:p w14:paraId="2A6B8CBB">
      <w:pPr>
        <w:ind w:left="718" w:leftChars="342" w:firstLine="1417" w:firstLineChars="675"/>
        <w:rPr>
          <w:rFonts w:hint="eastAsia"/>
        </w:rPr>
      </w:pPr>
      <w:r>
        <w:rPr>
          <w:rFonts w:hint="eastAsia"/>
          <w:szCs w:val="21"/>
        </w:rPr>
        <w:t>（8）同类项目业绩</w:t>
      </w:r>
      <w:r>
        <w:rPr>
          <w:rFonts w:hint="eastAsia"/>
        </w:rPr>
        <w:t>（格式自定）</w:t>
      </w:r>
    </w:p>
    <w:p w14:paraId="086D81B8">
      <w:pPr>
        <w:ind w:left="718" w:leftChars="342" w:firstLine="1417" w:firstLineChars="675"/>
        <w:rPr>
          <w:szCs w:val="21"/>
        </w:rPr>
      </w:pPr>
      <w:r>
        <w:rPr>
          <w:rFonts w:hint="eastAsia"/>
          <w:szCs w:val="21"/>
        </w:rPr>
        <w:t>（</w:t>
      </w:r>
      <w:r>
        <w:rPr>
          <w:rFonts w:hint="eastAsia"/>
          <w:szCs w:val="21"/>
          <w:lang w:val="en-US" w:eastAsia="zh-CN"/>
        </w:rPr>
        <w:t>9</w:t>
      </w:r>
      <w:r>
        <w:rPr>
          <w:rFonts w:hint="eastAsia"/>
          <w:szCs w:val="21"/>
        </w:rPr>
        <w:t>）</w:t>
      </w:r>
      <w:r>
        <w:rPr>
          <w:rFonts w:hint="eastAsia" w:ascii="宋体" w:hAnsi="宋体"/>
          <w:bCs/>
          <w:szCs w:val="21"/>
        </w:rPr>
        <w:t>投标人自主知识产权产品（创新、设计）情况</w:t>
      </w:r>
      <w:r>
        <w:rPr>
          <w:rFonts w:hint="eastAsia"/>
        </w:rPr>
        <w:t>（格式自定）</w:t>
      </w:r>
    </w:p>
    <w:p w14:paraId="007FC7F1">
      <w:pPr>
        <w:ind w:left="718" w:leftChars="342" w:firstLine="1417" w:firstLineChars="675"/>
        <w:rPr>
          <w:szCs w:val="21"/>
        </w:rPr>
      </w:pPr>
      <w:r>
        <w:rPr>
          <w:rFonts w:hint="eastAsia"/>
          <w:szCs w:val="21"/>
        </w:rPr>
        <w:t>（</w:t>
      </w:r>
      <w:r>
        <w:rPr>
          <w:rFonts w:hint="eastAsia"/>
          <w:szCs w:val="21"/>
          <w:lang w:val="en-US" w:eastAsia="zh-CN"/>
        </w:rPr>
        <w:t>10</w:t>
      </w:r>
      <w:r>
        <w:rPr>
          <w:rFonts w:hint="eastAsia"/>
          <w:szCs w:val="21"/>
        </w:rPr>
        <w:t>）</w:t>
      </w:r>
      <w:r>
        <w:rPr>
          <w:rFonts w:hint="eastAsia" w:ascii="宋体" w:hAnsi="宋体"/>
          <w:bCs/>
          <w:szCs w:val="21"/>
        </w:rPr>
        <w:t>拟安排的项目经理情况</w:t>
      </w:r>
      <w:r>
        <w:rPr>
          <w:rFonts w:hint="eastAsia"/>
        </w:rPr>
        <w:t>（格式自定）</w:t>
      </w:r>
    </w:p>
    <w:p w14:paraId="04BD443C">
      <w:pPr>
        <w:ind w:left="718" w:leftChars="342" w:firstLine="1417" w:firstLineChars="675"/>
        <w:rPr>
          <w:rFonts w:hint="eastAsia" w:ascii="宋体" w:hAnsi="宋体"/>
          <w:bCs/>
          <w:szCs w:val="21"/>
          <w:lang w:eastAsia="zh-CN"/>
        </w:rPr>
      </w:pPr>
      <w:r>
        <w:rPr>
          <w:rFonts w:hint="eastAsia"/>
          <w:szCs w:val="21"/>
        </w:rPr>
        <w:t>（</w:t>
      </w:r>
      <w:r>
        <w:rPr>
          <w:rFonts w:hint="eastAsia"/>
          <w:szCs w:val="21"/>
          <w:lang w:val="en-US" w:eastAsia="zh-CN"/>
        </w:rPr>
        <w:t>11</w:t>
      </w:r>
      <w:r>
        <w:rPr>
          <w:rFonts w:hint="eastAsia"/>
          <w:szCs w:val="21"/>
        </w:rPr>
        <w:t>）</w:t>
      </w:r>
      <w:r>
        <w:rPr>
          <w:rFonts w:hint="eastAsia" w:ascii="宋体" w:hAnsi="宋体"/>
          <w:bCs/>
          <w:szCs w:val="21"/>
        </w:rPr>
        <w:t>拟安排的项目主要团队成员（项目经理除外）情况</w:t>
      </w:r>
      <w:r>
        <w:rPr>
          <w:rFonts w:hint="eastAsia" w:ascii="宋体" w:hAnsi="宋体"/>
          <w:bCs/>
          <w:szCs w:val="21"/>
          <w:lang w:eastAsia="zh-CN"/>
        </w:rPr>
        <w:t>（</w:t>
      </w:r>
      <w:r>
        <w:rPr>
          <w:rFonts w:hint="eastAsia" w:ascii="宋体" w:hAnsi="宋体"/>
          <w:bCs/>
          <w:szCs w:val="21"/>
          <w:lang w:val="en-US" w:eastAsia="zh-CN"/>
        </w:rPr>
        <w:t>格式自定</w:t>
      </w:r>
      <w:r>
        <w:rPr>
          <w:rFonts w:hint="eastAsia" w:ascii="宋体" w:hAnsi="宋体"/>
          <w:bCs/>
          <w:szCs w:val="21"/>
          <w:lang w:eastAsia="zh-CN"/>
        </w:rPr>
        <w:t>）</w:t>
      </w:r>
    </w:p>
    <w:p w14:paraId="351E6439">
      <w:pPr>
        <w:ind w:left="718" w:leftChars="342" w:firstLine="1417" w:firstLineChars="675"/>
      </w:pPr>
      <w:r>
        <w:rPr>
          <w:rFonts w:hint="eastAsia"/>
          <w:szCs w:val="21"/>
        </w:rPr>
        <w:t>（</w:t>
      </w:r>
      <w:r>
        <w:rPr>
          <w:rFonts w:hint="eastAsia"/>
          <w:szCs w:val="21"/>
          <w:lang w:val="en-US" w:eastAsia="zh-CN"/>
        </w:rPr>
        <w:t>12</w:t>
      </w:r>
      <w:r>
        <w:rPr>
          <w:rFonts w:hint="eastAsia"/>
          <w:szCs w:val="21"/>
        </w:rPr>
        <w:t>）</w:t>
      </w:r>
      <w:r>
        <w:rPr>
          <w:rFonts w:hint="eastAsia"/>
        </w:rPr>
        <w:t>环保执行情况（格式自定）</w:t>
      </w:r>
    </w:p>
    <w:p w14:paraId="0E6D9043">
      <w:pPr>
        <w:ind w:left="718" w:leftChars="342" w:firstLine="1417" w:firstLineChars="675"/>
        <w:rPr>
          <w:szCs w:val="21"/>
        </w:rPr>
      </w:pPr>
      <w:r>
        <w:rPr>
          <w:rFonts w:hint="eastAsia"/>
          <w:szCs w:val="21"/>
        </w:rPr>
        <w:t>（</w:t>
      </w:r>
      <w:r>
        <w:rPr>
          <w:rFonts w:hint="eastAsia"/>
          <w:szCs w:val="21"/>
          <w:lang w:val="en-US" w:eastAsia="zh-CN"/>
        </w:rPr>
        <w:t>13</w:t>
      </w:r>
      <w:r>
        <w:rPr>
          <w:rFonts w:hint="eastAsia"/>
          <w:szCs w:val="21"/>
        </w:rPr>
        <w:t>）投标人认为需要加以说明的其他内容（格式自定）</w:t>
      </w:r>
    </w:p>
    <w:p w14:paraId="47E5F2D6">
      <w:pPr>
        <w:ind w:firstLine="1200" w:firstLineChars="500"/>
        <w:outlineLvl w:val="0"/>
        <w:rPr>
          <w:rFonts w:ascii="宋体" w:hAnsi="宋体"/>
          <w:sz w:val="24"/>
        </w:rPr>
      </w:pPr>
      <w:bookmarkStart w:id="52" w:name="_Hlk72257771"/>
      <w:r>
        <w:rPr>
          <w:rFonts w:hint="eastAsia" w:ascii="宋体" w:hAnsi="宋体"/>
          <w:sz w:val="24"/>
        </w:rPr>
        <w:t>3.唱标信封的组成</w:t>
      </w:r>
    </w:p>
    <w:p w14:paraId="46472604">
      <w:pPr>
        <w:ind w:firstLine="2100" w:firstLineChars="1000"/>
        <w:rPr>
          <w:szCs w:val="21"/>
        </w:rPr>
      </w:pPr>
      <w:r>
        <w:rPr>
          <w:rFonts w:hint="eastAsia"/>
          <w:szCs w:val="21"/>
        </w:rPr>
        <w:t>（1）开标一览表</w:t>
      </w:r>
    </w:p>
    <w:p w14:paraId="173508D3">
      <w:pPr>
        <w:ind w:firstLine="2100" w:firstLineChars="1000"/>
        <w:rPr>
          <w:szCs w:val="21"/>
        </w:rPr>
      </w:pPr>
      <w:r>
        <w:rPr>
          <w:rFonts w:hint="eastAsia"/>
          <w:szCs w:val="21"/>
        </w:rPr>
        <w:t>（2）投标文件电子文档（具体要求详见“对通用条款的补充内容”）</w:t>
      </w:r>
    </w:p>
    <w:p w14:paraId="500295FA">
      <w:pPr>
        <w:ind w:firstLine="426" w:firstLineChars="202"/>
        <w:rPr>
          <w:rFonts w:ascii="宋体" w:hAnsi="宋体"/>
          <w:b/>
          <w:szCs w:val="21"/>
        </w:rPr>
      </w:pPr>
    </w:p>
    <w:bookmarkEnd w:id="52"/>
    <w:p w14:paraId="0839C96F">
      <w:pPr>
        <w:ind w:firstLine="422" w:firstLineChars="200"/>
        <w:rPr>
          <w:b/>
          <w:bCs/>
          <w:color w:val="FF0000"/>
          <w:szCs w:val="21"/>
        </w:rPr>
      </w:pPr>
      <w:r>
        <w:rPr>
          <w:rFonts w:hint="eastAsia"/>
          <w:b/>
          <w:bCs/>
          <w:color w:val="FF0000"/>
          <w:szCs w:val="21"/>
        </w:rPr>
        <w:t>注：</w:t>
      </w:r>
    </w:p>
    <w:p w14:paraId="28C2462C">
      <w:pPr>
        <w:numPr>
          <w:ilvl w:val="0"/>
          <w:numId w:val="0"/>
        </w:numPr>
        <w:rPr>
          <w:b/>
          <w:bCs/>
          <w:color w:val="FF0000"/>
          <w:szCs w:val="21"/>
        </w:rPr>
      </w:pPr>
      <w:r>
        <w:rPr>
          <w:rFonts w:ascii="Times New Roman" w:hAnsi="Times New Roman" w:eastAsia="宋体" w:cs="Times New Roman"/>
          <w:b/>
          <w:bCs/>
          <w:color w:val="FF0000"/>
          <w:kern w:val="2"/>
          <w:sz w:val="21"/>
          <w:szCs w:val="21"/>
          <w:lang w:val="en-US" w:eastAsia="zh-CN" w:bidi="ar-SA"/>
        </w:rPr>
        <w:t>1.</w:t>
      </w:r>
      <w:r>
        <w:rPr>
          <w:rFonts w:hint="eastAsia"/>
          <w:b/>
          <w:bCs/>
          <w:color w:val="FF0000"/>
          <w:szCs w:val="21"/>
        </w:rPr>
        <w:t>投标人对应投标文件正文及投标文件附件分别制作独立的电子文档。</w:t>
      </w:r>
    </w:p>
    <w:p w14:paraId="27660A6F">
      <w:pPr>
        <w:numPr>
          <w:ilvl w:val="0"/>
          <w:numId w:val="0"/>
        </w:numPr>
        <w:rPr>
          <w:b/>
          <w:bCs/>
          <w:color w:val="FF0000"/>
          <w:szCs w:val="21"/>
        </w:rPr>
      </w:pPr>
      <w:r>
        <w:rPr>
          <w:rFonts w:ascii="Times New Roman" w:hAnsi="Times New Roman" w:eastAsia="宋体" w:cs="Times New Roman"/>
          <w:b/>
          <w:bCs/>
          <w:color w:val="FF0000"/>
          <w:kern w:val="2"/>
          <w:sz w:val="21"/>
          <w:szCs w:val="21"/>
          <w:lang w:val="en-US" w:eastAsia="zh-CN" w:bidi="ar-SA"/>
        </w:rPr>
        <w:t>2.</w:t>
      </w:r>
      <w:r>
        <w:rPr>
          <w:rFonts w:hint="eastAsia"/>
          <w:b/>
          <w:bCs/>
          <w:color w:val="FF0000"/>
          <w:szCs w:val="21"/>
        </w:rPr>
        <w:t>投标人编制投标文件须包括但不限于上述内容。所提供证明文件均真实有效且加盖投标人公章。</w:t>
      </w:r>
    </w:p>
    <w:p w14:paraId="79C77B08">
      <w:pPr>
        <w:widowControl/>
        <w:jc w:val="left"/>
        <w:rPr>
          <w:rFonts w:ascii="宋体" w:hAnsi="宋体"/>
          <w:color w:val="FF0000"/>
          <w:sz w:val="24"/>
        </w:rPr>
      </w:pPr>
    </w:p>
    <w:p w14:paraId="6BC7FEE3">
      <w:pPr>
        <w:widowControl/>
        <w:jc w:val="left"/>
        <w:rPr>
          <w:rFonts w:ascii="宋体" w:hAnsi="宋体"/>
          <w:color w:val="FF0000"/>
          <w:sz w:val="24"/>
        </w:rPr>
      </w:pPr>
      <w:r>
        <w:rPr>
          <w:rFonts w:ascii="宋体" w:hAnsi="宋体"/>
          <w:color w:val="FF0000"/>
          <w:sz w:val="24"/>
        </w:rPr>
        <w:br w:type="page"/>
      </w:r>
    </w:p>
    <w:p w14:paraId="0C629CD8">
      <w:pPr>
        <w:rPr>
          <w:rFonts w:ascii="宋体" w:hAnsi="宋体"/>
          <w:color w:val="FF0000"/>
          <w:sz w:val="24"/>
        </w:rPr>
      </w:pPr>
    </w:p>
    <w:p w14:paraId="035AA2FF">
      <w:pPr>
        <w:outlineLvl w:val="1"/>
        <w:rPr>
          <w:rFonts w:ascii="宋体" w:hAnsi="宋体"/>
          <w:b/>
          <w:color w:val="FF0000"/>
          <w:sz w:val="28"/>
          <w:szCs w:val="28"/>
        </w:rPr>
      </w:pPr>
      <w:r>
        <w:rPr>
          <w:rFonts w:hint="eastAsia" w:ascii="宋体" w:hAnsi="宋体"/>
          <w:b/>
          <w:color w:val="FF0000"/>
          <w:sz w:val="28"/>
          <w:szCs w:val="28"/>
        </w:rPr>
        <w:t>投标文件正文（信息公开部分）</w:t>
      </w:r>
    </w:p>
    <w:p w14:paraId="75C7DAB8">
      <w:pPr>
        <w:pStyle w:val="5"/>
        <w:jc w:val="center"/>
        <w:rPr>
          <w:rFonts w:ascii="黑体" w:eastAsia="黑体"/>
          <w:b w:val="0"/>
          <w:sz w:val="24"/>
        </w:rPr>
      </w:pPr>
      <w:r>
        <w:rPr>
          <w:rFonts w:hint="eastAsia" w:ascii="黑体" w:eastAsia="黑体"/>
          <w:b w:val="0"/>
          <w:sz w:val="24"/>
        </w:rPr>
        <w:t>一、投标函</w:t>
      </w:r>
    </w:p>
    <w:p w14:paraId="43C7DA99">
      <w:pPr>
        <w:spacing w:line="360" w:lineRule="auto"/>
        <w:rPr>
          <w:rFonts w:ascii="宋体" w:hAnsi="宋体"/>
          <w:szCs w:val="21"/>
        </w:rPr>
      </w:pPr>
      <w:bookmarkStart w:id="53" w:name="_Hlk72257506"/>
      <w:r>
        <w:rPr>
          <w:rFonts w:hint="eastAsia" w:ascii="宋体" w:hAnsi="宋体"/>
          <w:szCs w:val="21"/>
        </w:rPr>
        <w:t>致：</w:t>
      </w:r>
      <w:r>
        <w:rPr>
          <w:rFonts w:hint="eastAsia" w:ascii="宋体" w:hAnsi="宋体"/>
          <w:color w:val="FF0000"/>
          <w:szCs w:val="21"/>
          <w:u w:val="single"/>
        </w:rPr>
        <w:t>深圳公共资源交易中心</w:t>
      </w:r>
    </w:p>
    <w:p w14:paraId="2946D378">
      <w:pPr>
        <w:ind w:firstLine="420" w:firstLineChars="200"/>
        <w:rPr>
          <w:rFonts w:ascii="宋体" w:hAnsi="宋体"/>
          <w:szCs w:val="21"/>
        </w:rPr>
      </w:pPr>
      <w:bookmarkStart w:id="54" w:name="_Hlk73818812"/>
      <w:r>
        <w:rPr>
          <w:rFonts w:hint="eastAsia"/>
          <w:szCs w:val="21"/>
        </w:rPr>
        <w:t>1、根据已收到贵单位的项目编号为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的</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项目的招标文件，遵照《中华人民共和国政府采购法》和《中华人民共和国政府采购法实施条例》等有关规定，我单位经研究上述招标文件的专用条款及通用条款后，</w:t>
      </w:r>
      <w:bookmarkStart w:id="55" w:name="_Hlk72263588"/>
      <w:r>
        <w:rPr>
          <w:rFonts w:hint="eastAsia"/>
          <w:szCs w:val="21"/>
        </w:rPr>
        <w:t>愿意按照招标文件要求承包上述项目并修补其任何缺陷。</w:t>
      </w:r>
      <w:bookmarkEnd w:id="55"/>
    </w:p>
    <w:p w14:paraId="2153C3D5">
      <w:pPr>
        <w:ind w:firstLine="420" w:firstLineChars="200"/>
        <w:rPr>
          <w:rFonts w:ascii="宋体" w:hAnsi="宋体"/>
          <w:szCs w:val="21"/>
        </w:rPr>
      </w:pPr>
      <w:r>
        <w:rPr>
          <w:rFonts w:ascii="宋体" w:hAnsi="宋体"/>
          <w:szCs w:val="21"/>
        </w:rPr>
        <w:t>2</w:t>
      </w:r>
      <w:r>
        <w:rPr>
          <w:rFonts w:hint="eastAsia" w:ascii="宋体" w:hAnsi="宋体"/>
          <w:szCs w:val="21"/>
        </w:rPr>
        <w:t>、</w:t>
      </w:r>
      <w:bookmarkStart w:id="56" w:name="_Hlk73819847"/>
      <w:r>
        <w:rPr>
          <w:rFonts w:hint="eastAsia" w:ascii="宋体" w:hAnsi="宋体"/>
          <w:szCs w:val="21"/>
        </w:rPr>
        <w:t>投标价格见投标书编制软件中《开标一览表》中填写的投标报价</w:t>
      </w:r>
      <w:r>
        <w:rPr>
          <w:rFonts w:hint="eastAsia"/>
          <w:szCs w:val="21"/>
        </w:rPr>
        <w:t>。</w:t>
      </w:r>
      <w:bookmarkEnd w:id="56"/>
    </w:p>
    <w:p w14:paraId="79340894">
      <w:pPr>
        <w:ind w:firstLine="420" w:firstLineChars="200"/>
        <w:rPr>
          <w:rFonts w:ascii="宋体" w:hAnsi="宋体"/>
          <w:szCs w:val="21"/>
        </w:rPr>
      </w:pPr>
      <w:r>
        <w:rPr>
          <w:rFonts w:hint="eastAsia" w:ascii="宋体" w:hAnsi="宋体"/>
          <w:szCs w:val="21"/>
        </w:rPr>
        <w:t>3、如果我单位中标，我单位将按照招标文件的要求提交履约担保。</w:t>
      </w:r>
    </w:p>
    <w:p w14:paraId="607F7BD8">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16CC1970">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14:paraId="6050A8F7">
      <w:pPr>
        <w:ind w:firstLine="420" w:firstLineChars="200"/>
        <w:rPr>
          <w:rFonts w:ascii="宋体" w:hAnsi="宋体"/>
          <w:szCs w:val="21"/>
        </w:rPr>
      </w:pPr>
      <w:r>
        <w:rPr>
          <w:rFonts w:hint="eastAsia" w:ascii="宋体" w:hAnsi="宋体"/>
          <w:szCs w:val="21"/>
        </w:rPr>
        <w:t>6、我单位理解贵单位将不受必须接受所收到的最低报价或其它任何投标文件的约束。</w:t>
      </w:r>
      <w:bookmarkEnd w:id="54"/>
    </w:p>
    <w:p w14:paraId="44F2F11A">
      <w:pPr>
        <w:ind w:firstLine="420" w:firstLineChars="200"/>
        <w:rPr>
          <w:rFonts w:ascii="宋体" w:hAnsi="宋体"/>
          <w:szCs w:val="21"/>
        </w:rPr>
      </w:pPr>
      <w:r>
        <w:rPr>
          <w:rFonts w:hint="eastAsia" w:ascii="宋体" w:hAnsi="宋体"/>
          <w:szCs w:val="21"/>
        </w:rPr>
        <w:t>7、如我单位按项目要求提供样品，且未在规定时间内取回样品的，视同放弃取回，同意深圳公共资源交易中心对样品进行清理。</w:t>
      </w:r>
    </w:p>
    <w:p w14:paraId="7152816D">
      <w:pPr>
        <w:ind w:left="540" w:leftChars="257"/>
        <w:rPr>
          <w:szCs w:val="21"/>
        </w:rPr>
      </w:pPr>
      <w:r>
        <w:rPr>
          <w:rFonts w:hint="eastAsia"/>
          <w:szCs w:val="21"/>
        </w:rPr>
        <w:t>投标人：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单位地址：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 xml:space="preserve">  </w:t>
      </w:r>
    </w:p>
    <w:p w14:paraId="21B64D07">
      <w:pPr>
        <w:ind w:left="540" w:leftChars="257"/>
        <w:rPr>
          <w:szCs w:val="21"/>
          <w:u w:val="single"/>
        </w:rPr>
      </w:pPr>
      <w:r>
        <w:rPr>
          <w:rFonts w:hint="eastAsia"/>
          <w:szCs w:val="21"/>
        </w:rPr>
        <w:t>法定代表人（负责人）或其委托代理人：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14:paraId="3C220B53">
      <w:pPr>
        <w:ind w:left="540" w:leftChars="257"/>
        <w:rPr>
          <w:szCs w:val="21"/>
          <w:u w:val="single"/>
        </w:rPr>
      </w:pPr>
      <w:r>
        <w:rPr>
          <w:rFonts w:hint="eastAsia"/>
          <w:szCs w:val="21"/>
        </w:rPr>
        <w:t>邮政编码：</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14:paraId="5693C4F1">
      <w:pPr>
        <w:ind w:left="540" w:leftChars="257"/>
        <w:rPr>
          <w:szCs w:val="21"/>
          <w:u w:val="single"/>
        </w:rPr>
      </w:pPr>
      <w:r>
        <w:rPr>
          <w:rFonts w:hint="eastAsia"/>
          <w:szCs w:val="21"/>
        </w:rPr>
        <w:t>邮箱：</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14:paraId="6C8BFAB5">
      <w:pPr>
        <w:ind w:left="540"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开户银行账号：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14:paraId="0F84327B">
      <w:pPr>
        <w:ind w:left="540"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14:paraId="40809E0C">
      <w:pPr>
        <w:ind w:firstLine="539" w:firstLineChars="257"/>
        <w:rPr>
          <w:sz w:val="24"/>
        </w:rPr>
      </w:pPr>
      <w:r>
        <w:rPr>
          <w:rFonts w:hint="eastAsia" w:ascii="宋体" w:hAnsi="宋体"/>
          <w:szCs w:val="21"/>
        </w:rPr>
        <w:t>日期：</w:t>
      </w:r>
      <w:r>
        <w:rPr>
          <w:rFonts w:hint="eastAsia"/>
          <w:szCs w:val="21"/>
          <w:u w:val="single"/>
        </w:rPr>
        <w:tab/>
      </w:r>
      <w:r>
        <w:rPr>
          <w:rFonts w:hint="eastAsia"/>
          <w:szCs w:val="21"/>
          <w:u w:val="single"/>
        </w:rPr>
        <w:tab/>
      </w:r>
      <w:r>
        <w:rPr>
          <w:rFonts w:hint="eastAsia" w:ascii="宋体" w:hAnsi="宋体"/>
          <w:szCs w:val="21"/>
        </w:rPr>
        <w:t>年</w:t>
      </w:r>
      <w:r>
        <w:rPr>
          <w:rFonts w:hint="eastAsia"/>
          <w:szCs w:val="21"/>
          <w:u w:val="single"/>
        </w:rPr>
        <w:tab/>
      </w:r>
      <w:r>
        <w:rPr>
          <w:rFonts w:hint="eastAsia"/>
          <w:szCs w:val="21"/>
          <w:u w:val="single"/>
        </w:rPr>
        <w:tab/>
      </w:r>
      <w:r>
        <w:rPr>
          <w:rFonts w:hint="eastAsia" w:ascii="宋体" w:hAnsi="宋体"/>
          <w:szCs w:val="21"/>
        </w:rPr>
        <w:t>月</w:t>
      </w:r>
      <w:r>
        <w:rPr>
          <w:rFonts w:hint="eastAsia"/>
          <w:szCs w:val="21"/>
          <w:u w:val="single"/>
        </w:rPr>
        <w:tab/>
      </w:r>
      <w:r>
        <w:rPr>
          <w:rFonts w:hint="eastAsia"/>
          <w:szCs w:val="21"/>
          <w:u w:val="single"/>
        </w:rPr>
        <w:tab/>
      </w:r>
      <w:r>
        <w:rPr>
          <w:rFonts w:hint="eastAsia" w:ascii="宋体" w:hAnsi="宋体"/>
          <w:szCs w:val="21"/>
        </w:rPr>
        <w:t>日</w:t>
      </w:r>
    </w:p>
    <w:p w14:paraId="18A1539B">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133C6EF5">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72296ECC">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25E94D93">
      <w:pPr>
        <w:rPr>
          <w:rFonts w:ascii="黑体" w:hAnsi="宋体" w:eastAsia="黑体"/>
        </w:rPr>
      </w:pPr>
    </w:p>
    <w:bookmarkEnd w:id="53"/>
    <w:p w14:paraId="005DA284">
      <w:pPr>
        <w:pStyle w:val="5"/>
        <w:jc w:val="center"/>
        <w:rPr>
          <w:rFonts w:ascii="黑体" w:eastAsia="黑体"/>
          <w:b w:val="0"/>
          <w:sz w:val="24"/>
        </w:rPr>
      </w:pPr>
      <w:r>
        <w:rPr>
          <w:rFonts w:hint="eastAsia" w:ascii="黑体" w:eastAsia="黑体"/>
          <w:b w:val="0"/>
          <w:sz w:val="24"/>
        </w:rPr>
        <w:t>二、政府采购投标及履约承诺函</w:t>
      </w:r>
    </w:p>
    <w:p w14:paraId="00C6358C">
      <w:pPr>
        <w:rPr>
          <w:rFonts w:ascii="宋体" w:hAnsi="宋体"/>
          <w:color w:val="FF0000"/>
          <w:szCs w:val="21"/>
        </w:rPr>
      </w:pPr>
      <w:bookmarkStart w:id="57" w:name="_Hlk72257530"/>
      <w:r>
        <w:rPr>
          <w:rFonts w:hint="eastAsia" w:ascii="宋体" w:hAnsi="宋体"/>
          <w:color w:val="FF0000"/>
          <w:szCs w:val="21"/>
        </w:rPr>
        <w:t>致：</w:t>
      </w:r>
      <w:r>
        <w:rPr>
          <w:rFonts w:hint="eastAsia" w:ascii="宋体" w:hAnsi="宋体"/>
          <w:color w:val="FF0000"/>
          <w:szCs w:val="21"/>
          <w:u w:val="single"/>
        </w:rPr>
        <w:t>深圳公共资源交易中心</w:t>
      </w:r>
    </w:p>
    <w:p w14:paraId="21E70EC2">
      <w:pPr>
        <w:ind w:right="-815" w:firstLine="420" w:firstLineChars="200"/>
        <w:rPr>
          <w:rFonts w:ascii="宋体" w:hAnsi="宋体"/>
          <w:szCs w:val="21"/>
        </w:rPr>
      </w:pPr>
      <w:r>
        <w:rPr>
          <w:rFonts w:hint="eastAsia" w:ascii="宋体" w:hAnsi="宋体"/>
          <w:szCs w:val="21"/>
        </w:rPr>
        <w:t>我单位承诺：</w:t>
      </w:r>
    </w:p>
    <w:p w14:paraId="4AABD979">
      <w:pPr>
        <w:ind w:firstLine="420" w:firstLineChars="200"/>
        <w:rPr>
          <w:rFonts w:ascii="宋体" w:hAnsi="宋体"/>
          <w:szCs w:val="21"/>
        </w:rPr>
      </w:pPr>
      <w:r>
        <w:rPr>
          <w:rFonts w:hint="eastAsia" w:ascii="宋体" w:hAnsi="宋体"/>
          <w:szCs w:val="21"/>
        </w:rPr>
        <w:t>1.我单位参与本项目所投标（响应）的货物、工程或服务，不存在侵犯知识产权的情况；已知悉并同意中标（成交）结果信息公示（公开）的内容。</w:t>
      </w:r>
    </w:p>
    <w:p w14:paraId="705C3886">
      <w:pPr>
        <w:ind w:firstLine="420" w:firstLineChars="200"/>
        <w:rPr>
          <w:rFonts w:ascii="宋体" w:hAnsi="宋体"/>
          <w:szCs w:val="21"/>
        </w:rPr>
      </w:pPr>
      <w:r>
        <w:rPr>
          <w:rFonts w:hint="eastAsia" w:ascii="宋体" w:hAnsi="宋体"/>
          <w:szCs w:val="21"/>
        </w:rPr>
        <w:t>2.我单位参与该项目投标，符合招标文件关于联合体及进口产品的相关资格要求。</w:t>
      </w:r>
    </w:p>
    <w:p w14:paraId="17A2C216">
      <w:pPr>
        <w:ind w:firstLine="420" w:firstLineChars="200"/>
        <w:rPr>
          <w:rFonts w:ascii="宋体" w:hAnsi="宋体"/>
          <w:szCs w:val="21"/>
        </w:rPr>
      </w:pPr>
      <w:r>
        <w:rPr>
          <w:rFonts w:hint="eastAsia" w:ascii="宋体" w:hAnsi="宋体"/>
          <w:szCs w:val="21"/>
        </w:rPr>
        <w:t>3.我单位参与本项目</w:t>
      </w:r>
      <w:r>
        <w:rPr>
          <w:rFonts w:hint="eastAsia"/>
        </w:rPr>
        <w:t>政府采购活动时不存在被有关部门禁止参与政府采购活动且在有效期内的情况。</w:t>
      </w:r>
    </w:p>
    <w:p w14:paraId="72CCE45E">
      <w:pPr>
        <w:ind w:firstLine="420" w:firstLineChars="200"/>
        <w:rPr>
          <w:rFonts w:ascii="宋体" w:hAnsi="宋体"/>
          <w:szCs w:val="21"/>
        </w:rPr>
      </w:pPr>
      <w:r>
        <w:rPr>
          <w:rFonts w:hint="eastAsia" w:ascii="宋体" w:hAnsi="宋体"/>
          <w:szCs w:val="21"/>
        </w:rPr>
        <w:t>4.我单位具备《中华人民共和国政府采购法》第二十二条的条件。</w:t>
      </w:r>
    </w:p>
    <w:p w14:paraId="2C09930C">
      <w:pPr>
        <w:ind w:firstLine="420" w:firstLineChars="200"/>
        <w:rPr>
          <w:rFonts w:ascii="宋体" w:hAnsi="宋体"/>
          <w:szCs w:val="21"/>
        </w:rPr>
      </w:pPr>
      <w:r>
        <w:rPr>
          <w:rFonts w:hint="eastAsia" w:ascii="宋体" w:hAnsi="宋体"/>
          <w:szCs w:val="21"/>
        </w:rPr>
        <w:t>5.我单位</w:t>
      </w:r>
      <w:r>
        <w:rPr>
          <w:rFonts w:hint="eastAsia"/>
        </w:rPr>
        <w:t>未被列入失信被执行人、重大税收违法案件当事人名单、政府采购严重违法失信行为记录名单。</w:t>
      </w:r>
    </w:p>
    <w:p w14:paraId="61025955">
      <w:pPr>
        <w:ind w:firstLine="420" w:firstLineChars="200"/>
        <w:rPr>
          <w:rFonts w:ascii="宋体" w:hAnsi="宋体"/>
          <w:szCs w:val="21"/>
        </w:rPr>
      </w:pPr>
      <w:r>
        <w:rPr>
          <w:rFonts w:hint="eastAsia" w:ascii="宋体" w:hAnsi="宋体"/>
          <w:szCs w:val="21"/>
        </w:rPr>
        <w:t>6.</w:t>
      </w:r>
      <w:bookmarkStart w:id="58" w:name="_Hlk72587269"/>
      <w:bookmarkStart w:id="59" w:name="_Hlk72587299"/>
      <w:r>
        <w:rPr>
          <w:rFonts w:hint="eastAsia" w:ascii="宋体" w:hAnsi="宋体"/>
          <w:szCs w:val="21"/>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58"/>
      <w:r>
        <w:rPr>
          <w:rFonts w:hint="eastAsia" w:ascii="宋体" w:hAnsi="宋体"/>
          <w:szCs w:val="21"/>
        </w:rPr>
        <w:t>。</w:t>
      </w:r>
    </w:p>
    <w:bookmarkEnd w:id="59"/>
    <w:p w14:paraId="4C579F2E">
      <w:pPr>
        <w:ind w:firstLine="420" w:firstLineChars="200"/>
        <w:rPr>
          <w:rFonts w:ascii="宋体" w:hAnsi="宋体"/>
          <w:szCs w:val="21"/>
        </w:rPr>
      </w:pPr>
      <w:r>
        <w:rPr>
          <w:rFonts w:hint="eastAsia" w:ascii="宋体" w:hAnsi="宋体"/>
          <w:szCs w:val="21"/>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4EE3D117">
      <w:pPr>
        <w:ind w:firstLine="420" w:firstLineChars="200"/>
        <w:rPr>
          <w:rFonts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3B325A30">
      <w:pPr>
        <w:ind w:firstLine="420" w:firstLineChars="200"/>
        <w:rPr>
          <w:rFonts w:ascii="宋体" w:hAnsi="宋体"/>
          <w:szCs w:val="21"/>
        </w:rPr>
      </w:pPr>
      <w:r>
        <w:rPr>
          <w:rFonts w:ascii="宋体" w:hAnsi="宋体"/>
          <w:szCs w:val="21"/>
        </w:rPr>
        <w:t>8</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0ED18934">
      <w:pPr>
        <w:ind w:firstLine="420" w:firstLineChars="200"/>
        <w:rPr>
          <w:rFonts w:ascii="宋体" w:hAnsi="宋体"/>
          <w:szCs w:val="21"/>
        </w:rPr>
      </w:pPr>
      <w:r>
        <w:rPr>
          <w:rFonts w:ascii="宋体" w:hAnsi="宋体"/>
          <w:szCs w:val="21"/>
        </w:rPr>
        <w:t>9</w:t>
      </w:r>
      <w:r>
        <w:rPr>
          <w:rFonts w:hint="eastAsia" w:ascii="宋体" w:hAnsi="宋体"/>
          <w:szCs w:val="21"/>
        </w:rPr>
        <w:t>.我单位承诺中标后项目不转包，未经采购人同意不进行分包。</w:t>
      </w:r>
    </w:p>
    <w:p w14:paraId="083619FF">
      <w:pPr>
        <w:ind w:firstLine="420" w:firstLineChars="200"/>
        <w:rPr>
          <w:rFonts w:ascii="宋体" w:hAnsi="宋体"/>
        </w:rPr>
      </w:pPr>
      <w:r>
        <w:rPr>
          <w:rFonts w:hint="eastAsia" w:ascii="宋体" w:hAnsi="宋体"/>
          <w:szCs w:val="21"/>
        </w:rPr>
        <w:t>1</w:t>
      </w:r>
      <w:r>
        <w:rPr>
          <w:rFonts w:ascii="宋体" w:hAnsi="宋体"/>
          <w:szCs w:val="21"/>
        </w:rPr>
        <w:t>0.</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209B7154">
      <w:pPr>
        <w:ind w:firstLine="420" w:firstLineChars="200"/>
        <w:rPr>
          <w:rFonts w:ascii="宋体" w:hAnsi="宋体"/>
        </w:rPr>
      </w:pPr>
      <w:r>
        <w:rPr>
          <w:rFonts w:ascii="宋体" w:hAnsi="宋体"/>
        </w:rPr>
        <w:t>11.</w:t>
      </w:r>
      <w:r>
        <w:rPr>
          <w:rFonts w:hint="eastAsia" w:ascii="宋体" w:hAnsi="宋体"/>
        </w:rPr>
        <w:t>我单位保证，若所投货物涉及《财政部生态环境部关于印发节能产品政府采购品目清单的通知》（财库〔2019〕19号）列明的政府采购强制产品，则所投该产品符合节能产品的认证要求。若所投产品包括数据中心相关设备的，应满足财政部《绿色数据中心政府采购需求标准（试行）》（财办库〔2023〕7号）要求。</w:t>
      </w:r>
    </w:p>
    <w:p w14:paraId="4E260B16">
      <w:pPr>
        <w:ind w:firstLine="420" w:firstLineChars="200"/>
        <w:rPr>
          <w:rFonts w:ascii="宋体" w:hAnsi="宋体"/>
        </w:rPr>
      </w:pPr>
      <w:r>
        <w:rPr>
          <w:rFonts w:hint="eastAsia" w:ascii="宋体" w:hAnsi="宋体"/>
        </w:rPr>
        <w:t>12. 我单位保证，不存在“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的情形。</w:t>
      </w:r>
    </w:p>
    <w:p w14:paraId="2AB54427">
      <w:pPr>
        <w:ind w:firstLine="420" w:firstLineChars="200"/>
        <w:rPr>
          <w:rFonts w:ascii="宋体" w:hAnsi="宋体"/>
        </w:rPr>
      </w:pPr>
      <w:r>
        <w:rPr>
          <w:rFonts w:hint="eastAsia" w:ascii="宋体" w:hAnsi="宋体"/>
        </w:rPr>
        <w:t>13.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2BE4DB91">
      <w:pPr>
        <w:numPr>
          <w:ilvl w:val="255"/>
          <w:numId w:val="0"/>
        </w:numPr>
        <w:ind w:firstLine="422" w:firstLineChars="200"/>
        <w:rPr>
          <w:rFonts w:ascii="宋体" w:hAnsi="宋体"/>
          <w:b/>
          <w:bCs/>
        </w:rPr>
      </w:pPr>
      <w:r>
        <w:rPr>
          <w:rFonts w:hint="eastAsia" w:ascii="宋体" w:hAnsi="宋体"/>
          <w:b/>
          <w:bCs/>
        </w:rPr>
        <w:t>14.我单位承诺</w:t>
      </w:r>
      <w:r>
        <w:rPr>
          <w:rFonts w:hint="eastAsia" w:ascii="宋体" w:hAnsi="宋体" w:cs="宋体"/>
          <w:b/>
          <w:bCs/>
          <w:szCs w:val="21"/>
        </w:rPr>
        <w:t>参加本次采购活动前三年内在经营活动中没有重大违法记录。</w:t>
      </w:r>
    </w:p>
    <w:p w14:paraId="032ACE55">
      <w:pPr>
        <w:numPr>
          <w:ilvl w:val="255"/>
          <w:numId w:val="0"/>
        </w:numPr>
        <w:ind w:firstLine="422" w:firstLineChars="200"/>
        <w:rPr>
          <w:rFonts w:ascii="宋体" w:hAnsi="宋体"/>
          <w:b/>
          <w:bCs/>
        </w:rPr>
      </w:pPr>
      <w:r>
        <w:rPr>
          <w:rFonts w:hint="eastAsia" w:ascii="宋体" w:hAnsi="宋体"/>
          <w:b/>
          <w:bCs/>
        </w:rPr>
        <w:t>15.我单位承诺不对采购人进行贿赂，进行有偿报答。</w:t>
      </w:r>
    </w:p>
    <w:p w14:paraId="014D6652">
      <w:pPr>
        <w:numPr>
          <w:ilvl w:val="255"/>
          <w:numId w:val="0"/>
        </w:numPr>
        <w:ind w:firstLine="422" w:firstLineChars="200"/>
        <w:rPr>
          <w:rFonts w:ascii="宋体" w:hAnsi="宋体"/>
          <w:b/>
          <w:bCs/>
        </w:rPr>
      </w:pPr>
      <w:r>
        <w:rPr>
          <w:rFonts w:hint="eastAsia" w:ascii="宋体" w:hAnsi="宋体"/>
          <w:b/>
          <w:bCs/>
        </w:rPr>
        <w:t>16.我单位承诺不对采购人进行任何形式的利益输送。</w:t>
      </w:r>
    </w:p>
    <w:p w14:paraId="58B60D4B">
      <w:pPr>
        <w:numPr>
          <w:ilvl w:val="255"/>
          <w:numId w:val="0"/>
        </w:numPr>
        <w:ind w:firstLine="422" w:firstLineChars="200"/>
        <w:rPr>
          <w:rFonts w:ascii="宋体" w:hAnsi="宋体"/>
          <w:b/>
          <w:bCs/>
        </w:rPr>
      </w:pPr>
      <w:r>
        <w:rPr>
          <w:rFonts w:hint="eastAsia" w:ascii="宋体" w:hAnsi="宋体"/>
          <w:b/>
          <w:bCs/>
        </w:rPr>
        <w:t>17.我单位承诺不对采购人进行宴请和娱乐等消费活动。</w:t>
      </w:r>
    </w:p>
    <w:p w14:paraId="39E59836">
      <w:pPr>
        <w:numPr>
          <w:ilvl w:val="255"/>
          <w:numId w:val="0"/>
        </w:numPr>
        <w:ind w:firstLine="422" w:firstLineChars="200"/>
        <w:rPr>
          <w:rFonts w:ascii="宋体" w:hAnsi="宋体"/>
          <w:b/>
          <w:bCs/>
        </w:rPr>
      </w:pPr>
      <w:r>
        <w:rPr>
          <w:rFonts w:hint="eastAsia" w:ascii="宋体" w:hAnsi="宋体"/>
          <w:b/>
          <w:bCs/>
        </w:rPr>
        <w:t>18.我单位承诺不对采购人进行赠送各种礼品、现金、有价证券、中介费、好处费等行为。</w:t>
      </w:r>
    </w:p>
    <w:p w14:paraId="7BD2457F">
      <w:pPr>
        <w:ind w:firstLine="420" w:firstLineChars="200"/>
        <w:rPr>
          <w:rFonts w:ascii="宋体" w:hAnsi="宋体"/>
          <w:szCs w:val="21"/>
        </w:rPr>
      </w:pPr>
      <w:r>
        <w:rPr>
          <w:rFonts w:hint="eastAsia" w:ascii="宋体" w:hAnsi="宋体"/>
          <w:szCs w:val="21"/>
        </w:rPr>
        <w:t>以上承诺，如有违反，愿依照国家相关法律法规处理，并承担由此给采购人带来的损失。</w:t>
      </w:r>
    </w:p>
    <w:bookmarkEnd w:id="57"/>
    <w:p w14:paraId="7F9F6E88">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5A7585C2">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07795B4D">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5E9F2088">
      <w:pPr>
        <w:rPr>
          <w:rFonts w:ascii="宋体"/>
          <w:b/>
          <w:szCs w:val="21"/>
        </w:rPr>
      </w:pPr>
    </w:p>
    <w:p w14:paraId="4A9D4D8A">
      <w:pPr>
        <w:ind w:firstLine="482" w:firstLineChars="200"/>
        <w:jc w:val="center"/>
        <w:rPr>
          <w:rFonts w:hAnsi="宋体"/>
          <w:b/>
          <w:bCs/>
          <w:sz w:val="24"/>
        </w:rPr>
      </w:pPr>
    </w:p>
    <w:p w14:paraId="5A05F08D">
      <w:pPr>
        <w:pStyle w:val="5"/>
        <w:jc w:val="center"/>
        <w:rPr>
          <w:rFonts w:ascii="黑体" w:eastAsia="黑体"/>
          <w:b w:val="0"/>
          <w:sz w:val="24"/>
          <w:szCs w:val="24"/>
        </w:rPr>
      </w:pPr>
      <w:r>
        <w:rPr>
          <w:rFonts w:hint="eastAsia" w:ascii="黑体" w:eastAsia="黑体"/>
          <w:b w:val="0"/>
          <w:sz w:val="24"/>
          <w:szCs w:val="24"/>
        </w:rPr>
        <w:t>三、投标人情况及资格证明文件</w:t>
      </w:r>
    </w:p>
    <w:p w14:paraId="45A85961">
      <w:pPr>
        <w:jc w:val="left"/>
        <w:outlineLvl w:val="3"/>
        <w:rPr>
          <w:rFonts w:ascii="黑体" w:hAnsi="宋体" w:eastAsia="黑体"/>
          <w:bCs/>
          <w:kern w:val="0"/>
          <w:sz w:val="24"/>
          <w:szCs w:val="32"/>
        </w:rPr>
      </w:pPr>
      <w:bookmarkStart w:id="60" w:name="_Hlk72257590"/>
      <w:r>
        <w:rPr>
          <w:rFonts w:hint="eastAsia" w:ascii="黑体" w:hAnsi="宋体" w:eastAsia="黑体"/>
          <w:bCs/>
          <w:kern w:val="0"/>
          <w:sz w:val="24"/>
          <w:szCs w:val="32"/>
        </w:rPr>
        <w:t>（一）投标人资格证明文件</w:t>
      </w:r>
    </w:p>
    <w:p w14:paraId="35F7DBC8">
      <w:pPr>
        <w:spacing w:before="156"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14:paraId="6DF9BC65">
      <w:pPr>
        <w:rPr>
          <w:b/>
          <w:sz w:val="22"/>
        </w:rPr>
      </w:pPr>
    </w:p>
    <w:p w14:paraId="38A0BEE4">
      <w:pPr>
        <w:outlineLvl w:val="3"/>
        <w:rPr>
          <w:rFonts w:ascii="黑体" w:hAnsi="宋体" w:eastAsia="黑体"/>
          <w:bCs/>
          <w:kern w:val="0"/>
          <w:sz w:val="24"/>
          <w:szCs w:val="32"/>
        </w:rPr>
      </w:pPr>
      <w:r>
        <w:rPr>
          <w:rFonts w:hint="eastAsia" w:ascii="黑体" w:hAnsi="宋体" w:eastAsia="黑体"/>
          <w:bCs/>
          <w:kern w:val="0"/>
          <w:sz w:val="24"/>
          <w:szCs w:val="32"/>
        </w:rPr>
        <w:t>（二）</w:t>
      </w:r>
      <w:bookmarkStart w:id="61" w:name="_Hlk72257908"/>
      <w:r>
        <w:rPr>
          <w:rFonts w:hint="eastAsia" w:ascii="黑体" w:hAnsi="宋体" w:eastAsia="黑体"/>
          <w:bCs/>
          <w:kern w:val="0"/>
          <w:sz w:val="24"/>
          <w:szCs w:val="32"/>
        </w:rPr>
        <w:t>中小企业声明函、残疾人福利性单位声明函及监狱企业声明函</w:t>
      </w:r>
    </w:p>
    <w:bookmarkEnd w:id="60"/>
    <w:p w14:paraId="4D04C9CC">
      <w:pPr>
        <w:rPr>
          <w:b/>
          <w:bCs/>
          <w:color w:val="FF0000"/>
        </w:rPr>
      </w:pPr>
      <w:r>
        <w:rPr>
          <w:rFonts w:hint="eastAsia"/>
          <w:b/>
          <w:bCs/>
          <w:color w:val="FF0000"/>
        </w:rPr>
        <w:t>填写指引：</w:t>
      </w:r>
    </w:p>
    <w:p w14:paraId="5E63A569">
      <w:pPr>
        <w:rPr>
          <w:b/>
          <w:bCs/>
          <w:color w:val="FF0000"/>
        </w:rPr>
      </w:pPr>
      <w:r>
        <w:rPr>
          <w:rFonts w:hint="eastAsia"/>
          <w:b/>
          <w:bCs/>
          <w:color w:val="FF0000"/>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6C6B3A4D">
      <w:pPr>
        <w:rPr>
          <w:b/>
          <w:bCs/>
          <w:color w:val="FF0000"/>
        </w:rPr>
      </w:pPr>
      <w:r>
        <w:rPr>
          <w:rFonts w:hint="eastAsia"/>
          <w:b/>
          <w:bCs/>
          <w:color w:val="FF0000"/>
        </w:rPr>
        <w:t>2、该部分内容填写需要参考的相关文件：(</w:t>
      </w:r>
      <w:r>
        <w:rPr>
          <w:b/>
          <w:bCs/>
          <w:color w:val="FF0000"/>
        </w:rPr>
        <w:t>1</w:t>
      </w:r>
      <w:r>
        <w:rPr>
          <w:rFonts w:hint="eastAsia"/>
          <w:b/>
          <w:bCs/>
          <w:color w:val="FF0000"/>
        </w:rPr>
        <w:t>)财政部《政府采购促进中小企业发展管理办法》（财库〔2020〕46号）；(</w:t>
      </w:r>
      <w:r>
        <w:rPr>
          <w:b/>
          <w:bCs/>
          <w:color w:val="FF0000"/>
        </w:rPr>
        <w:t>2</w:t>
      </w:r>
      <w:r>
        <w:rPr>
          <w:rFonts w:hint="eastAsia"/>
          <w:b/>
          <w:bCs/>
          <w:color w:val="FF0000"/>
        </w:rPr>
        <w:t>)《工业和信息化部、国家统计局、国家发展和改革委员会、财政部关于印发中小企业划型标准规定的通知》（工信部联企业〔2011〕300 号，以下简称3</w:t>
      </w:r>
      <w:r>
        <w:rPr>
          <w:b/>
          <w:bCs/>
          <w:color w:val="FF0000"/>
        </w:rPr>
        <w:t>00</w:t>
      </w:r>
      <w:r>
        <w:rPr>
          <w:rFonts w:hint="eastAsia"/>
          <w:b/>
          <w:bCs/>
          <w:color w:val="FF0000"/>
        </w:rPr>
        <w:t>号文）。</w:t>
      </w:r>
    </w:p>
    <w:p w14:paraId="05AA6628">
      <w:pPr>
        <w:rPr>
          <w:b/>
          <w:bCs/>
          <w:color w:val="FF0000"/>
        </w:rPr>
      </w:pPr>
      <w:r>
        <w:rPr>
          <w:rFonts w:hint="eastAsia"/>
          <w:b/>
          <w:bCs/>
          <w:color w:val="FF0000"/>
        </w:rPr>
        <w:t>3、请依照提供的格式和内容填写声明函，不要随意变更格式；声明函不需要盖章或签字；满足多项优惠政策的投标人，不重复享受多项价格扣除政策。</w:t>
      </w:r>
    </w:p>
    <w:p w14:paraId="75EC4947">
      <w:pPr>
        <w:rPr>
          <w:b/>
          <w:bCs/>
          <w:color w:val="FF0000"/>
        </w:rPr>
      </w:pPr>
      <w:r>
        <w:rPr>
          <w:rFonts w:hint="eastAsia"/>
          <w:b/>
          <w:bCs/>
          <w:color w:val="FF0000"/>
        </w:rPr>
        <w:t>4、声明函具体填写要求：</w:t>
      </w:r>
    </w:p>
    <w:p w14:paraId="477813E1">
      <w:pPr>
        <w:rPr>
          <w:b/>
          <w:bCs/>
          <w:color w:val="FF0000"/>
        </w:rPr>
      </w:pPr>
      <w:r>
        <w:rPr>
          <w:rFonts w:hint="eastAsia"/>
          <w:b/>
          <w:bCs/>
          <w:color w:val="FF0000"/>
        </w:rPr>
        <w:t>（1）声明是中小企业须填写《中小企业声明函》（货物）的以下内容：</w:t>
      </w:r>
    </w:p>
    <w:p w14:paraId="2439EEC0">
      <w:pPr>
        <w:rPr>
          <w:b/>
          <w:bCs/>
          <w:color w:val="FF0000"/>
        </w:rPr>
      </w:pPr>
      <w:r>
        <w:rPr>
          <w:rFonts w:hint="eastAsia"/>
          <w:b/>
          <w:bCs/>
          <w:color w:val="FF0000"/>
        </w:rPr>
        <w:t>第一处，在“单位名称”下划线处如实填写采购人名称（深圳公共资源交易中心不是本项目的采购人，而是组织实施机构）；</w:t>
      </w:r>
    </w:p>
    <w:p w14:paraId="10DE200D">
      <w:pPr>
        <w:rPr>
          <w:b/>
          <w:bCs/>
          <w:color w:val="FF0000"/>
        </w:rPr>
      </w:pPr>
      <w:r>
        <w:rPr>
          <w:rFonts w:hint="eastAsia"/>
          <w:b/>
          <w:bCs/>
          <w:color w:val="FF0000"/>
        </w:rPr>
        <w:t>第二处，在“项目名称”下划线处如实填写采购项目名称；</w:t>
      </w:r>
    </w:p>
    <w:p w14:paraId="193896B3">
      <w:pPr>
        <w:rPr>
          <w:b/>
          <w:bCs/>
          <w:color w:val="FF0000"/>
        </w:rPr>
      </w:pPr>
      <w:r>
        <w:rPr>
          <w:rFonts w:hint="eastAsia"/>
          <w:b/>
          <w:bCs/>
          <w:color w:val="FF0000"/>
        </w:rPr>
        <w:t>第三处，在“标的名称”下划线处填写所采购货物（标的）的具体名称（以招标文件第一册第三章用户需求书“货物需求明细”的“货物名称”一栏为准）；如果涉及多项货物（标的）为同一企业制造，“标的名称”下划线处可以如实填写多项货物；</w:t>
      </w:r>
    </w:p>
    <w:p w14:paraId="1615FF02">
      <w:pPr>
        <w:rPr>
          <w:b/>
          <w:bCs/>
          <w:color w:val="FF0000"/>
        </w:rPr>
      </w:pPr>
      <w:r>
        <w:rPr>
          <w:rFonts w:hint="eastAsia"/>
          <w:b/>
          <w:bCs/>
          <w:color w:val="FF0000"/>
        </w:rPr>
        <w:t>第四处，在“采购文件中明确的所属行业”下划线处填写采购标的对应的中小企业划分标准所属行业（所属行业可在招标文件第一册第二章“对通用条款的补充内容及其他关键信息”章节查看）；</w:t>
      </w:r>
    </w:p>
    <w:p w14:paraId="1D70CF7D">
      <w:pPr>
        <w:rPr>
          <w:b/>
          <w:bCs/>
          <w:color w:val="FF0000"/>
        </w:rPr>
      </w:pPr>
      <w:r>
        <w:rPr>
          <w:rFonts w:hint="eastAsia"/>
          <w:b/>
          <w:bCs/>
          <w:color w:val="FF0000"/>
        </w:rPr>
        <w:t>第五处，在“企业名称”下划线处如实填写制造商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14:paraId="59FB2D87">
      <w:pPr>
        <w:rPr>
          <w:b/>
          <w:bCs/>
          <w:color w:val="FF0000"/>
        </w:rPr>
      </w:pPr>
      <w:r>
        <w:rPr>
          <w:rFonts w:hint="eastAsia"/>
          <w:b/>
          <w:bCs/>
          <w:color w:val="FF0000"/>
        </w:rPr>
        <w:t>（2）声明是残疾人福利性单位须填写《残疾人福利性单位声明函》（货物类）的相关内容，具体参照上述针对《中小企业声明函》的填写要求进行填写。</w:t>
      </w:r>
    </w:p>
    <w:p w14:paraId="7673B7C2">
      <w:pPr>
        <w:rPr>
          <w:b/>
          <w:bCs/>
          <w:color w:val="FF0000"/>
        </w:rPr>
      </w:pPr>
      <w:r>
        <w:rPr>
          <w:rFonts w:hint="eastAsia"/>
          <w:b/>
          <w:bCs/>
          <w:color w:val="FF0000"/>
        </w:rPr>
        <w:t>（3）声明是监狱企业须填写《监狱企业声明函》的三项内容（填写位置的字体已加粗），具体参照上述针对《中小企业声明函》的填写要求进行填写。</w:t>
      </w:r>
    </w:p>
    <w:p w14:paraId="10C99F3D">
      <w:pPr>
        <w:rPr>
          <w:b/>
          <w:bCs/>
        </w:rPr>
      </w:pPr>
      <w:r>
        <w:rPr>
          <w:rFonts w:hint="eastAsia"/>
          <w:b/>
          <w:bCs/>
          <w:color w:val="FF0000"/>
        </w:rPr>
        <w:t>5、声明函的有效性最终由评审委员会判定；如评审委员会判定声明函无效，相关供应商不享受价格扣除（但不作投标无效处理）。</w:t>
      </w:r>
    </w:p>
    <w:p w14:paraId="347D098C">
      <w:pPr>
        <w:rPr>
          <w:rFonts w:ascii="Calibri" w:hAnsi="Calibri"/>
        </w:rPr>
      </w:pPr>
    </w:p>
    <w:p w14:paraId="1679D3B5">
      <w:pPr>
        <w:jc w:val="center"/>
        <w:rPr>
          <w:b/>
          <w:sz w:val="24"/>
        </w:rPr>
      </w:pPr>
      <w:r>
        <w:rPr>
          <w:rFonts w:hint="eastAsia"/>
          <w:b/>
          <w:sz w:val="24"/>
        </w:rPr>
        <w:t>1、</w:t>
      </w:r>
      <w:r>
        <w:rPr>
          <w:b/>
          <w:sz w:val="24"/>
        </w:rPr>
        <w:t xml:space="preserve">中小企业声明函（货物） </w:t>
      </w:r>
    </w:p>
    <w:p w14:paraId="2A22D1B2">
      <w:pPr>
        <w:ind w:firstLine="420" w:firstLineChars="200"/>
        <w:rPr>
          <w:rFonts w:ascii="宋体" w:hAnsi="宋体"/>
          <w:szCs w:val="21"/>
        </w:rPr>
      </w:pPr>
      <w:r>
        <w:rPr>
          <w:rFonts w:ascii="宋体" w:hAnsi="宋体"/>
          <w:szCs w:val="21"/>
        </w:rPr>
        <w:t>本</w:t>
      </w:r>
      <w:r>
        <w:rPr>
          <w:rFonts w:hint="eastAsia" w:ascii="宋体" w:hAnsi="宋体"/>
          <w:szCs w:val="21"/>
        </w:rPr>
        <w:t>公司（联合体）</w:t>
      </w:r>
      <w:r>
        <w:rPr>
          <w:rFonts w:ascii="宋体" w:hAnsi="宋体"/>
          <w:szCs w:val="21"/>
        </w:rPr>
        <w:t>郑重声明，根据《政府采购促进中小企业发展管理办法》（财库</w:t>
      </w:r>
      <w:r>
        <w:rPr>
          <w:rFonts w:hint="eastAsia" w:ascii="宋体" w:hAnsi="宋体" w:cs="微软雅黑"/>
          <w:szCs w:val="21"/>
        </w:rPr>
        <w:t>﹝</w:t>
      </w:r>
      <w:r>
        <w:rPr>
          <w:rFonts w:ascii="宋体" w:hAnsi="宋体"/>
          <w:szCs w:val="21"/>
        </w:rPr>
        <w:t>2020</w:t>
      </w:r>
      <w:r>
        <w:rPr>
          <w:rFonts w:hint="eastAsia" w:ascii="宋体" w:hAnsi="宋体" w:cs="微软雅黑"/>
          <w:szCs w:val="21"/>
        </w:rPr>
        <w:t>﹞</w:t>
      </w:r>
      <w:r>
        <w:rPr>
          <w:rFonts w:ascii="宋体" w:hAnsi="宋体"/>
          <w:szCs w:val="21"/>
        </w:rPr>
        <w:t>46号）的规定，本</w:t>
      </w:r>
      <w:r>
        <w:rPr>
          <w:rFonts w:hint="eastAsia" w:ascii="宋体" w:hAnsi="宋体"/>
          <w:szCs w:val="21"/>
        </w:rPr>
        <w:t>公司（联合体）</w:t>
      </w:r>
      <w:r>
        <w:rPr>
          <w:rFonts w:ascii="宋体" w:hAnsi="宋体"/>
          <w:szCs w:val="21"/>
        </w:rPr>
        <w:t>参加</w:t>
      </w:r>
      <w:r>
        <w:rPr>
          <w:rFonts w:ascii="宋体" w:hAnsi="宋体"/>
          <w:b/>
          <w:bCs/>
          <w:szCs w:val="21"/>
          <w:u w:val="single"/>
        </w:rPr>
        <w:t>（</w:t>
      </w:r>
      <w:r>
        <w:rPr>
          <w:rFonts w:hint="eastAsia" w:ascii="宋体" w:hAnsi="宋体"/>
          <w:b/>
          <w:bCs/>
          <w:szCs w:val="21"/>
          <w:u w:val="single"/>
        </w:rPr>
        <w:t>单位名称</w:t>
      </w:r>
      <w:r>
        <w:rPr>
          <w:rFonts w:ascii="宋体" w:hAnsi="宋体"/>
          <w:b/>
          <w:bCs/>
          <w:szCs w:val="21"/>
          <w:u w:val="single"/>
        </w:rPr>
        <w:t>）</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采购活动，提供的货物全部由符合政策要求的中小企业制造。相关企业</w:t>
      </w:r>
      <w:r>
        <w:rPr>
          <w:rFonts w:hint="eastAsia" w:ascii="宋体" w:hAnsi="宋体"/>
          <w:szCs w:val="21"/>
        </w:rPr>
        <w:t>（含联合体中的中小企业、签订分包意向协议的中小企业）</w:t>
      </w:r>
      <w:r>
        <w:rPr>
          <w:rFonts w:ascii="宋体" w:hAnsi="宋体"/>
          <w:szCs w:val="21"/>
        </w:rPr>
        <w:t>的具体情况如下：</w:t>
      </w:r>
    </w:p>
    <w:p w14:paraId="372B5C34">
      <w:pPr>
        <w:ind w:firstLine="42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szCs w:val="21"/>
        </w:rPr>
        <w:t>，属于</w:t>
      </w:r>
      <w:r>
        <w:rPr>
          <w:rFonts w:ascii="宋体" w:hAnsi="宋体"/>
          <w:b/>
          <w:bCs/>
          <w:szCs w:val="21"/>
          <w:u w:val="single"/>
        </w:rPr>
        <w:t>（</w:t>
      </w:r>
      <w:r>
        <w:rPr>
          <w:rFonts w:hint="eastAsia" w:ascii="宋体" w:hAnsi="宋体"/>
          <w:b/>
          <w:bCs/>
          <w:szCs w:val="21"/>
          <w:u w:val="single"/>
        </w:rPr>
        <w:t>采购</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w:t>
      </w:r>
      <w:r>
        <w:rPr>
          <w:rFonts w:hint="eastAsia" w:ascii="宋体" w:hAnsi="宋体"/>
          <w:szCs w:val="21"/>
          <w:u w:val="single"/>
        </w:rPr>
        <w:t xml:space="preserve">  </w:t>
      </w:r>
      <w:r>
        <w:rPr>
          <w:rFonts w:ascii="宋体" w:hAnsi="宋体"/>
          <w:szCs w:val="21"/>
        </w:rPr>
        <w:t>人，营业收入为</w:t>
      </w:r>
      <w:r>
        <w:rPr>
          <w:rFonts w:hint="eastAsia" w:ascii="宋体" w:hAnsi="宋体"/>
          <w:szCs w:val="21"/>
        </w:rPr>
        <w:t xml:space="preserve">  </w:t>
      </w:r>
      <w:r>
        <w:rPr>
          <w:rFonts w:ascii="宋体" w:hAnsi="宋体"/>
          <w:szCs w:val="21"/>
        </w:rPr>
        <w:t>万元，资产总额为</w:t>
      </w:r>
      <w:r>
        <w:rPr>
          <w:rFonts w:hint="eastAsia" w:ascii="宋体" w:hAnsi="宋体"/>
          <w:szCs w:val="21"/>
        </w:rPr>
        <w:t xml:space="preserve">  </w:t>
      </w:r>
      <w:r>
        <w:rPr>
          <w:rFonts w:ascii="宋体" w:hAnsi="宋体"/>
          <w:szCs w:val="21"/>
        </w:rPr>
        <w:t>万元 ，属于</w:t>
      </w:r>
      <w:r>
        <w:rPr>
          <w:rFonts w:ascii="宋体" w:hAnsi="宋体"/>
          <w:b/>
          <w:bCs/>
          <w:szCs w:val="21"/>
          <w:u w:val="single"/>
        </w:rPr>
        <w:t>（中型企业、小型企业、微型企业）</w:t>
      </w:r>
      <w:r>
        <w:rPr>
          <w:rFonts w:ascii="宋体" w:hAnsi="宋体"/>
          <w:szCs w:val="21"/>
        </w:rPr>
        <w:t xml:space="preserve">； </w:t>
      </w:r>
    </w:p>
    <w:p w14:paraId="1D0EF66D">
      <w:pPr>
        <w:ind w:firstLine="420" w:firstLineChars="200"/>
        <w:rPr>
          <w:rFonts w:ascii="宋体" w:hAnsi="宋体"/>
          <w:szCs w:val="21"/>
          <w:u w:val="single"/>
        </w:rPr>
      </w:pPr>
      <w:r>
        <w:rPr>
          <w:rFonts w:ascii="宋体" w:hAnsi="宋体"/>
          <w:szCs w:val="21"/>
        </w:rPr>
        <w:t>2.</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hint="eastAsia" w:ascii="宋体" w:hAnsi="宋体"/>
          <w:b/>
          <w:bCs/>
          <w:szCs w:val="21"/>
          <w:u w:val="single"/>
        </w:rPr>
        <w:t>采购</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w:t>
      </w:r>
      <w:r>
        <w:rPr>
          <w:rFonts w:hint="eastAsia" w:ascii="宋体" w:hAnsi="宋体"/>
          <w:szCs w:val="21"/>
          <w:u w:val="single"/>
        </w:rPr>
        <w:t xml:space="preserve">  </w:t>
      </w:r>
      <w:r>
        <w:rPr>
          <w:rFonts w:ascii="宋体" w:hAnsi="宋体"/>
          <w:szCs w:val="21"/>
        </w:rPr>
        <w:t>人，营业收入为</w:t>
      </w:r>
      <w:r>
        <w:rPr>
          <w:rFonts w:hint="eastAsia" w:ascii="宋体" w:hAnsi="宋体"/>
          <w:szCs w:val="21"/>
        </w:rPr>
        <w:t xml:space="preserve">  </w:t>
      </w:r>
      <w:r>
        <w:rPr>
          <w:rFonts w:ascii="宋体" w:hAnsi="宋体"/>
          <w:szCs w:val="21"/>
        </w:rPr>
        <w:t>万元，资产总额为</w:t>
      </w:r>
      <w:r>
        <w:rPr>
          <w:rFonts w:hint="eastAsia" w:ascii="宋体" w:hAnsi="宋体"/>
          <w:szCs w:val="21"/>
        </w:rPr>
        <w:t xml:space="preserve">  </w:t>
      </w:r>
      <w:r>
        <w:rPr>
          <w:rFonts w:ascii="宋体" w:hAnsi="宋体"/>
          <w:szCs w:val="21"/>
        </w:rPr>
        <w:t>万元 ，属于</w:t>
      </w:r>
      <w:r>
        <w:rPr>
          <w:rFonts w:ascii="宋体" w:hAnsi="宋体"/>
          <w:b/>
          <w:bCs/>
          <w:szCs w:val="21"/>
          <w:u w:val="single"/>
        </w:rPr>
        <w:t>（中型企业、小型企业、微型企业）</w:t>
      </w:r>
      <w:r>
        <w:rPr>
          <w:rFonts w:hint="eastAsia" w:ascii="宋体" w:hAnsi="宋体"/>
          <w:szCs w:val="21"/>
        </w:rPr>
        <w:t>；</w:t>
      </w:r>
    </w:p>
    <w:p w14:paraId="110A3CCF">
      <w:pPr>
        <w:ind w:firstLine="420" w:firstLineChars="200"/>
        <w:rPr>
          <w:rFonts w:ascii="宋体" w:hAnsi="宋体"/>
          <w:szCs w:val="21"/>
        </w:rPr>
      </w:pPr>
      <w:r>
        <w:rPr>
          <w:rFonts w:ascii="宋体" w:hAnsi="宋体"/>
          <w:szCs w:val="21"/>
        </w:rPr>
        <w:t xml:space="preserve">…… </w:t>
      </w:r>
    </w:p>
    <w:p w14:paraId="7F7D5B94">
      <w:pPr>
        <w:ind w:firstLine="42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14:paraId="7613AD8A">
      <w:pPr>
        <w:ind w:firstLine="420" w:firstLineChars="200"/>
      </w:pPr>
      <w:r>
        <w:rPr>
          <w:rFonts w:hint="eastAsia"/>
        </w:rPr>
        <w:t>本企业对上述声明内容的真实性负责。如有虚假，将依法承担相应责任。</w:t>
      </w:r>
    </w:p>
    <w:p w14:paraId="3DC603C8">
      <w:pPr>
        <w:ind w:firstLine="420" w:firstLineChars="200"/>
        <w:rPr>
          <w:rFonts w:ascii="宋体" w:hAnsi="宋体"/>
          <w:szCs w:val="21"/>
        </w:rPr>
      </w:pPr>
    </w:p>
    <w:p w14:paraId="624EFC7B">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4AA9DA2D">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7F35945D">
      <w:pPr>
        <w:wordWrap w:val="0"/>
        <w:ind w:firstLine="420" w:firstLineChars="200"/>
        <w:jc w:val="center"/>
      </w:pPr>
      <w:r>
        <w:rPr>
          <w:rFonts w:hint="eastAsia" w:ascii="宋体" w:hAnsi="宋体" w:cs="宋体"/>
          <w:szCs w:val="21"/>
        </w:rPr>
        <w:t xml:space="preserve">                                      日期：      年    月    日</w:t>
      </w:r>
    </w:p>
    <w:p w14:paraId="236D2BDB">
      <w:pPr>
        <w:jc w:val="center"/>
        <w:rPr>
          <w:b/>
          <w:sz w:val="24"/>
        </w:rPr>
      </w:pPr>
    </w:p>
    <w:p w14:paraId="60393720">
      <w:pPr>
        <w:jc w:val="center"/>
        <w:rPr>
          <w:b/>
          <w:sz w:val="24"/>
        </w:rPr>
      </w:pPr>
      <w:r>
        <w:rPr>
          <w:rFonts w:hint="eastAsia"/>
          <w:b/>
          <w:sz w:val="24"/>
        </w:rPr>
        <w:t>2、残疾人福利性单位声明函（货物类）</w:t>
      </w:r>
    </w:p>
    <w:p w14:paraId="09856BE4">
      <w:pPr>
        <w:rPr>
          <w:b/>
          <w:bCs/>
        </w:rPr>
      </w:pPr>
    </w:p>
    <w:p w14:paraId="3A3D2EED">
      <w:pPr>
        <w:ind w:firstLine="420" w:firstLineChars="200"/>
        <w:rPr>
          <w:rFonts w:ascii="宋体" w:hAnsi="宋体"/>
          <w:szCs w:val="21"/>
        </w:rPr>
      </w:pPr>
      <w:r>
        <w:rPr>
          <w:rFonts w:ascii="宋体" w:hAnsi="宋体"/>
          <w:szCs w:val="21"/>
        </w:rPr>
        <w:t>本</w:t>
      </w:r>
      <w:r>
        <w:rPr>
          <w:rFonts w:hint="eastAsia" w:ascii="宋体" w:hAnsi="宋体"/>
          <w:szCs w:val="21"/>
        </w:rPr>
        <w:t>投标人郑重声明，根据《财政部民政部中国残疾人联合会关于促进残疾人就业政府采购政策的通知》（财库〔</w:t>
      </w:r>
      <w:r>
        <w:rPr>
          <w:rFonts w:ascii="宋体" w:hAnsi="宋体"/>
          <w:szCs w:val="21"/>
        </w:rPr>
        <w:t>2017</w:t>
      </w:r>
      <w:r>
        <w:rPr>
          <w:rFonts w:hint="eastAsia" w:ascii="宋体" w:hAnsi="宋体"/>
          <w:szCs w:val="21"/>
        </w:rPr>
        <w:t>〕</w:t>
      </w:r>
      <w:r>
        <w:rPr>
          <w:rFonts w:ascii="宋体" w:hAnsi="宋体"/>
          <w:szCs w:val="21"/>
        </w:rPr>
        <w:t xml:space="preserve">141 </w:t>
      </w:r>
      <w:r>
        <w:rPr>
          <w:rFonts w:hint="eastAsia" w:ascii="宋体" w:hAnsi="宋体"/>
          <w:szCs w:val="21"/>
        </w:rPr>
        <w:t>号）的规定，本单位为符合条件的残疾人福利性单位，且本单位</w:t>
      </w:r>
      <w:r>
        <w:rPr>
          <w:rFonts w:ascii="宋体" w:hAnsi="宋体"/>
          <w:szCs w:val="21"/>
        </w:rPr>
        <w:t>参加</w:t>
      </w:r>
      <w:r>
        <w:rPr>
          <w:rFonts w:ascii="宋体" w:hAnsi="宋体"/>
          <w:b/>
          <w:bCs/>
          <w:szCs w:val="21"/>
          <w:u w:val="single"/>
        </w:rPr>
        <w:t>（</w:t>
      </w:r>
      <w:r>
        <w:rPr>
          <w:rFonts w:hint="eastAsia" w:ascii="宋体" w:hAnsi="宋体"/>
          <w:b/>
          <w:bCs/>
          <w:szCs w:val="21"/>
          <w:u w:val="single"/>
        </w:rPr>
        <w:t>单位</w:t>
      </w:r>
      <w:r>
        <w:rPr>
          <w:rFonts w:ascii="宋体" w:hAnsi="宋体"/>
          <w:b/>
          <w:bCs/>
          <w:szCs w:val="21"/>
          <w:u w:val="single"/>
        </w:rPr>
        <w:t>名称）</w:t>
      </w:r>
      <w:r>
        <w:rPr>
          <w:rFonts w:hint="eastAsia" w:ascii="宋体" w:hAnsi="宋体"/>
          <w:szCs w:val="21"/>
          <w:u w:val="single"/>
        </w:rPr>
        <w:t>单位</w:t>
      </w:r>
      <w:r>
        <w:rPr>
          <w:rFonts w:ascii="宋体" w:hAnsi="宋体"/>
          <w:szCs w:val="21"/>
        </w:rPr>
        <w:t>的</w:t>
      </w:r>
      <w:r>
        <w:rPr>
          <w:rFonts w:ascii="宋体" w:hAnsi="宋体"/>
          <w:b/>
          <w:bCs/>
          <w:szCs w:val="21"/>
          <w:u w:val="single"/>
        </w:rPr>
        <w:t>（项目名称）</w:t>
      </w:r>
      <w:r>
        <w:rPr>
          <w:rFonts w:hint="eastAsia" w:ascii="宋体" w:hAnsi="宋体"/>
          <w:szCs w:val="21"/>
          <w:u w:val="single"/>
        </w:rPr>
        <w:t>项目</w:t>
      </w:r>
      <w:r>
        <w:rPr>
          <w:rFonts w:ascii="宋体" w:hAnsi="宋体"/>
          <w:szCs w:val="21"/>
        </w:rPr>
        <w:t>采购活动</w:t>
      </w:r>
      <w:r>
        <w:rPr>
          <w:rFonts w:hint="eastAsia" w:ascii="宋体" w:hAnsi="宋体"/>
          <w:szCs w:val="21"/>
        </w:rPr>
        <w:t>提供本单位制造的货物，或者提供其他残疾人福利性单位制造的货物（不包括使用非残疾人福利性单位注册商标的货物）。</w:t>
      </w:r>
    </w:p>
    <w:p w14:paraId="39E4936A">
      <w:pPr>
        <w:ind w:firstLine="420" w:firstLineChars="200"/>
        <w:rPr>
          <w:rFonts w:ascii="宋体" w:hAnsi="宋体"/>
          <w:szCs w:val="21"/>
        </w:rPr>
      </w:pPr>
      <w:r>
        <w:rPr>
          <w:rFonts w:hint="eastAsia" w:ascii="宋体" w:hAnsi="宋体"/>
          <w:szCs w:val="21"/>
        </w:rPr>
        <w:t>本单位对上述声明的真实性负责。如有虚假，将依法承担相应责任。</w:t>
      </w:r>
    </w:p>
    <w:p w14:paraId="427CA024">
      <w:pPr>
        <w:ind w:firstLine="420" w:firstLineChars="200"/>
        <w:rPr>
          <w:rFonts w:ascii="宋体" w:hAnsi="宋体"/>
          <w:szCs w:val="21"/>
        </w:rPr>
      </w:pPr>
    </w:p>
    <w:p w14:paraId="3ADC4627">
      <w:pPr>
        <w:ind w:firstLine="420" w:firstLineChars="200"/>
        <w:rPr>
          <w:rFonts w:ascii="宋体" w:hAnsi="宋体"/>
          <w:szCs w:val="21"/>
        </w:rPr>
      </w:pPr>
    </w:p>
    <w:p w14:paraId="4DB59A04">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448F1435">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515C1A48">
      <w:pPr>
        <w:wordWrap w:val="0"/>
        <w:ind w:firstLine="420" w:firstLineChars="200"/>
        <w:jc w:val="center"/>
      </w:pPr>
      <w:r>
        <w:rPr>
          <w:rFonts w:hint="eastAsia" w:ascii="宋体" w:hAnsi="宋体" w:cs="宋体"/>
          <w:szCs w:val="21"/>
        </w:rPr>
        <w:t xml:space="preserve">                                      日期：      年    月    日</w:t>
      </w:r>
    </w:p>
    <w:p w14:paraId="43677CF5">
      <w:pPr>
        <w:rPr>
          <w:rFonts w:ascii="Calibri" w:hAnsi="Calibri"/>
        </w:rPr>
      </w:pPr>
    </w:p>
    <w:p w14:paraId="1CF31A77">
      <w:pPr>
        <w:jc w:val="center"/>
        <w:outlineLvl w:val="3"/>
        <w:rPr>
          <w:b/>
          <w:sz w:val="24"/>
        </w:rPr>
      </w:pPr>
      <w:r>
        <w:rPr>
          <w:rFonts w:hint="eastAsia"/>
          <w:b/>
          <w:sz w:val="24"/>
        </w:rPr>
        <w:t>3、监狱企业声明函【服务类，监狱企业如需享受优惠政策，还须另行提供省级以上监狱管理局、戒毒管理局（含新疆生产建设兵团）出具的监狱企业证明文件】</w:t>
      </w:r>
    </w:p>
    <w:p w14:paraId="6CE071CA">
      <w:pPr>
        <w:ind w:firstLine="420" w:firstLineChars="200"/>
        <w:rPr>
          <w:rFonts w:ascii="宋体" w:hAnsi="宋体"/>
          <w:szCs w:val="21"/>
        </w:rPr>
      </w:pPr>
      <w:r>
        <w:rPr>
          <w:rFonts w:hint="eastAsia" w:ascii="宋体" w:hAnsi="宋体"/>
          <w:szCs w:val="21"/>
        </w:rPr>
        <w:t>本投标人郑重声明，根据《财政部司法部关于政府采购支持监狱企业发展有关问题的通知》（财库〔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号）的规定，本投标人</w:t>
      </w:r>
      <w:r>
        <w:rPr>
          <w:rFonts w:ascii="宋体" w:hAnsi="宋体"/>
          <w:szCs w:val="21"/>
        </w:rPr>
        <w:t>参加</w:t>
      </w:r>
      <w:r>
        <w:rPr>
          <w:rFonts w:ascii="宋体" w:hAnsi="宋体"/>
          <w:b/>
          <w:bCs/>
          <w:szCs w:val="21"/>
          <w:u w:val="single"/>
        </w:rPr>
        <w:t>（</w:t>
      </w:r>
      <w:r>
        <w:rPr>
          <w:rFonts w:hint="eastAsia" w:ascii="宋体" w:hAnsi="宋体"/>
          <w:b/>
          <w:bCs/>
          <w:szCs w:val="21"/>
          <w:u w:val="single"/>
        </w:rPr>
        <w:t>单位名称</w:t>
      </w:r>
      <w:r>
        <w:rPr>
          <w:rFonts w:ascii="宋体" w:hAnsi="宋体"/>
          <w:b/>
          <w:bCs/>
          <w:szCs w:val="21"/>
          <w:u w:val="single"/>
        </w:rPr>
        <w:t>）</w:t>
      </w:r>
      <w:r>
        <w:rPr>
          <w:rFonts w:ascii="宋体" w:hAnsi="宋体"/>
          <w:szCs w:val="21"/>
        </w:rPr>
        <w:t>的</w:t>
      </w:r>
      <w:r>
        <w:rPr>
          <w:rFonts w:ascii="宋体" w:hAnsi="宋体"/>
          <w:b/>
          <w:bCs/>
          <w:szCs w:val="21"/>
          <w:u w:val="single"/>
        </w:rPr>
        <w:t>（项目名称）</w:t>
      </w:r>
      <w:r>
        <w:rPr>
          <w:rFonts w:ascii="宋体" w:hAnsi="宋体"/>
          <w:szCs w:val="21"/>
        </w:rPr>
        <w:t>采购活动，</w:t>
      </w:r>
      <w:r>
        <w:rPr>
          <w:rFonts w:hint="eastAsia" w:ascii="宋体" w:hAnsi="宋体"/>
          <w:szCs w:val="21"/>
        </w:rPr>
        <w:t>提供的货物</w:t>
      </w:r>
      <w:r>
        <w:rPr>
          <w:rFonts w:ascii="宋体" w:hAnsi="宋体"/>
          <w:szCs w:val="21"/>
        </w:rPr>
        <w:t>全部由符合政策要求的</w:t>
      </w:r>
      <w:r>
        <w:rPr>
          <w:rFonts w:hint="eastAsia" w:ascii="宋体" w:hAnsi="宋体"/>
          <w:szCs w:val="21"/>
        </w:rPr>
        <w:t>监狱企业承接</w:t>
      </w:r>
      <w:r>
        <w:rPr>
          <w:rFonts w:ascii="宋体" w:hAnsi="宋体"/>
          <w:szCs w:val="21"/>
        </w:rPr>
        <w:t>。相关</w:t>
      </w:r>
      <w:r>
        <w:rPr>
          <w:rFonts w:hint="eastAsia" w:ascii="宋体" w:hAnsi="宋体"/>
          <w:szCs w:val="21"/>
        </w:rPr>
        <w:t>监狱企业</w:t>
      </w:r>
      <w:r>
        <w:rPr>
          <w:rFonts w:ascii="宋体" w:hAnsi="宋体"/>
          <w:szCs w:val="21"/>
        </w:rPr>
        <w:t>的具体情况如下：</w:t>
      </w:r>
    </w:p>
    <w:p w14:paraId="3E93C737">
      <w:pPr>
        <w:ind w:firstLine="42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szCs w:val="21"/>
        </w:rPr>
        <w:t xml:space="preserve"> </w:t>
      </w:r>
      <w:r>
        <w:rPr>
          <w:rFonts w:hint="eastAsia" w:ascii="宋体" w:hAnsi="宋体"/>
          <w:szCs w:val="21"/>
        </w:rPr>
        <w:t>，承接单位</w:t>
      </w:r>
      <w:r>
        <w:rPr>
          <w:rFonts w:ascii="宋体" w:hAnsi="宋体"/>
          <w:szCs w:val="21"/>
        </w:rPr>
        <w:t>为</w:t>
      </w:r>
      <w:r>
        <w:rPr>
          <w:rFonts w:ascii="宋体" w:hAnsi="宋体"/>
          <w:b/>
          <w:bCs/>
          <w:szCs w:val="21"/>
          <w:u w:val="single"/>
        </w:rPr>
        <w:t>（</w:t>
      </w:r>
      <w:r>
        <w:rPr>
          <w:rFonts w:hint="eastAsia" w:ascii="宋体" w:hAnsi="宋体"/>
          <w:b/>
          <w:bCs/>
          <w:szCs w:val="21"/>
          <w:u w:val="single"/>
        </w:rPr>
        <w:t>企业</w:t>
      </w:r>
      <w:r>
        <w:rPr>
          <w:rFonts w:ascii="宋体" w:hAnsi="宋体"/>
          <w:b/>
          <w:bCs/>
          <w:szCs w:val="21"/>
          <w:u w:val="single"/>
        </w:rPr>
        <w:t>名称）</w:t>
      </w:r>
      <w:r>
        <w:rPr>
          <w:rFonts w:ascii="宋体" w:hAnsi="宋体"/>
          <w:szCs w:val="21"/>
        </w:rPr>
        <w:t>，属于</w:t>
      </w:r>
      <w:r>
        <w:rPr>
          <w:rFonts w:hint="eastAsia" w:ascii="宋体" w:hAnsi="宋体"/>
          <w:b/>
          <w:bCs/>
          <w:szCs w:val="21"/>
          <w:u w:val="single"/>
        </w:rPr>
        <w:t>监狱企业</w:t>
      </w:r>
      <w:r>
        <w:rPr>
          <w:rFonts w:ascii="宋体" w:hAnsi="宋体"/>
          <w:szCs w:val="21"/>
        </w:rPr>
        <w:t>；</w:t>
      </w:r>
    </w:p>
    <w:p w14:paraId="24627F01">
      <w:pPr>
        <w:ind w:firstLine="420" w:firstLineChars="200"/>
        <w:rPr>
          <w:rFonts w:ascii="宋体" w:hAnsi="宋体"/>
          <w:szCs w:val="21"/>
        </w:rPr>
      </w:pPr>
      <w:r>
        <w:rPr>
          <w:rFonts w:ascii="宋体" w:hAnsi="宋体"/>
          <w:szCs w:val="21"/>
        </w:rPr>
        <w:t>2.</w:t>
      </w:r>
      <w:r>
        <w:rPr>
          <w:rFonts w:ascii="宋体" w:hAnsi="宋体"/>
          <w:b/>
          <w:bCs/>
          <w:szCs w:val="21"/>
          <w:u w:val="single"/>
        </w:rPr>
        <w:t xml:space="preserve"> （标的名称）</w:t>
      </w:r>
      <w:r>
        <w:rPr>
          <w:rFonts w:ascii="宋体" w:hAnsi="宋体"/>
          <w:szCs w:val="21"/>
        </w:rPr>
        <w:t xml:space="preserve"> </w:t>
      </w:r>
      <w:r>
        <w:rPr>
          <w:rFonts w:hint="eastAsia" w:ascii="宋体" w:hAnsi="宋体"/>
          <w:szCs w:val="21"/>
        </w:rPr>
        <w:t>，承接单位</w:t>
      </w:r>
      <w:r>
        <w:rPr>
          <w:rFonts w:ascii="宋体" w:hAnsi="宋体"/>
          <w:szCs w:val="21"/>
        </w:rPr>
        <w:t>为</w:t>
      </w:r>
      <w:r>
        <w:rPr>
          <w:rFonts w:ascii="宋体" w:hAnsi="宋体"/>
          <w:b/>
          <w:bCs/>
          <w:szCs w:val="21"/>
          <w:u w:val="single"/>
        </w:rPr>
        <w:t>（</w:t>
      </w:r>
      <w:r>
        <w:rPr>
          <w:rFonts w:hint="eastAsia" w:ascii="宋体" w:hAnsi="宋体"/>
          <w:b/>
          <w:bCs/>
          <w:szCs w:val="21"/>
          <w:u w:val="single"/>
        </w:rPr>
        <w:t>企业</w:t>
      </w:r>
      <w:r>
        <w:rPr>
          <w:rFonts w:ascii="宋体" w:hAnsi="宋体"/>
          <w:b/>
          <w:bCs/>
          <w:szCs w:val="21"/>
          <w:u w:val="single"/>
        </w:rPr>
        <w:t>名称）</w:t>
      </w:r>
      <w:r>
        <w:rPr>
          <w:rFonts w:ascii="宋体" w:hAnsi="宋体"/>
          <w:szCs w:val="21"/>
        </w:rPr>
        <w:t>，属于</w:t>
      </w:r>
      <w:r>
        <w:rPr>
          <w:rFonts w:hint="eastAsia" w:ascii="宋体" w:hAnsi="宋体"/>
          <w:b/>
          <w:bCs/>
          <w:szCs w:val="21"/>
          <w:u w:val="single"/>
        </w:rPr>
        <w:t>监狱企业</w:t>
      </w:r>
      <w:r>
        <w:rPr>
          <w:rFonts w:hint="eastAsia" w:ascii="宋体" w:hAnsi="宋体"/>
          <w:szCs w:val="21"/>
        </w:rPr>
        <w:t>。</w:t>
      </w:r>
    </w:p>
    <w:p w14:paraId="7262C1C7">
      <w:pPr>
        <w:ind w:firstLine="420" w:firstLineChars="200"/>
        <w:outlineLvl w:val="3"/>
        <w:rPr>
          <w:rFonts w:ascii="宋体" w:hAnsi="宋体"/>
          <w:szCs w:val="21"/>
        </w:rPr>
      </w:pPr>
      <w:r>
        <w:rPr>
          <w:rFonts w:ascii="宋体" w:hAnsi="宋体"/>
          <w:szCs w:val="21"/>
        </w:rPr>
        <w:t xml:space="preserve">…… </w:t>
      </w:r>
    </w:p>
    <w:p w14:paraId="1A5AF9FD">
      <w:pPr>
        <w:ind w:firstLine="420" w:firstLineChars="200"/>
        <w:rPr>
          <w:rFonts w:ascii="宋体" w:hAnsi="宋体"/>
          <w:szCs w:val="21"/>
        </w:rPr>
      </w:pPr>
      <w:r>
        <w:rPr>
          <w:rFonts w:ascii="宋体" w:hAnsi="宋体"/>
          <w:szCs w:val="21"/>
        </w:rPr>
        <w:t>本</w:t>
      </w:r>
      <w:r>
        <w:rPr>
          <w:rFonts w:hint="eastAsia" w:ascii="宋体" w:hAnsi="宋体"/>
          <w:szCs w:val="21"/>
        </w:rPr>
        <w:t>投标人</w:t>
      </w:r>
      <w:r>
        <w:rPr>
          <w:rFonts w:ascii="宋体" w:hAnsi="宋体"/>
          <w:szCs w:val="21"/>
        </w:rPr>
        <w:t>对上述声明内容的真实性负责。如有虚假，将依法承担相应责任。</w:t>
      </w:r>
    </w:p>
    <w:p w14:paraId="79A6356C">
      <w:pPr>
        <w:ind w:firstLine="420" w:firstLineChars="200"/>
        <w:rPr>
          <w:b/>
          <w:sz w:val="24"/>
        </w:rPr>
      </w:pPr>
      <w:r>
        <w:rPr>
          <w:rFonts w:hint="eastAsia" w:ascii="宋体" w:hAnsi="宋体"/>
          <w:szCs w:val="21"/>
        </w:rPr>
        <w:t>附：省级以上监狱管理局、戒毒管理局（含新疆生产建设兵团）出具的监狱企业证明文件。</w:t>
      </w:r>
    </w:p>
    <w:p w14:paraId="539B73D3">
      <w:pPr>
        <w:ind w:firstLine="420" w:firstLineChars="200"/>
        <w:rPr>
          <w:rFonts w:ascii="宋体" w:hAnsi="宋体"/>
          <w:szCs w:val="21"/>
        </w:rPr>
      </w:pPr>
    </w:p>
    <w:bookmarkEnd w:id="61"/>
    <w:p w14:paraId="1D460D2F">
      <w:pPr>
        <w:spacing w:line="360" w:lineRule="auto"/>
        <w:ind w:firstLine="5040" w:firstLineChars="2400"/>
        <w:jc w:val="left"/>
        <w:rPr>
          <w:rFonts w:ascii="宋体" w:hAnsi="宋体" w:cs="宋体"/>
          <w:szCs w:val="21"/>
        </w:rPr>
      </w:pPr>
      <w:bookmarkStart w:id="62" w:name="_Hlk72259976"/>
      <w:r>
        <w:rPr>
          <w:rFonts w:hint="eastAsia" w:ascii="宋体" w:hAnsi="宋体" w:cs="宋体"/>
          <w:szCs w:val="21"/>
        </w:rPr>
        <w:t>投标人（公章）：</w:t>
      </w:r>
    </w:p>
    <w:p w14:paraId="2DD403C7">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729F6868">
      <w:pPr>
        <w:wordWrap w:val="0"/>
        <w:ind w:firstLine="420" w:firstLineChars="200"/>
        <w:jc w:val="center"/>
      </w:pPr>
      <w:r>
        <w:rPr>
          <w:rFonts w:hint="eastAsia" w:ascii="宋体" w:hAnsi="宋体" w:cs="宋体"/>
          <w:szCs w:val="21"/>
        </w:rPr>
        <w:t xml:space="preserve">                                      日期：      年    月    日</w:t>
      </w:r>
    </w:p>
    <w:p w14:paraId="233E2BE1">
      <w:pPr>
        <w:pStyle w:val="5"/>
        <w:jc w:val="center"/>
        <w:rPr>
          <w:rFonts w:ascii="黑体" w:eastAsia="黑体"/>
          <w:b w:val="0"/>
          <w:sz w:val="24"/>
          <w:szCs w:val="24"/>
        </w:rPr>
      </w:pPr>
      <w:r>
        <w:rPr>
          <w:rFonts w:hint="eastAsia" w:ascii="黑体" w:eastAsia="黑体"/>
          <w:b w:val="0"/>
          <w:sz w:val="24"/>
          <w:szCs w:val="24"/>
        </w:rPr>
        <w:t>四、项目详细报价</w:t>
      </w:r>
    </w:p>
    <w:p w14:paraId="6E49506A">
      <w:pPr>
        <w:tabs>
          <w:tab w:val="left" w:pos="720"/>
        </w:tabs>
        <w:ind w:firstLine="3132" w:firstLineChars="1300"/>
        <w:rPr>
          <w:rFonts w:hint="default" w:eastAsia="宋体"/>
          <w:b/>
          <w:sz w:val="24"/>
          <w:lang w:val="en-US" w:eastAsia="zh-CN"/>
        </w:rPr>
      </w:pPr>
      <w:r>
        <w:rPr>
          <w:rFonts w:hint="eastAsia"/>
          <w:b/>
          <w:sz w:val="24"/>
        </w:rPr>
        <w:t>（一）</w:t>
      </w:r>
      <w:r>
        <w:rPr>
          <w:rFonts w:hint="eastAsia"/>
          <w:b/>
          <w:sz w:val="24"/>
          <w:lang w:val="en-US" w:eastAsia="zh-CN"/>
        </w:rPr>
        <w:t>分项报价表</w:t>
      </w:r>
    </w:p>
    <w:p w14:paraId="0D9F92BA">
      <w:pPr>
        <w:widowControl/>
        <w:adjustRightInd w:val="0"/>
        <w:snapToGrid w:val="0"/>
        <w:jc w:val="left"/>
        <w:rPr>
          <w:rFonts w:ascii="宋体" w:hAnsi="宋体"/>
          <w:snapToGrid w:val="0"/>
          <w:kern w:val="0"/>
          <w:sz w:val="24"/>
          <w:szCs w:val="21"/>
        </w:rPr>
      </w:pPr>
      <w:r>
        <w:rPr>
          <w:rFonts w:hint="eastAsia" w:ascii="宋体" w:hAnsi="宋体"/>
          <w:snapToGrid w:val="0"/>
          <w:kern w:val="0"/>
          <w:sz w:val="24"/>
          <w:szCs w:val="21"/>
        </w:rPr>
        <w:t xml:space="preserve">项目名称： </w:t>
      </w:r>
    </w:p>
    <w:p w14:paraId="765316DF">
      <w:pPr>
        <w:widowControl/>
        <w:adjustRightInd w:val="0"/>
        <w:snapToGrid w:val="0"/>
        <w:jc w:val="left"/>
        <w:rPr>
          <w:rFonts w:ascii="宋体" w:hAnsi="宋体"/>
          <w:snapToGrid w:val="0"/>
          <w:kern w:val="0"/>
          <w:sz w:val="24"/>
          <w:szCs w:val="21"/>
        </w:rPr>
      </w:pPr>
      <w:r>
        <w:rPr>
          <w:rFonts w:hint="eastAsia" w:ascii="宋体" w:hAnsi="宋体"/>
          <w:snapToGrid w:val="0"/>
          <w:kern w:val="0"/>
          <w:sz w:val="24"/>
          <w:szCs w:val="21"/>
        </w:rPr>
        <w:t>项目编号：</w:t>
      </w:r>
    </w:p>
    <w:p w14:paraId="1B89C6B7">
      <w:pPr>
        <w:widowControl/>
        <w:adjustRightInd w:val="0"/>
        <w:snapToGrid w:val="0"/>
        <w:jc w:val="left"/>
      </w:pPr>
      <w:r>
        <w:rPr>
          <w:rFonts w:hint="eastAsia" w:ascii="宋体" w:hAnsi="宋体"/>
          <w:snapToGrid w:val="0"/>
          <w:kern w:val="0"/>
          <w:sz w:val="24"/>
          <w:szCs w:val="21"/>
        </w:rPr>
        <w:t>包号：</w:t>
      </w:r>
    </w:p>
    <w:tbl>
      <w:tblPr>
        <w:tblStyle w:val="4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1794"/>
        <w:gridCol w:w="560"/>
        <w:gridCol w:w="590"/>
        <w:gridCol w:w="460"/>
        <w:gridCol w:w="750"/>
        <w:gridCol w:w="620"/>
        <w:gridCol w:w="430"/>
        <w:gridCol w:w="590"/>
        <w:gridCol w:w="780"/>
        <w:gridCol w:w="733"/>
        <w:gridCol w:w="713"/>
      </w:tblGrid>
      <w:tr w14:paraId="1ADC6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9" w:type="pct"/>
            <w:vAlign w:val="center"/>
          </w:tcPr>
          <w:p w14:paraId="66D7AB77">
            <w:pPr>
              <w:jc w:val="center"/>
              <w:rPr>
                <w:bCs/>
                <w:sz w:val="21"/>
                <w:szCs w:val="21"/>
              </w:rPr>
            </w:pPr>
            <w:r>
              <w:rPr>
                <w:rFonts w:hint="eastAsia"/>
                <w:bCs/>
                <w:sz w:val="21"/>
                <w:szCs w:val="21"/>
              </w:rPr>
              <w:t>序号</w:t>
            </w:r>
          </w:p>
        </w:tc>
        <w:tc>
          <w:tcPr>
            <w:tcW w:w="1053" w:type="pct"/>
            <w:vAlign w:val="center"/>
          </w:tcPr>
          <w:p w14:paraId="426C7AB2">
            <w:pPr>
              <w:jc w:val="center"/>
              <w:rPr>
                <w:bCs/>
                <w:sz w:val="21"/>
                <w:szCs w:val="21"/>
              </w:rPr>
            </w:pPr>
            <w:r>
              <w:rPr>
                <w:rFonts w:hint="eastAsia"/>
                <w:bCs/>
                <w:sz w:val="21"/>
                <w:szCs w:val="21"/>
              </w:rPr>
              <w:t>货物名称</w:t>
            </w:r>
          </w:p>
        </w:tc>
        <w:tc>
          <w:tcPr>
            <w:tcW w:w="328" w:type="pct"/>
            <w:vAlign w:val="center"/>
          </w:tcPr>
          <w:p w14:paraId="2C13235C">
            <w:pPr>
              <w:jc w:val="center"/>
              <w:rPr>
                <w:bCs/>
                <w:sz w:val="21"/>
                <w:szCs w:val="21"/>
              </w:rPr>
            </w:pPr>
            <w:r>
              <w:rPr>
                <w:rFonts w:hint="eastAsia"/>
                <w:sz w:val="21"/>
                <w:szCs w:val="21"/>
              </w:rPr>
              <w:t>品牌</w:t>
            </w:r>
          </w:p>
        </w:tc>
        <w:tc>
          <w:tcPr>
            <w:tcW w:w="346" w:type="pct"/>
            <w:vAlign w:val="center"/>
          </w:tcPr>
          <w:p w14:paraId="5E548C42">
            <w:pPr>
              <w:jc w:val="center"/>
              <w:rPr>
                <w:bCs/>
                <w:sz w:val="21"/>
                <w:szCs w:val="21"/>
              </w:rPr>
            </w:pPr>
            <w:r>
              <w:rPr>
                <w:rFonts w:hint="eastAsia"/>
                <w:sz w:val="21"/>
                <w:szCs w:val="21"/>
              </w:rPr>
              <w:t>规格/型号</w:t>
            </w:r>
          </w:p>
        </w:tc>
        <w:tc>
          <w:tcPr>
            <w:tcW w:w="270" w:type="pct"/>
            <w:vAlign w:val="center"/>
          </w:tcPr>
          <w:p w14:paraId="3FDDB72A">
            <w:pPr>
              <w:jc w:val="center"/>
              <w:rPr>
                <w:bCs/>
                <w:sz w:val="21"/>
                <w:szCs w:val="21"/>
              </w:rPr>
            </w:pPr>
            <w:r>
              <w:rPr>
                <w:rFonts w:hint="eastAsia"/>
                <w:b/>
                <w:color w:val="FF0000"/>
                <w:sz w:val="21"/>
                <w:szCs w:val="21"/>
              </w:rPr>
              <w:t>原产地</w:t>
            </w:r>
          </w:p>
        </w:tc>
        <w:tc>
          <w:tcPr>
            <w:tcW w:w="440" w:type="pct"/>
            <w:vAlign w:val="center"/>
          </w:tcPr>
          <w:p w14:paraId="52E2534C">
            <w:pPr>
              <w:jc w:val="center"/>
              <w:rPr>
                <w:bCs/>
                <w:sz w:val="21"/>
                <w:szCs w:val="21"/>
              </w:rPr>
            </w:pPr>
            <w:r>
              <w:rPr>
                <w:rFonts w:hint="eastAsia"/>
                <w:sz w:val="21"/>
                <w:szCs w:val="21"/>
              </w:rPr>
              <w:t>制造商名称</w:t>
            </w:r>
          </w:p>
        </w:tc>
        <w:tc>
          <w:tcPr>
            <w:tcW w:w="364" w:type="pct"/>
            <w:vAlign w:val="center"/>
          </w:tcPr>
          <w:p w14:paraId="6105743A">
            <w:pPr>
              <w:jc w:val="center"/>
              <w:rPr>
                <w:bCs/>
                <w:sz w:val="21"/>
                <w:szCs w:val="21"/>
              </w:rPr>
            </w:pPr>
            <w:r>
              <w:rPr>
                <w:rFonts w:hint="eastAsia"/>
                <w:bCs/>
                <w:sz w:val="21"/>
                <w:szCs w:val="21"/>
              </w:rPr>
              <w:t>数量</w:t>
            </w:r>
          </w:p>
        </w:tc>
        <w:tc>
          <w:tcPr>
            <w:tcW w:w="252" w:type="pct"/>
            <w:vAlign w:val="center"/>
          </w:tcPr>
          <w:p w14:paraId="2F5A51BF">
            <w:pPr>
              <w:jc w:val="center"/>
              <w:rPr>
                <w:bCs/>
                <w:sz w:val="21"/>
                <w:szCs w:val="21"/>
              </w:rPr>
            </w:pPr>
            <w:r>
              <w:rPr>
                <w:rFonts w:hint="eastAsia"/>
                <w:bCs/>
                <w:sz w:val="21"/>
                <w:szCs w:val="21"/>
              </w:rPr>
              <w:t>单位</w:t>
            </w:r>
          </w:p>
        </w:tc>
        <w:tc>
          <w:tcPr>
            <w:tcW w:w="346" w:type="pct"/>
            <w:vAlign w:val="center"/>
          </w:tcPr>
          <w:p w14:paraId="15A6E5DA">
            <w:pPr>
              <w:jc w:val="center"/>
              <w:rPr>
                <w:bCs/>
                <w:sz w:val="21"/>
                <w:szCs w:val="21"/>
              </w:rPr>
            </w:pPr>
            <w:r>
              <w:rPr>
                <w:rFonts w:hint="eastAsia"/>
                <w:sz w:val="21"/>
                <w:szCs w:val="21"/>
              </w:rPr>
              <w:t>单价(元)</w:t>
            </w:r>
          </w:p>
        </w:tc>
        <w:tc>
          <w:tcPr>
            <w:tcW w:w="458" w:type="pct"/>
            <w:vAlign w:val="center"/>
          </w:tcPr>
          <w:p w14:paraId="3D2514F5">
            <w:pPr>
              <w:jc w:val="center"/>
              <w:rPr>
                <w:bCs/>
                <w:sz w:val="21"/>
                <w:szCs w:val="21"/>
              </w:rPr>
            </w:pPr>
            <w:r>
              <w:rPr>
                <w:rFonts w:hint="eastAsia"/>
                <w:sz w:val="21"/>
                <w:szCs w:val="21"/>
              </w:rPr>
              <w:t>合价(元)</w:t>
            </w:r>
          </w:p>
        </w:tc>
        <w:tc>
          <w:tcPr>
            <w:tcW w:w="430" w:type="pct"/>
            <w:vAlign w:val="center"/>
          </w:tcPr>
          <w:p w14:paraId="246ACD42">
            <w:pPr>
              <w:jc w:val="center"/>
              <w:rPr>
                <w:b/>
                <w:bCs/>
                <w:color w:val="FF0000"/>
                <w:sz w:val="21"/>
                <w:szCs w:val="21"/>
              </w:rPr>
            </w:pPr>
            <w:r>
              <w:rPr>
                <w:rFonts w:hint="eastAsia"/>
                <w:b/>
                <w:bCs/>
                <w:color w:val="FF0000"/>
                <w:sz w:val="21"/>
                <w:szCs w:val="21"/>
              </w:rPr>
              <w:t>预算金额（元）</w:t>
            </w:r>
          </w:p>
        </w:tc>
        <w:tc>
          <w:tcPr>
            <w:tcW w:w="418" w:type="pct"/>
            <w:vAlign w:val="center"/>
          </w:tcPr>
          <w:p w14:paraId="76E0CC1A">
            <w:pPr>
              <w:jc w:val="center"/>
              <w:rPr>
                <w:b/>
                <w:bCs/>
                <w:color w:val="FF0000"/>
                <w:sz w:val="21"/>
                <w:szCs w:val="21"/>
              </w:rPr>
            </w:pPr>
            <w:r>
              <w:rPr>
                <w:rFonts w:hint="eastAsia"/>
                <w:b/>
                <w:bCs/>
                <w:color w:val="FF0000"/>
                <w:sz w:val="21"/>
                <w:szCs w:val="21"/>
              </w:rPr>
              <w:t>最高限价（元）</w:t>
            </w:r>
          </w:p>
        </w:tc>
      </w:tr>
      <w:tr w14:paraId="0F6F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68C97E8D">
            <w:pPr>
              <w:ind w:right="36" w:rightChars="17"/>
              <w:jc w:val="center"/>
              <w:rPr>
                <w:bCs/>
                <w:sz w:val="21"/>
                <w:szCs w:val="21"/>
              </w:rPr>
            </w:pPr>
            <w:r>
              <w:rPr>
                <w:rFonts w:hint="eastAsia" w:ascii="宋体" w:hAnsi="宋体"/>
                <w:sz w:val="21"/>
                <w:szCs w:val="21"/>
              </w:rPr>
              <w:t>1</w:t>
            </w:r>
          </w:p>
        </w:tc>
        <w:tc>
          <w:tcPr>
            <w:tcW w:w="1053" w:type="pct"/>
            <w:vAlign w:val="center"/>
          </w:tcPr>
          <w:p w14:paraId="219AB5CC">
            <w:pPr>
              <w:widowControl/>
              <w:ind w:right="36" w:rightChars="17"/>
              <w:jc w:val="center"/>
              <w:rPr>
                <w:bCs/>
                <w:sz w:val="21"/>
                <w:szCs w:val="21"/>
              </w:rPr>
            </w:pPr>
            <w:r>
              <w:rPr>
                <w:rFonts w:hint="eastAsia" w:ascii="宋体" w:hAnsi="宋体"/>
                <w:sz w:val="21"/>
                <w:szCs w:val="21"/>
              </w:rPr>
              <w:t>服务器机柜1（10kW）</w:t>
            </w:r>
          </w:p>
        </w:tc>
        <w:tc>
          <w:tcPr>
            <w:tcW w:w="328" w:type="pct"/>
            <w:vAlign w:val="center"/>
          </w:tcPr>
          <w:p w14:paraId="74E1BE5C">
            <w:pPr>
              <w:ind w:right="36" w:rightChars="17"/>
              <w:jc w:val="center"/>
              <w:rPr>
                <w:bCs/>
                <w:sz w:val="21"/>
                <w:szCs w:val="21"/>
              </w:rPr>
            </w:pPr>
          </w:p>
        </w:tc>
        <w:tc>
          <w:tcPr>
            <w:tcW w:w="346" w:type="pct"/>
            <w:vAlign w:val="center"/>
          </w:tcPr>
          <w:p w14:paraId="770FAF71">
            <w:pPr>
              <w:ind w:right="36" w:rightChars="17"/>
              <w:jc w:val="center"/>
              <w:rPr>
                <w:bCs/>
                <w:sz w:val="21"/>
                <w:szCs w:val="21"/>
              </w:rPr>
            </w:pPr>
          </w:p>
        </w:tc>
        <w:tc>
          <w:tcPr>
            <w:tcW w:w="270" w:type="pct"/>
            <w:vAlign w:val="center"/>
          </w:tcPr>
          <w:p w14:paraId="002CB9DA">
            <w:pPr>
              <w:jc w:val="center"/>
              <w:rPr>
                <w:bCs/>
                <w:sz w:val="21"/>
                <w:szCs w:val="21"/>
              </w:rPr>
            </w:pPr>
          </w:p>
        </w:tc>
        <w:tc>
          <w:tcPr>
            <w:tcW w:w="440" w:type="pct"/>
            <w:vAlign w:val="center"/>
          </w:tcPr>
          <w:p w14:paraId="38E3B841">
            <w:pPr>
              <w:jc w:val="center"/>
              <w:rPr>
                <w:bCs/>
                <w:sz w:val="21"/>
                <w:szCs w:val="21"/>
              </w:rPr>
            </w:pPr>
          </w:p>
        </w:tc>
        <w:tc>
          <w:tcPr>
            <w:tcW w:w="364" w:type="pct"/>
            <w:vAlign w:val="center"/>
          </w:tcPr>
          <w:p w14:paraId="41BD7A26">
            <w:pPr>
              <w:ind w:right="36" w:rightChars="17"/>
              <w:jc w:val="center"/>
              <w:rPr>
                <w:bCs/>
                <w:sz w:val="21"/>
                <w:szCs w:val="21"/>
              </w:rPr>
            </w:pPr>
            <w:r>
              <w:rPr>
                <w:rFonts w:hint="eastAsia" w:ascii="宋体" w:hAnsi="宋体"/>
                <w:sz w:val="21"/>
                <w:szCs w:val="21"/>
              </w:rPr>
              <w:t>181</w:t>
            </w:r>
          </w:p>
        </w:tc>
        <w:tc>
          <w:tcPr>
            <w:tcW w:w="252" w:type="pct"/>
            <w:vAlign w:val="center"/>
          </w:tcPr>
          <w:p w14:paraId="39620186">
            <w:pPr>
              <w:ind w:right="36" w:rightChars="17"/>
              <w:jc w:val="center"/>
              <w:rPr>
                <w:bCs/>
                <w:sz w:val="21"/>
                <w:szCs w:val="21"/>
              </w:rPr>
            </w:pPr>
            <w:r>
              <w:rPr>
                <w:rFonts w:hint="eastAsia" w:ascii="宋体" w:hAnsi="宋体"/>
                <w:sz w:val="21"/>
                <w:szCs w:val="21"/>
              </w:rPr>
              <w:t>个</w:t>
            </w:r>
          </w:p>
        </w:tc>
        <w:tc>
          <w:tcPr>
            <w:tcW w:w="346" w:type="pct"/>
            <w:vAlign w:val="center"/>
          </w:tcPr>
          <w:p w14:paraId="251F9954">
            <w:pPr>
              <w:jc w:val="center"/>
              <w:rPr>
                <w:bCs/>
                <w:sz w:val="21"/>
                <w:szCs w:val="21"/>
              </w:rPr>
            </w:pPr>
          </w:p>
        </w:tc>
        <w:tc>
          <w:tcPr>
            <w:tcW w:w="458" w:type="pct"/>
            <w:vAlign w:val="center"/>
          </w:tcPr>
          <w:p w14:paraId="74407900">
            <w:pPr>
              <w:jc w:val="center"/>
              <w:rPr>
                <w:bCs/>
                <w:sz w:val="21"/>
                <w:szCs w:val="21"/>
              </w:rPr>
            </w:pPr>
          </w:p>
        </w:tc>
        <w:tc>
          <w:tcPr>
            <w:tcW w:w="430" w:type="pct"/>
            <w:vMerge w:val="restart"/>
            <w:vAlign w:val="center"/>
          </w:tcPr>
          <w:p w14:paraId="5538D85E">
            <w:pPr>
              <w:jc w:val="center"/>
              <w:rPr>
                <w:rFonts w:hint="default" w:eastAsia="宋体"/>
                <w:b/>
                <w:bCs/>
                <w:color w:val="FF0000"/>
                <w:sz w:val="21"/>
                <w:szCs w:val="21"/>
                <w:lang w:val="en-US" w:eastAsia="zh-CN"/>
              </w:rPr>
            </w:pPr>
            <w:r>
              <w:rPr>
                <w:rFonts w:hint="eastAsia"/>
                <w:b/>
                <w:bCs/>
                <w:color w:val="FF0000"/>
                <w:sz w:val="21"/>
                <w:szCs w:val="21"/>
                <w:lang w:val="en-US" w:eastAsia="zh-CN"/>
              </w:rPr>
              <w:t>37530000.00</w:t>
            </w:r>
          </w:p>
        </w:tc>
        <w:tc>
          <w:tcPr>
            <w:tcW w:w="418" w:type="pct"/>
            <w:vMerge w:val="restart"/>
            <w:vAlign w:val="center"/>
          </w:tcPr>
          <w:p w14:paraId="3485F39C">
            <w:pPr>
              <w:jc w:val="center"/>
              <w:rPr>
                <w:rFonts w:hint="default" w:eastAsia="宋体"/>
                <w:b/>
                <w:bCs/>
                <w:color w:val="FF0000"/>
                <w:sz w:val="21"/>
                <w:szCs w:val="21"/>
                <w:lang w:val="en-US" w:eastAsia="zh-CN"/>
              </w:rPr>
            </w:pPr>
            <w:r>
              <w:rPr>
                <w:rFonts w:hint="eastAsia"/>
                <w:b/>
                <w:bCs/>
                <w:color w:val="FF0000"/>
                <w:sz w:val="21"/>
                <w:szCs w:val="21"/>
                <w:lang w:val="en-US" w:eastAsia="zh-CN"/>
              </w:rPr>
              <w:t>37000000.00</w:t>
            </w:r>
          </w:p>
        </w:tc>
      </w:tr>
      <w:tr w14:paraId="2A825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21F88168">
            <w:pPr>
              <w:ind w:right="36" w:rightChars="17"/>
              <w:jc w:val="center"/>
              <w:rPr>
                <w:rFonts w:hint="eastAsia"/>
                <w:bCs/>
                <w:sz w:val="21"/>
                <w:szCs w:val="21"/>
              </w:rPr>
            </w:pPr>
            <w:r>
              <w:rPr>
                <w:rFonts w:hint="eastAsia" w:ascii="宋体" w:hAnsi="宋体"/>
                <w:sz w:val="21"/>
                <w:szCs w:val="21"/>
              </w:rPr>
              <w:t>2</w:t>
            </w:r>
          </w:p>
        </w:tc>
        <w:tc>
          <w:tcPr>
            <w:tcW w:w="1053" w:type="pct"/>
            <w:vAlign w:val="center"/>
          </w:tcPr>
          <w:p w14:paraId="533867EB">
            <w:pPr>
              <w:ind w:right="36" w:rightChars="17"/>
              <w:jc w:val="center"/>
              <w:rPr>
                <w:rFonts w:hint="eastAsia"/>
                <w:bCs/>
                <w:sz w:val="21"/>
                <w:szCs w:val="21"/>
              </w:rPr>
            </w:pPr>
            <w:r>
              <w:rPr>
                <w:rFonts w:hint="eastAsia" w:ascii="宋体" w:hAnsi="宋体"/>
                <w:sz w:val="21"/>
                <w:szCs w:val="21"/>
              </w:rPr>
              <w:t>服务器机柜2（15kW）</w:t>
            </w:r>
          </w:p>
        </w:tc>
        <w:tc>
          <w:tcPr>
            <w:tcW w:w="328" w:type="pct"/>
            <w:vAlign w:val="center"/>
          </w:tcPr>
          <w:p w14:paraId="1034FF5E">
            <w:pPr>
              <w:ind w:right="36" w:rightChars="17"/>
              <w:jc w:val="center"/>
              <w:rPr>
                <w:bCs/>
                <w:sz w:val="21"/>
                <w:szCs w:val="21"/>
              </w:rPr>
            </w:pPr>
          </w:p>
        </w:tc>
        <w:tc>
          <w:tcPr>
            <w:tcW w:w="346" w:type="pct"/>
            <w:vAlign w:val="center"/>
          </w:tcPr>
          <w:p w14:paraId="44E0B9E7">
            <w:pPr>
              <w:ind w:right="36" w:rightChars="17"/>
              <w:jc w:val="center"/>
              <w:rPr>
                <w:bCs/>
                <w:sz w:val="21"/>
                <w:szCs w:val="21"/>
              </w:rPr>
            </w:pPr>
          </w:p>
        </w:tc>
        <w:tc>
          <w:tcPr>
            <w:tcW w:w="270" w:type="pct"/>
            <w:vAlign w:val="center"/>
          </w:tcPr>
          <w:p w14:paraId="590280A4">
            <w:pPr>
              <w:jc w:val="center"/>
              <w:rPr>
                <w:bCs/>
                <w:sz w:val="21"/>
                <w:szCs w:val="21"/>
              </w:rPr>
            </w:pPr>
          </w:p>
        </w:tc>
        <w:tc>
          <w:tcPr>
            <w:tcW w:w="440" w:type="pct"/>
            <w:vAlign w:val="center"/>
          </w:tcPr>
          <w:p w14:paraId="73B93F33">
            <w:pPr>
              <w:jc w:val="center"/>
              <w:rPr>
                <w:bCs/>
                <w:sz w:val="21"/>
                <w:szCs w:val="21"/>
              </w:rPr>
            </w:pPr>
          </w:p>
        </w:tc>
        <w:tc>
          <w:tcPr>
            <w:tcW w:w="364" w:type="pct"/>
            <w:vAlign w:val="center"/>
          </w:tcPr>
          <w:p w14:paraId="76D0B8F0">
            <w:pPr>
              <w:ind w:right="36" w:rightChars="17"/>
              <w:jc w:val="center"/>
              <w:rPr>
                <w:rFonts w:hint="eastAsia"/>
                <w:bCs/>
                <w:sz w:val="21"/>
                <w:szCs w:val="21"/>
              </w:rPr>
            </w:pPr>
            <w:r>
              <w:rPr>
                <w:rFonts w:hint="eastAsia" w:ascii="宋体" w:hAnsi="宋体"/>
                <w:sz w:val="21"/>
                <w:szCs w:val="21"/>
              </w:rPr>
              <w:t>126</w:t>
            </w:r>
          </w:p>
        </w:tc>
        <w:tc>
          <w:tcPr>
            <w:tcW w:w="252" w:type="pct"/>
            <w:vAlign w:val="center"/>
          </w:tcPr>
          <w:p w14:paraId="2EEC15FA">
            <w:pPr>
              <w:ind w:right="36" w:rightChars="17"/>
              <w:jc w:val="center"/>
              <w:rPr>
                <w:rFonts w:hint="eastAsia"/>
                <w:bCs/>
                <w:sz w:val="21"/>
                <w:szCs w:val="21"/>
              </w:rPr>
            </w:pPr>
            <w:r>
              <w:rPr>
                <w:rFonts w:hint="eastAsia" w:ascii="宋体" w:hAnsi="宋体"/>
                <w:sz w:val="21"/>
                <w:szCs w:val="21"/>
              </w:rPr>
              <w:t>个</w:t>
            </w:r>
          </w:p>
        </w:tc>
        <w:tc>
          <w:tcPr>
            <w:tcW w:w="346" w:type="pct"/>
            <w:vAlign w:val="center"/>
          </w:tcPr>
          <w:p w14:paraId="48C2FCC3">
            <w:pPr>
              <w:jc w:val="center"/>
              <w:rPr>
                <w:bCs/>
                <w:sz w:val="21"/>
                <w:szCs w:val="21"/>
              </w:rPr>
            </w:pPr>
          </w:p>
        </w:tc>
        <w:tc>
          <w:tcPr>
            <w:tcW w:w="458" w:type="pct"/>
            <w:vAlign w:val="center"/>
          </w:tcPr>
          <w:p w14:paraId="16F60A6E">
            <w:pPr>
              <w:jc w:val="center"/>
              <w:rPr>
                <w:bCs/>
                <w:sz w:val="21"/>
                <w:szCs w:val="21"/>
              </w:rPr>
            </w:pPr>
          </w:p>
        </w:tc>
        <w:tc>
          <w:tcPr>
            <w:tcW w:w="430" w:type="pct"/>
            <w:vMerge w:val="continue"/>
            <w:vAlign w:val="center"/>
          </w:tcPr>
          <w:p w14:paraId="3C5A106A">
            <w:pPr>
              <w:jc w:val="center"/>
              <w:rPr>
                <w:rFonts w:hint="eastAsia"/>
                <w:b/>
                <w:bCs/>
                <w:color w:val="FF0000"/>
                <w:sz w:val="21"/>
                <w:szCs w:val="21"/>
              </w:rPr>
            </w:pPr>
          </w:p>
        </w:tc>
        <w:tc>
          <w:tcPr>
            <w:tcW w:w="418" w:type="pct"/>
            <w:vMerge w:val="continue"/>
            <w:vAlign w:val="center"/>
          </w:tcPr>
          <w:p w14:paraId="2F88E097">
            <w:pPr>
              <w:jc w:val="center"/>
              <w:rPr>
                <w:rFonts w:hint="eastAsia"/>
                <w:b/>
                <w:bCs/>
                <w:color w:val="FF0000"/>
                <w:sz w:val="21"/>
                <w:szCs w:val="21"/>
              </w:rPr>
            </w:pPr>
          </w:p>
        </w:tc>
      </w:tr>
      <w:tr w14:paraId="40E7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2BEDDB67">
            <w:pPr>
              <w:ind w:right="36" w:rightChars="17"/>
              <w:jc w:val="center"/>
              <w:rPr>
                <w:rFonts w:hint="eastAsia"/>
                <w:bCs/>
                <w:sz w:val="21"/>
                <w:szCs w:val="21"/>
              </w:rPr>
            </w:pPr>
            <w:r>
              <w:rPr>
                <w:rFonts w:hint="eastAsia" w:ascii="宋体" w:hAnsi="宋体"/>
                <w:sz w:val="21"/>
                <w:szCs w:val="21"/>
              </w:rPr>
              <w:t>3</w:t>
            </w:r>
          </w:p>
        </w:tc>
        <w:tc>
          <w:tcPr>
            <w:tcW w:w="1053" w:type="pct"/>
            <w:vAlign w:val="center"/>
          </w:tcPr>
          <w:p w14:paraId="279AA722">
            <w:pPr>
              <w:ind w:right="36" w:rightChars="17"/>
              <w:jc w:val="center"/>
              <w:rPr>
                <w:rFonts w:hint="eastAsia"/>
                <w:bCs/>
                <w:sz w:val="21"/>
                <w:szCs w:val="21"/>
              </w:rPr>
            </w:pPr>
            <w:r>
              <w:rPr>
                <w:rFonts w:hint="eastAsia" w:ascii="宋体" w:hAnsi="宋体"/>
                <w:sz w:val="21"/>
                <w:szCs w:val="21"/>
              </w:rPr>
              <w:t>密闭冷通道组件</w:t>
            </w:r>
          </w:p>
        </w:tc>
        <w:tc>
          <w:tcPr>
            <w:tcW w:w="328" w:type="pct"/>
            <w:vAlign w:val="center"/>
          </w:tcPr>
          <w:p w14:paraId="417099C8">
            <w:pPr>
              <w:ind w:right="36" w:rightChars="17"/>
              <w:jc w:val="center"/>
              <w:rPr>
                <w:bCs/>
                <w:sz w:val="21"/>
                <w:szCs w:val="21"/>
              </w:rPr>
            </w:pPr>
          </w:p>
        </w:tc>
        <w:tc>
          <w:tcPr>
            <w:tcW w:w="346" w:type="pct"/>
            <w:vAlign w:val="center"/>
          </w:tcPr>
          <w:p w14:paraId="5EEC04B0">
            <w:pPr>
              <w:ind w:right="36" w:rightChars="17"/>
              <w:jc w:val="center"/>
              <w:rPr>
                <w:bCs/>
                <w:sz w:val="21"/>
                <w:szCs w:val="21"/>
              </w:rPr>
            </w:pPr>
          </w:p>
        </w:tc>
        <w:tc>
          <w:tcPr>
            <w:tcW w:w="270" w:type="pct"/>
            <w:vAlign w:val="center"/>
          </w:tcPr>
          <w:p w14:paraId="5DE9CA51">
            <w:pPr>
              <w:jc w:val="center"/>
              <w:rPr>
                <w:bCs/>
                <w:sz w:val="21"/>
                <w:szCs w:val="21"/>
              </w:rPr>
            </w:pPr>
          </w:p>
        </w:tc>
        <w:tc>
          <w:tcPr>
            <w:tcW w:w="440" w:type="pct"/>
            <w:vAlign w:val="center"/>
          </w:tcPr>
          <w:p w14:paraId="0AF7303C">
            <w:pPr>
              <w:jc w:val="center"/>
              <w:rPr>
                <w:bCs/>
                <w:sz w:val="21"/>
                <w:szCs w:val="21"/>
              </w:rPr>
            </w:pPr>
          </w:p>
        </w:tc>
        <w:tc>
          <w:tcPr>
            <w:tcW w:w="364" w:type="pct"/>
            <w:vAlign w:val="center"/>
          </w:tcPr>
          <w:p w14:paraId="52A154D4">
            <w:pPr>
              <w:ind w:right="36" w:rightChars="17"/>
              <w:jc w:val="center"/>
              <w:rPr>
                <w:rFonts w:hint="eastAsia"/>
                <w:bCs/>
                <w:sz w:val="21"/>
                <w:szCs w:val="21"/>
              </w:rPr>
            </w:pPr>
            <w:r>
              <w:rPr>
                <w:rFonts w:hint="eastAsia" w:ascii="宋体" w:hAnsi="宋体"/>
                <w:sz w:val="21"/>
                <w:szCs w:val="21"/>
              </w:rPr>
              <w:t>10</w:t>
            </w:r>
          </w:p>
        </w:tc>
        <w:tc>
          <w:tcPr>
            <w:tcW w:w="252" w:type="pct"/>
            <w:vAlign w:val="center"/>
          </w:tcPr>
          <w:p w14:paraId="1E7AB7B3">
            <w:pPr>
              <w:ind w:right="36" w:rightChars="17"/>
              <w:jc w:val="center"/>
              <w:rPr>
                <w:rFonts w:hint="eastAsia"/>
                <w:bCs/>
                <w:sz w:val="21"/>
                <w:szCs w:val="21"/>
              </w:rPr>
            </w:pPr>
            <w:r>
              <w:rPr>
                <w:rFonts w:hint="eastAsia" w:ascii="宋体" w:hAnsi="宋体"/>
                <w:sz w:val="21"/>
                <w:szCs w:val="21"/>
              </w:rPr>
              <w:t>套</w:t>
            </w:r>
          </w:p>
        </w:tc>
        <w:tc>
          <w:tcPr>
            <w:tcW w:w="346" w:type="pct"/>
            <w:vAlign w:val="center"/>
          </w:tcPr>
          <w:p w14:paraId="7E7F2518">
            <w:pPr>
              <w:jc w:val="center"/>
              <w:rPr>
                <w:bCs/>
                <w:sz w:val="21"/>
                <w:szCs w:val="21"/>
              </w:rPr>
            </w:pPr>
          </w:p>
        </w:tc>
        <w:tc>
          <w:tcPr>
            <w:tcW w:w="458" w:type="pct"/>
            <w:vAlign w:val="center"/>
          </w:tcPr>
          <w:p w14:paraId="49360DEB">
            <w:pPr>
              <w:jc w:val="center"/>
              <w:rPr>
                <w:bCs/>
                <w:sz w:val="21"/>
                <w:szCs w:val="21"/>
              </w:rPr>
            </w:pPr>
          </w:p>
        </w:tc>
        <w:tc>
          <w:tcPr>
            <w:tcW w:w="430" w:type="pct"/>
            <w:vMerge w:val="continue"/>
            <w:vAlign w:val="center"/>
          </w:tcPr>
          <w:p w14:paraId="18C37CA6">
            <w:pPr>
              <w:jc w:val="center"/>
              <w:rPr>
                <w:rFonts w:hint="eastAsia"/>
                <w:b/>
                <w:bCs/>
                <w:color w:val="FF0000"/>
                <w:sz w:val="21"/>
                <w:szCs w:val="21"/>
              </w:rPr>
            </w:pPr>
          </w:p>
        </w:tc>
        <w:tc>
          <w:tcPr>
            <w:tcW w:w="418" w:type="pct"/>
            <w:vMerge w:val="continue"/>
            <w:vAlign w:val="center"/>
          </w:tcPr>
          <w:p w14:paraId="48B8BEB6">
            <w:pPr>
              <w:jc w:val="center"/>
              <w:rPr>
                <w:rFonts w:hint="eastAsia"/>
                <w:b/>
                <w:bCs/>
                <w:color w:val="FF0000"/>
                <w:sz w:val="21"/>
                <w:szCs w:val="21"/>
              </w:rPr>
            </w:pPr>
          </w:p>
        </w:tc>
      </w:tr>
      <w:tr w14:paraId="00E69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20E1A3A4">
            <w:pPr>
              <w:ind w:right="36" w:rightChars="17"/>
              <w:jc w:val="center"/>
              <w:rPr>
                <w:rFonts w:hint="eastAsia"/>
                <w:bCs/>
                <w:sz w:val="21"/>
                <w:szCs w:val="21"/>
              </w:rPr>
            </w:pPr>
            <w:r>
              <w:rPr>
                <w:rFonts w:hint="eastAsia" w:ascii="宋体" w:hAnsi="宋体"/>
                <w:sz w:val="21"/>
                <w:szCs w:val="21"/>
              </w:rPr>
              <w:t>4</w:t>
            </w:r>
          </w:p>
        </w:tc>
        <w:tc>
          <w:tcPr>
            <w:tcW w:w="1053" w:type="pct"/>
            <w:vAlign w:val="center"/>
          </w:tcPr>
          <w:p w14:paraId="0C80A0A7">
            <w:pPr>
              <w:ind w:right="36" w:rightChars="17"/>
              <w:jc w:val="center"/>
              <w:rPr>
                <w:rFonts w:hint="eastAsia"/>
                <w:bCs/>
                <w:sz w:val="21"/>
                <w:szCs w:val="21"/>
              </w:rPr>
            </w:pPr>
            <w:r>
              <w:rPr>
                <w:rFonts w:hint="eastAsia" w:ascii="宋体" w:hAnsi="宋体"/>
                <w:sz w:val="21"/>
                <w:szCs w:val="21"/>
              </w:rPr>
              <w:t>密闭冷通道内部动环</w:t>
            </w:r>
          </w:p>
        </w:tc>
        <w:tc>
          <w:tcPr>
            <w:tcW w:w="328" w:type="pct"/>
            <w:vAlign w:val="center"/>
          </w:tcPr>
          <w:p w14:paraId="6F8269C5">
            <w:pPr>
              <w:ind w:right="36" w:rightChars="17"/>
              <w:jc w:val="center"/>
              <w:rPr>
                <w:bCs/>
                <w:sz w:val="21"/>
                <w:szCs w:val="21"/>
              </w:rPr>
            </w:pPr>
          </w:p>
        </w:tc>
        <w:tc>
          <w:tcPr>
            <w:tcW w:w="346" w:type="pct"/>
            <w:vAlign w:val="center"/>
          </w:tcPr>
          <w:p w14:paraId="468C1EDF">
            <w:pPr>
              <w:ind w:right="36" w:rightChars="17"/>
              <w:jc w:val="center"/>
              <w:rPr>
                <w:bCs/>
                <w:sz w:val="21"/>
                <w:szCs w:val="21"/>
              </w:rPr>
            </w:pPr>
          </w:p>
        </w:tc>
        <w:tc>
          <w:tcPr>
            <w:tcW w:w="270" w:type="pct"/>
            <w:vAlign w:val="center"/>
          </w:tcPr>
          <w:p w14:paraId="33EB4336">
            <w:pPr>
              <w:jc w:val="center"/>
              <w:rPr>
                <w:bCs/>
                <w:sz w:val="21"/>
                <w:szCs w:val="21"/>
              </w:rPr>
            </w:pPr>
          </w:p>
        </w:tc>
        <w:tc>
          <w:tcPr>
            <w:tcW w:w="440" w:type="pct"/>
            <w:vAlign w:val="center"/>
          </w:tcPr>
          <w:p w14:paraId="513FF75A">
            <w:pPr>
              <w:jc w:val="center"/>
              <w:rPr>
                <w:bCs/>
                <w:sz w:val="21"/>
                <w:szCs w:val="21"/>
              </w:rPr>
            </w:pPr>
          </w:p>
        </w:tc>
        <w:tc>
          <w:tcPr>
            <w:tcW w:w="364" w:type="pct"/>
            <w:vAlign w:val="center"/>
          </w:tcPr>
          <w:p w14:paraId="38209438">
            <w:pPr>
              <w:ind w:right="36" w:rightChars="17"/>
              <w:jc w:val="center"/>
              <w:rPr>
                <w:rFonts w:hint="eastAsia"/>
                <w:bCs/>
                <w:sz w:val="21"/>
                <w:szCs w:val="21"/>
              </w:rPr>
            </w:pPr>
            <w:r>
              <w:rPr>
                <w:rFonts w:hint="eastAsia" w:ascii="宋体" w:hAnsi="宋体"/>
                <w:sz w:val="21"/>
                <w:szCs w:val="21"/>
              </w:rPr>
              <w:t>10</w:t>
            </w:r>
          </w:p>
        </w:tc>
        <w:tc>
          <w:tcPr>
            <w:tcW w:w="252" w:type="pct"/>
            <w:vAlign w:val="center"/>
          </w:tcPr>
          <w:p w14:paraId="1EC7F5A6">
            <w:pPr>
              <w:ind w:right="36" w:rightChars="17"/>
              <w:jc w:val="center"/>
              <w:rPr>
                <w:rFonts w:hint="eastAsia"/>
                <w:bCs/>
                <w:sz w:val="21"/>
                <w:szCs w:val="21"/>
              </w:rPr>
            </w:pPr>
            <w:r>
              <w:rPr>
                <w:rFonts w:hint="eastAsia" w:ascii="宋体" w:hAnsi="宋体"/>
                <w:sz w:val="21"/>
                <w:szCs w:val="21"/>
              </w:rPr>
              <w:t>套</w:t>
            </w:r>
          </w:p>
        </w:tc>
        <w:tc>
          <w:tcPr>
            <w:tcW w:w="346" w:type="pct"/>
            <w:vAlign w:val="center"/>
          </w:tcPr>
          <w:p w14:paraId="488E546C">
            <w:pPr>
              <w:jc w:val="center"/>
              <w:rPr>
                <w:bCs/>
                <w:sz w:val="21"/>
                <w:szCs w:val="21"/>
              </w:rPr>
            </w:pPr>
          </w:p>
        </w:tc>
        <w:tc>
          <w:tcPr>
            <w:tcW w:w="458" w:type="pct"/>
            <w:vAlign w:val="center"/>
          </w:tcPr>
          <w:p w14:paraId="04AE7274">
            <w:pPr>
              <w:jc w:val="center"/>
              <w:rPr>
                <w:bCs/>
                <w:sz w:val="21"/>
                <w:szCs w:val="21"/>
              </w:rPr>
            </w:pPr>
          </w:p>
        </w:tc>
        <w:tc>
          <w:tcPr>
            <w:tcW w:w="430" w:type="pct"/>
            <w:vMerge w:val="continue"/>
            <w:vAlign w:val="center"/>
          </w:tcPr>
          <w:p w14:paraId="2D34082C">
            <w:pPr>
              <w:jc w:val="center"/>
              <w:rPr>
                <w:rFonts w:hint="eastAsia"/>
                <w:b/>
                <w:bCs/>
                <w:color w:val="FF0000"/>
                <w:sz w:val="21"/>
                <w:szCs w:val="21"/>
              </w:rPr>
            </w:pPr>
          </w:p>
        </w:tc>
        <w:tc>
          <w:tcPr>
            <w:tcW w:w="418" w:type="pct"/>
            <w:vMerge w:val="continue"/>
            <w:vAlign w:val="center"/>
          </w:tcPr>
          <w:p w14:paraId="15038848">
            <w:pPr>
              <w:jc w:val="center"/>
              <w:rPr>
                <w:rFonts w:hint="eastAsia"/>
                <w:b/>
                <w:bCs/>
                <w:color w:val="FF0000"/>
                <w:sz w:val="21"/>
                <w:szCs w:val="21"/>
              </w:rPr>
            </w:pPr>
          </w:p>
        </w:tc>
      </w:tr>
      <w:tr w14:paraId="5CD80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6FBAC109">
            <w:pPr>
              <w:ind w:right="36" w:rightChars="17"/>
              <w:jc w:val="center"/>
              <w:rPr>
                <w:rFonts w:hint="eastAsia"/>
                <w:bCs/>
                <w:sz w:val="21"/>
                <w:szCs w:val="21"/>
              </w:rPr>
            </w:pPr>
            <w:r>
              <w:rPr>
                <w:rFonts w:hint="eastAsia" w:ascii="宋体" w:hAnsi="宋体"/>
                <w:sz w:val="21"/>
                <w:szCs w:val="21"/>
              </w:rPr>
              <w:t>5</w:t>
            </w:r>
          </w:p>
        </w:tc>
        <w:tc>
          <w:tcPr>
            <w:tcW w:w="1053" w:type="pct"/>
            <w:vAlign w:val="center"/>
          </w:tcPr>
          <w:p w14:paraId="72F27B65">
            <w:pPr>
              <w:ind w:right="36" w:rightChars="17"/>
              <w:jc w:val="center"/>
              <w:rPr>
                <w:rFonts w:hint="eastAsia"/>
                <w:bCs/>
                <w:sz w:val="21"/>
                <w:szCs w:val="21"/>
              </w:rPr>
            </w:pPr>
            <w:r>
              <w:rPr>
                <w:rFonts w:hint="eastAsia" w:ascii="宋体" w:hAnsi="宋体"/>
                <w:sz w:val="21"/>
                <w:szCs w:val="21"/>
              </w:rPr>
              <w:t>UPS及功率模块（含1台UPS及功率模块）</w:t>
            </w:r>
          </w:p>
        </w:tc>
        <w:tc>
          <w:tcPr>
            <w:tcW w:w="328" w:type="pct"/>
            <w:vAlign w:val="center"/>
          </w:tcPr>
          <w:p w14:paraId="3C9CF308">
            <w:pPr>
              <w:ind w:right="36" w:rightChars="17"/>
              <w:jc w:val="center"/>
              <w:rPr>
                <w:bCs/>
                <w:sz w:val="21"/>
                <w:szCs w:val="21"/>
              </w:rPr>
            </w:pPr>
          </w:p>
        </w:tc>
        <w:tc>
          <w:tcPr>
            <w:tcW w:w="346" w:type="pct"/>
            <w:vAlign w:val="center"/>
          </w:tcPr>
          <w:p w14:paraId="7B5DB6C7">
            <w:pPr>
              <w:ind w:right="36" w:rightChars="17"/>
              <w:jc w:val="center"/>
              <w:rPr>
                <w:bCs/>
                <w:sz w:val="21"/>
                <w:szCs w:val="21"/>
              </w:rPr>
            </w:pPr>
          </w:p>
        </w:tc>
        <w:tc>
          <w:tcPr>
            <w:tcW w:w="270" w:type="pct"/>
            <w:vAlign w:val="center"/>
          </w:tcPr>
          <w:p w14:paraId="02C3901A">
            <w:pPr>
              <w:jc w:val="center"/>
              <w:rPr>
                <w:bCs/>
                <w:sz w:val="21"/>
                <w:szCs w:val="21"/>
              </w:rPr>
            </w:pPr>
          </w:p>
        </w:tc>
        <w:tc>
          <w:tcPr>
            <w:tcW w:w="440" w:type="pct"/>
            <w:vAlign w:val="center"/>
          </w:tcPr>
          <w:p w14:paraId="16EBDF84">
            <w:pPr>
              <w:jc w:val="center"/>
              <w:rPr>
                <w:bCs/>
                <w:sz w:val="21"/>
                <w:szCs w:val="21"/>
              </w:rPr>
            </w:pPr>
          </w:p>
        </w:tc>
        <w:tc>
          <w:tcPr>
            <w:tcW w:w="364" w:type="pct"/>
            <w:vAlign w:val="center"/>
          </w:tcPr>
          <w:p w14:paraId="5FD4C416">
            <w:pPr>
              <w:ind w:right="36" w:rightChars="17"/>
              <w:jc w:val="center"/>
              <w:rPr>
                <w:rFonts w:hint="eastAsia"/>
                <w:bCs/>
                <w:sz w:val="21"/>
                <w:szCs w:val="21"/>
              </w:rPr>
            </w:pPr>
            <w:r>
              <w:rPr>
                <w:rFonts w:hint="eastAsia" w:ascii="宋体" w:hAnsi="宋体"/>
                <w:sz w:val="21"/>
                <w:szCs w:val="21"/>
              </w:rPr>
              <w:t>16</w:t>
            </w:r>
          </w:p>
        </w:tc>
        <w:tc>
          <w:tcPr>
            <w:tcW w:w="252" w:type="pct"/>
            <w:vAlign w:val="center"/>
          </w:tcPr>
          <w:p w14:paraId="31D994C1">
            <w:pPr>
              <w:ind w:right="36" w:rightChars="17"/>
              <w:jc w:val="center"/>
              <w:rPr>
                <w:rFonts w:hint="eastAsia"/>
                <w:bCs/>
                <w:sz w:val="21"/>
                <w:szCs w:val="21"/>
              </w:rPr>
            </w:pPr>
            <w:r>
              <w:rPr>
                <w:rFonts w:hint="eastAsia" w:ascii="宋体" w:hAnsi="宋体"/>
                <w:sz w:val="21"/>
                <w:szCs w:val="21"/>
              </w:rPr>
              <w:t>套</w:t>
            </w:r>
          </w:p>
        </w:tc>
        <w:tc>
          <w:tcPr>
            <w:tcW w:w="346" w:type="pct"/>
            <w:vAlign w:val="center"/>
          </w:tcPr>
          <w:p w14:paraId="35EFADE9">
            <w:pPr>
              <w:jc w:val="center"/>
              <w:rPr>
                <w:bCs/>
                <w:sz w:val="21"/>
                <w:szCs w:val="21"/>
              </w:rPr>
            </w:pPr>
          </w:p>
        </w:tc>
        <w:tc>
          <w:tcPr>
            <w:tcW w:w="458" w:type="pct"/>
            <w:vAlign w:val="center"/>
          </w:tcPr>
          <w:p w14:paraId="6D17789E">
            <w:pPr>
              <w:jc w:val="center"/>
              <w:rPr>
                <w:bCs/>
                <w:sz w:val="21"/>
                <w:szCs w:val="21"/>
              </w:rPr>
            </w:pPr>
          </w:p>
        </w:tc>
        <w:tc>
          <w:tcPr>
            <w:tcW w:w="430" w:type="pct"/>
            <w:vMerge w:val="continue"/>
            <w:vAlign w:val="center"/>
          </w:tcPr>
          <w:p w14:paraId="5773DBA9">
            <w:pPr>
              <w:jc w:val="center"/>
              <w:rPr>
                <w:rFonts w:hint="eastAsia"/>
                <w:b/>
                <w:bCs/>
                <w:color w:val="FF0000"/>
                <w:sz w:val="21"/>
                <w:szCs w:val="21"/>
              </w:rPr>
            </w:pPr>
          </w:p>
        </w:tc>
        <w:tc>
          <w:tcPr>
            <w:tcW w:w="418" w:type="pct"/>
            <w:vMerge w:val="continue"/>
            <w:vAlign w:val="center"/>
          </w:tcPr>
          <w:p w14:paraId="503C8824">
            <w:pPr>
              <w:jc w:val="center"/>
              <w:rPr>
                <w:rFonts w:hint="eastAsia"/>
                <w:b/>
                <w:bCs/>
                <w:color w:val="FF0000"/>
                <w:sz w:val="21"/>
                <w:szCs w:val="21"/>
              </w:rPr>
            </w:pPr>
          </w:p>
        </w:tc>
      </w:tr>
      <w:tr w14:paraId="3862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54E467A4">
            <w:pPr>
              <w:ind w:right="36" w:rightChars="17"/>
              <w:jc w:val="center"/>
              <w:rPr>
                <w:rFonts w:hint="eastAsia"/>
                <w:bCs/>
                <w:sz w:val="21"/>
                <w:szCs w:val="21"/>
              </w:rPr>
            </w:pPr>
            <w:r>
              <w:rPr>
                <w:rFonts w:hint="eastAsia" w:ascii="宋体" w:hAnsi="宋体"/>
                <w:sz w:val="21"/>
                <w:szCs w:val="21"/>
              </w:rPr>
              <w:t>6</w:t>
            </w:r>
          </w:p>
        </w:tc>
        <w:tc>
          <w:tcPr>
            <w:tcW w:w="1053" w:type="pct"/>
            <w:vAlign w:val="center"/>
          </w:tcPr>
          <w:p w14:paraId="0559763F">
            <w:pPr>
              <w:ind w:right="36" w:rightChars="17"/>
              <w:jc w:val="center"/>
              <w:rPr>
                <w:rFonts w:hint="eastAsia"/>
                <w:bCs/>
                <w:sz w:val="21"/>
                <w:szCs w:val="21"/>
              </w:rPr>
            </w:pPr>
            <w:r>
              <w:rPr>
                <w:rFonts w:hint="eastAsia" w:ascii="宋体" w:hAnsi="宋体"/>
                <w:sz w:val="21"/>
                <w:szCs w:val="21"/>
              </w:rPr>
              <w:t>铅酸电池系统（含后备电池、</w:t>
            </w:r>
            <w:r>
              <w:rPr>
                <w:rFonts w:hint="eastAsia" w:ascii="宋体" w:hAnsi="宋体"/>
                <w:kern w:val="0"/>
                <w:sz w:val="21"/>
                <w:szCs w:val="21"/>
              </w:rPr>
              <w:t>电池架、</w:t>
            </w:r>
            <w:r>
              <w:rPr>
                <w:rFonts w:hint="eastAsia" w:ascii="宋体" w:hAnsi="宋体"/>
                <w:sz w:val="21"/>
                <w:szCs w:val="21"/>
              </w:rPr>
              <w:t>蓄电池监控模块；</w:t>
            </w:r>
            <w:r>
              <w:rPr>
                <w:rFonts w:hint="eastAsia" w:ascii="宋体" w:hAnsi="宋体"/>
                <w:kern w:val="0"/>
                <w:sz w:val="21"/>
                <w:szCs w:val="21"/>
              </w:rPr>
              <w:t>电池开关柜；相关配件）</w:t>
            </w:r>
          </w:p>
        </w:tc>
        <w:tc>
          <w:tcPr>
            <w:tcW w:w="328" w:type="pct"/>
            <w:vAlign w:val="center"/>
          </w:tcPr>
          <w:p w14:paraId="46467DC6">
            <w:pPr>
              <w:ind w:right="36" w:rightChars="17"/>
              <w:jc w:val="center"/>
              <w:rPr>
                <w:bCs/>
                <w:sz w:val="21"/>
                <w:szCs w:val="21"/>
              </w:rPr>
            </w:pPr>
          </w:p>
        </w:tc>
        <w:tc>
          <w:tcPr>
            <w:tcW w:w="346" w:type="pct"/>
            <w:vAlign w:val="center"/>
          </w:tcPr>
          <w:p w14:paraId="0B4B9BA6">
            <w:pPr>
              <w:ind w:right="36" w:rightChars="17"/>
              <w:jc w:val="center"/>
              <w:rPr>
                <w:bCs/>
                <w:sz w:val="21"/>
                <w:szCs w:val="21"/>
              </w:rPr>
            </w:pPr>
          </w:p>
        </w:tc>
        <w:tc>
          <w:tcPr>
            <w:tcW w:w="270" w:type="pct"/>
            <w:vAlign w:val="center"/>
          </w:tcPr>
          <w:p w14:paraId="24CD6A60">
            <w:pPr>
              <w:jc w:val="center"/>
              <w:rPr>
                <w:bCs/>
                <w:sz w:val="21"/>
                <w:szCs w:val="21"/>
              </w:rPr>
            </w:pPr>
          </w:p>
        </w:tc>
        <w:tc>
          <w:tcPr>
            <w:tcW w:w="440" w:type="pct"/>
            <w:vAlign w:val="center"/>
          </w:tcPr>
          <w:p w14:paraId="31A53CE8">
            <w:pPr>
              <w:jc w:val="center"/>
              <w:rPr>
                <w:bCs/>
                <w:sz w:val="21"/>
                <w:szCs w:val="21"/>
              </w:rPr>
            </w:pPr>
          </w:p>
        </w:tc>
        <w:tc>
          <w:tcPr>
            <w:tcW w:w="364" w:type="pct"/>
            <w:vAlign w:val="center"/>
          </w:tcPr>
          <w:p w14:paraId="5F37D871">
            <w:pPr>
              <w:ind w:right="36" w:rightChars="17"/>
              <w:jc w:val="center"/>
              <w:rPr>
                <w:rFonts w:hint="eastAsia"/>
                <w:bCs/>
                <w:sz w:val="21"/>
                <w:szCs w:val="21"/>
              </w:rPr>
            </w:pPr>
            <w:r>
              <w:rPr>
                <w:rFonts w:hint="eastAsia" w:ascii="宋体" w:hAnsi="宋体"/>
                <w:kern w:val="0"/>
                <w:sz w:val="21"/>
                <w:szCs w:val="21"/>
              </w:rPr>
              <w:t>16</w:t>
            </w:r>
          </w:p>
        </w:tc>
        <w:tc>
          <w:tcPr>
            <w:tcW w:w="252" w:type="pct"/>
            <w:vAlign w:val="center"/>
          </w:tcPr>
          <w:p w14:paraId="438CFAFF">
            <w:pPr>
              <w:ind w:right="36" w:rightChars="17"/>
              <w:jc w:val="center"/>
              <w:rPr>
                <w:rFonts w:hint="eastAsia"/>
                <w:bCs/>
                <w:sz w:val="21"/>
                <w:szCs w:val="21"/>
              </w:rPr>
            </w:pPr>
            <w:r>
              <w:rPr>
                <w:rFonts w:hint="eastAsia" w:ascii="宋体" w:hAnsi="宋体"/>
                <w:kern w:val="0"/>
                <w:sz w:val="21"/>
                <w:szCs w:val="21"/>
              </w:rPr>
              <w:t>套</w:t>
            </w:r>
          </w:p>
        </w:tc>
        <w:tc>
          <w:tcPr>
            <w:tcW w:w="346" w:type="pct"/>
            <w:vAlign w:val="center"/>
          </w:tcPr>
          <w:p w14:paraId="0C4B3133">
            <w:pPr>
              <w:jc w:val="center"/>
              <w:rPr>
                <w:bCs/>
                <w:sz w:val="21"/>
                <w:szCs w:val="21"/>
              </w:rPr>
            </w:pPr>
          </w:p>
        </w:tc>
        <w:tc>
          <w:tcPr>
            <w:tcW w:w="458" w:type="pct"/>
            <w:vAlign w:val="center"/>
          </w:tcPr>
          <w:p w14:paraId="329E3B58">
            <w:pPr>
              <w:jc w:val="center"/>
              <w:rPr>
                <w:bCs/>
                <w:sz w:val="21"/>
                <w:szCs w:val="21"/>
              </w:rPr>
            </w:pPr>
          </w:p>
        </w:tc>
        <w:tc>
          <w:tcPr>
            <w:tcW w:w="430" w:type="pct"/>
            <w:vMerge w:val="continue"/>
            <w:vAlign w:val="center"/>
          </w:tcPr>
          <w:p w14:paraId="2BAFE3EE">
            <w:pPr>
              <w:jc w:val="center"/>
              <w:rPr>
                <w:rFonts w:hint="eastAsia"/>
                <w:b/>
                <w:bCs/>
                <w:color w:val="FF0000"/>
                <w:sz w:val="21"/>
                <w:szCs w:val="21"/>
              </w:rPr>
            </w:pPr>
          </w:p>
        </w:tc>
        <w:tc>
          <w:tcPr>
            <w:tcW w:w="418" w:type="pct"/>
            <w:vMerge w:val="continue"/>
            <w:vAlign w:val="center"/>
          </w:tcPr>
          <w:p w14:paraId="6A93F681">
            <w:pPr>
              <w:jc w:val="center"/>
              <w:rPr>
                <w:rFonts w:hint="eastAsia"/>
                <w:b/>
                <w:bCs/>
                <w:color w:val="FF0000"/>
                <w:sz w:val="21"/>
                <w:szCs w:val="21"/>
              </w:rPr>
            </w:pPr>
          </w:p>
        </w:tc>
      </w:tr>
      <w:tr w14:paraId="048E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11B3B5D7">
            <w:pPr>
              <w:ind w:right="36" w:rightChars="17"/>
              <w:jc w:val="center"/>
              <w:rPr>
                <w:rFonts w:hint="eastAsia"/>
                <w:bCs/>
                <w:sz w:val="21"/>
                <w:szCs w:val="21"/>
              </w:rPr>
            </w:pPr>
            <w:r>
              <w:rPr>
                <w:rFonts w:hint="eastAsia" w:ascii="宋体" w:hAnsi="宋体"/>
                <w:sz w:val="21"/>
                <w:szCs w:val="21"/>
              </w:rPr>
              <w:t>7</w:t>
            </w:r>
          </w:p>
        </w:tc>
        <w:tc>
          <w:tcPr>
            <w:tcW w:w="1053" w:type="pct"/>
            <w:vAlign w:val="center"/>
          </w:tcPr>
          <w:p w14:paraId="09F15722">
            <w:pPr>
              <w:ind w:right="36" w:rightChars="17"/>
              <w:jc w:val="center"/>
              <w:rPr>
                <w:rFonts w:hint="eastAsia"/>
                <w:bCs/>
                <w:sz w:val="21"/>
                <w:szCs w:val="21"/>
              </w:rPr>
            </w:pPr>
            <w:r>
              <w:rPr>
                <w:rFonts w:hint="eastAsia" w:ascii="宋体" w:hAnsi="宋体"/>
                <w:sz w:val="21"/>
                <w:szCs w:val="21"/>
              </w:rPr>
              <w:t>2.</w:t>
            </w:r>
            <w:r>
              <w:rPr>
                <w:rFonts w:ascii="宋体" w:hAnsi="宋体"/>
                <w:sz w:val="21"/>
                <w:szCs w:val="21"/>
              </w:rPr>
              <w:t>4</w:t>
            </w:r>
            <w:r>
              <w:rPr>
                <w:rFonts w:hint="eastAsia" w:ascii="宋体" w:hAnsi="宋体"/>
                <w:sz w:val="21"/>
                <w:szCs w:val="21"/>
              </w:rPr>
              <w:t>MW配电柜系统</w:t>
            </w:r>
          </w:p>
        </w:tc>
        <w:tc>
          <w:tcPr>
            <w:tcW w:w="328" w:type="pct"/>
            <w:vAlign w:val="center"/>
          </w:tcPr>
          <w:p w14:paraId="429E77AB">
            <w:pPr>
              <w:ind w:right="36" w:rightChars="17"/>
              <w:jc w:val="center"/>
              <w:rPr>
                <w:bCs/>
                <w:sz w:val="21"/>
                <w:szCs w:val="21"/>
              </w:rPr>
            </w:pPr>
          </w:p>
        </w:tc>
        <w:tc>
          <w:tcPr>
            <w:tcW w:w="346" w:type="pct"/>
            <w:vAlign w:val="center"/>
          </w:tcPr>
          <w:p w14:paraId="48F3555D">
            <w:pPr>
              <w:ind w:right="36" w:rightChars="17"/>
              <w:jc w:val="center"/>
              <w:rPr>
                <w:bCs/>
                <w:sz w:val="21"/>
                <w:szCs w:val="21"/>
              </w:rPr>
            </w:pPr>
          </w:p>
        </w:tc>
        <w:tc>
          <w:tcPr>
            <w:tcW w:w="270" w:type="pct"/>
            <w:vAlign w:val="center"/>
          </w:tcPr>
          <w:p w14:paraId="0CCE75AC">
            <w:pPr>
              <w:jc w:val="center"/>
              <w:rPr>
                <w:bCs/>
                <w:sz w:val="21"/>
                <w:szCs w:val="21"/>
              </w:rPr>
            </w:pPr>
          </w:p>
        </w:tc>
        <w:tc>
          <w:tcPr>
            <w:tcW w:w="440" w:type="pct"/>
            <w:vAlign w:val="center"/>
          </w:tcPr>
          <w:p w14:paraId="7FBA6461">
            <w:pPr>
              <w:jc w:val="center"/>
              <w:rPr>
                <w:bCs/>
                <w:sz w:val="21"/>
                <w:szCs w:val="21"/>
              </w:rPr>
            </w:pPr>
          </w:p>
        </w:tc>
        <w:tc>
          <w:tcPr>
            <w:tcW w:w="364" w:type="pct"/>
            <w:vAlign w:val="center"/>
          </w:tcPr>
          <w:p w14:paraId="53CAE54A">
            <w:pPr>
              <w:ind w:right="36" w:rightChars="17"/>
              <w:jc w:val="center"/>
              <w:rPr>
                <w:rFonts w:hint="eastAsia"/>
                <w:bCs/>
                <w:sz w:val="21"/>
                <w:szCs w:val="21"/>
              </w:rPr>
            </w:pPr>
            <w:r>
              <w:rPr>
                <w:rFonts w:hint="eastAsia" w:ascii="宋体" w:hAnsi="宋体"/>
                <w:sz w:val="21"/>
                <w:szCs w:val="21"/>
              </w:rPr>
              <w:t>4</w:t>
            </w:r>
          </w:p>
        </w:tc>
        <w:tc>
          <w:tcPr>
            <w:tcW w:w="252" w:type="pct"/>
            <w:vAlign w:val="center"/>
          </w:tcPr>
          <w:p w14:paraId="332B1330">
            <w:pPr>
              <w:ind w:right="36" w:rightChars="17"/>
              <w:jc w:val="center"/>
              <w:rPr>
                <w:rFonts w:hint="eastAsia"/>
                <w:bCs/>
                <w:sz w:val="21"/>
                <w:szCs w:val="21"/>
              </w:rPr>
            </w:pPr>
            <w:r>
              <w:rPr>
                <w:rFonts w:hint="eastAsia" w:ascii="宋体" w:hAnsi="宋体"/>
                <w:sz w:val="21"/>
                <w:szCs w:val="21"/>
              </w:rPr>
              <w:t>套</w:t>
            </w:r>
          </w:p>
        </w:tc>
        <w:tc>
          <w:tcPr>
            <w:tcW w:w="346" w:type="pct"/>
            <w:vAlign w:val="center"/>
          </w:tcPr>
          <w:p w14:paraId="1963C12D">
            <w:pPr>
              <w:jc w:val="center"/>
              <w:rPr>
                <w:bCs/>
                <w:sz w:val="21"/>
                <w:szCs w:val="21"/>
              </w:rPr>
            </w:pPr>
          </w:p>
        </w:tc>
        <w:tc>
          <w:tcPr>
            <w:tcW w:w="458" w:type="pct"/>
            <w:vAlign w:val="center"/>
          </w:tcPr>
          <w:p w14:paraId="3C17D11F">
            <w:pPr>
              <w:jc w:val="center"/>
              <w:rPr>
                <w:bCs/>
                <w:sz w:val="21"/>
                <w:szCs w:val="21"/>
              </w:rPr>
            </w:pPr>
          </w:p>
        </w:tc>
        <w:tc>
          <w:tcPr>
            <w:tcW w:w="430" w:type="pct"/>
            <w:vMerge w:val="continue"/>
            <w:vAlign w:val="center"/>
          </w:tcPr>
          <w:p w14:paraId="102008A9">
            <w:pPr>
              <w:jc w:val="center"/>
              <w:rPr>
                <w:rFonts w:hint="eastAsia"/>
                <w:b/>
                <w:bCs/>
                <w:color w:val="FF0000"/>
                <w:sz w:val="21"/>
                <w:szCs w:val="21"/>
              </w:rPr>
            </w:pPr>
          </w:p>
        </w:tc>
        <w:tc>
          <w:tcPr>
            <w:tcW w:w="418" w:type="pct"/>
            <w:vMerge w:val="continue"/>
            <w:vAlign w:val="center"/>
          </w:tcPr>
          <w:p w14:paraId="1EE91D55">
            <w:pPr>
              <w:jc w:val="center"/>
              <w:rPr>
                <w:rFonts w:hint="eastAsia"/>
                <w:b/>
                <w:bCs/>
                <w:color w:val="FF0000"/>
                <w:sz w:val="21"/>
                <w:szCs w:val="21"/>
              </w:rPr>
            </w:pPr>
          </w:p>
        </w:tc>
      </w:tr>
      <w:tr w14:paraId="7BA51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196C2111">
            <w:pPr>
              <w:ind w:right="36" w:rightChars="17"/>
              <w:jc w:val="center"/>
              <w:rPr>
                <w:rFonts w:hint="eastAsia"/>
                <w:bCs/>
                <w:sz w:val="21"/>
                <w:szCs w:val="21"/>
              </w:rPr>
            </w:pPr>
            <w:r>
              <w:rPr>
                <w:rFonts w:hint="eastAsia" w:ascii="宋体" w:hAnsi="宋体"/>
                <w:sz w:val="21"/>
                <w:szCs w:val="21"/>
              </w:rPr>
              <w:t>8</w:t>
            </w:r>
          </w:p>
        </w:tc>
        <w:tc>
          <w:tcPr>
            <w:tcW w:w="1053" w:type="pct"/>
            <w:vAlign w:val="center"/>
          </w:tcPr>
          <w:p w14:paraId="4DDD5EF6">
            <w:pPr>
              <w:ind w:right="36" w:rightChars="17"/>
              <w:jc w:val="center"/>
              <w:rPr>
                <w:rFonts w:hint="eastAsia"/>
                <w:bCs/>
                <w:sz w:val="21"/>
                <w:szCs w:val="21"/>
              </w:rPr>
            </w:pPr>
            <w:r>
              <w:rPr>
                <w:rFonts w:hint="eastAsia" w:ascii="宋体" w:hAnsi="宋体"/>
                <w:sz w:val="21"/>
                <w:szCs w:val="21"/>
              </w:rPr>
              <w:t>电缆及桥架（变电所出线至机房电缆及桥架）</w:t>
            </w:r>
          </w:p>
        </w:tc>
        <w:tc>
          <w:tcPr>
            <w:tcW w:w="328" w:type="pct"/>
            <w:vAlign w:val="center"/>
          </w:tcPr>
          <w:p w14:paraId="72DE57DA">
            <w:pPr>
              <w:ind w:right="36" w:rightChars="17"/>
              <w:jc w:val="center"/>
              <w:rPr>
                <w:bCs/>
                <w:sz w:val="21"/>
                <w:szCs w:val="21"/>
              </w:rPr>
            </w:pPr>
          </w:p>
        </w:tc>
        <w:tc>
          <w:tcPr>
            <w:tcW w:w="346" w:type="pct"/>
            <w:vAlign w:val="center"/>
          </w:tcPr>
          <w:p w14:paraId="44099EEF">
            <w:pPr>
              <w:ind w:right="36" w:rightChars="17"/>
              <w:jc w:val="center"/>
              <w:rPr>
                <w:bCs/>
                <w:sz w:val="21"/>
                <w:szCs w:val="21"/>
              </w:rPr>
            </w:pPr>
          </w:p>
        </w:tc>
        <w:tc>
          <w:tcPr>
            <w:tcW w:w="270" w:type="pct"/>
            <w:vAlign w:val="center"/>
          </w:tcPr>
          <w:p w14:paraId="3C0F39CB">
            <w:pPr>
              <w:jc w:val="center"/>
              <w:rPr>
                <w:bCs/>
                <w:sz w:val="21"/>
                <w:szCs w:val="21"/>
              </w:rPr>
            </w:pPr>
          </w:p>
        </w:tc>
        <w:tc>
          <w:tcPr>
            <w:tcW w:w="440" w:type="pct"/>
            <w:vAlign w:val="center"/>
          </w:tcPr>
          <w:p w14:paraId="6A6666D8">
            <w:pPr>
              <w:jc w:val="center"/>
              <w:rPr>
                <w:bCs/>
                <w:sz w:val="21"/>
                <w:szCs w:val="21"/>
              </w:rPr>
            </w:pPr>
          </w:p>
        </w:tc>
        <w:tc>
          <w:tcPr>
            <w:tcW w:w="364" w:type="pct"/>
            <w:vAlign w:val="center"/>
          </w:tcPr>
          <w:p w14:paraId="6C69C6F3">
            <w:pPr>
              <w:ind w:right="36" w:rightChars="17"/>
              <w:jc w:val="center"/>
              <w:rPr>
                <w:rFonts w:hint="eastAsia"/>
                <w:bCs/>
                <w:sz w:val="21"/>
                <w:szCs w:val="21"/>
              </w:rPr>
            </w:pPr>
            <w:r>
              <w:rPr>
                <w:rFonts w:hint="eastAsia" w:ascii="宋体" w:hAnsi="宋体"/>
                <w:sz w:val="21"/>
                <w:szCs w:val="21"/>
              </w:rPr>
              <w:t>10</w:t>
            </w:r>
          </w:p>
        </w:tc>
        <w:tc>
          <w:tcPr>
            <w:tcW w:w="252" w:type="pct"/>
            <w:vAlign w:val="center"/>
          </w:tcPr>
          <w:p w14:paraId="2BAC238F">
            <w:pPr>
              <w:ind w:right="36" w:rightChars="17"/>
              <w:jc w:val="center"/>
              <w:rPr>
                <w:rFonts w:hint="eastAsia"/>
                <w:bCs/>
                <w:sz w:val="21"/>
                <w:szCs w:val="21"/>
              </w:rPr>
            </w:pPr>
            <w:r>
              <w:rPr>
                <w:rFonts w:hint="eastAsia" w:ascii="宋体" w:hAnsi="宋体"/>
                <w:sz w:val="21"/>
                <w:szCs w:val="21"/>
              </w:rPr>
              <w:t>套</w:t>
            </w:r>
          </w:p>
        </w:tc>
        <w:tc>
          <w:tcPr>
            <w:tcW w:w="346" w:type="pct"/>
            <w:vAlign w:val="center"/>
          </w:tcPr>
          <w:p w14:paraId="511DF256">
            <w:pPr>
              <w:jc w:val="center"/>
              <w:rPr>
                <w:bCs/>
                <w:sz w:val="21"/>
                <w:szCs w:val="21"/>
              </w:rPr>
            </w:pPr>
          </w:p>
        </w:tc>
        <w:tc>
          <w:tcPr>
            <w:tcW w:w="458" w:type="pct"/>
            <w:vAlign w:val="center"/>
          </w:tcPr>
          <w:p w14:paraId="4C496D99">
            <w:pPr>
              <w:jc w:val="center"/>
              <w:rPr>
                <w:bCs/>
                <w:sz w:val="21"/>
                <w:szCs w:val="21"/>
              </w:rPr>
            </w:pPr>
          </w:p>
        </w:tc>
        <w:tc>
          <w:tcPr>
            <w:tcW w:w="430" w:type="pct"/>
            <w:vMerge w:val="continue"/>
            <w:vAlign w:val="center"/>
          </w:tcPr>
          <w:p w14:paraId="1B9C6C80">
            <w:pPr>
              <w:jc w:val="center"/>
              <w:rPr>
                <w:rFonts w:hint="eastAsia"/>
                <w:b/>
                <w:bCs/>
                <w:color w:val="FF0000"/>
                <w:sz w:val="21"/>
                <w:szCs w:val="21"/>
              </w:rPr>
            </w:pPr>
          </w:p>
        </w:tc>
        <w:tc>
          <w:tcPr>
            <w:tcW w:w="418" w:type="pct"/>
            <w:vMerge w:val="continue"/>
            <w:vAlign w:val="center"/>
          </w:tcPr>
          <w:p w14:paraId="34B2175F">
            <w:pPr>
              <w:jc w:val="center"/>
              <w:rPr>
                <w:rFonts w:hint="eastAsia"/>
                <w:b/>
                <w:bCs/>
                <w:color w:val="FF0000"/>
                <w:sz w:val="21"/>
                <w:szCs w:val="21"/>
              </w:rPr>
            </w:pPr>
          </w:p>
        </w:tc>
      </w:tr>
      <w:tr w14:paraId="1D3DC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78496B12">
            <w:pPr>
              <w:ind w:right="36" w:rightChars="17"/>
              <w:jc w:val="center"/>
              <w:rPr>
                <w:rFonts w:hint="eastAsia"/>
                <w:bCs/>
                <w:sz w:val="21"/>
                <w:szCs w:val="21"/>
              </w:rPr>
            </w:pPr>
            <w:r>
              <w:rPr>
                <w:rFonts w:hint="eastAsia" w:ascii="宋体" w:hAnsi="宋体"/>
                <w:sz w:val="21"/>
                <w:szCs w:val="21"/>
              </w:rPr>
              <w:t>9</w:t>
            </w:r>
          </w:p>
        </w:tc>
        <w:tc>
          <w:tcPr>
            <w:tcW w:w="1053" w:type="pct"/>
            <w:vAlign w:val="center"/>
          </w:tcPr>
          <w:p w14:paraId="194E3AA9">
            <w:pPr>
              <w:ind w:right="36" w:rightChars="17"/>
              <w:jc w:val="center"/>
              <w:rPr>
                <w:rFonts w:hint="eastAsia"/>
                <w:bCs/>
                <w:sz w:val="21"/>
                <w:szCs w:val="21"/>
              </w:rPr>
            </w:pPr>
            <w:r>
              <w:rPr>
                <w:rFonts w:hint="eastAsia" w:ascii="宋体" w:hAnsi="宋体"/>
                <w:sz w:val="21"/>
                <w:szCs w:val="21"/>
              </w:rPr>
              <w:t>小母线（含10KW机柜用机房小母线6套；15KW机柜用机房小母线4套）</w:t>
            </w:r>
          </w:p>
        </w:tc>
        <w:tc>
          <w:tcPr>
            <w:tcW w:w="328" w:type="pct"/>
            <w:vAlign w:val="center"/>
          </w:tcPr>
          <w:p w14:paraId="2AF6C0CB">
            <w:pPr>
              <w:ind w:right="36" w:rightChars="17"/>
              <w:jc w:val="center"/>
              <w:rPr>
                <w:bCs/>
                <w:sz w:val="21"/>
                <w:szCs w:val="21"/>
              </w:rPr>
            </w:pPr>
          </w:p>
        </w:tc>
        <w:tc>
          <w:tcPr>
            <w:tcW w:w="346" w:type="pct"/>
            <w:vAlign w:val="center"/>
          </w:tcPr>
          <w:p w14:paraId="77214E37">
            <w:pPr>
              <w:ind w:right="36" w:rightChars="17"/>
              <w:jc w:val="center"/>
              <w:rPr>
                <w:bCs/>
                <w:sz w:val="21"/>
                <w:szCs w:val="21"/>
              </w:rPr>
            </w:pPr>
          </w:p>
        </w:tc>
        <w:tc>
          <w:tcPr>
            <w:tcW w:w="270" w:type="pct"/>
            <w:vAlign w:val="center"/>
          </w:tcPr>
          <w:p w14:paraId="66AE078E">
            <w:pPr>
              <w:jc w:val="center"/>
              <w:rPr>
                <w:bCs/>
                <w:sz w:val="21"/>
                <w:szCs w:val="21"/>
              </w:rPr>
            </w:pPr>
          </w:p>
        </w:tc>
        <w:tc>
          <w:tcPr>
            <w:tcW w:w="440" w:type="pct"/>
            <w:vAlign w:val="center"/>
          </w:tcPr>
          <w:p w14:paraId="6F8525AB">
            <w:pPr>
              <w:jc w:val="center"/>
              <w:rPr>
                <w:bCs/>
                <w:sz w:val="21"/>
                <w:szCs w:val="21"/>
              </w:rPr>
            </w:pPr>
          </w:p>
        </w:tc>
        <w:tc>
          <w:tcPr>
            <w:tcW w:w="364" w:type="pct"/>
            <w:vAlign w:val="center"/>
          </w:tcPr>
          <w:p w14:paraId="61DE8CBF">
            <w:pPr>
              <w:ind w:right="36" w:rightChars="17"/>
              <w:jc w:val="center"/>
              <w:rPr>
                <w:rFonts w:hint="eastAsia"/>
                <w:bCs/>
                <w:sz w:val="21"/>
                <w:szCs w:val="21"/>
              </w:rPr>
            </w:pPr>
            <w:r>
              <w:rPr>
                <w:rFonts w:hint="eastAsia" w:ascii="宋体" w:hAnsi="宋体"/>
                <w:sz w:val="21"/>
                <w:szCs w:val="21"/>
              </w:rPr>
              <w:t>10</w:t>
            </w:r>
          </w:p>
        </w:tc>
        <w:tc>
          <w:tcPr>
            <w:tcW w:w="252" w:type="pct"/>
            <w:vAlign w:val="center"/>
          </w:tcPr>
          <w:p w14:paraId="60B46E0F">
            <w:pPr>
              <w:ind w:right="36" w:rightChars="17"/>
              <w:jc w:val="center"/>
              <w:rPr>
                <w:rFonts w:hint="eastAsia"/>
                <w:bCs/>
                <w:sz w:val="21"/>
                <w:szCs w:val="21"/>
              </w:rPr>
            </w:pPr>
            <w:r>
              <w:rPr>
                <w:rFonts w:hint="eastAsia" w:ascii="宋体" w:hAnsi="宋体"/>
                <w:sz w:val="21"/>
                <w:szCs w:val="21"/>
              </w:rPr>
              <w:t>套</w:t>
            </w:r>
          </w:p>
        </w:tc>
        <w:tc>
          <w:tcPr>
            <w:tcW w:w="346" w:type="pct"/>
            <w:vAlign w:val="center"/>
          </w:tcPr>
          <w:p w14:paraId="69D51EC9">
            <w:pPr>
              <w:jc w:val="center"/>
              <w:rPr>
                <w:bCs/>
                <w:sz w:val="21"/>
                <w:szCs w:val="21"/>
              </w:rPr>
            </w:pPr>
          </w:p>
        </w:tc>
        <w:tc>
          <w:tcPr>
            <w:tcW w:w="458" w:type="pct"/>
            <w:vAlign w:val="center"/>
          </w:tcPr>
          <w:p w14:paraId="20D9AE81">
            <w:pPr>
              <w:jc w:val="center"/>
              <w:rPr>
                <w:bCs/>
                <w:sz w:val="21"/>
                <w:szCs w:val="21"/>
              </w:rPr>
            </w:pPr>
          </w:p>
        </w:tc>
        <w:tc>
          <w:tcPr>
            <w:tcW w:w="430" w:type="pct"/>
            <w:vMerge w:val="continue"/>
            <w:vAlign w:val="center"/>
          </w:tcPr>
          <w:p w14:paraId="1526FD6B">
            <w:pPr>
              <w:jc w:val="center"/>
              <w:rPr>
                <w:rFonts w:hint="eastAsia"/>
                <w:b/>
                <w:bCs/>
                <w:color w:val="FF0000"/>
                <w:sz w:val="21"/>
                <w:szCs w:val="21"/>
              </w:rPr>
            </w:pPr>
          </w:p>
        </w:tc>
        <w:tc>
          <w:tcPr>
            <w:tcW w:w="418" w:type="pct"/>
            <w:vMerge w:val="continue"/>
            <w:vAlign w:val="center"/>
          </w:tcPr>
          <w:p w14:paraId="1E5457AC">
            <w:pPr>
              <w:jc w:val="center"/>
              <w:rPr>
                <w:rFonts w:hint="eastAsia"/>
                <w:b/>
                <w:bCs/>
                <w:color w:val="FF0000"/>
                <w:sz w:val="21"/>
                <w:szCs w:val="21"/>
              </w:rPr>
            </w:pPr>
          </w:p>
        </w:tc>
      </w:tr>
      <w:tr w14:paraId="6292B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59CDB85E">
            <w:pPr>
              <w:ind w:right="36" w:rightChars="17"/>
              <w:jc w:val="center"/>
              <w:rPr>
                <w:rFonts w:hint="eastAsia"/>
                <w:bCs/>
                <w:sz w:val="21"/>
                <w:szCs w:val="21"/>
              </w:rPr>
            </w:pPr>
            <w:r>
              <w:rPr>
                <w:rFonts w:hint="eastAsia" w:ascii="宋体" w:hAnsi="宋体"/>
                <w:sz w:val="21"/>
                <w:szCs w:val="21"/>
              </w:rPr>
              <w:t>10</w:t>
            </w:r>
          </w:p>
        </w:tc>
        <w:tc>
          <w:tcPr>
            <w:tcW w:w="1053" w:type="pct"/>
            <w:vAlign w:val="center"/>
          </w:tcPr>
          <w:p w14:paraId="7D6A2E77">
            <w:pPr>
              <w:ind w:right="36" w:rightChars="17"/>
              <w:jc w:val="center"/>
              <w:rPr>
                <w:rFonts w:hint="eastAsia"/>
                <w:bCs/>
                <w:sz w:val="21"/>
                <w:szCs w:val="21"/>
              </w:rPr>
            </w:pPr>
            <w:r>
              <w:rPr>
                <w:rFonts w:hint="eastAsia" w:ascii="宋体" w:hAnsi="宋体"/>
                <w:sz w:val="21"/>
                <w:szCs w:val="21"/>
              </w:rPr>
              <w:t>动力配电箱</w:t>
            </w:r>
          </w:p>
        </w:tc>
        <w:tc>
          <w:tcPr>
            <w:tcW w:w="328" w:type="pct"/>
            <w:vAlign w:val="center"/>
          </w:tcPr>
          <w:p w14:paraId="66DE6616">
            <w:pPr>
              <w:ind w:right="36" w:rightChars="17"/>
              <w:jc w:val="center"/>
              <w:rPr>
                <w:bCs/>
                <w:sz w:val="21"/>
                <w:szCs w:val="21"/>
              </w:rPr>
            </w:pPr>
          </w:p>
        </w:tc>
        <w:tc>
          <w:tcPr>
            <w:tcW w:w="346" w:type="pct"/>
            <w:vAlign w:val="center"/>
          </w:tcPr>
          <w:p w14:paraId="4A4CB203">
            <w:pPr>
              <w:ind w:right="36" w:rightChars="17"/>
              <w:jc w:val="center"/>
              <w:rPr>
                <w:bCs/>
                <w:sz w:val="21"/>
                <w:szCs w:val="21"/>
              </w:rPr>
            </w:pPr>
          </w:p>
        </w:tc>
        <w:tc>
          <w:tcPr>
            <w:tcW w:w="270" w:type="pct"/>
            <w:vAlign w:val="center"/>
          </w:tcPr>
          <w:p w14:paraId="7A67B82E">
            <w:pPr>
              <w:jc w:val="center"/>
              <w:rPr>
                <w:bCs/>
                <w:sz w:val="21"/>
                <w:szCs w:val="21"/>
              </w:rPr>
            </w:pPr>
          </w:p>
        </w:tc>
        <w:tc>
          <w:tcPr>
            <w:tcW w:w="440" w:type="pct"/>
            <w:vAlign w:val="center"/>
          </w:tcPr>
          <w:p w14:paraId="4BBE9B9C">
            <w:pPr>
              <w:jc w:val="center"/>
              <w:rPr>
                <w:bCs/>
                <w:sz w:val="21"/>
                <w:szCs w:val="21"/>
              </w:rPr>
            </w:pPr>
          </w:p>
        </w:tc>
        <w:tc>
          <w:tcPr>
            <w:tcW w:w="364" w:type="pct"/>
            <w:vAlign w:val="center"/>
          </w:tcPr>
          <w:p w14:paraId="1DDF0C7B">
            <w:pPr>
              <w:ind w:right="36" w:rightChars="17"/>
              <w:jc w:val="center"/>
              <w:rPr>
                <w:rFonts w:hint="eastAsia"/>
                <w:bCs/>
                <w:sz w:val="21"/>
                <w:szCs w:val="21"/>
              </w:rPr>
            </w:pPr>
            <w:r>
              <w:rPr>
                <w:rFonts w:hint="eastAsia" w:ascii="宋体" w:hAnsi="宋体"/>
                <w:sz w:val="21"/>
                <w:szCs w:val="21"/>
              </w:rPr>
              <w:t>22</w:t>
            </w:r>
          </w:p>
        </w:tc>
        <w:tc>
          <w:tcPr>
            <w:tcW w:w="252" w:type="pct"/>
            <w:vAlign w:val="center"/>
          </w:tcPr>
          <w:p w14:paraId="58DE34F5">
            <w:pPr>
              <w:ind w:right="36" w:rightChars="17"/>
              <w:jc w:val="center"/>
              <w:rPr>
                <w:rFonts w:hint="eastAsia"/>
                <w:bCs/>
                <w:sz w:val="21"/>
                <w:szCs w:val="21"/>
              </w:rPr>
            </w:pPr>
            <w:r>
              <w:rPr>
                <w:rFonts w:hint="eastAsia" w:ascii="宋体" w:hAnsi="宋体"/>
                <w:sz w:val="21"/>
                <w:szCs w:val="21"/>
              </w:rPr>
              <w:t>台</w:t>
            </w:r>
          </w:p>
        </w:tc>
        <w:tc>
          <w:tcPr>
            <w:tcW w:w="346" w:type="pct"/>
            <w:vAlign w:val="center"/>
          </w:tcPr>
          <w:p w14:paraId="75745C7F">
            <w:pPr>
              <w:jc w:val="center"/>
              <w:rPr>
                <w:bCs/>
                <w:sz w:val="21"/>
                <w:szCs w:val="21"/>
              </w:rPr>
            </w:pPr>
          </w:p>
        </w:tc>
        <w:tc>
          <w:tcPr>
            <w:tcW w:w="458" w:type="pct"/>
            <w:vAlign w:val="center"/>
          </w:tcPr>
          <w:p w14:paraId="389E7A83">
            <w:pPr>
              <w:jc w:val="center"/>
              <w:rPr>
                <w:bCs/>
                <w:sz w:val="21"/>
                <w:szCs w:val="21"/>
              </w:rPr>
            </w:pPr>
          </w:p>
        </w:tc>
        <w:tc>
          <w:tcPr>
            <w:tcW w:w="430" w:type="pct"/>
            <w:vMerge w:val="continue"/>
            <w:vAlign w:val="center"/>
          </w:tcPr>
          <w:p w14:paraId="22012CE8">
            <w:pPr>
              <w:jc w:val="center"/>
              <w:rPr>
                <w:rFonts w:hint="eastAsia"/>
                <w:b/>
                <w:bCs/>
                <w:color w:val="FF0000"/>
                <w:sz w:val="21"/>
                <w:szCs w:val="21"/>
              </w:rPr>
            </w:pPr>
          </w:p>
        </w:tc>
        <w:tc>
          <w:tcPr>
            <w:tcW w:w="418" w:type="pct"/>
            <w:vMerge w:val="continue"/>
            <w:vAlign w:val="center"/>
          </w:tcPr>
          <w:p w14:paraId="52DD40B2">
            <w:pPr>
              <w:jc w:val="center"/>
              <w:rPr>
                <w:rFonts w:hint="eastAsia"/>
                <w:b/>
                <w:bCs/>
                <w:color w:val="FF0000"/>
                <w:sz w:val="21"/>
                <w:szCs w:val="21"/>
              </w:rPr>
            </w:pPr>
          </w:p>
        </w:tc>
      </w:tr>
      <w:tr w14:paraId="3078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06F819A9">
            <w:pPr>
              <w:ind w:right="36" w:rightChars="17"/>
              <w:jc w:val="center"/>
              <w:rPr>
                <w:rFonts w:hint="eastAsia"/>
                <w:bCs/>
                <w:sz w:val="21"/>
                <w:szCs w:val="21"/>
              </w:rPr>
            </w:pPr>
            <w:r>
              <w:rPr>
                <w:rFonts w:hint="eastAsia" w:ascii="宋体" w:hAnsi="宋体"/>
                <w:sz w:val="21"/>
                <w:szCs w:val="21"/>
              </w:rPr>
              <w:t>11</w:t>
            </w:r>
          </w:p>
        </w:tc>
        <w:tc>
          <w:tcPr>
            <w:tcW w:w="1053" w:type="pct"/>
            <w:vAlign w:val="center"/>
          </w:tcPr>
          <w:p w14:paraId="6EA67328">
            <w:pPr>
              <w:ind w:right="36" w:rightChars="17"/>
              <w:jc w:val="center"/>
              <w:rPr>
                <w:rFonts w:hint="eastAsia"/>
                <w:bCs/>
                <w:sz w:val="21"/>
                <w:szCs w:val="21"/>
              </w:rPr>
            </w:pPr>
            <w:bookmarkStart w:id="132" w:name="_GoBack"/>
            <w:r>
              <w:rPr>
                <w:rFonts w:hint="eastAsia" w:ascii="宋体" w:hAnsi="宋体"/>
                <w:sz w:val="21"/>
                <w:szCs w:val="21"/>
              </w:rPr>
              <w:t>水冷型行间空调</w:t>
            </w:r>
            <w:bookmarkEnd w:id="132"/>
          </w:p>
        </w:tc>
        <w:tc>
          <w:tcPr>
            <w:tcW w:w="328" w:type="pct"/>
            <w:vAlign w:val="center"/>
          </w:tcPr>
          <w:p w14:paraId="164AF2E4">
            <w:pPr>
              <w:ind w:right="36" w:rightChars="17"/>
              <w:jc w:val="center"/>
              <w:rPr>
                <w:bCs/>
                <w:sz w:val="21"/>
                <w:szCs w:val="21"/>
              </w:rPr>
            </w:pPr>
          </w:p>
        </w:tc>
        <w:tc>
          <w:tcPr>
            <w:tcW w:w="346" w:type="pct"/>
            <w:vAlign w:val="center"/>
          </w:tcPr>
          <w:p w14:paraId="037DA28C">
            <w:pPr>
              <w:ind w:right="36" w:rightChars="17"/>
              <w:jc w:val="center"/>
              <w:rPr>
                <w:bCs/>
                <w:sz w:val="21"/>
                <w:szCs w:val="21"/>
              </w:rPr>
            </w:pPr>
          </w:p>
        </w:tc>
        <w:tc>
          <w:tcPr>
            <w:tcW w:w="270" w:type="pct"/>
            <w:vAlign w:val="center"/>
          </w:tcPr>
          <w:p w14:paraId="3428B8A1">
            <w:pPr>
              <w:jc w:val="center"/>
              <w:rPr>
                <w:bCs/>
                <w:sz w:val="21"/>
                <w:szCs w:val="21"/>
              </w:rPr>
            </w:pPr>
          </w:p>
        </w:tc>
        <w:tc>
          <w:tcPr>
            <w:tcW w:w="440" w:type="pct"/>
            <w:vAlign w:val="center"/>
          </w:tcPr>
          <w:p w14:paraId="2F431F44">
            <w:pPr>
              <w:jc w:val="center"/>
              <w:rPr>
                <w:bCs/>
                <w:sz w:val="21"/>
                <w:szCs w:val="21"/>
              </w:rPr>
            </w:pPr>
          </w:p>
        </w:tc>
        <w:tc>
          <w:tcPr>
            <w:tcW w:w="364" w:type="pct"/>
            <w:vAlign w:val="center"/>
          </w:tcPr>
          <w:p w14:paraId="2B4E7EEC">
            <w:pPr>
              <w:ind w:right="36" w:rightChars="17"/>
              <w:jc w:val="center"/>
              <w:rPr>
                <w:rFonts w:hint="eastAsia"/>
                <w:bCs/>
                <w:sz w:val="21"/>
                <w:szCs w:val="21"/>
              </w:rPr>
            </w:pPr>
            <w:r>
              <w:rPr>
                <w:rFonts w:hint="eastAsia" w:ascii="宋体" w:hAnsi="宋体"/>
                <w:sz w:val="21"/>
                <w:szCs w:val="21"/>
              </w:rPr>
              <w:t>107</w:t>
            </w:r>
          </w:p>
        </w:tc>
        <w:tc>
          <w:tcPr>
            <w:tcW w:w="252" w:type="pct"/>
            <w:vAlign w:val="center"/>
          </w:tcPr>
          <w:p w14:paraId="69730DE6">
            <w:pPr>
              <w:ind w:right="36" w:rightChars="17"/>
              <w:jc w:val="center"/>
              <w:rPr>
                <w:rFonts w:hint="eastAsia"/>
                <w:bCs/>
                <w:sz w:val="21"/>
                <w:szCs w:val="21"/>
              </w:rPr>
            </w:pPr>
            <w:r>
              <w:rPr>
                <w:rFonts w:hint="eastAsia" w:ascii="宋体" w:hAnsi="宋体"/>
                <w:sz w:val="21"/>
                <w:szCs w:val="21"/>
              </w:rPr>
              <w:t>台</w:t>
            </w:r>
          </w:p>
        </w:tc>
        <w:tc>
          <w:tcPr>
            <w:tcW w:w="346" w:type="pct"/>
            <w:vAlign w:val="center"/>
          </w:tcPr>
          <w:p w14:paraId="40282D58">
            <w:pPr>
              <w:jc w:val="center"/>
              <w:rPr>
                <w:bCs/>
                <w:sz w:val="21"/>
                <w:szCs w:val="21"/>
              </w:rPr>
            </w:pPr>
          </w:p>
        </w:tc>
        <w:tc>
          <w:tcPr>
            <w:tcW w:w="458" w:type="pct"/>
            <w:vAlign w:val="center"/>
          </w:tcPr>
          <w:p w14:paraId="232A372F">
            <w:pPr>
              <w:jc w:val="center"/>
              <w:rPr>
                <w:bCs/>
                <w:sz w:val="21"/>
                <w:szCs w:val="21"/>
              </w:rPr>
            </w:pPr>
          </w:p>
        </w:tc>
        <w:tc>
          <w:tcPr>
            <w:tcW w:w="430" w:type="pct"/>
            <w:vMerge w:val="continue"/>
            <w:vAlign w:val="center"/>
          </w:tcPr>
          <w:p w14:paraId="231D2A0F">
            <w:pPr>
              <w:jc w:val="center"/>
              <w:rPr>
                <w:rFonts w:hint="eastAsia"/>
                <w:b/>
                <w:bCs/>
                <w:color w:val="FF0000"/>
                <w:sz w:val="21"/>
                <w:szCs w:val="21"/>
              </w:rPr>
            </w:pPr>
          </w:p>
        </w:tc>
        <w:tc>
          <w:tcPr>
            <w:tcW w:w="418" w:type="pct"/>
            <w:vMerge w:val="continue"/>
            <w:vAlign w:val="center"/>
          </w:tcPr>
          <w:p w14:paraId="58624140">
            <w:pPr>
              <w:jc w:val="center"/>
              <w:rPr>
                <w:rFonts w:hint="eastAsia"/>
                <w:b/>
                <w:bCs/>
                <w:color w:val="FF0000"/>
                <w:sz w:val="21"/>
                <w:szCs w:val="21"/>
              </w:rPr>
            </w:pPr>
          </w:p>
        </w:tc>
      </w:tr>
      <w:tr w14:paraId="17603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4EDB4816">
            <w:pPr>
              <w:ind w:right="36" w:rightChars="17"/>
              <w:jc w:val="center"/>
              <w:rPr>
                <w:rFonts w:hint="eastAsia"/>
                <w:bCs/>
                <w:sz w:val="21"/>
                <w:szCs w:val="21"/>
              </w:rPr>
            </w:pPr>
            <w:r>
              <w:rPr>
                <w:rFonts w:hint="eastAsia" w:ascii="宋体" w:hAnsi="宋体"/>
                <w:sz w:val="21"/>
                <w:szCs w:val="21"/>
              </w:rPr>
              <w:t>12</w:t>
            </w:r>
          </w:p>
        </w:tc>
        <w:tc>
          <w:tcPr>
            <w:tcW w:w="1053" w:type="pct"/>
            <w:vAlign w:val="center"/>
          </w:tcPr>
          <w:p w14:paraId="46539530">
            <w:pPr>
              <w:ind w:right="36" w:rightChars="17"/>
              <w:jc w:val="center"/>
              <w:rPr>
                <w:rFonts w:hint="eastAsia"/>
                <w:bCs/>
                <w:sz w:val="21"/>
                <w:szCs w:val="21"/>
              </w:rPr>
            </w:pPr>
            <w:r>
              <w:rPr>
                <w:rFonts w:hint="eastAsia" w:ascii="宋体" w:hAnsi="宋体"/>
                <w:sz w:val="21"/>
                <w:szCs w:val="21"/>
              </w:rPr>
              <w:t>水冷型房间级空调</w:t>
            </w:r>
          </w:p>
        </w:tc>
        <w:tc>
          <w:tcPr>
            <w:tcW w:w="328" w:type="pct"/>
            <w:vAlign w:val="center"/>
          </w:tcPr>
          <w:p w14:paraId="2287C0BD">
            <w:pPr>
              <w:ind w:right="36" w:rightChars="17"/>
              <w:jc w:val="center"/>
              <w:rPr>
                <w:bCs/>
                <w:sz w:val="21"/>
                <w:szCs w:val="21"/>
              </w:rPr>
            </w:pPr>
          </w:p>
        </w:tc>
        <w:tc>
          <w:tcPr>
            <w:tcW w:w="346" w:type="pct"/>
            <w:vAlign w:val="center"/>
          </w:tcPr>
          <w:p w14:paraId="4A0E65A3">
            <w:pPr>
              <w:ind w:right="36" w:rightChars="17"/>
              <w:jc w:val="center"/>
              <w:rPr>
                <w:bCs/>
                <w:sz w:val="21"/>
                <w:szCs w:val="21"/>
              </w:rPr>
            </w:pPr>
          </w:p>
        </w:tc>
        <w:tc>
          <w:tcPr>
            <w:tcW w:w="270" w:type="pct"/>
            <w:vAlign w:val="center"/>
          </w:tcPr>
          <w:p w14:paraId="2F8E7D6E">
            <w:pPr>
              <w:jc w:val="center"/>
              <w:rPr>
                <w:bCs/>
                <w:sz w:val="21"/>
                <w:szCs w:val="21"/>
              </w:rPr>
            </w:pPr>
          </w:p>
        </w:tc>
        <w:tc>
          <w:tcPr>
            <w:tcW w:w="440" w:type="pct"/>
            <w:vAlign w:val="center"/>
          </w:tcPr>
          <w:p w14:paraId="46BDC75D">
            <w:pPr>
              <w:jc w:val="center"/>
              <w:rPr>
                <w:bCs/>
                <w:sz w:val="21"/>
                <w:szCs w:val="21"/>
              </w:rPr>
            </w:pPr>
          </w:p>
        </w:tc>
        <w:tc>
          <w:tcPr>
            <w:tcW w:w="364" w:type="pct"/>
            <w:vAlign w:val="center"/>
          </w:tcPr>
          <w:p w14:paraId="4A150280">
            <w:pPr>
              <w:ind w:right="36" w:rightChars="17"/>
              <w:jc w:val="center"/>
              <w:rPr>
                <w:rFonts w:hint="eastAsia"/>
                <w:bCs/>
                <w:sz w:val="21"/>
                <w:szCs w:val="21"/>
              </w:rPr>
            </w:pPr>
            <w:r>
              <w:rPr>
                <w:rFonts w:hint="eastAsia" w:ascii="宋体" w:hAnsi="宋体"/>
                <w:sz w:val="21"/>
                <w:szCs w:val="21"/>
              </w:rPr>
              <w:t>10</w:t>
            </w:r>
          </w:p>
        </w:tc>
        <w:tc>
          <w:tcPr>
            <w:tcW w:w="252" w:type="pct"/>
            <w:vAlign w:val="center"/>
          </w:tcPr>
          <w:p w14:paraId="5E75A819">
            <w:pPr>
              <w:ind w:right="36" w:rightChars="17"/>
              <w:jc w:val="center"/>
              <w:rPr>
                <w:rFonts w:hint="eastAsia"/>
                <w:bCs/>
                <w:sz w:val="21"/>
                <w:szCs w:val="21"/>
              </w:rPr>
            </w:pPr>
            <w:r>
              <w:rPr>
                <w:rFonts w:hint="eastAsia" w:ascii="宋体" w:hAnsi="宋体"/>
                <w:sz w:val="21"/>
                <w:szCs w:val="21"/>
              </w:rPr>
              <w:t>台</w:t>
            </w:r>
          </w:p>
        </w:tc>
        <w:tc>
          <w:tcPr>
            <w:tcW w:w="346" w:type="pct"/>
            <w:vAlign w:val="center"/>
          </w:tcPr>
          <w:p w14:paraId="267440CE">
            <w:pPr>
              <w:jc w:val="center"/>
              <w:rPr>
                <w:bCs/>
                <w:sz w:val="21"/>
                <w:szCs w:val="21"/>
              </w:rPr>
            </w:pPr>
          </w:p>
        </w:tc>
        <w:tc>
          <w:tcPr>
            <w:tcW w:w="458" w:type="pct"/>
            <w:vAlign w:val="center"/>
          </w:tcPr>
          <w:p w14:paraId="12276914">
            <w:pPr>
              <w:jc w:val="center"/>
              <w:rPr>
                <w:bCs/>
                <w:sz w:val="21"/>
                <w:szCs w:val="21"/>
              </w:rPr>
            </w:pPr>
          </w:p>
        </w:tc>
        <w:tc>
          <w:tcPr>
            <w:tcW w:w="430" w:type="pct"/>
            <w:vMerge w:val="continue"/>
            <w:vAlign w:val="center"/>
          </w:tcPr>
          <w:p w14:paraId="1EE5C3B0">
            <w:pPr>
              <w:jc w:val="center"/>
              <w:rPr>
                <w:rFonts w:hint="eastAsia"/>
                <w:b/>
                <w:bCs/>
                <w:color w:val="FF0000"/>
                <w:sz w:val="21"/>
                <w:szCs w:val="21"/>
              </w:rPr>
            </w:pPr>
          </w:p>
        </w:tc>
        <w:tc>
          <w:tcPr>
            <w:tcW w:w="418" w:type="pct"/>
            <w:vMerge w:val="continue"/>
            <w:vAlign w:val="center"/>
          </w:tcPr>
          <w:p w14:paraId="255616AF">
            <w:pPr>
              <w:jc w:val="center"/>
              <w:rPr>
                <w:rFonts w:hint="eastAsia"/>
                <w:b/>
                <w:bCs/>
                <w:color w:val="FF0000"/>
                <w:sz w:val="21"/>
                <w:szCs w:val="21"/>
              </w:rPr>
            </w:pPr>
          </w:p>
        </w:tc>
      </w:tr>
      <w:tr w14:paraId="5930C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0FB3B12D">
            <w:pPr>
              <w:ind w:right="36" w:rightChars="17"/>
              <w:jc w:val="center"/>
              <w:rPr>
                <w:rFonts w:hint="eastAsia"/>
                <w:bCs/>
                <w:sz w:val="21"/>
                <w:szCs w:val="21"/>
              </w:rPr>
            </w:pPr>
            <w:r>
              <w:rPr>
                <w:rFonts w:hint="eastAsia" w:ascii="宋体" w:hAnsi="宋体"/>
                <w:sz w:val="21"/>
                <w:szCs w:val="21"/>
              </w:rPr>
              <w:t>13</w:t>
            </w:r>
          </w:p>
        </w:tc>
        <w:tc>
          <w:tcPr>
            <w:tcW w:w="1053" w:type="pct"/>
            <w:vAlign w:val="center"/>
          </w:tcPr>
          <w:p w14:paraId="5AE8829F">
            <w:pPr>
              <w:ind w:right="36" w:rightChars="17"/>
              <w:jc w:val="center"/>
              <w:rPr>
                <w:rFonts w:hint="eastAsia"/>
                <w:bCs/>
                <w:sz w:val="21"/>
                <w:szCs w:val="21"/>
              </w:rPr>
            </w:pPr>
            <w:r>
              <w:rPr>
                <w:rFonts w:hint="eastAsia" w:ascii="宋体" w:hAnsi="宋体"/>
                <w:sz w:val="21"/>
                <w:szCs w:val="21"/>
              </w:rPr>
              <w:t>风冷型行间空调</w:t>
            </w:r>
          </w:p>
        </w:tc>
        <w:tc>
          <w:tcPr>
            <w:tcW w:w="328" w:type="pct"/>
            <w:vAlign w:val="center"/>
          </w:tcPr>
          <w:p w14:paraId="072FA7AB">
            <w:pPr>
              <w:ind w:right="36" w:rightChars="17"/>
              <w:jc w:val="center"/>
              <w:rPr>
                <w:bCs/>
                <w:sz w:val="21"/>
                <w:szCs w:val="21"/>
              </w:rPr>
            </w:pPr>
          </w:p>
        </w:tc>
        <w:tc>
          <w:tcPr>
            <w:tcW w:w="346" w:type="pct"/>
            <w:vAlign w:val="center"/>
          </w:tcPr>
          <w:p w14:paraId="72BD3841">
            <w:pPr>
              <w:ind w:right="36" w:rightChars="17"/>
              <w:jc w:val="center"/>
              <w:rPr>
                <w:bCs/>
                <w:sz w:val="21"/>
                <w:szCs w:val="21"/>
              </w:rPr>
            </w:pPr>
          </w:p>
        </w:tc>
        <w:tc>
          <w:tcPr>
            <w:tcW w:w="270" w:type="pct"/>
            <w:vAlign w:val="center"/>
          </w:tcPr>
          <w:p w14:paraId="3AA6DCD1">
            <w:pPr>
              <w:jc w:val="center"/>
              <w:rPr>
                <w:bCs/>
                <w:sz w:val="21"/>
                <w:szCs w:val="21"/>
              </w:rPr>
            </w:pPr>
          </w:p>
        </w:tc>
        <w:tc>
          <w:tcPr>
            <w:tcW w:w="440" w:type="pct"/>
            <w:vAlign w:val="center"/>
          </w:tcPr>
          <w:p w14:paraId="0BD5189A">
            <w:pPr>
              <w:jc w:val="center"/>
              <w:rPr>
                <w:bCs/>
                <w:sz w:val="21"/>
                <w:szCs w:val="21"/>
              </w:rPr>
            </w:pPr>
          </w:p>
        </w:tc>
        <w:tc>
          <w:tcPr>
            <w:tcW w:w="364" w:type="pct"/>
            <w:vAlign w:val="center"/>
          </w:tcPr>
          <w:p w14:paraId="0F8F485D">
            <w:pPr>
              <w:ind w:right="36" w:rightChars="17"/>
              <w:jc w:val="center"/>
              <w:rPr>
                <w:rFonts w:hint="eastAsia"/>
                <w:bCs/>
                <w:sz w:val="21"/>
                <w:szCs w:val="21"/>
              </w:rPr>
            </w:pPr>
            <w:r>
              <w:rPr>
                <w:rFonts w:hint="eastAsia" w:ascii="宋体" w:hAnsi="宋体"/>
                <w:sz w:val="21"/>
                <w:szCs w:val="21"/>
              </w:rPr>
              <w:t>6</w:t>
            </w:r>
          </w:p>
        </w:tc>
        <w:tc>
          <w:tcPr>
            <w:tcW w:w="252" w:type="pct"/>
            <w:vAlign w:val="center"/>
          </w:tcPr>
          <w:p w14:paraId="0C65B997">
            <w:pPr>
              <w:ind w:right="36" w:rightChars="17"/>
              <w:jc w:val="center"/>
              <w:rPr>
                <w:rFonts w:hint="eastAsia"/>
                <w:bCs/>
                <w:sz w:val="21"/>
                <w:szCs w:val="21"/>
              </w:rPr>
            </w:pPr>
            <w:r>
              <w:rPr>
                <w:rFonts w:hint="eastAsia" w:ascii="宋体" w:hAnsi="宋体"/>
                <w:sz w:val="21"/>
                <w:szCs w:val="21"/>
              </w:rPr>
              <w:t>台</w:t>
            </w:r>
          </w:p>
        </w:tc>
        <w:tc>
          <w:tcPr>
            <w:tcW w:w="346" w:type="pct"/>
            <w:vAlign w:val="center"/>
          </w:tcPr>
          <w:p w14:paraId="549D8F67">
            <w:pPr>
              <w:jc w:val="center"/>
              <w:rPr>
                <w:bCs/>
                <w:sz w:val="21"/>
                <w:szCs w:val="21"/>
              </w:rPr>
            </w:pPr>
          </w:p>
        </w:tc>
        <w:tc>
          <w:tcPr>
            <w:tcW w:w="458" w:type="pct"/>
            <w:vAlign w:val="center"/>
          </w:tcPr>
          <w:p w14:paraId="460E3C94">
            <w:pPr>
              <w:jc w:val="center"/>
              <w:rPr>
                <w:bCs/>
                <w:sz w:val="21"/>
                <w:szCs w:val="21"/>
              </w:rPr>
            </w:pPr>
          </w:p>
        </w:tc>
        <w:tc>
          <w:tcPr>
            <w:tcW w:w="430" w:type="pct"/>
            <w:vMerge w:val="continue"/>
            <w:vAlign w:val="center"/>
          </w:tcPr>
          <w:p w14:paraId="65882B7E">
            <w:pPr>
              <w:jc w:val="center"/>
              <w:rPr>
                <w:rFonts w:hint="eastAsia"/>
                <w:b/>
                <w:bCs/>
                <w:color w:val="FF0000"/>
                <w:sz w:val="21"/>
                <w:szCs w:val="21"/>
              </w:rPr>
            </w:pPr>
          </w:p>
        </w:tc>
        <w:tc>
          <w:tcPr>
            <w:tcW w:w="418" w:type="pct"/>
            <w:vMerge w:val="continue"/>
            <w:vAlign w:val="center"/>
          </w:tcPr>
          <w:p w14:paraId="3FA6ED10">
            <w:pPr>
              <w:jc w:val="center"/>
              <w:rPr>
                <w:rFonts w:hint="eastAsia"/>
                <w:b/>
                <w:bCs/>
                <w:color w:val="FF0000"/>
                <w:sz w:val="21"/>
                <w:szCs w:val="21"/>
              </w:rPr>
            </w:pPr>
          </w:p>
        </w:tc>
      </w:tr>
      <w:tr w14:paraId="5FF0E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04ACEEFA">
            <w:pPr>
              <w:ind w:right="36" w:rightChars="17"/>
              <w:jc w:val="center"/>
              <w:rPr>
                <w:rFonts w:hint="eastAsia"/>
                <w:bCs/>
                <w:sz w:val="21"/>
                <w:szCs w:val="21"/>
              </w:rPr>
            </w:pPr>
            <w:r>
              <w:rPr>
                <w:rFonts w:hint="eastAsia" w:ascii="宋体" w:hAnsi="宋体"/>
                <w:sz w:val="21"/>
                <w:szCs w:val="21"/>
              </w:rPr>
              <w:t>14</w:t>
            </w:r>
          </w:p>
        </w:tc>
        <w:tc>
          <w:tcPr>
            <w:tcW w:w="1053" w:type="pct"/>
            <w:vAlign w:val="center"/>
          </w:tcPr>
          <w:p w14:paraId="22FBB5EB">
            <w:pPr>
              <w:ind w:right="36" w:rightChars="17"/>
              <w:jc w:val="center"/>
              <w:rPr>
                <w:rFonts w:hint="eastAsia"/>
                <w:bCs/>
                <w:sz w:val="21"/>
                <w:szCs w:val="21"/>
              </w:rPr>
            </w:pPr>
            <w:r>
              <w:rPr>
                <w:rFonts w:hint="eastAsia" w:ascii="宋体" w:hAnsi="宋体"/>
                <w:kern w:val="0"/>
                <w:sz w:val="21"/>
                <w:szCs w:val="21"/>
              </w:rPr>
              <w:t>屏蔽机房（含一个微模块，≥</w:t>
            </w:r>
            <w:r>
              <w:rPr>
                <w:rFonts w:ascii="宋体" w:hAnsi="宋体"/>
                <w:kern w:val="0"/>
                <w:sz w:val="21"/>
                <w:szCs w:val="21"/>
              </w:rPr>
              <w:t>20</w:t>
            </w:r>
            <w:r>
              <w:rPr>
                <w:rFonts w:hint="eastAsia" w:ascii="宋体" w:hAnsi="宋体"/>
                <w:kern w:val="0"/>
                <w:sz w:val="21"/>
                <w:szCs w:val="21"/>
              </w:rPr>
              <w:t>个屏蔽机柜）</w:t>
            </w:r>
          </w:p>
        </w:tc>
        <w:tc>
          <w:tcPr>
            <w:tcW w:w="328" w:type="pct"/>
            <w:vAlign w:val="center"/>
          </w:tcPr>
          <w:p w14:paraId="7C0831F7">
            <w:pPr>
              <w:ind w:right="36" w:rightChars="17"/>
              <w:jc w:val="center"/>
              <w:rPr>
                <w:bCs/>
                <w:sz w:val="21"/>
                <w:szCs w:val="21"/>
              </w:rPr>
            </w:pPr>
          </w:p>
        </w:tc>
        <w:tc>
          <w:tcPr>
            <w:tcW w:w="346" w:type="pct"/>
            <w:vAlign w:val="center"/>
          </w:tcPr>
          <w:p w14:paraId="4F5FD8A6">
            <w:pPr>
              <w:ind w:right="36" w:rightChars="17"/>
              <w:jc w:val="center"/>
              <w:rPr>
                <w:bCs/>
                <w:sz w:val="21"/>
                <w:szCs w:val="21"/>
              </w:rPr>
            </w:pPr>
          </w:p>
        </w:tc>
        <w:tc>
          <w:tcPr>
            <w:tcW w:w="270" w:type="pct"/>
            <w:vAlign w:val="center"/>
          </w:tcPr>
          <w:p w14:paraId="25026E78">
            <w:pPr>
              <w:jc w:val="center"/>
              <w:rPr>
                <w:bCs/>
                <w:sz w:val="21"/>
                <w:szCs w:val="21"/>
              </w:rPr>
            </w:pPr>
          </w:p>
        </w:tc>
        <w:tc>
          <w:tcPr>
            <w:tcW w:w="440" w:type="pct"/>
            <w:vAlign w:val="center"/>
          </w:tcPr>
          <w:p w14:paraId="1304362D">
            <w:pPr>
              <w:jc w:val="center"/>
              <w:rPr>
                <w:bCs/>
                <w:sz w:val="21"/>
                <w:szCs w:val="21"/>
              </w:rPr>
            </w:pPr>
          </w:p>
        </w:tc>
        <w:tc>
          <w:tcPr>
            <w:tcW w:w="364" w:type="pct"/>
            <w:vAlign w:val="center"/>
          </w:tcPr>
          <w:p w14:paraId="631BCEF1">
            <w:pPr>
              <w:ind w:right="36" w:rightChars="17"/>
              <w:jc w:val="center"/>
              <w:rPr>
                <w:rFonts w:hint="eastAsia"/>
                <w:bCs/>
                <w:sz w:val="21"/>
                <w:szCs w:val="21"/>
              </w:rPr>
            </w:pPr>
            <w:r>
              <w:rPr>
                <w:rFonts w:hint="eastAsia" w:ascii="宋体" w:hAnsi="宋体"/>
                <w:kern w:val="0"/>
                <w:sz w:val="21"/>
                <w:szCs w:val="21"/>
              </w:rPr>
              <w:t>1</w:t>
            </w:r>
          </w:p>
        </w:tc>
        <w:tc>
          <w:tcPr>
            <w:tcW w:w="252" w:type="pct"/>
            <w:vAlign w:val="center"/>
          </w:tcPr>
          <w:p w14:paraId="0F9ED922">
            <w:pPr>
              <w:ind w:right="36" w:rightChars="17"/>
              <w:jc w:val="center"/>
              <w:rPr>
                <w:rFonts w:hint="eastAsia"/>
                <w:bCs/>
                <w:sz w:val="21"/>
                <w:szCs w:val="21"/>
              </w:rPr>
            </w:pPr>
            <w:r>
              <w:rPr>
                <w:rFonts w:hint="eastAsia" w:ascii="宋体" w:hAnsi="宋体"/>
                <w:kern w:val="0"/>
                <w:sz w:val="21"/>
                <w:szCs w:val="21"/>
              </w:rPr>
              <w:t>个</w:t>
            </w:r>
          </w:p>
        </w:tc>
        <w:tc>
          <w:tcPr>
            <w:tcW w:w="346" w:type="pct"/>
            <w:vAlign w:val="center"/>
          </w:tcPr>
          <w:p w14:paraId="3B861548">
            <w:pPr>
              <w:jc w:val="center"/>
              <w:rPr>
                <w:bCs/>
                <w:sz w:val="21"/>
                <w:szCs w:val="21"/>
              </w:rPr>
            </w:pPr>
          </w:p>
        </w:tc>
        <w:tc>
          <w:tcPr>
            <w:tcW w:w="458" w:type="pct"/>
            <w:vAlign w:val="center"/>
          </w:tcPr>
          <w:p w14:paraId="3C39FCD6">
            <w:pPr>
              <w:jc w:val="center"/>
              <w:rPr>
                <w:bCs/>
                <w:sz w:val="21"/>
                <w:szCs w:val="21"/>
              </w:rPr>
            </w:pPr>
          </w:p>
        </w:tc>
        <w:tc>
          <w:tcPr>
            <w:tcW w:w="430" w:type="pct"/>
            <w:vMerge w:val="continue"/>
            <w:vAlign w:val="center"/>
          </w:tcPr>
          <w:p w14:paraId="1B5A4A5B">
            <w:pPr>
              <w:jc w:val="center"/>
              <w:rPr>
                <w:rFonts w:hint="eastAsia"/>
                <w:b/>
                <w:bCs/>
                <w:color w:val="FF0000"/>
                <w:sz w:val="21"/>
                <w:szCs w:val="21"/>
              </w:rPr>
            </w:pPr>
          </w:p>
        </w:tc>
        <w:tc>
          <w:tcPr>
            <w:tcW w:w="418" w:type="pct"/>
            <w:vMerge w:val="continue"/>
            <w:vAlign w:val="center"/>
          </w:tcPr>
          <w:p w14:paraId="03AE1315">
            <w:pPr>
              <w:jc w:val="center"/>
              <w:rPr>
                <w:rFonts w:hint="eastAsia"/>
                <w:b/>
                <w:bCs/>
                <w:color w:val="FF0000"/>
                <w:sz w:val="21"/>
                <w:szCs w:val="21"/>
              </w:rPr>
            </w:pPr>
          </w:p>
        </w:tc>
      </w:tr>
      <w:tr w14:paraId="530F8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0BA4466B">
            <w:pPr>
              <w:ind w:right="36" w:rightChars="17"/>
              <w:jc w:val="center"/>
              <w:rPr>
                <w:rFonts w:hint="eastAsia"/>
                <w:bCs/>
                <w:sz w:val="21"/>
                <w:szCs w:val="21"/>
              </w:rPr>
            </w:pPr>
            <w:r>
              <w:rPr>
                <w:rFonts w:hint="eastAsia" w:ascii="宋体" w:hAnsi="宋体"/>
                <w:sz w:val="21"/>
                <w:szCs w:val="21"/>
              </w:rPr>
              <w:t>15</w:t>
            </w:r>
          </w:p>
        </w:tc>
        <w:tc>
          <w:tcPr>
            <w:tcW w:w="1053" w:type="pct"/>
            <w:vAlign w:val="center"/>
          </w:tcPr>
          <w:p w14:paraId="4F8C4935">
            <w:pPr>
              <w:ind w:right="36" w:rightChars="17"/>
              <w:jc w:val="center"/>
              <w:rPr>
                <w:rFonts w:hint="eastAsia"/>
                <w:bCs/>
                <w:sz w:val="21"/>
                <w:szCs w:val="21"/>
              </w:rPr>
            </w:pPr>
            <w:r>
              <w:rPr>
                <w:rFonts w:hint="eastAsia" w:ascii="宋体" w:hAnsi="宋体"/>
                <w:kern w:val="0"/>
                <w:sz w:val="21"/>
                <w:szCs w:val="21"/>
              </w:rPr>
              <w:t>防雷接地设备</w:t>
            </w:r>
          </w:p>
        </w:tc>
        <w:tc>
          <w:tcPr>
            <w:tcW w:w="328" w:type="pct"/>
            <w:vAlign w:val="center"/>
          </w:tcPr>
          <w:p w14:paraId="0FF3BFFF">
            <w:pPr>
              <w:ind w:right="36" w:rightChars="17"/>
              <w:jc w:val="center"/>
              <w:rPr>
                <w:bCs/>
                <w:sz w:val="21"/>
                <w:szCs w:val="21"/>
              </w:rPr>
            </w:pPr>
          </w:p>
        </w:tc>
        <w:tc>
          <w:tcPr>
            <w:tcW w:w="346" w:type="pct"/>
            <w:vAlign w:val="center"/>
          </w:tcPr>
          <w:p w14:paraId="53BD3B1D">
            <w:pPr>
              <w:ind w:right="36" w:rightChars="17"/>
              <w:jc w:val="center"/>
              <w:rPr>
                <w:bCs/>
                <w:sz w:val="21"/>
                <w:szCs w:val="21"/>
              </w:rPr>
            </w:pPr>
          </w:p>
        </w:tc>
        <w:tc>
          <w:tcPr>
            <w:tcW w:w="270" w:type="pct"/>
            <w:vAlign w:val="center"/>
          </w:tcPr>
          <w:p w14:paraId="6A0153B1">
            <w:pPr>
              <w:jc w:val="center"/>
              <w:rPr>
                <w:bCs/>
                <w:sz w:val="21"/>
                <w:szCs w:val="21"/>
              </w:rPr>
            </w:pPr>
          </w:p>
        </w:tc>
        <w:tc>
          <w:tcPr>
            <w:tcW w:w="440" w:type="pct"/>
            <w:vAlign w:val="center"/>
          </w:tcPr>
          <w:p w14:paraId="12530240">
            <w:pPr>
              <w:jc w:val="center"/>
              <w:rPr>
                <w:bCs/>
                <w:sz w:val="21"/>
                <w:szCs w:val="21"/>
              </w:rPr>
            </w:pPr>
          </w:p>
        </w:tc>
        <w:tc>
          <w:tcPr>
            <w:tcW w:w="364" w:type="pct"/>
            <w:vAlign w:val="center"/>
          </w:tcPr>
          <w:p w14:paraId="4E94E7AC">
            <w:pPr>
              <w:ind w:right="36" w:rightChars="17"/>
              <w:jc w:val="center"/>
              <w:rPr>
                <w:rFonts w:hint="eastAsia"/>
                <w:bCs/>
                <w:sz w:val="21"/>
                <w:szCs w:val="21"/>
              </w:rPr>
            </w:pPr>
            <w:r>
              <w:rPr>
                <w:rFonts w:hint="eastAsia" w:ascii="宋体" w:hAnsi="宋体"/>
                <w:kern w:val="0"/>
                <w:sz w:val="21"/>
                <w:szCs w:val="21"/>
              </w:rPr>
              <w:t>1</w:t>
            </w:r>
          </w:p>
        </w:tc>
        <w:tc>
          <w:tcPr>
            <w:tcW w:w="252" w:type="pct"/>
            <w:vAlign w:val="center"/>
          </w:tcPr>
          <w:p w14:paraId="247C708D">
            <w:pPr>
              <w:ind w:right="36" w:rightChars="17"/>
              <w:jc w:val="center"/>
              <w:rPr>
                <w:rFonts w:hint="eastAsia"/>
                <w:bCs/>
                <w:sz w:val="21"/>
                <w:szCs w:val="21"/>
              </w:rPr>
            </w:pPr>
            <w:r>
              <w:rPr>
                <w:rFonts w:hint="eastAsia" w:ascii="宋体" w:hAnsi="宋体"/>
                <w:kern w:val="0"/>
                <w:sz w:val="21"/>
                <w:szCs w:val="21"/>
              </w:rPr>
              <w:t>套</w:t>
            </w:r>
          </w:p>
        </w:tc>
        <w:tc>
          <w:tcPr>
            <w:tcW w:w="346" w:type="pct"/>
            <w:vAlign w:val="center"/>
          </w:tcPr>
          <w:p w14:paraId="35D2285E">
            <w:pPr>
              <w:jc w:val="center"/>
              <w:rPr>
                <w:bCs/>
                <w:sz w:val="21"/>
                <w:szCs w:val="21"/>
              </w:rPr>
            </w:pPr>
          </w:p>
        </w:tc>
        <w:tc>
          <w:tcPr>
            <w:tcW w:w="458" w:type="pct"/>
            <w:vAlign w:val="center"/>
          </w:tcPr>
          <w:p w14:paraId="18767CC7">
            <w:pPr>
              <w:jc w:val="center"/>
              <w:rPr>
                <w:bCs/>
                <w:sz w:val="21"/>
                <w:szCs w:val="21"/>
              </w:rPr>
            </w:pPr>
          </w:p>
        </w:tc>
        <w:tc>
          <w:tcPr>
            <w:tcW w:w="430" w:type="pct"/>
            <w:vMerge w:val="continue"/>
            <w:vAlign w:val="center"/>
          </w:tcPr>
          <w:p w14:paraId="49C72DF9">
            <w:pPr>
              <w:jc w:val="center"/>
              <w:rPr>
                <w:rFonts w:hint="eastAsia"/>
                <w:b/>
                <w:bCs/>
                <w:color w:val="FF0000"/>
                <w:sz w:val="21"/>
                <w:szCs w:val="21"/>
              </w:rPr>
            </w:pPr>
          </w:p>
        </w:tc>
        <w:tc>
          <w:tcPr>
            <w:tcW w:w="418" w:type="pct"/>
            <w:vMerge w:val="continue"/>
            <w:vAlign w:val="center"/>
          </w:tcPr>
          <w:p w14:paraId="631D0ECD">
            <w:pPr>
              <w:jc w:val="center"/>
              <w:rPr>
                <w:rFonts w:hint="eastAsia"/>
                <w:b/>
                <w:bCs/>
                <w:color w:val="FF0000"/>
                <w:sz w:val="21"/>
                <w:szCs w:val="21"/>
              </w:rPr>
            </w:pPr>
          </w:p>
        </w:tc>
      </w:tr>
      <w:tr w14:paraId="5348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23B55582">
            <w:pPr>
              <w:ind w:right="36" w:rightChars="17"/>
              <w:jc w:val="center"/>
              <w:rPr>
                <w:rFonts w:hint="eastAsia"/>
                <w:bCs/>
                <w:sz w:val="21"/>
                <w:szCs w:val="21"/>
              </w:rPr>
            </w:pPr>
            <w:r>
              <w:rPr>
                <w:rFonts w:hint="eastAsia" w:ascii="宋体" w:hAnsi="宋体"/>
                <w:sz w:val="21"/>
                <w:szCs w:val="21"/>
              </w:rPr>
              <w:t>16</w:t>
            </w:r>
          </w:p>
        </w:tc>
        <w:tc>
          <w:tcPr>
            <w:tcW w:w="1053" w:type="pct"/>
            <w:vAlign w:val="center"/>
          </w:tcPr>
          <w:p w14:paraId="2F0FA23F">
            <w:pPr>
              <w:ind w:right="36" w:rightChars="17"/>
              <w:jc w:val="center"/>
              <w:rPr>
                <w:rFonts w:hint="eastAsia"/>
                <w:bCs/>
                <w:sz w:val="21"/>
                <w:szCs w:val="21"/>
              </w:rPr>
            </w:pPr>
            <w:r>
              <w:rPr>
                <w:rFonts w:hint="eastAsia" w:ascii="宋体" w:hAnsi="宋体"/>
                <w:kern w:val="0"/>
                <w:sz w:val="21"/>
                <w:szCs w:val="21"/>
              </w:rPr>
              <w:t>气体消防设备</w:t>
            </w:r>
          </w:p>
        </w:tc>
        <w:tc>
          <w:tcPr>
            <w:tcW w:w="328" w:type="pct"/>
            <w:vAlign w:val="center"/>
          </w:tcPr>
          <w:p w14:paraId="07CD58B7">
            <w:pPr>
              <w:ind w:right="36" w:rightChars="17"/>
              <w:jc w:val="center"/>
              <w:rPr>
                <w:bCs/>
                <w:sz w:val="21"/>
                <w:szCs w:val="21"/>
              </w:rPr>
            </w:pPr>
          </w:p>
        </w:tc>
        <w:tc>
          <w:tcPr>
            <w:tcW w:w="346" w:type="pct"/>
            <w:vAlign w:val="center"/>
          </w:tcPr>
          <w:p w14:paraId="24A65969">
            <w:pPr>
              <w:ind w:right="36" w:rightChars="17"/>
              <w:jc w:val="center"/>
              <w:rPr>
                <w:bCs/>
                <w:sz w:val="21"/>
                <w:szCs w:val="21"/>
              </w:rPr>
            </w:pPr>
          </w:p>
        </w:tc>
        <w:tc>
          <w:tcPr>
            <w:tcW w:w="270" w:type="pct"/>
            <w:vAlign w:val="center"/>
          </w:tcPr>
          <w:p w14:paraId="16822414">
            <w:pPr>
              <w:jc w:val="center"/>
              <w:rPr>
                <w:bCs/>
                <w:sz w:val="21"/>
                <w:szCs w:val="21"/>
              </w:rPr>
            </w:pPr>
          </w:p>
        </w:tc>
        <w:tc>
          <w:tcPr>
            <w:tcW w:w="440" w:type="pct"/>
            <w:vAlign w:val="center"/>
          </w:tcPr>
          <w:p w14:paraId="7CB89DB6">
            <w:pPr>
              <w:jc w:val="center"/>
              <w:rPr>
                <w:bCs/>
                <w:sz w:val="21"/>
                <w:szCs w:val="21"/>
              </w:rPr>
            </w:pPr>
          </w:p>
        </w:tc>
        <w:tc>
          <w:tcPr>
            <w:tcW w:w="364" w:type="pct"/>
            <w:vAlign w:val="center"/>
          </w:tcPr>
          <w:p w14:paraId="3B24D61B">
            <w:pPr>
              <w:ind w:right="36" w:rightChars="17"/>
              <w:jc w:val="center"/>
              <w:rPr>
                <w:rFonts w:hint="eastAsia"/>
                <w:bCs/>
                <w:sz w:val="21"/>
                <w:szCs w:val="21"/>
              </w:rPr>
            </w:pPr>
            <w:r>
              <w:rPr>
                <w:rFonts w:hint="eastAsia" w:ascii="宋体" w:hAnsi="宋体"/>
                <w:kern w:val="0"/>
                <w:sz w:val="21"/>
                <w:szCs w:val="21"/>
              </w:rPr>
              <w:t>1</w:t>
            </w:r>
          </w:p>
        </w:tc>
        <w:tc>
          <w:tcPr>
            <w:tcW w:w="252" w:type="pct"/>
            <w:vAlign w:val="center"/>
          </w:tcPr>
          <w:p w14:paraId="7CDAAC57">
            <w:pPr>
              <w:ind w:right="36" w:rightChars="17"/>
              <w:jc w:val="center"/>
              <w:rPr>
                <w:rFonts w:hint="eastAsia"/>
                <w:bCs/>
                <w:sz w:val="21"/>
                <w:szCs w:val="21"/>
              </w:rPr>
            </w:pPr>
            <w:r>
              <w:rPr>
                <w:rFonts w:hint="eastAsia" w:ascii="宋体" w:hAnsi="宋体"/>
                <w:kern w:val="0"/>
                <w:sz w:val="21"/>
                <w:szCs w:val="21"/>
              </w:rPr>
              <w:t>套</w:t>
            </w:r>
          </w:p>
        </w:tc>
        <w:tc>
          <w:tcPr>
            <w:tcW w:w="346" w:type="pct"/>
            <w:vAlign w:val="center"/>
          </w:tcPr>
          <w:p w14:paraId="59986725">
            <w:pPr>
              <w:jc w:val="center"/>
              <w:rPr>
                <w:bCs/>
                <w:sz w:val="21"/>
                <w:szCs w:val="21"/>
              </w:rPr>
            </w:pPr>
          </w:p>
        </w:tc>
        <w:tc>
          <w:tcPr>
            <w:tcW w:w="458" w:type="pct"/>
            <w:vAlign w:val="center"/>
          </w:tcPr>
          <w:p w14:paraId="2D7F4454">
            <w:pPr>
              <w:jc w:val="center"/>
              <w:rPr>
                <w:bCs/>
                <w:sz w:val="21"/>
                <w:szCs w:val="21"/>
              </w:rPr>
            </w:pPr>
          </w:p>
        </w:tc>
        <w:tc>
          <w:tcPr>
            <w:tcW w:w="430" w:type="pct"/>
            <w:vMerge w:val="continue"/>
            <w:vAlign w:val="center"/>
          </w:tcPr>
          <w:p w14:paraId="64B3752A">
            <w:pPr>
              <w:jc w:val="center"/>
              <w:rPr>
                <w:rFonts w:hint="eastAsia"/>
                <w:b/>
                <w:bCs/>
                <w:color w:val="FF0000"/>
                <w:sz w:val="21"/>
                <w:szCs w:val="21"/>
              </w:rPr>
            </w:pPr>
          </w:p>
        </w:tc>
        <w:tc>
          <w:tcPr>
            <w:tcW w:w="418" w:type="pct"/>
            <w:vMerge w:val="continue"/>
            <w:vAlign w:val="center"/>
          </w:tcPr>
          <w:p w14:paraId="4AA466A0">
            <w:pPr>
              <w:jc w:val="center"/>
              <w:rPr>
                <w:rFonts w:hint="eastAsia"/>
                <w:b/>
                <w:bCs/>
                <w:color w:val="FF0000"/>
                <w:sz w:val="21"/>
                <w:szCs w:val="21"/>
              </w:rPr>
            </w:pPr>
          </w:p>
        </w:tc>
      </w:tr>
      <w:tr w14:paraId="458BF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4264FE75">
            <w:pPr>
              <w:ind w:right="36" w:rightChars="17"/>
              <w:jc w:val="center"/>
              <w:rPr>
                <w:rFonts w:hint="eastAsia"/>
                <w:bCs/>
                <w:sz w:val="21"/>
                <w:szCs w:val="21"/>
              </w:rPr>
            </w:pPr>
            <w:r>
              <w:rPr>
                <w:rFonts w:hint="eastAsia" w:ascii="宋体" w:hAnsi="宋体"/>
                <w:sz w:val="21"/>
                <w:szCs w:val="21"/>
              </w:rPr>
              <w:t>17</w:t>
            </w:r>
          </w:p>
        </w:tc>
        <w:tc>
          <w:tcPr>
            <w:tcW w:w="1053" w:type="pct"/>
            <w:vAlign w:val="center"/>
          </w:tcPr>
          <w:p w14:paraId="65208621">
            <w:pPr>
              <w:ind w:right="36" w:rightChars="17"/>
              <w:jc w:val="center"/>
              <w:rPr>
                <w:rFonts w:hint="eastAsia"/>
                <w:bCs/>
                <w:sz w:val="21"/>
                <w:szCs w:val="21"/>
              </w:rPr>
            </w:pPr>
            <w:r>
              <w:rPr>
                <w:rFonts w:hint="eastAsia" w:ascii="宋体" w:hAnsi="宋体"/>
                <w:kern w:val="0"/>
                <w:sz w:val="21"/>
                <w:szCs w:val="21"/>
              </w:rPr>
              <w:t>动环管理系统（含安防）</w:t>
            </w:r>
          </w:p>
        </w:tc>
        <w:tc>
          <w:tcPr>
            <w:tcW w:w="328" w:type="pct"/>
            <w:vAlign w:val="center"/>
          </w:tcPr>
          <w:p w14:paraId="4A95D188">
            <w:pPr>
              <w:ind w:right="36" w:rightChars="17"/>
              <w:jc w:val="center"/>
              <w:rPr>
                <w:bCs/>
                <w:sz w:val="21"/>
                <w:szCs w:val="21"/>
              </w:rPr>
            </w:pPr>
          </w:p>
        </w:tc>
        <w:tc>
          <w:tcPr>
            <w:tcW w:w="346" w:type="pct"/>
            <w:vAlign w:val="center"/>
          </w:tcPr>
          <w:p w14:paraId="2BE572D2">
            <w:pPr>
              <w:ind w:right="36" w:rightChars="17"/>
              <w:jc w:val="center"/>
              <w:rPr>
                <w:bCs/>
                <w:sz w:val="21"/>
                <w:szCs w:val="21"/>
              </w:rPr>
            </w:pPr>
          </w:p>
        </w:tc>
        <w:tc>
          <w:tcPr>
            <w:tcW w:w="270" w:type="pct"/>
            <w:vAlign w:val="center"/>
          </w:tcPr>
          <w:p w14:paraId="1D535F65">
            <w:pPr>
              <w:jc w:val="center"/>
              <w:rPr>
                <w:bCs/>
                <w:sz w:val="21"/>
                <w:szCs w:val="21"/>
              </w:rPr>
            </w:pPr>
          </w:p>
        </w:tc>
        <w:tc>
          <w:tcPr>
            <w:tcW w:w="440" w:type="pct"/>
            <w:vAlign w:val="center"/>
          </w:tcPr>
          <w:p w14:paraId="73AA31CA">
            <w:pPr>
              <w:jc w:val="center"/>
              <w:rPr>
                <w:bCs/>
                <w:sz w:val="21"/>
                <w:szCs w:val="21"/>
              </w:rPr>
            </w:pPr>
          </w:p>
        </w:tc>
        <w:tc>
          <w:tcPr>
            <w:tcW w:w="364" w:type="pct"/>
            <w:vAlign w:val="center"/>
          </w:tcPr>
          <w:p w14:paraId="53642E54">
            <w:pPr>
              <w:ind w:right="36" w:rightChars="17"/>
              <w:jc w:val="center"/>
              <w:rPr>
                <w:rFonts w:hint="eastAsia"/>
                <w:bCs/>
                <w:sz w:val="21"/>
                <w:szCs w:val="21"/>
              </w:rPr>
            </w:pPr>
            <w:r>
              <w:rPr>
                <w:rFonts w:hint="eastAsia" w:ascii="宋体" w:hAnsi="宋体"/>
                <w:kern w:val="0"/>
                <w:sz w:val="21"/>
                <w:szCs w:val="21"/>
              </w:rPr>
              <w:t>1</w:t>
            </w:r>
          </w:p>
        </w:tc>
        <w:tc>
          <w:tcPr>
            <w:tcW w:w="252" w:type="pct"/>
            <w:vAlign w:val="center"/>
          </w:tcPr>
          <w:p w14:paraId="72341F98">
            <w:pPr>
              <w:ind w:right="36" w:rightChars="17"/>
              <w:jc w:val="center"/>
              <w:rPr>
                <w:rFonts w:hint="eastAsia"/>
                <w:bCs/>
                <w:sz w:val="21"/>
                <w:szCs w:val="21"/>
              </w:rPr>
            </w:pPr>
            <w:r>
              <w:rPr>
                <w:rFonts w:hint="eastAsia" w:ascii="宋体" w:hAnsi="宋体"/>
                <w:kern w:val="0"/>
                <w:sz w:val="21"/>
                <w:szCs w:val="21"/>
              </w:rPr>
              <w:t>套</w:t>
            </w:r>
          </w:p>
        </w:tc>
        <w:tc>
          <w:tcPr>
            <w:tcW w:w="346" w:type="pct"/>
            <w:vAlign w:val="center"/>
          </w:tcPr>
          <w:p w14:paraId="7D3D4759">
            <w:pPr>
              <w:jc w:val="center"/>
              <w:rPr>
                <w:bCs/>
                <w:sz w:val="21"/>
                <w:szCs w:val="21"/>
              </w:rPr>
            </w:pPr>
          </w:p>
        </w:tc>
        <w:tc>
          <w:tcPr>
            <w:tcW w:w="458" w:type="pct"/>
            <w:vAlign w:val="center"/>
          </w:tcPr>
          <w:p w14:paraId="5C18B7D1">
            <w:pPr>
              <w:jc w:val="center"/>
              <w:rPr>
                <w:bCs/>
                <w:sz w:val="21"/>
                <w:szCs w:val="21"/>
              </w:rPr>
            </w:pPr>
          </w:p>
        </w:tc>
        <w:tc>
          <w:tcPr>
            <w:tcW w:w="430" w:type="pct"/>
            <w:vMerge w:val="continue"/>
            <w:vAlign w:val="center"/>
          </w:tcPr>
          <w:p w14:paraId="1432EE3D">
            <w:pPr>
              <w:jc w:val="center"/>
              <w:rPr>
                <w:rFonts w:hint="eastAsia"/>
                <w:b/>
                <w:bCs/>
                <w:color w:val="FF0000"/>
                <w:sz w:val="21"/>
                <w:szCs w:val="21"/>
              </w:rPr>
            </w:pPr>
          </w:p>
        </w:tc>
        <w:tc>
          <w:tcPr>
            <w:tcW w:w="418" w:type="pct"/>
            <w:vMerge w:val="continue"/>
            <w:vAlign w:val="center"/>
          </w:tcPr>
          <w:p w14:paraId="52411526">
            <w:pPr>
              <w:jc w:val="center"/>
              <w:rPr>
                <w:rFonts w:hint="eastAsia"/>
                <w:b/>
                <w:bCs/>
                <w:color w:val="FF0000"/>
                <w:sz w:val="21"/>
                <w:szCs w:val="21"/>
              </w:rPr>
            </w:pPr>
          </w:p>
        </w:tc>
      </w:tr>
      <w:tr w14:paraId="64E96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5CEEC149">
            <w:pPr>
              <w:ind w:right="36" w:rightChars="17"/>
              <w:jc w:val="center"/>
              <w:rPr>
                <w:rFonts w:hint="eastAsia"/>
                <w:bCs/>
                <w:sz w:val="21"/>
                <w:szCs w:val="21"/>
              </w:rPr>
            </w:pPr>
            <w:r>
              <w:rPr>
                <w:rFonts w:hint="eastAsia" w:ascii="宋体" w:hAnsi="宋体"/>
                <w:sz w:val="21"/>
                <w:szCs w:val="21"/>
              </w:rPr>
              <w:t>18</w:t>
            </w:r>
          </w:p>
        </w:tc>
        <w:tc>
          <w:tcPr>
            <w:tcW w:w="1053" w:type="pct"/>
            <w:vAlign w:val="center"/>
          </w:tcPr>
          <w:p w14:paraId="616B1DEF">
            <w:pPr>
              <w:ind w:right="36" w:rightChars="17"/>
              <w:jc w:val="center"/>
              <w:rPr>
                <w:rFonts w:hint="eastAsia"/>
                <w:bCs/>
                <w:sz w:val="21"/>
                <w:szCs w:val="21"/>
              </w:rPr>
            </w:pPr>
            <w:r>
              <w:rPr>
                <w:rFonts w:hint="eastAsia" w:ascii="宋体" w:hAnsi="宋体"/>
                <w:kern w:val="0"/>
                <w:sz w:val="21"/>
                <w:szCs w:val="21"/>
              </w:rPr>
              <w:t>防火墙</w:t>
            </w:r>
          </w:p>
        </w:tc>
        <w:tc>
          <w:tcPr>
            <w:tcW w:w="328" w:type="pct"/>
            <w:vAlign w:val="center"/>
          </w:tcPr>
          <w:p w14:paraId="0D51C1EC">
            <w:pPr>
              <w:ind w:right="36" w:rightChars="17"/>
              <w:jc w:val="center"/>
              <w:rPr>
                <w:bCs/>
                <w:sz w:val="21"/>
                <w:szCs w:val="21"/>
              </w:rPr>
            </w:pPr>
          </w:p>
        </w:tc>
        <w:tc>
          <w:tcPr>
            <w:tcW w:w="346" w:type="pct"/>
            <w:vAlign w:val="center"/>
          </w:tcPr>
          <w:p w14:paraId="26661E8D">
            <w:pPr>
              <w:ind w:right="36" w:rightChars="17"/>
              <w:jc w:val="center"/>
              <w:rPr>
                <w:bCs/>
                <w:sz w:val="21"/>
                <w:szCs w:val="21"/>
              </w:rPr>
            </w:pPr>
          </w:p>
        </w:tc>
        <w:tc>
          <w:tcPr>
            <w:tcW w:w="270" w:type="pct"/>
            <w:vAlign w:val="center"/>
          </w:tcPr>
          <w:p w14:paraId="47DBCBBC">
            <w:pPr>
              <w:jc w:val="center"/>
              <w:rPr>
                <w:bCs/>
                <w:sz w:val="21"/>
                <w:szCs w:val="21"/>
              </w:rPr>
            </w:pPr>
          </w:p>
        </w:tc>
        <w:tc>
          <w:tcPr>
            <w:tcW w:w="440" w:type="pct"/>
            <w:vAlign w:val="center"/>
          </w:tcPr>
          <w:p w14:paraId="1E94DA2F">
            <w:pPr>
              <w:jc w:val="center"/>
              <w:rPr>
                <w:bCs/>
                <w:sz w:val="21"/>
                <w:szCs w:val="21"/>
              </w:rPr>
            </w:pPr>
          </w:p>
        </w:tc>
        <w:tc>
          <w:tcPr>
            <w:tcW w:w="364" w:type="pct"/>
            <w:vAlign w:val="center"/>
          </w:tcPr>
          <w:p w14:paraId="613A406F">
            <w:pPr>
              <w:ind w:right="36" w:rightChars="17"/>
              <w:jc w:val="center"/>
              <w:rPr>
                <w:rFonts w:hint="eastAsia"/>
                <w:bCs/>
                <w:sz w:val="21"/>
                <w:szCs w:val="21"/>
              </w:rPr>
            </w:pPr>
            <w:r>
              <w:rPr>
                <w:rFonts w:hint="eastAsia" w:ascii="宋体" w:hAnsi="宋体"/>
                <w:sz w:val="21"/>
                <w:szCs w:val="21"/>
              </w:rPr>
              <w:t>2</w:t>
            </w:r>
          </w:p>
        </w:tc>
        <w:tc>
          <w:tcPr>
            <w:tcW w:w="252" w:type="pct"/>
            <w:vAlign w:val="center"/>
          </w:tcPr>
          <w:p w14:paraId="797A0522">
            <w:pPr>
              <w:ind w:right="36" w:rightChars="17"/>
              <w:jc w:val="center"/>
              <w:rPr>
                <w:rFonts w:hint="eastAsia"/>
                <w:bCs/>
                <w:sz w:val="21"/>
                <w:szCs w:val="21"/>
              </w:rPr>
            </w:pPr>
            <w:r>
              <w:rPr>
                <w:rFonts w:hint="eastAsia" w:ascii="宋体" w:hAnsi="宋体"/>
                <w:kern w:val="0"/>
                <w:sz w:val="21"/>
                <w:szCs w:val="21"/>
              </w:rPr>
              <w:t>台</w:t>
            </w:r>
          </w:p>
        </w:tc>
        <w:tc>
          <w:tcPr>
            <w:tcW w:w="346" w:type="pct"/>
            <w:vAlign w:val="center"/>
          </w:tcPr>
          <w:p w14:paraId="4B7BE970">
            <w:pPr>
              <w:jc w:val="center"/>
              <w:rPr>
                <w:bCs/>
                <w:sz w:val="21"/>
                <w:szCs w:val="21"/>
              </w:rPr>
            </w:pPr>
          </w:p>
        </w:tc>
        <w:tc>
          <w:tcPr>
            <w:tcW w:w="458" w:type="pct"/>
            <w:vAlign w:val="center"/>
          </w:tcPr>
          <w:p w14:paraId="0618F6C8">
            <w:pPr>
              <w:jc w:val="center"/>
              <w:rPr>
                <w:bCs/>
                <w:sz w:val="21"/>
                <w:szCs w:val="21"/>
              </w:rPr>
            </w:pPr>
          </w:p>
        </w:tc>
        <w:tc>
          <w:tcPr>
            <w:tcW w:w="430" w:type="pct"/>
            <w:vMerge w:val="continue"/>
            <w:vAlign w:val="center"/>
          </w:tcPr>
          <w:p w14:paraId="401A383A">
            <w:pPr>
              <w:jc w:val="center"/>
              <w:rPr>
                <w:rFonts w:hint="eastAsia"/>
                <w:b/>
                <w:bCs/>
                <w:color w:val="FF0000"/>
                <w:sz w:val="21"/>
                <w:szCs w:val="21"/>
              </w:rPr>
            </w:pPr>
          </w:p>
        </w:tc>
        <w:tc>
          <w:tcPr>
            <w:tcW w:w="418" w:type="pct"/>
            <w:vMerge w:val="continue"/>
            <w:vAlign w:val="center"/>
          </w:tcPr>
          <w:p w14:paraId="37CCA209">
            <w:pPr>
              <w:jc w:val="center"/>
              <w:rPr>
                <w:rFonts w:hint="eastAsia"/>
                <w:b/>
                <w:bCs/>
                <w:color w:val="FF0000"/>
                <w:sz w:val="21"/>
                <w:szCs w:val="21"/>
              </w:rPr>
            </w:pPr>
          </w:p>
        </w:tc>
      </w:tr>
      <w:tr w14:paraId="60BF3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61EFD52D">
            <w:pPr>
              <w:ind w:right="36" w:rightChars="17"/>
              <w:jc w:val="center"/>
              <w:rPr>
                <w:rFonts w:hint="eastAsia"/>
                <w:bCs/>
                <w:sz w:val="21"/>
                <w:szCs w:val="21"/>
              </w:rPr>
            </w:pPr>
            <w:r>
              <w:rPr>
                <w:rFonts w:hint="eastAsia" w:ascii="宋体" w:hAnsi="宋体"/>
                <w:sz w:val="21"/>
                <w:szCs w:val="21"/>
              </w:rPr>
              <w:t>19</w:t>
            </w:r>
          </w:p>
        </w:tc>
        <w:tc>
          <w:tcPr>
            <w:tcW w:w="1053" w:type="pct"/>
            <w:vAlign w:val="center"/>
          </w:tcPr>
          <w:p w14:paraId="1B9230B8">
            <w:pPr>
              <w:ind w:right="36" w:rightChars="17"/>
              <w:jc w:val="center"/>
              <w:rPr>
                <w:rFonts w:hint="eastAsia"/>
                <w:bCs/>
                <w:sz w:val="21"/>
                <w:szCs w:val="21"/>
              </w:rPr>
            </w:pPr>
            <w:r>
              <w:rPr>
                <w:rFonts w:hint="eastAsia" w:ascii="宋体" w:hAnsi="宋体"/>
                <w:sz w:val="21"/>
                <w:szCs w:val="21"/>
              </w:rPr>
              <w:t>堡垒机</w:t>
            </w:r>
          </w:p>
        </w:tc>
        <w:tc>
          <w:tcPr>
            <w:tcW w:w="328" w:type="pct"/>
            <w:vAlign w:val="center"/>
          </w:tcPr>
          <w:p w14:paraId="6B1A2133">
            <w:pPr>
              <w:ind w:right="36" w:rightChars="17"/>
              <w:jc w:val="center"/>
              <w:rPr>
                <w:bCs/>
                <w:sz w:val="21"/>
                <w:szCs w:val="21"/>
              </w:rPr>
            </w:pPr>
          </w:p>
        </w:tc>
        <w:tc>
          <w:tcPr>
            <w:tcW w:w="346" w:type="pct"/>
            <w:vAlign w:val="center"/>
          </w:tcPr>
          <w:p w14:paraId="5CEC0CBB">
            <w:pPr>
              <w:ind w:right="36" w:rightChars="17"/>
              <w:jc w:val="center"/>
              <w:rPr>
                <w:bCs/>
                <w:sz w:val="21"/>
                <w:szCs w:val="21"/>
              </w:rPr>
            </w:pPr>
          </w:p>
        </w:tc>
        <w:tc>
          <w:tcPr>
            <w:tcW w:w="270" w:type="pct"/>
            <w:vAlign w:val="center"/>
          </w:tcPr>
          <w:p w14:paraId="286472AC">
            <w:pPr>
              <w:jc w:val="center"/>
              <w:rPr>
                <w:bCs/>
                <w:sz w:val="21"/>
                <w:szCs w:val="21"/>
              </w:rPr>
            </w:pPr>
          </w:p>
        </w:tc>
        <w:tc>
          <w:tcPr>
            <w:tcW w:w="440" w:type="pct"/>
            <w:vAlign w:val="center"/>
          </w:tcPr>
          <w:p w14:paraId="349BAC61">
            <w:pPr>
              <w:jc w:val="center"/>
              <w:rPr>
                <w:bCs/>
                <w:sz w:val="21"/>
                <w:szCs w:val="21"/>
              </w:rPr>
            </w:pPr>
          </w:p>
        </w:tc>
        <w:tc>
          <w:tcPr>
            <w:tcW w:w="364" w:type="pct"/>
            <w:vAlign w:val="center"/>
          </w:tcPr>
          <w:p w14:paraId="4D418B65">
            <w:pPr>
              <w:ind w:right="36" w:rightChars="17"/>
              <w:jc w:val="center"/>
              <w:rPr>
                <w:rFonts w:hint="eastAsia"/>
                <w:bCs/>
                <w:sz w:val="21"/>
                <w:szCs w:val="21"/>
              </w:rPr>
            </w:pPr>
            <w:r>
              <w:rPr>
                <w:rFonts w:hint="eastAsia" w:ascii="宋体" w:hAnsi="宋体"/>
                <w:sz w:val="21"/>
                <w:szCs w:val="21"/>
              </w:rPr>
              <w:t>1</w:t>
            </w:r>
          </w:p>
        </w:tc>
        <w:tc>
          <w:tcPr>
            <w:tcW w:w="252" w:type="pct"/>
            <w:vAlign w:val="center"/>
          </w:tcPr>
          <w:p w14:paraId="69031020">
            <w:pPr>
              <w:ind w:right="36" w:rightChars="17"/>
              <w:jc w:val="center"/>
              <w:rPr>
                <w:rFonts w:hint="eastAsia"/>
                <w:bCs/>
                <w:sz w:val="21"/>
                <w:szCs w:val="21"/>
              </w:rPr>
            </w:pPr>
            <w:r>
              <w:rPr>
                <w:rFonts w:hint="eastAsia" w:ascii="宋体" w:hAnsi="宋体"/>
                <w:kern w:val="0"/>
                <w:sz w:val="21"/>
                <w:szCs w:val="21"/>
              </w:rPr>
              <w:t>台</w:t>
            </w:r>
          </w:p>
        </w:tc>
        <w:tc>
          <w:tcPr>
            <w:tcW w:w="346" w:type="pct"/>
            <w:vAlign w:val="center"/>
          </w:tcPr>
          <w:p w14:paraId="7EEBDF13">
            <w:pPr>
              <w:jc w:val="center"/>
              <w:rPr>
                <w:bCs/>
                <w:sz w:val="21"/>
                <w:szCs w:val="21"/>
              </w:rPr>
            </w:pPr>
          </w:p>
        </w:tc>
        <w:tc>
          <w:tcPr>
            <w:tcW w:w="458" w:type="pct"/>
            <w:vAlign w:val="center"/>
          </w:tcPr>
          <w:p w14:paraId="260E1D9C">
            <w:pPr>
              <w:jc w:val="center"/>
              <w:rPr>
                <w:bCs/>
                <w:sz w:val="21"/>
                <w:szCs w:val="21"/>
              </w:rPr>
            </w:pPr>
          </w:p>
        </w:tc>
        <w:tc>
          <w:tcPr>
            <w:tcW w:w="430" w:type="pct"/>
            <w:vMerge w:val="continue"/>
            <w:vAlign w:val="center"/>
          </w:tcPr>
          <w:p w14:paraId="237A8D16">
            <w:pPr>
              <w:jc w:val="center"/>
              <w:rPr>
                <w:rFonts w:hint="eastAsia"/>
                <w:b/>
                <w:bCs/>
                <w:color w:val="FF0000"/>
                <w:sz w:val="21"/>
                <w:szCs w:val="21"/>
              </w:rPr>
            </w:pPr>
          </w:p>
        </w:tc>
        <w:tc>
          <w:tcPr>
            <w:tcW w:w="418" w:type="pct"/>
            <w:vMerge w:val="continue"/>
            <w:vAlign w:val="center"/>
          </w:tcPr>
          <w:p w14:paraId="75BCA322">
            <w:pPr>
              <w:jc w:val="center"/>
              <w:rPr>
                <w:rFonts w:hint="eastAsia"/>
                <w:b/>
                <w:bCs/>
                <w:color w:val="FF0000"/>
                <w:sz w:val="21"/>
                <w:szCs w:val="21"/>
              </w:rPr>
            </w:pPr>
          </w:p>
        </w:tc>
      </w:tr>
      <w:tr w14:paraId="0557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vAlign w:val="center"/>
          </w:tcPr>
          <w:p w14:paraId="280BED5A">
            <w:pPr>
              <w:ind w:right="36" w:rightChars="17"/>
              <w:jc w:val="center"/>
              <w:rPr>
                <w:rFonts w:hint="eastAsia"/>
                <w:bCs/>
                <w:sz w:val="21"/>
                <w:szCs w:val="21"/>
              </w:rPr>
            </w:pPr>
            <w:r>
              <w:rPr>
                <w:rFonts w:hint="eastAsia" w:ascii="宋体" w:hAnsi="宋体"/>
                <w:sz w:val="21"/>
                <w:szCs w:val="21"/>
              </w:rPr>
              <w:t>20</w:t>
            </w:r>
          </w:p>
        </w:tc>
        <w:tc>
          <w:tcPr>
            <w:tcW w:w="1053" w:type="pct"/>
            <w:vAlign w:val="center"/>
          </w:tcPr>
          <w:p w14:paraId="519FD287">
            <w:pPr>
              <w:ind w:right="36" w:rightChars="17"/>
              <w:jc w:val="center"/>
              <w:rPr>
                <w:rFonts w:hint="eastAsia"/>
                <w:bCs/>
                <w:sz w:val="21"/>
                <w:szCs w:val="21"/>
              </w:rPr>
            </w:pPr>
            <w:r>
              <w:rPr>
                <w:rFonts w:hint="eastAsia" w:ascii="宋体" w:hAnsi="宋体"/>
                <w:sz w:val="21"/>
                <w:szCs w:val="21"/>
              </w:rPr>
              <w:t>集成服务</w:t>
            </w:r>
          </w:p>
        </w:tc>
        <w:tc>
          <w:tcPr>
            <w:tcW w:w="328" w:type="pct"/>
            <w:vAlign w:val="center"/>
          </w:tcPr>
          <w:p w14:paraId="791CFC1B">
            <w:pPr>
              <w:ind w:right="36" w:rightChars="17"/>
              <w:jc w:val="center"/>
              <w:rPr>
                <w:bCs/>
                <w:sz w:val="21"/>
                <w:szCs w:val="21"/>
              </w:rPr>
            </w:pPr>
          </w:p>
        </w:tc>
        <w:tc>
          <w:tcPr>
            <w:tcW w:w="346" w:type="pct"/>
            <w:vAlign w:val="center"/>
          </w:tcPr>
          <w:p w14:paraId="70167323">
            <w:pPr>
              <w:ind w:right="36" w:rightChars="17"/>
              <w:jc w:val="center"/>
              <w:rPr>
                <w:bCs/>
                <w:sz w:val="21"/>
                <w:szCs w:val="21"/>
              </w:rPr>
            </w:pPr>
          </w:p>
        </w:tc>
        <w:tc>
          <w:tcPr>
            <w:tcW w:w="270" w:type="pct"/>
            <w:vAlign w:val="center"/>
          </w:tcPr>
          <w:p w14:paraId="4F118514">
            <w:pPr>
              <w:jc w:val="center"/>
              <w:rPr>
                <w:bCs/>
                <w:sz w:val="21"/>
                <w:szCs w:val="21"/>
              </w:rPr>
            </w:pPr>
          </w:p>
        </w:tc>
        <w:tc>
          <w:tcPr>
            <w:tcW w:w="440" w:type="pct"/>
            <w:vAlign w:val="center"/>
          </w:tcPr>
          <w:p w14:paraId="276B8A3F">
            <w:pPr>
              <w:jc w:val="center"/>
              <w:rPr>
                <w:bCs/>
                <w:sz w:val="21"/>
                <w:szCs w:val="21"/>
              </w:rPr>
            </w:pPr>
          </w:p>
        </w:tc>
        <w:tc>
          <w:tcPr>
            <w:tcW w:w="364" w:type="pct"/>
            <w:vAlign w:val="center"/>
          </w:tcPr>
          <w:p w14:paraId="7F462ADF">
            <w:pPr>
              <w:ind w:right="36" w:rightChars="17"/>
              <w:jc w:val="center"/>
              <w:rPr>
                <w:rFonts w:hint="eastAsia"/>
                <w:bCs/>
                <w:sz w:val="21"/>
                <w:szCs w:val="21"/>
              </w:rPr>
            </w:pPr>
            <w:r>
              <w:rPr>
                <w:rFonts w:hint="eastAsia" w:ascii="宋体" w:hAnsi="宋体"/>
                <w:sz w:val="21"/>
                <w:szCs w:val="21"/>
              </w:rPr>
              <w:t>1</w:t>
            </w:r>
          </w:p>
        </w:tc>
        <w:tc>
          <w:tcPr>
            <w:tcW w:w="252" w:type="pct"/>
            <w:vAlign w:val="center"/>
          </w:tcPr>
          <w:p w14:paraId="4C5B6A1D">
            <w:pPr>
              <w:ind w:right="36" w:rightChars="17"/>
              <w:jc w:val="center"/>
              <w:rPr>
                <w:rFonts w:hint="eastAsia"/>
                <w:bCs/>
                <w:sz w:val="21"/>
                <w:szCs w:val="21"/>
              </w:rPr>
            </w:pPr>
            <w:r>
              <w:rPr>
                <w:rFonts w:hint="eastAsia" w:ascii="宋体" w:hAnsi="宋体"/>
                <w:sz w:val="21"/>
                <w:szCs w:val="21"/>
              </w:rPr>
              <w:t>项</w:t>
            </w:r>
          </w:p>
        </w:tc>
        <w:tc>
          <w:tcPr>
            <w:tcW w:w="346" w:type="pct"/>
            <w:vAlign w:val="center"/>
          </w:tcPr>
          <w:p w14:paraId="2DDA8664">
            <w:pPr>
              <w:jc w:val="center"/>
              <w:rPr>
                <w:bCs/>
                <w:sz w:val="21"/>
                <w:szCs w:val="21"/>
              </w:rPr>
            </w:pPr>
          </w:p>
        </w:tc>
        <w:tc>
          <w:tcPr>
            <w:tcW w:w="458" w:type="pct"/>
            <w:vAlign w:val="center"/>
          </w:tcPr>
          <w:p w14:paraId="35E4BA2A">
            <w:pPr>
              <w:jc w:val="center"/>
              <w:rPr>
                <w:bCs/>
                <w:sz w:val="21"/>
                <w:szCs w:val="21"/>
              </w:rPr>
            </w:pPr>
          </w:p>
        </w:tc>
        <w:tc>
          <w:tcPr>
            <w:tcW w:w="430" w:type="pct"/>
            <w:vMerge w:val="continue"/>
            <w:vAlign w:val="center"/>
          </w:tcPr>
          <w:p w14:paraId="5A58B022">
            <w:pPr>
              <w:jc w:val="center"/>
              <w:rPr>
                <w:rFonts w:hint="eastAsia"/>
                <w:b/>
                <w:bCs/>
                <w:color w:val="FF0000"/>
                <w:sz w:val="21"/>
                <w:szCs w:val="21"/>
              </w:rPr>
            </w:pPr>
          </w:p>
        </w:tc>
        <w:tc>
          <w:tcPr>
            <w:tcW w:w="418" w:type="pct"/>
            <w:vMerge w:val="continue"/>
            <w:vAlign w:val="center"/>
          </w:tcPr>
          <w:p w14:paraId="6CC6666B">
            <w:pPr>
              <w:jc w:val="center"/>
              <w:rPr>
                <w:rFonts w:hint="eastAsia"/>
                <w:b/>
                <w:bCs/>
                <w:color w:val="FF0000"/>
                <w:sz w:val="21"/>
                <w:szCs w:val="21"/>
              </w:rPr>
            </w:pPr>
          </w:p>
        </w:tc>
      </w:tr>
      <w:tr w14:paraId="3E420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2"/>
            <w:vAlign w:val="center"/>
          </w:tcPr>
          <w:p w14:paraId="61713199">
            <w:pPr>
              <w:jc w:val="center"/>
              <w:rPr>
                <w:bCs/>
                <w:sz w:val="21"/>
                <w:szCs w:val="21"/>
              </w:rPr>
            </w:pPr>
            <w:r>
              <w:rPr>
                <w:rFonts w:hint="eastAsia"/>
                <w:bCs/>
                <w:sz w:val="21"/>
                <w:szCs w:val="21"/>
              </w:rPr>
              <w:t>合计（即投标总价；币种：人民币；单位：元） 小写：            大写：</w:t>
            </w:r>
          </w:p>
        </w:tc>
      </w:tr>
    </w:tbl>
    <w:p w14:paraId="35AABD4D">
      <w:pPr>
        <w:ind w:firstLine="482" w:firstLineChars="200"/>
        <w:rPr>
          <w:rFonts w:ascii="宋体" w:hAnsi="宋体"/>
          <w:b/>
          <w:sz w:val="24"/>
          <w:highlight w:val="yellow"/>
        </w:rPr>
      </w:pPr>
    </w:p>
    <w:p w14:paraId="342807A1">
      <w:pPr>
        <w:ind w:firstLine="482" w:firstLineChars="200"/>
        <w:rPr>
          <w:rFonts w:ascii="宋体" w:hAnsi="宋体"/>
          <w:b/>
          <w:sz w:val="24"/>
        </w:rPr>
      </w:pPr>
      <w:r>
        <w:rPr>
          <w:rFonts w:hint="eastAsia" w:ascii="宋体" w:hAnsi="宋体"/>
          <w:b/>
          <w:sz w:val="24"/>
        </w:rPr>
        <w:t>注：1.本表可按同样格式扩展。</w:t>
      </w:r>
    </w:p>
    <w:p w14:paraId="44762B22">
      <w:pPr>
        <w:ind w:firstLine="472" w:firstLineChars="196"/>
        <w:rPr>
          <w:rFonts w:ascii="宋体" w:hAnsi="宋体"/>
          <w:b/>
          <w:sz w:val="24"/>
        </w:rPr>
      </w:pPr>
      <w:r>
        <w:rPr>
          <w:rFonts w:hint="eastAsia" w:ascii="宋体" w:hAnsi="宋体"/>
          <w:b/>
          <w:sz w:val="24"/>
        </w:rPr>
        <w:t>2</w:t>
      </w:r>
      <w:r>
        <w:rPr>
          <w:rFonts w:ascii="宋体" w:hAnsi="宋体"/>
          <w:b/>
          <w:sz w:val="24"/>
        </w:rPr>
        <w:t>.</w:t>
      </w:r>
      <w:r>
        <w:rPr>
          <w:rFonts w:hint="eastAsia" w:ascii="宋体" w:hAnsi="宋体"/>
          <w:b/>
          <w:sz w:val="24"/>
        </w:rPr>
        <w:t>“品牌”可以与商标一致，也可以填写便于区分其他公司商品的制造商简称或者制造商认可的品牌名称。</w:t>
      </w:r>
    </w:p>
    <w:p w14:paraId="36AB0A9E">
      <w:pPr>
        <w:ind w:firstLine="472" w:firstLineChars="196"/>
        <w:rPr>
          <w:b/>
          <w:sz w:val="24"/>
        </w:rPr>
      </w:pPr>
      <w:r>
        <w:rPr>
          <w:rFonts w:hint="eastAsia" w:ascii="宋体" w:hAnsi="宋体"/>
          <w:b/>
          <w:sz w:val="24"/>
        </w:rPr>
        <w:t>3.如所投货物属于定制类的非量产货物或无具体型号的货物，可以在“规格/型号”</w:t>
      </w:r>
      <w:r>
        <w:rPr>
          <w:rFonts w:hint="eastAsia" w:ascii="宋体" w:hAnsi="宋体"/>
          <w:b/>
          <w:sz w:val="24"/>
          <w:lang w:val="en-US" w:eastAsia="zh-CN"/>
        </w:rPr>
        <w:t>栏目</w:t>
      </w:r>
      <w:r>
        <w:rPr>
          <w:rFonts w:hint="eastAsia" w:ascii="宋体" w:hAnsi="宋体"/>
          <w:b/>
          <w:sz w:val="24"/>
        </w:rPr>
        <w:t>仅填写规格信息而不填型号信息（型号信息用“定制”描述即可）；此类填写错误</w:t>
      </w:r>
      <w:r>
        <w:rPr>
          <w:rFonts w:hint="eastAsia" w:ascii="宋体" w:hAnsi="宋体"/>
          <w:b/>
          <w:sz w:val="24"/>
          <w:lang w:val="en-US" w:eastAsia="zh-CN"/>
        </w:rPr>
        <w:t>或缺漏</w:t>
      </w:r>
      <w:r>
        <w:rPr>
          <w:rFonts w:hint="eastAsia" w:ascii="宋体" w:hAnsi="宋体"/>
          <w:b/>
          <w:sz w:val="24"/>
        </w:rPr>
        <w:t>（所投货物为定制类的非量产货物但供应商却错误填报了型号）的不利后果</w:t>
      </w:r>
      <w:r>
        <w:rPr>
          <w:rFonts w:hint="eastAsia"/>
          <w:b/>
          <w:sz w:val="24"/>
        </w:rPr>
        <w:t>由供应商承担</w:t>
      </w:r>
      <w:r>
        <w:rPr>
          <w:rFonts w:hint="eastAsia"/>
          <w:b/>
          <w:sz w:val="24"/>
          <w:lang w:eastAsia="zh-CN"/>
        </w:rPr>
        <w:t>。</w:t>
      </w:r>
      <w:r>
        <w:rPr>
          <w:rFonts w:hint="eastAsia"/>
          <w:b/>
          <w:sz w:val="24"/>
        </w:rPr>
        <w:t>经评审委员会认定，在使用综合评分法的项目中一项此类填写错误</w:t>
      </w:r>
      <w:r>
        <w:rPr>
          <w:rFonts w:hint="eastAsia"/>
          <w:b/>
          <w:sz w:val="24"/>
          <w:lang w:val="en-US" w:eastAsia="zh-CN"/>
        </w:rPr>
        <w:t>或缺漏</w:t>
      </w:r>
      <w:r>
        <w:rPr>
          <w:rFonts w:hint="eastAsia"/>
          <w:b/>
          <w:sz w:val="24"/>
        </w:rPr>
        <w:t>将按照一项</w:t>
      </w:r>
      <w:r>
        <w:rPr>
          <w:rFonts w:hint="eastAsia" w:ascii="Times New Roman" w:hAnsi="Times New Roman" w:eastAsia="宋体" w:cs="Times New Roman"/>
          <w:b/>
          <w:sz w:val="24"/>
        </w:rPr>
        <w:t>重要参数</w:t>
      </w:r>
      <w:r>
        <w:rPr>
          <w:rFonts w:hint="eastAsia" w:ascii="Times New Roman" w:hAnsi="Times New Roman" w:eastAsia="宋体" w:cs="Times New Roman"/>
          <w:b/>
          <w:sz w:val="24"/>
          <w:lang w:val="en-US" w:eastAsia="zh-CN"/>
        </w:rPr>
        <w:t>招</w:t>
      </w:r>
      <w:r>
        <w:rPr>
          <w:rFonts w:hint="eastAsia"/>
          <w:b/>
          <w:sz w:val="24"/>
          <w:lang w:val="en-US" w:eastAsia="zh-CN"/>
        </w:rPr>
        <w:t>标技术要求（“▲”指标项/重要参数条款）</w:t>
      </w:r>
      <w:r>
        <w:rPr>
          <w:rFonts w:hint="eastAsia"/>
          <w:b/>
          <w:sz w:val="24"/>
        </w:rPr>
        <w:t>负偏离扣分处理。</w:t>
      </w:r>
    </w:p>
    <w:p w14:paraId="389448F5">
      <w:pPr>
        <w:ind w:firstLine="472" w:firstLineChars="196"/>
        <w:rPr>
          <w:rFonts w:ascii="宋体" w:hAnsi="宋体"/>
          <w:b/>
          <w:sz w:val="24"/>
        </w:rPr>
      </w:pPr>
      <w:r>
        <w:rPr>
          <w:rFonts w:ascii="宋体" w:hAnsi="宋体"/>
          <w:b/>
          <w:sz w:val="24"/>
        </w:rPr>
        <w:t>3</w:t>
      </w:r>
      <w:r>
        <w:rPr>
          <w:rFonts w:hint="eastAsia" w:ascii="宋体" w:hAnsi="宋体"/>
          <w:b/>
          <w:sz w:val="24"/>
        </w:rPr>
        <w:t>.“原产地”是指货物的实际生产加工地，非品牌所在地</w:t>
      </w:r>
    </w:p>
    <w:p w14:paraId="2DAD72AA">
      <w:pPr>
        <w:ind w:firstLine="472" w:firstLineChars="196"/>
        <w:rPr>
          <w:rFonts w:ascii="宋体" w:hAnsi="宋体"/>
          <w:b/>
          <w:sz w:val="24"/>
        </w:rPr>
      </w:pPr>
      <w:r>
        <w:rPr>
          <w:rFonts w:ascii="宋体" w:hAnsi="宋体"/>
          <w:b/>
          <w:sz w:val="24"/>
        </w:rPr>
        <w:t>4</w:t>
      </w:r>
      <w:r>
        <w:rPr>
          <w:rFonts w:hint="eastAsia" w:ascii="宋体" w:hAnsi="宋体"/>
          <w:b/>
          <w:sz w:val="24"/>
        </w:rPr>
        <w:t>.所投货物均应填写制造商名称，“制造商”是指产品品牌厂商，产品代工制造的，应填写接受委托生产制造的制造商。</w:t>
      </w:r>
    </w:p>
    <w:p w14:paraId="699FC64B">
      <w:pPr>
        <w:ind w:firstLine="482" w:firstLineChars="200"/>
        <w:rPr>
          <w:rFonts w:ascii="宋体" w:hAnsi="宋体"/>
          <w:b/>
          <w:sz w:val="24"/>
        </w:rPr>
      </w:pPr>
      <w:r>
        <w:rPr>
          <w:rFonts w:ascii="宋体" w:hAnsi="宋体"/>
          <w:b/>
          <w:sz w:val="24"/>
        </w:rPr>
        <w:t>5</w:t>
      </w:r>
      <w:r>
        <w:rPr>
          <w:rFonts w:hint="eastAsia" w:ascii="宋体" w:hAnsi="宋体"/>
          <w:b/>
          <w:sz w:val="24"/>
        </w:rPr>
        <w:t>.以上分项报价表的投标总价应当与开标一览表的投标总价一致。</w:t>
      </w:r>
    </w:p>
    <w:p w14:paraId="09E3A5F5">
      <w:pPr>
        <w:ind w:firstLine="482" w:firstLineChars="200"/>
        <w:rPr>
          <w:rFonts w:ascii="宋体" w:hAnsi="宋体"/>
          <w:b/>
          <w:sz w:val="24"/>
        </w:rPr>
      </w:pPr>
      <w:r>
        <w:rPr>
          <w:rFonts w:ascii="宋体" w:hAnsi="宋体"/>
          <w:b/>
          <w:sz w:val="24"/>
        </w:rPr>
        <w:t>6</w:t>
      </w:r>
      <w:r>
        <w:rPr>
          <w:rFonts w:hint="eastAsia" w:ascii="宋体" w:hAnsi="宋体"/>
          <w:b/>
          <w:sz w:val="24"/>
        </w:rPr>
        <w:t>.单价、合价和投标总价为包干价，即三者均应包含货物的价款、包装、运输、装卸、安装、调试、技术指导、培训、咨询、服务、保险、税费、检测、验收合格交付使用之前以及技术和售后服务等其他各项有关费用。</w:t>
      </w:r>
    </w:p>
    <w:p w14:paraId="50EA20B0">
      <w:pPr>
        <w:ind w:firstLine="482" w:firstLineChars="200"/>
        <w:rPr>
          <w:rFonts w:ascii="宋体" w:hAnsi="宋体"/>
          <w:b/>
          <w:sz w:val="24"/>
        </w:rPr>
      </w:pPr>
      <w:r>
        <w:rPr>
          <w:rFonts w:ascii="宋体" w:hAnsi="宋体"/>
          <w:b/>
          <w:sz w:val="24"/>
        </w:rPr>
        <w:t>7</w:t>
      </w:r>
      <w:r>
        <w:rPr>
          <w:rFonts w:hint="eastAsia" w:ascii="宋体" w:hAnsi="宋体"/>
          <w:b/>
          <w:sz w:val="24"/>
        </w:rPr>
        <w:t>.所有价格应按“招标文件”中规定的货币单位填写；投标总价应为以上各分项价格之和；投标总价和项目报价表中单个采购预算条目报价均不得超过对应的预算金额（或设定的预算金额下的最高限价），否则将导致投标无效。</w:t>
      </w:r>
    </w:p>
    <w:p w14:paraId="29485954">
      <w:pPr>
        <w:ind w:firstLine="482" w:firstLineChars="200"/>
        <w:rPr>
          <w:rFonts w:ascii="宋体" w:hAnsi="宋体"/>
          <w:b/>
          <w:sz w:val="24"/>
        </w:rPr>
      </w:pPr>
    </w:p>
    <w:p w14:paraId="5C8D1F63">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358CA3A5">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663D66EA">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66FD54AD">
      <w:pPr>
        <w:ind w:firstLine="482" w:firstLineChars="200"/>
        <w:rPr>
          <w:rFonts w:ascii="宋体" w:hAnsi="宋体"/>
          <w:b/>
          <w:color w:val="FF0000"/>
          <w:sz w:val="24"/>
        </w:rPr>
      </w:pPr>
    </w:p>
    <w:p w14:paraId="54F36435">
      <w:pPr>
        <w:tabs>
          <w:tab w:val="left" w:pos="720"/>
        </w:tabs>
        <w:jc w:val="center"/>
        <w:rPr>
          <w:b/>
          <w:sz w:val="24"/>
        </w:rPr>
      </w:pPr>
      <w:r>
        <w:rPr>
          <w:rFonts w:hint="eastAsia"/>
          <w:b/>
          <w:sz w:val="24"/>
        </w:rPr>
        <w:t>（二）核心产品品牌</w:t>
      </w:r>
    </w:p>
    <w:p w14:paraId="4A374884">
      <w:pPr>
        <w:ind w:firstLine="482" w:firstLineChars="200"/>
        <w:rPr>
          <w:rFonts w:ascii="宋体" w:hAnsi="宋体"/>
          <w:b/>
          <w:color w:val="FF0000"/>
          <w:sz w:val="24"/>
        </w:rPr>
      </w:pPr>
    </w:p>
    <w:p w14:paraId="3818A886">
      <w:pPr>
        <w:ind w:firstLine="482" w:firstLineChars="200"/>
        <w:rPr>
          <w:rFonts w:ascii="宋体" w:hAnsi="宋体"/>
          <w:b/>
          <w:sz w:val="24"/>
        </w:rPr>
      </w:pPr>
      <w:r>
        <w:rPr>
          <w:rFonts w:hint="eastAsia"/>
          <w:b/>
          <w:sz w:val="24"/>
        </w:rPr>
        <w:t>我单位所投核心产品的品牌为：</w:t>
      </w:r>
      <w:r>
        <w:rPr>
          <w:rFonts w:hint="eastAsia"/>
          <w:b/>
          <w:bCs/>
          <w:szCs w:val="21"/>
          <w:u w:val="thick"/>
        </w:rPr>
        <w:tab/>
      </w:r>
      <w:r>
        <w:rPr>
          <w:rFonts w:hint="eastAsia"/>
          <w:b/>
          <w:bCs/>
          <w:szCs w:val="21"/>
          <w:u w:val="thick"/>
        </w:rPr>
        <w:tab/>
      </w:r>
      <w:r>
        <w:rPr>
          <w:rFonts w:hint="eastAsia"/>
          <w:b/>
          <w:bCs/>
          <w:szCs w:val="21"/>
          <w:u w:val="thick"/>
        </w:rPr>
        <w:tab/>
      </w:r>
      <w:r>
        <w:rPr>
          <w:rFonts w:hint="eastAsia"/>
          <w:b/>
          <w:bCs/>
          <w:szCs w:val="21"/>
          <w:u w:val="thick"/>
        </w:rPr>
        <w:tab/>
      </w:r>
      <w:r>
        <w:rPr>
          <w:rFonts w:hint="eastAsia"/>
          <w:b/>
          <w:sz w:val="24"/>
        </w:rPr>
        <w:t>。</w:t>
      </w:r>
    </w:p>
    <w:p w14:paraId="5A3A223D">
      <w:pPr>
        <w:ind w:firstLine="482" w:firstLineChars="200"/>
        <w:rPr>
          <w:rFonts w:ascii="宋体" w:hAnsi="宋体"/>
          <w:b/>
          <w:color w:val="FF0000"/>
          <w:sz w:val="24"/>
        </w:rPr>
      </w:pPr>
    </w:p>
    <w:p w14:paraId="4AD94F57">
      <w:pPr>
        <w:ind w:firstLine="480" w:firstLineChars="200"/>
        <w:rPr>
          <w:rFonts w:ascii="宋体" w:hAnsi="宋体"/>
          <w:sz w:val="24"/>
        </w:rPr>
      </w:pPr>
      <w:r>
        <w:rPr>
          <w:rFonts w:hint="eastAsia" w:ascii="宋体" w:hAnsi="宋体"/>
          <w:sz w:val="24"/>
        </w:rPr>
        <w:t>备注：招标文件未列明核心产品的，无需填写该项。</w:t>
      </w:r>
    </w:p>
    <w:p w14:paraId="01565914">
      <w:pPr>
        <w:ind w:firstLine="1205" w:firstLineChars="500"/>
        <w:rPr>
          <w:rFonts w:ascii="宋体" w:hAnsi="宋体"/>
          <w:b/>
          <w:bCs/>
          <w:sz w:val="24"/>
        </w:rPr>
      </w:pPr>
      <w:r>
        <w:rPr>
          <w:rFonts w:hint="eastAsia" w:ascii="宋体" w:hAnsi="宋体"/>
          <w:b/>
          <w:bCs/>
          <w:sz w:val="24"/>
        </w:rPr>
        <w:t xml:space="preserve">本项目核心产品为：             </w:t>
      </w:r>
    </w:p>
    <w:p w14:paraId="78DEA391">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6CFBB9FD">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7F485FC6">
      <w:pPr>
        <w:jc w:val="right"/>
        <w:rPr>
          <w:rFonts w:ascii="宋体" w:hAnsi="宋体" w:cs="宋体"/>
          <w:szCs w:val="21"/>
        </w:rPr>
      </w:pPr>
      <w:r>
        <w:rPr>
          <w:rFonts w:hint="eastAsia" w:ascii="宋体" w:hAnsi="宋体" w:cs="宋体"/>
          <w:szCs w:val="21"/>
        </w:rPr>
        <w:t>日期：      年    月    日</w:t>
      </w:r>
    </w:p>
    <w:p w14:paraId="1596DDFF"/>
    <w:p w14:paraId="6D30CF56"/>
    <w:p w14:paraId="34F7BE82">
      <w:pPr>
        <w:tabs>
          <w:tab w:val="left" w:pos="720"/>
        </w:tabs>
        <w:ind w:firstLine="1928" w:firstLineChars="800"/>
        <w:rPr>
          <w:b/>
          <w:sz w:val="24"/>
        </w:rPr>
      </w:pPr>
      <w:r>
        <w:rPr>
          <w:rFonts w:hint="eastAsia"/>
          <w:b/>
          <w:sz w:val="24"/>
        </w:rPr>
        <w:t>（三）可选配件报价清单（不包括在总报价内）</w:t>
      </w:r>
    </w:p>
    <w:p w14:paraId="23B92CCF">
      <w:pPr>
        <w:ind w:firstLine="422" w:firstLineChars="200"/>
        <w:rPr>
          <w:rFonts w:hAnsi="宋体"/>
          <w:b/>
          <w:bCs/>
          <w:szCs w:val="21"/>
        </w:rPr>
      </w:pPr>
      <w:r>
        <w:rPr>
          <w:rFonts w:hint="eastAsia" w:hAnsi="宋体"/>
          <w:b/>
          <w:bCs/>
          <w:szCs w:val="21"/>
        </w:rPr>
        <w:t>注：格式可以参照《（一）分项报价表》表格，并提供相应的品牌/规格/型号、原产地、制造商信息（没有品牌、型号的，用“定制”描述即可）、单价等详细信息</w:t>
      </w:r>
    </w:p>
    <w:p w14:paraId="6CD66475">
      <w:pPr>
        <w:ind w:firstLine="482" w:firstLineChars="200"/>
        <w:rPr>
          <w:rFonts w:hAnsi="宋体"/>
          <w:b/>
          <w:bCs/>
          <w:sz w:val="24"/>
        </w:rPr>
      </w:pPr>
    </w:p>
    <w:p w14:paraId="07B88546">
      <w:pPr>
        <w:tabs>
          <w:tab w:val="left" w:pos="720"/>
        </w:tabs>
        <w:jc w:val="center"/>
        <w:rPr>
          <w:b/>
          <w:sz w:val="24"/>
        </w:rPr>
      </w:pPr>
      <w:r>
        <w:rPr>
          <w:rFonts w:hint="eastAsia"/>
          <w:b/>
          <w:sz w:val="24"/>
        </w:rPr>
        <w:t>（四）</w:t>
      </w:r>
      <w:bookmarkStart w:id="63" w:name="_Hlk72073235"/>
      <w:r>
        <w:rPr>
          <w:rFonts w:hint="eastAsia"/>
          <w:b/>
          <w:sz w:val="24"/>
        </w:rPr>
        <w:t>投标人认为需要涉及的其他内容报价清单</w:t>
      </w:r>
      <w:bookmarkEnd w:id="63"/>
    </w:p>
    <w:p w14:paraId="5F1EB0F7">
      <w:pPr>
        <w:rPr>
          <w:b/>
          <w:bCs/>
        </w:rPr>
      </w:pPr>
    </w:p>
    <w:p w14:paraId="0EBCDACB">
      <w:pPr>
        <w:pStyle w:val="2"/>
      </w:pPr>
    </w:p>
    <w:p w14:paraId="1DDDA0C6">
      <w:pPr>
        <w:ind w:firstLine="723" w:firstLineChars="300"/>
        <w:rPr>
          <w:b/>
          <w:color w:val="FF0000"/>
          <w:sz w:val="24"/>
        </w:rPr>
      </w:pPr>
      <w:r>
        <w:rPr>
          <w:rFonts w:hint="eastAsia"/>
          <w:b/>
          <w:color w:val="FF0000"/>
          <w:sz w:val="24"/>
        </w:rPr>
        <w:t>（信息公开部分的内容到此为止！以下为信息不公开部分。）</w:t>
      </w:r>
    </w:p>
    <w:bookmarkEnd w:id="62"/>
    <w:p w14:paraId="481D9AA8">
      <w:r>
        <w:br w:type="page"/>
      </w:r>
    </w:p>
    <w:p w14:paraId="5B11B682">
      <w:pPr>
        <w:outlineLvl w:val="1"/>
        <w:rPr>
          <w:rFonts w:ascii="宋体" w:hAnsi="宋体"/>
          <w:b/>
          <w:color w:val="FF0000"/>
          <w:sz w:val="28"/>
          <w:szCs w:val="28"/>
        </w:rPr>
      </w:pPr>
      <w:bookmarkStart w:id="64" w:name="_Hlk72260530"/>
      <w:r>
        <w:rPr>
          <w:rFonts w:hint="eastAsia" w:ascii="宋体" w:hAnsi="宋体"/>
          <w:b/>
          <w:color w:val="FF0000"/>
          <w:sz w:val="28"/>
          <w:szCs w:val="28"/>
        </w:rPr>
        <w:t>投标文件附件（信息不公开部分）</w:t>
      </w:r>
    </w:p>
    <w:p w14:paraId="100F1B47">
      <w:pPr>
        <w:pStyle w:val="5"/>
        <w:jc w:val="center"/>
        <w:rPr>
          <w:rFonts w:ascii="黑体" w:eastAsia="黑体"/>
          <w:b w:val="0"/>
          <w:sz w:val="24"/>
        </w:rPr>
      </w:pPr>
      <w:r>
        <w:rPr>
          <w:rFonts w:hint="eastAsia" w:ascii="黑体" w:eastAsia="黑体"/>
          <w:b w:val="0"/>
          <w:sz w:val="24"/>
        </w:rPr>
        <w:t>一、</w:t>
      </w:r>
      <w:bookmarkStart w:id="65" w:name="_Hlk72092499"/>
      <w:r>
        <w:rPr>
          <w:rFonts w:hint="eastAsia" w:ascii="黑体" w:eastAsia="黑体"/>
          <w:b w:val="0"/>
          <w:sz w:val="24"/>
        </w:rPr>
        <w:t>法定代表人（负责人）证明书</w:t>
      </w:r>
      <w:bookmarkEnd w:id="65"/>
    </w:p>
    <w:p w14:paraId="4CC4564F">
      <w:pPr>
        <w:rPr>
          <w:sz w:val="24"/>
        </w:rPr>
      </w:pPr>
    </w:p>
    <w:p w14:paraId="749FE4D1">
      <w:pPr>
        <w:spacing w:line="360" w:lineRule="auto"/>
        <w:ind w:firstLine="420" w:firstLineChars="200"/>
        <w:rPr>
          <w:szCs w:val="21"/>
        </w:rPr>
      </w:pPr>
      <w:r>
        <w:rPr>
          <w:rFonts w:hint="eastAsia"/>
          <w:szCs w:val="21"/>
          <w:u w:val="single"/>
        </w:rPr>
        <w:t xml:space="preserve">         </w:t>
      </w:r>
      <w:r>
        <w:rPr>
          <w:rFonts w:hint="eastAsia"/>
          <w:szCs w:val="21"/>
        </w:rPr>
        <w:t>同志，身份证号码：</w:t>
      </w:r>
      <w:r>
        <w:rPr>
          <w:rFonts w:hint="eastAsia"/>
          <w:szCs w:val="21"/>
          <w:u w:val="single"/>
        </w:rPr>
        <w:t xml:space="preserve">               </w:t>
      </w:r>
      <w:r>
        <w:rPr>
          <w:rFonts w:hint="eastAsia"/>
          <w:szCs w:val="21"/>
        </w:rPr>
        <w:t>，现任我单位</w:t>
      </w:r>
      <w:r>
        <w:rPr>
          <w:rFonts w:hint="eastAsia"/>
          <w:szCs w:val="21"/>
          <w:u w:val="single"/>
        </w:rPr>
        <w:t xml:space="preserve">         </w:t>
      </w:r>
      <w:r>
        <w:rPr>
          <w:rFonts w:hint="eastAsia"/>
          <w:szCs w:val="21"/>
        </w:rPr>
        <w:t>职务，为法定代表人（负责人），特此证明。</w:t>
      </w:r>
    </w:p>
    <w:p w14:paraId="01CD69E9">
      <w:pPr>
        <w:spacing w:line="360" w:lineRule="auto"/>
        <w:rPr>
          <w:szCs w:val="21"/>
        </w:rPr>
      </w:pPr>
    </w:p>
    <w:p w14:paraId="5C5B3AB2">
      <w:pPr>
        <w:spacing w:line="360" w:lineRule="auto"/>
        <w:rPr>
          <w:szCs w:val="21"/>
        </w:rPr>
      </w:pPr>
      <w:r>
        <w:rPr>
          <w:rFonts w:hint="eastAsia"/>
          <w:szCs w:val="21"/>
        </w:rPr>
        <w:t>说明：1、法定代表人为投标人（企业事业单位、国家机关、社会团体）的主要行政负责人。</w:t>
      </w:r>
    </w:p>
    <w:p w14:paraId="47B69C92">
      <w:pPr>
        <w:rPr>
          <w:szCs w:val="21"/>
        </w:rPr>
      </w:pPr>
      <w:r>
        <w:rPr>
          <w:rFonts w:hint="eastAsia"/>
          <w:szCs w:val="21"/>
        </w:rPr>
        <w:t xml:space="preserve">      2、内容必须填写真实、清楚，涂改无效，不得转让、买卖。</w:t>
      </w:r>
    </w:p>
    <w:p w14:paraId="3A833853">
      <w:pPr>
        <w:spacing w:line="360" w:lineRule="auto"/>
        <w:ind w:firstLine="5040" w:firstLineChars="2400"/>
        <w:jc w:val="left"/>
        <w:rPr>
          <w:rFonts w:ascii="宋体" w:hAnsi="宋体" w:cs="宋体"/>
          <w:szCs w:val="21"/>
        </w:rPr>
      </w:pPr>
    </w:p>
    <w:p w14:paraId="7414ADE1">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610A0F04">
      <w:pPr>
        <w:spacing w:line="360" w:lineRule="auto"/>
        <w:ind w:firstLine="5040" w:firstLineChars="2400"/>
        <w:jc w:val="left"/>
        <w:rPr>
          <w:rFonts w:ascii="宋体" w:hAnsi="宋体" w:cs="宋体"/>
          <w:szCs w:val="21"/>
        </w:rPr>
      </w:pPr>
      <w:r>
        <w:rPr>
          <w:rFonts w:hint="eastAsia" w:ascii="宋体" w:hAnsi="宋体" w:cs="宋体"/>
          <w:szCs w:val="21"/>
        </w:rPr>
        <w:t>法定代表人签名或签章：</w:t>
      </w:r>
    </w:p>
    <w:p w14:paraId="6A1279CC">
      <w:pPr>
        <w:wordWrap w:val="0"/>
        <w:jc w:val="right"/>
        <w:rPr>
          <w:sz w:val="24"/>
        </w:rPr>
      </w:pPr>
      <w:r>
        <w:rPr>
          <w:rFonts w:hint="eastAsia" w:ascii="宋体" w:hAnsi="宋体" w:cs="宋体"/>
          <w:szCs w:val="21"/>
        </w:rPr>
        <w:t xml:space="preserve">日期：      年    月    日     </w:t>
      </w:r>
    </w:p>
    <w:p w14:paraId="645D8FC5">
      <w:pPr>
        <w:spacing w:line="360" w:lineRule="auto"/>
        <w:ind w:firstLine="422" w:firstLineChars="200"/>
        <w:rPr>
          <w:b/>
          <w:color w:val="FF0000"/>
          <w:szCs w:val="21"/>
          <w:highlight w:val="yellow"/>
        </w:rPr>
      </w:pPr>
    </w:p>
    <w:p w14:paraId="6C8F81A8">
      <w:pPr>
        <w:spacing w:line="360" w:lineRule="auto"/>
        <w:ind w:firstLine="422" w:firstLineChars="200"/>
        <w:rPr>
          <w:b/>
          <w:bCs/>
          <w:sz w:val="24"/>
          <w:highlight w:val="yellow"/>
        </w:rPr>
      </w:pPr>
      <w:r>
        <w:rPr>
          <w:rFonts w:hint="eastAsia"/>
          <w:b/>
          <w:color w:val="FF0000"/>
          <w:szCs w:val="21"/>
          <w:highlight w:val="yellow"/>
        </w:rPr>
        <w:t>附：中国国籍人员，请提供法定代表人身份证扫描件（正反两面），港澳台居民可提供来往通行证扫描件；非中国国籍人员，可提供公安部门认可的身份证明材料扫描件。要求投标供应商同时提供上述身份证明材料扫描件作为附件方为有效。</w:t>
      </w:r>
    </w:p>
    <w:p w14:paraId="6B839269">
      <w:pPr>
        <w:spacing w:line="360" w:lineRule="auto"/>
        <w:ind w:firstLine="482" w:firstLineChars="200"/>
        <w:rPr>
          <w:b/>
          <w:bCs/>
          <w:sz w:val="24"/>
        </w:rPr>
      </w:pPr>
    </w:p>
    <w:p w14:paraId="301BB165">
      <w:pPr>
        <w:pStyle w:val="9"/>
      </w:pPr>
    </w:p>
    <w:p w14:paraId="5061CDE2">
      <w:pPr>
        <w:pStyle w:val="5"/>
        <w:spacing w:before="120" w:after="120"/>
        <w:jc w:val="center"/>
        <w:rPr>
          <w:rFonts w:ascii="黑体" w:eastAsia="黑体"/>
          <w:b w:val="0"/>
          <w:sz w:val="24"/>
        </w:rPr>
      </w:pPr>
      <w:r>
        <w:rPr>
          <w:rFonts w:hint="eastAsia" w:ascii="黑体" w:eastAsia="黑体"/>
          <w:b w:val="0"/>
          <w:sz w:val="24"/>
        </w:rPr>
        <w:t>二、投标文件签署授权委托书</w:t>
      </w:r>
    </w:p>
    <w:p w14:paraId="7DFFB8F9">
      <w:pPr>
        <w:spacing w:line="360" w:lineRule="auto"/>
        <w:ind w:firstLine="420" w:firstLineChars="200"/>
        <w:rPr>
          <w:szCs w:val="21"/>
        </w:rPr>
      </w:pPr>
      <w:r>
        <w:rPr>
          <w:rFonts w:hint="eastAsia"/>
          <w:szCs w:val="21"/>
        </w:rPr>
        <w:t>本授权委托书声明：我（姓名）</w:t>
      </w:r>
      <w:r>
        <w:rPr>
          <w:rFonts w:hint="eastAsia"/>
          <w:szCs w:val="21"/>
          <w:u w:val="single"/>
        </w:rPr>
        <w:t xml:space="preserve">                   </w:t>
      </w:r>
      <w:r>
        <w:rPr>
          <w:rFonts w:hint="eastAsia"/>
          <w:szCs w:val="21"/>
        </w:rPr>
        <w:t xml:space="preserve"> 系（投标人名称）</w:t>
      </w:r>
      <w:r>
        <w:rPr>
          <w:rFonts w:hint="eastAsia"/>
          <w:szCs w:val="21"/>
          <w:u w:val="single"/>
        </w:rPr>
        <w:t xml:space="preserve">                                    </w:t>
      </w:r>
      <w:r>
        <w:rPr>
          <w:rFonts w:hint="eastAsia"/>
          <w:szCs w:val="21"/>
        </w:rPr>
        <w:t xml:space="preserve">  的法定代表人（负责人），现授权委托（姓名）</w:t>
      </w:r>
      <w:r>
        <w:rPr>
          <w:szCs w:val="21"/>
          <w:u w:val="single"/>
        </w:rPr>
        <w:t xml:space="preserve">                   </w:t>
      </w:r>
      <w:r>
        <w:rPr>
          <w:rFonts w:hint="eastAsia"/>
          <w:szCs w:val="21"/>
        </w:rPr>
        <w:t>为我单位签署本项目已递交的投标文件的法定代表人（负责人）的授权委托代理人，代理人全权代表我所签署的本项目已递交的投标文件内容我均承认。</w:t>
      </w:r>
    </w:p>
    <w:p w14:paraId="3BC69173">
      <w:pPr>
        <w:pStyle w:val="9"/>
        <w:spacing w:line="360" w:lineRule="auto"/>
        <w:rPr>
          <w:szCs w:val="21"/>
        </w:rPr>
      </w:pPr>
      <w:r>
        <w:rPr>
          <w:rFonts w:hint="eastAsia"/>
          <w:szCs w:val="21"/>
        </w:rPr>
        <w:t>代理人无转委托权，特此委托。</w:t>
      </w:r>
    </w:p>
    <w:p w14:paraId="5DA65965">
      <w:pPr>
        <w:pStyle w:val="9"/>
        <w:spacing w:line="360" w:lineRule="auto"/>
        <w:rPr>
          <w:szCs w:val="21"/>
        </w:rPr>
      </w:pPr>
    </w:p>
    <w:p w14:paraId="677E6C72">
      <w:pPr>
        <w:pStyle w:val="9"/>
        <w:spacing w:line="360" w:lineRule="auto"/>
        <w:ind w:left="540" w:leftChars="257" w:firstLine="0"/>
        <w:rPr>
          <w:szCs w:val="21"/>
        </w:rPr>
      </w:pPr>
      <w:r>
        <w:rPr>
          <w:rFonts w:hint="eastAsia"/>
          <w:szCs w:val="21"/>
        </w:rPr>
        <w:t>代理人：</w:t>
      </w:r>
      <w:r>
        <w:rPr>
          <w:rFonts w:hint="eastAsia"/>
          <w:szCs w:val="21"/>
          <w:u w:val="single"/>
        </w:rPr>
        <w:t xml:space="preserve">                                    </w:t>
      </w:r>
      <w:r>
        <w:rPr>
          <w:rFonts w:hint="eastAsia"/>
          <w:szCs w:val="21"/>
          <w:u w:val="single"/>
        </w:rPr>
        <w:tab/>
      </w:r>
      <w:r>
        <w:rPr>
          <w:rFonts w:hint="eastAsia"/>
          <w:szCs w:val="21"/>
          <w:u w:val="single"/>
        </w:rPr>
        <w:t xml:space="preserve">          </w:t>
      </w:r>
    </w:p>
    <w:p w14:paraId="143B19CE">
      <w:pPr>
        <w:spacing w:line="360" w:lineRule="auto"/>
        <w:ind w:left="540" w:leftChars="257"/>
        <w:rPr>
          <w:szCs w:val="21"/>
        </w:rPr>
      </w:pPr>
      <w:r>
        <w:rPr>
          <w:rFonts w:hint="eastAsia"/>
          <w:szCs w:val="21"/>
        </w:rPr>
        <w:t>联系电话：</w:t>
      </w:r>
      <w:r>
        <w:rPr>
          <w:rFonts w:hint="eastAsia"/>
          <w:szCs w:val="21"/>
          <w:u w:val="single"/>
        </w:rPr>
        <w:t xml:space="preserve">                                    </w:t>
      </w:r>
      <w:r>
        <w:rPr>
          <w:rFonts w:hint="eastAsia"/>
          <w:szCs w:val="21"/>
          <w:u w:val="single"/>
        </w:rPr>
        <w:tab/>
      </w:r>
      <w:r>
        <w:rPr>
          <w:rFonts w:hint="eastAsia"/>
          <w:szCs w:val="21"/>
        </w:rPr>
        <w:t xml:space="preserve">                邮箱：</w:t>
      </w:r>
      <w:r>
        <w:rPr>
          <w:rFonts w:hint="eastAsia"/>
          <w:szCs w:val="21"/>
          <w:u w:val="single"/>
        </w:rPr>
        <w:t xml:space="preserve">                                    </w:t>
      </w:r>
      <w:r>
        <w:rPr>
          <w:rFonts w:hint="eastAsia"/>
          <w:szCs w:val="21"/>
          <w:u w:val="single"/>
        </w:rPr>
        <w:tab/>
      </w:r>
    </w:p>
    <w:p w14:paraId="40C7A4C0">
      <w:pPr>
        <w:spacing w:line="360" w:lineRule="auto"/>
        <w:ind w:left="540" w:leftChars="257"/>
        <w:rPr>
          <w:szCs w:val="21"/>
          <w:u w:val="single"/>
        </w:rPr>
      </w:pPr>
      <w:r>
        <w:rPr>
          <w:rFonts w:hint="eastAsia"/>
          <w:szCs w:val="21"/>
        </w:rPr>
        <w:t>身份证号码：</w:t>
      </w:r>
      <w:r>
        <w:rPr>
          <w:rFonts w:hint="eastAsia"/>
          <w:szCs w:val="21"/>
          <w:u w:val="single"/>
        </w:rPr>
        <w:t xml:space="preserve">                                    </w:t>
      </w:r>
      <w:r>
        <w:rPr>
          <w:rFonts w:hint="eastAsia"/>
          <w:szCs w:val="21"/>
          <w:u w:val="single"/>
        </w:rPr>
        <w:tab/>
      </w:r>
      <w:r>
        <w:rPr>
          <w:rFonts w:hint="eastAsia"/>
          <w:szCs w:val="21"/>
        </w:rPr>
        <w:t xml:space="preserve">               职务：</w:t>
      </w:r>
      <w:r>
        <w:rPr>
          <w:rFonts w:hint="eastAsia"/>
          <w:szCs w:val="21"/>
          <w:u w:val="single"/>
        </w:rPr>
        <w:t xml:space="preserve">                                    </w:t>
      </w:r>
      <w:r>
        <w:rPr>
          <w:rFonts w:hint="eastAsia"/>
          <w:szCs w:val="21"/>
          <w:u w:val="single"/>
        </w:rPr>
        <w:tab/>
      </w:r>
    </w:p>
    <w:p w14:paraId="24C57086">
      <w:pPr>
        <w:spacing w:line="360" w:lineRule="auto"/>
        <w:ind w:left="540" w:leftChars="257"/>
        <w:rPr>
          <w:szCs w:val="21"/>
        </w:rPr>
      </w:pPr>
      <w:r>
        <w:rPr>
          <w:rFonts w:hint="eastAsia"/>
          <w:szCs w:val="21"/>
        </w:rPr>
        <w:t>授权委托日期：</w:t>
      </w:r>
      <w:r>
        <w:rPr>
          <w:rFonts w:hint="eastAsia"/>
          <w:szCs w:val="21"/>
          <w:u w:val="single"/>
        </w:rPr>
        <w:t xml:space="preserve">             </w:t>
      </w:r>
      <w:r>
        <w:rPr>
          <w:rFonts w:hint="eastAsia"/>
          <w:szCs w:val="21"/>
        </w:rPr>
        <w:t xml:space="preserve"> 年</w:t>
      </w:r>
      <w:r>
        <w:rPr>
          <w:rFonts w:hint="eastAsia"/>
          <w:szCs w:val="21"/>
          <w:u w:val="single"/>
        </w:rPr>
        <w:t xml:space="preserve">        </w:t>
      </w:r>
      <w:r>
        <w:rPr>
          <w:rFonts w:hint="eastAsia"/>
          <w:szCs w:val="21"/>
          <w:u w:val="single"/>
        </w:rPr>
        <w:tab/>
      </w:r>
      <w:r>
        <w:rPr>
          <w:rFonts w:hint="eastAsia"/>
          <w:szCs w:val="21"/>
        </w:rPr>
        <w:t xml:space="preserve">月  </w:t>
      </w:r>
      <w:r>
        <w:rPr>
          <w:rFonts w:hint="eastAsia"/>
          <w:szCs w:val="21"/>
          <w:u w:val="single"/>
        </w:rPr>
        <w:t xml:space="preserve">             </w:t>
      </w:r>
      <w:r>
        <w:rPr>
          <w:rFonts w:hint="eastAsia"/>
          <w:szCs w:val="21"/>
          <w:u w:val="single"/>
        </w:rPr>
        <w:tab/>
      </w:r>
      <w:r>
        <w:rPr>
          <w:rFonts w:hint="eastAsia"/>
          <w:szCs w:val="21"/>
        </w:rPr>
        <w:t xml:space="preserve"> 日</w:t>
      </w:r>
    </w:p>
    <w:p w14:paraId="54AF4949"/>
    <w:p w14:paraId="02048589">
      <w:pPr>
        <w:spacing w:line="360" w:lineRule="auto"/>
        <w:ind w:firstLine="422" w:firstLineChars="200"/>
        <w:rPr>
          <w:b/>
          <w:szCs w:val="21"/>
          <w:highlight w:val="yellow"/>
        </w:rPr>
      </w:pPr>
      <w:r>
        <w:rPr>
          <w:rFonts w:hint="eastAsia"/>
          <w:b/>
          <w:color w:val="FF0000"/>
          <w:szCs w:val="21"/>
          <w:highlight w:val="yellow"/>
        </w:rPr>
        <w:t>附：中国国籍人员，请提供代理人身份证扫描件（正反两面），港澳台居民可提供来往通行证扫描件；非中国国籍人员，可提供公安部门认可的身份证明材料扫描件。要求投标供应商同时提供上述身份证明材料扫描件作为附件方为有效。</w:t>
      </w:r>
    </w:p>
    <w:p w14:paraId="088331A9">
      <w:pPr>
        <w:spacing w:line="360" w:lineRule="auto"/>
        <w:ind w:firstLine="5040" w:firstLineChars="2400"/>
        <w:jc w:val="left"/>
        <w:rPr>
          <w:rFonts w:ascii="宋体" w:hAnsi="宋体" w:cs="宋体"/>
          <w:szCs w:val="21"/>
        </w:rPr>
      </w:pPr>
    </w:p>
    <w:p w14:paraId="297CB6F7">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65E1767F">
      <w:pPr>
        <w:spacing w:line="360" w:lineRule="auto"/>
        <w:ind w:firstLine="5040" w:firstLineChars="2400"/>
        <w:jc w:val="left"/>
        <w:rPr>
          <w:rFonts w:ascii="宋体" w:hAnsi="宋体" w:cs="宋体"/>
          <w:szCs w:val="21"/>
        </w:rPr>
      </w:pPr>
      <w:r>
        <w:rPr>
          <w:rFonts w:hint="eastAsia" w:ascii="宋体" w:hAnsi="宋体" w:cs="宋体"/>
          <w:szCs w:val="21"/>
        </w:rPr>
        <w:t>法定代表人签名或签章：</w:t>
      </w:r>
    </w:p>
    <w:p w14:paraId="3D514C78">
      <w:pPr>
        <w:wordWrap w:val="0"/>
        <w:jc w:val="right"/>
        <w:rPr>
          <w:sz w:val="24"/>
        </w:rPr>
      </w:pPr>
      <w:r>
        <w:rPr>
          <w:rFonts w:hint="eastAsia" w:ascii="宋体" w:hAnsi="宋体" w:cs="宋体"/>
          <w:szCs w:val="21"/>
        </w:rPr>
        <w:t xml:space="preserve">日期：      年    月    日     </w:t>
      </w:r>
    </w:p>
    <w:p w14:paraId="2B870271">
      <w:pPr>
        <w:spacing w:line="360" w:lineRule="auto"/>
        <w:rPr>
          <w:b/>
          <w:szCs w:val="21"/>
        </w:rPr>
      </w:pPr>
    </w:p>
    <w:p w14:paraId="33C4D4F3">
      <w:pPr>
        <w:pStyle w:val="5"/>
        <w:jc w:val="center"/>
        <w:rPr>
          <w:rFonts w:ascii="黑体" w:eastAsia="黑体"/>
          <w:b w:val="0"/>
          <w:kern w:val="0"/>
          <w:sz w:val="24"/>
          <w:szCs w:val="24"/>
        </w:rPr>
      </w:pPr>
      <w:r>
        <w:rPr>
          <w:rFonts w:hint="eastAsia" w:ascii="黑体" w:eastAsia="黑体"/>
          <w:b w:val="0"/>
          <w:kern w:val="0"/>
          <w:sz w:val="24"/>
          <w:szCs w:val="24"/>
        </w:rPr>
        <w:t>三、</w:t>
      </w:r>
      <w:bookmarkStart w:id="66" w:name="_Hlk72092634"/>
      <w:r>
        <w:rPr>
          <w:rFonts w:hint="eastAsia" w:ascii="黑体" w:eastAsia="黑体"/>
          <w:b w:val="0"/>
          <w:kern w:val="0"/>
          <w:sz w:val="24"/>
          <w:szCs w:val="24"/>
        </w:rPr>
        <w:t>实质性条款响应情况表</w:t>
      </w:r>
      <w:bookmarkEnd w:id="66"/>
    </w:p>
    <w:tbl>
      <w:tblPr>
        <w:tblStyle w:val="4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
        <w:gridCol w:w="5311"/>
        <w:gridCol w:w="1275"/>
        <w:gridCol w:w="812"/>
        <w:gridCol w:w="630"/>
      </w:tblGrid>
      <w:tr w14:paraId="28B07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90" w:type="pct"/>
            <w:vAlign w:val="center"/>
          </w:tcPr>
          <w:p w14:paraId="55DC17E6">
            <w:pPr>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3115" w:type="pct"/>
            <w:vAlign w:val="center"/>
          </w:tcPr>
          <w:p w14:paraId="258AFAC8">
            <w:pPr>
              <w:adjustRightInd w:val="0"/>
              <w:snapToGrid w:val="0"/>
              <w:spacing w:line="360" w:lineRule="auto"/>
              <w:jc w:val="center"/>
              <w:rPr>
                <w:rFonts w:ascii="宋体" w:hAnsi="宋体"/>
                <w:kern w:val="0"/>
                <w:szCs w:val="21"/>
              </w:rPr>
            </w:pPr>
            <w:r>
              <w:rPr>
                <w:rFonts w:hint="eastAsia" w:ascii="宋体" w:hAnsi="宋体"/>
                <w:kern w:val="0"/>
                <w:szCs w:val="21"/>
              </w:rPr>
              <w:t>实质性条款具体内容</w:t>
            </w:r>
          </w:p>
        </w:tc>
        <w:tc>
          <w:tcPr>
            <w:tcW w:w="748" w:type="pct"/>
            <w:vAlign w:val="center"/>
          </w:tcPr>
          <w:p w14:paraId="5020DDFC">
            <w:pPr>
              <w:adjustRightInd w:val="0"/>
              <w:snapToGrid w:val="0"/>
              <w:spacing w:line="360" w:lineRule="auto"/>
              <w:jc w:val="center"/>
              <w:rPr>
                <w:rFonts w:ascii="宋体" w:hAnsi="宋体"/>
                <w:kern w:val="0"/>
                <w:szCs w:val="21"/>
              </w:rPr>
            </w:pPr>
            <w:r>
              <w:rPr>
                <w:rFonts w:hint="eastAsia"/>
              </w:rPr>
              <w:t>投标响应</w:t>
            </w:r>
          </w:p>
        </w:tc>
        <w:tc>
          <w:tcPr>
            <w:tcW w:w="476" w:type="pct"/>
            <w:vAlign w:val="center"/>
          </w:tcPr>
          <w:p w14:paraId="266ADEB4">
            <w:pPr>
              <w:adjustRightInd w:val="0"/>
              <w:snapToGrid w:val="0"/>
              <w:spacing w:line="360" w:lineRule="auto"/>
              <w:jc w:val="center"/>
              <w:rPr>
                <w:rFonts w:ascii="宋体" w:hAnsi="宋体"/>
                <w:kern w:val="0"/>
                <w:szCs w:val="21"/>
              </w:rPr>
            </w:pPr>
            <w:r>
              <w:rPr>
                <w:rFonts w:hint="eastAsia"/>
              </w:rPr>
              <w:t>偏离情况</w:t>
            </w:r>
          </w:p>
        </w:tc>
        <w:tc>
          <w:tcPr>
            <w:tcW w:w="369" w:type="pct"/>
            <w:vAlign w:val="center"/>
          </w:tcPr>
          <w:p w14:paraId="25EFF757">
            <w:pPr>
              <w:adjustRightInd w:val="0"/>
              <w:snapToGrid w:val="0"/>
              <w:spacing w:line="360" w:lineRule="auto"/>
              <w:jc w:val="center"/>
              <w:rPr>
                <w:rFonts w:ascii="宋体" w:hAnsi="宋体"/>
                <w:kern w:val="0"/>
                <w:szCs w:val="21"/>
              </w:rPr>
            </w:pPr>
            <w:r>
              <w:rPr>
                <w:rFonts w:hint="eastAsia"/>
              </w:rPr>
              <w:t>说明</w:t>
            </w:r>
          </w:p>
        </w:tc>
      </w:tr>
      <w:tr w14:paraId="1F288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 w:type="pct"/>
            <w:vAlign w:val="center"/>
          </w:tcPr>
          <w:p w14:paraId="62911023">
            <w:pPr>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3115" w:type="pct"/>
          </w:tcPr>
          <w:p w14:paraId="18446C82">
            <w:pPr>
              <w:adjustRightInd w:val="0"/>
              <w:snapToGrid w:val="0"/>
              <w:spacing w:line="360" w:lineRule="auto"/>
              <w:rPr>
                <w:rFonts w:hAnsi="宋体"/>
                <w:kern w:val="0"/>
                <w:szCs w:val="21"/>
              </w:rPr>
            </w:pPr>
            <w:r>
              <w:rPr>
                <w:rFonts w:hint="eastAsia" w:hAnsi="宋体"/>
                <w:kern w:val="0"/>
                <w:szCs w:val="21"/>
              </w:rPr>
              <w:t>满足本项目标★的条款要求</w:t>
            </w:r>
          </w:p>
        </w:tc>
        <w:tc>
          <w:tcPr>
            <w:tcW w:w="748" w:type="pct"/>
          </w:tcPr>
          <w:p w14:paraId="017AD71A">
            <w:pPr>
              <w:adjustRightInd w:val="0"/>
              <w:snapToGrid w:val="0"/>
              <w:spacing w:line="360" w:lineRule="auto"/>
              <w:rPr>
                <w:rFonts w:hAnsi="宋体"/>
                <w:kern w:val="0"/>
                <w:szCs w:val="21"/>
              </w:rPr>
            </w:pPr>
          </w:p>
        </w:tc>
        <w:tc>
          <w:tcPr>
            <w:tcW w:w="476" w:type="pct"/>
          </w:tcPr>
          <w:p w14:paraId="79FECEA1">
            <w:pPr>
              <w:adjustRightInd w:val="0"/>
              <w:snapToGrid w:val="0"/>
              <w:spacing w:line="360" w:lineRule="auto"/>
              <w:rPr>
                <w:rFonts w:hAnsi="宋体"/>
                <w:kern w:val="0"/>
                <w:szCs w:val="21"/>
              </w:rPr>
            </w:pPr>
          </w:p>
        </w:tc>
        <w:tc>
          <w:tcPr>
            <w:tcW w:w="369" w:type="pct"/>
          </w:tcPr>
          <w:p w14:paraId="46F58A95">
            <w:pPr>
              <w:adjustRightInd w:val="0"/>
              <w:snapToGrid w:val="0"/>
              <w:spacing w:line="360" w:lineRule="auto"/>
              <w:rPr>
                <w:rFonts w:hAnsi="宋体"/>
                <w:kern w:val="0"/>
                <w:szCs w:val="21"/>
              </w:rPr>
            </w:pPr>
          </w:p>
        </w:tc>
      </w:tr>
      <w:tr w14:paraId="544A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 w:type="dxa"/>
            <w:vAlign w:val="center"/>
          </w:tcPr>
          <w:p w14:paraId="334AA007">
            <w:pPr>
              <w:adjustRightInd w:val="0"/>
              <w:snapToGrid w:val="0"/>
              <w:spacing w:line="360" w:lineRule="auto"/>
              <w:jc w:val="center"/>
              <w:rPr>
                <w:rFonts w:hint="eastAsia" w:ascii="宋体" w:hAnsi="宋体"/>
                <w:kern w:val="0"/>
                <w:szCs w:val="21"/>
              </w:rPr>
            </w:pPr>
            <w:r>
              <w:rPr>
                <w:rFonts w:hint="eastAsia" w:ascii="宋体" w:hAnsi="宋体"/>
                <w:kern w:val="0"/>
                <w:szCs w:val="21"/>
                <w:lang w:val="en-US" w:eastAsia="zh-CN"/>
              </w:rPr>
              <w:t>2</w:t>
            </w:r>
          </w:p>
        </w:tc>
        <w:tc>
          <w:tcPr>
            <w:tcW w:w="5311" w:type="dxa"/>
            <w:vAlign w:val="top"/>
          </w:tcPr>
          <w:p w14:paraId="5C769E5B">
            <w:pPr>
              <w:adjustRightInd w:val="0"/>
              <w:snapToGrid w:val="0"/>
              <w:spacing w:line="360" w:lineRule="auto"/>
              <w:rPr>
                <w:rFonts w:hint="eastAsia" w:hAnsi="宋体"/>
                <w:kern w:val="0"/>
                <w:szCs w:val="21"/>
              </w:rPr>
            </w:pPr>
            <w:r>
              <w:rPr>
                <w:rFonts w:hint="eastAsia" w:hAnsi="宋体"/>
                <w:kern w:val="0"/>
                <w:szCs w:val="21"/>
              </w:rPr>
              <w:t>投标人满足附件1《项目要求》和附件2《技术规范》有关规定要求。</w:t>
            </w:r>
          </w:p>
        </w:tc>
        <w:tc>
          <w:tcPr>
            <w:tcW w:w="748" w:type="pct"/>
          </w:tcPr>
          <w:p w14:paraId="31075B6A">
            <w:pPr>
              <w:adjustRightInd w:val="0"/>
              <w:snapToGrid w:val="0"/>
              <w:spacing w:line="360" w:lineRule="auto"/>
              <w:rPr>
                <w:rFonts w:hAnsi="宋体"/>
                <w:kern w:val="0"/>
                <w:szCs w:val="21"/>
              </w:rPr>
            </w:pPr>
          </w:p>
        </w:tc>
        <w:tc>
          <w:tcPr>
            <w:tcW w:w="476" w:type="pct"/>
          </w:tcPr>
          <w:p w14:paraId="1F5AC9BC">
            <w:pPr>
              <w:adjustRightInd w:val="0"/>
              <w:snapToGrid w:val="0"/>
              <w:spacing w:line="360" w:lineRule="auto"/>
              <w:rPr>
                <w:rFonts w:hAnsi="宋体"/>
                <w:kern w:val="0"/>
                <w:szCs w:val="21"/>
              </w:rPr>
            </w:pPr>
          </w:p>
        </w:tc>
        <w:tc>
          <w:tcPr>
            <w:tcW w:w="369" w:type="pct"/>
          </w:tcPr>
          <w:p w14:paraId="6BF7DB76">
            <w:pPr>
              <w:adjustRightInd w:val="0"/>
              <w:snapToGrid w:val="0"/>
              <w:spacing w:line="360" w:lineRule="auto"/>
              <w:rPr>
                <w:rFonts w:hAnsi="宋体"/>
                <w:kern w:val="0"/>
                <w:szCs w:val="21"/>
              </w:rPr>
            </w:pPr>
          </w:p>
        </w:tc>
      </w:tr>
    </w:tbl>
    <w:p w14:paraId="566B742F">
      <w:pPr>
        <w:ind w:firstLine="482" w:firstLineChars="200"/>
        <w:rPr>
          <w:b/>
          <w:sz w:val="24"/>
          <w:szCs w:val="22"/>
        </w:rPr>
      </w:pPr>
      <w:r>
        <w:rPr>
          <w:rFonts w:hint="eastAsia"/>
          <w:b/>
          <w:sz w:val="24"/>
          <w:szCs w:val="22"/>
        </w:rPr>
        <w:t>注：1.上表所列各项均为不可负偏离条款。</w:t>
      </w:r>
    </w:p>
    <w:p w14:paraId="1600DCA0">
      <w:pPr>
        <w:ind w:firstLine="482" w:firstLineChars="200"/>
        <w:rPr>
          <w:b/>
          <w:sz w:val="24"/>
          <w:szCs w:val="22"/>
        </w:rPr>
      </w:pPr>
      <w:r>
        <w:rPr>
          <w:rFonts w:hint="eastAsia"/>
          <w:b/>
          <w:sz w:val="24"/>
          <w:szCs w:val="22"/>
        </w:rPr>
        <w:t>2.“投标响应”一栏应当详细填写投标人自身响应情况，而不能不合理照搬照抄招实质性条款具体内容。</w:t>
      </w:r>
    </w:p>
    <w:p w14:paraId="11ED03BC">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14:paraId="777AFAC8">
      <w:pPr>
        <w:ind w:firstLine="482" w:firstLineChars="200"/>
        <w:rPr>
          <w:b/>
          <w:sz w:val="24"/>
        </w:rPr>
      </w:pPr>
      <w:r>
        <w:rPr>
          <w:b/>
          <w:sz w:val="24"/>
        </w:rPr>
        <w:t>4.</w:t>
      </w:r>
      <w:r>
        <w:rPr>
          <w:rFonts w:hint="eastAsia"/>
          <w:b/>
          <w:sz w:val="24"/>
        </w:rPr>
        <w:t>评审委员会有权对投标响应情况作出判断（作出评审结论）。</w:t>
      </w:r>
    </w:p>
    <w:p w14:paraId="0780DA37">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p>
    <w:p w14:paraId="6FD01572">
      <w:pPr>
        <w:ind w:firstLine="482" w:firstLineChars="200"/>
        <w:rPr>
          <w:b/>
          <w:sz w:val="24"/>
          <w:szCs w:val="22"/>
        </w:rPr>
      </w:pPr>
      <w:r>
        <w:rPr>
          <w:rFonts w:hint="eastAsia"/>
          <w:b/>
          <w:sz w:val="24"/>
          <w:szCs w:val="22"/>
        </w:rPr>
        <w:t>6.要求提供证明资料，在“说明”一栏中列明证明资料的位置,以便评审；未要求提供证明材料的，投标人可以不提供。</w:t>
      </w:r>
    </w:p>
    <w:bookmarkEnd w:id="64"/>
    <w:p w14:paraId="3E38EB0B">
      <w:pPr>
        <w:spacing w:line="360" w:lineRule="auto"/>
        <w:ind w:firstLine="5040" w:firstLineChars="2400"/>
        <w:jc w:val="left"/>
        <w:rPr>
          <w:rFonts w:ascii="宋体" w:hAnsi="宋体" w:cs="宋体"/>
          <w:szCs w:val="21"/>
        </w:rPr>
      </w:pPr>
    </w:p>
    <w:p w14:paraId="4242DEA5">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5296C0F2">
      <w:pPr>
        <w:spacing w:line="360" w:lineRule="auto"/>
        <w:ind w:firstLine="5040" w:firstLineChars="2400"/>
        <w:jc w:val="left"/>
        <w:rPr>
          <w:rFonts w:ascii="宋体" w:hAnsi="宋体" w:cs="宋体"/>
          <w:szCs w:val="21"/>
        </w:rPr>
      </w:pPr>
      <w:r>
        <w:rPr>
          <w:rFonts w:hint="eastAsia" w:ascii="宋体" w:hAnsi="宋体" w:cs="宋体"/>
          <w:szCs w:val="21"/>
        </w:rPr>
        <w:t>法定代表人签名或签章：</w:t>
      </w:r>
    </w:p>
    <w:p w14:paraId="1B7F6365">
      <w:pPr>
        <w:wordWrap w:val="0"/>
        <w:jc w:val="right"/>
        <w:rPr>
          <w:sz w:val="24"/>
        </w:rPr>
      </w:pPr>
      <w:r>
        <w:rPr>
          <w:rFonts w:hint="eastAsia" w:ascii="宋体" w:hAnsi="宋体" w:cs="宋体"/>
          <w:szCs w:val="21"/>
        </w:rPr>
        <w:t xml:space="preserve">日期：      年    月    日     </w:t>
      </w:r>
    </w:p>
    <w:p w14:paraId="71DE0738">
      <w:pPr>
        <w:pStyle w:val="9"/>
      </w:pPr>
    </w:p>
    <w:p w14:paraId="03B508BA">
      <w:pPr>
        <w:pStyle w:val="5"/>
        <w:jc w:val="center"/>
        <w:rPr>
          <w:szCs w:val="21"/>
          <w:highlight w:val="yellow"/>
        </w:rPr>
      </w:pPr>
      <w:r>
        <w:rPr>
          <w:rFonts w:hint="eastAsia" w:ascii="黑体" w:eastAsia="黑体"/>
          <w:b w:val="0"/>
          <w:sz w:val="24"/>
          <w:szCs w:val="24"/>
        </w:rPr>
        <w:t>四、技术要求偏离表</w:t>
      </w:r>
      <w:bookmarkStart w:id="67" w:name="_Hlk72095977"/>
    </w:p>
    <w:p w14:paraId="715391D1">
      <w:pPr>
        <w:rPr>
          <w:rFonts w:hint="eastAsia"/>
          <w:szCs w:val="21"/>
        </w:rPr>
      </w:pPr>
    </w:p>
    <w:tbl>
      <w:tblPr>
        <w:tblStyle w:val="4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405"/>
        <w:gridCol w:w="1323"/>
        <w:gridCol w:w="4453"/>
        <w:gridCol w:w="791"/>
        <w:gridCol w:w="719"/>
        <w:gridCol w:w="668"/>
      </w:tblGrid>
      <w:tr w14:paraId="6757C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0" w:hRule="atLeast"/>
          <w:jc w:val="center"/>
        </w:trPr>
        <w:tc>
          <w:tcPr>
            <w:tcW w:w="242" w:type="pct"/>
            <w:vAlign w:val="center"/>
          </w:tcPr>
          <w:p w14:paraId="60ECB6AC">
            <w:pPr>
              <w:keepNext w:val="0"/>
              <w:keepLines w:val="0"/>
              <w:pageBreakBefore w:val="0"/>
              <w:widowControl/>
              <w:kinsoku/>
              <w:wordWrap/>
              <w:overflowPunct/>
              <w:topLinePunct w:val="0"/>
              <w:bidi w:val="0"/>
              <w:spacing w:line="276" w:lineRule="auto"/>
              <w:ind w:right="36" w:rightChars="17"/>
              <w:jc w:val="center"/>
              <w:rPr>
                <w:rFonts w:ascii="宋体" w:hAnsi="宋体"/>
                <w:b/>
                <w:sz w:val="21"/>
                <w:szCs w:val="21"/>
              </w:rPr>
            </w:pPr>
            <w:r>
              <w:rPr>
                <w:rFonts w:hint="eastAsia" w:ascii="宋体" w:hAnsi="宋体"/>
                <w:b/>
                <w:sz w:val="21"/>
                <w:szCs w:val="21"/>
              </w:rPr>
              <w:t>序号</w:t>
            </w:r>
          </w:p>
        </w:tc>
        <w:tc>
          <w:tcPr>
            <w:tcW w:w="791" w:type="pct"/>
            <w:vAlign w:val="center"/>
          </w:tcPr>
          <w:p w14:paraId="1DCB59DA">
            <w:pPr>
              <w:keepNext w:val="0"/>
              <w:keepLines w:val="0"/>
              <w:pageBreakBefore w:val="0"/>
              <w:widowControl/>
              <w:kinsoku/>
              <w:wordWrap/>
              <w:overflowPunct/>
              <w:topLinePunct w:val="0"/>
              <w:bidi w:val="0"/>
              <w:spacing w:line="276" w:lineRule="auto"/>
              <w:ind w:right="36" w:rightChars="17"/>
              <w:jc w:val="center"/>
              <w:rPr>
                <w:rFonts w:ascii="宋体" w:hAnsi="宋体"/>
                <w:b/>
                <w:sz w:val="21"/>
                <w:szCs w:val="21"/>
              </w:rPr>
            </w:pPr>
            <w:r>
              <w:rPr>
                <w:rFonts w:hint="eastAsia" w:ascii="宋体" w:hAnsi="宋体"/>
                <w:b/>
                <w:sz w:val="21"/>
                <w:szCs w:val="21"/>
              </w:rPr>
              <w:t>货物名称</w:t>
            </w:r>
          </w:p>
        </w:tc>
        <w:tc>
          <w:tcPr>
            <w:tcW w:w="2662" w:type="pct"/>
            <w:vAlign w:val="center"/>
          </w:tcPr>
          <w:p w14:paraId="47FADDF3">
            <w:pPr>
              <w:keepNext w:val="0"/>
              <w:keepLines w:val="0"/>
              <w:pageBreakBefore w:val="0"/>
              <w:widowControl/>
              <w:kinsoku/>
              <w:wordWrap/>
              <w:overflowPunct/>
              <w:topLinePunct w:val="0"/>
              <w:bidi w:val="0"/>
              <w:spacing w:line="276" w:lineRule="auto"/>
              <w:ind w:right="36" w:rightChars="17"/>
              <w:jc w:val="center"/>
              <w:rPr>
                <w:rFonts w:ascii="宋体" w:hAnsi="宋体"/>
                <w:b/>
                <w:sz w:val="21"/>
                <w:szCs w:val="21"/>
              </w:rPr>
            </w:pPr>
            <w:r>
              <w:rPr>
                <w:rFonts w:hint="eastAsia" w:ascii="宋体" w:hAnsi="宋体"/>
                <w:b/>
                <w:sz w:val="21"/>
                <w:szCs w:val="21"/>
              </w:rPr>
              <w:t>招标技术指标</w:t>
            </w:r>
          </w:p>
        </w:tc>
        <w:tc>
          <w:tcPr>
            <w:tcW w:w="791" w:type="dxa"/>
            <w:vAlign w:val="center"/>
          </w:tcPr>
          <w:p w14:paraId="615FFDAC">
            <w:pPr>
              <w:widowControl/>
              <w:jc w:val="center"/>
              <w:rPr>
                <w:rFonts w:hint="eastAsia" w:ascii="宋体" w:hAnsi="宋体"/>
                <w:b/>
                <w:sz w:val="21"/>
                <w:szCs w:val="21"/>
              </w:rPr>
            </w:pPr>
            <w:r>
              <w:rPr>
                <w:rFonts w:hint="eastAsia" w:ascii="宋体" w:hAnsi="宋体" w:cs="宋体"/>
                <w:b/>
                <w:szCs w:val="21"/>
              </w:rPr>
              <w:t>投标技术响应</w:t>
            </w:r>
          </w:p>
        </w:tc>
        <w:tc>
          <w:tcPr>
            <w:tcW w:w="719" w:type="dxa"/>
            <w:vAlign w:val="center"/>
          </w:tcPr>
          <w:p w14:paraId="0016B784">
            <w:pPr>
              <w:widowControl/>
              <w:jc w:val="center"/>
              <w:rPr>
                <w:rFonts w:hint="eastAsia" w:ascii="宋体" w:hAnsi="宋体"/>
                <w:b/>
                <w:sz w:val="21"/>
                <w:szCs w:val="21"/>
              </w:rPr>
            </w:pPr>
            <w:r>
              <w:rPr>
                <w:rFonts w:hint="eastAsia" w:ascii="宋体" w:hAnsi="宋体" w:cs="宋体"/>
                <w:b/>
                <w:szCs w:val="21"/>
              </w:rPr>
              <w:t>偏离情况</w:t>
            </w:r>
          </w:p>
        </w:tc>
        <w:tc>
          <w:tcPr>
            <w:tcW w:w="668" w:type="dxa"/>
            <w:vAlign w:val="center"/>
          </w:tcPr>
          <w:p w14:paraId="6644DA0D">
            <w:pPr>
              <w:widowControl/>
              <w:jc w:val="center"/>
              <w:rPr>
                <w:rFonts w:hint="eastAsia" w:ascii="宋体" w:hAnsi="宋体"/>
                <w:b/>
                <w:sz w:val="21"/>
                <w:szCs w:val="21"/>
              </w:rPr>
            </w:pPr>
            <w:r>
              <w:rPr>
                <w:rFonts w:hint="eastAsia" w:ascii="宋体" w:hAnsi="宋体" w:cs="宋体"/>
                <w:b/>
                <w:szCs w:val="21"/>
              </w:rPr>
              <w:t>说明</w:t>
            </w:r>
          </w:p>
        </w:tc>
      </w:tr>
      <w:tr w14:paraId="665B9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242" w:type="pct"/>
            <w:vMerge w:val="restart"/>
            <w:vAlign w:val="center"/>
          </w:tcPr>
          <w:p w14:paraId="51F0CE2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w:t>
            </w:r>
          </w:p>
        </w:tc>
        <w:tc>
          <w:tcPr>
            <w:tcW w:w="791" w:type="pct"/>
            <w:vMerge w:val="restart"/>
            <w:vAlign w:val="center"/>
          </w:tcPr>
          <w:p w14:paraId="64DD7CD4">
            <w:pPr>
              <w:keepNext w:val="0"/>
              <w:keepLines w:val="0"/>
              <w:pageBreakBefore w:val="0"/>
              <w:widowControl/>
              <w:kinsoku/>
              <w:wordWrap/>
              <w:overflowPunct/>
              <w:topLinePunct w:val="0"/>
              <w:bidi w:val="0"/>
              <w:spacing w:line="276" w:lineRule="auto"/>
              <w:ind w:right="36" w:rightChars="17"/>
              <w:jc w:val="center"/>
              <w:rPr>
                <w:sz w:val="21"/>
                <w:szCs w:val="21"/>
              </w:rPr>
            </w:pPr>
            <w:r>
              <w:rPr>
                <w:rFonts w:hint="eastAsia" w:ascii="宋体" w:hAnsi="宋体"/>
                <w:sz w:val="21"/>
                <w:szCs w:val="21"/>
              </w:rPr>
              <w:t>服务器机柜</w:t>
            </w:r>
          </w:p>
          <w:p w14:paraId="139BFB3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sz w:val="21"/>
                <w:szCs w:val="21"/>
              </w:rPr>
              <w:t>（</w:t>
            </w:r>
            <w:r>
              <w:rPr>
                <w:rFonts w:hint="eastAsia" w:ascii="宋体" w:hAnsi="宋体"/>
                <w:sz w:val="21"/>
                <w:szCs w:val="21"/>
              </w:rPr>
              <w:t>服务器机柜1（10kW）、服务器机柜2（15kW）</w:t>
            </w:r>
            <w:r>
              <w:rPr>
                <w:rFonts w:hint="eastAsia"/>
                <w:sz w:val="21"/>
                <w:szCs w:val="21"/>
              </w:rPr>
              <w:t>）</w:t>
            </w:r>
          </w:p>
        </w:tc>
        <w:tc>
          <w:tcPr>
            <w:tcW w:w="2662" w:type="pct"/>
            <w:vAlign w:val="center"/>
          </w:tcPr>
          <w:p w14:paraId="3D92082F">
            <w:pPr>
              <w:keepNext w:val="0"/>
              <w:keepLines w:val="0"/>
              <w:pageBreakBefore w:val="0"/>
              <w:kinsoku/>
              <w:wordWrap/>
              <w:overflowPunct/>
              <w:topLinePunct w:val="0"/>
              <w:bidi w:val="0"/>
              <w:spacing w:line="276" w:lineRule="auto"/>
              <w:ind w:right="36" w:rightChars="17"/>
              <w:rPr>
                <w:rFonts w:hint="eastAsia" w:ascii="宋体" w:hAnsi="宋体" w:eastAsia="宋体"/>
                <w:kern w:val="0"/>
                <w:sz w:val="21"/>
                <w:szCs w:val="21"/>
                <w:lang w:val="en-US" w:eastAsia="zh-CN"/>
              </w:rPr>
            </w:pPr>
            <w:r>
              <w:rPr>
                <w:rFonts w:hint="eastAsia" w:ascii="宋体" w:hAnsi="宋体"/>
                <w:kern w:val="0"/>
                <w:sz w:val="21"/>
                <w:szCs w:val="21"/>
              </w:rPr>
              <w:t>1. 前后门为网孔门设计，满足散热需求。前门单开门，后门双开；侧板需能速拆卸式加固型侧板，方便安装和拆卸</w:t>
            </w:r>
            <w:r>
              <w:rPr>
                <w:rFonts w:hint="eastAsia" w:ascii="宋体" w:hAnsi="宋体"/>
                <w:kern w:val="0"/>
                <w:sz w:val="21"/>
                <w:szCs w:val="21"/>
                <w:lang w:eastAsia="zh-CN"/>
              </w:rPr>
              <w:t>，</w:t>
            </w:r>
            <w:r>
              <w:rPr>
                <w:rFonts w:hint="eastAsia" w:ascii="宋体" w:hAnsi="宋体"/>
                <w:kern w:val="0"/>
                <w:sz w:val="21"/>
                <w:szCs w:val="21"/>
              </w:rPr>
              <w:t>并且前后门开启角度≥130°</w:t>
            </w:r>
            <w:r>
              <w:rPr>
                <w:rFonts w:hint="eastAsia" w:ascii="宋体" w:hAnsi="宋体"/>
                <w:kern w:val="0"/>
                <w:sz w:val="21"/>
                <w:szCs w:val="21"/>
                <w:lang w:val="en-US" w:eastAsia="zh-CN"/>
              </w:rPr>
              <w:t>；</w:t>
            </w:r>
          </w:p>
          <w:p w14:paraId="6391B1BB">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 10kW和15kW机柜为47U，机柜尺寸（W*D*H）：</w:t>
            </w:r>
          </w:p>
          <w:p w14:paraId="1C2468B8">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600mm*1200mm*2200mm；其中有31个15kW机柜尺寸（W*D*H）：600mm*1400mm*2200mm；</w:t>
            </w:r>
          </w:p>
          <w:p w14:paraId="46D41706">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屏蔽机房机柜功率1</w:t>
            </w:r>
            <w:r>
              <w:rPr>
                <w:rFonts w:ascii="宋体" w:hAnsi="宋体"/>
                <w:kern w:val="0"/>
                <w:sz w:val="21"/>
                <w:szCs w:val="21"/>
              </w:rPr>
              <w:t>0kw</w:t>
            </w:r>
            <w:r>
              <w:rPr>
                <w:rFonts w:hint="eastAsia" w:ascii="宋体" w:hAnsi="宋体"/>
                <w:kern w:val="0"/>
                <w:sz w:val="21"/>
                <w:szCs w:val="21"/>
              </w:rPr>
              <w:t>，为42U机柜，机柜尺寸（W*D*H）：</w:t>
            </w:r>
          </w:p>
          <w:p w14:paraId="700882F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600mm*1100mm*2000mm</w:t>
            </w:r>
            <w:r>
              <w:rPr>
                <w:rFonts w:hint="eastAsia" w:ascii="宋体" w:hAnsi="宋体"/>
                <w:kern w:val="0"/>
                <w:sz w:val="21"/>
                <w:szCs w:val="21"/>
                <w:lang w:val="en-US" w:eastAsia="zh-CN"/>
              </w:rPr>
              <w:t>；</w:t>
            </w:r>
          </w:p>
          <w:p w14:paraId="5DC5AA8B">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每个机柜含有≥2个PDU:其中15kw机柜:配置2个三相32A输入12*GB10A+12*GB16A的P</w:t>
            </w:r>
            <w:r>
              <w:rPr>
                <w:rFonts w:ascii="宋体" w:hAnsi="宋体"/>
                <w:sz w:val="21"/>
                <w:szCs w:val="21"/>
              </w:rPr>
              <w:t>DU</w:t>
            </w:r>
            <w:r>
              <w:rPr>
                <w:rFonts w:hint="eastAsia" w:ascii="宋体" w:hAnsi="宋体"/>
                <w:sz w:val="21"/>
                <w:szCs w:val="21"/>
              </w:rPr>
              <w:t>;10kw机柜:配置2个三相16A输入18*GB10A+6*GB16A的P</w:t>
            </w:r>
            <w:r>
              <w:rPr>
                <w:rFonts w:ascii="宋体" w:hAnsi="宋体"/>
                <w:sz w:val="21"/>
                <w:szCs w:val="21"/>
              </w:rPr>
              <w:t>DU</w:t>
            </w:r>
            <w:r>
              <w:rPr>
                <w:rFonts w:hint="eastAsia" w:ascii="宋体" w:hAnsi="宋体"/>
                <w:sz w:val="21"/>
                <w:szCs w:val="21"/>
                <w:lang w:eastAsia="zh-CN"/>
              </w:rPr>
              <w:t>。</w:t>
            </w:r>
          </w:p>
        </w:tc>
        <w:tc>
          <w:tcPr>
            <w:tcW w:w="473" w:type="pct"/>
            <w:vAlign w:val="center"/>
          </w:tcPr>
          <w:p w14:paraId="5846A355">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706EA77C">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39D43930">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4E14A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242" w:type="pct"/>
            <w:vMerge w:val="continue"/>
            <w:vAlign w:val="center"/>
          </w:tcPr>
          <w:p w14:paraId="6220F77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C5600AD">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2662" w:type="pct"/>
            <w:vAlign w:val="center"/>
          </w:tcPr>
          <w:p w14:paraId="142CFB7C">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3.每个机柜标配底板及侧板。机柜内部应设置≥4根安装立柱，用于安装设备和固定层板。安装立柱能够前后移动调节。安装立柱的间距、孔距等机柜内部尺寸结构应满足GB/T 19520.16-2015的要求。机架前门立柱需要有具体U数标示。生产材料选用优质冷轧钢材主框架，前门</w:t>
            </w:r>
            <w:r>
              <w:rPr>
                <w:rFonts w:hint="eastAsia"/>
                <w:sz w:val="21"/>
                <w:szCs w:val="21"/>
              </w:rPr>
              <w:t>≥</w:t>
            </w:r>
            <w:r>
              <w:rPr>
                <w:rFonts w:hint="eastAsia" w:ascii="宋体" w:hAnsi="宋体"/>
                <w:kern w:val="0"/>
                <w:sz w:val="21"/>
                <w:szCs w:val="21"/>
              </w:rPr>
              <w:t>1.5mm厚钢材，后门</w:t>
            </w:r>
            <w:r>
              <w:rPr>
                <w:rFonts w:hint="eastAsia"/>
                <w:sz w:val="21"/>
                <w:szCs w:val="21"/>
              </w:rPr>
              <w:t>≥</w:t>
            </w:r>
            <w:r>
              <w:rPr>
                <w:rFonts w:hint="eastAsia" w:ascii="宋体" w:hAnsi="宋体"/>
                <w:kern w:val="0"/>
                <w:sz w:val="21"/>
                <w:szCs w:val="21"/>
              </w:rPr>
              <w:t>1.2mm厚的钢材。</w:t>
            </w:r>
          </w:p>
        </w:tc>
        <w:tc>
          <w:tcPr>
            <w:tcW w:w="473" w:type="pct"/>
            <w:vAlign w:val="center"/>
          </w:tcPr>
          <w:p w14:paraId="339F1E2B">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4FB186AE">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1C47B93E">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74CF2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242" w:type="pct"/>
            <w:vMerge w:val="continue"/>
            <w:vAlign w:val="center"/>
          </w:tcPr>
          <w:p w14:paraId="16D84E3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 xml:space="preserve"> </w:t>
            </w:r>
          </w:p>
        </w:tc>
        <w:tc>
          <w:tcPr>
            <w:tcW w:w="791" w:type="pct"/>
            <w:vMerge w:val="continue"/>
            <w:vAlign w:val="center"/>
          </w:tcPr>
          <w:p w14:paraId="686846C7">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2662" w:type="pct"/>
            <w:vAlign w:val="center"/>
          </w:tcPr>
          <w:p w14:paraId="2B1556B0">
            <w:pPr>
              <w:keepNext w:val="0"/>
              <w:keepLines w:val="0"/>
              <w:pageBreakBefore w:val="0"/>
              <w:kinsoku/>
              <w:wordWrap/>
              <w:overflowPunct/>
              <w:topLinePunct w:val="0"/>
              <w:bidi w:val="0"/>
              <w:spacing w:line="276" w:lineRule="auto"/>
              <w:ind w:right="36" w:rightChars="17"/>
              <w:rPr>
                <w:rFonts w:hint="eastAsia" w:ascii="宋体" w:hAnsi="宋体" w:eastAsia="宋体"/>
                <w:sz w:val="21"/>
                <w:szCs w:val="21"/>
                <w:lang w:eastAsia="zh-CN"/>
              </w:rPr>
            </w:pPr>
            <w:r>
              <w:rPr>
                <w:rFonts w:hint="eastAsia" w:ascii="宋体" w:hAnsi="宋体"/>
                <w:b/>
                <w:bCs/>
                <w:color w:val="FF0000"/>
                <w:kern w:val="0"/>
                <w:sz w:val="21"/>
                <w:szCs w:val="21"/>
              </w:rPr>
              <w:t>▲4服务器机柜需满足抗震要求，依照YD 5083-2005 《电信设备抗地震性能检测规范》标准，投标产品带载</w:t>
            </w:r>
            <w:r>
              <w:rPr>
                <w:rFonts w:hint="eastAsia" w:ascii="宋体" w:hAnsi="宋体"/>
                <w:b/>
                <w:bCs/>
                <w:color w:val="FF0000"/>
                <w:sz w:val="21"/>
                <w:szCs w:val="21"/>
              </w:rPr>
              <w:t>≥</w:t>
            </w:r>
            <w:r>
              <w:rPr>
                <w:rFonts w:ascii="宋体" w:hAnsi="宋体"/>
                <w:b/>
                <w:bCs/>
                <w:color w:val="FF0000"/>
                <w:sz w:val="21"/>
                <w:szCs w:val="21"/>
              </w:rPr>
              <w:t>800</w:t>
            </w:r>
            <w:r>
              <w:rPr>
                <w:rFonts w:ascii="宋体" w:hAnsi="宋体"/>
                <w:b/>
                <w:bCs/>
                <w:color w:val="FF0000"/>
                <w:kern w:val="0"/>
                <w:sz w:val="21"/>
                <w:szCs w:val="21"/>
              </w:rPr>
              <w:t>kg情况下，需连续通过8、9级烈度结构抗地震考核</w:t>
            </w:r>
            <w:r>
              <w:rPr>
                <w:rFonts w:hint="eastAsia" w:ascii="宋体" w:hAnsi="宋体"/>
                <w:b/>
                <w:bCs/>
                <w:color w:val="FF0000"/>
                <w:kern w:val="0"/>
                <w:sz w:val="21"/>
                <w:szCs w:val="21"/>
              </w:rPr>
              <w:t>，提供第三方检测机构出具的抗震测试报告。</w:t>
            </w:r>
            <w:r>
              <w:rPr>
                <w:rFonts w:hint="eastAsia" w:ascii="宋体" w:hAnsi="宋体"/>
                <w:b/>
                <w:color w:val="FF0000"/>
                <w:sz w:val="21"/>
                <w:szCs w:val="21"/>
              </w:rPr>
              <w:t>（投标时提供第三方检测机构出具具有“</w:t>
            </w:r>
            <w:r>
              <w:rPr>
                <w:rFonts w:ascii="宋体" w:hAnsi="宋体"/>
                <w:b/>
                <w:color w:val="FF0000"/>
                <w:sz w:val="21"/>
                <w:szCs w:val="21"/>
              </w:rPr>
              <w:t>CNAS</w:t>
            </w:r>
            <w:r>
              <w:rPr>
                <w:rFonts w:hint="eastAsia" w:ascii="宋体" w:hAnsi="宋体"/>
                <w:b/>
                <w:color w:val="FF0000"/>
                <w:sz w:val="21"/>
                <w:szCs w:val="21"/>
              </w:rPr>
              <w:t>”或“</w:t>
            </w:r>
            <w:r>
              <w:rPr>
                <w:rFonts w:ascii="宋体" w:hAnsi="宋体"/>
                <w:b/>
                <w:color w:val="FF0000"/>
                <w:sz w:val="21"/>
                <w:szCs w:val="21"/>
              </w:rPr>
              <w:t>CMA”标识的检测/检验报告</w:t>
            </w:r>
            <w:r>
              <w:rPr>
                <w:rFonts w:hint="eastAsia" w:ascii="宋体" w:hAnsi="宋体"/>
                <w:b/>
                <w:color w:val="FF0000"/>
                <w:sz w:val="21"/>
                <w:szCs w:val="21"/>
              </w:rPr>
              <w:t>扫描件或复印件</w:t>
            </w:r>
            <w:r>
              <w:rPr>
                <w:rFonts w:ascii="宋体" w:hAnsi="宋体"/>
                <w:b/>
                <w:color w:val="FF0000"/>
                <w:sz w:val="21"/>
                <w:szCs w:val="21"/>
              </w:rPr>
              <w:t>，并加</w:t>
            </w:r>
            <w:r>
              <w:rPr>
                <w:rFonts w:hint="eastAsia" w:ascii="宋体" w:hAnsi="宋体"/>
                <w:b/>
                <w:color w:val="FF0000"/>
                <w:sz w:val="21"/>
                <w:szCs w:val="21"/>
              </w:rPr>
              <w:t>盖投标人公章）</w:t>
            </w:r>
            <w:r>
              <w:rPr>
                <w:rFonts w:hint="eastAsia" w:ascii="宋体" w:hAnsi="宋体"/>
                <w:b/>
                <w:color w:val="FF0000"/>
                <w:sz w:val="21"/>
                <w:szCs w:val="21"/>
                <w:lang w:eastAsia="zh-CN"/>
              </w:rPr>
              <w:t>。</w:t>
            </w:r>
          </w:p>
        </w:tc>
        <w:tc>
          <w:tcPr>
            <w:tcW w:w="473" w:type="pct"/>
            <w:vAlign w:val="center"/>
          </w:tcPr>
          <w:p w14:paraId="5573B48A">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vAlign w:val="center"/>
          </w:tcPr>
          <w:p w14:paraId="423C3C83">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vAlign w:val="center"/>
          </w:tcPr>
          <w:p w14:paraId="6E84F0F8">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2E25A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242" w:type="pct"/>
            <w:vMerge w:val="continue"/>
            <w:vAlign w:val="center"/>
          </w:tcPr>
          <w:p w14:paraId="4885E82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1041AE3B">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2662" w:type="pct"/>
            <w:vAlign w:val="center"/>
          </w:tcPr>
          <w:p w14:paraId="0175509A">
            <w:pPr>
              <w:keepNext w:val="0"/>
              <w:keepLines w:val="0"/>
              <w:pageBreakBefore w:val="0"/>
              <w:kinsoku/>
              <w:wordWrap/>
              <w:overflowPunct/>
              <w:topLinePunct w:val="0"/>
              <w:bidi w:val="0"/>
              <w:spacing w:line="276" w:lineRule="auto"/>
              <w:ind w:right="36" w:rightChars="17"/>
              <w:rPr>
                <w:rFonts w:hint="eastAsia" w:ascii="宋体" w:hAnsi="宋体" w:eastAsia="宋体"/>
                <w:sz w:val="21"/>
                <w:szCs w:val="21"/>
                <w:lang w:eastAsia="zh-CN"/>
              </w:rPr>
            </w:pPr>
            <w:r>
              <w:rPr>
                <w:rFonts w:hint="eastAsia" w:ascii="宋体" w:hAnsi="宋体"/>
                <w:b/>
                <w:bCs/>
                <w:color w:val="FF0000"/>
                <w:kern w:val="0"/>
                <w:sz w:val="21"/>
                <w:szCs w:val="21"/>
              </w:rPr>
              <w:t>▲5. 服务器</w:t>
            </w:r>
            <w:r>
              <w:rPr>
                <w:rFonts w:hint="eastAsia" w:ascii="宋体" w:hAnsi="宋体"/>
                <w:b/>
                <w:bCs/>
                <w:color w:val="FF0000"/>
                <w:sz w:val="21"/>
                <w:szCs w:val="21"/>
              </w:rPr>
              <w:t>机柜静载</w:t>
            </w:r>
            <w:r>
              <w:rPr>
                <w:rFonts w:hint="eastAsia" w:ascii="宋体" w:hAnsi="宋体"/>
                <w:b/>
                <w:bCs/>
                <w:color w:val="FF0000"/>
                <w:kern w:val="0"/>
                <w:sz w:val="21"/>
                <w:szCs w:val="21"/>
              </w:rPr>
              <w:t>≥</w:t>
            </w:r>
            <w:r>
              <w:rPr>
                <w:rFonts w:hint="eastAsia" w:ascii="宋体" w:hAnsi="宋体"/>
                <w:b/>
                <w:bCs/>
                <w:color w:val="FF0000"/>
                <w:sz w:val="21"/>
                <w:szCs w:val="21"/>
              </w:rPr>
              <w:t>2800KG，动载</w:t>
            </w:r>
            <w:r>
              <w:rPr>
                <w:rFonts w:hint="eastAsia" w:ascii="宋体" w:hAnsi="宋体"/>
                <w:b/>
                <w:bCs/>
                <w:color w:val="FF0000"/>
                <w:kern w:val="0"/>
                <w:sz w:val="21"/>
                <w:szCs w:val="21"/>
              </w:rPr>
              <w:t>≥</w:t>
            </w:r>
            <w:r>
              <w:rPr>
                <w:rFonts w:hint="eastAsia" w:ascii="宋体" w:hAnsi="宋体"/>
                <w:b/>
                <w:bCs/>
                <w:color w:val="FF0000"/>
                <w:sz w:val="21"/>
                <w:szCs w:val="21"/>
              </w:rPr>
              <w:t>1700KG，柜体外观完好,未出现变形等情况。（投标时提供第三方检测机构出具具有“CNAS”或“CMA”标识的检测/检验报告扫描件或复印件，并加盖投标人公章）</w:t>
            </w:r>
            <w:r>
              <w:rPr>
                <w:rFonts w:hint="eastAsia" w:ascii="宋体" w:hAnsi="宋体"/>
                <w:b/>
                <w:bCs/>
                <w:color w:val="FF0000"/>
                <w:sz w:val="21"/>
                <w:szCs w:val="21"/>
                <w:lang w:eastAsia="zh-CN"/>
              </w:rPr>
              <w:t>。</w:t>
            </w:r>
          </w:p>
        </w:tc>
        <w:tc>
          <w:tcPr>
            <w:tcW w:w="473" w:type="pct"/>
            <w:vAlign w:val="center"/>
          </w:tcPr>
          <w:p w14:paraId="70457145">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vAlign w:val="center"/>
          </w:tcPr>
          <w:p w14:paraId="4CEB038D">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vAlign w:val="center"/>
          </w:tcPr>
          <w:p w14:paraId="21C93F95">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6EAF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242" w:type="pct"/>
            <w:vMerge w:val="continue"/>
            <w:vAlign w:val="center"/>
          </w:tcPr>
          <w:p w14:paraId="5D8C643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65672805">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2662" w:type="pct"/>
            <w:vAlign w:val="center"/>
          </w:tcPr>
          <w:p w14:paraId="758C44EF">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b/>
                <w:bCs/>
                <w:color w:val="FF0000"/>
                <w:kern w:val="0"/>
                <w:sz w:val="21"/>
                <w:szCs w:val="21"/>
              </w:rPr>
              <w:t>▲</w:t>
            </w:r>
            <w:r>
              <w:rPr>
                <w:rFonts w:ascii="宋体" w:hAnsi="宋体"/>
                <w:b/>
                <w:bCs/>
                <w:color w:val="FF0000"/>
                <w:kern w:val="0"/>
                <w:sz w:val="21"/>
                <w:szCs w:val="21"/>
              </w:rPr>
              <w:t>6</w:t>
            </w:r>
            <w:r>
              <w:rPr>
                <w:rFonts w:hint="eastAsia" w:ascii="宋体" w:hAnsi="宋体"/>
                <w:b/>
                <w:bCs/>
                <w:color w:val="FF0000"/>
                <w:kern w:val="0"/>
                <w:sz w:val="21"/>
                <w:szCs w:val="21"/>
              </w:rPr>
              <w:t>.</w:t>
            </w:r>
            <w:r>
              <w:rPr>
                <w:rFonts w:hint="eastAsia"/>
                <w:b/>
                <w:bCs/>
                <w:color w:val="FF0000"/>
                <w:sz w:val="21"/>
                <w:szCs w:val="21"/>
              </w:rPr>
              <w:t>提供服务器机柜的盐雾测试报告，测试结果为合格。（</w:t>
            </w:r>
            <w:r>
              <w:rPr>
                <w:rFonts w:hint="eastAsia" w:ascii="宋体" w:hAnsi="宋体"/>
                <w:b/>
                <w:bCs/>
                <w:color w:val="FF0000"/>
                <w:sz w:val="21"/>
                <w:szCs w:val="21"/>
              </w:rPr>
              <w:t>投标时提供第三方检测机构出具具有“CNAS”或“CMA”标识的检测/检验报告扫描件或复印件，并加盖投标人公章</w:t>
            </w:r>
            <w:r>
              <w:rPr>
                <w:rFonts w:hint="eastAsia"/>
                <w:b/>
                <w:bCs/>
                <w:color w:val="FF0000"/>
                <w:sz w:val="21"/>
                <w:szCs w:val="21"/>
              </w:rPr>
              <w:t>）。</w:t>
            </w:r>
          </w:p>
        </w:tc>
        <w:tc>
          <w:tcPr>
            <w:tcW w:w="473" w:type="pct"/>
            <w:vAlign w:val="center"/>
          </w:tcPr>
          <w:p w14:paraId="19A9424B">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vAlign w:val="center"/>
          </w:tcPr>
          <w:p w14:paraId="67590806">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vAlign w:val="center"/>
          </w:tcPr>
          <w:p w14:paraId="566A6753">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1EE1D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 w:hRule="atLeast"/>
          <w:jc w:val="center"/>
        </w:trPr>
        <w:tc>
          <w:tcPr>
            <w:tcW w:w="242" w:type="pct"/>
            <w:vMerge w:val="continue"/>
            <w:vAlign w:val="center"/>
          </w:tcPr>
          <w:p w14:paraId="630B285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EDFE056">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2662" w:type="pct"/>
            <w:vAlign w:val="center"/>
          </w:tcPr>
          <w:p w14:paraId="0AD1BAB7">
            <w:pPr>
              <w:pStyle w:val="58"/>
              <w:keepNext w:val="0"/>
              <w:keepLines w:val="0"/>
              <w:pageBreakBefore w:val="0"/>
              <w:kinsoku/>
              <w:wordWrap/>
              <w:overflowPunct/>
              <w:topLinePunct w:val="0"/>
              <w:bidi w:val="0"/>
              <w:spacing w:line="276" w:lineRule="auto"/>
              <w:ind w:firstLine="0" w:firstLineChars="0"/>
              <w:rPr>
                <w:rFonts w:ascii="宋体" w:hAnsi="宋体"/>
                <w:kern w:val="0"/>
                <w:sz w:val="21"/>
                <w:szCs w:val="21"/>
              </w:rPr>
            </w:pPr>
            <w:r>
              <w:rPr>
                <w:rFonts w:hint="eastAsia" w:ascii="宋体" w:hAnsi="宋体"/>
                <w:kern w:val="0"/>
                <w:sz w:val="21"/>
                <w:szCs w:val="21"/>
              </w:rPr>
              <w:t>▲</w:t>
            </w:r>
            <w:r>
              <w:rPr>
                <w:rFonts w:ascii="宋体" w:hAnsi="宋体"/>
                <w:kern w:val="0"/>
                <w:sz w:val="21"/>
                <w:szCs w:val="21"/>
              </w:rPr>
              <w:t>7.</w:t>
            </w:r>
            <w:r>
              <w:rPr>
                <w:rFonts w:hint="eastAsia" w:ascii="宋体" w:hAnsi="宋体"/>
                <w:kern w:val="0"/>
                <w:sz w:val="21"/>
                <w:szCs w:val="21"/>
              </w:rPr>
              <w:t>后门需采用网孔门设计，网孔为六边形设计,通孔率需</w:t>
            </w:r>
            <w:r>
              <w:rPr>
                <w:rFonts w:hint="eastAsia"/>
                <w:sz w:val="21"/>
                <w:szCs w:val="21"/>
              </w:rPr>
              <w:t>≥</w:t>
            </w:r>
            <w:r>
              <w:rPr>
                <w:rFonts w:hint="eastAsia" w:ascii="宋体" w:hAnsi="宋体"/>
                <w:kern w:val="0"/>
                <w:sz w:val="21"/>
                <w:szCs w:val="21"/>
              </w:rPr>
              <w:t>80％，有利于机柜内设备通风散热，适应新型服务器高热密度的散热需求</w:t>
            </w:r>
            <w:r>
              <w:rPr>
                <w:rFonts w:hint="eastAsia" w:ascii="宋体" w:hAnsi="宋体"/>
                <w:b/>
                <w:bCs/>
                <w:kern w:val="0"/>
                <w:sz w:val="21"/>
                <w:szCs w:val="21"/>
              </w:rPr>
              <w:t>。</w:t>
            </w:r>
            <w:r>
              <w:rPr>
                <w:rFonts w:hint="eastAsia" w:ascii="宋体" w:hAnsi="宋体"/>
                <w:b/>
                <w:bCs/>
                <w:color w:val="FF0000"/>
                <w:kern w:val="0"/>
                <w:sz w:val="21"/>
                <w:szCs w:val="21"/>
              </w:rPr>
              <w:t>投标时需提供第三方检测机构出具的“通孔率</w:t>
            </w:r>
            <w:r>
              <w:rPr>
                <w:rFonts w:hint="eastAsia"/>
                <w:b/>
                <w:bCs/>
                <w:color w:val="FF0000"/>
                <w:sz w:val="21"/>
                <w:szCs w:val="21"/>
              </w:rPr>
              <w:t>≥</w:t>
            </w:r>
            <w:r>
              <w:rPr>
                <w:rFonts w:hint="eastAsia" w:ascii="宋体" w:hAnsi="宋体"/>
                <w:b/>
                <w:bCs/>
                <w:color w:val="FF0000"/>
                <w:kern w:val="0"/>
                <w:sz w:val="21"/>
                <w:szCs w:val="21"/>
              </w:rPr>
              <w:t>80％”的检测报告扫描件或复印件,并加盖投标人公章</w:t>
            </w:r>
            <w:r>
              <w:rPr>
                <w:rFonts w:hint="eastAsia" w:ascii="宋体" w:hAnsi="宋体"/>
                <w:kern w:val="0"/>
                <w:sz w:val="21"/>
                <w:szCs w:val="21"/>
              </w:rPr>
              <w:t>。</w:t>
            </w:r>
          </w:p>
        </w:tc>
        <w:tc>
          <w:tcPr>
            <w:tcW w:w="473" w:type="pct"/>
            <w:vAlign w:val="center"/>
          </w:tcPr>
          <w:p w14:paraId="5397D817">
            <w:pPr>
              <w:pStyle w:val="58"/>
              <w:keepNext w:val="0"/>
              <w:keepLines w:val="0"/>
              <w:pageBreakBefore w:val="0"/>
              <w:kinsoku/>
              <w:wordWrap/>
              <w:overflowPunct/>
              <w:topLinePunct w:val="0"/>
              <w:bidi w:val="0"/>
              <w:spacing w:line="276" w:lineRule="auto"/>
              <w:ind w:firstLine="0" w:firstLineChars="0"/>
              <w:rPr>
                <w:rFonts w:hint="eastAsia" w:ascii="宋体" w:hAnsi="宋体"/>
                <w:kern w:val="0"/>
                <w:sz w:val="21"/>
                <w:szCs w:val="21"/>
              </w:rPr>
            </w:pPr>
          </w:p>
        </w:tc>
        <w:tc>
          <w:tcPr>
            <w:tcW w:w="430" w:type="pct"/>
            <w:vAlign w:val="center"/>
          </w:tcPr>
          <w:p w14:paraId="3BD6A062">
            <w:pPr>
              <w:pStyle w:val="58"/>
              <w:keepNext w:val="0"/>
              <w:keepLines w:val="0"/>
              <w:pageBreakBefore w:val="0"/>
              <w:kinsoku/>
              <w:wordWrap/>
              <w:overflowPunct/>
              <w:topLinePunct w:val="0"/>
              <w:bidi w:val="0"/>
              <w:spacing w:line="276" w:lineRule="auto"/>
              <w:ind w:firstLine="0" w:firstLineChars="0"/>
              <w:rPr>
                <w:rFonts w:hint="eastAsia" w:ascii="宋体" w:hAnsi="宋体"/>
                <w:kern w:val="0"/>
                <w:sz w:val="21"/>
                <w:szCs w:val="21"/>
              </w:rPr>
            </w:pPr>
          </w:p>
        </w:tc>
        <w:tc>
          <w:tcPr>
            <w:tcW w:w="399" w:type="pct"/>
            <w:vAlign w:val="center"/>
          </w:tcPr>
          <w:p w14:paraId="646F766E">
            <w:pPr>
              <w:pStyle w:val="58"/>
              <w:keepNext w:val="0"/>
              <w:keepLines w:val="0"/>
              <w:pageBreakBefore w:val="0"/>
              <w:kinsoku/>
              <w:wordWrap/>
              <w:overflowPunct/>
              <w:topLinePunct w:val="0"/>
              <w:bidi w:val="0"/>
              <w:spacing w:line="276" w:lineRule="auto"/>
              <w:ind w:firstLine="0" w:firstLineChars="0"/>
              <w:rPr>
                <w:rFonts w:hint="eastAsia" w:ascii="宋体" w:hAnsi="宋体"/>
                <w:kern w:val="0"/>
                <w:sz w:val="21"/>
                <w:szCs w:val="21"/>
              </w:rPr>
            </w:pPr>
          </w:p>
        </w:tc>
      </w:tr>
      <w:tr w14:paraId="17BF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1" w:hRule="atLeast"/>
          <w:jc w:val="center"/>
        </w:trPr>
        <w:tc>
          <w:tcPr>
            <w:tcW w:w="242" w:type="pct"/>
            <w:vMerge w:val="restart"/>
            <w:vAlign w:val="center"/>
          </w:tcPr>
          <w:p w14:paraId="1882494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2</w:t>
            </w:r>
          </w:p>
        </w:tc>
        <w:tc>
          <w:tcPr>
            <w:tcW w:w="791" w:type="pct"/>
            <w:vMerge w:val="restart"/>
            <w:vAlign w:val="center"/>
          </w:tcPr>
          <w:p w14:paraId="1EE5807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密闭冷通道组件</w:t>
            </w:r>
          </w:p>
        </w:tc>
        <w:tc>
          <w:tcPr>
            <w:tcW w:w="2662" w:type="pct"/>
            <w:vAlign w:val="center"/>
          </w:tcPr>
          <w:p w14:paraId="40B6083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 密封通道由机柜、密封侧板、天窗以及通道端门、led照明等组成，形成密封，冷热气流隔离。冷通道地面（地板）上不允许有地轨、门槛等影响人员、设备进出。</w:t>
            </w:r>
          </w:p>
          <w:p w14:paraId="4D4F6184">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2. 为保证微模块通道的安全性能，微模块天窗厚度应不低于5mm；为保证通道光照充足，透明天窗的透光率应不少于90%。</w:t>
            </w:r>
          </w:p>
          <w:p w14:paraId="5881317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3. 为保证整体设备安全性能，微模块通道整体架构应具有抗震要求，并满足不小于8-9级烈度结构抗地震测试实验。</w:t>
            </w:r>
          </w:p>
          <w:p w14:paraId="47953CB1">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 xml:space="preserve">4. </w:t>
            </w:r>
            <w:r>
              <w:rPr>
                <w:rFonts w:hint="eastAsia" w:ascii="宋体" w:hAnsi="宋体"/>
                <w:sz w:val="21"/>
                <w:szCs w:val="21"/>
              </w:rPr>
              <w:t>通道内结构件排列合理、整齐，线缆颜色和截面合理、布放平整，接插件牢固，进出线符合工程需要，标牌、标记应平整清晰。焊缝要求整齐均匀，不允许有裂缝、咬边、豁口，烧穿等明显缺陷，表面粗糙度符合行业相关标准。</w:t>
            </w:r>
            <w:r>
              <w:rPr>
                <w:rFonts w:hint="eastAsia" w:ascii="宋体" w:hAnsi="宋体"/>
                <w:sz w:val="21"/>
                <w:szCs w:val="21"/>
                <w:lang w:val="zh-CN"/>
              </w:rPr>
              <w:t>通道内结构件颜色要求与机房机柜的颜色一致，在机房灯光下应无晕眩。表面应进行脱脂、酸洗、防锈磷化、纯水清洗、静电喷塑等处理，要求不脱漆、耐酸碱、耐溶剂、耐腐蚀、耐指纹不受手汗影响。表面处理应采用高硬度粉沫静电喷涂和高温烤漆处理工艺，表层外观表面应光洁、色泽均匀、无露底、无流积、无起泡、无裂纹、无橘皮、金属件要求无毛刺和锈蚀、应防静电。</w:t>
            </w:r>
          </w:p>
        </w:tc>
        <w:tc>
          <w:tcPr>
            <w:tcW w:w="473" w:type="pct"/>
            <w:vAlign w:val="center"/>
          </w:tcPr>
          <w:p w14:paraId="01E83B05">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06259472">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796DA6B0">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02B51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2" w:hRule="atLeast"/>
          <w:jc w:val="center"/>
        </w:trPr>
        <w:tc>
          <w:tcPr>
            <w:tcW w:w="242" w:type="pct"/>
            <w:vMerge w:val="continue"/>
            <w:vAlign w:val="center"/>
          </w:tcPr>
          <w:p w14:paraId="13CD1D0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624E54E1">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2662" w:type="pct"/>
            <w:vAlign w:val="center"/>
          </w:tcPr>
          <w:p w14:paraId="43B0BE65">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5. 翻转天窗应能支持自动或手动开启.</w:t>
            </w:r>
            <w:r>
              <w:rPr>
                <w:rFonts w:hint="eastAsia" w:ascii="宋体" w:hAnsi="宋体"/>
                <w:sz w:val="21"/>
                <w:szCs w:val="21"/>
                <w:lang w:val="zh-CN"/>
              </w:rPr>
              <w:t>封闭冷通道组件产品应具备与机房气体消防系统联动从而解决通道内消防问题的功能。封闭冷通道顶部应具备消防联动天窗自动翻转功能，在正常状态下，天窗由通电磁铁吸合，为确保顶部密封，天窗需配密封胶圈。一旦发生火警，在消防系统启动之前，天窗处磁铁断电，天窗由于重力作用翻转打开，以便灭火气体迅速进入封闭通道空间内，达到灭火目的；</w:t>
            </w:r>
            <w:r>
              <w:rPr>
                <w:rFonts w:hint="eastAsia" w:ascii="宋体" w:hAnsi="宋体"/>
                <w:sz w:val="21"/>
                <w:szCs w:val="21"/>
              </w:rPr>
              <w:t>同时发出声光报警信号，并将告警信号上传至机房管理系统。</w:t>
            </w:r>
          </w:p>
          <w:p w14:paraId="5D0E495C">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6. 通道端门侧应预留开门按钮、刷卡器、通道照明开关、紧急按钮、通道灯带等的安装接口，方便安装通道级门禁和照明使用。通道内部应设置紧急按钮，在干接点开门信号失效的极端情况下，通过物理掉电方式开启端门电磁锁，以保证通道内部人员的逃生顺畅。</w:t>
            </w:r>
          </w:p>
        </w:tc>
        <w:tc>
          <w:tcPr>
            <w:tcW w:w="473" w:type="pct"/>
            <w:vAlign w:val="center"/>
          </w:tcPr>
          <w:p w14:paraId="2DFE7372">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48D5BB8A">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6CBAF7BA">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65EF5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2" w:hRule="atLeast"/>
          <w:jc w:val="center"/>
        </w:trPr>
        <w:tc>
          <w:tcPr>
            <w:tcW w:w="242" w:type="pct"/>
            <w:vMerge w:val="continue"/>
            <w:vAlign w:val="center"/>
          </w:tcPr>
          <w:p w14:paraId="7313DA2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3E17829">
            <w:pPr>
              <w:keepNext w:val="0"/>
              <w:keepLines w:val="0"/>
              <w:pageBreakBefore w:val="0"/>
              <w:widowControl/>
              <w:kinsoku/>
              <w:wordWrap/>
              <w:overflowPunct/>
              <w:topLinePunct w:val="0"/>
              <w:bidi w:val="0"/>
              <w:spacing w:line="276" w:lineRule="auto"/>
              <w:ind w:left="181" w:leftChars="86" w:right="36" w:rightChars="17"/>
              <w:rPr>
                <w:rFonts w:ascii="宋体" w:hAnsi="宋体"/>
                <w:sz w:val="21"/>
                <w:szCs w:val="21"/>
              </w:rPr>
            </w:pPr>
          </w:p>
        </w:tc>
        <w:tc>
          <w:tcPr>
            <w:tcW w:w="2662" w:type="pct"/>
            <w:vAlign w:val="center"/>
          </w:tcPr>
          <w:p w14:paraId="217E8D70">
            <w:pPr>
              <w:keepNext w:val="0"/>
              <w:keepLines w:val="0"/>
              <w:pageBreakBefore w:val="0"/>
              <w:kinsoku/>
              <w:wordWrap/>
              <w:overflowPunct/>
              <w:topLinePunct w:val="0"/>
              <w:bidi w:val="0"/>
              <w:spacing w:line="276" w:lineRule="auto"/>
              <w:ind w:left="181" w:leftChars="86" w:right="36" w:rightChars="17"/>
              <w:rPr>
                <w:sz w:val="21"/>
                <w:szCs w:val="21"/>
              </w:rPr>
            </w:pPr>
            <w:r>
              <w:rPr>
                <w:rFonts w:hint="eastAsia" w:ascii="宋体" w:hAnsi="宋体"/>
                <w:color w:val="FF0000"/>
                <w:kern w:val="0"/>
                <w:sz w:val="21"/>
                <w:szCs w:val="21"/>
              </w:rPr>
              <w:t>▲7.</w:t>
            </w:r>
            <w:r>
              <w:rPr>
                <w:rFonts w:hint="eastAsia"/>
                <w:b/>
                <w:bCs/>
                <w:color w:val="FF0000"/>
                <w:sz w:val="21"/>
                <w:szCs w:val="21"/>
              </w:rPr>
              <w:t>提供所投产品</w:t>
            </w:r>
            <w:r>
              <w:rPr>
                <w:rFonts w:hint="eastAsia" w:ascii="宋体" w:hAnsi="宋体"/>
                <w:b/>
                <w:bCs/>
                <w:color w:val="FF0000"/>
                <w:kern w:val="0"/>
                <w:sz w:val="21"/>
                <w:szCs w:val="21"/>
              </w:rPr>
              <w:t>PUE测试报告，要求实验室环境下模拟在外部环境5℃，100%负载工况下最低PUE</w:t>
            </w:r>
            <w:r>
              <w:rPr>
                <w:rFonts w:hint="eastAsia" w:ascii="宋体" w:hAnsi="宋体"/>
                <w:color w:val="FF0000"/>
                <w:sz w:val="21"/>
                <w:szCs w:val="21"/>
              </w:rPr>
              <w:t>≤</w:t>
            </w:r>
            <w:r>
              <w:rPr>
                <w:rFonts w:hint="eastAsia" w:ascii="宋体" w:hAnsi="宋体"/>
                <w:b/>
                <w:bCs/>
                <w:color w:val="FF0000"/>
                <w:kern w:val="0"/>
                <w:sz w:val="21"/>
                <w:szCs w:val="21"/>
              </w:rPr>
              <w:t>1.13。</w:t>
            </w:r>
            <w:r>
              <w:rPr>
                <w:rFonts w:hint="eastAsia"/>
                <w:b/>
                <w:bCs/>
                <w:color w:val="FF0000"/>
                <w:sz w:val="21"/>
                <w:szCs w:val="21"/>
              </w:rPr>
              <w:t>（</w:t>
            </w:r>
            <w:r>
              <w:rPr>
                <w:rFonts w:hint="eastAsia" w:ascii="宋体" w:hAnsi="宋体"/>
                <w:b/>
                <w:bCs/>
                <w:color w:val="FF0000"/>
                <w:sz w:val="21"/>
                <w:szCs w:val="21"/>
              </w:rPr>
              <w:t>投标时提供第三方检测机构出具具有“CNAS”或“CMA”标识的检测/检验报告扫描件或复印件，并加盖投标人公章</w:t>
            </w:r>
            <w:r>
              <w:rPr>
                <w:rFonts w:hint="eastAsia"/>
                <w:b/>
                <w:bCs/>
                <w:color w:val="FF0000"/>
                <w:sz w:val="21"/>
                <w:szCs w:val="21"/>
              </w:rPr>
              <w:t>）。</w:t>
            </w:r>
          </w:p>
        </w:tc>
        <w:tc>
          <w:tcPr>
            <w:tcW w:w="473" w:type="pct"/>
            <w:vAlign w:val="center"/>
          </w:tcPr>
          <w:p w14:paraId="59CDEA77">
            <w:pPr>
              <w:keepNext w:val="0"/>
              <w:keepLines w:val="0"/>
              <w:pageBreakBefore w:val="0"/>
              <w:kinsoku/>
              <w:wordWrap/>
              <w:overflowPunct/>
              <w:topLinePunct w:val="0"/>
              <w:bidi w:val="0"/>
              <w:spacing w:line="276" w:lineRule="auto"/>
              <w:ind w:left="181" w:leftChars="86" w:right="36" w:rightChars="17"/>
              <w:rPr>
                <w:rFonts w:hint="eastAsia" w:ascii="宋体" w:hAnsi="宋体"/>
                <w:color w:val="FF0000"/>
                <w:kern w:val="0"/>
                <w:sz w:val="21"/>
                <w:szCs w:val="21"/>
              </w:rPr>
            </w:pPr>
          </w:p>
        </w:tc>
        <w:tc>
          <w:tcPr>
            <w:tcW w:w="430" w:type="pct"/>
            <w:vAlign w:val="center"/>
          </w:tcPr>
          <w:p w14:paraId="3952D296">
            <w:pPr>
              <w:keepNext w:val="0"/>
              <w:keepLines w:val="0"/>
              <w:pageBreakBefore w:val="0"/>
              <w:kinsoku/>
              <w:wordWrap/>
              <w:overflowPunct/>
              <w:topLinePunct w:val="0"/>
              <w:bidi w:val="0"/>
              <w:spacing w:line="276" w:lineRule="auto"/>
              <w:ind w:left="181" w:leftChars="86" w:right="36" w:rightChars="17"/>
              <w:rPr>
                <w:rFonts w:hint="eastAsia" w:ascii="宋体" w:hAnsi="宋体"/>
                <w:color w:val="FF0000"/>
                <w:kern w:val="0"/>
                <w:sz w:val="21"/>
                <w:szCs w:val="21"/>
              </w:rPr>
            </w:pPr>
          </w:p>
        </w:tc>
        <w:tc>
          <w:tcPr>
            <w:tcW w:w="399" w:type="pct"/>
            <w:vAlign w:val="center"/>
          </w:tcPr>
          <w:p w14:paraId="6B49CA5D">
            <w:pPr>
              <w:keepNext w:val="0"/>
              <w:keepLines w:val="0"/>
              <w:pageBreakBefore w:val="0"/>
              <w:kinsoku/>
              <w:wordWrap/>
              <w:overflowPunct/>
              <w:topLinePunct w:val="0"/>
              <w:bidi w:val="0"/>
              <w:spacing w:line="276" w:lineRule="auto"/>
              <w:ind w:left="181" w:leftChars="86" w:right="36" w:rightChars="17"/>
              <w:rPr>
                <w:rFonts w:hint="eastAsia" w:ascii="宋体" w:hAnsi="宋体"/>
                <w:color w:val="FF0000"/>
                <w:kern w:val="0"/>
                <w:sz w:val="21"/>
                <w:szCs w:val="21"/>
              </w:rPr>
            </w:pPr>
          </w:p>
        </w:tc>
      </w:tr>
      <w:tr w14:paraId="03328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3" w:hRule="atLeast"/>
          <w:jc w:val="center"/>
        </w:trPr>
        <w:tc>
          <w:tcPr>
            <w:tcW w:w="242" w:type="pct"/>
            <w:vMerge w:val="restart"/>
            <w:vAlign w:val="center"/>
          </w:tcPr>
          <w:p w14:paraId="0FE4696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3</w:t>
            </w:r>
          </w:p>
        </w:tc>
        <w:tc>
          <w:tcPr>
            <w:tcW w:w="791" w:type="pct"/>
            <w:vMerge w:val="restart"/>
            <w:vAlign w:val="center"/>
          </w:tcPr>
          <w:p w14:paraId="4ADA3B1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密闭冷通道内部动环</w:t>
            </w:r>
          </w:p>
        </w:tc>
        <w:tc>
          <w:tcPr>
            <w:tcW w:w="2662" w:type="pct"/>
            <w:vAlign w:val="center"/>
          </w:tcPr>
          <w:p w14:paraId="32E55BBF">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 双排冷通道需设置烟感、温湿度传感器、监控摄像头，随时监控和展示通道内设备运行情况，并能够及时上报告警信息至动环系统和DCIM平台。</w:t>
            </w:r>
          </w:p>
        </w:tc>
        <w:tc>
          <w:tcPr>
            <w:tcW w:w="473" w:type="pct"/>
            <w:vAlign w:val="center"/>
          </w:tcPr>
          <w:p w14:paraId="2B482D10">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00D6CB41">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39C2B9C7">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363C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 w:hRule="atLeast"/>
          <w:jc w:val="center"/>
        </w:trPr>
        <w:tc>
          <w:tcPr>
            <w:tcW w:w="242" w:type="pct"/>
            <w:vMerge w:val="continue"/>
            <w:vAlign w:val="center"/>
          </w:tcPr>
          <w:p w14:paraId="5524179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209926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0D564C68">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▲2. 管理系统通信总线具备容错能力，单点故障应不影响其他设备；管理系统电源总线应具有热备份，具备支持热插拔，在线更换功能。</w:t>
            </w:r>
            <w:r>
              <w:rPr>
                <w:rFonts w:hint="eastAsia" w:ascii="宋体" w:hAnsi="宋体"/>
                <w:b/>
                <w:color w:val="FF0000"/>
                <w:sz w:val="21"/>
                <w:szCs w:val="21"/>
              </w:rPr>
              <w:t>（投标时提供第三方检测机构出具具有“</w:t>
            </w:r>
            <w:r>
              <w:rPr>
                <w:rFonts w:ascii="宋体" w:hAnsi="宋体"/>
                <w:b/>
                <w:color w:val="FF0000"/>
                <w:sz w:val="21"/>
                <w:szCs w:val="21"/>
              </w:rPr>
              <w:t>CNAS”或“CMA”标识的检测/检验报告</w:t>
            </w:r>
            <w:r>
              <w:rPr>
                <w:rFonts w:hint="eastAsia" w:ascii="宋体" w:hAnsi="宋体"/>
                <w:b/>
                <w:color w:val="FF0000"/>
                <w:sz w:val="21"/>
                <w:szCs w:val="21"/>
              </w:rPr>
              <w:t>扫描件或</w:t>
            </w:r>
            <w:r>
              <w:rPr>
                <w:rFonts w:ascii="宋体" w:hAnsi="宋体"/>
                <w:b/>
                <w:color w:val="FF0000"/>
                <w:sz w:val="21"/>
                <w:szCs w:val="21"/>
              </w:rPr>
              <w:t>复印件，并加盖</w:t>
            </w:r>
            <w:r>
              <w:rPr>
                <w:rFonts w:hint="eastAsia" w:ascii="宋体" w:hAnsi="宋体"/>
                <w:b/>
                <w:color w:val="FF0000"/>
                <w:sz w:val="21"/>
                <w:szCs w:val="21"/>
              </w:rPr>
              <w:t>投标人</w:t>
            </w:r>
            <w:r>
              <w:rPr>
                <w:rFonts w:ascii="宋体" w:hAnsi="宋体"/>
                <w:b/>
                <w:color w:val="FF0000"/>
                <w:sz w:val="21"/>
                <w:szCs w:val="21"/>
              </w:rPr>
              <w:t>公章）</w:t>
            </w:r>
          </w:p>
        </w:tc>
        <w:tc>
          <w:tcPr>
            <w:tcW w:w="473" w:type="pct"/>
            <w:vAlign w:val="center"/>
          </w:tcPr>
          <w:p w14:paraId="19AC2DAE">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430" w:type="pct"/>
            <w:vAlign w:val="center"/>
          </w:tcPr>
          <w:p w14:paraId="3F170875">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399" w:type="pct"/>
            <w:vAlign w:val="center"/>
          </w:tcPr>
          <w:p w14:paraId="40E5AD15">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r>
      <w:tr w14:paraId="67359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 w:hRule="atLeast"/>
          <w:jc w:val="center"/>
        </w:trPr>
        <w:tc>
          <w:tcPr>
            <w:tcW w:w="242" w:type="pct"/>
            <w:vMerge w:val="continue"/>
            <w:vAlign w:val="center"/>
          </w:tcPr>
          <w:p w14:paraId="453B63A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0B754F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28886F7E">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3. 智能温控管理，通过机柜温度和能耗变化，驱动空调智能调控，实现节能减排；智能联动管理，出现火情时，微模块能控制天窗自动翻转、通道门打开、空调自动停止运行。</w:t>
            </w:r>
          </w:p>
          <w:p w14:paraId="2E4DB596">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4</w:t>
            </w:r>
            <w:r>
              <w:rPr>
                <w:rFonts w:hint="eastAsia" w:ascii="宋体" w:hAnsi="宋体"/>
                <w:sz w:val="21"/>
                <w:szCs w:val="21"/>
              </w:rPr>
              <w:t>. 支持生成与微模块匹配的平面视图，包括精密配电、空调、机柜、温湿度、摄像头显示；支持在平面图上直观显示温湿度、漏水监测、烟雾传感器实时状态监测和告警；支持通过点击平面视图中的精密配电、空调、温湿度等设备，可查看该设备的实时运行详细参数。</w:t>
            </w:r>
          </w:p>
          <w:p w14:paraId="0A2222EE">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5</w:t>
            </w:r>
            <w:r>
              <w:rPr>
                <w:rFonts w:hint="eastAsia" w:ascii="宋体" w:hAnsi="宋体"/>
                <w:sz w:val="21"/>
                <w:szCs w:val="21"/>
              </w:rPr>
              <w:t>. 微模块控制器硬件要求：高度≤1U，机架式安装，系统内存≥512M，Flash存储≥1GB+64MB存储空间；支持≥2路WAN接口，≥2路LAN接口，≥100Mbps通讯速率；预留≥4路RS485接口，通讯速率默认9600bps；支持≥5路AI/DI接口；干接点触点容量20W，最大允许接入电压60V DC，额定电流500mA；支持4G、</w:t>
            </w:r>
            <w:r>
              <w:rPr>
                <w:rFonts w:ascii="宋体" w:hAnsi="宋体"/>
                <w:sz w:val="21"/>
                <w:szCs w:val="21"/>
              </w:rPr>
              <w:t>5</w:t>
            </w:r>
            <w:r>
              <w:rPr>
                <w:rFonts w:hint="eastAsia" w:ascii="宋体" w:hAnsi="宋体"/>
                <w:sz w:val="21"/>
                <w:szCs w:val="21"/>
              </w:rPr>
              <w:t>G通讯，提供一个SIM卡插槽；支持平板访问，在APP上查看当前告警、设备参数。支持与第三方网管对接，实现多场景的集中管理。</w:t>
            </w:r>
          </w:p>
        </w:tc>
        <w:tc>
          <w:tcPr>
            <w:tcW w:w="473" w:type="pct"/>
            <w:vAlign w:val="center"/>
          </w:tcPr>
          <w:p w14:paraId="6B20594B">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430" w:type="pct"/>
            <w:vAlign w:val="center"/>
          </w:tcPr>
          <w:p w14:paraId="7DB4D13D">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99" w:type="pct"/>
            <w:vAlign w:val="center"/>
          </w:tcPr>
          <w:p w14:paraId="6301585A">
            <w:pPr>
              <w:keepNext w:val="0"/>
              <w:keepLines w:val="0"/>
              <w:pageBreakBefore w:val="0"/>
              <w:kinsoku/>
              <w:wordWrap/>
              <w:overflowPunct/>
              <w:topLinePunct w:val="0"/>
              <w:bidi w:val="0"/>
              <w:spacing w:line="276" w:lineRule="auto"/>
              <w:ind w:right="36" w:rightChars="17"/>
              <w:rPr>
                <w:rFonts w:ascii="宋体" w:hAnsi="宋体"/>
                <w:sz w:val="21"/>
                <w:szCs w:val="21"/>
              </w:rPr>
            </w:pPr>
          </w:p>
        </w:tc>
      </w:tr>
      <w:tr w14:paraId="6BAED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 w:hRule="atLeast"/>
          <w:jc w:val="center"/>
        </w:trPr>
        <w:tc>
          <w:tcPr>
            <w:tcW w:w="242" w:type="pct"/>
            <w:vMerge w:val="continue"/>
            <w:vAlign w:val="center"/>
          </w:tcPr>
          <w:p w14:paraId="48FDCFF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9743E0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72D78AA4">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w:t>
            </w:r>
            <w:r>
              <w:rPr>
                <w:rFonts w:ascii="宋体" w:hAnsi="宋体"/>
                <w:b/>
                <w:bCs/>
                <w:color w:val="FF0000"/>
                <w:sz w:val="21"/>
                <w:szCs w:val="21"/>
              </w:rPr>
              <w:t>6</w:t>
            </w:r>
            <w:r>
              <w:rPr>
                <w:rFonts w:hint="eastAsia" w:ascii="宋体" w:hAnsi="宋体"/>
                <w:b/>
                <w:bCs/>
                <w:color w:val="FF0000"/>
                <w:sz w:val="21"/>
                <w:szCs w:val="21"/>
              </w:rPr>
              <w:t>. 设备应具备供电全链路显示功能：从微模块的总输入到IT机柜的PDU，整个配电拓扑展示、开关状态、能量流图、设备故障状态、支路对应关系、关键信号参数（电压、电流、温度等）。（</w:t>
            </w:r>
            <w:r>
              <w:rPr>
                <w:rFonts w:hint="eastAsia" w:ascii="宋体" w:hAnsi="宋体"/>
                <w:b/>
                <w:color w:val="FF0000"/>
                <w:sz w:val="21"/>
                <w:szCs w:val="21"/>
              </w:rPr>
              <w:t>投标时提供第三方检测机构出具具有“</w:t>
            </w:r>
            <w:r>
              <w:rPr>
                <w:rFonts w:ascii="宋体" w:hAnsi="宋体"/>
                <w:b/>
                <w:color w:val="FF0000"/>
                <w:sz w:val="21"/>
                <w:szCs w:val="21"/>
              </w:rPr>
              <w:t>CNAS”或“CMA”标识的检测/检验报告</w:t>
            </w:r>
            <w:r>
              <w:rPr>
                <w:rFonts w:hint="eastAsia" w:ascii="宋体" w:hAnsi="宋体"/>
                <w:b/>
                <w:color w:val="FF0000"/>
                <w:sz w:val="21"/>
                <w:szCs w:val="21"/>
              </w:rPr>
              <w:t>扫描件或</w:t>
            </w:r>
            <w:r>
              <w:rPr>
                <w:rFonts w:ascii="宋体" w:hAnsi="宋体"/>
                <w:b/>
                <w:color w:val="FF0000"/>
                <w:sz w:val="21"/>
                <w:szCs w:val="21"/>
              </w:rPr>
              <w:t>复印件，并加盖</w:t>
            </w:r>
            <w:r>
              <w:rPr>
                <w:rFonts w:hint="eastAsia" w:ascii="宋体" w:hAnsi="宋体"/>
                <w:b/>
                <w:color w:val="FF0000"/>
                <w:sz w:val="21"/>
                <w:szCs w:val="21"/>
              </w:rPr>
              <w:t>投标人</w:t>
            </w:r>
            <w:r>
              <w:rPr>
                <w:rFonts w:ascii="宋体" w:hAnsi="宋体"/>
                <w:b/>
                <w:color w:val="FF0000"/>
                <w:sz w:val="21"/>
                <w:szCs w:val="21"/>
              </w:rPr>
              <w:t>公章</w:t>
            </w:r>
            <w:r>
              <w:rPr>
                <w:rFonts w:hint="eastAsia" w:ascii="宋体" w:hAnsi="宋体"/>
                <w:b/>
                <w:bCs/>
                <w:color w:val="FF0000"/>
                <w:sz w:val="21"/>
                <w:szCs w:val="21"/>
              </w:rPr>
              <w:t>）</w:t>
            </w:r>
          </w:p>
        </w:tc>
        <w:tc>
          <w:tcPr>
            <w:tcW w:w="473" w:type="pct"/>
            <w:vAlign w:val="center"/>
          </w:tcPr>
          <w:p w14:paraId="18BA81D8">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430" w:type="pct"/>
            <w:vAlign w:val="center"/>
          </w:tcPr>
          <w:p w14:paraId="124BC624">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399" w:type="pct"/>
            <w:vAlign w:val="center"/>
          </w:tcPr>
          <w:p w14:paraId="2C1D0D4D">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r>
      <w:tr w14:paraId="2E00F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242" w:type="pct"/>
            <w:vMerge w:val="continue"/>
            <w:vAlign w:val="center"/>
          </w:tcPr>
          <w:p w14:paraId="483723C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6A7CB33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5E316943">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w:t>
            </w:r>
            <w:r>
              <w:rPr>
                <w:rFonts w:ascii="宋体" w:hAnsi="宋体"/>
                <w:b/>
                <w:bCs/>
                <w:color w:val="FF0000"/>
                <w:sz w:val="21"/>
                <w:szCs w:val="21"/>
              </w:rPr>
              <w:t>7</w:t>
            </w:r>
            <w:r>
              <w:rPr>
                <w:rFonts w:hint="eastAsia" w:ascii="宋体" w:hAnsi="宋体"/>
                <w:b/>
                <w:bCs/>
                <w:color w:val="FF0000"/>
                <w:sz w:val="21"/>
                <w:szCs w:val="21"/>
              </w:rPr>
              <w:t>. 设备应具备制冷链路显示功能：1）显示整个微模块的温湿度状态、风道示意显示、冷媒流动显示、通道内外温湿度、室外温度、空调进出风温度、机柜温度；2）可以显示空调单机的制冷链路、状态（制冷、制热、加湿、除湿）、关键部件的状态和参数、风道冷媒流动状态。（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c>
          <w:tcPr>
            <w:tcW w:w="473" w:type="pct"/>
            <w:vAlign w:val="center"/>
          </w:tcPr>
          <w:p w14:paraId="2CB4AC81">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430" w:type="pct"/>
            <w:vAlign w:val="center"/>
          </w:tcPr>
          <w:p w14:paraId="6243E12B">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399" w:type="pct"/>
            <w:vAlign w:val="center"/>
          </w:tcPr>
          <w:p w14:paraId="5B0A1320">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r>
      <w:tr w14:paraId="6DF3F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242" w:type="pct"/>
            <w:vMerge w:val="continue"/>
            <w:vAlign w:val="center"/>
          </w:tcPr>
          <w:p w14:paraId="0525DC63">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7B3F53F3">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0DBE3237">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color w:val="FF0000"/>
                <w:kern w:val="0"/>
                <w:sz w:val="21"/>
                <w:szCs w:val="21"/>
              </w:rPr>
              <w:t>▲</w:t>
            </w:r>
            <w:r>
              <w:rPr>
                <w:rFonts w:ascii="宋体" w:hAnsi="宋体"/>
                <w:color w:val="FF0000"/>
                <w:kern w:val="0"/>
                <w:sz w:val="21"/>
                <w:szCs w:val="21"/>
              </w:rPr>
              <w:t>8</w:t>
            </w:r>
            <w:r>
              <w:rPr>
                <w:rFonts w:hint="eastAsia" w:ascii="宋体" w:hAnsi="宋体"/>
                <w:color w:val="FF0000"/>
                <w:kern w:val="0"/>
                <w:sz w:val="21"/>
                <w:szCs w:val="21"/>
              </w:rPr>
              <w:t>.</w:t>
            </w:r>
            <w:r>
              <w:rPr>
                <w:rFonts w:hint="eastAsia" w:ascii="宋体" w:hAnsi="宋体"/>
                <w:b/>
                <w:bCs/>
                <w:color w:val="FF0000"/>
                <w:kern w:val="0"/>
                <w:sz w:val="21"/>
                <w:szCs w:val="21"/>
              </w:rPr>
              <w:t>支持按小时维度呈现微模块设备总功率、IT负载功率、PUE值，以便及时评估机房的耗电情况。（投标时需提供功能界面截图</w:t>
            </w:r>
            <w:r>
              <w:rPr>
                <w:rStyle w:val="54"/>
                <w:rFonts w:hint="eastAsia" w:cs="Times New Roman"/>
                <w:b/>
                <w:bCs/>
                <w:color w:val="FF0000"/>
                <w:sz w:val="21"/>
                <w:szCs w:val="21"/>
              </w:rPr>
              <w:t>）</w:t>
            </w:r>
          </w:p>
        </w:tc>
        <w:tc>
          <w:tcPr>
            <w:tcW w:w="473" w:type="pct"/>
            <w:vAlign w:val="center"/>
          </w:tcPr>
          <w:p w14:paraId="12DE4D64">
            <w:pPr>
              <w:keepNext w:val="0"/>
              <w:keepLines w:val="0"/>
              <w:pageBreakBefore w:val="0"/>
              <w:kinsoku/>
              <w:wordWrap/>
              <w:overflowPunct/>
              <w:topLinePunct w:val="0"/>
              <w:bidi w:val="0"/>
              <w:spacing w:line="276" w:lineRule="auto"/>
              <w:ind w:right="36" w:rightChars="17"/>
              <w:rPr>
                <w:rFonts w:hint="eastAsia" w:ascii="宋体" w:hAnsi="宋体"/>
                <w:color w:val="FF0000"/>
                <w:kern w:val="0"/>
                <w:sz w:val="21"/>
                <w:szCs w:val="21"/>
              </w:rPr>
            </w:pPr>
          </w:p>
        </w:tc>
        <w:tc>
          <w:tcPr>
            <w:tcW w:w="430" w:type="pct"/>
            <w:vAlign w:val="center"/>
          </w:tcPr>
          <w:p w14:paraId="7DC472FE">
            <w:pPr>
              <w:keepNext w:val="0"/>
              <w:keepLines w:val="0"/>
              <w:pageBreakBefore w:val="0"/>
              <w:kinsoku/>
              <w:wordWrap/>
              <w:overflowPunct/>
              <w:topLinePunct w:val="0"/>
              <w:bidi w:val="0"/>
              <w:spacing w:line="276" w:lineRule="auto"/>
              <w:ind w:right="36" w:rightChars="17"/>
              <w:rPr>
                <w:rFonts w:hint="eastAsia" w:ascii="宋体" w:hAnsi="宋体"/>
                <w:color w:val="FF0000"/>
                <w:kern w:val="0"/>
                <w:sz w:val="21"/>
                <w:szCs w:val="21"/>
              </w:rPr>
            </w:pPr>
          </w:p>
        </w:tc>
        <w:tc>
          <w:tcPr>
            <w:tcW w:w="399" w:type="pct"/>
            <w:vAlign w:val="center"/>
          </w:tcPr>
          <w:p w14:paraId="663683C7">
            <w:pPr>
              <w:keepNext w:val="0"/>
              <w:keepLines w:val="0"/>
              <w:pageBreakBefore w:val="0"/>
              <w:kinsoku/>
              <w:wordWrap/>
              <w:overflowPunct/>
              <w:topLinePunct w:val="0"/>
              <w:bidi w:val="0"/>
              <w:spacing w:line="276" w:lineRule="auto"/>
              <w:ind w:right="36" w:rightChars="17"/>
              <w:rPr>
                <w:rFonts w:hint="eastAsia" w:ascii="宋体" w:hAnsi="宋体"/>
                <w:color w:val="FF0000"/>
                <w:kern w:val="0"/>
                <w:sz w:val="21"/>
                <w:szCs w:val="21"/>
              </w:rPr>
            </w:pPr>
          </w:p>
        </w:tc>
      </w:tr>
      <w:tr w14:paraId="0E3DA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242" w:type="pct"/>
            <w:vMerge w:val="continue"/>
            <w:vAlign w:val="center"/>
          </w:tcPr>
          <w:p w14:paraId="736AF007">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44CF3C03">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1ECD727C">
            <w:pPr>
              <w:keepNext w:val="0"/>
              <w:keepLines w:val="0"/>
              <w:pageBreakBefore w:val="0"/>
              <w:widowControl/>
              <w:kinsoku/>
              <w:wordWrap/>
              <w:overflowPunct/>
              <w:topLinePunct w:val="0"/>
              <w:bidi w:val="0"/>
              <w:spacing w:line="276" w:lineRule="auto"/>
              <w:jc w:val="left"/>
              <w:rPr>
                <w:rFonts w:ascii="宋体" w:hAnsi="宋体"/>
                <w:kern w:val="0"/>
                <w:sz w:val="21"/>
                <w:szCs w:val="21"/>
              </w:rPr>
            </w:pPr>
            <w:r>
              <w:rPr>
                <w:rFonts w:hint="eastAsia" w:ascii="宋体" w:hAnsi="宋体"/>
                <w:b/>
                <w:bCs/>
                <w:color w:val="FF0000"/>
                <w:kern w:val="0"/>
                <w:sz w:val="21"/>
                <w:szCs w:val="21"/>
              </w:rPr>
              <w:t>▲9.为保障告警消息不遗漏，移动运维App应至少支持短信通知、微信通知、电话语音通知、App消息通知、紧急告警原厂主动电话通知5种通知方式。（投标时需提供功能界面截图</w:t>
            </w:r>
            <w:r>
              <w:rPr>
                <w:rStyle w:val="54"/>
                <w:rFonts w:hint="eastAsia" w:cs="Times New Roman"/>
                <w:b/>
                <w:bCs/>
                <w:color w:val="FF0000"/>
                <w:sz w:val="21"/>
                <w:szCs w:val="21"/>
              </w:rPr>
              <w:t>）</w:t>
            </w:r>
          </w:p>
        </w:tc>
        <w:tc>
          <w:tcPr>
            <w:tcW w:w="473" w:type="pct"/>
            <w:vAlign w:val="center"/>
          </w:tcPr>
          <w:p w14:paraId="1227306D">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430" w:type="pct"/>
            <w:vAlign w:val="center"/>
          </w:tcPr>
          <w:p w14:paraId="346EEB52">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399" w:type="pct"/>
            <w:vAlign w:val="center"/>
          </w:tcPr>
          <w:p w14:paraId="5F7231A2">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r>
      <w:tr w14:paraId="14EF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8" w:hRule="atLeast"/>
          <w:jc w:val="center"/>
        </w:trPr>
        <w:tc>
          <w:tcPr>
            <w:tcW w:w="242" w:type="pct"/>
            <w:vMerge w:val="continue"/>
            <w:vAlign w:val="center"/>
          </w:tcPr>
          <w:p w14:paraId="696A7083">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6E7C35AA">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603308F5">
            <w:pPr>
              <w:keepNext w:val="0"/>
              <w:keepLines w:val="0"/>
              <w:pageBreakBefore w:val="0"/>
              <w:widowControl/>
              <w:kinsoku/>
              <w:wordWrap/>
              <w:overflowPunct/>
              <w:topLinePunct w:val="0"/>
              <w:bidi w:val="0"/>
              <w:spacing w:line="276" w:lineRule="auto"/>
              <w:jc w:val="left"/>
              <w:rPr>
                <w:rFonts w:ascii="宋体" w:hAnsi="宋体"/>
                <w:kern w:val="0"/>
                <w:sz w:val="21"/>
                <w:szCs w:val="21"/>
              </w:rPr>
            </w:pPr>
            <w:r>
              <w:rPr>
                <w:rFonts w:hint="eastAsia" w:ascii="宋体" w:hAnsi="宋体"/>
                <w:b/>
                <w:bCs/>
                <w:color w:val="FF0000"/>
                <w:kern w:val="0"/>
                <w:sz w:val="21"/>
                <w:szCs w:val="21"/>
              </w:rPr>
              <w:t>▲1</w:t>
            </w:r>
            <w:r>
              <w:rPr>
                <w:rFonts w:ascii="宋体" w:hAnsi="宋体"/>
                <w:b/>
                <w:bCs/>
                <w:color w:val="FF0000"/>
                <w:kern w:val="0"/>
                <w:sz w:val="21"/>
                <w:szCs w:val="21"/>
              </w:rPr>
              <w:t>0</w:t>
            </w:r>
            <w:r>
              <w:rPr>
                <w:rFonts w:hint="eastAsia" w:ascii="宋体" w:hAnsi="宋体"/>
                <w:b/>
                <w:bCs/>
                <w:color w:val="FF0000"/>
                <w:kern w:val="0"/>
                <w:sz w:val="21"/>
                <w:szCs w:val="21"/>
              </w:rPr>
              <w:t>.支持查看微模块内行级空调的送风温度，冷热通道温湿度，以便随时了解机房温度情况。（投标时需提供功能界面截图</w:t>
            </w:r>
            <w:r>
              <w:rPr>
                <w:rStyle w:val="54"/>
                <w:rFonts w:hint="eastAsia" w:cs="Times New Roman"/>
                <w:b/>
                <w:bCs/>
                <w:color w:val="FF0000"/>
                <w:sz w:val="21"/>
                <w:szCs w:val="21"/>
              </w:rPr>
              <w:t>）</w:t>
            </w:r>
          </w:p>
        </w:tc>
        <w:tc>
          <w:tcPr>
            <w:tcW w:w="473" w:type="pct"/>
            <w:vAlign w:val="center"/>
          </w:tcPr>
          <w:p w14:paraId="1E039414">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430" w:type="pct"/>
            <w:vAlign w:val="center"/>
          </w:tcPr>
          <w:p w14:paraId="4B0D9E91">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399" w:type="pct"/>
            <w:vAlign w:val="center"/>
          </w:tcPr>
          <w:p w14:paraId="2F590F86">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r>
      <w:tr w14:paraId="790A8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242" w:type="pct"/>
            <w:vMerge w:val="continue"/>
            <w:vAlign w:val="center"/>
          </w:tcPr>
          <w:p w14:paraId="1B8ED2A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0DB51A8F">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18CDA6FE">
            <w:pPr>
              <w:keepNext w:val="0"/>
              <w:keepLines w:val="0"/>
              <w:pageBreakBefore w:val="0"/>
              <w:widowControl/>
              <w:kinsoku/>
              <w:wordWrap/>
              <w:overflowPunct/>
              <w:topLinePunct w:val="0"/>
              <w:bidi w:val="0"/>
              <w:spacing w:line="276" w:lineRule="auto"/>
              <w:jc w:val="left"/>
              <w:rPr>
                <w:rFonts w:ascii="宋体" w:hAnsi="宋体"/>
                <w:kern w:val="0"/>
                <w:sz w:val="21"/>
                <w:szCs w:val="21"/>
              </w:rPr>
            </w:pPr>
            <w:r>
              <w:rPr>
                <w:rFonts w:hint="eastAsia" w:ascii="宋体" w:hAnsi="宋体"/>
                <w:b/>
                <w:bCs/>
                <w:color w:val="FF0000"/>
                <w:kern w:val="0"/>
                <w:sz w:val="21"/>
                <w:szCs w:val="21"/>
              </w:rPr>
              <w:t>▲1</w:t>
            </w:r>
            <w:r>
              <w:rPr>
                <w:rFonts w:ascii="宋体" w:hAnsi="宋体"/>
                <w:b/>
                <w:bCs/>
                <w:color w:val="FF0000"/>
                <w:kern w:val="0"/>
                <w:sz w:val="21"/>
                <w:szCs w:val="21"/>
              </w:rPr>
              <w:t>1</w:t>
            </w:r>
            <w:r>
              <w:rPr>
                <w:rFonts w:hint="eastAsia" w:ascii="宋体" w:hAnsi="宋体"/>
                <w:b/>
                <w:bCs/>
                <w:color w:val="FF0000"/>
                <w:kern w:val="0"/>
                <w:sz w:val="21"/>
                <w:szCs w:val="21"/>
              </w:rPr>
              <w:t>.为提高故障处理效率，移动运维App需支持查看告警详情如告警原因、修复建议，并能主动建立问题工单，远程发送故障日志，快速跟踪问题。（投标时需提供功能界面截图</w:t>
            </w:r>
            <w:r>
              <w:rPr>
                <w:rStyle w:val="54"/>
                <w:rFonts w:hint="eastAsia" w:cs="Times New Roman"/>
                <w:b/>
                <w:bCs/>
                <w:color w:val="FF0000"/>
                <w:sz w:val="21"/>
                <w:szCs w:val="21"/>
              </w:rPr>
              <w:t>）</w:t>
            </w:r>
          </w:p>
        </w:tc>
        <w:tc>
          <w:tcPr>
            <w:tcW w:w="473" w:type="pct"/>
            <w:vAlign w:val="center"/>
          </w:tcPr>
          <w:p w14:paraId="24D75BE4">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430" w:type="pct"/>
            <w:vAlign w:val="center"/>
          </w:tcPr>
          <w:p w14:paraId="2AF0B7CB">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399" w:type="pct"/>
            <w:vAlign w:val="center"/>
          </w:tcPr>
          <w:p w14:paraId="45066313">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r>
      <w:tr w14:paraId="70D9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31" w:hRule="atLeast"/>
          <w:jc w:val="center"/>
        </w:trPr>
        <w:tc>
          <w:tcPr>
            <w:tcW w:w="242" w:type="pct"/>
            <w:vMerge w:val="continue"/>
            <w:vAlign w:val="center"/>
          </w:tcPr>
          <w:p w14:paraId="2D137290">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493C62D5">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6C979815">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▲1</w:t>
            </w:r>
            <w:r>
              <w:rPr>
                <w:rFonts w:ascii="宋体" w:hAnsi="宋体"/>
                <w:kern w:val="0"/>
                <w:sz w:val="21"/>
                <w:szCs w:val="21"/>
              </w:rPr>
              <w:t>2</w:t>
            </w:r>
            <w:r>
              <w:rPr>
                <w:rFonts w:hint="eastAsia" w:ascii="宋体" w:hAnsi="宋体"/>
                <w:kern w:val="0"/>
                <w:sz w:val="21"/>
                <w:szCs w:val="21"/>
              </w:rPr>
              <w:t>.为确保系统安全可靠，</w:t>
            </w:r>
            <w:r>
              <w:rPr>
                <w:rFonts w:hint="eastAsia"/>
                <w:b/>
                <w:bCs/>
                <w:color w:val="FF0000"/>
                <w:sz w:val="21"/>
                <w:szCs w:val="21"/>
              </w:rPr>
              <w:t>要求投标时提供</w:t>
            </w:r>
            <w:r>
              <w:rPr>
                <w:rFonts w:hint="eastAsia" w:ascii="宋体" w:hAnsi="宋体"/>
                <w:b/>
                <w:bCs/>
                <w:color w:val="FF0000"/>
                <w:kern w:val="0"/>
                <w:sz w:val="21"/>
                <w:szCs w:val="21"/>
              </w:rPr>
              <w:t>云安全管理体系</w:t>
            </w:r>
            <w:r>
              <w:rPr>
                <w:rFonts w:ascii="宋体" w:hAnsi="宋体"/>
                <w:b/>
                <w:bCs/>
                <w:color w:val="FF0000"/>
                <w:kern w:val="0"/>
                <w:sz w:val="21"/>
                <w:szCs w:val="21"/>
              </w:rPr>
              <w:t>CSA STAR认证</w:t>
            </w:r>
            <w:r>
              <w:rPr>
                <w:rFonts w:hint="eastAsia" w:ascii="宋体" w:hAnsi="宋体"/>
                <w:b/>
                <w:bCs/>
                <w:color w:val="FF0000"/>
                <w:kern w:val="0"/>
                <w:sz w:val="21"/>
                <w:szCs w:val="21"/>
              </w:rPr>
              <w:t>证书扫描件或复印件（其中，认证活动（范围）含“移动智能管理”）</w:t>
            </w:r>
          </w:p>
        </w:tc>
        <w:tc>
          <w:tcPr>
            <w:tcW w:w="473" w:type="pct"/>
            <w:vAlign w:val="center"/>
          </w:tcPr>
          <w:p w14:paraId="7ED92EA6">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5C5EA122">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78FD3FC5">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32F6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restart"/>
            <w:shd w:val="clear" w:color="auto" w:fill="auto"/>
            <w:vAlign w:val="center"/>
          </w:tcPr>
          <w:p w14:paraId="713404F5">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4</w:t>
            </w:r>
          </w:p>
        </w:tc>
        <w:tc>
          <w:tcPr>
            <w:tcW w:w="791" w:type="pct"/>
            <w:vMerge w:val="restart"/>
            <w:shd w:val="clear" w:color="auto" w:fill="auto"/>
            <w:vAlign w:val="center"/>
          </w:tcPr>
          <w:p w14:paraId="335838C2">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UPS及功率模块（含1台UPS及功率模块）</w:t>
            </w:r>
          </w:p>
        </w:tc>
        <w:tc>
          <w:tcPr>
            <w:tcW w:w="2662" w:type="pct"/>
            <w:shd w:val="clear" w:color="auto" w:fill="auto"/>
            <w:vAlign w:val="center"/>
          </w:tcPr>
          <w:p w14:paraId="45395DB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 UPS 主机为高频模块化在线式主机，设备容量不低于600kVA,单个功率模块不小于60kVA,UPS 主机配置的整流器、逆变器均采用 IGBT部件。</w:t>
            </w:r>
          </w:p>
        </w:tc>
        <w:tc>
          <w:tcPr>
            <w:tcW w:w="473" w:type="pct"/>
            <w:shd w:val="clear" w:color="auto" w:fill="auto"/>
            <w:vAlign w:val="center"/>
          </w:tcPr>
          <w:p w14:paraId="12DE0ECB">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21F607FD">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16C4CCCD">
            <w:pPr>
              <w:keepNext w:val="0"/>
              <w:keepLines w:val="0"/>
              <w:pageBreakBefore w:val="0"/>
              <w:kinsoku/>
              <w:wordWrap/>
              <w:overflowPunct/>
              <w:topLinePunct w:val="0"/>
              <w:bidi w:val="0"/>
              <w:spacing w:line="276" w:lineRule="auto"/>
              <w:rPr>
                <w:rFonts w:hint="eastAsia" w:ascii="宋体" w:hAnsi="宋体"/>
                <w:sz w:val="21"/>
                <w:szCs w:val="21"/>
              </w:rPr>
            </w:pPr>
          </w:p>
        </w:tc>
      </w:tr>
      <w:tr w14:paraId="2BB2F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314711D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6B94B8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16E06477">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sz w:val="21"/>
                <w:szCs w:val="21"/>
              </w:rPr>
              <w:t>2. UPS主机须内置机组节能休眠功能及控制、监测功能，预留RJ45或RS485标准通讯接口；满足标准/可开放工业协议。</w:t>
            </w:r>
          </w:p>
        </w:tc>
        <w:tc>
          <w:tcPr>
            <w:tcW w:w="473" w:type="pct"/>
            <w:shd w:val="clear" w:color="auto" w:fill="auto"/>
            <w:vAlign w:val="center"/>
          </w:tcPr>
          <w:p w14:paraId="383ADD4B">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7590A5C8">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46099DC6">
            <w:pPr>
              <w:keepNext w:val="0"/>
              <w:keepLines w:val="0"/>
              <w:pageBreakBefore w:val="0"/>
              <w:kinsoku/>
              <w:wordWrap/>
              <w:overflowPunct/>
              <w:topLinePunct w:val="0"/>
              <w:bidi w:val="0"/>
              <w:spacing w:line="276" w:lineRule="auto"/>
              <w:rPr>
                <w:rFonts w:hint="eastAsia" w:ascii="宋体" w:hAnsi="宋体"/>
                <w:sz w:val="21"/>
                <w:szCs w:val="21"/>
              </w:rPr>
            </w:pPr>
          </w:p>
        </w:tc>
      </w:tr>
      <w:tr w14:paraId="11F39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2E6DCB8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7D7B14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4424C1B6">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sz w:val="21"/>
                <w:szCs w:val="21"/>
              </w:rPr>
              <w:t>3. UPS运行于节能模式或其他类似功能命名（如ECO模式等）时，并且当市电掉电时，应能够在0ms内不间断切换至逆变器供电，UPS输出电压波形无中断。</w:t>
            </w:r>
          </w:p>
        </w:tc>
        <w:tc>
          <w:tcPr>
            <w:tcW w:w="473" w:type="pct"/>
            <w:shd w:val="clear" w:color="auto" w:fill="auto"/>
            <w:vAlign w:val="center"/>
          </w:tcPr>
          <w:p w14:paraId="18F79596">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29A1149A">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6C774A9B">
            <w:pPr>
              <w:keepNext w:val="0"/>
              <w:keepLines w:val="0"/>
              <w:pageBreakBefore w:val="0"/>
              <w:kinsoku/>
              <w:wordWrap/>
              <w:overflowPunct/>
              <w:topLinePunct w:val="0"/>
              <w:bidi w:val="0"/>
              <w:spacing w:line="276" w:lineRule="auto"/>
              <w:rPr>
                <w:rFonts w:hint="eastAsia" w:ascii="宋体" w:hAnsi="宋体"/>
                <w:sz w:val="21"/>
                <w:szCs w:val="21"/>
              </w:rPr>
            </w:pPr>
          </w:p>
        </w:tc>
      </w:tr>
      <w:tr w14:paraId="222AC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68341A9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50A9518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29E05616">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w:t>
            </w:r>
            <w:r>
              <w:rPr>
                <w:rFonts w:hint="eastAsia" w:ascii="宋体" w:hAnsi="宋体"/>
                <w:b/>
                <w:bCs/>
                <w:color w:val="FF0000"/>
                <w:sz w:val="21"/>
                <w:szCs w:val="21"/>
              </w:rPr>
              <w:t>4. UPS应采用集中或分散控制的逻辑，控制器应采用冗余架构，避免单点故障。系统对电容等易损件有故障告警定位功能，并且具备电容等易损件的剩余寿命预测功能，并可支持在显示屏界面查看。（投标时提供控制界面截图证明，并加盖投标人公章）</w:t>
            </w:r>
          </w:p>
        </w:tc>
        <w:tc>
          <w:tcPr>
            <w:tcW w:w="473" w:type="pct"/>
            <w:shd w:val="clear" w:color="auto" w:fill="auto"/>
            <w:vAlign w:val="center"/>
          </w:tcPr>
          <w:p w14:paraId="4AAE336D">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430" w:type="pct"/>
            <w:shd w:val="clear" w:color="auto" w:fill="auto"/>
            <w:vAlign w:val="center"/>
          </w:tcPr>
          <w:p w14:paraId="1789C251">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399" w:type="pct"/>
            <w:shd w:val="clear" w:color="auto" w:fill="auto"/>
            <w:vAlign w:val="center"/>
          </w:tcPr>
          <w:p w14:paraId="1F15072B">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r>
      <w:tr w14:paraId="0E290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3A9974F0">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07E58C8A">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shd w:val="clear" w:color="auto" w:fill="auto"/>
            <w:vAlign w:val="center"/>
          </w:tcPr>
          <w:p w14:paraId="3AE8610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w:t>
            </w:r>
            <w:r>
              <w:rPr>
                <w:rFonts w:hint="eastAsia" w:ascii="宋体" w:hAnsi="宋体"/>
                <w:b/>
                <w:bCs/>
                <w:color w:val="FF0000"/>
                <w:sz w:val="21"/>
                <w:szCs w:val="21"/>
              </w:rPr>
              <w:t>5. UPS系统采用模块化架构，其中功率模块、旁路模块和控制模块应具有热插拔功能，方便设备维修维护，提供第三方检测报告证明，并提供带电情况下热插拔照片。（投标时提供第三方检测机构出具具有“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c>
          <w:tcPr>
            <w:tcW w:w="473" w:type="pct"/>
            <w:shd w:val="clear" w:color="auto" w:fill="auto"/>
            <w:vAlign w:val="center"/>
          </w:tcPr>
          <w:p w14:paraId="2F901A27">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430" w:type="pct"/>
            <w:shd w:val="clear" w:color="auto" w:fill="auto"/>
            <w:vAlign w:val="center"/>
          </w:tcPr>
          <w:p w14:paraId="5EAFCBA4">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399" w:type="pct"/>
            <w:shd w:val="clear" w:color="auto" w:fill="auto"/>
            <w:vAlign w:val="center"/>
          </w:tcPr>
          <w:p w14:paraId="0CD202A7">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r>
      <w:tr w14:paraId="01901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79AEFA32">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50BBE536">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shd w:val="clear" w:color="auto" w:fill="auto"/>
            <w:vAlign w:val="center"/>
          </w:tcPr>
          <w:p w14:paraId="009BE29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 xml:space="preserve">▲6. </w:t>
            </w:r>
            <w:r>
              <w:rPr>
                <w:rFonts w:hint="eastAsia" w:ascii="宋体" w:hAnsi="宋体"/>
                <w:b/>
                <w:bCs/>
                <w:color w:val="FF0000"/>
                <w:sz w:val="21"/>
                <w:szCs w:val="21"/>
              </w:rPr>
              <w:t>为避免因UPS并机系统旁路不均流引起的过载过温风险，要求所投的UPS具备旁路主动均流功能，满载时不均流度小于10%。考虑额外硬件使用性能使用衰减因素，不接受通过使用额外的硬件设备实现此功能。（投标时需提供实验室测试报告或第三方检测机构出具具有“CNAS”或“CMA”标识的检测/检验报告。</w:t>
            </w:r>
            <w:r>
              <w:rPr>
                <w:rFonts w:hint="eastAsia" w:ascii="宋体" w:hAnsi="宋体"/>
                <w:b/>
                <w:bCs/>
                <w:color w:val="FF0000"/>
                <w:kern w:val="0"/>
                <w:sz w:val="21"/>
                <w:szCs w:val="21"/>
              </w:rPr>
              <w:t>上述资料均要求提供扫描件或复印件，并加盖投标人公章</w:t>
            </w:r>
            <w:r>
              <w:rPr>
                <w:rFonts w:hint="eastAsia" w:ascii="宋体" w:hAnsi="宋体"/>
                <w:b/>
                <w:bCs/>
                <w:color w:val="FF0000"/>
                <w:sz w:val="21"/>
                <w:szCs w:val="21"/>
              </w:rPr>
              <w:t>）</w:t>
            </w:r>
          </w:p>
        </w:tc>
        <w:tc>
          <w:tcPr>
            <w:tcW w:w="473" w:type="pct"/>
            <w:shd w:val="clear" w:color="auto" w:fill="auto"/>
            <w:vAlign w:val="center"/>
          </w:tcPr>
          <w:p w14:paraId="7E50E80D">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430" w:type="pct"/>
            <w:shd w:val="clear" w:color="auto" w:fill="auto"/>
            <w:vAlign w:val="center"/>
          </w:tcPr>
          <w:p w14:paraId="455F6808">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399" w:type="pct"/>
            <w:shd w:val="clear" w:color="auto" w:fill="auto"/>
            <w:vAlign w:val="center"/>
          </w:tcPr>
          <w:p w14:paraId="3CB59A74">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r>
      <w:tr w14:paraId="751E5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26301A5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1866BD8C">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shd w:val="clear" w:color="auto" w:fill="auto"/>
            <w:vAlign w:val="center"/>
          </w:tcPr>
          <w:p w14:paraId="0167677D">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kern w:val="0"/>
                <w:sz w:val="21"/>
                <w:szCs w:val="21"/>
              </w:rPr>
              <w:t>▲</w:t>
            </w:r>
            <w:r>
              <w:rPr>
                <w:rFonts w:hint="eastAsia" w:ascii="宋体" w:hAnsi="宋体"/>
                <w:b/>
                <w:bCs/>
                <w:color w:val="FF0000"/>
                <w:sz w:val="21"/>
                <w:szCs w:val="21"/>
              </w:rPr>
              <w:t>7. 海拔高度1</w:t>
            </w:r>
            <w:r>
              <w:rPr>
                <w:rFonts w:ascii="宋体" w:hAnsi="宋体"/>
                <w:b/>
                <w:bCs/>
                <w:color w:val="FF0000"/>
                <w:sz w:val="21"/>
                <w:szCs w:val="21"/>
              </w:rPr>
              <w:t>500</w:t>
            </w:r>
            <w:r>
              <w:rPr>
                <w:rFonts w:hint="eastAsia" w:ascii="宋体" w:hAnsi="宋体"/>
                <w:b/>
                <w:bCs/>
                <w:color w:val="FF0000"/>
                <w:sz w:val="21"/>
                <w:szCs w:val="21"/>
              </w:rPr>
              <w:t>米（含）以下不降容，若超过</w:t>
            </w:r>
            <w:r>
              <w:rPr>
                <w:rFonts w:ascii="宋体" w:hAnsi="宋体"/>
                <w:b/>
                <w:bCs/>
                <w:color w:val="FF0000"/>
                <w:sz w:val="21"/>
                <w:szCs w:val="21"/>
              </w:rPr>
              <w:t>15</w:t>
            </w:r>
            <w:r>
              <w:rPr>
                <w:rFonts w:hint="eastAsia" w:ascii="宋体" w:hAnsi="宋体"/>
                <w:b/>
                <w:bCs/>
                <w:color w:val="FF0000"/>
                <w:sz w:val="21"/>
                <w:szCs w:val="21"/>
              </w:rPr>
              <w:t>00 米时，应按 IEC62040-3规定降容使用。（投标时提供第三方检测机构出具具有“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c>
          <w:tcPr>
            <w:tcW w:w="473" w:type="pct"/>
            <w:shd w:val="clear" w:color="auto" w:fill="auto"/>
            <w:vAlign w:val="center"/>
          </w:tcPr>
          <w:p w14:paraId="19E9C12C">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430" w:type="pct"/>
            <w:shd w:val="clear" w:color="auto" w:fill="auto"/>
            <w:vAlign w:val="center"/>
          </w:tcPr>
          <w:p w14:paraId="6F0A7E16">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c>
          <w:tcPr>
            <w:tcW w:w="399" w:type="pct"/>
            <w:shd w:val="clear" w:color="auto" w:fill="auto"/>
            <w:vAlign w:val="center"/>
          </w:tcPr>
          <w:p w14:paraId="1F30B922">
            <w:pPr>
              <w:keepNext w:val="0"/>
              <w:keepLines w:val="0"/>
              <w:pageBreakBefore w:val="0"/>
              <w:kinsoku/>
              <w:wordWrap/>
              <w:overflowPunct/>
              <w:topLinePunct w:val="0"/>
              <w:bidi w:val="0"/>
              <w:spacing w:line="276" w:lineRule="auto"/>
              <w:rPr>
                <w:rFonts w:hint="eastAsia" w:ascii="宋体" w:hAnsi="宋体"/>
                <w:b/>
                <w:bCs/>
                <w:color w:val="FF0000"/>
                <w:kern w:val="0"/>
                <w:sz w:val="21"/>
                <w:szCs w:val="21"/>
              </w:rPr>
            </w:pPr>
          </w:p>
        </w:tc>
      </w:tr>
      <w:tr w14:paraId="6A915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2F039CF8">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5BB7711F">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shd w:val="clear" w:color="auto" w:fill="auto"/>
            <w:vAlign w:val="center"/>
          </w:tcPr>
          <w:p w14:paraId="740A6F66">
            <w:pPr>
              <w:keepNext w:val="0"/>
              <w:keepLines w:val="0"/>
              <w:pageBreakBefore w:val="0"/>
              <w:widowControl/>
              <w:kinsoku/>
              <w:wordWrap/>
              <w:overflowPunct/>
              <w:topLinePunct w:val="0"/>
              <w:bidi w:val="0"/>
              <w:spacing w:line="276" w:lineRule="auto"/>
              <w:jc w:val="left"/>
              <w:rPr>
                <w:rFonts w:ascii="宋体" w:hAnsi="宋体"/>
                <w:sz w:val="21"/>
                <w:szCs w:val="21"/>
              </w:rPr>
            </w:pPr>
            <w:r>
              <w:rPr>
                <w:rFonts w:hint="eastAsia" w:ascii="宋体" w:hAnsi="宋体"/>
                <w:b/>
                <w:bCs/>
                <w:color w:val="FF0000"/>
                <w:kern w:val="0"/>
                <w:sz w:val="21"/>
                <w:szCs w:val="21"/>
              </w:rPr>
              <w:t>▲8. 机组应满足网络安全要求，检测标准</w:t>
            </w:r>
            <w:r>
              <w:rPr>
                <w:b/>
                <w:bCs/>
                <w:color w:val="FF0000"/>
                <w:sz w:val="21"/>
                <w:szCs w:val="21"/>
              </w:rPr>
              <w:t>GB/T18336-2024</w:t>
            </w:r>
            <w:r>
              <w:rPr>
                <w:rFonts w:ascii="宋体" w:hAnsi="宋体"/>
                <w:b/>
                <w:bCs/>
                <w:color w:val="FF0000"/>
                <w:kern w:val="0"/>
                <w:sz w:val="21"/>
                <w:szCs w:val="21"/>
              </w:rPr>
              <w:t xml:space="preserve"> </w:t>
            </w:r>
            <w:r>
              <w:rPr>
                <w:rFonts w:hint="eastAsia" w:ascii="宋体" w:hAnsi="宋体"/>
                <w:b/>
                <w:bCs/>
                <w:color w:val="FF0000"/>
                <w:kern w:val="0"/>
                <w:sz w:val="21"/>
                <w:szCs w:val="21"/>
              </w:rPr>
              <w:t>《信息技术 安全技术 信息技术安全评估准则》。（</w:t>
            </w:r>
            <w:r>
              <w:rPr>
                <w:rFonts w:hint="eastAsia" w:ascii="宋体" w:hAnsi="宋体"/>
                <w:b/>
                <w:bCs/>
                <w:color w:val="FF0000"/>
                <w:sz w:val="21"/>
                <w:szCs w:val="21"/>
              </w:rPr>
              <w:t>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ascii="宋体" w:hAnsi="宋体"/>
                <w:b/>
                <w:bCs/>
                <w:color w:val="FF0000"/>
                <w:kern w:val="0"/>
                <w:sz w:val="21"/>
                <w:szCs w:val="21"/>
              </w:rPr>
              <w:t>）</w:t>
            </w:r>
          </w:p>
        </w:tc>
        <w:tc>
          <w:tcPr>
            <w:tcW w:w="473" w:type="pct"/>
            <w:shd w:val="clear" w:color="auto" w:fill="auto"/>
            <w:vAlign w:val="center"/>
          </w:tcPr>
          <w:p w14:paraId="52F595C0">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430" w:type="pct"/>
            <w:shd w:val="clear" w:color="auto" w:fill="auto"/>
            <w:vAlign w:val="center"/>
          </w:tcPr>
          <w:p w14:paraId="2FC1FB5E">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399" w:type="pct"/>
            <w:shd w:val="clear" w:color="auto" w:fill="auto"/>
            <w:vAlign w:val="center"/>
          </w:tcPr>
          <w:p w14:paraId="5FD214BD">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r>
      <w:tr w14:paraId="30113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75A8F1D1">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1D33DEBD">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shd w:val="clear" w:color="auto" w:fill="auto"/>
            <w:vAlign w:val="center"/>
          </w:tcPr>
          <w:p w14:paraId="539965C3">
            <w:pPr>
              <w:keepNext w:val="0"/>
              <w:keepLines w:val="0"/>
              <w:pageBreakBefore w:val="0"/>
              <w:widowControl/>
              <w:kinsoku/>
              <w:wordWrap/>
              <w:overflowPunct/>
              <w:topLinePunct w:val="0"/>
              <w:bidi w:val="0"/>
              <w:spacing w:line="276" w:lineRule="auto"/>
              <w:jc w:val="left"/>
              <w:rPr>
                <w:rFonts w:ascii="宋体" w:hAnsi="宋体"/>
                <w:sz w:val="21"/>
                <w:szCs w:val="21"/>
              </w:rPr>
            </w:pPr>
            <w:r>
              <w:rPr>
                <w:rFonts w:hint="eastAsia" w:ascii="宋体" w:hAnsi="宋体"/>
                <w:b/>
                <w:bCs/>
                <w:color w:val="FF0000"/>
                <w:kern w:val="0"/>
                <w:sz w:val="21"/>
                <w:szCs w:val="21"/>
              </w:rPr>
              <w:t>▲9. 为保证数据中心的安全可信，投标UPS主机需符合《网络安全审查办法》要求，检测内容包括安全功能要求和安全保障要求，结果为合格。（投标时提供社会公共安全产品认证证书及第三方检测机构出具具有“</w:t>
            </w:r>
            <w:r>
              <w:rPr>
                <w:rFonts w:ascii="宋体" w:hAnsi="宋体"/>
                <w:b/>
                <w:bCs/>
                <w:color w:val="FF0000"/>
                <w:kern w:val="0"/>
                <w:sz w:val="21"/>
                <w:szCs w:val="21"/>
              </w:rPr>
              <w:t>CNAS”或“CMA”标识的检测/检验</w:t>
            </w:r>
            <w:r>
              <w:rPr>
                <w:rFonts w:hint="eastAsia" w:ascii="宋体" w:hAnsi="宋体"/>
                <w:b/>
                <w:bCs/>
                <w:color w:val="FF0000"/>
                <w:kern w:val="0"/>
                <w:sz w:val="21"/>
                <w:szCs w:val="21"/>
              </w:rPr>
              <w:t>报告。上述资料均要求提供扫描件或复印件，并均加盖投标人公章）</w:t>
            </w:r>
          </w:p>
        </w:tc>
        <w:tc>
          <w:tcPr>
            <w:tcW w:w="473" w:type="pct"/>
            <w:shd w:val="clear" w:color="auto" w:fill="auto"/>
            <w:vAlign w:val="center"/>
          </w:tcPr>
          <w:p w14:paraId="59C55C5B">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430" w:type="pct"/>
            <w:shd w:val="clear" w:color="auto" w:fill="auto"/>
            <w:vAlign w:val="center"/>
          </w:tcPr>
          <w:p w14:paraId="64954DAC">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c>
          <w:tcPr>
            <w:tcW w:w="399" w:type="pct"/>
            <w:shd w:val="clear" w:color="auto" w:fill="auto"/>
            <w:vAlign w:val="center"/>
          </w:tcPr>
          <w:p w14:paraId="36AEEAB4">
            <w:pPr>
              <w:keepNext w:val="0"/>
              <w:keepLines w:val="0"/>
              <w:pageBreakBefore w:val="0"/>
              <w:widowControl/>
              <w:kinsoku/>
              <w:wordWrap/>
              <w:overflowPunct/>
              <w:topLinePunct w:val="0"/>
              <w:bidi w:val="0"/>
              <w:spacing w:line="276" w:lineRule="auto"/>
              <w:jc w:val="left"/>
              <w:rPr>
                <w:rFonts w:hint="eastAsia" w:ascii="宋体" w:hAnsi="宋体"/>
                <w:b/>
                <w:bCs/>
                <w:color w:val="FF0000"/>
                <w:kern w:val="0"/>
                <w:sz w:val="21"/>
                <w:szCs w:val="21"/>
              </w:rPr>
            </w:pPr>
          </w:p>
        </w:tc>
      </w:tr>
      <w:tr w14:paraId="7AED2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242" w:type="pct"/>
            <w:vMerge w:val="continue"/>
            <w:vAlign w:val="center"/>
          </w:tcPr>
          <w:p w14:paraId="5EABE62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3536C9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5E22AC1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w:t>
            </w:r>
            <w:r>
              <w:rPr>
                <w:rFonts w:hint="eastAsia" w:ascii="宋体" w:hAnsi="宋体"/>
                <w:b/>
                <w:bCs/>
                <w:color w:val="FF0000"/>
                <w:kern w:val="0"/>
                <w:sz w:val="21"/>
                <w:szCs w:val="21"/>
              </w:rPr>
              <w:t>10.设备应能提供全中文监控及操作界面和全中文远程监控管理界面，应提供8英寸（含）以上 全中文显示的LCD显示器，方便查看与操作。（投标时需提供彩页或用户手册作证明材料。）</w:t>
            </w:r>
          </w:p>
        </w:tc>
        <w:tc>
          <w:tcPr>
            <w:tcW w:w="473" w:type="pct"/>
            <w:shd w:val="clear" w:color="auto" w:fill="auto"/>
            <w:vAlign w:val="center"/>
          </w:tcPr>
          <w:p w14:paraId="0029652E">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1D54FEE0">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3C902582">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5F084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jc w:val="center"/>
        </w:trPr>
        <w:tc>
          <w:tcPr>
            <w:tcW w:w="242" w:type="pct"/>
            <w:vMerge w:val="continue"/>
            <w:vAlign w:val="center"/>
          </w:tcPr>
          <w:p w14:paraId="26DCFF4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A122DE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720D5F58">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w:t>
            </w:r>
            <w:r>
              <w:rPr>
                <w:rFonts w:ascii="宋体" w:hAnsi="宋体"/>
                <w:kern w:val="0"/>
                <w:sz w:val="21"/>
                <w:szCs w:val="21"/>
              </w:rPr>
              <w:t>1</w:t>
            </w:r>
            <w:r>
              <w:rPr>
                <w:rFonts w:hint="eastAsia" w:ascii="宋体" w:hAnsi="宋体"/>
                <w:kern w:val="0"/>
                <w:sz w:val="21"/>
                <w:szCs w:val="21"/>
              </w:rPr>
              <w:t>.</w:t>
            </w:r>
            <w:r>
              <w:rPr>
                <w:rFonts w:hint="eastAsia" w:ascii="宋体" w:hAnsi="宋体"/>
                <w:sz w:val="21"/>
                <w:szCs w:val="21"/>
              </w:rPr>
              <w:t xml:space="preserve"> UPS应具备电池智能管理功能，并且支持电池节数可调,可调节数不少于10只。应具有定期对电池组进行自动浮充、均充转换、自动温度补偿、电池组放电及记录功能；监控故障时，应具有对电池组限流恒压充电功能，电池充电限流值可调节。</w:t>
            </w:r>
          </w:p>
        </w:tc>
        <w:tc>
          <w:tcPr>
            <w:tcW w:w="473" w:type="pct"/>
            <w:shd w:val="clear" w:color="auto" w:fill="auto"/>
            <w:vAlign w:val="center"/>
          </w:tcPr>
          <w:p w14:paraId="6D18A41A">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430" w:type="pct"/>
            <w:shd w:val="clear" w:color="auto" w:fill="auto"/>
            <w:vAlign w:val="center"/>
          </w:tcPr>
          <w:p w14:paraId="0BAF4DE8">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399" w:type="pct"/>
            <w:shd w:val="clear" w:color="auto" w:fill="auto"/>
            <w:vAlign w:val="center"/>
          </w:tcPr>
          <w:p w14:paraId="4CF5DA8A">
            <w:pPr>
              <w:keepNext w:val="0"/>
              <w:keepLines w:val="0"/>
              <w:pageBreakBefore w:val="0"/>
              <w:kinsoku/>
              <w:wordWrap/>
              <w:overflowPunct/>
              <w:topLinePunct w:val="0"/>
              <w:bidi w:val="0"/>
              <w:spacing w:line="276" w:lineRule="auto"/>
              <w:rPr>
                <w:rFonts w:hint="eastAsia" w:ascii="宋体" w:hAnsi="宋体"/>
                <w:kern w:val="0"/>
                <w:sz w:val="21"/>
                <w:szCs w:val="21"/>
              </w:rPr>
            </w:pPr>
          </w:p>
        </w:tc>
      </w:tr>
      <w:tr w14:paraId="3B3FF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 w:hRule="atLeast"/>
          <w:jc w:val="center"/>
        </w:trPr>
        <w:tc>
          <w:tcPr>
            <w:tcW w:w="242" w:type="pct"/>
            <w:vMerge w:val="continue"/>
            <w:vAlign w:val="center"/>
          </w:tcPr>
          <w:p w14:paraId="115ED2C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147851F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34AD02D2">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▲12. 系统具有过温自动降额运行功能：41-45℃，降额至90%长期运行；46-50℃，降额至80%长期运行；51-55℃，降额至70%长期运行。（投标时需提供实验室测试报告或第三方检测机构出具具有“CNAS”或“CMA”标识的检测/检验报告。</w:t>
            </w:r>
            <w:r>
              <w:rPr>
                <w:rFonts w:hint="eastAsia" w:ascii="宋体" w:hAnsi="宋体"/>
                <w:b/>
                <w:bCs/>
                <w:color w:val="FF0000"/>
                <w:kern w:val="0"/>
                <w:sz w:val="21"/>
                <w:szCs w:val="21"/>
              </w:rPr>
              <w:t>上述资料要求提供扫描件或复印件，并加盖投标人公章</w:t>
            </w:r>
            <w:r>
              <w:rPr>
                <w:rFonts w:hint="eastAsia" w:ascii="宋体" w:hAnsi="宋体"/>
                <w:b/>
                <w:bCs/>
                <w:color w:val="FF0000"/>
                <w:sz w:val="21"/>
                <w:szCs w:val="21"/>
              </w:rPr>
              <w:t>）</w:t>
            </w:r>
          </w:p>
        </w:tc>
        <w:tc>
          <w:tcPr>
            <w:tcW w:w="473" w:type="pct"/>
            <w:shd w:val="clear" w:color="auto" w:fill="auto"/>
            <w:vAlign w:val="center"/>
          </w:tcPr>
          <w:p w14:paraId="2C3AE56A">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12FE1DA4">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407AF23A">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3E5A3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242" w:type="pct"/>
            <w:vMerge w:val="continue"/>
            <w:vAlign w:val="center"/>
          </w:tcPr>
          <w:p w14:paraId="4DE9077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1EB501B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148575B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▲13. UPS设备应具备铜排温度测试功能。（投标时需提供第三方机构出具的检测/检验报告扫描件或复印件，并加盖投标人公章）</w:t>
            </w:r>
          </w:p>
        </w:tc>
        <w:tc>
          <w:tcPr>
            <w:tcW w:w="473" w:type="pct"/>
            <w:shd w:val="clear" w:color="auto" w:fill="auto"/>
            <w:vAlign w:val="center"/>
          </w:tcPr>
          <w:p w14:paraId="4921ABB3">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48C4299C">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5E2818D1">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5CFB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242" w:type="pct"/>
            <w:vMerge w:val="continue"/>
            <w:vAlign w:val="center"/>
          </w:tcPr>
          <w:p w14:paraId="5A739FB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6441AB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6DCF3F8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▲14.UPS系统需具有市电与电池联合供电能力</w:t>
            </w:r>
            <w:r>
              <w:rPr>
                <w:rFonts w:hint="eastAsia" w:ascii="宋体" w:hAnsi="宋体"/>
                <w:color w:val="FF0000"/>
                <w:sz w:val="21"/>
                <w:szCs w:val="21"/>
              </w:rPr>
              <w:t>。</w:t>
            </w:r>
            <w:r>
              <w:rPr>
                <w:rFonts w:hint="eastAsia" w:ascii="宋体" w:hAnsi="宋体"/>
                <w:b/>
                <w:bCs/>
                <w:color w:val="FF0000"/>
                <w:sz w:val="21"/>
                <w:szCs w:val="21"/>
              </w:rPr>
              <w:t>（投标时需提供实验室测试报告或第三方检测机构出具的检测/检验报告。</w:t>
            </w:r>
            <w:r>
              <w:rPr>
                <w:rFonts w:hint="eastAsia" w:ascii="宋体" w:hAnsi="宋体"/>
                <w:b/>
                <w:bCs/>
                <w:color w:val="FF0000"/>
                <w:kern w:val="0"/>
                <w:sz w:val="21"/>
                <w:szCs w:val="21"/>
              </w:rPr>
              <w:t>上述资料要求提供扫描件或复印件，并加盖投标人公章</w:t>
            </w:r>
            <w:r>
              <w:rPr>
                <w:rFonts w:hint="eastAsia" w:ascii="宋体" w:hAnsi="宋体"/>
                <w:b/>
                <w:bCs/>
                <w:color w:val="FF0000"/>
                <w:sz w:val="21"/>
                <w:szCs w:val="21"/>
              </w:rPr>
              <w:t>）</w:t>
            </w:r>
          </w:p>
        </w:tc>
        <w:tc>
          <w:tcPr>
            <w:tcW w:w="473" w:type="pct"/>
            <w:shd w:val="clear" w:color="auto" w:fill="auto"/>
            <w:vAlign w:val="center"/>
          </w:tcPr>
          <w:p w14:paraId="3692A5C6">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421C92E6">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7E5C4EE6">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14A74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242" w:type="pct"/>
            <w:vMerge w:val="continue"/>
            <w:vAlign w:val="center"/>
          </w:tcPr>
          <w:p w14:paraId="0FFA63B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C394CA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14EC652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15、UPS效率应满足：UPS运行于在线双变换模式：10%负载时，效率不低于95.5%；20%负载时，效率不低于96.5%；30%负载时，效率不低于96.5%；50%负载时，效率不低于96.5%，100%负载时，效率不低于96%。（投标时需提供第三方检测机构出具的检测/检验报告</w:t>
            </w:r>
            <w:r>
              <w:rPr>
                <w:rFonts w:hint="eastAsia" w:ascii="宋体" w:hAnsi="宋体"/>
                <w:b/>
                <w:bCs/>
                <w:color w:val="FF0000"/>
                <w:kern w:val="0"/>
                <w:sz w:val="21"/>
                <w:szCs w:val="21"/>
              </w:rPr>
              <w:t>扫描件或复印件，并加盖投标人公章</w:t>
            </w:r>
            <w:r>
              <w:rPr>
                <w:rFonts w:hint="eastAsia" w:ascii="宋体" w:hAnsi="宋体"/>
                <w:b/>
                <w:bCs/>
                <w:color w:val="FF0000"/>
                <w:sz w:val="21"/>
                <w:szCs w:val="21"/>
              </w:rPr>
              <w:t xml:space="preserve">） </w:t>
            </w:r>
          </w:p>
        </w:tc>
        <w:tc>
          <w:tcPr>
            <w:tcW w:w="473" w:type="pct"/>
            <w:shd w:val="clear" w:color="auto" w:fill="auto"/>
            <w:vAlign w:val="center"/>
          </w:tcPr>
          <w:p w14:paraId="2F56A93D">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0A9044E4">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5BB87389">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0759A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242" w:type="pct"/>
            <w:vMerge w:val="continue"/>
            <w:vAlign w:val="center"/>
          </w:tcPr>
          <w:p w14:paraId="17E4502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665CE3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4713243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b/>
                <w:bCs/>
                <w:color w:val="FF0000"/>
                <w:sz w:val="21"/>
                <w:szCs w:val="21"/>
              </w:rPr>
              <w:t>▲16.电压输入范围：-60%～+25%。（投标时需提供产品彩页或产品说明书作为证明材料，并加盖投标人公章）</w:t>
            </w:r>
          </w:p>
        </w:tc>
        <w:tc>
          <w:tcPr>
            <w:tcW w:w="473" w:type="pct"/>
            <w:shd w:val="clear" w:color="auto" w:fill="auto"/>
            <w:vAlign w:val="center"/>
          </w:tcPr>
          <w:p w14:paraId="1DBB5ACF">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60A4154B">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3BCE9892">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0429B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242" w:type="pct"/>
            <w:vMerge w:val="continue"/>
            <w:vAlign w:val="center"/>
          </w:tcPr>
          <w:p w14:paraId="40B32E2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DFF751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6CA87985">
            <w:pPr>
              <w:keepNext w:val="0"/>
              <w:keepLines w:val="0"/>
              <w:pageBreakBefore w:val="0"/>
              <w:kinsoku/>
              <w:wordWrap/>
              <w:overflowPunct/>
              <w:topLinePunct w:val="0"/>
              <w:bidi w:val="0"/>
              <w:spacing w:line="276" w:lineRule="auto"/>
              <w:rPr>
                <w:rFonts w:ascii="宋体" w:hAnsi="宋体"/>
                <w:b/>
                <w:bCs/>
                <w:color w:val="FF0000"/>
                <w:sz w:val="21"/>
                <w:szCs w:val="21"/>
              </w:rPr>
            </w:pPr>
            <w:r>
              <w:rPr>
                <w:rFonts w:hint="eastAsia" w:ascii="宋体" w:hAnsi="宋体"/>
                <w:sz w:val="21"/>
                <w:szCs w:val="21"/>
              </w:rPr>
              <w:t>17.UPS系统应支持通过采集母线电容在当前时刻的工况参数，并根据所述当前时刻的工况参数及预设对应关系，获取所述母线电容在所述当前时刻的工况参数下的总寿命值。</w:t>
            </w:r>
          </w:p>
        </w:tc>
        <w:tc>
          <w:tcPr>
            <w:tcW w:w="473" w:type="pct"/>
            <w:shd w:val="clear" w:color="auto" w:fill="auto"/>
            <w:vAlign w:val="center"/>
          </w:tcPr>
          <w:p w14:paraId="1C407B45">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1DC06906">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2CC762D1">
            <w:pPr>
              <w:keepNext w:val="0"/>
              <w:keepLines w:val="0"/>
              <w:pageBreakBefore w:val="0"/>
              <w:kinsoku/>
              <w:wordWrap/>
              <w:overflowPunct/>
              <w:topLinePunct w:val="0"/>
              <w:bidi w:val="0"/>
              <w:spacing w:line="276" w:lineRule="auto"/>
              <w:rPr>
                <w:rFonts w:hint="eastAsia" w:ascii="宋体" w:hAnsi="宋体"/>
                <w:sz w:val="21"/>
                <w:szCs w:val="21"/>
              </w:rPr>
            </w:pPr>
          </w:p>
        </w:tc>
      </w:tr>
      <w:tr w14:paraId="27B2D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242" w:type="pct"/>
            <w:vMerge w:val="continue"/>
            <w:vAlign w:val="center"/>
          </w:tcPr>
          <w:p w14:paraId="223CCBA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FEB72B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087F289F">
            <w:pPr>
              <w:keepNext w:val="0"/>
              <w:keepLines w:val="0"/>
              <w:pageBreakBefore w:val="0"/>
              <w:kinsoku/>
              <w:wordWrap/>
              <w:overflowPunct/>
              <w:topLinePunct w:val="0"/>
              <w:bidi w:val="0"/>
              <w:spacing w:line="276" w:lineRule="auto"/>
              <w:rPr>
                <w:rFonts w:ascii="宋体" w:hAnsi="宋体"/>
                <w:b/>
                <w:bCs/>
                <w:color w:val="FF0000"/>
                <w:sz w:val="21"/>
                <w:szCs w:val="21"/>
              </w:rPr>
            </w:pPr>
            <w:r>
              <w:rPr>
                <w:rFonts w:hint="eastAsia" w:ascii="宋体" w:hAnsi="宋体"/>
                <w:b/>
                <w:bCs/>
                <w:color w:val="FF0000"/>
                <w:sz w:val="21"/>
                <w:szCs w:val="21"/>
              </w:rPr>
              <w:t>▲18.正常模式下，10%非线性负载率，要求输入功率因数：≥0.99。（投标时需提供第三方机构出具的检测/检验报告扫描件或复印件，并加盖投标人公章）</w:t>
            </w:r>
          </w:p>
        </w:tc>
        <w:tc>
          <w:tcPr>
            <w:tcW w:w="473" w:type="pct"/>
            <w:shd w:val="clear" w:color="auto" w:fill="auto"/>
            <w:vAlign w:val="center"/>
          </w:tcPr>
          <w:p w14:paraId="4EF70BCE">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491320F8">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43FB7BFE">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2353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 w:hRule="atLeast"/>
          <w:jc w:val="center"/>
        </w:trPr>
        <w:tc>
          <w:tcPr>
            <w:tcW w:w="242" w:type="pct"/>
            <w:vMerge w:val="continue"/>
            <w:vAlign w:val="center"/>
          </w:tcPr>
          <w:p w14:paraId="7470388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707784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0BDDF079">
            <w:pPr>
              <w:keepNext w:val="0"/>
              <w:keepLines w:val="0"/>
              <w:pageBreakBefore w:val="0"/>
              <w:kinsoku/>
              <w:wordWrap/>
              <w:overflowPunct/>
              <w:topLinePunct w:val="0"/>
              <w:bidi w:val="0"/>
              <w:spacing w:line="276" w:lineRule="auto"/>
              <w:rPr>
                <w:rFonts w:ascii="宋体" w:hAnsi="宋体"/>
                <w:b/>
                <w:bCs/>
                <w:color w:val="FF0000"/>
                <w:sz w:val="21"/>
                <w:szCs w:val="21"/>
              </w:rPr>
            </w:pPr>
            <w:r>
              <w:rPr>
                <w:rFonts w:hint="eastAsia" w:ascii="宋体" w:hAnsi="宋体"/>
                <w:b/>
                <w:bCs/>
                <w:color w:val="FF0000"/>
                <w:sz w:val="21"/>
                <w:szCs w:val="21"/>
              </w:rPr>
              <w:t>▲19</w:t>
            </w:r>
            <w:r>
              <w:rPr>
                <w:rFonts w:hint="eastAsia" w:ascii="宋体" w:hAnsi="宋体"/>
                <w:b/>
                <w:bCs/>
                <w:color w:val="FF0000"/>
                <w:kern w:val="0"/>
                <w:sz w:val="21"/>
                <w:szCs w:val="21"/>
              </w:rPr>
              <w:t>.输出电流不均衡度：≤0.5%（50%负载率）</w:t>
            </w:r>
            <w:r>
              <w:rPr>
                <w:rFonts w:hint="eastAsia" w:ascii="宋体" w:hAnsi="宋体"/>
                <w:b/>
                <w:bCs/>
                <w:color w:val="FF0000"/>
                <w:sz w:val="21"/>
                <w:szCs w:val="21"/>
              </w:rPr>
              <w:t>或</w:t>
            </w:r>
            <w:r>
              <w:rPr>
                <w:rFonts w:hint="eastAsia" w:ascii="宋体" w:hAnsi="宋体"/>
                <w:b/>
                <w:bCs/>
                <w:color w:val="FF0000"/>
                <w:kern w:val="0"/>
                <w:sz w:val="21"/>
                <w:szCs w:val="21"/>
              </w:rPr>
              <w:t>≤1%</w:t>
            </w:r>
            <w:r>
              <w:rPr>
                <w:rFonts w:hint="eastAsia" w:ascii="宋体" w:hAnsi="宋体"/>
                <w:b/>
                <w:bCs/>
                <w:color w:val="FF0000"/>
                <w:sz w:val="21"/>
                <w:szCs w:val="21"/>
              </w:rPr>
              <w:t>(100%负载率)</w:t>
            </w:r>
            <w:r>
              <w:rPr>
                <w:rFonts w:hint="eastAsia" w:ascii="宋体" w:hAnsi="宋体"/>
                <w:b/>
                <w:bCs/>
                <w:color w:val="FF0000"/>
                <w:kern w:val="0"/>
                <w:sz w:val="21"/>
                <w:szCs w:val="21"/>
              </w:rPr>
              <w:t>。</w:t>
            </w:r>
            <w:r>
              <w:rPr>
                <w:rFonts w:hint="eastAsia" w:ascii="宋体" w:hAnsi="宋体"/>
                <w:b/>
                <w:bCs/>
                <w:color w:val="FF0000"/>
                <w:sz w:val="21"/>
                <w:szCs w:val="21"/>
              </w:rPr>
              <w:t>（投标时需提供第三方机构出具的检测/检验报告扫描件或复印件，并加盖投标人公章）</w:t>
            </w:r>
          </w:p>
        </w:tc>
        <w:tc>
          <w:tcPr>
            <w:tcW w:w="473" w:type="pct"/>
            <w:shd w:val="clear" w:color="auto" w:fill="auto"/>
            <w:vAlign w:val="center"/>
          </w:tcPr>
          <w:p w14:paraId="01C3F55D">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4FF92665">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73B9AED5">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04E05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9" w:hRule="atLeast"/>
          <w:jc w:val="center"/>
        </w:trPr>
        <w:tc>
          <w:tcPr>
            <w:tcW w:w="242" w:type="pct"/>
            <w:vMerge w:val="continue"/>
            <w:vAlign w:val="center"/>
          </w:tcPr>
          <w:p w14:paraId="704D048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0E71446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6AB928D0">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b/>
                <w:bCs/>
                <w:color w:val="FF0000"/>
                <w:sz w:val="21"/>
                <w:szCs w:val="21"/>
              </w:rPr>
              <w:t>▲20. UPS功率模块内部散热风道要求采用独立风道设计， 防止灰尘积累导致短路、拉弧等故障发生。（投标时需提供彩页或用户手册作证明材料，并加盖投标人公章）</w:t>
            </w:r>
          </w:p>
        </w:tc>
        <w:tc>
          <w:tcPr>
            <w:tcW w:w="473" w:type="pct"/>
            <w:shd w:val="clear" w:color="auto" w:fill="auto"/>
            <w:vAlign w:val="center"/>
          </w:tcPr>
          <w:p w14:paraId="669EA2F1">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430" w:type="pct"/>
            <w:shd w:val="clear" w:color="auto" w:fill="auto"/>
            <w:vAlign w:val="center"/>
          </w:tcPr>
          <w:p w14:paraId="4DC54F2C">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c>
          <w:tcPr>
            <w:tcW w:w="399" w:type="pct"/>
            <w:shd w:val="clear" w:color="auto" w:fill="auto"/>
            <w:vAlign w:val="center"/>
          </w:tcPr>
          <w:p w14:paraId="619ED4BA">
            <w:pPr>
              <w:keepNext w:val="0"/>
              <w:keepLines w:val="0"/>
              <w:pageBreakBefore w:val="0"/>
              <w:kinsoku/>
              <w:wordWrap/>
              <w:overflowPunct/>
              <w:topLinePunct w:val="0"/>
              <w:bidi w:val="0"/>
              <w:spacing w:line="276" w:lineRule="auto"/>
              <w:rPr>
                <w:rFonts w:hint="eastAsia" w:ascii="宋体" w:hAnsi="宋体"/>
                <w:b/>
                <w:bCs/>
                <w:color w:val="FF0000"/>
                <w:sz w:val="21"/>
                <w:szCs w:val="21"/>
              </w:rPr>
            </w:pPr>
          </w:p>
        </w:tc>
      </w:tr>
      <w:tr w14:paraId="22526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atLeast"/>
          <w:jc w:val="center"/>
        </w:trPr>
        <w:tc>
          <w:tcPr>
            <w:tcW w:w="242" w:type="pct"/>
            <w:vMerge w:val="restart"/>
            <w:vAlign w:val="center"/>
          </w:tcPr>
          <w:p w14:paraId="6010FFE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5</w:t>
            </w:r>
          </w:p>
        </w:tc>
        <w:tc>
          <w:tcPr>
            <w:tcW w:w="791" w:type="pct"/>
            <w:vMerge w:val="restart"/>
            <w:vAlign w:val="center"/>
          </w:tcPr>
          <w:p w14:paraId="460777F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铅酸电池系统（含后备电池、</w:t>
            </w:r>
            <w:r>
              <w:rPr>
                <w:rFonts w:hint="eastAsia" w:ascii="宋体" w:hAnsi="宋体"/>
                <w:kern w:val="0"/>
                <w:sz w:val="21"/>
                <w:szCs w:val="21"/>
              </w:rPr>
              <w:t>电池架、</w:t>
            </w:r>
            <w:r>
              <w:rPr>
                <w:rFonts w:hint="eastAsia" w:ascii="宋体" w:hAnsi="宋体"/>
                <w:sz w:val="21"/>
                <w:szCs w:val="21"/>
              </w:rPr>
              <w:t>蓄电池监控模块；</w:t>
            </w:r>
            <w:r>
              <w:rPr>
                <w:rFonts w:hint="eastAsia" w:ascii="宋体" w:hAnsi="宋体"/>
                <w:kern w:val="0"/>
                <w:sz w:val="21"/>
                <w:szCs w:val="21"/>
              </w:rPr>
              <w:t>电池开关柜；相关配件）</w:t>
            </w:r>
          </w:p>
        </w:tc>
        <w:tc>
          <w:tcPr>
            <w:tcW w:w="2662" w:type="pct"/>
            <w:vAlign w:val="center"/>
          </w:tcPr>
          <w:p w14:paraId="54C55683">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sz w:val="21"/>
                <w:szCs w:val="21"/>
              </w:rPr>
              <w:t>1.包括电池、电池架、连接线、智能电池管理、配电柜、监控模块等。配置单体蓄电池监控模块，监控数据包括电压、内阻、温度整需接入机房动力环境监控系统。为保护电池，电池监测模块具备低功耗休眠功能。电池容量满足单边≥7min 备电要求，采用高倍率阀控式密封铅酸蓄电池。</w:t>
            </w:r>
          </w:p>
        </w:tc>
        <w:tc>
          <w:tcPr>
            <w:tcW w:w="473" w:type="pct"/>
            <w:vAlign w:val="center"/>
          </w:tcPr>
          <w:p w14:paraId="6FC20939">
            <w:pPr>
              <w:keepNext w:val="0"/>
              <w:keepLines w:val="0"/>
              <w:pageBreakBefore w:val="0"/>
              <w:widowControl/>
              <w:kinsoku/>
              <w:wordWrap/>
              <w:overflowPunct/>
              <w:topLinePunct w:val="0"/>
              <w:bidi w:val="0"/>
              <w:spacing w:line="276" w:lineRule="auto"/>
              <w:ind w:right="36" w:rightChars="17"/>
              <w:jc w:val="left"/>
              <w:rPr>
                <w:rFonts w:hint="eastAsia" w:ascii="宋体" w:hAnsi="宋体"/>
                <w:sz w:val="21"/>
                <w:szCs w:val="21"/>
              </w:rPr>
            </w:pPr>
          </w:p>
        </w:tc>
        <w:tc>
          <w:tcPr>
            <w:tcW w:w="430" w:type="pct"/>
            <w:vAlign w:val="center"/>
          </w:tcPr>
          <w:p w14:paraId="7A7AB616">
            <w:pPr>
              <w:keepNext w:val="0"/>
              <w:keepLines w:val="0"/>
              <w:pageBreakBefore w:val="0"/>
              <w:widowControl/>
              <w:kinsoku/>
              <w:wordWrap/>
              <w:overflowPunct/>
              <w:topLinePunct w:val="0"/>
              <w:bidi w:val="0"/>
              <w:spacing w:line="276" w:lineRule="auto"/>
              <w:ind w:right="36" w:rightChars="17"/>
              <w:jc w:val="left"/>
              <w:rPr>
                <w:rFonts w:hint="eastAsia" w:ascii="宋体" w:hAnsi="宋体"/>
                <w:sz w:val="21"/>
                <w:szCs w:val="21"/>
              </w:rPr>
            </w:pPr>
          </w:p>
        </w:tc>
        <w:tc>
          <w:tcPr>
            <w:tcW w:w="399" w:type="pct"/>
            <w:vAlign w:val="center"/>
          </w:tcPr>
          <w:p w14:paraId="7C21EBF1">
            <w:pPr>
              <w:keepNext w:val="0"/>
              <w:keepLines w:val="0"/>
              <w:pageBreakBefore w:val="0"/>
              <w:widowControl/>
              <w:kinsoku/>
              <w:wordWrap/>
              <w:overflowPunct/>
              <w:topLinePunct w:val="0"/>
              <w:bidi w:val="0"/>
              <w:spacing w:line="276" w:lineRule="auto"/>
              <w:ind w:right="36" w:rightChars="17"/>
              <w:jc w:val="left"/>
              <w:rPr>
                <w:rFonts w:hint="eastAsia" w:ascii="宋体" w:hAnsi="宋体"/>
                <w:sz w:val="21"/>
                <w:szCs w:val="21"/>
              </w:rPr>
            </w:pPr>
          </w:p>
        </w:tc>
      </w:tr>
      <w:tr w14:paraId="2BD48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atLeast"/>
          <w:jc w:val="center"/>
        </w:trPr>
        <w:tc>
          <w:tcPr>
            <w:tcW w:w="242" w:type="pct"/>
            <w:vMerge w:val="continue"/>
            <w:vAlign w:val="center"/>
          </w:tcPr>
          <w:p w14:paraId="3DBC32FD">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76082DCA">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58709DF9">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color w:val="FF0000"/>
                <w:sz w:val="21"/>
                <w:szCs w:val="21"/>
              </w:rPr>
              <w:t>▲</w:t>
            </w:r>
            <w:r>
              <w:rPr>
                <w:rFonts w:hint="eastAsia" w:ascii="宋体" w:hAnsi="宋体"/>
                <w:color w:val="FF0000"/>
                <w:sz w:val="21"/>
                <w:szCs w:val="21"/>
                <w:lang w:val="en-US" w:eastAsia="zh-CN"/>
              </w:rPr>
              <w:t>2.</w:t>
            </w:r>
            <w:r>
              <w:rPr>
                <w:rFonts w:hint="eastAsia"/>
                <w:b/>
                <w:bCs/>
                <w:color w:val="FF0000"/>
                <w:sz w:val="21"/>
                <w:szCs w:val="21"/>
              </w:rPr>
              <w:t>所投产品产品制造商同时满足：</w:t>
            </w:r>
            <w:r>
              <w:rPr>
                <w:rFonts w:ascii="Calibri" w:hAnsi="Calibri" w:cs="Calibri"/>
                <w:b/>
                <w:bCs/>
                <w:color w:val="FF0000"/>
                <w:sz w:val="21"/>
                <w:szCs w:val="21"/>
              </w:rPr>
              <w:t>①</w:t>
            </w:r>
            <w:r>
              <w:rPr>
                <w:rFonts w:hint="eastAsia" w:ascii="宋体" w:hAnsi="宋体"/>
                <w:b/>
                <w:bCs/>
                <w:color w:val="FF0000"/>
                <w:sz w:val="21"/>
                <w:szCs w:val="21"/>
              </w:rPr>
              <w:t>入围工信部发布的绿色工厂名单里；</w:t>
            </w:r>
            <w:r>
              <w:rPr>
                <w:rFonts w:ascii="Calibri" w:hAnsi="Calibri" w:cs="Calibri"/>
                <w:b/>
                <w:bCs/>
                <w:color w:val="FF0000"/>
                <w:sz w:val="21"/>
                <w:szCs w:val="21"/>
              </w:rPr>
              <w:t>②</w:t>
            </w:r>
            <w:r>
              <w:rPr>
                <w:rFonts w:hint="eastAsia" w:ascii="宋体" w:hAnsi="宋体"/>
                <w:b/>
                <w:bCs/>
                <w:color w:val="FF0000"/>
                <w:sz w:val="21"/>
                <w:szCs w:val="21"/>
              </w:rPr>
              <w:t>在工业和信息化部公布的符合《铅蓄电池行业规范条件》企业名单内。（要求提供截图证明作为证明资料，并加盖投标人公章）</w:t>
            </w:r>
          </w:p>
        </w:tc>
        <w:tc>
          <w:tcPr>
            <w:tcW w:w="473" w:type="pct"/>
            <w:vAlign w:val="center"/>
          </w:tcPr>
          <w:p w14:paraId="40FDF88C">
            <w:pPr>
              <w:keepNext w:val="0"/>
              <w:keepLines w:val="0"/>
              <w:pageBreakBefore w:val="0"/>
              <w:widowControl/>
              <w:kinsoku/>
              <w:wordWrap/>
              <w:overflowPunct/>
              <w:topLinePunct w:val="0"/>
              <w:bidi w:val="0"/>
              <w:spacing w:line="276" w:lineRule="auto"/>
              <w:ind w:right="36" w:rightChars="17"/>
              <w:jc w:val="left"/>
              <w:rPr>
                <w:rFonts w:hint="eastAsia" w:ascii="宋体" w:hAnsi="宋体"/>
                <w:color w:val="FF0000"/>
                <w:sz w:val="21"/>
                <w:szCs w:val="21"/>
              </w:rPr>
            </w:pPr>
          </w:p>
        </w:tc>
        <w:tc>
          <w:tcPr>
            <w:tcW w:w="430" w:type="pct"/>
            <w:vAlign w:val="center"/>
          </w:tcPr>
          <w:p w14:paraId="0B6E6C90">
            <w:pPr>
              <w:keepNext w:val="0"/>
              <w:keepLines w:val="0"/>
              <w:pageBreakBefore w:val="0"/>
              <w:widowControl/>
              <w:kinsoku/>
              <w:wordWrap/>
              <w:overflowPunct/>
              <w:topLinePunct w:val="0"/>
              <w:bidi w:val="0"/>
              <w:spacing w:line="276" w:lineRule="auto"/>
              <w:ind w:right="36" w:rightChars="17"/>
              <w:jc w:val="left"/>
              <w:rPr>
                <w:rFonts w:hint="eastAsia" w:ascii="宋体" w:hAnsi="宋体"/>
                <w:color w:val="FF0000"/>
                <w:sz w:val="21"/>
                <w:szCs w:val="21"/>
              </w:rPr>
            </w:pPr>
          </w:p>
        </w:tc>
        <w:tc>
          <w:tcPr>
            <w:tcW w:w="399" w:type="pct"/>
            <w:vAlign w:val="center"/>
          </w:tcPr>
          <w:p w14:paraId="49175FFC">
            <w:pPr>
              <w:keepNext w:val="0"/>
              <w:keepLines w:val="0"/>
              <w:pageBreakBefore w:val="0"/>
              <w:widowControl/>
              <w:kinsoku/>
              <w:wordWrap/>
              <w:overflowPunct/>
              <w:topLinePunct w:val="0"/>
              <w:bidi w:val="0"/>
              <w:spacing w:line="276" w:lineRule="auto"/>
              <w:ind w:right="36" w:rightChars="17"/>
              <w:jc w:val="left"/>
              <w:rPr>
                <w:rFonts w:hint="eastAsia" w:ascii="宋体" w:hAnsi="宋体"/>
                <w:color w:val="FF0000"/>
                <w:sz w:val="21"/>
                <w:szCs w:val="21"/>
              </w:rPr>
            </w:pPr>
          </w:p>
        </w:tc>
      </w:tr>
      <w:tr w14:paraId="029CE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atLeast"/>
          <w:jc w:val="center"/>
        </w:trPr>
        <w:tc>
          <w:tcPr>
            <w:tcW w:w="242" w:type="pct"/>
            <w:vMerge w:val="continue"/>
            <w:vAlign w:val="center"/>
          </w:tcPr>
          <w:p w14:paraId="5A3D475B">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7C44D602">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0F4FA729">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.在额定功率放电测试时，每隔3分钟用红外线测温枪测量正负极柱、蓄电池各单格连接处的外壳部位、电池间连接件，最大温度≤41℃，</w:t>
            </w:r>
            <w:r>
              <w:rPr>
                <w:rFonts w:hint="eastAsia" w:ascii="宋体" w:hAnsi="宋体"/>
                <w:b/>
                <w:bCs/>
                <w:color w:val="FF0000"/>
                <w:sz w:val="21"/>
                <w:szCs w:val="21"/>
              </w:rPr>
              <w:t>并提供第三方检测报告（此报告用于证明（体现）“最大温度≤41℃”）</w:t>
            </w:r>
            <w:r>
              <w:rPr>
                <w:rFonts w:hint="eastAsia" w:ascii="宋体" w:hAnsi="宋体"/>
                <w:sz w:val="21"/>
                <w:szCs w:val="21"/>
              </w:rPr>
              <w:t>。</w:t>
            </w:r>
          </w:p>
          <w:p w14:paraId="3226AAEC">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rPr>
              <w:t>提供蓄电池高温加速浮充寿命试验测试的第三方检测报告（此报告用于证明（体现）“高温加速浮充次数不得低于9次”）</w:t>
            </w:r>
            <w:r>
              <w:rPr>
                <w:rFonts w:hint="eastAsia" w:ascii="宋体" w:hAnsi="宋体"/>
                <w:sz w:val="21"/>
                <w:szCs w:val="21"/>
              </w:rPr>
              <w:t>。</w:t>
            </w:r>
          </w:p>
        </w:tc>
        <w:tc>
          <w:tcPr>
            <w:tcW w:w="473" w:type="pct"/>
            <w:vAlign w:val="center"/>
          </w:tcPr>
          <w:p w14:paraId="562A77FE">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rPr>
            </w:pPr>
          </w:p>
        </w:tc>
        <w:tc>
          <w:tcPr>
            <w:tcW w:w="430" w:type="pct"/>
            <w:vAlign w:val="center"/>
          </w:tcPr>
          <w:p w14:paraId="3FE091AC">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rPr>
            </w:pPr>
          </w:p>
        </w:tc>
        <w:tc>
          <w:tcPr>
            <w:tcW w:w="399" w:type="pct"/>
            <w:vAlign w:val="center"/>
          </w:tcPr>
          <w:p w14:paraId="634365AD">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rPr>
            </w:pPr>
          </w:p>
        </w:tc>
      </w:tr>
      <w:tr w14:paraId="45E4D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0" w:hRule="atLeast"/>
          <w:jc w:val="center"/>
        </w:trPr>
        <w:tc>
          <w:tcPr>
            <w:tcW w:w="242" w:type="pct"/>
            <w:vMerge w:val="continue"/>
            <w:vAlign w:val="center"/>
          </w:tcPr>
          <w:p w14:paraId="3765C5D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50D905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2311814C">
            <w:pPr>
              <w:keepNext w:val="0"/>
              <w:keepLines w:val="0"/>
              <w:pageBreakBefore w:val="0"/>
              <w:widowControl/>
              <w:kinsoku/>
              <w:wordWrap/>
              <w:overflowPunct/>
              <w:topLinePunct w:val="0"/>
              <w:bidi w:val="0"/>
              <w:spacing w:line="276" w:lineRule="auto"/>
              <w:ind w:right="36" w:rightChars="17"/>
              <w:jc w:val="left"/>
              <w:rPr>
                <w:rFonts w:ascii="宋体" w:hAnsi="宋体"/>
                <w:b/>
                <w:bCs/>
                <w:color w:val="FF0000"/>
                <w:sz w:val="21"/>
                <w:szCs w:val="21"/>
              </w:rPr>
            </w:pPr>
            <w:r>
              <w:rPr>
                <w:rFonts w:hint="eastAsia" w:ascii="宋体" w:hAnsi="宋体"/>
                <w:color w:val="FF0000"/>
                <w:sz w:val="21"/>
                <w:szCs w:val="21"/>
              </w:rPr>
              <w:t>▲</w:t>
            </w:r>
            <w:r>
              <w:rPr>
                <w:rFonts w:hint="eastAsia" w:ascii="宋体" w:hAnsi="宋体"/>
                <w:color w:val="FF0000"/>
                <w:sz w:val="21"/>
                <w:szCs w:val="21"/>
                <w:lang w:val="en-US" w:eastAsia="zh-CN"/>
              </w:rPr>
              <w:t>4</w:t>
            </w:r>
            <w:r>
              <w:rPr>
                <w:rFonts w:hint="eastAsia" w:ascii="宋体" w:hAnsi="宋体"/>
                <w:color w:val="FF0000"/>
                <w:sz w:val="21"/>
                <w:szCs w:val="21"/>
              </w:rPr>
              <w:t>.</w:t>
            </w:r>
            <w:r>
              <w:rPr>
                <w:rFonts w:hint="eastAsia" w:ascii="宋体" w:hAnsi="宋体"/>
                <w:b/>
                <w:bCs/>
                <w:color w:val="FF0000"/>
                <w:sz w:val="21"/>
                <w:szCs w:val="21"/>
              </w:rPr>
              <w:t>（1）电池外壳应具有阻燃性能，蓄电池壳、盖、连接条保护罩应符合《塑料燃烧性能试验方法 水平法和垂直法》（GB/T 2408-20</w:t>
            </w:r>
            <w:r>
              <w:rPr>
                <w:rFonts w:ascii="宋体" w:hAnsi="宋体"/>
                <w:b/>
                <w:bCs/>
                <w:color w:val="FF0000"/>
                <w:sz w:val="21"/>
                <w:szCs w:val="21"/>
              </w:rPr>
              <w:t>21</w:t>
            </w:r>
            <w:r>
              <w:rPr>
                <w:rFonts w:hint="eastAsia" w:ascii="宋体" w:hAnsi="宋体"/>
                <w:b/>
                <w:bCs/>
                <w:color w:val="FF0000"/>
                <w:sz w:val="21"/>
                <w:szCs w:val="21"/>
              </w:rPr>
              <w:t>）中的第8.4.1条HB（水平级）和第9.4条V-0（垂直级）的要求。（投标时需提供第三方检测机构出具的检验/检测报告扫描件或复印件，并加盖投标人公章）</w:t>
            </w:r>
          </w:p>
          <w:p w14:paraId="78CE52BC">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rPr>
              <w:t>（2）蓄电池壳、盖材料：氧指数（LOI）参照EN ISO 4589-2，不得低于24%；烟雾密度参照EN ISO 5659-2，不得高于950（25KW/m2）；烟雾毒性参照NF X70-100-1，不得大于0.5（600℃）。（投标时需提供第三方检测机构出具的检验/检测报告扫描件或复印件，并加盖投标人公章）</w:t>
            </w:r>
          </w:p>
        </w:tc>
        <w:tc>
          <w:tcPr>
            <w:tcW w:w="473" w:type="pct"/>
            <w:vAlign w:val="center"/>
          </w:tcPr>
          <w:p w14:paraId="0FA38817">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rPr>
            </w:pPr>
          </w:p>
        </w:tc>
        <w:tc>
          <w:tcPr>
            <w:tcW w:w="430" w:type="pct"/>
            <w:vAlign w:val="center"/>
          </w:tcPr>
          <w:p w14:paraId="5217829A">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rPr>
            </w:pPr>
          </w:p>
        </w:tc>
        <w:tc>
          <w:tcPr>
            <w:tcW w:w="399" w:type="pct"/>
            <w:vAlign w:val="center"/>
          </w:tcPr>
          <w:p w14:paraId="5347ADC3">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rPr>
            </w:pPr>
          </w:p>
        </w:tc>
      </w:tr>
      <w:tr w14:paraId="11424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242" w:type="pct"/>
            <w:vMerge w:val="continue"/>
            <w:vAlign w:val="center"/>
          </w:tcPr>
          <w:p w14:paraId="28C4E43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20BD3D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0B698CC2">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5</w:t>
            </w:r>
            <w:r>
              <w:rPr>
                <w:rFonts w:hint="eastAsia" w:ascii="宋体" w:hAnsi="宋体"/>
                <w:b/>
                <w:bCs/>
                <w:color w:val="FF0000"/>
                <w:sz w:val="21"/>
                <w:szCs w:val="21"/>
              </w:rPr>
              <w:t>.蓄电池静置28天（含）后其功率保存率不低于94%，密封反应效率应不低于97.0%。（投标时需提供第三方检测机构出具的检验/检测报告扫描件或复印件，并加盖投标人公章）</w:t>
            </w:r>
          </w:p>
        </w:tc>
        <w:tc>
          <w:tcPr>
            <w:tcW w:w="473" w:type="pct"/>
            <w:vAlign w:val="center"/>
          </w:tcPr>
          <w:p w14:paraId="216C60F5">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430" w:type="pct"/>
            <w:vAlign w:val="center"/>
          </w:tcPr>
          <w:p w14:paraId="2FD83872">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399" w:type="pct"/>
            <w:vAlign w:val="center"/>
          </w:tcPr>
          <w:p w14:paraId="14E7B671">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r>
      <w:tr w14:paraId="05F5B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242" w:type="pct"/>
            <w:vMerge w:val="continue"/>
            <w:vAlign w:val="center"/>
          </w:tcPr>
          <w:p w14:paraId="17C8E7B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942111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5275EC05">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6</w:t>
            </w:r>
            <w:r>
              <w:rPr>
                <w:rFonts w:hint="eastAsia" w:ascii="宋体" w:hAnsi="宋体"/>
                <w:b/>
                <w:bCs/>
                <w:color w:val="FF0000"/>
                <w:sz w:val="21"/>
                <w:szCs w:val="21"/>
              </w:rPr>
              <w:t>.安全阀应具有自动开启和自动关闭的功能，其开阀压力应在15kPa～25kPa范围内，闭阀压力应在10～15kPa范围内，开阀压力与闭阀压力差值不得高于15Kpa。（投标时需提供第三方检测机构出具的检验/检测报告扫描件或复印件，并加盖投标人公章）</w:t>
            </w:r>
          </w:p>
        </w:tc>
        <w:tc>
          <w:tcPr>
            <w:tcW w:w="473" w:type="pct"/>
            <w:vAlign w:val="center"/>
          </w:tcPr>
          <w:p w14:paraId="37E50389">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430" w:type="pct"/>
            <w:vAlign w:val="center"/>
          </w:tcPr>
          <w:p w14:paraId="5BB3880A">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399" w:type="pct"/>
            <w:vAlign w:val="center"/>
          </w:tcPr>
          <w:p w14:paraId="693F8B98">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r>
      <w:tr w14:paraId="67597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242" w:type="pct"/>
            <w:vMerge w:val="continue"/>
            <w:vAlign w:val="center"/>
          </w:tcPr>
          <w:p w14:paraId="6DFE234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05B810A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16DDAC7D">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7</w:t>
            </w:r>
            <w:r>
              <w:rPr>
                <w:rFonts w:hint="eastAsia" w:ascii="宋体" w:hAnsi="宋体"/>
                <w:b/>
                <w:bCs/>
                <w:color w:val="FF0000"/>
                <w:sz w:val="21"/>
                <w:szCs w:val="21"/>
              </w:rPr>
              <w:t>.单体蓄电池和由若干个单体组成一体的组合蓄电池，其各单体电池间的开路电压最高与最低差值应≤15mV。蓄电池进入浮充状态后24h后,各蓄电池之间的端电压差应≤40mV。蓄电池放电时，各蓄电池之间的端电压差应不超过140mV。当蓄电池按15min率放电时，同一电池架内相邻两只蓄电池极柱根部测量的连接条电压降应不大于20mV。（投标时需提供第三方检测机构出具的检验/检测报告扫描件或复印件，并加盖投标人公章）</w:t>
            </w:r>
          </w:p>
        </w:tc>
        <w:tc>
          <w:tcPr>
            <w:tcW w:w="473" w:type="pct"/>
            <w:vAlign w:val="center"/>
          </w:tcPr>
          <w:p w14:paraId="350A742C">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430" w:type="pct"/>
            <w:vAlign w:val="center"/>
          </w:tcPr>
          <w:p w14:paraId="416428A8">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399" w:type="pct"/>
            <w:vAlign w:val="center"/>
          </w:tcPr>
          <w:p w14:paraId="14D8F233">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r>
      <w:tr w14:paraId="07AA5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242" w:type="pct"/>
            <w:vMerge w:val="continue"/>
            <w:vAlign w:val="center"/>
          </w:tcPr>
          <w:p w14:paraId="6F38310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088D6F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22418B3D">
            <w:pPr>
              <w:keepNext w:val="0"/>
              <w:keepLines w:val="0"/>
              <w:pageBreakBefore w:val="0"/>
              <w:widowControl/>
              <w:kinsoku/>
              <w:wordWrap/>
              <w:overflowPunct/>
              <w:topLinePunct w:val="0"/>
              <w:bidi w:val="0"/>
              <w:spacing w:line="276" w:lineRule="auto"/>
              <w:ind w:right="36" w:rightChars="17"/>
              <w:jc w:val="left"/>
              <w:rPr>
                <w:rFonts w:ascii="宋体" w:hAnsi="宋体"/>
                <w:sz w:val="21"/>
                <w:szCs w:val="21"/>
              </w:rPr>
            </w:pPr>
            <w:r>
              <w:rPr>
                <w:rFonts w:hint="eastAsia" w:ascii="宋体" w:hAnsi="宋体"/>
                <w:b/>
                <w:bCs/>
                <w:color w:val="FF0000"/>
                <w:sz w:val="21"/>
                <w:szCs w:val="21"/>
                <w:lang w:val="en-US" w:eastAsia="zh-CN"/>
              </w:rPr>
              <w:t>8</w:t>
            </w:r>
            <w:r>
              <w:rPr>
                <w:rFonts w:ascii="宋体" w:hAnsi="宋体"/>
                <w:b/>
                <w:bCs/>
                <w:color w:val="FF0000"/>
                <w:sz w:val="21"/>
                <w:szCs w:val="21"/>
              </w:rPr>
              <w:t>.</w:t>
            </w:r>
            <w:r>
              <w:rPr>
                <w:rFonts w:hint="eastAsia" w:ascii="宋体" w:hAnsi="宋体"/>
                <w:b/>
                <w:bCs/>
                <w:color w:val="FF0000"/>
                <w:sz w:val="21"/>
                <w:szCs w:val="21"/>
              </w:rPr>
              <w:t>蓄电池按YD/T 3427-2018《通信用高倍率阀控式密封铅酸蓄电池》7.22要求试验后，容量恢复值≥95%，10h率容量应不低于0.93C10；7.23要求试验后，蓄电池温度应≤35℃，每24h的电流增长率应≤30%；外观应无破裂、过度膨胀及槽、盖分离现象，7.25要求试验后，恒压充电24h的再充电能力因素Rbf24h应≥95%，同组蓄电池以P15额定功率试验时，最大放电时间与最小放电时间差值≤2%。（投标时需提供第三方检测机构出具的检验/检测报告扫描件或复印件，并加盖投标人公章）</w:t>
            </w:r>
          </w:p>
        </w:tc>
        <w:tc>
          <w:tcPr>
            <w:tcW w:w="473" w:type="pct"/>
            <w:vAlign w:val="center"/>
          </w:tcPr>
          <w:p w14:paraId="165492EB">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430" w:type="pct"/>
            <w:vAlign w:val="center"/>
          </w:tcPr>
          <w:p w14:paraId="68A09A35">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c>
          <w:tcPr>
            <w:tcW w:w="399" w:type="pct"/>
            <w:vAlign w:val="center"/>
          </w:tcPr>
          <w:p w14:paraId="62CB29F5">
            <w:pPr>
              <w:keepNext w:val="0"/>
              <w:keepLines w:val="0"/>
              <w:pageBreakBefore w:val="0"/>
              <w:widowControl/>
              <w:kinsoku/>
              <w:wordWrap/>
              <w:overflowPunct/>
              <w:topLinePunct w:val="0"/>
              <w:bidi w:val="0"/>
              <w:spacing w:line="276" w:lineRule="auto"/>
              <w:ind w:right="36" w:rightChars="17"/>
              <w:jc w:val="left"/>
              <w:rPr>
                <w:rFonts w:hint="eastAsia" w:ascii="宋体" w:hAnsi="宋体"/>
                <w:b/>
                <w:bCs/>
                <w:color w:val="FF0000"/>
                <w:sz w:val="21"/>
                <w:szCs w:val="21"/>
                <w:lang w:val="en-US" w:eastAsia="zh-CN"/>
              </w:rPr>
            </w:pPr>
          </w:p>
        </w:tc>
      </w:tr>
      <w:tr w14:paraId="1403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 w:hRule="atLeast"/>
          <w:jc w:val="center"/>
        </w:trPr>
        <w:tc>
          <w:tcPr>
            <w:tcW w:w="242" w:type="pct"/>
            <w:vMerge w:val="restart"/>
            <w:vAlign w:val="center"/>
          </w:tcPr>
          <w:p w14:paraId="0203EE0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6</w:t>
            </w:r>
          </w:p>
        </w:tc>
        <w:tc>
          <w:tcPr>
            <w:tcW w:w="791" w:type="pct"/>
            <w:vMerge w:val="restart"/>
            <w:vAlign w:val="center"/>
          </w:tcPr>
          <w:p w14:paraId="3226F33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2.</w:t>
            </w:r>
            <w:r>
              <w:rPr>
                <w:rFonts w:ascii="宋体" w:hAnsi="宋体"/>
                <w:sz w:val="21"/>
                <w:szCs w:val="21"/>
              </w:rPr>
              <w:t>4</w:t>
            </w:r>
            <w:r>
              <w:rPr>
                <w:rFonts w:hint="eastAsia" w:ascii="宋体" w:hAnsi="宋体"/>
                <w:sz w:val="21"/>
                <w:szCs w:val="21"/>
              </w:rPr>
              <w:t>MW配电柜系统</w:t>
            </w:r>
          </w:p>
        </w:tc>
        <w:tc>
          <w:tcPr>
            <w:tcW w:w="2662" w:type="pct"/>
            <w:vAlign w:val="center"/>
          </w:tcPr>
          <w:p w14:paraId="1AC8CBB0">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 含</w:t>
            </w:r>
            <w:r>
              <w:rPr>
                <w:rFonts w:hint="eastAsia" w:ascii="宋体" w:hAnsi="宋体"/>
                <w:kern w:val="0"/>
                <w:sz w:val="21"/>
                <w:szCs w:val="21"/>
              </w:rPr>
              <w:t>进线柜、低压成套开关设备-IT维修旁路柜、低压成套开关设备-动力维修旁路柜、预制铜排和可视化监控系统</w:t>
            </w:r>
            <w:r>
              <w:rPr>
                <w:rFonts w:hint="eastAsia" w:ascii="宋体" w:hAnsi="宋体"/>
                <w:sz w:val="21"/>
                <w:szCs w:val="21"/>
              </w:rPr>
              <w:t>≥</w:t>
            </w:r>
            <w:r>
              <w:rPr>
                <w:rFonts w:hint="eastAsia" w:ascii="宋体" w:hAnsi="宋体"/>
                <w:kern w:val="0"/>
                <w:sz w:val="21"/>
                <w:szCs w:val="21"/>
              </w:rPr>
              <w:t>4套；低压成套开关设备-IT UPS输出馈线柜</w:t>
            </w:r>
            <w:r>
              <w:rPr>
                <w:rFonts w:hint="eastAsia" w:ascii="宋体" w:hAnsi="宋体"/>
                <w:sz w:val="21"/>
                <w:szCs w:val="21"/>
              </w:rPr>
              <w:t>≥</w:t>
            </w:r>
            <w:r>
              <w:rPr>
                <w:rFonts w:ascii="宋体" w:hAnsi="宋体"/>
                <w:kern w:val="0"/>
                <w:sz w:val="21"/>
                <w:szCs w:val="21"/>
              </w:rPr>
              <w:t>2</w:t>
            </w:r>
            <w:r>
              <w:rPr>
                <w:rFonts w:hint="eastAsia" w:ascii="宋体" w:hAnsi="宋体"/>
                <w:kern w:val="0"/>
                <w:sz w:val="21"/>
                <w:szCs w:val="21"/>
              </w:rPr>
              <w:t>套。各部件要求统一颜色、尺寸。</w:t>
            </w:r>
          </w:p>
        </w:tc>
        <w:tc>
          <w:tcPr>
            <w:tcW w:w="473" w:type="pct"/>
            <w:vAlign w:val="center"/>
          </w:tcPr>
          <w:p w14:paraId="5B2AE469">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49395BD2">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1DC268F0">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63A9D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5" w:hRule="atLeast"/>
          <w:jc w:val="center"/>
        </w:trPr>
        <w:tc>
          <w:tcPr>
            <w:tcW w:w="242" w:type="pct"/>
            <w:vMerge w:val="continue"/>
            <w:vAlign w:val="center"/>
          </w:tcPr>
          <w:p w14:paraId="486E093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5DDC7FC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63C126F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kern w:val="0"/>
                <w:sz w:val="21"/>
                <w:szCs w:val="21"/>
              </w:rPr>
              <w:t>2. 配电系统内部含有相关电气、电源设备所有一/二次接线接口、开关设备参数整定、模块内系统调试均由设备供应商在工厂预制化生产的集成化配电产品；</w:t>
            </w:r>
          </w:p>
          <w:p w14:paraId="352F45AD">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kern w:val="0"/>
                <w:sz w:val="21"/>
                <w:szCs w:val="21"/>
              </w:rPr>
              <w:t>配电系统对外一/二次接口实现统一化、简单化。</w:t>
            </w:r>
          </w:p>
          <w:p w14:paraId="12D776E3">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3. 配电系统中的所有部件，如低压柜、UPS、馈线柜、铜排等所有部件集中管理，有统一的管理界面，具备实时监测功能。</w:t>
            </w:r>
          </w:p>
          <w:p w14:paraId="58D4C933">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4．开关设备防护等级IP20，在所有位置（接通、试验、断开）均可保持低压开关柜原有的防护等级。</w:t>
            </w:r>
          </w:p>
          <w:p w14:paraId="77E647C5">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5. 开关柜应为由钢板外壳封闭的刚性、自承式独立结构，并应能承受所安装元件和短路时产生的动、热稳定。框架、门板和元件安装板均采用厚度</w:t>
            </w:r>
            <w:r>
              <w:rPr>
                <w:rFonts w:hint="eastAsia" w:ascii="宋体" w:hAnsi="宋体"/>
                <w:sz w:val="21"/>
                <w:szCs w:val="21"/>
              </w:rPr>
              <w:t>≥</w:t>
            </w:r>
            <w:r>
              <w:rPr>
                <w:rFonts w:hint="eastAsia" w:ascii="宋体" w:hAnsi="宋体"/>
                <w:kern w:val="0"/>
                <w:sz w:val="21"/>
                <w:szCs w:val="21"/>
              </w:rPr>
              <w:t>1.5mm的冷轧钢板。</w:t>
            </w:r>
          </w:p>
        </w:tc>
        <w:tc>
          <w:tcPr>
            <w:tcW w:w="473" w:type="pct"/>
            <w:vAlign w:val="center"/>
          </w:tcPr>
          <w:p w14:paraId="2B0EE7D5">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709FB681">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1574DFF4">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7C6EB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3" w:hRule="atLeast"/>
          <w:jc w:val="center"/>
        </w:trPr>
        <w:tc>
          <w:tcPr>
            <w:tcW w:w="242" w:type="pct"/>
            <w:vMerge w:val="continue"/>
            <w:vAlign w:val="center"/>
          </w:tcPr>
          <w:p w14:paraId="38F3DB7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F2B82F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08071051">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6. 开关柜应具有内部燃弧故障耐受能力，当出现内部燃弧故障时，开关柜隔室的结构应能承受三相短路产生的电弧或游离气体所产生的压力而不造成损坏，并且防止电弧对操作人员造成伤害。</w:t>
            </w:r>
          </w:p>
          <w:p w14:paraId="2E7751B1">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7. 预制母排采用三相五线制，选用国标T2电解铜材制造，铜排纯度在99.95%以上。母排表面光洁并进行防氧化处理。屏内N排的截面积规格和相排一致，选用的铜母线截面满足国家规定的额定短时耐受电流和额定峰值所产生的热应力和电动力要求。预制一体化配电系统内母排须出厂时预制完成，便于现场安装。</w:t>
            </w:r>
          </w:p>
        </w:tc>
        <w:tc>
          <w:tcPr>
            <w:tcW w:w="473" w:type="pct"/>
            <w:vAlign w:val="center"/>
          </w:tcPr>
          <w:p w14:paraId="013CB3E2">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430" w:type="pct"/>
            <w:vAlign w:val="center"/>
          </w:tcPr>
          <w:p w14:paraId="376AAE27">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399" w:type="pct"/>
            <w:vAlign w:val="center"/>
          </w:tcPr>
          <w:p w14:paraId="66DC1C81">
            <w:pPr>
              <w:keepNext w:val="0"/>
              <w:keepLines w:val="0"/>
              <w:pageBreakBefore w:val="0"/>
              <w:kinsoku/>
              <w:wordWrap/>
              <w:overflowPunct/>
              <w:topLinePunct w:val="0"/>
              <w:bidi w:val="0"/>
              <w:spacing w:line="276" w:lineRule="auto"/>
              <w:rPr>
                <w:rFonts w:hint="eastAsia" w:ascii="宋体" w:hAnsi="宋体"/>
                <w:kern w:val="0"/>
                <w:sz w:val="21"/>
                <w:szCs w:val="21"/>
              </w:rPr>
            </w:pPr>
          </w:p>
        </w:tc>
      </w:tr>
      <w:tr w14:paraId="3A5C0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242" w:type="pct"/>
            <w:vMerge w:val="continue"/>
            <w:vAlign w:val="center"/>
          </w:tcPr>
          <w:p w14:paraId="2000DEA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8441B0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762A18D4">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b/>
                <w:bCs/>
                <w:color w:val="FF0000"/>
                <w:sz w:val="21"/>
                <w:szCs w:val="21"/>
              </w:rPr>
              <w:t>▲</w:t>
            </w:r>
            <w:r>
              <w:rPr>
                <w:rFonts w:hint="eastAsia" w:ascii="宋体" w:hAnsi="宋体"/>
                <w:b/>
                <w:bCs/>
                <w:color w:val="FF0000"/>
                <w:kern w:val="0"/>
                <w:sz w:val="21"/>
                <w:szCs w:val="21"/>
              </w:rPr>
              <w:t>8.提供所投2.</w:t>
            </w:r>
            <w:r>
              <w:rPr>
                <w:rFonts w:ascii="宋体" w:hAnsi="宋体"/>
                <w:b/>
                <w:bCs/>
                <w:color w:val="FF0000"/>
                <w:kern w:val="0"/>
                <w:sz w:val="21"/>
                <w:szCs w:val="21"/>
              </w:rPr>
              <w:t>4MW</w:t>
            </w:r>
            <w:r>
              <w:rPr>
                <w:rFonts w:hint="eastAsia" w:ascii="宋体" w:hAnsi="宋体"/>
                <w:b/>
                <w:bCs/>
                <w:color w:val="FF0000"/>
                <w:kern w:val="0"/>
                <w:sz w:val="21"/>
                <w:szCs w:val="21"/>
              </w:rPr>
              <w:t>配电柜系统中柜体的内燃弧检验报告、EMC电磁兼容检验报告、盐雾检测报告、节能认证检测报告及泰尔检测报告，上述5项报告检测结果均合格。</w:t>
            </w:r>
            <w:r>
              <w:rPr>
                <w:rFonts w:hint="eastAsia" w:ascii="宋体" w:hAnsi="宋体"/>
                <w:b/>
                <w:bCs/>
                <w:color w:val="FF0000"/>
                <w:sz w:val="21"/>
                <w:szCs w:val="21"/>
              </w:rPr>
              <w:t>（投标时需提供第三方检测机构出具具有“CNAS”或“CMA”标识的检测/检验报告。</w:t>
            </w:r>
            <w:r>
              <w:rPr>
                <w:rFonts w:hint="eastAsia" w:ascii="宋体" w:hAnsi="宋体"/>
                <w:b/>
                <w:bCs/>
                <w:color w:val="FF0000"/>
                <w:kern w:val="0"/>
                <w:sz w:val="21"/>
                <w:szCs w:val="21"/>
              </w:rPr>
              <w:t>上述资料均要求提供扫描件或复印件，并加盖投标人公章</w:t>
            </w:r>
            <w:r>
              <w:rPr>
                <w:rFonts w:hint="eastAsia" w:ascii="宋体" w:hAnsi="宋体"/>
                <w:b/>
                <w:bCs/>
                <w:color w:val="FF0000"/>
                <w:sz w:val="21"/>
                <w:szCs w:val="21"/>
              </w:rPr>
              <w:t>）</w:t>
            </w:r>
          </w:p>
        </w:tc>
        <w:tc>
          <w:tcPr>
            <w:tcW w:w="473" w:type="pct"/>
            <w:vAlign w:val="center"/>
          </w:tcPr>
          <w:p w14:paraId="0DAFEE11">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430" w:type="pct"/>
            <w:vAlign w:val="center"/>
          </w:tcPr>
          <w:p w14:paraId="56719FE8">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399" w:type="pct"/>
            <w:vAlign w:val="center"/>
          </w:tcPr>
          <w:p w14:paraId="369B876B">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r>
      <w:tr w14:paraId="63DA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242" w:type="pct"/>
            <w:vMerge w:val="continue"/>
            <w:vAlign w:val="center"/>
          </w:tcPr>
          <w:p w14:paraId="014A356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60B9742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3E216E97">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color w:val="FF0000"/>
                <w:sz w:val="21"/>
                <w:szCs w:val="21"/>
              </w:rPr>
              <w:t>▲</w:t>
            </w:r>
            <w:r>
              <w:rPr>
                <w:rFonts w:hint="eastAsia" w:ascii="宋体" w:hAnsi="宋体"/>
                <w:color w:val="FF0000"/>
                <w:kern w:val="0"/>
                <w:sz w:val="21"/>
                <w:szCs w:val="21"/>
              </w:rPr>
              <w:t>9.</w:t>
            </w:r>
            <w:r>
              <w:rPr>
                <w:rFonts w:hint="eastAsia" w:ascii="宋体" w:hAnsi="宋体"/>
                <w:b/>
                <w:bCs/>
                <w:color w:val="FF0000"/>
                <w:kern w:val="0"/>
                <w:sz w:val="21"/>
                <w:szCs w:val="21"/>
              </w:rPr>
              <w:t>柜内母线应选用国标T2电解铜材制造，导电率不低于98%，纯度不低于99.97%，</w:t>
            </w:r>
            <w:r>
              <w:rPr>
                <w:rFonts w:hint="eastAsia" w:ascii="宋体" w:hAnsi="宋体"/>
                <w:kern w:val="0"/>
                <w:sz w:val="21"/>
                <w:szCs w:val="21"/>
              </w:rPr>
              <w:t>且母排载流量满足对应的UPS容量和招标方提供一次系统图的要求。（</w:t>
            </w:r>
            <w:r>
              <w:rPr>
                <w:rFonts w:hint="eastAsia" w:ascii="宋体" w:hAnsi="宋体"/>
                <w:b/>
                <w:bCs/>
                <w:color w:val="FF0000"/>
                <w:sz w:val="21"/>
                <w:szCs w:val="21"/>
              </w:rPr>
              <w:t>投标时需提供第三方检测机构出具具有“CNAS”或“CMA”标识的检测/检验报告扫描件或复印件，</w:t>
            </w:r>
            <w:r>
              <w:rPr>
                <w:rFonts w:hint="eastAsia" w:ascii="宋体" w:hAnsi="宋体"/>
                <w:b/>
                <w:bCs/>
                <w:color w:val="FF0000"/>
                <w:kern w:val="0"/>
                <w:sz w:val="21"/>
                <w:szCs w:val="21"/>
              </w:rPr>
              <w:t>并加盖投标人公章</w:t>
            </w:r>
            <w:r>
              <w:rPr>
                <w:rFonts w:hint="eastAsia" w:ascii="宋体" w:hAnsi="宋体"/>
                <w:kern w:val="0"/>
                <w:sz w:val="21"/>
                <w:szCs w:val="21"/>
              </w:rPr>
              <w:t>）</w:t>
            </w:r>
          </w:p>
        </w:tc>
        <w:tc>
          <w:tcPr>
            <w:tcW w:w="473" w:type="pct"/>
            <w:vAlign w:val="center"/>
          </w:tcPr>
          <w:p w14:paraId="59B6F11E">
            <w:pPr>
              <w:keepNext w:val="0"/>
              <w:keepLines w:val="0"/>
              <w:pageBreakBefore w:val="0"/>
              <w:kinsoku/>
              <w:wordWrap/>
              <w:overflowPunct/>
              <w:topLinePunct w:val="0"/>
              <w:bidi w:val="0"/>
              <w:spacing w:line="276" w:lineRule="auto"/>
              <w:ind w:right="36" w:rightChars="17"/>
              <w:rPr>
                <w:rFonts w:hint="eastAsia" w:ascii="宋体" w:hAnsi="宋体"/>
                <w:color w:val="FF0000"/>
                <w:sz w:val="21"/>
                <w:szCs w:val="21"/>
              </w:rPr>
            </w:pPr>
          </w:p>
        </w:tc>
        <w:tc>
          <w:tcPr>
            <w:tcW w:w="430" w:type="pct"/>
            <w:vAlign w:val="center"/>
          </w:tcPr>
          <w:p w14:paraId="42CEF5D9">
            <w:pPr>
              <w:keepNext w:val="0"/>
              <w:keepLines w:val="0"/>
              <w:pageBreakBefore w:val="0"/>
              <w:kinsoku/>
              <w:wordWrap/>
              <w:overflowPunct/>
              <w:topLinePunct w:val="0"/>
              <w:bidi w:val="0"/>
              <w:spacing w:line="276" w:lineRule="auto"/>
              <w:ind w:right="36" w:rightChars="17"/>
              <w:rPr>
                <w:rFonts w:hint="eastAsia" w:ascii="宋体" w:hAnsi="宋体"/>
                <w:color w:val="FF0000"/>
                <w:sz w:val="21"/>
                <w:szCs w:val="21"/>
              </w:rPr>
            </w:pPr>
          </w:p>
        </w:tc>
        <w:tc>
          <w:tcPr>
            <w:tcW w:w="399" w:type="pct"/>
            <w:vAlign w:val="center"/>
          </w:tcPr>
          <w:p w14:paraId="19CD7046">
            <w:pPr>
              <w:keepNext w:val="0"/>
              <w:keepLines w:val="0"/>
              <w:pageBreakBefore w:val="0"/>
              <w:kinsoku/>
              <w:wordWrap/>
              <w:overflowPunct/>
              <w:topLinePunct w:val="0"/>
              <w:bidi w:val="0"/>
              <w:spacing w:line="276" w:lineRule="auto"/>
              <w:ind w:right="36" w:rightChars="17"/>
              <w:rPr>
                <w:rFonts w:hint="eastAsia" w:ascii="宋体" w:hAnsi="宋体"/>
                <w:color w:val="FF0000"/>
                <w:sz w:val="21"/>
                <w:szCs w:val="21"/>
              </w:rPr>
            </w:pPr>
          </w:p>
        </w:tc>
      </w:tr>
      <w:tr w14:paraId="08C25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3" w:hRule="atLeast"/>
          <w:jc w:val="center"/>
        </w:trPr>
        <w:tc>
          <w:tcPr>
            <w:tcW w:w="242" w:type="pct"/>
            <w:vMerge w:val="continue"/>
            <w:vAlign w:val="center"/>
          </w:tcPr>
          <w:p w14:paraId="02D38E5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5594D40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52D1DEBD">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w:t>
            </w:r>
            <w:r>
              <w:rPr>
                <w:rFonts w:hint="eastAsia" w:ascii="宋体" w:hAnsi="宋体"/>
                <w:kern w:val="0"/>
                <w:sz w:val="21"/>
                <w:szCs w:val="21"/>
              </w:rPr>
              <w:t>10. 如无特殊说明， 630A以上电流等级采用框架断路器，630A及以下采用塑壳断路器。框架式断路器开关智能控制单元功能包括：可调整长延时保护、可调整短延时保护、可调整瞬时脱扣保护；断路器三段保护、四段保护需根据图纸要求选择即可；控制单元需具备显示界面及设置按键，方便设置参数，支持后续功能扩充。</w:t>
            </w:r>
          </w:p>
        </w:tc>
        <w:tc>
          <w:tcPr>
            <w:tcW w:w="473" w:type="pct"/>
            <w:vAlign w:val="center"/>
          </w:tcPr>
          <w:p w14:paraId="0BB58B73">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16E4F12F">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4DC1A8DB">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32B6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242" w:type="pct"/>
            <w:vMerge w:val="continue"/>
            <w:vAlign w:val="center"/>
          </w:tcPr>
          <w:p w14:paraId="0A4773C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479C53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6B462D05">
            <w:pPr>
              <w:pStyle w:val="18"/>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▲11</w:t>
            </w:r>
            <w:r>
              <w:rPr>
                <w:rFonts w:hint="eastAsia"/>
                <w:sz w:val="21"/>
                <w:szCs w:val="21"/>
              </w:rPr>
              <w:t>所投产品应具有整体稳定性，</w:t>
            </w:r>
            <w:r>
              <w:rPr>
                <w:rFonts w:hint="eastAsia" w:ascii="宋体" w:hAnsi="宋体"/>
                <w:b/>
                <w:bCs/>
                <w:color w:val="FF0000"/>
                <w:kern w:val="0"/>
                <w:sz w:val="21"/>
                <w:szCs w:val="21"/>
              </w:rPr>
              <w:t>提供所投产品的检测报告，检测报告内容需涵盖系统性能指标、系统功能、系统可靠性、系统特性、软件测试评估、配电系统测试检测项目，检测结果均为合格。</w:t>
            </w:r>
            <w:r>
              <w:rPr>
                <w:rFonts w:hint="eastAsia" w:ascii="宋体" w:hAnsi="宋体"/>
                <w:color w:val="FF0000"/>
                <w:kern w:val="0"/>
                <w:sz w:val="21"/>
                <w:szCs w:val="21"/>
              </w:rPr>
              <w:t>（</w:t>
            </w:r>
            <w:r>
              <w:rPr>
                <w:rFonts w:hint="eastAsia" w:ascii="宋体" w:hAnsi="宋体"/>
                <w:b/>
                <w:bCs/>
                <w:color w:val="FF0000"/>
                <w:sz w:val="21"/>
                <w:szCs w:val="21"/>
              </w:rPr>
              <w:t>投标时需提供第三方检测机构出具具有“CNAS”或“CMA”标识的检测/检验报告扫描件或复印件，</w:t>
            </w:r>
            <w:r>
              <w:rPr>
                <w:rFonts w:hint="eastAsia" w:ascii="宋体" w:hAnsi="宋体"/>
                <w:b/>
                <w:bCs/>
                <w:color w:val="FF0000"/>
                <w:kern w:val="0"/>
                <w:sz w:val="21"/>
                <w:szCs w:val="21"/>
              </w:rPr>
              <w:t>并加盖投标人公章</w:t>
            </w:r>
            <w:r>
              <w:rPr>
                <w:rFonts w:hint="eastAsia" w:ascii="宋体" w:hAnsi="宋体"/>
                <w:color w:val="FF0000"/>
                <w:kern w:val="0"/>
                <w:sz w:val="21"/>
                <w:szCs w:val="21"/>
              </w:rPr>
              <w:t>）</w:t>
            </w:r>
          </w:p>
        </w:tc>
        <w:tc>
          <w:tcPr>
            <w:tcW w:w="473" w:type="pct"/>
            <w:vAlign w:val="center"/>
          </w:tcPr>
          <w:p w14:paraId="5CD38248">
            <w:pPr>
              <w:pStyle w:val="18"/>
              <w:keepNext w:val="0"/>
              <w:keepLines w:val="0"/>
              <w:pageBreakBefore w:val="0"/>
              <w:kinsoku/>
              <w:wordWrap/>
              <w:overflowPunct/>
              <w:topLinePunct w:val="0"/>
              <w:bidi w:val="0"/>
              <w:spacing w:line="276" w:lineRule="auto"/>
              <w:rPr>
                <w:rFonts w:hint="eastAsia" w:ascii="宋体" w:hAnsi="宋体"/>
                <w:kern w:val="0"/>
                <w:sz w:val="21"/>
                <w:szCs w:val="21"/>
              </w:rPr>
            </w:pPr>
          </w:p>
        </w:tc>
        <w:tc>
          <w:tcPr>
            <w:tcW w:w="430" w:type="pct"/>
            <w:vAlign w:val="center"/>
          </w:tcPr>
          <w:p w14:paraId="2C5BCB47">
            <w:pPr>
              <w:pStyle w:val="18"/>
              <w:keepNext w:val="0"/>
              <w:keepLines w:val="0"/>
              <w:pageBreakBefore w:val="0"/>
              <w:kinsoku/>
              <w:wordWrap/>
              <w:overflowPunct/>
              <w:topLinePunct w:val="0"/>
              <w:bidi w:val="0"/>
              <w:spacing w:line="276" w:lineRule="auto"/>
              <w:rPr>
                <w:rFonts w:hint="eastAsia" w:ascii="宋体" w:hAnsi="宋体"/>
                <w:kern w:val="0"/>
                <w:sz w:val="21"/>
                <w:szCs w:val="21"/>
              </w:rPr>
            </w:pPr>
          </w:p>
        </w:tc>
        <w:tc>
          <w:tcPr>
            <w:tcW w:w="399" w:type="pct"/>
            <w:vAlign w:val="center"/>
          </w:tcPr>
          <w:p w14:paraId="68D875A5">
            <w:pPr>
              <w:pStyle w:val="18"/>
              <w:keepNext w:val="0"/>
              <w:keepLines w:val="0"/>
              <w:pageBreakBefore w:val="0"/>
              <w:kinsoku/>
              <w:wordWrap/>
              <w:overflowPunct/>
              <w:topLinePunct w:val="0"/>
              <w:bidi w:val="0"/>
              <w:spacing w:line="276" w:lineRule="auto"/>
              <w:rPr>
                <w:rFonts w:hint="eastAsia" w:ascii="宋体" w:hAnsi="宋体"/>
                <w:kern w:val="0"/>
                <w:sz w:val="21"/>
                <w:szCs w:val="21"/>
              </w:rPr>
            </w:pPr>
          </w:p>
        </w:tc>
      </w:tr>
      <w:tr w14:paraId="3E93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72" w:hRule="atLeast"/>
          <w:jc w:val="center"/>
        </w:trPr>
        <w:tc>
          <w:tcPr>
            <w:tcW w:w="242" w:type="pct"/>
            <w:vMerge w:val="continue"/>
            <w:vAlign w:val="center"/>
          </w:tcPr>
          <w:p w14:paraId="1A329D5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002B2B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5866B209">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12. 电力模块监控管理系统应有统一的管理界面，具备实时监测和故障告警功能。智能监控模块应能够实时测量单相与三相电流、电压、频率、有功功率、无功功率、视在功率、功率因数、电压、电流、0～63次谐波（总谐波畸变，分次谐波）等全电量参数，提供实时工作状态信息；具有故障录波功能；具有事故记录功能。</w:t>
            </w:r>
          </w:p>
          <w:p w14:paraId="25B90A3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w:t>
            </w:r>
            <w:r>
              <w:rPr>
                <w:rFonts w:hint="eastAsia" w:ascii="宋体" w:hAnsi="宋体"/>
                <w:kern w:val="0"/>
                <w:sz w:val="21"/>
                <w:szCs w:val="21"/>
                <w:lang w:val="en-US" w:eastAsia="zh-CN"/>
              </w:rPr>
              <w:t>3</w:t>
            </w:r>
            <w:r>
              <w:rPr>
                <w:rFonts w:hint="eastAsia" w:ascii="宋体" w:hAnsi="宋体"/>
                <w:kern w:val="0"/>
                <w:sz w:val="21"/>
                <w:szCs w:val="21"/>
              </w:rPr>
              <w:t>. 保障集中监控管理系统与各机柜的通信与检测能独立不互相影响，应在每台设备设置一个独立的监控单元，该监控单元能独立运行自行监控柜内的电压、电流、温度及柜内部件和模块的运行状态；或每台设备各个回路配置智能仪表、温度监测装置来监控回路电压、电流、温度等参量。</w:t>
            </w:r>
            <w:r>
              <w:rPr>
                <w:rFonts w:hint="eastAsia" w:ascii="宋体" w:hAnsi="宋体"/>
                <w:kern w:val="0"/>
                <w:sz w:val="21"/>
                <w:szCs w:val="21"/>
                <w:lang w:val="en-US" w:eastAsia="zh-CN"/>
              </w:rPr>
              <w:t>同时</w:t>
            </w:r>
            <w:r>
              <w:rPr>
                <w:rFonts w:hint="eastAsia" w:ascii="宋体" w:hAnsi="宋体"/>
                <w:kern w:val="0"/>
                <w:sz w:val="21"/>
                <w:szCs w:val="21"/>
              </w:rPr>
              <w:t>每套一体化电源系统配置一套监控管理系统，安装在一体化电源系统设备上，可监控本套一体化电源系统的配电柜、UPS设备等设备参数，进行统一集中式管理，通过统一接口将监控参数上传到后台集中监控装置。二次监控线路在工厂内预制好，可现场实现快速连接。</w:t>
            </w:r>
          </w:p>
        </w:tc>
        <w:tc>
          <w:tcPr>
            <w:tcW w:w="473" w:type="pct"/>
            <w:vAlign w:val="center"/>
          </w:tcPr>
          <w:p w14:paraId="313AC8F4">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677ADD13">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1708A43A">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0D8AC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6" w:hRule="atLeast"/>
          <w:jc w:val="center"/>
        </w:trPr>
        <w:tc>
          <w:tcPr>
            <w:tcW w:w="242" w:type="pct"/>
            <w:vMerge w:val="continue"/>
            <w:vAlign w:val="center"/>
          </w:tcPr>
          <w:p w14:paraId="3576E3E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0C36077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7DEA798A">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b/>
                <w:bCs/>
                <w:color w:val="FF0000"/>
                <w:kern w:val="0"/>
                <w:sz w:val="21"/>
                <w:szCs w:val="21"/>
              </w:rPr>
              <w:t>▲</w:t>
            </w:r>
            <w:r>
              <w:rPr>
                <w:rFonts w:hint="eastAsia" w:ascii="宋体" w:hAnsi="宋体"/>
                <w:b/>
                <w:bCs/>
                <w:color w:val="FF0000"/>
                <w:sz w:val="21"/>
                <w:szCs w:val="21"/>
              </w:rPr>
              <w:t>1</w:t>
            </w:r>
            <w:r>
              <w:rPr>
                <w:rFonts w:hint="eastAsia" w:ascii="宋体" w:hAnsi="宋体"/>
                <w:b/>
                <w:bCs/>
                <w:color w:val="FF0000"/>
                <w:sz w:val="21"/>
                <w:szCs w:val="21"/>
                <w:lang w:val="en-US" w:eastAsia="zh-CN"/>
              </w:rPr>
              <w:t>4</w:t>
            </w:r>
            <w:r>
              <w:rPr>
                <w:rFonts w:hint="eastAsia" w:ascii="宋体" w:hAnsi="宋体"/>
                <w:b/>
                <w:bCs/>
                <w:color w:val="FF0000"/>
                <w:sz w:val="21"/>
                <w:szCs w:val="21"/>
              </w:rPr>
              <w:t>.为了提供供配电系统可用性，减少维护时间，关键部件（即：（1）SVG模块；（2）馈线柜监控单元或断路器单元；（3）集中监控主控单元；（4）UPS功率模块、静态旁路模块、监控模块）采用热插拔形式。（投标时需提供第三方检测机构出具的检验/检测报告扫描件或复印件，并加盖投标人公章）</w:t>
            </w:r>
          </w:p>
        </w:tc>
        <w:tc>
          <w:tcPr>
            <w:tcW w:w="473" w:type="pct"/>
            <w:vAlign w:val="center"/>
          </w:tcPr>
          <w:p w14:paraId="63897BA5">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vAlign w:val="center"/>
          </w:tcPr>
          <w:p w14:paraId="5AA05913">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vAlign w:val="center"/>
          </w:tcPr>
          <w:p w14:paraId="720400C1">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0E8E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Align w:val="center"/>
          </w:tcPr>
          <w:p w14:paraId="7103488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7</w:t>
            </w:r>
          </w:p>
        </w:tc>
        <w:tc>
          <w:tcPr>
            <w:tcW w:w="791" w:type="pct"/>
            <w:vAlign w:val="center"/>
          </w:tcPr>
          <w:p w14:paraId="7E8F97B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电缆及桥架（</w:t>
            </w:r>
            <w:r>
              <w:rPr>
                <w:rFonts w:hint="eastAsia" w:ascii="宋体" w:hAnsi="宋体"/>
                <w:kern w:val="0"/>
                <w:sz w:val="21"/>
                <w:szCs w:val="21"/>
              </w:rPr>
              <w:t>变电所出线至机房电缆及桥架</w:t>
            </w:r>
            <w:r>
              <w:rPr>
                <w:rFonts w:hint="eastAsia" w:ascii="宋体" w:hAnsi="宋体"/>
                <w:sz w:val="21"/>
                <w:szCs w:val="21"/>
              </w:rPr>
              <w:t>）</w:t>
            </w:r>
          </w:p>
        </w:tc>
        <w:tc>
          <w:tcPr>
            <w:tcW w:w="2662" w:type="pct"/>
            <w:vAlign w:val="center"/>
          </w:tcPr>
          <w:p w14:paraId="3EFBD62C">
            <w:pPr>
              <w:pStyle w:val="58"/>
              <w:keepNext w:val="0"/>
              <w:keepLines w:val="0"/>
              <w:pageBreakBefore w:val="0"/>
              <w:kinsoku/>
              <w:wordWrap/>
              <w:overflowPunct/>
              <w:topLinePunct w:val="0"/>
              <w:bidi w:val="0"/>
              <w:spacing w:before="156" w:beforeLines="50" w:line="276" w:lineRule="auto"/>
              <w:ind w:firstLine="0" w:firstLineChars="0"/>
              <w:rPr>
                <w:rFonts w:ascii="宋体" w:hAnsi="宋体"/>
                <w:sz w:val="21"/>
                <w:szCs w:val="21"/>
              </w:rPr>
            </w:pPr>
            <w:r>
              <w:rPr>
                <w:rFonts w:hint="eastAsia" w:ascii="宋体" w:hAnsi="宋体"/>
                <w:kern w:val="0"/>
                <w:sz w:val="21"/>
                <w:szCs w:val="21"/>
              </w:rPr>
              <w:t>1.包括变电所至机房电缆及桥架，包括小母线至机柜配电电缆及套管。采用ZA-YJV电缆；桥架为金属封闭式桥架,</w:t>
            </w:r>
            <w:r>
              <w:rPr>
                <w:rFonts w:hint="eastAsia" w:ascii="宋体" w:hAnsi="宋体"/>
                <w:sz w:val="21"/>
                <w:szCs w:val="21"/>
              </w:rPr>
              <w:t>必须强度大，结构轻，配线灵活，安装标准，维护检修方便、安全，造型美观，线形流畅，表面平整光洁，无毛刺，过烧，挂灰等，色彩协调。30年内满足不变形、不锈蚀、不褪色、不霉变的要求。</w:t>
            </w:r>
          </w:p>
          <w:p w14:paraId="4563B14B">
            <w:pPr>
              <w:pStyle w:val="58"/>
              <w:keepNext w:val="0"/>
              <w:keepLines w:val="0"/>
              <w:pageBreakBefore w:val="0"/>
              <w:kinsoku/>
              <w:wordWrap/>
              <w:overflowPunct/>
              <w:topLinePunct w:val="0"/>
              <w:bidi w:val="0"/>
              <w:spacing w:before="156" w:beforeLines="50" w:line="276" w:lineRule="auto"/>
              <w:ind w:firstLine="0" w:firstLineChars="0"/>
              <w:rPr>
                <w:rFonts w:ascii="宋体" w:hAnsi="宋体"/>
                <w:sz w:val="21"/>
                <w:szCs w:val="21"/>
              </w:rPr>
            </w:pPr>
            <w:r>
              <w:rPr>
                <w:rFonts w:ascii="宋体" w:hAnsi="宋体"/>
                <w:kern w:val="0"/>
                <w:sz w:val="21"/>
                <w:szCs w:val="21"/>
              </w:rPr>
              <w:t>2</w:t>
            </w:r>
            <w:r>
              <w:rPr>
                <w:rFonts w:hint="eastAsia" w:ascii="宋体" w:hAnsi="宋体"/>
                <w:kern w:val="0"/>
                <w:sz w:val="21"/>
                <w:szCs w:val="21"/>
              </w:rPr>
              <w:t>.所有装置、材料和工艺须符合相应的国家规范和批准的相等国际标准及当地有关部门的要求。</w:t>
            </w:r>
            <w:r>
              <w:rPr>
                <w:rFonts w:hint="eastAsia" w:ascii="宋体" w:hAnsi="宋体"/>
                <w:sz w:val="21"/>
                <w:szCs w:val="21"/>
              </w:rPr>
              <w:t>相同桥架和相同部件的结构、性能参数、尺寸和公差配合，应完全相同，保证互换性。</w:t>
            </w:r>
          </w:p>
          <w:p w14:paraId="72AD23CD">
            <w:pPr>
              <w:pStyle w:val="58"/>
              <w:keepNext w:val="0"/>
              <w:keepLines w:val="0"/>
              <w:pageBreakBefore w:val="0"/>
              <w:kinsoku/>
              <w:wordWrap/>
              <w:overflowPunct/>
              <w:topLinePunct w:val="0"/>
              <w:bidi w:val="0"/>
              <w:spacing w:before="156" w:beforeLines="50" w:line="276" w:lineRule="auto"/>
              <w:ind w:firstLine="0" w:firstLineChars="0"/>
              <w:rPr>
                <w:rFonts w:ascii="宋体" w:hAnsi="宋体"/>
                <w:sz w:val="21"/>
                <w:szCs w:val="21"/>
              </w:rPr>
            </w:pPr>
            <w:r>
              <w:rPr>
                <w:rFonts w:ascii="宋体" w:hAnsi="宋体"/>
                <w:sz w:val="21"/>
                <w:szCs w:val="21"/>
              </w:rPr>
              <w:t>3</w:t>
            </w:r>
            <w:r>
              <w:rPr>
                <w:rFonts w:hint="eastAsia" w:ascii="宋体" w:hAnsi="宋体"/>
                <w:sz w:val="21"/>
                <w:szCs w:val="21"/>
              </w:rPr>
              <w:t>.电缆绝缘要求：绝缘材料采用交联聚乙烯材质，绝缘标称厚度应符合GB/T12527-2008，绝缘表面应光滑，色泽均匀：绝缘层的横断面上应无目力可见的气泡和沙眼等缺陷，禁止使用重新（二次）处理过的绝缘材料。</w:t>
            </w:r>
          </w:p>
          <w:p w14:paraId="2521513E">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ascii="宋体" w:hAnsi="宋体"/>
                <w:sz w:val="21"/>
                <w:szCs w:val="21"/>
              </w:rPr>
              <w:t>4</w:t>
            </w:r>
            <w:r>
              <w:rPr>
                <w:rFonts w:hint="eastAsia" w:ascii="宋体" w:hAnsi="宋体"/>
                <w:sz w:val="21"/>
                <w:szCs w:val="21"/>
              </w:rPr>
              <w:t>.护套要求：所有低压电缆应有外护套，护套材料使用交联聚乙烯，应有良好的防腐蚀、防蚁、防潮和阻燃性能。外护套通常为黑色，应与规定的电缆运行温度相适应。外护套应经受规定的火花试验。</w:t>
            </w:r>
          </w:p>
        </w:tc>
        <w:tc>
          <w:tcPr>
            <w:tcW w:w="473" w:type="pct"/>
            <w:vAlign w:val="center"/>
          </w:tcPr>
          <w:p w14:paraId="5E74FD0F">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430" w:type="pct"/>
            <w:vAlign w:val="center"/>
          </w:tcPr>
          <w:p w14:paraId="39883E24">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99" w:type="pct"/>
            <w:vAlign w:val="center"/>
          </w:tcPr>
          <w:p w14:paraId="06FC3793">
            <w:pPr>
              <w:keepNext w:val="0"/>
              <w:keepLines w:val="0"/>
              <w:pageBreakBefore w:val="0"/>
              <w:kinsoku/>
              <w:wordWrap/>
              <w:overflowPunct/>
              <w:topLinePunct w:val="0"/>
              <w:bidi w:val="0"/>
              <w:spacing w:line="276" w:lineRule="auto"/>
              <w:ind w:right="36" w:rightChars="17"/>
              <w:rPr>
                <w:rFonts w:ascii="宋体" w:hAnsi="宋体"/>
                <w:sz w:val="21"/>
                <w:szCs w:val="21"/>
              </w:rPr>
            </w:pPr>
          </w:p>
        </w:tc>
      </w:tr>
      <w:tr w14:paraId="6507B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242" w:type="pct"/>
            <w:vMerge w:val="restart"/>
            <w:shd w:val="clear" w:color="auto" w:fill="auto"/>
            <w:vAlign w:val="center"/>
          </w:tcPr>
          <w:p w14:paraId="73CE862A">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r>
              <w:rPr>
                <w:rFonts w:hint="eastAsia" w:eastAsia="仿宋_GB2312" w:cs="Times New Roman"/>
                <w:sz w:val="21"/>
                <w:szCs w:val="21"/>
              </w:rPr>
              <w:t>8</w:t>
            </w:r>
          </w:p>
        </w:tc>
        <w:tc>
          <w:tcPr>
            <w:tcW w:w="791" w:type="pct"/>
            <w:vMerge w:val="restart"/>
            <w:shd w:val="clear" w:color="auto" w:fill="auto"/>
            <w:vAlign w:val="center"/>
          </w:tcPr>
          <w:p w14:paraId="43CAACC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小母线（含10KW机柜用机房小母线6套；15KW机柜用机房小母线4套）</w:t>
            </w:r>
          </w:p>
        </w:tc>
        <w:tc>
          <w:tcPr>
            <w:tcW w:w="2662" w:type="pct"/>
            <w:shd w:val="clear" w:color="auto" w:fill="auto"/>
            <w:vAlign w:val="center"/>
          </w:tcPr>
          <w:p w14:paraId="15704906">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 10个微模块机房内小母线全套设备</w:t>
            </w:r>
            <w:r>
              <w:rPr>
                <w:rFonts w:hint="eastAsia" w:ascii="宋体" w:hAnsi="宋体"/>
                <w:sz w:val="21"/>
                <w:szCs w:val="21"/>
              </w:rPr>
              <w:t>；</w:t>
            </w:r>
            <w:r>
              <w:rPr>
                <w:rFonts w:hint="eastAsia" w:ascii="宋体" w:hAnsi="宋体"/>
                <w:kern w:val="0"/>
                <w:sz w:val="21"/>
                <w:szCs w:val="21"/>
              </w:rPr>
              <w:t>为保证微模块整体空间利用率，小母线系统应不占用机柜空间，可设置为机柜上方安装方式。母线配电架构为三相五线制，其中零线和地线应配置独立的铜排母线应采用智能管理系统，可以将母线中的温湿度、电压、电流、频率等基础参数统一采集监测。</w:t>
            </w:r>
          </w:p>
        </w:tc>
        <w:tc>
          <w:tcPr>
            <w:tcW w:w="473" w:type="pct"/>
            <w:shd w:val="clear" w:color="auto" w:fill="auto"/>
            <w:vAlign w:val="center"/>
          </w:tcPr>
          <w:p w14:paraId="75FBE8E7">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430" w:type="pct"/>
            <w:shd w:val="clear" w:color="auto" w:fill="auto"/>
            <w:vAlign w:val="center"/>
          </w:tcPr>
          <w:p w14:paraId="267760FD">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399" w:type="pct"/>
            <w:shd w:val="clear" w:color="auto" w:fill="auto"/>
            <w:vAlign w:val="center"/>
          </w:tcPr>
          <w:p w14:paraId="7531DFD3">
            <w:pPr>
              <w:keepNext w:val="0"/>
              <w:keepLines w:val="0"/>
              <w:pageBreakBefore w:val="0"/>
              <w:kinsoku/>
              <w:wordWrap/>
              <w:overflowPunct/>
              <w:topLinePunct w:val="0"/>
              <w:bidi w:val="0"/>
              <w:spacing w:line="276" w:lineRule="auto"/>
              <w:rPr>
                <w:rFonts w:hint="eastAsia" w:ascii="宋体" w:hAnsi="宋体"/>
                <w:kern w:val="0"/>
                <w:sz w:val="21"/>
                <w:szCs w:val="21"/>
              </w:rPr>
            </w:pPr>
          </w:p>
        </w:tc>
      </w:tr>
      <w:tr w14:paraId="351EA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242" w:type="pct"/>
            <w:vMerge w:val="continue"/>
            <w:shd w:val="clear" w:color="auto" w:fill="auto"/>
            <w:vAlign w:val="center"/>
          </w:tcPr>
          <w:p w14:paraId="2928ABFE">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791" w:type="pct"/>
            <w:vMerge w:val="continue"/>
            <w:shd w:val="clear" w:color="auto" w:fill="auto"/>
            <w:vAlign w:val="center"/>
          </w:tcPr>
          <w:p w14:paraId="455F5A6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4B56694E">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lang w:val="en-US" w:eastAsia="zh-CN"/>
              </w:rPr>
              <w:t>2</w:t>
            </w:r>
            <w:r>
              <w:rPr>
                <w:rFonts w:hint="eastAsia" w:ascii="宋体" w:hAnsi="宋体"/>
                <w:b/>
                <w:bCs/>
                <w:color w:val="FF0000"/>
                <w:kern w:val="0"/>
                <w:sz w:val="21"/>
                <w:szCs w:val="21"/>
              </w:rPr>
              <w:t>.母线槽产品具备抗8、9级烈度抗地震的能力，并在投标时提供检测结论是“经过8，9级烈度抗地震试验合格”的泰尔检测报告。（投标时需提供第三方检测机构出具的检验/检测报告扫描件或复印件，并加盖投标人公章）</w:t>
            </w:r>
          </w:p>
        </w:tc>
        <w:tc>
          <w:tcPr>
            <w:tcW w:w="473" w:type="pct"/>
            <w:shd w:val="clear" w:color="auto" w:fill="auto"/>
            <w:vAlign w:val="center"/>
          </w:tcPr>
          <w:p w14:paraId="63482E1A">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lang w:val="en-US" w:eastAsia="zh-CN"/>
              </w:rPr>
            </w:pPr>
          </w:p>
        </w:tc>
        <w:tc>
          <w:tcPr>
            <w:tcW w:w="430" w:type="pct"/>
            <w:shd w:val="clear" w:color="auto" w:fill="auto"/>
            <w:vAlign w:val="center"/>
          </w:tcPr>
          <w:p w14:paraId="11EA3ED7">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lang w:val="en-US" w:eastAsia="zh-CN"/>
              </w:rPr>
            </w:pPr>
          </w:p>
        </w:tc>
        <w:tc>
          <w:tcPr>
            <w:tcW w:w="399" w:type="pct"/>
            <w:shd w:val="clear" w:color="auto" w:fill="auto"/>
            <w:vAlign w:val="center"/>
          </w:tcPr>
          <w:p w14:paraId="14BF45B7">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lang w:val="en-US" w:eastAsia="zh-CN"/>
              </w:rPr>
            </w:pPr>
          </w:p>
        </w:tc>
      </w:tr>
      <w:tr w14:paraId="783E0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242" w:type="pct"/>
            <w:vMerge w:val="continue"/>
            <w:shd w:val="clear" w:color="auto" w:fill="auto"/>
            <w:vAlign w:val="center"/>
          </w:tcPr>
          <w:p w14:paraId="5BDD410A">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791" w:type="pct"/>
            <w:vMerge w:val="continue"/>
            <w:shd w:val="clear" w:color="auto" w:fill="auto"/>
            <w:vAlign w:val="center"/>
          </w:tcPr>
          <w:p w14:paraId="293696F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671711BE">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sz w:val="21"/>
                <w:szCs w:val="21"/>
                <w:lang w:val="en-US" w:eastAsia="zh-CN"/>
              </w:rPr>
              <w:t>3</w:t>
            </w:r>
            <w:r>
              <w:rPr>
                <w:rFonts w:hint="eastAsia" w:ascii="宋体" w:hAnsi="宋体"/>
                <w:sz w:val="21"/>
                <w:szCs w:val="21"/>
              </w:rPr>
              <w:t>.额定工作电压380V AC/400V AC/415V AC,额定频率为50Hz，额定短时耐受电流6kA，额定绝缘电压：690V AC，防护等级IP30。</w:t>
            </w:r>
          </w:p>
        </w:tc>
        <w:tc>
          <w:tcPr>
            <w:tcW w:w="473" w:type="pct"/>
            <w:shd w:val="clear" w:color="auto" w:fill="auto"/>
            <w:vAlign w:val="center"/>
          </w:tcPr>
          <w:p w14:paraId="01055689">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430" w:type="pct"/>
            <w:shd w:val="clear" w:color="auto" w:fill="auto"/>
            <w:vAlign w:val="center"/>
          </w:tcPr>
          <w:p w14:paraId="42E1C5FA">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399" w:type="pct"/>
            <w:shd w:val="clear" w:color="auto" w:fill="auto"/>
            <w:vAlign w:val="center"/>
          </w:tcPr>
          <w:p w14:paraId="023677DC">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r>
      <w:tr w14:paraId="23F6F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242" w:type="pct"/>
            <w:vMerge w:val="continue"/>
            <w:shd w:val="clear" w:color="auto" w:fill="auto"/>
            <w:vAlign w:val="center"/>
          </w:tcPr>
          <w:p w14:paraId="20DCCCB4">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791" w:type="pct"/>
            <w:vMerge w:val="continue"/>
            <w:shd w:val="clear" w:color="auto" w:fill="auto"/>
            <w:vAlign w:val="center"/>
          </w:tcPr>
          <w:p w14:paraId="0863C1E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751A9DAE">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4</w:t>
            </w:r>
            <w:r>
              <w:rPr>
                <w:rFonts w:hint="eastAsia" w:ascii="宋体" w:hAnsi="宋体"/>
                <w:kern w:val="0"/>
                <w:sz w:val="21"/>
                <w:szCs w:val="21"/>
              </w:rPr>
              <w:t>.母线导体采用铜及铜合金材质，铜排全线段任何位置有效截面积的载流量满足要求电流值、</w:t>
            </w:r>
            <w:r>
              <w:rPr>
                <w:rFonts w:hint="eastAsia" w:ascii="宋体" w:hAnsi="宋体"/>
                <w:b/>
                <w:bCs/>
                <w:color w:val="FF0000"/>
                <w:kern w:val="0"/>
                <w:sz w:val="21"/>
                <w:szCs w:val="21"/>
              </w:rPr>
              <w:t>铜排采用T2电解铜，含铜率不低于99.98%、铜排导电率不低于99% IACS（国际退火铜标准）。</w:t>
            </w:r>
            <w:r>
              <w:rPr>
                <w:rFonts w:hint="eastAsia" w:ascii="宋体" w:hAnsi="宋体"/>
                <w:b/>
                <w:bCs/>
                <w:color w:val="FF0000"/>
                <w:sz w:val="21"/>
                <w:szCs w:val="21"/>
              </w:rPr>
              <w:t>（投标时需提供第三方检测机构出具的检验/检测报告扫描件或复印件，并加盖投标人公章）</w:t>
            </w:r>
          </w:p>
        </w:tc>
        <w:tc>
          <w:tcPr>
            <w:tcW w:w="473" w:type="pct"/>
            <w:shd w:val="clear" w:color="auto" w:fill="auto"/>
            <w:vAlign w:val="center"/>
          </w:tcPr>
          <w:p w14:paraId="3A93C0A5">
            <w:pPr>
              <w:keepNext w:val="0"/>
              <w:keepLines w:val="0"/>
              <w:pageBreakBefore w:val="0"/>
              <w:kinsoku/>
              <w:wordWrap/>
              <w:overflowPunct/>
              <w:topLinePunct w:val="0"/>
              <w:bidi w:val="0"/>
              <w:spacing w:line="276" w:lineRule="auto"/>
              <w:ind w:right="36" w:rightChars="17"/>
              <w:rPr>
                <w:rFonts w:hint="eastAsia" w:ascii="宋体" w:hAnsi="宋体"/>
                <w:kern w:val="0"/>
                <w:sz w:val="21"/>
                <w:szCs w:val="21"/>
                <w:lang w:val="en-US" w:eastAsia="zh-CN"/>
              </w:rPr>
            </w:pPr>
          </w:p>
        </w:tc>
        <w:tc>
          <w:tcPr>
            <w:tcW w:w="430" w:type="pct"/>
            <w:shd w:val="clear" w:color="auto" w:fill="auto"/>
            <w:vAlign w:val="center"/>
          </w:tcPr>
          <w:p w14:paraId="2CA5E766">
            <w:pPr>
              <w:keepNext w:val="0"/>
              <w:keepLines w:val="0"/>
              <w:pageBreakBefore w:val="0"/>
              <w:kinsoku/>
              <w:wordWrap/>
              <w:overflowPunct/>
              <w:topLinePunct w:val="0"/>
              <w:bidi w:val="0"/>
              <w:spacing w:line="276" w:lineRule="auto"/>
              <w:ind w:right="36" w:rightChars="17"/>
              <w:rPr>
                <w:rFonts w:hint="eastAsia" w:ascii="宋体" w:hAnsi="宋体"/>
                <w:kern w:val="0"/>
                <w:sz w:val="21"/>
                <w:szCs w:val="21"/>
                <w:lang w:val="en-US" w:eastAsia="zh-CN"/>
              </w:rPr>
            </w:pPr>
          </w:p>
        </w:tc>
        <w:tc>
          <w:tcPr>
            <w:tcW w:w="399" w:type="pct"/>
            <w:shd w:val="clear" w:color="auto" w:fill="auto"/>
            <w:vAlign w:val="center"/>
          </w:tcPr>
          <w:p w14:paraId="19891FDF">
            <w:pPr>
              <w:keepNext w:val="0"/>
              <w:keepLines w:val="0"/>
              <w:pageBreakBefore w:val="0"/>
              <w:kinsoku/>
              <w:wordWrap/>
              <w:overflowPunct/>
              <w:topLinePunct w:val="0"/>
              <w:bidi w:val="0"/>
              <w:spacing w:line="276" w:lineRule="auto"/>
              <w:ind w:right="36" w:rightChars="17"/>
              <w:rPr>
                <w:rFonts w:hint="eastAsia" w:ascii="宋体" w:hAnsi="宋体"/>
                <w:kern w:val="0"/>
                <w:sz w:val="21"/>
                <w:szCs w:val="21"/>
                <w:lang w:val="en-US" w:eastAsia="zh-CN"/>
              </w:rPr>
            </w:pPr>
          </w:p>
        </w:tc>
      </w:tr>
      <w:tr w14:paraId="2129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 w:hRule="atLeast"/>
          <w:jc w:val="center"/>
        </w:trPr>
        <w:tc>
          <w:tcPr>
            <w:tcW w:w="242" w:type="pct"/>
            <w:vMerge w:val="continue"/>
            <w:shd w:val="clear" w:color="auto" w:fill="auto"/>
            <w:vAlign w:val="center"/>
          </w:tcPr>
          <w:p w14:paraId="15F53E26">
            <w:pPr>
              <w:keepNext w:val="0"/>
              <w:keepLines w:val="0"/>
              <w:pageBreakBefore w:val="0"/>
              <w:widowControl/>
              <w:kinsoku/>
              <w:wordWrap/>
              <w:overflowPunct/>
              <w:topLinePunct w:val="0"/>
              <w:bidi w:val="0"/>
              <w:spacing w:line="276" w:lineRule="auto"/>
              <w:ind w:right="36" w:rightChars="17"/>
              <w:jc w:val="center"/>
              <w:rPr>
                <w:rFonts w:eastAsia="仿宋_GB2312" w:cs="Times New Roman"/>
                <w:sz w:val="21"/>
                <w:szCs w:val="21"/>
              </w:rPr>
            </w:pPr>
          </w:p>
        </w:tc>
        <w:tc>
          <w:tcPr>
            <w:tcW w:w="791" w:type="pct"/>
            <w:vMerge w:val="continue"/>
            <w:shd w:val="clear" w:color="auto" w:fill="auto"/>
            <w:vAlign w:val="center"/>
          </w:tcPr>
          <w:p w14:paraId="736D760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423DFEB7">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5</w:t>
            </w:r>
            <w:r>
              <w:rPr>
                <w:rFonts w:hint="eastAsia" w:ascii="宋体" w:hAnsi="宋体"/>
                <w:kern w:val="0"/>
                <w:sz w:val="21"/>
                <w:szCs w:val="21"/>
              </w:rPr>
              <w:t>.插接箱配置（16A/32A/63A，1P或2P或3P）断路器应符合IEC60947-2 规定额定运行短路分断能力和额定极限短路分断能力均不低于6kA。</w:t>
            </w:r>
          </w:p>
          <w:p w14:paraId="0C1C25DA">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6</w:t>
            </w:r>
            <w:r>
              <w:rPr>
                <w:rFonts w:hint="eastAsia" w:ascii="宋体" w:hAnsi="宋体"/>
                <w:kern w:val="0"/>
                <w:sz w:val="21"/>
                <w:szCs w:val="21"/>
              </w:rPr>
              <w:t>. 母线槽应具备智能监测功能，可采集的电气参数包括：（1）输入分路的电压、电流、谐波、频率、功率、电度，输出分路电流、功率、电度、铜排/电缆连接处的实时运行温度。支持北向FE接口(Modbus-MAC协议)或RS485(Modbus-RTU协议)，支持远程查看运行参数和运行状态，设置告警阀值和告警级别。</w:t>
            </w:r>
          </w:p>
          <w:p w14:paraId="615F7AF6">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lang w:val="en-US" w:eastAsia="zh-CN"/>
              </w:rPr>
              <w:t>7</w:t>
            </w:r>
            <w:r>
              <w:rPr>
                <w:rFonts w:hint="eastAsia" w:ascii="宋体" w:hAnsi="宋体"/>
                <w:kern w:val="0"/>
                <w:sz w:val="21"/>
                <w:szCs w:val="21"/>
              </w:rPr>
              <w:t>.插接箱可安装在母线主体的任意位置，连接器处也可实现插接取电。</w:t>
            </w:r>
            <w:r>
              <w:rPr>
                <w:rFonts w:hint="eastAsia" w:ascii="宋体" w:hAnsi="宋体"/>
                <w:sz w:val="21"/>
                <w:szCs w:val="21"/>
              </w:rPr>
              <w:t>插接箱需具备机械联锁，在安装的时候插接箱具备“先连接，后上电”的安全设计，即插接箱与母线槽完全固定后，插接箱才能通过绝缘手柄控制插接箱插爪的上电，完成上电后自动锁定，降低飞弧风险，保障人员操作安全。</w:t>
            </w:r>
          </w:p>
        </w:tc>
        <w:tc>
          <w:tcPr>
            <w:tcW w:w="473" w:type="pct"/>
            <w:shd w:val="clear" w:color="auto" w:fill="auto"/>
            <w:vAlign w:val="center"/>
          </w:tcPr>
          <w:p w14:paraId="0E9E18CD">
            <w:pPr>
              <w:keepNext w:val="0"/>
              <w:keepLines w:val="0"/>
              <w:pageBreakBefore w:val="0"/>
              <w:kinsoku/>
              <w:wordWrap/>
              <w:overflowPunct/>
              <w:topLinePunct w:val="0"/>
              <w:bidi w:val="0"/>
              <w:spacing w:line="276" w:lineRule="auto"/>
              <w:ind w:right="36" w:rightChars="17"/>
              <w:rPr>
                <w:rFonts w:hint="eastAsia" w:ascii="宋体" w:hAnsi="宋体"/>
                <w:kern w:val="0"/>
                <w:sz w:val="21"/>
                <w:szCs w:val="21"/>
                <w:lang w:val="en-US" w:eastAsia="zh-CN"/>
              </w:rPr>
            </w:pPr>
          </w:p>
        </w:tc>
        <w:tc>
          <w:tcPr>
            <w:tcW w:w="430" w:type="pct"/>
            <w:shd w:val="clear" w:color="auto" w:fill="auto"/>
            <w:vAlign w:val="center"/>
          </w:tcPr>
          <w:p w14:paraId="31724E3A">
            <w:pPr>
              <w:keepNext w:val="0"/>
              <w:keepLines w:val="0"/>
              <w:pageBreakBefore w:val="0"/>
              <w:kinsoku/>
              <w:wordWrap/>
              <w:overflowPunct/>
              <w:topLinePunct w:val="0"/>
              <w:bidi w:val="0"/>
              <w:spacing w:line="276" w:lineRule="auto"/>
              <w:ind w:right="36" w:rightChars="17"/>
              <w:rPr>
                <w:rFonts w:hint="eastAsia" w:ascii="宋体" w:hAnsi="宋体"/>
                <w:kern w:val="0"/>
                <w:sz w:val="21"/>
                <w:szCs w:val="21"/>
                <w:lang w:val="en-US" w:eastAsia="zh-CN"/>
              </w:rPr>
            </w:pPr>
          </w:p>
        </w:tc>
        <w:tc>
          <w:tcPr>
            <w:tcW w:w="399" w:type="pct"/>
            <w:shd w:val="clear" w:color="auto" w:fill="auto"/>
            <w:vAlign w:val="center"/>
          </w:tcPr>
          <w:p w14:paraId="43879198">
            <w:pPr>
              <w:keepNext w:val="0"/>
              <w:keepLines w:val="0"/>
              <w:pageBreakBefore w:val="0"/>
              <w:kinsoku/>
              <w:wordWrap/>
              <w:overflowPunct/>
              <w:topLinePunct w:val="0"/>
              <w:bidi w:val="0"/>
              <w:spacing w:line="276" w:lineRule="auto"/>
              <w:ind w:right="36" w:rightChars="17"/>
              <w:rPr>
                <w:rFonts w:hint="eastAsia" w:ascii="宋体" w:hAnsi="宋体"/>
                <w:kern w:val="0"/>
                <w:sz w:val="21"/>
                <w:szCs w:val="21"/>
                <w:lang w:val="en-US" w:eastAsia="zh-CN"/>
              </w:rPr>
            </w:pPr>
          </w:p>
        </w:tc>
      </w:tr>
      <w:tr w14:paraId="28A60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Align w:val="center"/>
          </w:tcPr>
          <w:p w14:paraId="132B4C4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9</w:t>
            </w:r>
          </w:p>
        </w:tc>
        <w:tc>
          <w:tcPr>
            <w:tcW w:w="791" w:type="pct"/>
            <w:vAlign w:val="center"/>
          </w:tcPr>
          <w:p w14:paraId="286F58C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动力配电箱</w:t>
            </w:r>
          </w:p>
        </w:tc>
        <w:tc>
          <w:tcPr>
            <w:tcW w:w="2662" w:type="pct"/>
            <w:vAlign w:val="center"/>
          </w:tcPr>
          <w:p w14:paraId="3189A424">
            <w:pPr>
              <w:keepNext w:val="0"/>
              <w:keepLines w:val="0"/>
              <w:pageBreakBefore w:val="0"/>
              <w:numPr>
                <w:ilvl w:val="0"/>
                <w:numId w:val="7"/>
              </w:numPr>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支持配电房，电池室，ECC及机房内的配电(含照明插座、精密空调、行级空调、新风排风、事故排风、机柜等配电);额定工作电压 380V，频率 50HZ，工作温度-10℃~+50℃；</w:t>
            </w:r>
            <w:r>
              <w:rPr>
                <w:rFonts w:hint="eastAsia" w:ascii="宋体" w:hAnsi="宋体"/>
                <w:sz w:val="21"/>
                <w:szCs w:val="21"/>
              </w:rPr>
              <w:t>户内配电盘防护等级为IP42，户外和潮湿环境配电盘防护等级为IP55；</w:t>
            </w:r>
          </w:p>
          <w:p w14:paraId="1403A198">
            <w:pPr>
              <w:keepNext w:val="0"/>
              <w:keepLines w:val="0"/>
              <w:pageBreakBefore w:val="0"/>
              <w:numPr>
                <w:ilvl w:val="0"/>
                <w:numId w:val="7"/>
              </w:numPr>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柜（箱体）防护结构包括端子盖/绝缘隔板、金属前面板主门、金属二次内门等组成，最大程度地防止操作人员直接接触母线并防止异物与电气装置接触；防水要求的区域需配置透明钢化玻璃门，保证操作检修人员的安全，又能观察断路器的分合闸状态；</w:t>
            </w:r>
          </w:p>
          <w:p w14:paraId="2AF42BB6">
            <w:pPr>
              <w:keepNext w:val="0"/>
              <w:keepLines w:val="0"/>
              <w:pageBreakBefore w:val="0"/>
              <w:kinsoku/>
              <w:wordWrap/>
              <w:overflowPunct/>
              <w:topLinePunct w:val="0"/>
              <w:bidi w:val="0"/>
              <w:adjustRightInd w:val="0"/>
              <w:snapToGrid w:val="0"/>
              <w:spacing w:line="276" w:lineRule="auto"/>
              <w:rPr>
                <w:rFonts w:ascii="宋体" w:hAnsi="宋体"/>
                <w:sz w:val="21"/>
                <w:szCs w:val="21"/>
              </w:rPr>
            </w:pPr>
            <w:r>
              <w:rPr>
                <w:rFonts w:hint="eastAsia" w:ascii="宋体" w:hAnsi="宋体"/>
                <w:kern w:val="0"/>
                <w:sz w:val="21"/>
                <w:szCs w:val="21"/>
              </w:rPr>
              <w:t>3、柜（箱体）全部门板、侧板采用进口敷铝锌板或优质冷轧钢板组成，外部及内面板作静电喷涂，挂墙箱厚度不小于1.5mm，落地柜厚度不小于2.0mm。断路器具有过载保护、短路保护。</w:t>
            </w:r>
            <w:r>
              <w:rPr>
                <w:rFonts w:hint="eastAsia" w:ascii="宋体" w:hAnsi="宋体"/>
                <w:sz w:val="21"/>
                <w:szCs w:val="21"/>
              </w:rPr>
              <w:t>配电柜/箱中的引入引出线均编上号，表明线路的去向、功用，方便控制、设备管理及检修。</w:t>
            </w:r>
          </w:p>
          <w:p w14:paraId="7F7ED3AF">
            <w:pPr>
              <w:keepNext w:val="0"/>
              <w:keepLines w:val="0"/>
              <w:pageBreakBefore w:val="0"/>
              <w:kinsoku/>
              <w:wordWrap/>
              <w:overflowPunct/>
              <w:topLinePunct w:val="0"/>
              <w:bidi w:val="0"/>
              <w:adjustRightInd w:val="0"/>
              <w:snapToGrid w:val="0"/>
              <w:spacing w:line="276" w:lineRule="auto"/>
              <w:rPr>
                <w:rFonts w:ascii="宋体" w:hAnsi="宋体"/>
                <w:sz w:val="21"/>
                <w:szCs w:val="21"/>
              </w:rPr>
            </w:pPr>
            <w:r>
              <w:rPr>
                <w:rFonts w:hint="eastAsia" w:ascii="宋体" w:hAnsi="宋体"/>
                <w:sz w:val="21"/>
                <w:szCs w:val="21"/>
              </w:rPr>
              <w:t>4、配电柜/箱均采用自动空气开关控制，设置过负荷及短路、防雷保护，主机房配电柜设有电压、电流的检测指示，并有相关的指示报警等功能，同时具有独立的零、地汇流排。考虑今后的扩展要求，配电柜均留出一定的备用容量。</w:t>
            </w:r>
          </w:p>
          <w:p w14:paraId="7914AD02">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5、箱体制作前应提供详细的实际制作的线路接线图及系统图，开关、多功能仪表等元器件排列图及箱体设计图；电涌保护器等元件按招标图纸设计要求配置，电源线路浪涌保护器在各个位置安装时，浪涌保护器的连接导线应短直，其总长度不宜大于0.5M。</w:t>
            </w:r>
          </w:p>
        </w:tc>
        <w:tc>
          <w:tcPr>
            <w:tcW w:w="473" w:type="pct"/>
            <w:vAlign w:val="center"/>
          </w:tcPr>
          <w:p w14:paraId="421341B9">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3369BE6F">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4468D108">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4DB33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restart"/>
            <w:shd w:val="clear" w:color="auto" w:fill="auto"/>
            <w:vAlign w:val="center"/>
          </w:tcPr>
          <w:p w14:paraId="37D75BBE">
            <w:pPr>
              <w:keepNext w:val="0"/>
              <w:keepLines w:val="0"/>
              <w:pageBreakBefore w:val="0"/>
              <w:widowControl/>
              <w:kinsoku/>
              <w:wordWrap/>
              <w:overflowPunct/>
              <w:topLinePunct w:val="0"/>
              <w:bidi w:val="0"/>
              <w:spacing w:line="276" w:lineRule="auto"/>
              <w:rPr>
                <w:rFonts w:ascii="宋体" w:hAnsi="宋体"/>
                <w:sz w:val="21"/>
                <w:szCs w:val="21"/>
              </w:rPr>
            </w:pPr>
            <w:r>
              <w:rPr>
                <w:rFonts w:hint="eastAsia" w:ascii="宋体" w:hAnsi="宋体"/>
                <w:sz w:val="21"/>
                <w:szCs w:val="21"/>
              </w:rPr>
              <w:t>10</w:t>
            </w:r>
          </w:p>
        </w:tc>
        <w:tc>
          <w:tcPr>
            <w:tcW w:w="791" w:type="pct"/>
            <w:vMerge w:val="restart"/>
            <w:shd w:val="clear" w:color="auto" w:fill="auto"/>
            <w:vAlign w:val="center"/>
          </w:tcPr>
          <w:p w14:paraId="2D06C0E1">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水冷型行间空调</w:t>
            </w:r>
          </w:p>
        </w:tc>
        <w:tc>
          <w:tcPr>
            <w:tcW w:w="2662" w:type="pct"/>
            <w:shd w:val="clear" w:color="auto" w:fill="auto"/>
            <w:vAlign w:val="center"/>
          </w:tcPr>
          <w:p w14:paraId="7B37F08F">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1、冷冻水行级精密空在工况：回风温度37℃，回风相对湿度24%，供回水温度15/22℃，机外静压0Pa，制冷量≥40KW，风量≥8500（m3/h）。</w:t>
            </w:r>
          </w:p>
          <w:p w14:paraId="4EF12509">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2. 空调冷冻水盘管应为铜管翅片式换热器，翅片应采用亲水铝箔，以提高换热性能，利于排水和提高防腐性能。</w:t>
            </w:r>
          </w:p>
          <w:p w14:paraId="1A211D40">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3. 空调机采用无级调速EC风机送风风机，应根据附近机柜的温度自动调节送风量和制冷量；每个风机的状态均可以监控，一旦出现故障可以准确定位故障风机。</w:t>
            </w:r>
          </w:p>
        </w:tc>
        <w:tc>
          <w:tcPr>
            <w:tcW w:w="473" w:type="pct"/>
            <w:shd w:val="clear" w:color="auto" w:fill="auto"/>
            <w:vAlign w:val="center"/>
          </w:tcPr>
          <w:p w14:paraId="736233C0">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0B40C09D">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30881A8D">
            <w:pPr>
              <w:keepNext w:val="0"/>
              <w:keepLines w:val="0"/>
              <w:pageBreakBefore w:val="0"/>
              <w:kinsoku/>
              <w:wordWrap/>
              <w:overflowPunct/>
              <w:topLinePunct w:val="0"/>
              <w:bidi w:val="0"/>
              <w:spacing w:line="276" w:lineRule="auto"/>
              <w:rPr>
                <w:rFonts w:hint="eastAsia" w:ascii="宋体" w:hAnsi="宋体"/>
                <w:sz w:val="21"/>
                <w:szCs w:val="21"/>
              </w:rPr>
            </w:pPr>
          </w:p>
        </w:tc>
      </w:tr>
      <w:tr w14:paraId="0FC7C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0A8C08D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E048C9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6876F614">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kern w:val="0"/>
                <w:sz w:val="21"/>
                <w:szCs w:val="21"/>
              </w:rPr>
              <w:t xml:space="preserve">4. </w:t>
            </w:r>
            <w:r>
              <w:rPr>
                <w:rFonts w:hint="eastAsia" w:ascii="宋体" w:hAnsi="宋体"/>
                <w:sz w:val="21"/>
                <w:szCs w:val="21"/>
              </w:rPr>
              <w:t>精密空调应具有良好的防雷性能，防雷能力应不低于6kva。</w:t>
            </w:r>
          </w:p>
          <w:p w14:paraId="78FD410A">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5. 空调机组应安装空气过滤器，空气过滤器应便于更换，滤网可反复清洗和更换，空气过滤器应具有脏堵检测及报警功能。</w:t>
            </w:r>
          </w:p>
        </w:tc>
        <w:tc>
          <w:tcPr>
            <w:tcW w:w="473" w:type="pct"/>
            <w:shd w:val="clear" w:color="auto" w:fill="auto"/>
            <w:vAlign w:val="center"/>
          </w:tcPr>
          <w:p w14:paraId="6F17C131">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00BE257B">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09C10C6B">
            <w:pPr>
              <w:keepNext w:val="0"/>
              <w:keepLines w:val="0"/>
              <w:pageBreakBefore w:val="0"/>
              <w:kinsoku/>
              <w:wordWrap/>
              <w:overflowPunct/>
              <w:topLinePunct w:val="0"/>
              <w:bidi w:val="0"/>
              <w:spacing w:line="276" w:lineRule="auto"/>
              <w:rPr>
                <w:rFonts w:hint="eastAsia" w:ascii="宋体" w:hAnsi="宋体"/>
                <w:sz w:val="21"/>
                <w:szCs w:val="21"/>
              </w:rPr>
            </w:pPr>
          </w:p>
        </w:tc>
      </w:tr>
      <w:tr w14:paraId="14435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03A66D1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22841C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3D1470B0">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eastAsia="宋体" w:cs="宋体"/>
                <w:b/>
                <w:bCs/>
                <w:color w:val="FF0000"/>
                <w:sz w:val="21"/>
                <w:szCs w:val="21"/>
              </w:rPr>
              <w:t>▲6. 选配加湿功能空调时、加湿应采用高效的湿膜加湿，最大加湿功耗需小于40W。（投标时提供第三方检测机构出具具有“CNAS”或“CMA”标识的检测/检验报告扫描件或复印件，并加盖投标人公章</w:t>
            </w:r>
            <w:r>
              <w:rPr>
                <w:rFonts w:hint="eastAsia" w:ascii="宋体" w:hAnsi="宋体"/>
                <w:b/>
                <w:bCs/>
                <w:color w:val="FF0000"/>
                <w:sz w:val="21"/>
                <w:szCs w:val="21"/>
              </w:rPr>
              <w:t>）</w:t>
            </w:r>
          </w:p>
        </w:tc>
        <w:tc>
          <w:tcPr>
            <w:tcW w:w="473" w:type="pct"/>
            <w:shd w:val="clear" w:color="auto" w:fill="auto"/>
            <w:vAlign w:val="center"/>
          </w:tcPr>
          <w:p w14:paraId="683F64A8">
            <w:pPr>
              <w:keepNext w:val="0"/>
              <w:keepLines w:val="0"/>
              <w:pageBreakBefore w:val="0"/>
              <w:kinsoku/>
              <w:wordWrap/>
              <w:overflowPunct/>
              <w:topLinePunct w:val="0"/>
              <w:bidi w:val="0"/>
              <w:spacing w:line="276" w:lineRule="auto"/>
              <w:rPr>
                <w:rFonts w:ascii="仿宋" w:hAnsi="仿宋" w:eastAsia="仿宋" w:cs="Times New Roman"/>
                <w:b/>
                <w:bCs/>
                <w:color w:val="FF0000"/>
                <w:sz w:val="21"/>
                <w:szCs w:val="21"/>
              </w:rPr>
            </w:pPr>
          </w:p>
        </w:tc>
        <w:tc>
          <w:tcPr>
            <w:tcW w:w="430" w:type="pct"/>
            <w:shd w:val="clear" w:color="auto" w:fill="auto"/>
            <w:vAlign w:val="center"/>
          </w:tcPr>
          <w:p w14:paraId="0C29857E">
            <w:pPr>
              <w:keepNext w:val="0"/>
              <w:keepLines w:val="0"/>
              <w:pageBreakBefore w:val="0"/>
              <w:kinsoku/>
              <w:wordWrap/>
              <w:overflowPunct/>
              <w:topLinePunct w:val="0"/>
              <w:bidi w:val="0"/>
              <w:spacing w:line="276" w:lineRule="auto"/>
              <w:rPr>
                <w:rFonts w:ascii="仿宋" w:hAnsi="仿宋" w:eastAsia="仿宋" w:cs="Times New Roman"/>
                <w:b/>
                <w:bCs/>
                <w:color w:val="FF0000"/>
                <w:sz w:val="21"/>
                <w:szCs w:val="21"/>
              </w:rPr>
            </w:pPr>
          </w:p>
        </w:tc>
        <w:tc>
          <w:tcPr>
            <w:tcW w:w="399" w:type="pct"/>
            <w:shd w:val="clear" w:color="auto" w:fill="auto"/>
            <w:vAlign w:val="center"/>
          </w:tcPr>
          <w:p w14:paraId="18230D44">
            <w:pPr>
              <w:keepNext w:val="0"/>
              <w:keepLines w:val="0"/>
              <w:pageBreakBefore w:val="0"/>
              <w:kinsoku/>
              <w:wordWrap/>
              <w:overflowPunct/>
              <w:topLinePunct w:val="0"/>
              <w:bidi w:val="0"/>
              <w:spacing w:line="276" w:lineRule="auto"/>
              <w:rPr>
                <w:rFonts w:ascii="仿宋" w:hAnsi="仿宋" w:eastAsia="仿宋" w:cs="Times New Roman"/>
                <w:b/>
                <w:bCs/>
                <w:color w:val="FF0000"/>
                <w:sz w:val="21"/>
                <w:szCs w:val="21"/>
              </w:rPr>
            </w:pPr>
          </w:p>
        </w:tc>
      </w:tr>
      <w:tr w14:paraId="58893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648484E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98968A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438F8846">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7</w:t>
            </w:r>
            <w:r>
              <w:rPr>
                <w:rFonts w:hint="eastAsia" w:ascii="宋体" w:hAnsi="宋体"/>
                <w:sz w:val="21"/>
                <w:szCs w:val="21"/>
              </w:rPr>
              <w:t>. 精密空调机组的额定电源规格应该为220~240V、1Ph、50/60Hz；电压允许波动范围：190~260V ；频率允许波动范围±5 Hz（45~65Hz）；应能按要求自动调节室内温、湿度，温度调节范围：+18℃~ +45℃（回风），+15℃~ +35℃（送风）；温度调节精度：±1℃，温度变化率&lt; 5℃/小时；温、湿度波动超限应能发出报警信号。</w:t>
            </w:r>
          </w:p>
          <w:p w14:paraId="61AD93F9">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8</w:t>
            </w:r>
            <w:r>
              <w:rPr>
                <w:rFonts w:hint="eastAsia" w:ascii="宋体" w:hAnsi="宋体"/>
                <w:sz w:val="21"/>
                <w:szCs w:val="21"/>
              </w:rPr>
              <w:t>. 空调机组应采用≧</w:t>
            </w:r>
            <w:r>
              <w:rPr>
                <w:rFonts w:hint="eastAsia" w:ascii="宋体" w:hAnsi="宋体"/>
                <w:sz w:val="21"/>
                <w:szCs w:val="21"/>
                <w:lang w:val="en-US" w:eastAsia="zh-CN"/>
              </w:rPr>
              <w:t>2</w:t>
            </w:r>
            <w:r>
              <w:rPr>
                <w:rFonts w:hint="eastAsia" w:ascii="宋体" w:hAnsi="宋体"/>
                <w:sz w:val="21"/>
                <w:szCs w:val="21"/>
              </w:rPr>
              <w:t>个高效、节能、无级调速EC风机送风，应根据附近机柜的温度自动调节送风量和制冷量。每个风机的状态均可以监控，一旦出现故障可以准确定位故障风机。</w:t>
            </w:r>
          </w:p>
        </w:tc>
        <w:tc>
          <w:tcPr>
            <w:tcW w:w="473" w:type="pct"/>
            <w:shd w:val="clear" w:color="auto" w:fill="auto"/>
            <w:vAlign w:val="center"/>
          </w:tcPr>
          <w:p w14:paraId="2785A32D">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430" w:type="pct"/>
            <w:shd w:val="clear" w:color="auto" w:fill="auto"/>
            <w:vAlign w:val="center"/>
          </w:tcPr>
          <w:p w14:paraId="0D902C44">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399" w:type="pct"/>
            <w:shd w:val="clear" w:color="auto" w:fill="auto"/>
            <w:vAlign w:val="center"/>
          </w:tcPr>
          <w:p w14:paraId="0F3EAD25">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r>
      <w:tr w14:paraId="053FF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283620F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68FBA3F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60186352">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9</w:t>
            </w:r>
            <w:r>
              <w:rPr>
                <w:rFonts w:hint="eastAsia" w:ascii="宋体" w:hAnsi="宋体"/>
                <w:sz w:val="21"/>
                <w:szCs w:val="21"/>
              </w:rPr>
              <w:t>. 具有故障自诊断功能，故障发生后可通过此功能自动判断故障根因，智能排除无关故障原因，指导运维人员快速完成维护，大幅降低运维难度，缩短故障排查时间。</w:t>
            </w:r>
          </w:p>
          <w:p w14:paraId="77C6B400">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0</w:t>
            </w:r>
            <w:r>
              <w:rPr>
                <w:rFonts w:hint="eastAsia" w:ascii="宋体" w:hAnsi="宋体"/>
                <w:sz w:val="21"/>
                <w:szCs w:val="21"/>
              </w:rPr>
              <w:t>. 精密空调应安装在机柜排当中，采用水平送风方式，机房空调的宽度为600mm，深度为1200mm，高度为2000mm。</w:t>
            </w:r>
          </w:p>
          <w:p w14:paraId="7E86A1FF">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1</w:t>
            </w:r>
            <w:r>
              <w:rPr>
                <w:rFonts w:hint="eastAsia" w:ascii="宋体" w:hAnsi="宋体"/>
                <w:sz w:val="21"/>
                <w:szCs w:val="21"/>
              </w:rPr>
              <w:t>. 机组应具有一键式故障信息显示和收集功能，应具有大容量的故障报警和操作日志记录储存的功能，存储历史告警信息不小于1500条，操作日志不小于1000条；机组应具有7英寸 LCD触摸真彩屏，人机交互好，界面生动，简单灵活，监测点足够，能显示30天温湿度彩色曲线，具有图形显示机组内各组件运行状态的功能。</w:t>
            </w:r>
          </w:p>
          <w:p w14:paraId="65CEE77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2</w:t>
            </w:r>
            <w:r>
              <w:rPr>
                <w:rFonts w:hint="eastAsia" w:ascii="宋体" w:hAnsi="宋体"/>
                <w:sz w:val="21"/>
                <w:szCs w:val="21"/>
              </w:rPr>
              <w:t>. 精密空调输入电缆符合GB/T 5023.5-2008、IEC60227-5：2003等中国国家标准；相关配件应包含进回水钢管及保温，配套蝶阀、温度表、过滤器和压力表设备</w:t>
            </w:r>
          </w:p>
        </w:tc>
        <w:tc>
          <w:tcPr>
            <w:tcW w:w="473" w:type="pct"/>
            <w:shd w:val="clear" w:color="auto" w:fill="auto"/>
            <w:vAlign w:val="center"/>
          </w:tcPr>
          <w:p w14:paraId="67BEE9E0">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625BB84F">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7DFA1C28">
            <w:pPr>
              <w:keepNext w:val="0"/>
              <w:keepLines w:val="0"/>
              <w:pageBreakBefore w:val="0"/>
              <w:kinsoku/>
              <w:wordWrap/>
              <w:overflowPunct/>
              <w:topLinePunct w:val="0"/>
              <w:bidi w:val="0"/>
              <w:spacing w:line="276" w:lineRule="auto"/>
              <w:rPr>
                <w:rFonts w:hint="eastAsia" w:ascii="宋体" w:hAnsi="宋体"/>
                <w:sz w:val="21"/>
                <w:szCs w:val="21"/>
              </w:rPr>
            </w:pPr>
          </w:p>
        </w:tc>
      </w:tr>
      <w:tr w14:paraId="402A7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restart"/>
            <w:shd w:val="clear" w:color="auto" w:fill="auto"/>
            <w:vAlign w:val="center"/>
          </w:tcPr>
          <w:p w14:paraId="526FD617">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11</w:t>
            </w:r>
          </w:p>
        </w:tc>
        <w:tc>
          <w:tcPr>
            <w:tcW w:w="791" w:type="pct"/>
            <w:vMerge w:val="restart"/>
            <w:shd w:val="clear" w:color="auto" w:fill="auto"/>
            <w:vAlign w:val="center"/>
          </w:tcPr>
          <w:p w14:paraId="73F7CB48">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水冷型房间级空调</w:t>
            </w:r>
          </w:p>
        </w:tc>
        <w:tc>
          <w:tcPr>
            <w:tcW w:w="2662" w:type="pct"/>
            <w:shd w:val="clear" w:color="auto" w:fill="auto"/>
            <w:vAlign w:val="center"/>
          </w:tcPr>
          <w:p w14:paraId="303E4138">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此房间级空调用于配电房，标准工况下，制冷量≥95kW，风量≥32000m3/h，送风方式：上送风。参考尺寸（W*D*H）：不大于2730mm*996mm*2280mm。标准工况下制冷量应在不高于在回风温度30℃，回风相对湿度不低于30%，供回水温度不低于15/22℃，机外静压20Pa的条件下测定的。</w:t>
            </w:r>
          </w:p>
        </w:tc>
        <w:tc>
          <w:tcPr>
            <w:tcW w:w="473" w:type="pct"/>
            <w:shd w:val="clear" w:color="auto" w:fill="auto"/>
            <w:vAlign w:val="center"/>
          </w:tcPr>
          <w:p w14:paraId="7A6B4907">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2BEBEF73">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5727E816">
            <w:pPr>
              <w:keepNext w:val="0"/>
              <w:keepLines w:val="0"/>
              <w:pageBreakBefore w:val="0"/>
              <w:kinsoku/>
              <w:wordWrap/>
              <w:overflowPunct/>
              <w:topLinePunct w:val="0"/>
              <w:bidi w:val="0"/>
              <w:spacing w:line="276" w:lineRule="auto"/>
              <w:rPr>
                <w:rFonts w:hint="eastAsia" w:ascii="宋体" w:hAnsi="宋体"/>
                <w:sz w:val="21"/>
                <w:szCs w:val="21"/>
              </w:rPr>
            </w:pPr>
          </w:p>
        </w:tc>
      </w:tr>
      <w:tr w14:paraId="379C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shd w:val="clear" w:color="auto" w:fill="auto"/>
            <w:vAlign w:val="center"/>
          </w:tcPr>
          <w:p w14:paraId="328224A0">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791" w:type="pct"/>
            <w:vMerge w:val="continue"/>
            <w:shd w:val="clear" w:color="auto" w:fill="auto"/>
            <w:vAlign w:val="center"/>
          </w:tcPr>
          <w:p w14:paraId="31EE721A">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2662" w:type="pct"/>
            <w:shd w:val="clear" w:color="auto" w:fill="auto"/>
            <w:vAlign w:val="center"/>
          </w:tcPr>
          <w:p w14:paraId="44050F41">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▲2. 此房间级空调用于电池间，标准工况下，制冷量≥21.1kW，风量≥11000m3/h。参考尺寸（W*D*H）：不大于1130mm*996mm*2280mm。送风方式：上送。标准工况下制冷量应在不高于在回风温度25℃，回风相对湿度不低于30%，供回水温度不低于15/22℃，机外静压20Pa的条件下测定的。</w:t>
            </w:r>
          </w:p>
        </w:tc>
        <w:tc>
          <w:tcPr>
            <w:tcW w:w="473" w:type="pct"/>
            <w:shd w:val="clear" w:color="auto" w:fill="auto"/>
            <w:vAlign w:val="center"/>
          </w:tcPr>
          <w:p w14:paraId="476D796C">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012A6993">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7D98C738">
            <w:pPr>
              <w:keepNext w:val="0"/>
              <w:keepLines w:val="0"/>
              <w:pageBreakBefore w:val="0"/>
              <w:kinsoku/>
              <w:wordWrap/>
              <w:overflowPunct/>
              <w:topLinePunct w:val="0"/>
              <w:bidi w:val="0"/>
              <w:spacing w:line="276" w:lineRule="auto"/>
              <w:rPr>
                <w:rFonts w:hint="eastAsia" w:ascii="宋体" w:hAnsi="宋体"/>
                <w:sz w:val="21"/>
                <w:szCs w:val="21"/>
              </w:rPr>
            </w:pPr>
          </w:p>
        </w:tc>
      </w:tr>
      <w:tr w14:paraId="556FB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shd w:val="clear" w:color="auto" w:fill="auto"/>
            <w:vAlign w:val="center"/>
          </w:tcPr>
          <w:p w14:paraId="0DDA4B25">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791" w:type="pct"/>
            <w:vMerge w:val="continue"/>
            <w:shd w:val="clear" w:color="auto" w:fill="auto"/>
            <w:vAlign w:val="center"/>
          </w:tcPr>
          <w:p w14:paraId="53E84494">
            <w:pPr>
              <w:keepNext w:val="0"/>
              <w:keepLines w:val="0"/>
              <w:pageBreakBefore w:val="0"/>
              <w:widowControl/>
              <w:kinsoku/>
              <w:wordWrap/>
              <w:overflowPunct/>
              <w:topLinePunct w:val="0"/>
              <w:bidi w:val="0"/>
              <w:spacing w:line="276" w:lineRule="auto"/>
              <w:jc w:val="center"/>
              <w:rPr>
                <w:rFonts w:ascii="宋体" w:hAnsi="宋体"/>
                <w:sz w:val="21"/>
                <w:szCs w:val="21"/>
              </w:rPr>
            </w:pPr>
          </w:p>
        </w:tc>
        <w:tc>
          <w:tcPr>
            <w:tcW w:w="2662" w:type="pct"/>
            <w:shd w:val="clear" w:color="auto" w:fill="auto"/>
            <w:vAlign w:val="center"/>
          </w:tcPr>
          <w:p w14:paraId="794633D7">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3. 空调机采用无级调速EC风机送风风机，可根据附近机柜的温度自动调节送风量和制冷量。精密空调应具有良好的防雷性能，防雷能力应不低于6kva。</w:t>
            </w:r>
          </w:p>
          <w:p w14:paraId="677F01AC">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4. 空调机组应安装空气过滤器，空气过滤器应便于更换，滤网可反复清洗和更换，空气过滤器应具有脏堵检测及报警功能。</w:t>
            </w:r>
          </w:p>
        </w:tc>
        <w:tc>
          <w:tcPr>
            <w:tcW w:w="473" w:type="pct"/>
            <w:shd w:val="clear" w:color="auto" w:fill="auto"/>
            <w:vAlign w:val="center"/>
          </w:tcPr>
          <w:p w14:paraId="5DDE847C">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59F52E8D">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0E03E08F">
            <w:pPr>
              <w:keepNext w:val="0"/>
              <w:keepLines w:val="0"/>
              <w:pageBreakBefore w:val="0"/>
              <w:kinsoku/>
              <w:wordWrap/>
              <w:overflowPunct/>
              <w:topLinePunct w:val="0"/>
              <w:bidi w:val="0"/>
              <w:spacing w:line="276" w:lineRule="auto"/>
              <w:rPr>
                <w:rFonts w:hint="eastAsia" w:ascii="宋体" w:hAnsi="宋体"/>
                <w:sz w:val="21"/>
                <w:szCs w:val="21"/>
              </w:rPr>
            </w:pPr>
          </w:p>
        </w:tc>
      </w:tr>
      <w:tr w14:paraId="462BE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05B4A80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527CAB8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019322EF">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5</w:t>
            </w:r>
            <w:r>
              <w:rPr>
                <w:rFonts w:hint="eastAsia" w:ascii="宋体" w:hAnsi="宋体"/>
                <w:sz w:val="21"/>
                <w:szCs w:val="21"/>
              </w:rPr>
              <w:t>. 精密空调机组的输入电压允许波动范围：380V ±10%；频率允许波动范围频率：50/60 Hz±2 Hz。</w:t>
            </w:r>
          </w:p>
          <w:p w14:paraId="24C1AD15">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6</w:t>
            </w:r>
            <w:r>
              <w:rPr>
                <w:rFonts w:hint="eastAsia" w:ascii="宋体" w:hAnsi="宋体"/>
                <w:sz w:val="21"/>
                <w:szCs w:val="21"/>
              </w:rPr>
              <w:t>. 精密空调应能按要求自动调节室内温、湿度，温度调节范围：+15℃~ +45℃；温度调节精度：±1℃，温度变化率&lt; 5℃/小时；温、湿度波动超限应能发出报警信号。</w:t>
            </w:r>
          </w:p>
        </w:tc>
        <w:tc>
          <w:tcPr>
            <w:tcW w:w="473" w:type="pct"/>
            <w:shd w:val="clear" w:color="auto" w:fill="auto"/>
            <w:vAlign w:val="center"/>
          </w:tcPr>
          <w:p w14:paraId="02790E77">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430" w:type="pct"/>
            <w:shd w:val="clear" w:color="auto" w:fill="auto"/>
            <w:vAlign w:val="center"/>
          </w:tcPr>
          <w:p w14:paraId="5CF79DDD">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399" w:type="pct"/>
            <w:shd w:val="clear" w:color="auto" w:fill="auto"/>
            <w:vAlign w:val="center"/>
          </w:tcPr>
          <w:p w14:paraId="55ACD69A">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r>
      <w:tr w14:paraId="7FDE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40CBACB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59153B2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34D242F6">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7</w:t>
            </w:r>
            <w:r>
              <w:rPr>
                <w:rFonts w:hint="eastAsia" w:ascii="宋体" w:hAnsi="宋体"/>
                <w:sz w:val="21"/>
                <w:szCs w:val="21"/>
              </w:rPr>
              <w:t>. 具有开机向导调试功能，向导式引导操作人员进行调试，自动采集机组运行数据信息并帮助运维人员评估机组关键部件状态，大幅降低操作难度。</w:t>
            </w:r>
          </w:p>
          <w:p w14:paraId="336487AF">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8</w:t>
            </w:r>
            <w:r>
              <w:rPr>
                <w:rFonts w:hint="eastAsia" w:ascii="宋体" w:hAnsi="宋体"/>
                <w:sz w:val="21"/>
                <w:szCs w:val="21"/>
              </w:rPr>
              <w:t>. 具有故障自诊断功能，故障发生后可通过此功能自动判断故障根因，智能排除无关故障原因，指导运维人员快速完成维护，大幅降低运维难度，缩短故障排查时间。</w:t>
            </w:r>
          </w:p>
          <w:p w14:paraId="1AE6A58C">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9</w:t>
            </w:r>
            <w:r>
              <w:rPr>
                <w:rFonts w:hint="eastAsia" w:ascii="宋体" w:hAnsi="宋体"/>
                <w:sz w:val="21"/>
                <w:szCs w:val="21"/>
              </w:rPr>
              <w:t>. 机组应具有一键式故障信息显示和收集功能，应具有大容量的故障报警和操作日志记录储存的功能，存储历史告警信息不小于1500条，操作日志不小于1000条 。</w:t>
            </w:r>
          </w:p>
          <w:p w14:paraId="46FDC093">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lang w:val="en-US" w:eastAsia="zh-CN"/>
              </w:rPr>
              <w:t>10</w:t>
            </w:r>
            <w:r>
              <w:rPr>
                <w:rFonts w:hint="eastAsia" w:ascii="宋体" w:hAnsi="宋体"/>
                <w:sz w:val="21"/>
                <w:szCs w:val="21"/>
              </w:rPr>
              <w:t>. 机组应具有7英寸 LCD触摸真彩屏，人机交互好，界面生动，简单灵活，监测点足够，能显示30天温湿度彩色曲线，具有图形显示机组内各组件运行状态的功能。</w:t>
            </w:r>
          </w:p>
        </w:tc>
        <w:tc>
          <w:tcPr>
            <w:tcW w:w="473" w:type="pct"/>
            <w:shd w:val="clear" w:color="auto" w:fill="auto"/>
            <w:vAlign w:val="center"/>
          </w:tcPr>
          <w:p w14:paraId="03B69D3E">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430" w:type="pct"/>
            <w:shd w:val="clear" w:color="auto" w:fill="auto"/>
            <w:vAlign w:val="center"/>
          </w:tcPr>
          <w:p w14:paraId="7D4EDADA">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c>
          <w:tcPr>
            <w:tcW w:w="399" w:type="pct"/>
            <w:shd w:val="clear" w:color="auto" w:fill="auto"/>
            <w:vAlign w:val="center"/>
          </w:tcPr>
          <w:p w14:paraId="7D894F39">
            <w:pPr>
              <w:keepNext w:val="0"/>
              <w:keepLines w:val="0"/>
              <w:pageBreakBefore w:val="0"/>
              <w:kinsoku/>
              <w:wordWrap/>
              <w:overflowPunct/>
              <w:topLinePunct w:val="0"/>
              <w:bidi w:val="0"/>
              <w:spacing w:line="276" w:lineRule="auto"/>
              <w:rPr>
                <w:rFonts w:hint="eastAsia" w:ascii="宋体" w:hAnsi="宋体"/>
                <w:sz w:val="21"/>
                <w:szCs w:val="21"/>
                <w:lang w:val="en-US" w:eastAsia="zh-CN"/>
              </w:rPr>
            </w:pPr>
          </w:p>
        </w:tc>
      </w:tr>
      <w:tr w14:paraId="2CB1D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restart"/>
            <w:shd w:val="clear" w:color="auto" w:fill="auto"/>
            <w:vAlign w:val="center"/>
          </w:tcPr>
          <w:p w14:paraId="2BD2435B">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12</w:t>
            </w:r>
          </w:p>
        </w:tc>
        <w:tc>
          <w:tcPr>
            <w:tcW w:w="791" w:type="pct"/>
            <w:vMerge w:val="restart"/>
            <w:shd w:val="clear" w:color="auto" w:fill="auto"/>
            <w:vAlign w:val="center"/>
          </w:tcPr>
          <w:p w14:paraId="28CC0CAF">
            <w:pPr>
              <w:keepNext w:val="0"/>
              <w:keepLines w:val="0"/>
              <w:pageBreakBefore w:val="0"/>
              <w:widowControl/>
              <w:kinsoku/>
              <w:wordWrap/>
              <w:overflowPunct/>
              <w:topLinePunct w:val="0"/>
              <w:bidi w:val="0"/>
              <w:spacing w:line="276" w:lineRule="auto"/>
              <w:jc w:val="center"/>
              <w:rPr>
                <w:rFonts w:ascii="宋体" w:hAnsi="宋体"/>
                <w:sz w:val="21"/>
                <w:szCs w:val="21"/>
              </w:rPr>
            </w:pPr>
            <w:r>
              <w:rPr>
                <w:rFonts w:hint="eastAsia" w:ascii="宋体" w:hAnsi="宋体"/>
                <w:sz w:val="21"/>
                <w:szCs w:val="21"/>
              </w:rPr>
              <w:t>风冷型行间空调</w:t>
            </w:r>
          </w:p>
        </w:tc>
        <w:tc>
          <w:tcPr>
            <w:tcW w:w="2662" w:type="pct"/>
            <w:shd w:val="clear" w:color="auto" w:fill="auto"/>
            <w:vAlign w:val="center"/>
          </w:tcPr>
          <w:p w14:paraId="69D04A96">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1.用于屏蔽机房微模块，总冷量≥60KW，显冷量≥60kW，水平送风，风量≥</w:t>
            </w:r>
            <w:r>
              <w:rPr>
                <w:rFonts w:ascii="宋体" w:hAnsi="宋体"/>
                <w:sz w:val="21"/>
                <w:szCs w:val="21"/>
              </w:rPr>
              <w:t>11</w:t>
            </w:r>
            <w:r>
              <w:rPr>
                <w:rFonts w:hint="eastAsia" w:ascii="宋体" w:hAnsi="宋体"/>
                <w:sz w:val="21"/>
                <w:szCs w:val="21"/>
              </w:rPr>
              <w:t>500 m3/h，尺寸600（W）*1200(D)*2000（H）mm。空调采用高效直流变频压缩机与EC风机。</w:t>
            </w:r>
          </w:p>
        </w:tc>
        <w:tc>
          <w:tcPr>
            <w:tcW w:w="473" w:type="pct"/>
            <w:shd w:val="clear" w:color="auto" w:fill="auto"/>
            <w:vAlign w:val="center"/>
          </w:tcPr>
          <w:p w14:paraId="22BF24C8">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48A98C1B">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3ECC0DDB">
            <w:pPr>
              <w:keepNext w:val="0"/>
              <w:keepLines w:val="0"/>
              <w:pageBreakBefore w:val="0"/>
              <w:kinsoku/>
              <w:wordWrap/>
              <w:overflowPunct/>
              <w:topLinePunct w:val="0"/>
              <w:bidi w:val="0"/>
              <w:spacing w:line="276" w:lineRule="auto"/>
              <w:rPr>
                <w:rFonts w:hint="eastAsia" w:ascii="宋体" w:hAnsi="宋体"/>
                <w:sz w:val="21"/>
                <w:szCs w:val="21"/>
              </w:rPr>
            </w:pPr>
          </w:p>
        </w:tc>
      </w:tr>
      <w:tr w14:paraId="053FA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64AFECF2">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03B0E89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28A61D32">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.加热应采用PTC电加热，再加热量≥6kW。加湿应采用高效的湿膜加湿，加湿量≥3kg/h。</w:t>
            </w:r>
          </w:p>
        </w:tc>
        <w:tc>
          <w:tcPr>
            <w:tcW w:w="473" w:type="pct"/>
            <w:shd w:val="clear" w:color="auto" w:fill="auto"/>
            <w:vAlign w:val="center"/>
          </w:tcPr>
          <w:p w14:paraId="55FE01A7">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65289F9B">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66351BAF">
            <w:pPr>
              <w:keepNext w:val="0"/>
              <w:keepLines w:val="0"/>
              <w:pageBreakBefore w:val="0"/>
              <w:kinsoku/>
              <w:wordWrap/>
              <w:overflowPunct/>
              <w:topLinePunct w:val="0"/>
              <w:bidi w:val="0"/>
              <w:spacing w:line="276" w:lineRule="auto"/>
              <w:rPr>
                <w:rFonts w:hint="eastAsia" w:ascii="宋体" w:hAnsi="宋体"/>
                <w:sz w:val="21"/>
                <w:szCs w:val="21"/>
              </w:rPr>
            </w:pPr>
          </w:p>
        </w:tc>
      </w:tr>
      <w:tr w14:paraId="4C17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7EDEBF5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5D140A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4F78F29F">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.可以实现在≤5%显热制冷量（即显热制冷量≤3250W）且室内高湿度情况下稳定除湿功能，降低高湿环境下数据中心低载运行的设备结露风险。</w:t>
            </w:r>
          </w:p>
        </w:tc>
        <w:tc>
          <w:tcPr>
            <w:tcW w:w="473" w:type="pct"/>
            <w:shd w:val="clear" w:color="auto" w:fill="auto"/>
            <w:vAlign w:val="center"/>
          </w:tcPr>
          <w:p w14:paraId="62761538">
            <w:pPr>
              <w:keepNext w:val="0"/>
              <w:keepLines w:val="0"/>
              <w:pageBreakBefore w:val="0"/>
              <w:kinsoku/>
              <w:wordWrap/>
              <w:overflowPunct/>
              <w:topLinePunct w:val="0"/>
              <w:bidi w:val="0"/>
              <w:spacing w:line="276" w:lineRule="auto"/>
              <w:rPr>
                <w:rFonts w:hint="eastAsia" w:ascii="宋体" w:hAnsi="宋体"/>
                <w:sz w:val="21"/>
                <w:szCs w:val="21"/>
              </w:rPr>
            </w:pPr>
          </w:p>
        </w:tc>
        <w:tc>
          <w:tcPr>
            <w:tcW w:w="430" w:type="pct"/>
            <w:shd w:val="clear" w:color="auto" w:fill="auto"/>
            <w:vAlign w:val="center"/>
          </w:tcPr>
          <w:p w14:paraId="387B353C">
            <w:pPr>
              <w:keepNext w:val="0"/>
              <w:keepLines w:val="0"/>
              <w:pageBreakBefore w:val="0"/>
              <w:kinsoku/>
              <w:wordWrap/>
              <w:overflowPunct/>
              <w:topLinePunct w:val="0"/>
              <w:bidi w:val="0"/>
              <w:spacing w:line="276" w:lineRule="auto"/>
              <w:rPr>
                <w:rFonts w:hint="eastAsia" w:ascii="宋体" w:hAnsi="宋体"/>
                <w:sz w:val="21"/>
                <w:szCs w:val="21"/>
              </w:rPr>
            </w:pPr>
          </w:p>
        </w:tc>
        <w:tc>
          <w:tcPr>
            <w:tcW w:w="399" w:type="pct"/>
            <w:shd w:val="clear" w:color="auto" w:fill="auto"/>
            <w:vAlign w:val="center"/>
          </w:tcPr>
          <w:p w14:paraId="3BA336D1">
            <w:pPr>
              <w:keepNext w:val="0"/>
              <w:keepLines w:val="0"/>
              <w:pageBreakBefore w:val="0"/>
              <w:kinsoku/>
              <w:wordWrap/>
              <w:overflowPunct/>
              <w:topLinePunct w:val="0"/>
              <w:bidi w:val="0"/>
              <w:spacing w:line="276" w:lineRule="auto"/>
              <w:rPr>
                <w:rFonts w:hint="eastAsia" w:ascii="宋体" w:hAnsi="宋体"/>
                <w:sz w:val="21"/>
                <w:szCs w:val="21"/>
              </w:rPr>
            </w:pPr>
          </w:p>
        </w:tc>
      </w:tr>
      <w:tr w14:paraId="66694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6A2FB06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5A3DE8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1ADAAD11">
            <w:pPr>
              <w:keepNext w:val="0"/>
              <w:keepLines w:val="0"/>
              <w:pageBreakBefore w:val="0"/>
              <w:kinsoku/>
              <w:wordWrap/>
              <w:overflowPunct/>
              <w:topLinePunct w:val="0"/>
              <w:bidi w:val="0"/>
              <w:spacing w:line="276" w:lineRule="auto"/>
              <w:rPr>
                <w:rFonts w:ascii="宋体" w:hAnsi="宋体"/>
                <w:sz w:val="21"/>
                <w:szCs w:val="21"/>
              </w:rPr>
            </w:pPr>
            <w:r>
              <w:rPr>
                <w:rFonts w:ascii="宋体" w:hAnsi="宋体"/>
                <w:sz w:val="21"/>
                <w:szCs w:val="21"/>
              </w:rPr>
              <w:t>4</w:t>
            </w:r>
            <w:r>
              <w:rPr>
                <w:rFonts w:hint="eastAsia" w:ascii="宋体" w:hAnsi="宋体"/>
                <w:sz w:val="21"/>
                <w:szCs w:val="21"/>
              </w:rPr>
              <w:t>.应设置≥7英寸真彩触摸屏，可实时显示冷量、风量等关键参数信息，易于操作和运维管理，并具备访问日志回溯功能，可显示用户登陆及设置修改历史，存储历史记录信息可达200条，存储历史告警信息≥500条。具备联动与群控功能，同一区域可将≥30套机组进行统一控制管理。</w:t>
            </w:r>
          </w:p>
        </w:tc>
        <w:tc>
          <w:tcPr>
            <w:tcW w:w="473" w:type="pct"/>
            <w:shd w:val="clear" w:color="auto" w:fill="auto"/>
            <w:vAlign w:val="center"/>
          </w:tcPr>
          <w:p w14:paraId="2F2752A1">
            <w:pPr>
              <w:keepNext w:val="0"/>
              <w:keepLines w:val="0"/>
              <w:pageBreakBefore w:val="0"/>
              <w:kinsoku/>
              <w:wordWrap/>
              <w:overflowPunct/>
              <w:topLinePunct w:val="0"/>
              <w:bidi w:val="0"/>
              <w:spacing w:line="276" w:lineRule="auto"/>
              <w:rPr>
                <w:rFonts w:ascii="宋体" w:hAnsi="宋体"/>
                <w:sz w:val="21"/>
                <w:szCs w:val="21"/>
              </w:rPr>
            </w:pPr>
          </w:p>
        </w:tc>
        <w:tc>
          <w:tcPr>
            <w:tcW w:w="430" w:type="pct"/>
            <w:shd w:val="clear" w:color="auto" w:fill="auto"/>
            <w:vAlign w:val="center"/>
          </w:tcPr>
          <w:p w14:paraId="61DCF878">
            <w:pPr>
              <w:keepNext w:val="0"/>
              <w:keepLines w:val="0"/>
              <w:pageBreakBefore w:val="0"/>
              <w:kinsoku/>
              <w:wordWrap/>
              <w:overflowPunct/>
              <w:topLinePunct w:val="0"/>
              <w:bidi w:val="0"/>
              <w:spacing w:line="276" w:lineRule="auto"/>
              <w:rPr>
                <w:rFonts w:ascii="宋体" w:hAnsi="宋体"/>
                <w:sz w:val="21"/>
                <w:szCs w:val="21"/>
              </w:rPr>
            </w:pPr>
          </w:p>
        </w:tc>
        <w:tc>
          <w:tcPr>
            <w:tcW w:w="399" w:type="pct"/>
            <w:shd w:val="clear" w:color="auto" w:fill="auto"/>
            <w:vAlign w:val="center"/>
          </w:tcPr>
          <w:p w14:paraId="7BF1AE51">
            <w:pPr>
              <w:keepNext w:val="0"/>
              <w:keepLines w:val="0"/>
              <w:pageBreakBefore w:val="0"/>
              <w:kinsoku/>
              <w:wordWrap/>
              <w:overflowPunct/>
              <w:topLinePunct w:val="0"/>
              <w:bidi w:val="0"/>
              <w:spacing w:line="276" w:lineRule="auto"/>
              <w:rPr>
                <w:rFonts w:ascii="宋体" w:hAnsi="宋体"/>
                <w:sz w:val="21"/>
                <w:szCs w:val="21"/>
              </w:rPr>
            </w:pPr>
          </w:p>
        </w:tc>
      </w:tr>
      <w:tr w14:paraId="62DE8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302E814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1545309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2E12C81B">
            <w:pPr>
              <w:keepNext w:val="0"/>
              <w:keepLines w:val="0"/>
              <w:pageBreakBefore w:val="0"/>
              <w:kinsoku/>
              <w:wordWrap/>
              <w:overflowPunct/>
              <w:topLinePunct w:val="0"/>
              <w:bidi w:val="0"/>
              <w:spacing w:line="276" w:lineRule="auto"/>
              <w:rPr>
                <w:rFonts w:ascii="宋体" w:hAnsi="宋体"/>
                <w:sz w:val="21"/>
                <w:szCs w:val="21"/>
              </w:rPr>
            </w:pPr>
            <w:r>
              <w:rPr>
                <w:rFonts w:ascii="宋体" w:hAnsi="宋体"/>
                <w:sz w:val="21"/>
                <w:szCs w:val="21"/>
              </w:rPr>
              <w:t>5</w:t>
            </w:r>
            <w:r>
              <w:rPr>
                <w:rFonts w:hint="eastAsia" w:ascii="宋体" w:hAnsi="宋体"/>
                <w:sz w:val="21"/>
                <w:szCs w:val="21"/>
              </w:rPr>
              <w:t>. 机组主控单元采用模块化方式设计；应具有RS485/FE通讯接口，对系统进行远程巡检和参数的设置，及提供Modbus/SNMP开放协议；机组应标配防雷器，要求室内外机防浪涌电压值≥6kV，安全可靠。</w:t>
            </w:r>
          </w:p>
        </w:tc>
        <w:tc>
          <w:tcPr>
            <w:tcW w:w="473" w:type="pct"/>
            <w:shd w:val="clear" w:color="auto" w:fill="auto"/>
            <w:vAlign w:val="center"/>
          </w:tcPr>
          <w:p w14:paraId="3562E591">
            <w:pPr>
              <w:keepNext w:val="0"/>
              <w:keepLines w:val="0"/>
              <w:pageBreakBefore w:val="0"/>
              <w:kinsoku/>
              <w:wordWrap/>
              <w:overflowPunct/>
              <w:topLinePunct w:val="0"/>
              <w:bidi w:val="0"/>
              <w:spacing w:line="276" w:lineRule="auto"/>
              <w:rPr>
                <w:rFonts w:ascii="宋体" w:hAnsi="宋体"/>
                <w:sz w:val="21"/>
                <w:szCs w:val="21"/>
              </w:rPr>
            </w:pPr>
          </w:p>
        </w:tc>
        <w:tc>
          <w:tcPr>
            <w:tcW w:w="430" w:type="pct"/>
            <w:shd w:val="clear" w:color="auto" w:fill="auto"/>
            <w:vAlign w:val="center"/>
          </w:tcPr>
          <w:p w14:paraId="6B35239E">
            <w:pPr>
              <w:keepNext w:val="0"/>
              <w:keepLines w:val="0"/>
              <w:pageBreakBefore w:val="0"/>
              <w:kinsoku/>
              <w:wordWrap/>
              <w:overflowPunct/>
              <w:topLinePunct w:val="0"/>
              <w:bidi w:val="0"/>
              <w:spacing w:line="276" w:lineRule="auto"/>
              <w:rPr>
                <w:rFonts w:ascii="宋体" w:hAnsi="宋体"/>
                <w:sz w:val="21"/>
                <w:szCs w:val="21"/>
              </w:rPr>
            </w:pPr>
          </w:p>
        </w:tc>
        <w:tc>
          <w:tcPr>
            <w:tcW w:w="399" w:type="pct"/>
            <w:shd w:val="clear" w:color="auto" w:fill="auto"/>
            <w:vAlign w:val="center"/>
          </w:tcPr>
          <w:p w14:paraId="7859A913">
            <w:pPr>
              <w:keepNext w:val="0"/>
              <w:keepLines w:val="0"/>
              <w:pageBreakBefore w:val="0"/>
              <w:kinsoku/>
              <w:wordWrap/>
              <w:overflowPunct/>
              <w:topLinePunct w:val="0"/>
              <w:bidi w:val="0"/>
              <w:spacing w:line="276" w:lineRule="auto"/>
              <w:rPr>
                <w:rFonts w:ascii="宋体" w:hAnsi="宋体"/>
                <w:sz w:val="21"/>
                <w:szCs w:val="21"/>
              </w:rPr>
            </w:pPr>
          </w:p>
        </w:tc>
      </w:tr>
      <w:tr w14:paraId="6CE4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2897949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995766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5F5E9640">
            <w:pPr>
              <w:keepNext w:val="0"/>
              <w:keepLines w:val="0"/>
              <w:pageBreakBefore w:val="0"/>
              <w:kinsoku/>
              <w:wordWrap/>
              <w:overflowPunct/>
              <w:topLinePunct w:val="0"/>
              <w:bidi w:val="0"/>
              <w:spacing w:line="276" w:lineRule="auto"/>
              <w:rPr>
                <w:rFonts w:ascii="宋体" w:hAnsi="宋体"/>
                <w:color w:val="FF0000"/>
                <w:sz w:val="21"/>
                <w:szCs w:val="21"/>
              </w:rPr>
            </w:pPr>
            <w:r>
              <w:rPr>
                <w:rFonts w:hint="eastAsia" w:ascii="宋体" w:hAnsi="宋体"/>
                <w:color w:val="FF0000"/>
                <w:sz w:val="21"/>
                <w:szCs w:val="21"/>
              </w:rPr>
              <w:t>▲</w:t>
            </w:r>
            <w:r>
              <w:rPr>
                <w:rFonts w:ascii="宋体" w:hAnsi="宋体"/>
                <w:b/>
                <w:bCs/>
                <w:color w:val="FF0000"/>
                <w:sz w:val="21"/>
                <w:szCs w:val="21"/>
              </w:rPr>
              <w:t>6</w:t>
            </w:r>
            <w:r>
              <w:rPr>
                <w:rFonts w:hint="eastAsia" w:ascii="宋体" w:hAnsi="宋体"/>
                <w:b/>
                <w:bCs/>
                <w:color w:val="FF0000"/>
                <w:sz w:val="21"/>
                <w:szCs w:val="21"/>
              </w:rPr>
              <w:t>. 按照标准YD5083-2005《电信设备抗地震性能检测规范》要求，通过不低于9烈度抗震检验。（投标时提供第三方检测机构出具具有“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复印件，并加盖</w:t>
            </w:r>
            <w:r>
              <w:rPr>
                <w:rFonts w:hint="eastAsia" w:ascii="宋体" w:hAnsi="宋体"/>
                <w:b/>
                <w:bCs/>
                <w:color w:val="FF0000"/>
                <w:sz w:val="21"/>
                <w:szCs w:val="21"/>
              </w:rPr>
              <w:t>投标人</w:t>
            </w:r>
            <w:r>
              <w:rPr>
                <w:rFonts w:ascii="宋体" w:hAnsi="宋体"/>
                <w:b/>
                <w:bCs/>
                <w:color w:val="FF0000"/>
                <w:sz w:val="21"/>
                <w:szCs w:val="21"/>
              </w:rPr>
              <w:t>公章</w:t>
            </w:r>
            <w:r>
              <w:rPr>
                <w:rFonts w:hint="eastAsia" w:ascii="宋体" w:hAnsi="宋体"/>
                <w:b/>
                <w:bCs/>
                <w:color w:val="FF0000"/>
                <w:sz w:val="21"/>
                <w:szCs w:val="21"/>
              </w:rPr>
              <w:t>）</w:t>
            </w:r>
          </w:p>
        </w:tc>
        <w:tc>
          <w:tcPr>
            <w:tcW w:w="473" w:type="pct"/>
            <w:shd w:val="clear" w:color="auto" w:fill="auto"/>
            <w:vAlign w:val="center"/>
          </w:tcPr>
          <w:p w14:paraId="58685930">
            <w:pPr>
              <w:keepNext w:val="0"/>
              <w:keepLines w:val="0"/>
              <w:pageBreakBefore w:val="0"/>
              <w:kinsoku/>
              <w:wordWrap/>
              <w:overflowPunct/>
              <w:topLinePunct w:val="0"/>
              <w:bidi w:val="0"/>
              <w:spacing w:line="276" w:lineRule="auto"/>
              <w:rPr>
                <w:rFonts w:hint="eastAsia" w:ascii="宋体" w:hAnsi="宋体"/>
                <w:color w:val="FF0000"/>
                <w:sz w:val="21"/>
                <w:szCs w:val="21"/>
              </w:rPr>
            </w:pPr>
          </w:p>
        </w:tc>
        <w:tc>
          <w:tcPr>
            <w:tcW w:w="430" w:type="pct"/>
            <w:shd w:val="clear" w:color="auto" w:fill="auto"/>
            <w:vAlign w:val="center"/>
          </w:tcPr>
          <w:p w14:paraId="58DA6AD1">
            <w:pPr>
              <w:keepNext w:val="0"/>
              <w:keepLines w:val="0"/>
              <w:pageBreakBefore w:val="0"/>
              <w:kinsoku/>
              <w:wordWrap/>
              <w:overflowPunct/>
              <w:topLinePunct w:val="0"/>
              <w:bidi w:val="0"/>
              <w:spacing w:line="276" w:lineRule="auto"/>
              <w:rPr>
                <w:rFonts w:hint="eastAsia" w:ascii="宋体" w:hAnsi="宋体"/>
                <w:color w:val="FF0000"/>
                <w:sz w:val="21"/>
                <w:szCs w:val="21"/>
              </w:rPr>
            </w:pPr>
          </w:p>
        </w:tc>
        <w:tc>
          <w:tcPr>
            <w:tcW w:w="399" w:type="pct"/>
            <w:shd w:val="clear" w:color="auto" w:fill="auto"/>
            <w:vAlign w:val="center"/>
          </w:tcPr>
          <w:p w14:paraId="1CFE2047">
            <w:pPr>
              <w:keepNext w:val="0"/>
              <w:keepLines w:val="0"/>
              <w:pageBreakBefore w:val="0"/>
              <w:kinsoku/>
              <w:wordWrap/>
              <w:overflowPunct/>
              <w:topLinePunct w:val="0"/>
              <w:bidi w:val="0"/>
              <w:spacing w:line="276" w:lineRule="auto"/>
              <w:rPr>
                <w:rFonts w:hint="eastAsia" w:ascii="宋体" w:hAnsi="宋体"/>
                <w:color w:val="FF0000"/>
                <w:sz w:val="21"/>
                <w:szCs w:val="21"/>
              </w:rPr>
            </w:pPr>
          </w:p>
        </w:tc>
      </w:tr>
      <w:tr w14:paraId="572E7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continue"/>
            <w:vAlign w:val="center"/>
          </w:tcPr>
          <w:p w14:paraId="5ADFF56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03E6ADB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vAlign w:val="center"/>
          </w:tcPr>
          <w:p w14:paraId="02208C9A">
            <w:pPr>
              <w:keepNext w:val="0"/>
              <w:keepLines w:val="0"/>
              <w:pageBreakBefore w:val="0"/>
              <w:kinsoku/>
              <w:wordWrap/>
              <w:overflowPunct/>
              <w:topLinePunct w:val="0"/>
              <w:bidi w:val="0"/>
              <w:spacing w:line="276" w:lineRule="auto"/>
              <w:rPr>
                <w:rFonts w:ascii="宋体" w:hAnsi="宋体"/>
                <w:color w:val="FF0000"/>
                <w:sz w:val="21"/>
                <w:szCs w:val="21"/>
              </w:rPr>
            </w:pPr>
            <w:r>
              <w:rPr>
                <w:rFonts w:hint="eastAsia" w:ascii="宋体" w:hAnsi="宋体"/>
                <w:color w:val="FF0000"/>
                <w:sz w:val="21"/>
                <w:szCs w:val="21"/>
              </w:rPr>
              <w:t>▲</w:t>
            </w:r>
            <w:r>
              <w:rPr>
                <w:rFonts w:ascii="宋体" w:hAnsi="宋体"/>
                <w:b/>
                <w:bCs/>
                <w:color w:val="FF0000"/>
                <w:sz w:val="21"/>
                <w:szCs w:val="21"/>
              </w:rPr>
              <w:t>7</w:t>
            </w:r>
            <w:r>
              <w:rPr>
                <w:rFonts w:hint="eastAsia" w:ascii="宋体" w:hAnsi="宋体"/>
                <w:b/>
                <w:bCs/>
                <w:color w:val="FF0000"/>
                <w:sz w:val="21"/>
                <w:szCs w:val="21"/>
              </w:rPr>
              <w:t>.产品应符合节能认证，并能提供第三方检测机构出具的节能认证证书。（投标时提供上述证书扫描件或复印件，并加盖投标人公章）</w:t>
            </w:r>
          </w:p>
        </w:tc>
        <w:tc>
          <w:tcPr>
            <w:tcW w:w="473" w:type="pct"/>
            <w:shd w:val="clear" w:color="auto" w:fill="auto"/>
            <w:vAlign w:val="center"/>
          </w:tcPr>
          <w:p w14:paraId="044C9D1A">
            <w:pPr>
              <w:keepNext w:val="0"/>
              <w:keepLines w:val="0"/>
              <w:pageBreakBefore w:val="0"/>
              <w:kinsoku/>
              <w:wordWrap/>
              <w:overflowPunct/>
              <w:topLinePunct w:val="0"/>
              <w:bidi w:val="0"/>
              <w:spacing w:line="276" w:lineRule="auto"/>
              <w:rPr>
                <w:rFonts w:hint="eastAsia" w:ascii="宋体" w:hAnsi="宋体"/>
                <w:color w:val="FF0000"/>
                <w:sz w:val="21"/>
                <w:szCs w:val="21"/>
              </w:rPr>
            </w:pPr>
          </w:p>
        </w:tc>
        <w:tc>
          <w:tcPr>
            <w:tcW w:w="430" w:type="pct"/>
            <w:shd w:val="clear" w:color="auto" w:fill="auto"/>
            <w:vAlign w:val="center"/>
          </w:tcPr>
          <w:p w14:paraId="4DA36986">
            <w:pPr>
              <w:keepNext w:val="0"/>
              <w:keepLines w:val="0"/>
              <w:pageBreakBefore w:val="0"/>
              <w:kinsoku/>
              <w:wordWrap/>
              <w:overflowPunct/>
              <w:topLinePunct w:val="0"/>
              <w:bidi w:val="0"/>
              <w:spacing w:line="276" w:lineRule="auto"/>
              <w:rPr>
                <w:rFonts w:hint="eastAsia" w:ascii="宋体" w:hAnsi="宋体"/>
                <w:color w:val="FF0000"/>
                <w:sz w:val="21"/>
                <w:szCs w:val="21"/>
              </w:rPr>
            </w:pPr>
          </w:p>
        </w:tc>
        <w:tc>
          <w:tcPr>
            <w:tcW w:w="399" w:type="pct"/>
            <w:shd w:val="clear" w:color="auto" w:fill="auto"/>
            <w:vAlign w:val="center"/>
          </w:tcPr>
          <w:p w14:paraId="64C54951">
            <w:pPr>
              <w:keepNext w:val="0"/>
              <w:keepLines w:val="0"/>
              <w:pageBreakBefore w:val="0"/>
              <w:kinsoku/>
              <w:wordWrap/>
              <w:overflowPunct/>
              <w:topLinePunct w:val="0"/>
              <w:bidi w:val="0"/>
              <w:spacing w:line="276" w:lineRule="auto"/>
              <w:rPr>
                <w:rFonts w:hint="eastAsia" w:ascii="宋体" w:hAnsi="宋体"/>
                <w:color w:val="FF0000"/>
                <w:sz w:val="21"/>
                <w:szCs w:val="21"/>
              </w:rPr>
            </w:pPr>
          </w:p>
        </w:tc>
      </w:tr>
      <w:tr w14:paraId="5F67F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 w:hRule="atLeast"/>
          <w:jc w:val="center"/>
        </w:trPr>
        <w:tc>
          <w:tcPr>
            <w:tcW w:w="242" w:type="pct"/>
            <w:vAlign w:val="center"/>
          </w:tcPr>
          <w:p w14:paraId="0ABC7DA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13</w:t>
            </w:r>
          </w:p>
        </w:tc>
        <w:tc>
          <w:tcPr>
            <w:tcW w:w="791" w:type="pct"/>
            <w:vAlign w:val="center"/>
          </w:tcPr>
          <w:p w14:paraId="520969C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highlight w:val="yellow"/>
              </w:rPr>
              <w:t>★屏蔽机房</w:t>
            </w:r>
            <w:r>
              <w:rPr>
                <w:rFonts w:hint="eastAsia" w:ascii="宋体" w:hAnsi="宋体"/>
                <w:kern w:val="0"/>
                <w:sz w:val="21"/>
                <w:szCs w:val="21"/>
              </w:rPr>
              <w:t>（含一个微模块，≥</w:t>
            </w:r>
            <w:r>
              <w:rPr>
                <w:rFonts w:ascii="宋体" w:hAnsi="宋体"/>
                <w:kern w:val="0"/>
                <w:sz w:val="21"/>
                <w:szCs w:val="21"/>
              </w:rPr>
              <w:t>20</w:t>
            </w:r>
            <w:r>
              <w:rPr>
                <w:rFonts w:hint="eastAsia" w:ascii="宋体" w:hAnsi="宋体"/>
                <w:kern w:val="0"/>
                <w:sz w:val="21"/>
                <w:szCs w:val="21"/>
              </w:rPr>
              <w:t>个屏蔽机柜）</w:t>
            </w:r>
          </w:p>
        </w:tc>
        <w:tc>
          <w:tcPr>
            <w:tcW w:w="2662" w:type="pct"/>
            <w:vAlign w:val="center"/>
          </w:tcPr>
          <w:p w14:paraId="50AECCD8">
            <w:pPr>
              <w:keepNext w:val="0"/>
              <w:keepLines w:val="0"/>
              <w:pageBreakBefore w:val="0"/>
              <w:kinsoku/>
              <w:wordWrap/>
              <w:overflowPunct/>
              <w:topLinePunct w:val="0"/>
              <w:bidi w:val="0"/>
              <w:spacing w:line="276" w:lineRule="auto"/>
              <w:ind w:right="36" w:rightChars="17"/>
              <w:jc w:val="left"/>
              <w:rPr>
                <w:rFonts w:hint="eastAsia" w:ascii="宋体" w:hAnsi="宋体" w:eastAsia="宋体" w:cs="宋体"/>
                <w:b/>
                <w:color w:val="FF0000"/>
                <w:sz w:val="21"/>
                <w:szCs w:val="21"/>
                <w:highlight w:val="yellow"/>
              </w:rPr>
            </w:pPr>
            <w:r>
              <w:rPr>
                <w:rFonts w:hint="eastAsia" w:ascii="宋体" w:hAnsi="宋体" w:eastAsia="宋体" w:cs="宋体"/>
                <w:b/>
                <w:bCs/>
                <w:color w:val="FF0000"/>
                <w:sz w:val="21"/>
                <w:szCs w:val="21"/>
                <w:highlight w:val="yellow"/>
                <w:lang w:val="en-US" w:eastAsia="zh-CN"/>
              </w:rPr>
              <w:t>总体要求：</w:t>
            </w:r>
            <w:r>
              <w:rPr>
                <w:rFonts w:hint="eastAsia" w:ascii="宋体" w:hAnsi="宋体" w:eastAsia="宋体" w:cs="宋体"/>
                <w:b/>
                <w:color w:val="FF0000"/>
                <w:sz w:val="21"/>
                <w:szCs w:val="21"/>
                <w:highlight w:val="yellow"/>
              </w:rPr>
              <w:t>本项目允许投标人将</w:t>
            </w:r>
            <w:r>
              <w:rPr>
                <w:rFonts w:hint="eastAsia" w:ascii="宋体" w:hAnsi="宋体" w:eastAsia="宋体" w:cs="宋体"/>
                <w:b/>
                <w:color w:val="FF0000"/>
                <w:sz w:val="21"/>
                <w:szCs w:val="21"/>
                <w:highlight w:val="yellow"/>
                <w:lang w:val="en-US" w:eastAsia="zh-CN"/>
              </w:rPr>
              <w:t>屏蔽机房建设</w:t>
            </w:r>
            <w:r>
              <w:rPr>
                <w:rFonts w:hint="eastAsia" w:ascii="宋体" w:hAnsi="宋体" w:eastAsia="宋体" w:cs="宋体"/>
                <w:b/>
                <w:color w:val="FF0000"/>
                <w:sz w:val="21"/>
                <w:szCs w:val="21"/>
                <w:highlight w:val="yellow"/>
              </w:rPr>
              <w:t>工作分包。</w:t>
            </w:r>
          </w:p>
          <w:p w14:paraId="244061E4">
            <w:pPr>
              <w:keepNext w:val="0"/>
              <w:keepLines w:val="0"/>
              <w:pageBreakBefore w:val="0"/>
              <w:kinsoku/>
              <w:wordWrap/>
              <w:overflowPunct/>
              <w:topLinePunct w:val="0"/>
              <w:bidi w:val="0"/>
              <w:spacing w:line="276" w:lineRule="auto"/>
              <w:jc w:val="left"/>
              <w:rPr>
                <w:rFonts w:hint="eastAsia" w:ascii="宋体" w:hAnsi="宋体" w:eastAsia="宋体" w:cs="宋体"/>
                <w:b/>
                <w:color w:val="FF0000"/>
                <w:sz w:val="21"/>
                <w:szCs w:val="21"/>
                <w:highlight w:val="yellow"/>
              </w:rPr>
            </w:pP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lang w:val="en-US" w:eastAsia="zh-CN"/>
              </w:rPr>
              <w:t>1</w:t>
            </w: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rPr>
              <w:t>若不分包，投标人须符合</w:t>
            </w:r>
            <w:r>
              <w:rPr>
                <w:rFonts w:hint="eastAsia" w:ascii="宋体" w:hAnsi="宋体" w:eastAsia="宋体" w:cs="宋体"/>
                <w:b/>
                <w:color w:val="FF0000"/>
                <w:sz w:val="21"/>
                <w:szCs w:val="21"/>
                <w:highlight w:val="yellow"/>
                <w:lang w:val="en-US" w:eastAsia="zh-CN"/>
              </w:rPr>
              <w:t>法律法规</w:t>
            </w:r>
            <w:r>
              <w:rPr>
                <w:rFonts w:hint="eastAsia" w:ascii="宋体" w:hAnsi="宋体" w:eastAsia="宋体" w:cs="宋体"/>
                <w:b/>
                <w:color w:val="FF0000"/>
                <w:sz w:val="21"/>
                <w:szCs w:val="21"/>
                <w:highlight w:val="yellow"/>
              </w:rPr>
              <w:t>相关规定。</w:t>
            </w:r>
          </w:p>
          <w:p w14:paraId="41478372">
            <w:pPr>
              <w:keepNext w:val="0"/>
              <w:keepLines w:val="0"/>
              <w:pageBreakBefore w:val="0"/>
              <w:kinsoku/>
              <w:wordWrap/>
              <w:overflowPunct/>
              <w:topLinePunct w:val="0"/>
              <w:bidi w:val="0"/>
              <w:spacing w:line="276" w:lineRule="auto"/>
              <w:ind w:right="0" w:rightChars="0"/>
              <w:jc w:val="left"/>
              <w:rPr>
                <w:rFonts w:hint="default" w:ascii="宋体" w:hAnsi="宋体"/>
                <w:sz w:val="21"/>
                <w:szCs w:val="21"/>
                <w:highlight w:val="yellow"/>
                <w:lang w:val="en-US" w:eastAsia="zh-CN"/>
              </w:rPr>
            </w:pP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lang w:val="en-US" w:eastAsia="zh-CN"/>
              </w:rPr>
              <w:t>2</w:t>
            </w:r>
            <w:r>
              <w:rPr>
                <w:rFonts w:hint="eastAsia" w:ascii="宋体" w:hAnsi="宋体" w:eastAsia="宋体" w:cs="宋体"/>
                <w:b/>
                <w:color w:val="FF0000"/>
                <w:sz w:val="21"/>
                <w:szCs w:val="21"/>
                <w:highlight w:val="yellow"/>
                <w:lang w:eastAsia="zh-CN"/>
              </w:rPr>
              <w:t>）</w:t>
            </w:r>
            <w:r>
              <w:rPr>
                <w:rFonts w:hint="eastAsia" w:ascii="宋体" w:hAnsi="宋体" w:eastAsia="宋体" w:cs="宋体"/>
                <w:b/>
                <w:color w:val="FF0000"/>
                <w:sz w:val="21"/>
                <w:szCs w:val="21"/>
                <w:highlight w:val="yellow"/>
              </w:rPr>
              <w:t>若投标人选择分包的，</w:t>
            </w:r>
            <w:r>
              <w:rPr>
                <w:rFonts w:hint="eastAsia" w:ascii="宋体" w:hAnsi="宋体" w:eastAsia="宋体" w:cs="宋体"/>
                <w:b/>
                <w:color w:val="FF0000"/>
                <w:sz w:val="21"/>
                <w:szCs w:val="21"/>
                <w:highlight w:val="yellow"/>
                <w:lang w:val="en-US" w:eastAsia="zh-CN"/>
              </w:rPr>
              <w:t>屏蔽机房建设</w:t>
            </w:r>
            <w:r>
              <w:rPr>
                <w:rFonts w:hint="eastAsia" w:ascii="宋体" w:hAnsi="宋体" w:eastAsia="宋体" w:cs="宋体"/>
                <w:b/>
                <w:color w:val="FF0000"/>
                <w:sz w:val="21"/>
                <w:szCs w:val="21"/>
                <w:highlight w:val="yellow"/>
              </w:rPr>
              <w:t>分包承担主体不多于1家，且分包承担主体须符合</w:t>
            </w:r>
            <w:r>
              <w:rPr>
                <w:rFonts w:hint="eastAsia" w:ascii="宋体" w:hAnsi="宋体" w:eastAsia="宋体" w:cs="宋体"/>
                <w:b/>
                <w:color w:val="FF0000"/>
                <w:sz w:val="21"/>
                <w:szCs w:val="21"/>
                <w:highlight w:val="yellow"/>
                <w:lang w:val="en-US" w:eastAsia="zh-CN"/>
              </w:rPr>
              <w:t>法律法规</w:t>
            </w:r>
            <w:r>
              <w:rPr>
                <w:rFonts w:hint="eastAsia" w:ascii="宋体" w:hAnsi="宋体" w:eastAsia="宋体" w:cs="宋体"/>
                <w:b/>
                <w:color w:val="FF0000"/>
                <w:sz w:val="21"/>
                <w:szCs w:val="21"/>
                <w:highlight w:val="yellow"/>
              </w:rPr>
              <w:t>相关规定，并提供《分包意向协议》（格式自拟，须载明分包承担主体，且承诺分包承担主体不得再次分包，加盖投标人与各分包承担主体的公章）</w:t>
            </w:r>
          </w:p>
          <w:p w14:paraId="76DA8ACC">
            <w:pPr>
              <w:keepNext w:val="0"/>
              <w:keepLines w:val="0"/>
              <w:pageBreakBefore w:val="0"/>
              <w:kinsoku/>
              <w:wordWrap/>
              <w:overflowPunct/>
              <w:topLinePunct w:val="0"/>
              <w:bidi w:val="0"/>
              <w:spacing w:line="276" w:lineRule="auto"/>
              <w:ind w:right="36" w:rightChars="17"/>
              <w:rPr>
                <w:rFonts w:hint="eastAsia" w:ascii="宋体" w:hAnsi="宋体" w:eastAsia="宋体"/>
                <w:sz w:val="21"/>
                <w:szCs w:val="21"/>
                <w:lang w:eastAsia="zh-CN"/>
              </w:rPr>
            </w:pPr>
            <w:r>
              <w:rPr>
                <w:rFonts w:hint="eastAsia" w:ascii="宋体" w:hAnsi="宋体"/>
                <w:sz w:val="21"/>
                <w:szCs w:val="21"/>
              </w:rPr>
              <w:t>1. 屏蔽机房包括屏蔽壳体、</w:t>
            </w:r>
            <w:r>
              <w:rPr>
                <w:rFonts w:hint="eastAsia" w:ascii="宋体" w:hAnsi="宋体"/>
                <w:kern w:val="0"/>
                <w:sz w:val="21"/>
                <w:szCs w:val="21"/>
              </w:rPr>
              <w:t>≥</w:t>
            </w:r>
            <w:r>
              <w:rPr>
                <w:rFonts w:hint="eastAsia" w:ascii="宋体" w:hAnsi="宋体"/>
                <w:sz w:val="21"/>
                <w:szCs w:val="21"/>
              </w:rPr>
              <w:t>20个机柜微模块（单机柜</w:t>
            </w:r>
            <w:r>
              <w:rPr>
                <w:rFonts w:ascii="宋体" w:hAnsi="宋体"/>
                <w:sz w:val="21"/>
                <w:szCs w:val="21"/>
              </w:rPr>
              <w:t>10</w:t>
            </w:r>
            <w:r>
              <w:rPr>
                <w:rFonts w:hint="eastAsia" w:ascii="宋体" w:hAnsi="宋体"/>
                <w:sz w:val="21"/>
                <w:szCs w:val="21"/>
              </w:rPr>
              <w:t>kW）及其机房内各设备，机房地面采用600x600x32防静电全钢地板，高度≥ 3.5 米</w:t>
            </w:r>
            <w:r>
              <w:rPr>
                <w:rFonts w:hint="eastAsia" w:ascii="宋体" w:hAnsi="宋体"/>
                <w:sz w:val="21"/>
                <w:szCs w:val="21"/>
                <w:lang w:eastAsia="zh-CN"/>
              </w:rPr>
              <w:t>；</w:t>
            </w:r>
          </w:p>
          <w:p w14:paraId="28CAFA14">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2、屏蔽壳体为主体骨架与钢板焊接式多面体，支撑主体采用刚性骨架与顶部吊装相结合的结构形式。整体进行防潮防湿防腐处理。</w:t>
            </w:r>
          </w:p>
          <w:p w14:paraId="213589C4">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3、屏蔽系统包括屏蔽壳体、电动屏蔽门、屏蔽电源滤波器、信号接口、通风波导、空调电源、信号、水、汽、液屏蔽接口、消防信号屏蔽处理等部分。</w:t>
            </w:r>
          </w:p>
          <w:p w14:paraId="5D37801A">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4.屏蔽室设置滤波维修间，所有进线应集中在滤波维修间进行滤波处理，维修间设计和施工应便于机房线路的维护，同时满足实用性和可参观性要求。</w:t>
            </w:r>
          </w:p>
        </w:tc>
        <w:tc>
          <w:tcPr>
            <w:tcW w:w="473" w:type="pct"/>
            <w:vAlign w:val="center"/>
          </w:tcPr>
          <w:p w14:paraId="3C5D6352">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5220F07A">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0A0163F9">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3FFD5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Align w:val="center"/>
          </w:tcPr>
          <w:p w14:paraId="1C37DA3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14</w:t>
            </w:r>
          </w:p>
        </w:tc>
        <w:tc>
          <w:tcPr>
            <w:tcW w:w="791" w:type="pct"/>
            <w:vAlign w:val="center"/>
          </w:tcPr>
          <w:p w14:paraId="7F89292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防雷接地设备</w:t>
            </w:r>
          </w:p>
        </w:tc>
        <w:tc>
          <w:tcPr>
            <w:tcW w:w="2662" w:type="pct"/>
            <w:vAlign w:val="center"/>
          </w:tcPr>
          <w:p w14:paraId="39C11053">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1．改造区域涉及防雷接地系统。</w:t>
            </w:r>
          </w:p>
          <w:p w14:paraId="0B2D719D">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空调间、电池间、机房接地系统考虑接大楼综合接地体；空调，电池，机柜等各设备做接地网、接地线缆、接地端子等，大楼共用综合接地体；数据中心内所有设备金属外壳、各类金属管道、金属线槽、建筑物金属结构等必须进行等电位联结并接地；屋顶新增空调设备防雷接地工程。</w:t>
            </w:r>
          </w:p>
        </w:tc>
        <w:tc>
          <w:tcPr>
            <w:tcW w:w="473" w:type="pct"/>
            <w:vAlign w:val="center"/>
          </w:tcPr>
          <w:p w14:paraId="662FC1F4">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353EF5DA">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2F194DAE">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2269A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Align w:val="center"/>
          </w:tcPr>
          <w:p w14:paraId="3C2A860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15</w:t>
            </w:r>
          </w:p>
        </w:tc>
        <w:tc>
          <w:tcPr>
            <w:tcW w:w="791" w:type="pct"/>
            <w:vAlign w:val="center"/>
          </w:tcPr>
          <w:p w14:paraId="05149D2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气体消防设备</w:t>
            </w:r>
          </w:p>
        </w:tc>
        <w:tc>
          <w:tcPr>
            <w:tcW w:w="2662" w:type="pct"/>
            <w:vAlign w:val="center"/>
          </w:tcPr>
          <w:p w14:paraId="72D5889F">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1</w:t>
            </w:r>
            <w:r>
              <w:rPr>
                <w:rFonts w:hint="eastAsia" w:ascii="宋体" w:hAnsi="宋体"/>
                <w:sz w:val="21"/>
                <w:szCs w:val="21"/>
              </w:rPr>
              <w:t>．包括高度智能型火灾自动报警探测、控制系统、气体灭火系统设备及灭火剂输送管道集成、水消防系统、灭火器系统、排烟系统：火灾自动报警包括智能型光电感烟火灾探测器、智能型感温探测器、智能型气体灭火控制器、消防警铃、声光报警器、紧急启停按钮、放气指示灯等及</w:t>
            </w:r>
            <w:r>
              <w:rPr>
                <w:rFonts w:hint="eastAsia" w:ascii="宋体" w:hAnsi="宋体"/>
                <w:kern w:val="0"/>
                <w:sz w:val="21"/>
                <w:szCs w:val="21"/>
              </w:rPr>
              <w:t>其安装工程</w:t>
            </w:r>
            <w:r>
              <w:rPr>
                <w:rFonts w:hint="eastAsia" w:ascii="宋体" w:hAnsi="宋体"/>
                <w:sz w:val="21"/>
                <w:szCs w:val="21"/>
              </w:rPr>
              <w:t>。</w:t>
            </w:r>
          </w:p>
          <w:p w14:paraId="07E932EA">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有管网气体灭火系统包括灭火剂储存装置（含药剂）、电磁驱动装置、连接软管、集流管、安全阀、单向阀、选择阀、控制气管、瓶架、压力信号器、喷头、管道、泄压装置等内容；无管网气体灭火气体包含柜式七氟丙烷气体灭火装置灭火剂瓶组以及泄压装置等内容及</w:t>
            </w:r>
            <w:r>
              <w:rPr>
                <w:rFonts w:hint="eastAsia" w:ascii="宋体" w:hAnsi="宋体"/>
                <w:kern w:val="0"/>
                <w:sz w:val="21"/>
                <w:szCs w:val="21"/>
              </w:rPr>
              <w:t>其安装工程</w:t>
            </w:r>
            <w:r>
              <w:rPr>
                <w:rFonts w:hint="eastAsia" w:ascii="宋体" w:hAnsi="宋体"/>
                <w:sz w:val="21"/>
                <w:szCs w:val="21"/>
              </w:rPr>
              <w:t>。水消防系统包含室内消火栓系统和喷淋系统；室内消火栓系统包含组合式消防柜(消火栓口径DN65，每支水枪最小用水量5L/S，水枪最小充实水柱13m，水枪口径</w:t>
            </w:r>
            <w:r>
              <w:rPr>
                <w:rFonts w:hint="eastAsia" w:ascii="MS Gothic" w:hAnsi="MS Gothic" w:eastAsia="MS Gothic" w:cs="MS Gothic"/>
                <w:sz w:val="21"/>
                <w:szCs w:val="21"/>
              </w:rPr>
              <w:t>∅</w:t>
            </w:r>
            <w:r>
              <w:rPr>
                <w:rFonts w:hint="eastAsia" w:ascii="宋体" w:hAnsi="宋体"/>
                <w:sz w:val="21"/>
                <w:szCs w:val="21"/>
              </w:rPr>
              <w:t>19，衬胶消防水带</w:t>
            </w:r>
            <w:r>
              <w:rPr>
                <w:rFonts w:hint="eastAsia" w:ascii="MS Gothic" w:hAnsi="MS Gothic" w:eastAsia="MS Gothic" w:cs="MS Gothic"/>
                <w:sz w:val="21"/>
                <w:szCs w:val="21"/>
              </w:rPr>
              <w:t>∅</w:t>
            </w:r>
            <w:r>
              <w:rPr>
                <w:rFonts w:hint="eastAsia" w:ascii="宋体" w:hAnsi="宋体"/>
                <w:sz w:val="21"/>
                <w:szCs w:val="21"/>
              </w:rPr>
              <w:t>65，长25m以及灭火器（MF/ABC4）、管道及阀门等内容；喷淋系统包含喷头、管道及阀门等内容及</w:t>
            </w:r>
            <w:r>
              <w:rPr>
                <w:rFonts w:hint="eastAsia" w:ascii="宋体" w:hAnsi="宋体"/>
                <w:kern w:val="0"/>
                <w:sz w:val="21"/>
                <w:szCs w:val="21"/>
              </w:rPr>
              <w:t>其安装工程</w:t>
            </w:r>
            <w:r>
              <w:rPr>
                <w:rFonts w:hint="eastAsia" w:ascii="宋体" w:hAnsi="宋体"/>
                <w:sz w:val="21"/>
                <w:szCs w:val="21"/>
              </w:rPr>
              <w:t>。灭火器包含手提式灭火器（MF/ABC4）、灭火器箱、推车式灭火器（CO2推车式灭火器MTT50x2）；排烟设备包括排烟风管为800*320镀锌风管，定制排烟百叶，排烟阀，280度防火阀等及</w:t>
            </w:r>
            <w:r>
              <w:rPr>
                <w:rFonts w:hint="eastAsia" w:ascii="宋体" w:hAnsi="宋体"/>
                <w:kern w:val="0"/>
                <w:sz w:val="21"/>
                <w:szCs w:val="21"/>
              </w:rPr>
              <w:t>其安装工程</w:t>
            </w:r>
            <w:r>
              <w:rPr>
                <w:rFonts w:hint="eastAsia" w:ascii="宋体" w:hAnsi="宋体"/>
                <w:sz w:val="21"/>
                <w:szCs w:val="21"/>
              </w:rPr>
              <w:t>。</w:t>
            </w:r>
          </w:p>
        </w:tc>
        <w:tc>
          <w:tcPr>
            <w:tcW w:w="473" w:type="pct"/>
            <w:vAlign w:val="center"/>
          </w:tcPr>
          <w:p w14:paraId="676412DE">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14911185">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063AE344">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1682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1" w:hRule="atLeast"/>
          <w:jc w:val="center"/>
        </w:trPr>
        <w:tc>
          <w:tcPr>
            <w:tcW w:w="242" w:type="pct"/>
            <w:vMerge w:val="restart"/>
            <w:vAlign w:val="center"/>
          </w:tcPr>
          <w:p w14:paraId="5C706296">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16</w:t>
            </w:r>
          </w:p>
        </w:tc>
        <w:tc>
          <w:tcPr>
            <w:tcW w:w="791" w:type="pct"/>
            <w:vMerge w:val="restart"/>
            <w:vAlign w:val="center"/>
          </w:tcPr>
          <w:p w14:paraId="071D3D60">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动环管理系统（含安防）</w:t>
            </w:r>
          </w:p>
        </w:tc>
        <w:tc>
          <w:tcPr>
            <w:tcW w:w="2662" w:type="pct"/>
            <w:vAlign w:val="center"/>
          </w:tcPr>
          <w:p w14:paraId="53BEA88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 微模块集成，门禁、视频、消防等南向接口；对接鹏城云脑；兼容SNMP、ModBus等主流协议；对本项目相关设备（如供配电、微模块、视频、门禁、消防等）运行状态或部分使用状态进行采集监控，将原始信息上传至鹏城云脑基础设施管理平台；</w:t>
            </w:r>
          </w:p>
          <w:p w14:paraId="2F585AA5">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ascii="宋体" w:hAnsi="宋体"/>
                <w:kern w:val="0"/>
                <w:sz w:val="21"/>
                <w:szCs w:val="21"/>
              </w:rPr>
              <w:t>2</w:t>
            </w:r>
            <w:r>
              <w:rPr>
                <w:rFonts w:hint="eastAsia" w:ascii="宋体" w:hAnsi="宋体"/>
                <w:kern w:val="0"/>
                <w:sz w:val="21"/>
                <w:szCs w:val="21"/>
              </w:rPr>
              <w:t>. 对本项目相关设备进行接口开发或改造（如需要），能够接收管理平台下发控制指令或信息；结合本项目设备数目，扩容鹏城云脑基础设施管理平台纳管相应设备的授权；支持数据中心基础设施管理需求，并能下发相关指令或信息到设备。</w:t>
            </w:r>
          </w:p>
          <w:p w14:paraId="61E123DE">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sz w:val="21"/>
                <w:szCs w:val="21"/>
              </w:rPr>
              <w:t>3</w:t>
            </w:r>
            <w:r>
              <w:rPr>
                <w:rFonts w:hint="eastAsia" w:ascii="宋体" w:hAnsi="宋体"/>
                <w:sz w:val="21"/>
                <w:szCs w:val="21"/>
              </w:rPr>
              <w:t>. 系统支持多种通讯协议，如modbus、电总、SNMP，并且内置主流UPS和空调的通讯协议内容和设备模型，方便用户直接调用。</w:t>
            </w:r>
          </w:p>
        </w:tc>
        <w:tc>
          <w:tcPr>
            <w:tcW w:w="473" w:type="pct"/>
            <w:vAlign w:val="center"/>
          </w:tcPr>
          <w:p w14:paraId="70C00ED4">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430" w:type="pct"/>
            <w:vAlign w:val="center"/>
          </w:tcPr>
          <w:p w14:paraId="47602F99">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399" w:type="pct"/>
            <w:vAlign w:val="center"/>
          </w:tcPr>
          <w:p w14:paraId="1D0789FD">
            <w:pPr>
              <w:keepNext w:val="0"/>
              <w:keepLines w:val="0"/>
              <w:pageBreakBefore w:val="0"/>
              <w:kinsoku/>
              <w:wordWrap/>
              <w:overflowPunct/>
              <w:topLinePunct w:val="0"/>
              <w:bidi w:val="0"/>
              <w:spacing w:line="276" w:lineRule="auto"/>
              <w:ind w:right="36" w:rightChars="17"/>
              <w:rPr>
                <w:rFonts w:ascii="宋体" w:hAnsi="宋体"/>
                <w:sz w:val="21"/>
                <w:szCs w:val="21"/>
              </w:rPr>
            </w:pPr>
          </w:p>
        </w:tc>
      </w:tr>
      <w:tr w14:paraId="52D9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8" w:hRule="atLeast"/>
          <w:jc w:val="center"/>
        </w:trPr>
        <w:tc>
          <w:tcPr>
            <w:tcW w:w="242" w:type="pct"/>
            <w:vMerge w:val="continue"/>
            <w:vAlign w:val="center"/>
          </w:tcPr>
          <w:p w14:paraId="1313EEB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0CA2F789">
            <w:pPr>
              <w:keepNext w:val="0"/>
              <w:keepLines w:val="0"/>
              <w:pageBreakBefore w:val="0"/>
              <w:widowControl/>
              <w:kinsoku/>
              <w:wordWrap/>
              <w:overflowPunct/>
              <w:topLinePunct w:val="0"/>
              <w:bidi w:val="0"/>
              <w:spacing w:line="276" w:lineRule="auto"/>
              <w:ind w:right="36" w:rightChars="17"/>
              <w:rPr>
                <w:rFonts w:ascii="宋体" w:hAnsi="宋体"/>
                <w:sz w:val="21"/>
                <w:szCs w:val="21"/>
              </w:rPr>
            </w:pPr>
          </w:p>
        </w:tc>
        <w:tc>
          <w:tcPr>
            <w:tcW w:w="2662" w:type="pct"/>
            <w:vAlign w:val="center"/>
          </w:tcPr>
          <w:p w14:paraId="783B100D">
            <w:pPr>
              <w:keepNext w:val="0"/>
              <w:keepLines w:val="0"/>
              <w:pageBreakBefore w:val="0"/>
              <w:kinsoku/>
              <w:wordWrap/>
              <w:overflowPunct/>
              <w:topLinePunct w:val="0"/>
              <w:bidi w:val="0"/>
              <w:spacing w:line="276" w:lineRule="auto"/>
              <w:ind w:right="36" w:rightChars="17"/>
              <w:rPr>
                <w:sz w:val="21"/>
                <w:szCs w:val="21"/>
              </w:rPr>
            </w:pPr>
            <w:r>
              <w:rPr>
                <w:rFonts w:hint="eastAsia" w:ascii="宋体" w:hAnsi="宋体"/>
                <w:b/>
                <w:bCs/>
                <w:color w:val="FF0000"/>
                <w:sz w:val="21"/>
                <w:szCs w:val="21"/>
              </w:rPr>
              <w:t>▲</w:t>
            </w:r>
            <w:r>
              <w:rPr>
                <w:rFonts w:ascii="宋体" w:hAnsi="宋体"/>
                <w:b/>
                <w:bCs/>
                <w:color w:val="FF0000"/>
                <w:sz w:val="21"/>
                <w:szCs w:val="21"/>
              </w:rPr>
              <w:t>4</w:t>
            </w:r>
            <w:r>
              <w:rPr>
                <w:rFonts w:hint="eastAsia" w:ascii="宋体" w:hAnsi="宋体"/>
                <w:b/>
                <w:bCs/>
                <w:color w:val="FF0000"/>
                <w:sz w:val="21"/>
                <w:szCs w:val="21"/>
              </w:rPr>
              <w:t>. 控制器（或能源控制中心）满足网络安全要求，应通过智能联网产品网络安全认证，提供产品社会公共安全认证证书及第三方检测报告。</w:t>
            </w:r>
            <w:r>
              <w:rPr>
                <w:rFonts w:hint="eastAsia" w:ascii="宋体" w:hAnsi="宋体"/>
                <w:b/>
                <w:bCs/>
                <w:color w:val="FF0000"/>
                <w:kern w:val="0"/>
                <w:sz w:val="21"/>
                <w:szCs w:val="21"/>
              </w:rPr>
              <w:t>（投标时提供社会公共安全产品认证证书及第三方检测机构出具具有“</w:t>
            </w:r>
            <w:r>
              <w:rPr>
                <w:rFonts w:ascii="宋体" w:hAnsi="宋体"/>
                <w:b/>
                <w:bCs/>
                <w:color w:val="FF0000"/>
                <w:kern w:val="0"/>
                <w:sz w:val="21"/>
                <w:szCs w:val="21"/>
              </w:rPr>
              <w:t>CNAS”或“CMA”标识的检测/检验</w:t>
            </w:r>
            <w:r>
              <w:rPr>
                <w:rFonts w:hint="eastAsia" w:ascii="宋体" w:hAnsi="宋体"/>
                <w:b/>
                <w:bCs/>
                <w:color w:val="FF0000"/>
                <w:kern w:val="0"/>
                <w:sz w:val="21"/>
                <w:szCs w:val="21"/>
              </w:rPr>
              <w:t>报告。上述资料均要求提供扫描件或复印件，并均加盖投标人公章）</w:t>
            </w:r>
          </w:p>
        </w:tc>
        <w:tc>
          <w:tcPr>
            <w:tcW w:w="473" w:type="pct"/>
            <w:vAlign w:val="center"/>
          </w:tcPr>
          <w:p w14:paraId="6E048108">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430" w:type="pct"/>
            <w:vAlign w:val="center"/>
          </w:tcPr>
          <w:p w14:paraId="12DE0654">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399" w:type="pct"/>
            <w:vAlign w:val="center"/>
          </w:tcPr>
          <w:p w14:paraId="69BC4A73">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r>
      <w:tr w14:paraId="05B6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9" w:hRule="atLeast"/>
          <w:jc w:val="center"/>
        </w:trPr>
        <w:tc>
          <w:tcPr>
            <w:tcW w:w="242" w:type="pct"/>
            <w:vMerge w:val="restart"/>
            <w:shd w:val="clear" w:color="auto" w:fill="auto"/>
            <w:vAlign w:val="center"/>
          </w:tcPr>
          <w:p w14:paraId="2AC87127">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17</w:t>
            </w:r>
          </w:p>
        </w:tc>
        <w:tc>
          <w:tcPr>
            <w:tcW w:w="791" w:type="pct"/>
            <w:vMerge w:val="restart"/>
            <w:shd w:val="clear" w:color="auto" w:fill="auto"/>
            <w:vAlign w:val="center"/>
          </w:tcPr>
          <w:p w14:paraId="48A4704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防火墙</w:t>
            </w:r>
          </w:p>
        </w:tc>
        <w:tc>
          <w:tcPr>
            <w:tcW w:w="2662" w:type="pct"/>
            <w:shd w:val="clear" w:color="auto" w:fill="auto"/>
          </w:tcPr>
          <w:p w14:paraId="24990B13">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1、内存大小≥16G，硬盘容量≥3.84T SSD，千兆电接口≥16个，万兆光口SFP+≥6个，含5年硬件质保服务；网络层吞吐量≥35G，应用层吞吐量≥20G，防病毒吞吐量≥3.5G，并发连接数≥800万，HTTP新建连接数≥18万，含5年软件功能、安全库等升级许可及远程技术支持。</w:t>
            </w:r>
          </w:p>
        </w:tc>
        <w:tc>
          <w:tcPr>
            <w:tcW w:w="473" w:type="pct"/>
            <w:shd w:val="clear" w:color="auto" w:fill="auto"/>
          </w:tcPr>
          <w:p w14:paraId="1FF03A15">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shd w:val="clear" w:color="auto" w:fill="auto"/>
          </w:tcPr>
          <w:p w14:paraId="35BBB028">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shd w:val="clear" w:color="auto" w:fill="auto"/>
          </w:tcPr>
          <w:p w14:paraId="2BF4A79D">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4666D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2" w:hRule="atLeast"/>
          <w:jc w:val="center"/>
        </w:trPr>
        <w:tc>
          <w:tcPr>
            <w:tcW w:w="242" w:type="pct"/>
            <w:vMerge w:val="continue"/>
            <w:shd w:val="clear" w:color="auto" w:fill="auto"/>
            <w:vAlign w:val="center"/>
          </w:tcPr>
          <w:p w14:paraId="1094D133">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shd w:val="clear" w:color="auto" w:fill="auto"/>
            <w:vAlign w:val="center"/>
          </w:tcPr>
          <w:p w14:paraId="4287136F">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shd w:val="clear" w:color="auto" w:fill="auto"/>
          </w:tcPr>
          <w:p w14:paraId="22B44C4A">
            <w:pPr>
              <w:keepNext w:val="0"/>
              <w:keepLines w:val="0"/>
              <w:pageBreakBefore w:val="0"/>
              <w:kinsoku/>
              <w:wordWrap/>
              <w:overflowPunct/>
              <w:topLinePunct w:val="0"/>
              <w:bidi w:val="0"/>
              <w:spacing w:line="276" w:lineRule="auto"/>
              <w:ind w:right="36" w:rightChars="17"/>
              <w:rPr>
                <w:rFonts w:ascii="宋体" w:hAnsi="宋体"/>
                <w:b/>
                <w:bCs/>
                <w:color w:val="FF0000"/>
                <w:sz w:val="21"/>
                <w:szCs w:val="21"/>
              </w:rPr>
            </w:pPr>
            <w:r>
              <w:rPr>
                <w:rFonts w:hint="eastAsia" w:ascii="宋体" w:hAnsi="宋体"/>
                <w:b/>
                <w:bCs/>
                <w:color w:val="FF0000"/>
                <w:kern w:val="0"/>
                <w:sz w:val="21"/>
                <w:szCs w:val="21"/>
              </w:rPr>
              <w:t>▲2、（1）产品支持IPSec VPN智能选路功能，根据线路质量和应用实现自动链路切换选路模式支持智能负载选路、按指定顺序选路、优先使用质量最优的线路、按剩余带宽比例负载。</w:t>
            </w:r>
            <w:r>
              <w:rPr>
                <w:rFonts w:hint="eastAsia" w:ascii="宋体" w:hAnsi="宋体"/>
                <w:color w:val="FF0000"/>
                <w:kern w:val="0"/>
                <w:sz w:val="21"/>
                <w:szCs w:val="21"/>
              </w:rPr>
              <w:t>（</w:t>
            </w:r>
            <w:r>
              <w:rPr>
                <w:rFonts w:hint="eastAsia" w:ascii="宋体" w:hAnsi="宋体"/>
                <w:b/>
                <w:bCs/>
                <w:color w:val="FF0000"/>
                <w:sz w:val="21"/>
                <w:szCs w:val="21"/>
              </w:rPr>
              <w:t>投标时需提供产品功能截图证明）</w:t>
            </w:r>
          </w:p>
          <w:p w14:paraId="78BBFBD0">
            <w:pPr>
              <w:pStyle w:val="2"/>
              <w:keepNext w:val="0"/>
              <w:keepLines w:val="0"/>
              <w:pageBreakBefore w:val="0"/>
              <w:kinsoku/>
              <w:wordWrap/>
              <w:overflowPunct/>
              <w:topLinePunct w:val="0"/>
              <w:bidi w:val="0"/>
              <w:spacing w:line="276" w:lineRule="auto"/>
              <w:ind w:firstLine="0" w:firstLineChars="0"/>
              <w:rPr>
                <w:sz w:val="21"/>
                <w:szCs w:val="21"/>
              </w:rPr>
            </w:pPr>
            <w:r>
              <w:rPr>
                <w:rFonts w:hint="eastAsia" w:ascii="宋体" w:hAnsi="宋体" w:eastAsia="宋体" w:cs="宋体"/>
                <w:b/>
                <w:bCs/>
                <w:color w:val="FF0000"/>
                <w:kern w:val="0"/>
                <w:sz w:val="21"/>
                <w:szCs w:val="21"/>
              </w:rPr>
              <w:t>（2）投标时提供第三方检测机构出具具有“CNAS”或“CMA”标识的关于“SD-WAN智能选路”的证书或检测报告扫描件（或复印件），并加盖投标人公章。</w:t>
            </w:r>
          </w:p>
        </w:tc>
        <w:tc>
          <w:tcPr>
            <w:tcW w:w="473" w:type="pct"/>
            <w:shd w:val="clear" w:color="auto" w:fill="auto"/>
          </w:tcPr>
          <w:p w14:paraId="1B59D8C0">
            <w:pPr>
              <w:pStyle w:val="2"/>
              <w:keepNext w:val="0"/>
              <w:keepLines w:val="0"/>
              <w:pageBreakBefore w:val="0"/>
              <w:kinsoku/>
              <w:wordWrap/>
              <w:overflowPunct/>
              <w:topLinePunct w:val="0"/>
              <w:bidi w:val="0"/>
              <w:spacing w:line="276" w:lineRule="auto"/>
              <w:ind w:firstLine="0" w:firstLineChars="0"/>
              <w:rPr>
                <w:rFonts w:hint="eastAsia" w:ascii="宋体" w:hAnsi="宋体" w:eastAsia="宋体" w:cs="宋体"/>
                <w:b/>
                <w:bCs/>
                <w:color w:val="FF0000"/>
                <w:kern w:val="0"/>
                <w:sz w:val="21"/>
                <w:szCs w:val="21"/>
              </w:rPr>
            </w:pPr>
          </w:p>
        </w:tc>
        <w:tc>
          <w:tcPr>
            <w:tcW w:w="430" w:type="pct"/>
            <w:shd w:val="clear" w:color="auto" w:fill="auto"/>
          </w:tcPr>
          <w:p w14:paraId="706E9AE1">
            <w:pPr>
              <w:pStyle w:val="2"/>
              <w:keepNext w:val="0"/>
              <w:keepLines w:val="0"/>
              <w:pageBreakBefore w:val="0"/>
              <w:kinsoku/>
              <w:wordWrap/>
              <w:overflowPunct/>
              <w:topLinePunct w:val="0"/>
              <w:bidi w:val="0"/>
              <w:spacing w:line="276" w:lineRule="auto"/>
              <w:ind w:firstLine="0" w:firstLineChars="0"/>
              <w:rPr>
                <w:rFonts w:hint="eastAsia" w:ascii="宋体" w:hAnsi="宋体" w:eastAsia="宋体" w:cs="宋体"/>
                <w:b/>
                <w:bCs/>
                <w:color w:val="FF0000"/>
                <w:kern w:val="0"/>
                <w:sz w:val="21"/>
                <w:szCs w:val="21"/>
              </w:rPr>
            </w:pPr>
          </w:p>
        </w:tc>
        <w:tc>
          <w:tcPr>
            <w:tcW w:w="399" w:type="pct"/>
            <w:shd w:val="clear" w:color="auto" w:fill="auto"/>
          </w:tcPr>
          <w:p w14:paraId="596A09CA">
            <w:pPr>
              <w:pStyle w:val="2"/>
              <w:keepNext w:val="0"/>
              <w:keepLines w:val="0"/>
              <w:pageBreakBefore w:val="0"/>
              <w:kinsoku/>
              <w:wordWrap/>
              <w:overflowPunct/>
              <w:topLinePunct w:val="0"/>
              <w:bidi w:val="0"/>
              <w:spacing w:line="276" w:lineRule="auto"/>
              <w:ind w:firstLine="0" w:firstLineChars="0"/>
              <w:rPr>
                <w:rFonts w:hint="eastAsia" w:ascii="宋体" w:hAnsi="宋体" w:eastAsia="宋体" w:cs="宋体"/>
                <w:b/>
                <w:bCs/>
                <w:color w:val="FF0000"/>
                <w:kern w:val="0"/>
                <w:sz w:val="21"/>
                <w:szCs w:val="21"/>
              </w:rPr>
            </w:pPr>
          </w:p>
        </w:tc>
      </w:tr>
      <w:tr w14:paraId="09F77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9" w:hRule="atLeast"/>
          <w:jc w:val="center"/>
        </w:trPr>
        <w:tc>
          <w:tcPr>
            <w:tcW w:w="242" w:type="pct"/>
            <w:vMerge w:val="continue"/>
            <w:shd w:val="clear" w:color="auto" w:fill="auto"/>
            <w:vAlign w:val="center"/>
          </w:tcPr>
          <w:p w14:paraId="4E96023E">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shd w:val="clear" w:color="auto" w:fill="auto"/>
            <w:vAlign w:val="center"/>
          </w:tcPr>
          <w:p w14:paraId="3F7B21E9">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shd w:val="clear" w:color="auto" w:fill="auto"/>
          </w:tcPr>
          <w:p w14:paraId="13593B21">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▲3、产品支持SD-WAN组网丢包优化功能，优化互联网场景下丢包严重的问题，改善实时类应用的业务访问体验，满足用户业务稳定访问需求。（投标时需提供产品功能截图证明，并提供第三方检测机构出具具有“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w:t>
            </w:r>
            <w:r>
              <w:rPr>
                <w:rFonts w:hint="eastAsia" w:ascii="宋体" w:hAnsi="宋体"/>
                <w:b/>
                <w:bCs/>
                <w:color w:val="FF0000"/>
                <w:sz w:val="21"/>
                <w:szCs w:val="21"/>
              </w:rPr>
              <w:t>）</w:t>
            </w:r>
          </w:p>
        </w:tc>
        <w:tc>
          <w:tcPr>
            <w:tcW w:w="473" w:type="pct"/>
            <w:shd w:val="clear" w:color="auto" w:fill="auto"/>
          </w:tcPr>
          <w:p w14:paraId="5A942291">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430" w:type="pct"/>
            <w:shd w:val="clear" w:color="auto" w:fill="auto"/>
          </w:tcPr>
          <w:p w14:paraId="5AA21987">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399" w:type="pct"/>
            <w:shd w:val="clear" w:color="auto" w:fill="auto"/>
          </w:tcPr>
          <w:p w14:paraId="1D79966A">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r>
      <w:tr w14:paraId="465D6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242" w:type="pct"/>
            <w:vMerge w:val="continue"/>
            <w:shd w:val="clear" w:color="auto" w:fill="auto"/>
            <w:vAlign w:val="center"/>
          </w:tcPr>
          <w:p w14:paraId="36FAF41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shd w:val="clear" w:color="auto" w:fill="auto"/>
            <w:vAlign w:val="center"/>
          </w:tcPr>
          <w:p w14:paraId="1C53039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tcPr>
          <w:p w14:paraId="07074544">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sz w:val="21"/>
                <w:szCs w:val="21"/>
              </w:rPr>
              <w:t>▲4、产品支持策略生命周期管理功能，支持对安全策略修改的时间、原因、变更类型进行统一管理，便于策略的运维与管理。（投标时需提供产品功能截图证明，并提供第三方检测机构出具具有“</w:t>
            </w:r>
            <w:r>
              <w:rPr>
                <w:rFonts w:ascii="宋体" w:hAnsi="宋体"/>
                <w:b/>
                <w:bCs/>
                <w:color w:val="FF0000"/>
                <w:sz w:val="21"/>
                <w:szCs w:val="21"/>
              </w:rPr>
              <w:t>CNAS”或“CMA”标识的检测/检验报告</w:t>
            </w:r>
            <w:r>
              <w:rPr>
                <w:rFonts w:hint="eastAsia" w:ascii="宋体" w:hAnsi="宋体"/>
                <w:b/>
                <w:bCs/>
                <w:color w:val="FF0000"/>
                <w:sz w:val="21"/>
                <w:szCs w:val="21"/>
              </w:rPr>
              <w:t>扫描件或</w:t>
            </w:r>
            <w:r>
              <w:rPr>
                <w:rFonts w:ascii="宋体" w:hAnsi="宋体"/>
                <w:b/>
                <w:bCs/>
                <w:color w:val="FF0000"/>
                <w:sz w:val="21"/>
                <w:szCs w:val="21"/>
              </w:rPr>
              <w:t>复印件</w:t>
            </w:r>
            <w:r>
              <w:rPr>
                <w:rFonts w:hint="eastAsia" w:ascii="宋体" w:hAnsi="宋体"/>
                <w:b/>
                <w:bCs/>
                <w:color w:val="FF0000"/>
                <w:sz w:val="21"/>
                <w:szCs w:val="21"/>
              </w:rPr>
              <w:t>）</w:t>
            </w:r>
          </w:p>
        </w:tc>
        <w:tc>
          <w:tcPr>
            <w:tcW w:w="473" w:type="pct"/>
            <w:shd w:val="clear" w:color="auto" w:fill="auto"/>
          </w:tcPr>
          <w:p w14:paraId="3F4B869C">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430" w:type="pct"/>
            <w:shd w:val="clear" w:color="auto" w:fill="auto"/>
          </w:tcPr>
          <w:p w14:paraId="1C089777">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c>
          <w:tcPr>
            <w:tcW w:w="399" w:type="pct"/>
            <w:shd w:val="clear" w:color="auto" w:fill="auto"/>
          </w:tcPr>
          <w:p w14:paraId="7CC2820B">
            <w:pPr>
              <w:keepNext w:val="0"/>
              <w:keepLines w:val="0"/>
              <w:pageBreakBefore w:val="0"/>
              <w:kinsoku/>
              <w:wordWrap/>
              <w:overflowPunct/>
              <w:topLinePunct w:val="0"/>
              <w:bidi w:val="0"/>
              <w:spacing w:line="276" w:lineRule="auto"/>
              <w:ind w:right="36" w:rightChars="17"/>
              <w:rPr>
                <w:rFonts w:hint="eastAsia" w:ascii="宋体" w:hAnsi="宋体"/>
                <w:b/>
                <w:bCs/>
                <w:color w:val="FF0000"/>
                <w:sz w:val="21"/>
                <w:szCs w:val="21"/>
              </w:rPr>
            </w:pPr>
          </w:p>
        </w:tc>
      </w:tr>
      <w:tr w14:paraId="52749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 w:hRule="atLeast"/>
          <w:jc w:val="center"/>
        </w:trPr>
        <w:tc>
          <w:tcPr>
            <w:tcW w:w="242" w:type="pct"/>
            <w:vMerge w:val="continue"/>
            <w:shd w:val="clear" w:color="auto" w:fill="auto"/>
            <w:vAlign w:val="center"/>
          </w:tcPr>
          <w:p w14:paraId="50E19BB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shd w:val="clear" w:color="auto" w:fill="auto"/>
            <w:vAlign w:val="center"/>
          </w:tcPr>
          <w:p w14:paraId="41E01AA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shd w:val="clear" w:color="auto" w:fill="auto"/>
          </w:tcPr>
          <w:p w14:paraId="186A7770">
            <w:pPr>
              <w:keepNext w:val="0"/>
              <w:keepLines w:val="0"/>
              <w:pageBreakBefore w:val="0"/>
              <w:kinsoku/>
              <w:wordWrap/>
              <w:overflowPunct/>
              <w:topLinePunct w:val="0"/>
              <w:bidi w:val="0"/>
              <w:spacing w:line="276" w:lineRule="auto"/>
              <w:ind w:right="36" w:rightChars="17"/>
              <w:rPr>
                <w:rFonts w:ascii="宋体" w:hAnsi="宋体"/>
                <w:color w:val="FF0000"/>
                <w:sz w:val="21"/>
                <w:szCs w:val="21"/>
              </w:rPr>
            </w:pPr>
            <w:r>
              <w:rPr>
                <w:rFonts w:hint="eastAsia" w:ascii="宋体" w:hAnsi="宋体"/>
                <w:color w:val="FF0000"/>
                <w:sz w:val="21"/>
                <w:szCs w:val="21"/>
              </w:rPr>
              <w:t>▲5、</w:t>
            </w:r>
          </w:p>
          <w:p w14:paraId="2703A978">
            <w:pPr>
              <w:keepNext w:val="0"/>
              <w:keepLines w:val="0"/>
              <w:pageBreakBefore w:val="0"/>
              <w:kinsoku/>
              <w:wordWrap/>
              <w:overflowPunct/>
              <w:topLinePunct w:val="0"/>
              <w:bidi w:val="0"/>
              <w:spacing w:line="276" w:lineRule="auto"/>
              <w:ind w:right="36" w:rightChars="17"/>
              <w:rPr>
                <w:rFonts w:ascii="宋体" w:hAnsi="宋体"/>
                <w:b/>
                <w:bCs/>
                <w:color w:val="FF0000"/>
                <w:sz w:val="21"/>
                <w:szCs w:val="21"/>
              </w:rPr>
            </w:pPr>
            <w:r>
              <w:rPr>
                <w:rFonts w:hint="eastAsia" w:ascii="宋体" w:hAnsi="宋体"/>
                <w:b/>
                <w:bCs/>
                <w:color w:val="FF0000"/>
                <w:sz w:val="21"/>
                <w:szCs w:val="21"/>
              </w:rPr>
              <w:t>（1）产品支持独立的账号安全防护模块，具备事前账号脆弱性、事中账号爆破、事后账号失陷的全生命周期安全防护，在设备界面可以详细展示账号安全相关信息，包括风险业务、风险等级、存在账号入口、存在弱口令、遭受口令爆破、异常登录账号登。（投标时需提供产品功能截图证明）</w:t>
            </w:r>
          </w:p>
          <w:p w14:paraId="1BFB4B80">
            <w:pPr>
              <w:keepNext w:val="0"/>
              <w:keepLines w:val="0"/>
              <w:pageBreakBefore w:val="0"/>
              <w:kinsoku/>
              <w:wordWrap/>
              <w:overflowPunct/>
              <w:topLinePunct w:val="0"/>
              <w:bidi w:val="0"/>
              <w:spacing w:line="276" w:lineRule="auto"/>
              <w:ind w:right="36" w:rightChars="17"/>
              <w:rPr>
                <w:rFonts w:ascii="宋体" w:hAnsi="宋体"/>
                <w:sz w:val="21"/>
                <w:szCs w:val="21"/>
              </w:rPr>
            </w:pPr>
            <w:r>
              <w:rPr>
                <w:rFonts w:ascii="宋体" w:hAnsi="宋体"/>
                <w:b/>
                <w:bCs/>
                <w:color w:val="FF0000"/>
                <w:sz w:val="21"/>
                <w:szCs w:val="21"/>
              </w:rPr>
              <w:t>（2）</w:t>
            </w:r>
            <w:r>
              <w:rPr>
                <w:rFonts w:hint="eastAsia" w:ascii="宋体" w:hAnsi="宋体"/>
                <w:b/>
                <w:bCs/>
                <w:color w:val="FF0000"/>
                <w:sz w:val="21"/>
                <w:szCs w:val="21"/>
              </w:rPr>
              <w:t>投标时提供“账号安全”相关计算机软件著作权登记证书扫描件或复印件。</w:t>
            </w:r>
          </w:p>
        </w:tc>
        <w:tc>
          <w:tcPr>
            <w:tcW w:w="473" w:type="pct"/>
            <w:shd w:val="clear" w:color="auto" w:fill="auto"/>
          </w:tcPr>
          <w:p w14:paraId="5E50EA94">
            <w:pPr>
              <w:keepNext w:val="0"/>
              <w:keepLines w:val="0"/>
              <w:pageBreakBefore w:val="0"/>
              <w:kinsoku/>
              <w:wordWrap/>
              <w:overflowPunct/>
              <w:topLinePunct w:val="0"/>
              <w:bidi w:val="0"/>
              <w:spacing w:line="276" w:lineRule="auto"/>
              <w:ind w:right="36" w:rightChars="17"/>
              <w:rPr>
                <w:rFonts w:ascii="宋体" w:hAnsi="宋体"/>
                <w:b/>
                <w:bCs/>
                <w:color w:val="FF0000"/>
                <w:sz w:val="21"/>
                <w:szCs w:val="21"/>
              </w:rPr>
            </w:pPr>
          </w:p>
        </w:tc>
        <w:tc>
          <w:tcPr>
            <w:tcW w:w="430" w:type="pct"/>
            <w:shd w:val="clear" w:color="auto" w:fill="auto"/>
          </w:tcPr>
          <w:p w14:paraId="65CF4CAA">
            <w:pPr>
              <w:keepNext w:val="0"/>
              <w:keepLines w:val="0"/>
              <w:pageBreakBefore w:val="0"/>
              <w:kinsoku/>
              <w:wordWrap/>
              <w:overflowPunct/>
              <w:topLinePunct w:val="0"/>
              <w:bidi w:val="0"/>
              <w:spacing w:line="276" w:lineRule="auto"/>
              <w:ind w:right="36" w:rightChars="17"/>
              <w:rPr>
                <w:rFonts w:ascii="宋体" w:hAnsi="宋体"/>
                <w:b/>
                <w:bCs/>
                <w:color w:val="FF0000"/>
                <w:sz w:val="21"/>
                <w:szCs w:val="21"/>
              </w:rPr>
            </w:pPr>
          </w:p>
        </w:tc>
        <w:tc>
          <w:tcPr>
            <w:tcW w:w="399" w:type="pct"/>
            <w:shd w:val="clear" w:color="auto" w:fill="auto"/>
          </w:tcPr>
          <w:p w14:paraId="73C1A878">
            <w:pPr>
              <w:keepNext w:val="0"/>
              <w:keepLines w:val="0"/>
              <w:pageBreakBefore w:val="0"/>
              <w:kinsoku/>
              <w:wordWrap/>
              <w:overflowPunct/>
              <w:topLinePunct w:val="0"/>
              <w:bidi w:val="0"/>
              <w:spacing w:line="276" w:lineRule="auto"/>
              <w:ind w:right="36" w:rightChars="17"/>
              <w:rPr>
                <w:rFonts w:ascii="宋体" w:hAnsi="宋体"/>
                <w:b/>
                <w:bCs/>
                <w:color w:val="FF0000"/>
                <w:sz w:val="21"/>
                <w:szCs w:val="21"/>
              </w:rPr>
            </w:pPr>
          </w:p>
        </w:tc>
      </w:tr>
      <w:tr w14:paraId="7632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atLeast"/>
          <w:jc w:val="center"/>
        </w:trPr>
        <w:tc>
          <w:tcPr>
            <w:tcW w:w="242" w:type="pct"/>
            <w:vMerge w:val="restart"/>
            <w:vAlign w:val="center"/>
          </w:tcPr>
          <w:p w14:paraId="78924784">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18</w:t>
            </w:r>
          </w:p>
        </w:tc>
        <w:tc>
          <w:tcPr>
            <w:tcW w:w="791" w:type="pct"/>
            <w:vMerge w:val="restart"/>
            <w:vAlign w:val="center"/>
          </w:tcPr>
          <w:p w14:paraId="147BCC0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堡垒机</w:t>
            </w:r>
          </w:p>
        </w:tc>
        <w:tc>
          <w:tcPr>
            <w:tcW w:w="2662" w:type="pct"/>
          </w:tcPr>
          <w:p w14:paraId="35B028AE">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1.标准2U机架式；配置≥6个千兆电口，≥2个接口扩展槽位；内置≥4TB硬盘；冗余电源；支持液晶屏；最大支持不低于500路图形会话或不低于1000路字符会话并发；含3000个被管资源授权许可，含五年标准售后服务。</w:t>
            </w:r>
          </w:p>
        </w:tc>
        <w:tc>
          <w:tcPr>
            <w:tcW w:w="473" w:type="pct"/>
          </w:tcPr>
          <w:p w14:paraId="6F71365D">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tcPr>
          <w:p w14:paraId="633CA669">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tcPr>
          <w:p w14:paraId="5695D383">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29D58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atLeast"/>
          <w:jc w:val="center"/>
        </w:trPr>
        <w:tc>
          <w:tcPr>
            <w:tcW w:w="242" w:type="pct"/>
            <w:vMerge w:val="continue"/>
            <w:vAlign w:val="center"/>
          </w:tcPr>
          <w:p w14:paraId="6BF2F236">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29AD46B5">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3790CAB3">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 xml:space="preserve">2.支持应用发布功能，可集中管控各类B/S、C/S应用，且B/S资产支持使用中文账号；应用发布支持负载均衡，无需借助负载均衡设备，即可实现自动调度；支持对通过rdp协议登录到目标资产后的剪贴板控制，可限制剪贴板的文件上行、字符上行、文件下行、字符下行操作，可限制剪贴板传输字符长度； </w:t>
            </w:r>
          </w:p>
        </w:tc>
        <w:tc>
          <w:tcPr>
            <w:tcW w:w="473" w:type="pct"/>
            <w:vAlign w:val="center"/>
          </w:tcPr>
          <w:p w14:paraId="090553E3">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2205A584">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27189A9B">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7D0BC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242" w:type="pct"/>
            <w:vMerge w:val="continue"/>
            <w:vAlign w:val="center"/>
          </w:tcPr>
          <w:p w14:paraId="0FDD359D">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791" w:type="pct"/>
            <w:vMerge w:val="continue"/>
            <w:vAlign w:val="center"/>
          </w:tcPr>
          <w:p w14:paraId="649F7565">
            <w:pPr>
              <w:keepNext w:val="0"/>
              <w:keepLines w:val="0"/>
              <w:pageBreakBefore w:val="0"/>
              <w:kinsoku/>
              <w:wordWrap/>
              <w:overflowPunct/>
              <w:topLinePunct w:val="0"/>
              <w:bidi w:val="0"/>
              <w:spacing w:line="276" w:lineRule="auto"/>
              <w:ind w:right="36" w:rightChars="17"/>
              <w:rPr>
                <w:rFonts w:ascii="宋体" w:hAnsi="宋体"/>
                <w:sz w:val="21"/>
                <w:szCs w:val="21"/>
              </w:rPr>
            </w:pPr>
          </w:p>
        </w:tc>
        <w:tc>
          <w:tcPr>
            <w:tcW w:w="2662" w:type="pct"/>
            <w:vAlign w:val="center"/>
          </w:tcPr>
          <w:p w14:paraId="25BD6A75">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color w:val="FF0000"/>
                <w:kern w:val="0"/>
                <w:sz w:val="21"/>
                <w:szCs w:val="21"/>
              </w:rPr>
              <w:t>▲3</w:t>
            </w:r>
            <w:r>
              <w:rPr>
                <w:rFonts w:hint="eastAsia" w:ascii="宋体" w:hAnsi="宋体"/>
                <w:b/>
                <w:bCs/>
                <w:color w:val="FF0000"/>
                <w:kern w:val="0"/>
                <w:sz w:val="21"/>
                <w:szCs w:val="21"/>
              </w:rPr>
              <w:t>.支持等价资产管理和等价账号管理，当等价关系设定后，其中一台资产内的账号密码发生变更，等价的资产、账号密码随之自动变更。（投标时提供设备或软件的系统功能截图，截图可证明支持上述功能，并加盖投标人公章）</w:t>
            </w:r>
          </w:p>
        </w:tc>
        <w:tc>
          <w:tcPr>
            <w:tcW w:w="473" w:type="pct"/>
            <w:vAlign w:val="center"/>
          </w:tcPr>
          <w:p w14:paraId="4EC5B84C">
            <w:pPr>
              <w:keepNext w:val="0"/>
              <w:keepLines w:val="0"/>
              <w:pageBreakBefore w:val="0"/>
              <w:kinsoku/>
              <w:wordWrap/>
              <w:overflowPunct/>
              <w:topLinePunct w:val="0"/>
              <w:bidi w:val="0"/>
              <w:spacing w:line="276" w:lineRule="auto"/>
              <w:ind w:right="36" w:rightChars="17"/>
              <w:rPr>
                <w:rFonts w:hint="eastAsia" w:ascii="宋体" w:hAnsi="宋体"/>
                <w:color w:val="FF0000"/>
                <w:kern w:val="0"/>
                <w:sz w:val="21"/>
                <w:szCs w:val="21"/>
              </w:rPr>
            </w:pPr>
          </w:p>
        </w:tc>
        <w:tc>
          <w:tcPr>
            <w:tcW w:w="430" w:type="pct"/>
            <w:vAlign w:val="center"/>
          </w:tcPr>
          <w:p w14:paraId="5BAB3E96">
            <w:pPr>
              <w:keepNext w:val="0"/>
              <w:keepLines w:val="0"/>
              <w:pageBreakBefore w:val="0"/>
              <w:kinsoku/>
              <w:wordWrap/>
              <w:overflowPunct/>
              <w:topLinePunct w:val="0"/>
              <w:bidi w:val="0"/>
              <w:spacing w:line="276" w:lineRule="auto"/>
              <w:ind w:right="36" w:rightChars="17"/>
              <w:rPr>
                <w:rFonts w:hint="eastAsia" w:ascii="宋体" w:hAnsi="宋体"/>
                <w:color w:val="FF0000"/>
                <w:kern w:val="0"/>
                <w:sz w:val="21"/>
                <w:szCs w:val="21"/>
              </w:rPr>
            </w:pPr>
          </w:p>
        </w:tc>
        <w:tc>
          <w:tcPr>
            <w:tcW w:w="399" w:type="pct"/>
            <w:vAlign w:val="center"/>
          </w:tcPr>
          <w:p w14:paraId="37FCA62B">
            <w:pPr>
              <w:keepNext w:val="0"/>
              <w:keepLines w:val="0"/>
              <w:pageBreakBefore w:val="0"/>
              <w:kinsoku/>
              <w:wordWrap/>
              <w:overflowPunct/>
              <w:topLinePunct w:val="0"/>
              <w:bidi w:val="0"/>
              <w:spacing w:line="276" w:lineRule="auto"/>
              <w:ind w:right="36" w:rightChars="17"/>
              <w:rPr>
                <w:rFonts w:hint="eastAsia" w:ascii="宋体" w:hAnsi="宋体"/>
                <w:color w:val="FF0000"/>
                <w:kern w:val="0"/>
                <w:sz w:val="21"/>
                <w:szCs w:val="21"/>
              </w:rPr>
            </w:pPr>
          </w:p>
        </w:tc>
      </w:tr>
      <w:tr w14:paraId="1FB97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242" w:type="pct"/>
            <w:vMerge w:val="continue"/>
            <w:vAlign w:val="center"/>
          </w:tcPr>
          <w:p w14:paraId="7D22884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7330656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43E9BA7A">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4.支持变更单管理功能，管理员可以基于使用人、资产、系统账号、到期时间，来上传、创建值班表模式的权限变更单，变更单无需审批，但可以自动生成时效性的访问权限；当变更单即将到期时，支持管理员点击延期按钮，延长用户访问权限。（投标时提供设备或软件的系统功能截图，截图可证明支持上述功能，并加盖投标人公章）</w:t>
            </w:r>
          </w:p>
        </w:tc>
        <w:tc>
          <w:tcPr>
            <w:tcW w:w="473" w:type="pct"/>
            <w:vAlign w:val="center"/>
          </w:tcPr>
          <w:p w14:paraId="5F2395EC">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vAlign w:val="center"/>
          </w:tcPr>
          <w:p w14:paraId="46037C94">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vAlign w:val="center"/>
          </w:tcPr>
          <w:p w14:paraId="4A6FA855">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4FE4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242" w:type="pct"/>
            <w:vMerge w:val="continue"/>
            <w:vAlign w:val="center"/>
          </w:tcPr>
          <w:p w14:paraId="1C1E0ED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BE15F08">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tcPr>
          <w:p w14:paraId="7F08D946">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5.支持基于A/B角管理模式的双人复核，当用户登录到目标资产时，必须经过复核人的复核确认后才能正常操作；当会话复核人发现操作存在风险，可实时暂停。支持远程授权码授权模式：操作人员访问资产时，只需输入复核人的授权码即可实现授权访问，管理员无需在线值守。（投标时提供设备或软件的系统功能截图，截图可证明支持上述功能，并加盖投标人公章）</w:t>
            </w:r>
          </w:p>
        </w:tc>
        <w:tc>
          <w:tcPr>
            <w:tcW w:w="473" w:type="pct"/>
          </w:tcPr>
          <w:p w14:paraId="2330DA32">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tcPr>
          <w:p w14:paraId="241404E7">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tcPr>
          <w:p w14:paraId="63C9215F">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60CFB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242" w:type="pct"/>
            <w:vMerge w:val="continue"/>
            <w:vAlign w:val="center"/>
          </w:tcPr>
          <w:p w14:paraId="029B6A71">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C0C9769">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0EF7C4FC">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6.内置密码获取工单：申请人可根据需要填写包含目标资产名称、系统账号名称、使用时间段的密码工单；管理员对密码工单审批通过后，系统自动将密码获取链接发送给申请人；申请人打开链接后，可凭借登录密码+解密密码，获取对应的账号密码；工单过期后，系统自动对该账号进行改密操作；（投标时提供设备或软件的系统功能截图，截图可证明支持上述功能，并加盖投标人公章）</w:t>
            </w:r>
          </w:p>
        </w:tc>
        <w:tc>
          <w:tcPr>
            <w:tcW w:w="473" w:type="pct"/>
            <w:vAlign w:val="center"/>
          </w:tcPr>
          <w:p w14:paraId="50AC6453">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vAlign w:val="center"/>
          </w:tcPr>
          <w:p w14:paraId="7D37C1B0">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vAlign w:val="center"/>
          </w:tcPr>
          <w:p w14:paraId="6A4B03F0">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67265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 w:hRule="atLeast"/>
          <w:jc w:val="center"/>
        </w:trPr>
        <w:tc>
          <w:tcPr>
            <w:tcW w:w="242" w:type="pct"/>
            <w:vMerge w:val="continue"/>
            <w:vAlign w:val="center"/>
          </w:tcPr>
          <w:p w14:paraId="36B26ACB">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1AF3E94E">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5BFB8B60">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kern w:val="0"/>
                <w:sz w:val="21"/>
                <w:szCs w:val="21"/>
              </w:rPr>
              <w:t>7.具备命令识别方面的先进性技术，可实现对命令行操作行为的100%记录；具备数据库审计方面的先进性技术，可实现对oracle、sqlserver、mysql数据库客户端操作行为的100%的SQL语句解析审计，非键盘记录；</w:t>
            </w:r>
          </w:p>
        </w:tc>
        <w:tc>
          <w:tcPr>
            <w:tcW w:w="473" w:type="pct"/>
            <w:vAlign w:val="center"/>
          </w:tcPr>
          <w:p w14:paraId="18C28BF0">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3BC4BC15">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3FD58B52">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446E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36" w:hRule="atLeast"/>
          <w:jc w:val="center"/>
        </w:trPr>
        <w:tc>
          <w:tcPr>
            <w:tcW w:w="242" w:type="pct"/>
            <w:vMerge w:val="continue"/>
            <w:vAlign w:val="center"/>
          </w:tcPr>
          <w:p w14:paraId="010943D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453F91FC">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79DF1982">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b/>
                <w:bCs/>
                <w:color w:val="FF0000"/>
                <w:kern w:val="0"/>
                <w:sz w:val="21"/>
                <w:szCs w:val="21"/>
              </w:rPr>
              <w:t>▲8.支持审计可疑会话，将超过一定时长，或会话日志超过一定大小的在线会话视作可疑会话，以告警的形式通知审计人员，并支持审计人员实时查看会话内容，必要时可切断会话。（投标时提供设备或软件的系统功能截图，截图可证明支持上述功能，并加盖投标人公章）</w:t>
            </w:r>
          </w:p>
        </w:tc>
        <w:tc>
          <w:tcPr>
            <w:tcW w:w="473" w:type="pct"/>
            <w:vAlign w:val="center"/>
          </w:tcPr>
          <w:p w14:paraId="5B022B62">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430" w:type="pct"/>
            <w:vAlign w:val="center"/>
          </w:tcPr>
          <w:p w14:paraId="78E046CF">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c>
          <w:tcPr>
            <w:tcW w:w="399" w:type="pct"/>
            <w:vAlign w:val="center"/>
          </w:tcPr>
          <w:p w14:paraId="7BB0CB6E">
            <w:pPr>
              <w:keepNext w:val="0"/>
              <w:keepLines w:val="0"/>
              <w:pageBreakBefore w:val="0"/>
              <w:kinsoku/>
              <w:wordWrap/>
              <w:overflowPunct/>
              <w:topLinePunct w:val="0"/>
              <w:bidi w:val="0"/>
              <w:spacing w:line="276" w:lineRule="auto"/>
              <w:ind w:right="36" w:rightChars="17"/>
              <w:rPr>
                <w:rFonts w:hint="eastAsia" w:ascii="宋体" w:hAnsi="宋体"/>
                <w:b/>
                <w:bCs/>
                <w:color w:val="FF0000"/>
                <w:kern w:val="0"/>
                <w:sz w:val="21"/>
                <w:szCs w:val="21"/>
              </w:rPr>
            </w:pPr>
          </w:p>
        </w:tc>
      </w:tr>
      <w:tr w14:paraId="6F655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242" w:type="pct"/>
            <w:vMerge w:val="restart"/>
            <w:vAlign w:val="center"/>
          </w:tcPr>
          <w:p w14:paraId="7D0BF713">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19</w:t>
            </w:r>
          </w:p>
        </w:tc>
        <w:tc>
          <w:tcPr>
            <w:tcW w:w="791" w:type="pct"/>
            <w:vMerge w:val="restart"/>
            <w:vAlign w:val="center"/>
          </w:tcPr>
          <w:p w14:paraId="2507D4E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r>
              <w:rPr>
                <w:rFonts w:hint="eastAsia" w:ascii="宋体" w:hAnsi="宋体"/>
                <w:sz w:val="21"/>
                <w:szCs w:val="21"/>
              </w:rPr>
              <w:t>★集成服务</w:t>
            </w:r>
          </w:p>
        </w:tc>
        <w:tc>
          <w:tcPr>
            <w:tcW w:w="2662" w:type="pct"/>
            <w:vAlign w:val="center"/>
          </w:tcPr>
          <w:p w14:paraId="324F2AD4">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1. 完成对所有采购内容及相关配套附件等安装、调试，与现有系统及设备的对接，以及正常运行、管理运维等所需环境的改造，包含且不限于功能区隔墙、墙面粉刷、地面防静电地板、强弱电桥架、空调水管系统、新排风管道、消防疏散指示和配套插座照明配电、机柜、空调、新风排风系统等配电、给排水系统、网络综合布线工程、原智能化各系统对接，做到机房各功能区布局合理、安全设备措施完备，达到机房设备正常运行所需的温度、湿度、洁净度及防静电的要求，提供精密空调冷冻水供回水管路系统的产品设计、生产供货、安装调试、售后服务，无缝钢管和各类阀门使用国标优质材料，管路严格保温，合理设置滤网、温度计和压力表等，便于系统维护和保养。</w:t>
            </w:r>
          </w:p>
          <w:p w14:paraId="03DB0ACA">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本项目会组织踏勘，</w:t>
            </w:r>
            <w:r>
              <w:rPr>
                <w:rFonts w:hint="eastAsia" w:ascii="宋体" w:hAnsi="宋体"/>
                <w:b/>
                <w:bCs/>
                <w:color w:val="FF0000"/>
                <w:sz w:val="21"/>
                <w:szCs w:val="21"/>
                <w:highlight w:val="yellow"/>
              </w:rPr>
              <w:t>中标人不得以不了解现场情况为由，不履行施工义务。</w:t>
            </w:r>
            <w:r>
              <w:rPr>
                <w:rFonts w:hint="eastAsia" w:ascii="宋体" w:hAnsi="宋体"/>
                <w:b/>
                <w:color w:val="FF0000"/>
                <w:sz w:val="21"/>
                <w:szCs w:val="21"/>
                <w:highlight w:val="yellow"/>
              </w:rPr>
              <w:t>（投标时提供承诺书并加盖投标人公章，格式自拟）</w:t>
            </w:r>
          </w:p>
        </w:tc>
        <w:tc>
          <w:tcPr>
            <w:tcW w:w="473" w:type="pct"/>
            <w:vAlign w:val="center"/>
          </w:tcPr>
          <w:p w14:paraId="15FD9FBC">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430" w:type="pct"/>
            <w:vAlign w:val="center"/>
          </w:tcPr>
          <w:p w14:paraId="3B2F8437">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c>
          <w:tcPr>
            <w:tcW w:w="399" w:type="pct"/>
            <w:vAlign w:val="center"/>
          </w:tcPr>
          <w:p w14:paraId="03AF346E">
            <w:pPr>
              <w:keepNext w:val="0"/>
              <w:keepLines w:val="0"/>
              <w:pageBreakBefore w:val="0"/>
              <w:kinsoku/>
              <w:wordWrap/>
              <w:overflowPunct/>
              <w:topLinePunct w:val="0"/>
              <w:bidi w:val="0"/>
              <w:spacing w:line="276" w:lineRule="auto"/>
              <w:ind w:right="36" w:rightChars="17"/>
              <w:rPr>
                <w:rFonts w:hint="eastAsia" w:ascii="宋体" w:hAnsi="宋体"/>
                <w:sz w:val="21"/>
                <w:szCs w:val="21"/>
              </w:rPr>
            </w:pPr>
          </w:p>
        </w:tc>
      </w:tr>
      <w:tr w14:paraId="557D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242" w:type="pct"/>
            <w:vMerge w:val="continue"/>
            <w:vAlign w:val="center"/>
          </w:tcPr>
          <w:p w14:paraId="052F51AA">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12FF519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528941AF">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2.为更好保障科研平台的稳定性：</w:t>
            </w:r>
          </w:p>
          <w:p w14:paraId="66560A59">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2.1 投标产品中（以</w:t>
            </w:r>
            <w:r>
              <w:rPr>
                <w:rFonts w:hint="eastAsia" w:ascii="宋体" w:hAnsi="宋体"/>
                <w:kern w:val="0"/>
                <w:sz w:val="21"/>
                <w:szCs w:val="21"/>
                <w:lang w:val="en-US" w:eastAsia="zh-CN"/>
              </w:rPr>
              <w:t>分项报价表</w:t>
            </w:r>
            <w:r>
              <w:rPr>
                <w:rFonts w:hint="eastAsia" w:ascii="宋体" w:hAnsi="宋体"/>
                <w:kern w:val="0"/>
                <w:sz w:val="21"/>
                <w:szCs w:val="21"/>
              </w:rPr>
              <w:t>为准）：</w:t>
            </w:r>
            <w:r>
              <w:rPr>
                <w:rFonts w:hint="eastAsia" w:ascii="宋体" w:hAnsi="宋体"/>
                <w:sz w:val="21"/>
                <w:szCs w:val="21"/>
              </w:rPr>
              <w:t>2.</w:t>
            </w:r>
            <w:r>
              <w:rPr>
                <w:rFonts w:ascii="宋体" w:hAnsi="宋体"/>
                <w:sz w:val="21"/>
                <w:szCs w:val="21"/>
              </w:rPr>
              <w:t>4</w:t>
            </w:r>
            <w:r>
              <w:rPr>
                <w:rFonts w:hint="eastAsia" w:ascii="宋体" w:hAnsi="宋体"/>
                <w:sz w:val="21"/>
                <w:szCs w:val="21"/>
              </w:rPr>
              <w:t>MW配电柜系统（序号7）</w:t>
            </w:r>
            <w:r>
              <w:rPr>
                <w:rFonts w:hint="eastAsia" w:ascii="宋体" w:hAnsi="宋体"/>
                <w:kern w:val="0"/>
                <w:sz w:val="21"/>
                <w:szCs w:val="21"/>
              </w:rPr>
              <w:t>、UPS及功率模块（序号5）、小母线（序号9）三个产品必须为同一品牌；</w:t>
            </w:r>
          </w:p>
          <w:p w14:paraId="12D8B964">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2.2投标产品中（以</w:t>
            </w:r>
            <w:r>
              <w:rPr>
                <w:rFonts w:hint="eastAsia" w:ascii="宋体" w:hAnsi="宋体"/>
                <w:kern w:val="0"/>
                <w:sz w:val="21"/>
                <w:szCs w:val="21"/>
                <w:lang w:val="en-US" w:eastAsia="zh-CN"/>
              </w:rPr>
              <w:t>分项报价表</w:t>
            </w:r>
            <w:r>
              <w:rPr>
                <w:rFonts w:hint="eastAsia" w:ascii="宋体" w:hAnsi="宋体"/>
                <w:kern w:val="0"/>
                <w:sz w:val="21"/>
                <w:szCs w:val="21"/>
              </w:rPr>
              <w:t>为准）：密闭冷通道组件（序号3）、服务器机柜1和2（序号1和2）以及水冷型行间空调（序号11）四个产品必须为同一品牌；</w:t>
            </w:r>
          </w:p>
        </w:tc>
        <w:tc>
          <w:tcPr>
            <w:tcW w:w="473" w:type="pct"/>
            <w:vAlign w:val="center"/>
          </w:tcPr>
          <w:p w14:paraId="28697485">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430" w:type="pct"/>
            <w:vAlign w:val="center"/>
          </w:tcPr>
          <w:p w14:paraId="6FD9758F">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c>
          <w:tcPr>
            <w:tcW w:w="399" w:type="pct"/>
            <w:vAlign w:val="center"/>
          </w:tcPr>
          <w:p w14:paraId="2F23D12B">
            <w:pPr>
              <w:keepNext w:val="0"/>
              <w:keepLines w:val="0"/>
              <w:pageBreakBefore w:val="0"/>
              <w:kinsoku/>
              <w:wordWrap/>
              <w:overflowPunct/>
              <w:topLinePunct w:val="0"/>
              <w:bidi w:val="0"/>
              <w:spacing w:line="276" w:lineRule="auto"/>
              <w:ind w:right="36" w:rightChars="17"/>
              <w:rPr>
                <w:rFonts w:hint="eastAsia" w:ascii="宋体" w:hAnsi="宋体"/>
                <w:kern w:val="0"/>
                <w:sz w:val="21"/>
                <w:szCs w:val="21"/>
              </w:rPr>
            </w:pPr>
          </w:p>
        </w:tc>
      </w:tr>
      <w:tr w14:paraId="63AC6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242" w:type="pct"/>
            <w:vMerge w:val="continue"/>
            <w:vAlign w:val="center"/>
          </w:tcPr>
          <w:p w14:paraId="01B97C4D">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3A5AE6C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61683F98">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3．屏蔽机房需选择具备相关资质的单位进行建设实施，建设规范及设备满足有关部门对电磁屏蔽的要求，建设完成后需通过甲方委托的测评机构的安全检测评估。</w:t>
            </w:r>
          </w:p>
          <w:p w14:paraId="52B08FF1">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3.1技术团队要求</w:t>
            </w:r>
          </w:p>
          <w:p w14:paraId="097907E4">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屏蔽壳体承建单位的专家团队需要具备：项目经理、高级工程师、高级系统集成项目管理师、电气专业贰级或以上注册建造师证书且具备安全生产考核合格证书、备案的安全管理人员、安全员等方面的人才，可以为采购人提供完善的信息安全整套解决方案、及技术咨询、技术服务。</w:t>
            </w:r>
          </w:p>
          <w:p w14:paraId="08F0BCAA">
            <w:pPr>
              <w:keepNext w:val="0"/>
              <w:keepLines w:val="0"/>
              <w:pageBreakBefore w:val="0"/>
              <w:kinsoku/>
              <w:wordWrap/>
              <w:overflowPunct/>
              <w:topLinePunct w:val="0"/>
              <w:bidi w:val="0"/>
              <w:spacing w:line="276" w:lineRule="auto"/>
              <w:rPr>
                <w:rFonts w:ascii="宋体" w:hAnsi="宋体"/>
                <w:kern w:val="0"/>
                <w:sz w:val="21"/>
                <w:szCs w:val="21"/>
              </w:rPr>
            </w:pPr>
            <w:r>
              <w:rPr>
                <w:rFonts w:hint="eastAsia" w:ascii="宋体" w:hAnsi="宋体"/>
                <w:kern w:val="0"/>
                <w:sz w:val="21"/>
                <w:szCs w:val="21"/>
              </w:rPr>
              <w:t>3.2专业检测设备要求</w:t>
            </w:r>
          </w:p>
          <w:p w14:paraId="3CEF7E98">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屏蔽壳体建设完成后，屏蔽壳体承建单位需具备自我检查的能力，能够开展电磁泄漏和传导泄漏检查分析以及屏蔽室的屏蔽效能的检测。</w:t>
            </w:r>
          </w:p>
          <w:p w14:paraId="33BC61D3">
            <w:pPr>
              <w:keepNext w:val="0"/>
              <w:keepLines w:val="0"/>
              <w:pageBreakBefore w:val="0"/>
              <w:kinsoku/>
              <w:wordWrap/>
              <w:overflowPunct/>
              <w:topLinePunct w:val="0"/>
              <w:bidi w:val="0"/>
              <w:spacing w:line="276" w:lineRule="auto"/>
              <w:rPr>
                <w:sz w:val="21"/>
                <w:szCs w:val="21"/>
              </w:rPr>
            </w:pPr>
            <w:r>
              <w:rPr>
                <w:rFonts w:hint="eastAsia" w:ascii="宋体" w:hAnsi="宋体"/>
                <w:b/>
                <w:bCs/>
                <w:color w:val="FF0000"/>
                <w:kern w:val="0"/>
                <w:sz w:val="21"/>
                <w:szCs w:val="21"/>
                <w:highlight w:val="yellow"/>
              </w:rPr>
              <w:t>3.3 服务网点及团队</w:t>
            </w:r>
            <w:r>
              <w:rPr>
                <w:rFonts w:hint="eastAsia" w:ascii="宋体" w:hAnsi="宋体"/>
                <w:b/>
                <w:bCs/>
                <w:color w:val="FF0000"/>
                <w:sz w:val="21"/>
                <w:szCs w:val="21"/>
                <w:highlight w:val="yellow"/>
              </w:rPr>
              <w:t>：投标人承诺中标后提供本地经营（服务）网点，并提供不少于10人的团队服务于本项目。（要求投标时提供承诺函（格式自拟）扫描件或复印件，并加盖投标人公章）</w:t>
            </w:r>
          </w:p>
        </w:tc>
        <w:tc>
          <w:tcPr>
            <w:tcW w:w="473" w:type="pct"/>
            <w:vAlign w:val="center"/>
          </w:tcPr>
          <w:p w14:paraId="0158817E">
            <w:pPr>
              <w:keepNext w:val="0"/>
              <w:keepLines w:val="0"/>
              <w:pageBreakBefore w:val="0"/>
              <w:kinsoku/>
              <w:wordWrap/>
              <w:overflowPunct/>
              <w:topLinePunct w:val="0"/>
              <w:bidi w:val="0"/>
              <w:spacing w:line="276" w:lineRule="auto"/>
              <w:rPr>
                <w:rFonts w:hint="eastAsia" w:ascii="宋体" w:hAnsi="宋体"/>
                <w:b/>
                <w:bCs/>
                <w:color w:val="FF0000"/>
                <w:kern w:val="0"/>
                <w:sz w:val="21"/>
                <w:szCs w:val="21"/>
                <w:highlight w:val="yellow"/>
              </w:rPr>
            </w:pPr>
          </w:p>
        </w:tc>
        <w:tc>
          <w:tcPr>
            <w:tcW w:w="430" w:type="pct"/>
            <w:vAlign w:val="center"/>
          </w:tcPr>
          <w:p w14:paraId="6D7A51EB">
            <w:pPr>
              <w:keepNext w:val="0"/>
              <w:keepLines w:val="0"/>
              <w:pageBreakBefore w:val="0"/>
              <w:kinsoku/>
              <w:wordWrap/>
              <w:overflowPunct/>
              <w:topLinePunct w:val="0"/>
              <w:bidi w:val="0"/>
              <w:spacing w:line="276" w:lineRule="auto"/>
              <w:rPr>
                <w:rFonts w:hint="eastAsia" w:ascii="宋体" w:hAnsi="宋体"/>
                <w:b/>
                <w:bCs/>
                <w:color w:val="FF0000"/>
                <w:kern w:val="0"/>
                <w:sz w:val="21"/>
                <w:szCs w:val="21"/>
                <w:highlight w:val="yellow"/>
              </w:rPr>
            </w:pPr>
          </w:p>
        </w:tc>
        <w:tc>
          <w:tcPr>
            <w:tcW w:w="399" w:type="pct"/>
            <w:vAlign w:val="center"/>
          </w:tcPr>
          <w:p w14:paraId="0571AE3D">
            <w:pPr>
              <w:keepNext w:val="0"/>
              <w:keepLines w:val="0"/>
              <w:pageBreakBefore w:val="0"/>
              <w:kinsoku/>
              <w:wordWrap/>
              <w:overflowPunct/>
              <w:topLinePunct w:val="0"/>
              <w:bidi w:val="0"/>
              <w:spacing w:line="276" w:lineRule="auto"/>
              <w:rPr>
                <w:rFonts w:hint="eastAsia" w:ascii="宋体" w:hAnsi="宋体"/>
                <w:b/>
                <w:bCs/>
                <w:color w:val="FF0000"/>
                <w:kern w:val="0"/>
                <w:sz w:val="21"/>
                <w:szCs w:val="21"/>
                <w:highlight w:val="yellow"/>
              </w:rPr>
            </w:pPr>
          </w:p>
        </w:tc>
      </w:tr>
      <w:tr w14:paraId="64E30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 w:hRule="atLeast"/>
          <w:jc w:val="center"/>
        </w:trPr>
        <w:tc>
          <w:tcPr>
            <w:tcW w:w="242" w:type="pct"/>
            <w:vMerge w:val="continue"/>
            <w:vAlign w:val="center"/>
          </w:tcPr>
          <w:p w14:paraId="380088DF">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791" w:type="pct"/>
            <w:vMerge w:val="continue"/>
            <w:vAlign w:val="center"/>
          </w:tcPr>
          <w:p w14:paraId="2D3FB015">
            <w:pPr>
              <w:keepNext w:val="0"/>
              <w:keepLines w:val="0"/>
              <w:pageBreakBefore w:val="0"/>
              <w:widowControl/>
              <w:kinsoku/>
              <w:wordWrap/>
              <w:overflowPunct/>
              <w:topLinePunct w:val="0"/>
              <w:bidi w:val="0"/>
              <w:spacing w:line="276" w:lineRule="auto"/>
              <w:ind w:right="36" w:rightChars="17"/>
              <w:jc w:val="center"/>
              <w:rPr>
                <w:rFonts w:ascii="宋体" w:hAnsi="宋体"/>
                <w:sz w:val="21"/>
                <w:szCs w:val="21"/>
              </w:rPr>
            </w:pPr>
          </w:p>
        </w:tc>
        <w:tc>
          <w:tcPr>
            <w:tcW w:w="2662" w:type="pct"/>
            <w:vAlign w:val="center"/>
          </w:tcPr>
          <w:p w14:paraId="09DD367E">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 xml:space="preserve">4. </w:t>
            </w:r>
            <w:r>
              <w:rPr>
                <w:rFonts w:hint="eastAsia" w:ascii="宋体" w:hAnsi="宋体"/>
                <w:kern w:val="0"/>
                <w:sz w:val="21"/>
                <w:szCs w:val="21"/>
              </w:rPr>
              <w:t>配电系统提供一体化服务，包含产品设计生产、工程组装调试、现场督导、售后服务等，并接入动环系统，提供统一的管理界面。</w:t>
            </w:r>
          </w:p>
          <w:p w14:paraId="0F0C9498">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5.给排水系统包含但不限于给排水管道、阀门、水表、磁性密封防干涸地漏、检查口及其安装工程等内容。</w:t>
            </w:r>
          </w:p>
          <w:p w14:paraId="03C1B454">
            <w:pPr>
              <w:keepNext w:val="0"/>
              <w:keepLines w:val="0"/>
              <w:pageBreakBefore w:val="0"/>
              <w:kinsoku/>
              <w:wordWrap/>
              <w:overflowPunct/>
              <w:topLinePunct w:val="0"/>
              <w:bidi w:val="0"/>
              <w:spacing w:line="276" w:lineRule="auto"/>
              <w:rPr>
                <w:rFonts w:ascii="宋体" w:hAnsi="宋体"/>
                <w:sz w:val="21"/>
                <w:szCs w:val="21"/>
              </w:rPr>
            </w:pPr>
            <w:r>
              <w:rPr>
                <w:rFonts w:hint="eastAsia" w:ascii="宋体" w:hAnsi="宋体"/>
                <w:sz w:val="21"/>
                <w:szCs w:val="21"/>
              </w:rPr>
              <w:t xml:space="preserve">（1）增加排水地漏及排水管道                              </w:t>
            </w:r>
          </w:p>
          <w:p w14:paraId="53F93569">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（2）增加补水管及阀门</w:t>
            </w:r>
          </w:p>
          <w:p w14:paraId="2963FA5D">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 xml:space="preserve">6. </w:t>
            </w:r>
            <w:r>
              <w:rPr>
                <w:rFonts w:hint="eastAsia" w:ascii="宋体" w:hAnsi="宋体"/>
                <w:kern w:val="0"/>
                <w:sz w:val="21"/>
                <w:szCs w:val="21"/>
              </w:rPr>
              <w:t>网络综合布线设备：</w:t>
            </w:r>
          </w:p>
          <w:p w14:paraId="32902ABD">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（1）包括本项目通信由室外引至一层汇聚机房，再由汇聚机房引至二层微模块机柜内通讯，网络，电缆，光纤，网格桥架，光纤槽等所有通信设备。</w:t>
            </w:r>
          </w:p>
          <w:p w14:paraId="023BBC51">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（2）包括ECC办公，操作台和机房内网络通讯电缆，桥架等综合布线设备。</w:t>
            </w:r>
          </w:p>
          <w:p w14:paraId="51BF82C0">
            <w:pPr>
              <w:keepNext w:val="0"/>
              <w:keepLines w:val="0"/>
              <w:pageBreakBefore w:val="0"/>
              <w:kinsoku/>
              <w:wordWrap/>
              <w:overflowPunct/>
              <w:topLinePunct w:val="0"/>
              <w:bidi w:val="0"/>
              <w:spacing w:line="276" w:lineRule="auto"/>
              <w:ind w:right="36" w:rightChars="17"/>
              <w:rPr>
                <w:rFonts w:ascii="宋体" w:hAnsi="宋体"/>
                <w:sz w:val="21"/>
                <w:szCs w:val="21"/>
              </w:rPr>
            </w:pPr>
            <w:r>
              <w:rPr>
                <w:rFonts w:hint="eastAsia" w:ascii="宋体" w:hAnsi="宋体"/>
                <w:sz w:val="21"/>
                <w:szCs w:val="21"/>
              </w:rPr>
              <w:t>（3）设计OM4的预端接光纤，尾纤，UTP网线，光纤配线架，网络柜等。</w:t>
            </w:r>
          </w:p>
          <w:p w14:paraId="42E2018A">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sz w:val="21"/>
                <w:szCs w:val="21"/>
              </w:rPr>
              <w:t xml:space="preserve">7. </w:t>
            </w:r>
            <w:r>
              <w:rPr>
                <w:rFonts w:hint="eastAsia" w:ascii="宋体" w:hAnsi="宋体"/>
                <w:kern w:val="0"/>
                <w:sz w:val="21"/>
                <w:szCs w:val="21"/>
              </w:rPr>
              <w:t>智能化系统在园区已有系统上扩容：</w:t>
            </w:r>
          </w:p>
          <w:p w14:paraId="0D997CBB">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（1）监控系统：包括数据机房内的微模块内通道对射监控、机房内监控至ECC监控机柜内设备，管线，桥架，存储设施。</w:t>
            </w:r>
          </w:p>
          <w:p w14:paraId="35766F9C">
            <w:pPr>
              <w:keepNext w:val="0"/>
              <w:keepLines w:val="0"/>
              <w:pageBreakBefore w:val="0"/>
              <w:kinsoku/>
              <w:wordWrap/>
              <w:overflowPunct/>
              <w:topLinePunct w:val="0"/>
              <w:bidi w:val="0"/>
              <w:spacing w:line="276" w:lineRule="auto"/>
              <w:ind w:right="36" w:rightChars="17"/>
              <w:rPr>
                <w:rFonts w:ascii="宋体" w:hAnsi="宋体"/>
                <w:kern w:val="0"/>
                <w:sz w:val="21"/>
                <w:szCs w:val="21"/>
              </w:rPr>
            </w:pPr>
            <w:r>
              <w:rPr>
                <w:rFonts w:hint="eastAsia" w:ascii="宋体" w:hAnsi="宋体"/>
                <w:kern w:val="0"/>
                <w:sz w:val="21"/>
                <w:szCs w:val="21"/>
              </w:rPr>
              <w:t>（2）BA系统：包括电力监控系统，漏水检测系统等所有管线，机组等设施。</w:t>
            </w:r>
          </w:p>
          <w:p w14:paraId="77BE0B9E">
            <w:pPr>
              <w:keepNext w:val="0"/>
              <w:keepLines w:val="0"/>
              <w:pageBreakBefore w:val="0"/>
              <w:kinsoku/>
              <w:wordWrap/>
              <w:overflowPunct/>
              <w:topLinePunct w:val="0"/>
              <w:bidi w:val="0"/>
              <w:spacing w:line="276" w:lineRule="auto"/>
              <w:rPr>
                <w:rFonts w:ascii="宋体" w:hAnsi="宋体"/>
                <w:b/>
                <w:bCs/>
                <w:color w:val="FF0000"/>
                <w:kern w:val="0"/>
                <w:sz w:val="21"/>
                <w:szCs w:val="21"/>
              </w:rPr>
            </w:pPr>
            <w:r>
              <w:rPr>
                <w:rFonts w:hint="eastAsia" w:ascii="宋体" w:hAnsi="宋体"/>
                <w:kern w:val="0"/>
                <w:sz w:val="21"/>
                <w:szCs w:val="21"/>
              </w:rPr>
              <w:t>（3）门禁系统：包括机房，电池室，电力室，空调间，ECC及其他房间的门禁设备，包括门禁控制器，感应读卡器，电磁锁及其软件设备。</w:t>
            </w:r>
          </w:p>
        </w:tc>
        <w:tc>
          <w:tcPr>
            <w:tcW w:w="473" w:type="pct"/>
            <w:vAlign w:val="center"/>
          </w:tcPr>
          <w:p w14:paraId="16F3EE62">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430" w:type="pct"/>
            <w:vAlign w:val="center"/>
          </w:tcPr>
          <w:p w14:paraId="7848CBF6">
            <w:pPr>
              <w:keepNext w:val="0"/>
              <w:keepLines w:val="0"/>
              <w:pageBreakBefore w:val="0"/>
              <w:kinsoku/>
              <w:wordWrap/>
              <w:overflowPunct/>
              <w:topLinePunct w:val="0"/>
              <w:bidi w:val="0"/>
              <w:spacing w:line="276" w:lineRule="auto"/>
              <w:rPr>
                <w:rFonts w:hint="eastAsia" w:ascii="宋体" w:hAnsi="宋体"/>
                <w:kern w:val="0"/>
                <w:sz w:val="21"/>
                <w:szCs w:val="21"/>
              </w:rPr>
            </w:pPr>
          </w:p>
        </w:tc>
        <w:tc>
          <w:tcPr>
            <w:tcW w:w="399" w:type="pct"/>
            <w:vAlign w:val="center"/>
          </w:tcPr>
          <w:p w14:paraId="55202987">
            <w:pPr>
              <w:keepNext w:val="0"/>
              <w:keepLines w:val="0"/>
              <w:pageBreakBefore w:val="0"/>
              <w:kinsoku/>
              <w:wordWrap/>
              <w:overflowPunct/>
              <w:topLinePunct w:val="0"/>
              <w:bidi w:val="0"/>
              <w:spacing w:line="276" w:lineRule="auto"/>
              <w:rPr>
                <w:rFonts w:hint="eastAsia" w:ascii="宋体" w:hAnsi="宋体"/>
                <w:kern w:val="0"/>
                <w:sz w:val="21"/>
                <w:szCs w:val="21"/>
              </w:rPr>
            </w:pPr>
          </w:p>
        </w:tc>
      </w:tr>
    </w:tbl>
    <w:p w14:paraId="2AF0E1DB">
      <w:pPr>
        <w:rPr>
          <w:rFonts w:hint="eastAsia"/>
          <w:szCs w:val="21"/>
        </w:rPr>
      </w:pPr>
    </w:p>
    <w:p w14:paraId="3722DEBB">
      <w:pPr>
        <w:rPr>
          <w:szCs w:val="21"/>
        </w:rPr>
      </w:pPr>
      <w:r>
        <w:rPr>
          <w:rFonts w:hint="eastAsia"/>
          <w:szCs w:val="21"/>
        </w:rPr>
        <w:t>证明资料【如有的话，提供的证明资料应统一编号（排序），格式自定】：</w:t>
      </w:r>
    </w:p>
    <w:p w14:paraId="302A035A">
      <w:pPr>
        <w:ind w:firstLine="422" w:firstLineChars="200"/>
        <w:rPr>
          <w:b/>
          <w:szCs w:val="21"/>
        </w:rPr>
      </w:pPr>
    </w:p>
    <w:p w14:paraId="11166EC7">
      <w:pPr>
        <w:ind w:firstLine="420" w:firstLineChars="200"/>
        <w:rPr>
          <w:bCs/>
          <w:szCs w:val="21"/>
        </w:rPr>
      </w:pPr>
      <w:r>
        <w:rPr>
          <w:rFonts w:hint="eastAsia"/>
          <w:bCs/>
          <w:szCs w:val="21"/>
        </w:rPr>
        <w:t>《技术要求偏离表》编制指引：</w:t>
      </w:r>
    </w:p>
    <w:p w14:paraId="1B165A37">
      <w:pPr>
        <w:ind w:firstLine="420" w:firstLineChars="200"/>
        <w:rPr>
          <w:bCs/>
          <w:szCs w:val="21"/>
        </w:rPr>
      </w:pPr>
      <w:r>
        <w:rPr>
          <w:rFonts w:hint="eastAsia"/>
          <w:bCs/>
          <w:szCs w:val="21"/>
        </w:rPr>
        <w:t>1、技术要求偏离表的序号、</w:t>
      </w:r>
      <w:r>
        <w:rPr>
          <w:rFonts w:hint="eastAsia" w:ascii="宋体" w:hAnsi="宋体" w:cs="宋体"/>
          <w:szCs w:val="21"/>
        </w:rPr>
        <w:t>招标技术指标名称</w:t>
      </w:r>
      <w:r>
        <w:rPr>
          <w:rFonts w:hint="eastAsia"/>
          <w:bCs/>
          <w:szCs w:val="21"/>
        </w:rPr>
        <w:t>、招标技术要求等栏目对应“用户需求书”中的“技术要求”章节相关内容。</w:t>
      </w:r>
    </w:p>
    <w:p w14:paraId="08ECCD30">
      <w:pPr>
        <w:pStyle w:val="39"/>
        <w:widowControl/>
        <w:spacing w:beforeAutospacing="0" w:afterAutospacing="0"/>
        <w:ind w:firstLine="420" w:firstLineChars="200"/>
        <w:jc w:val="both"/>
        <w:outlineLvl w:val="1"/>
        <w:rPr>
          <w:bCs/>
          <w:color w:val="FF0000"/>
          <w:kern w:val="2"/>
          <w:sz w:val="21"/>
          <w:szCs w:val="21"/>
        </w:rPr>
      </w:pPr>
      <w:r>
        <w:rPr>
          <w:bCs/>
          <w:sz w:val="21"/>
          <w:szCs w:val="21"/>
        </w:rPr>
        <w:t>2</w:t>
      </w:r>
      <w:r>
        <w:rPr>
          <w:rFonts w:hint="eastAsia"/>
          <w:bCs/>
          <w:sz w:val="21"/>
          <w:szCs w:val="21"/>
        </w:rPr>
        <w:t>、“投标技术响应”一栏必须一一对照“招标技术要求”，详细填写投标人自身投标货物的具体参数，而不能不合理照搬照抄招标文件的技术要求，以体现具体响应情况。</w:t>
      </w:r>
      <w:r>
        <w:rPr>
          <w:rFonts w:hint="eastAsia"/>
          <w:bCs/>
          <w:color w:val="FF0000"/>
          <w:kern w:val="2"/>
          <w:sz w:val="21"/>
          <w:szCs w:val="21"/>
        </w:rPr>
        <w:t>“投标技术响应”必须与所投产品客观实际保持一致，响应不实且情节严重的，经查实，将依法记入供应商诚信档案或受到行政处罚。</w:t>
      </w:r>
    </w:p>
    <w:p w14:paraId="25CC7BCC">
      <w:pPr>
        <w:ind w:firstLine="420" w:firstLineChars="200"/>
        <w:rPr>
          <w:bCs/>
          <w:color w:val="FF0000"/>
          <w:szCs w:val="21"/>
        </w:rPr>
      </w:pPr>
      <w:r>
        <w:rPr>
          <w:bCs/>
          <w:szCs w:val="21"/>
        </w:rPr>
        <w:t>3</w:t>
      </w:r>
      <w:r>
        <w:rPr>
          <w:rFonts w:hint="eastAsia"/>
          <w:bCs/>
          <w:szCs w:val="21"/>
        </w:rPr>
        <w:t>、“偏离情况”一栏填写如实填写“正偏离”、“负偏离”或“无偏离”，其中：“正偏离”表示“投标响应优于招标技术要求”，“负偏离”表示“投标响应不满足招标技术要求”，“无偏离”表示“投标响应与招标技术要求一致”。“投标技术响应”对比“招标技术要求”存在响应不全（包括未响应整项招标技术要求或者未响应一项招标技术要求的部分内容），均视为“负偏离”。带★号条款为不可负偏离条款，不作为评分准则中的评分内容，如未响应或出现负偏离的，将做投标无效处理。</w:t>
      </w:r>
      <w:r>
        <w:rPr>
          <w:rFonts w:hint="eastAsia"/>
          <w:bCs/>
          <w:color w:val="FF0000"/>
          <w:szCs w:val="21"/>
        </w:rPr>
        <w:t>“偏离情况”必须与所投产品客观实际保持一致，响应不实且情节严重的，经查实，将依法记入供应商诚信档案或受到行政处罚。</w:t>
      </w:r>
    </w:p>
    <w:p w14:paraId="38C17F6C">
      <w:pPr>
        <w:ind w:firstLine="420" w:firstLineChars="200"/>
        <w:rPr>
          <w:bCs/>
          <w:szCs w:val="21"/>
        </w:rPr>
      </w:pPr>
      <w:r>
        <w:rPr>
          <w:bCs/>
          <w:szCs w:val="21"/>
        </w:rPr>
        <w:t>4</w:t>
      </w:r>
      <w:r>
        <w:rPr>
          <w:rFonts w:hint="eastAsia"/>
          <w:bCs/>
          <w:szCs w:val="21"/>
        </w:rPr>
        <w:t>、未要求提供证明资料的招标技术要求，可以不提供证明资料（如实响应即可）。</w:t>
      </w:r>
    </w:p>
    <w:p w14:paraId="653CF0A0">
      <w:pPr>
        <w:ind w:firstLine="420" w:firstLineChars="200"/>
        <w:rPr>
          <w:bCs/>
          <w:szCs w:val="21"/>
        </w:rPr>
      </w:pPr>
      <w:r>
        <w:rPr>
          <w:rFonts w:hint="eastAsia"/>
          <w:bCs/>
          <w:szCs w:val="21"/>
        </w:rPr>
        <w:t>5、</w:t>
      </w:r>
      <w:bookmarkStart w:id="68" w:name="_Hlk72096106"/>
      <w:r>
        <w:rPr>
          <w:rFonts w:hint="eastAsia"/>
          <w:bCs/>
          <w:szCs w:val="21"/>
        </w:rPr>
        <w:t>证明资料条款响应要求</w:t>
      </w:r>
      <w:bookmarkEnd w:id="68"/>
      <w:r>
        <w:rPr>
          <w:rFonts w:hint="eastAsia"/>
          <w:bCs/>
          <w:szCs w:val="21"/>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69" w:name="_Hlk73558782"/>
      <w:r>
        <w:rPr>
          <w:rFonts w:hint="eastAsia"/>
          <w:bCs/>
          <w:szCs w:val="21"/>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70" w:name="_Hlk73558164"/>
      <w:r>
        <w:rPr>
          <w:rFonts w:hint="eastAsia"/>
          <w:bCs/>
          <w:szCs w:val="21"/>
        </w:rPr>
        <w:t>且投标人在“偏离情况”一栏响应为“正偏离”或“无偏离”的，经评审委员会认定，将判定为负偏离。</w:t>
      </w:r>
      <w:bookmarkEnd w:id="69"/>
      <w:bookmarkEnd w:id="70"/>
    </w:p>
    <w:p w14:paraId="1B6D7B6B">
      <w:pPr>
        <w:ind w:firstLine="420" w:firstLineChars="200"/>
        <w:rPr>
          <w:bCs/>
          <w:szCs w:val="21"/>
        </w:rPr>
      </w:pPr>
      <w:r>
        <w:rPr>
          <w:rFonts w:hint="eastAsia"/>
          <w:bCs/>
          <w:szCs w:val="21"/>
        </w:rPr>
        <w:t>6、</w:t>
      </w:r>
      <w:bookmarkStart w:id="71" w:name="_Hlk72096137"/>
      <w:r>
        <w:rPr>
          <w:rFonts w:hint="eastAsia"/>
          <w:bCs/>
          <w:szCs w:val="21"/>
        </w:rPr>
        <w:t>表后“证明资料”部分内容的编制</w:t>
      </w:r>
      <w:bookmarkEnd w:id="71"/>
      <w:r>
        <w:rPr>
          <w:rFonts w:hint="eastAsia"/>
          <w:bCs/>
          <w:szCs w:val="21"/>
        </w:rPr>
        <w:t>：提供的所有证明资料应当统一编号（排序），且证明资料的编号（顺序）、数量和名称（形式）均应与“说明”一栏所填内容保持一致（一一对应），以便评审委员会查看。</w:t>
      </w:r>
      <w:bookmarkStart w:id="72" w:name="_Hlk73558180"/>
      <w:r>
        <w:rPr>
          <w:rFonts w:hint="eastAsia"/>
          <w:bCs/>
          <w:szCs w:val="21"/>
        </w:rPr>
        <w:t>未按照招标文件要求在表后放置证明材料的供应商将承担不利后果，经评审委员会认定，相关技术要求将判定为负偏离。</w:t>
      </w:r>
      <w:bookmarkEnd w:id="72"/>
    </w:p>
    <w:p w14:paraId="34568D00">
      <w:pPr>
        <w:ind w:firstLine="420" w:firstLineChars="200"/>
        <w:rPr>
          <w:bCs/>
          <w:szCs w:val="21"/>
        </w:rPr>
      </w:pPr>
      <w:r>
        <w:rPr>
          <w:rFonts w:hint="eastAsia"/>
          <w:bCs/>
          <w:szCs w:val="21"/>
        </w:rPr>
        <w:t>7、证明资料的形式及其它具体要求：</w:t>
      </w:r>
    </w:p>
    <w:p w14:paraId="6777C94F">
      <w:pPr>
        <w:ind w:firstLine="420" w:firstLineChars="200"/>
        <w:rPr>
          <w:bCs/>
          <w:szCs w:val="21"/>
        </w:rPr>
      </w:pPr>
      <w:r>
        <w:rPr>
          <w:rFonts w:hint="eastAsia"/>
          <w:bCs/>
          <w:szCs w:val="21"/>
        </w:rPr>
        <w:t>（1）除照片、图片（截图）及不需加盖公章的文字说明（技术说明）外，其它证明资料均要求为原件扫描件；</w:t>
      </w:r>
    </w:p>
    <w:p w14:paraId="6AB34CA9">
      <w:pPr>
        <w:ind w:firstLine="420" w:firstLineChars="200"/>
        <w:rPr>
          <w:bCs/>
          <w:szCs w:val="21"/>
        </w:rPr>
      </w:pPr>
      <w:r>
        <w:rPr>
          <w:rFonts w:hint="eastAsia"/>
          <w:bCs/>
          <w:szCs w:val="21"/>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14:paraId="57FAAC05">
      <w:pPr>
        <w:ind w:firstLine="420" w:firstLineChars="200"/>
        <w:rPr>
          <w:bCs/>
          <w:szCs w:val="21"/>
        </w:rPr>
      </w:pPr>
      <w:r>
        <w:rPr>
          <w:rFonts w:hint="eastAsia"/>
          <w:bCs/>
          <w:szCs w:val="21"/>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14:paraId="18291DAF">
      <w:pPr>
        <w:ind w:firstLine="420" w:firstLineChars="200"/>
        <w:rPr>
          <w:bCs/>
          <w:szCs w:val="21"/>
        </w:rPr>
      </w:pPr>
      <w:r>
        <w:rPr>
          <w:rFonts w:hint="eastAsia"/>
          <w:bCs/>
          <w:szCs w:val="21"/>
        </w:rPr>
        <w:t>我国政府机构出具的产品检验和核准证件应为证件正面、背面和附件标注的全部具体内容；产品检验和核准证件的尺寸和清晰度应该能够在电脑上被阅读、识别和判断；</w:t>
      </w:r>
    </w:p>
    <w:p w14:paraId="1B7C1C38">
      <w:pPr>
        <w:ind w:firstLine="420" w:firstLineChars="200"/>
        <w:rPr>
          <w:bCs/>
          <w:szCs w:val="21"/>
        </w:rPr>
      </w:pPr>
      <w:r>
        <w:rPr>
          <w:rFonts w:hint="eastAsia"/>
          <w:bCs/>
          <w:szCs w:val="21"/>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14:paraId="168A06CC">
      <w:pPr>
        <w:ind w:firstLine="420" w:firstLineChars="200"/>
        <w:rPr>
          <w:bCs/>
          <w:szCs w:val="21"/>
        </w:rPr>
      </w:pPr>
      <w:r>
        <w:rPr>
          <w:rFonts w:hint="eastAsia"/>
          <w:bCs/>
          <w:szCs w:val="21"/>
        </w:rPr>
        <w:t>其它证明资料的形式要求参照以上要求执行；</w:t>
      </w:r>
    </w:p>
    <w:p w14:paraId="52917C9A">
      <w:pPr>
        <w:ind w:firstLine="420" w:firstLineChars="200"/>
        <w:rPr>
          <w:bCs/>
          <w:szCs w:val="21"/>
        </w:rPr>
      </w:pPr>
      <w:r>
        <w:rPr>
          <w:rFonts w:hint="eastAsia"/>
          <w:bCs/>
          <w:szCs w:val="21"/>
        </w:rPr>
        <w:t>8、其它注意事项：</w:t>
      </w:r>
    </w:p>
    <w:p w14:paraId="06D4491D">
      <w:pPr>
        <w:ind w:firstLine="420" w:firstLineChars="200"/>
        <w:rPr>
          <w:bCs/>
          <w:szCs w:val="21"/>
        </w:rPr>
      </w:pPr>
      <w:r>
        <w:rPr>
          <w:rFonts w:hint="eastAsia"/>
          <w:bCs/>
          <w:szCs w:val="21"/>
        </w:rPr>
        <w:t>（1）评审委员会有权对投标人的响应情况作出判断（评审结论）；</w:t>
      </w:r>
    </w:p>
    <w:p w14:paraId="726B7FD0">
      <w:pPr>
        <w:ind w:firstLine="420" w:firstLineChars="200"/>
        <w:rPr>
          <w:bCs/>
          <w:szCs w:val="21"/>
        </w:rPr>
      </w:pPr>
      <w:r>
        <w:rPr>
          <w:rFonts w:hint="eastAsia"/>
          <w:bCs/>
          <w:szCs w:val="21"/>
        </w:rPr>
        <w:t>（2）</w:t>
      </w:r>
      <w:bookmarkStart w:id="73" w:name="_Hlk72158213"/>
      <w:r>
        <w:rPr>
          <w:rFonts w:hint="eastAsia"/>
          <w:bCs/>
          <w:szCs w:val="21"/>
        </w:rPr>
        <w:t>评审委员会有权对以谋取中标为目的的技术规格模糊响应（如有意不合理照搬照抄招标文件的技术要求）或虚假响应予以认定，并视情况经政府集中采购机构报主管部门进行处理。</w:t>
      </w:r>
      <w:bookmarkEnd w:id="73"/>
    </w:p>
    <w:p w14:paraId="0CD95BE1">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47226F0D">
      <w:pPr>
        <w:spacing w:line="360" w:lineRule="auto"/>
        <w:ind w:firstLine="5040" w:firstLineChars="2400"/>
        <w:jc w:val="left"/>
        <w:rPr>
          <w:rFonts w:ascii="宋体" w:hAnsi="宋体" w:cs="宋体"/>
          <w:szCs w:val="21"/>
        </w:rPr>
      </w:pPr>
      <w:r>
        <w:rPr>
          <w:rFonts w:hint="eastAsia" w:ascii="宋体" w:hAnsi="宋体" w:cs="宋体"/>
          <w:szCs w:val="21"/>
        </w:rPr>
        <w:t>法定代表人签名或签章：</w:t>
      </w:r>
    </w:p>
    <w:p w14:paraId="35D325F2">
      <w:pPr>
        <w:wordWrap w:val="0"/>
        <w:jc w:val="right"/>
        <w:rPr>
          <w:sz w:val="24"/>
        </w:rPr>
      </w:pPr>
      <w:r>
        <w:rPr>
          <w:rFonts w:hint="eastAsia" w:ascii="宋体" w:hAnsi="宋体" w:cs="宋体"/>
          <w:szCs w:val="21"/>
        </w:rPr>
        <w:t xml:space="preserve">日期：      年    月    日     </w:t>
      </w:r>
    </w:p>
    <w:bookmarkEnd w:id="67"/>
    <w:p w14:paraId="21DFFA2E">
      <w:pPr>
        <w:rPr>
          <w:sz w:val="24"/>
        </w:rPr>
      </w:pPr>
    </w:p>
    <w:p w14:paraId="14CF778F">
      <w:pPr>
        <w:pStyle w:val="5"/>
        <w:numPr>
          <w:ilvl w:val="0"/>
          <w:numId w:val="9"/>
        </w:numPr>
        <w:jc w:val="center"/>
        <w:rPr>
          <w:rFonts w:hint="eastAsia" w:ascii="黑体" w:eastAsia="黑体"/>
          <w:b w:val="0"/>
          <w:bCs w:val="0"/>
          <w:sz w:val="24"/>
          <w:szCs w:val="20"/>
        </w:rPr>
      </w:pPr>
      <w:r>
        <w:rPr>
          <w:rFonts w:hint="eastAsia" w:ascii="黑体" w:eastAsia="黑体"/>
          <w:b w:val="0"/>
          <w:bCs w:val="0"/>
          <w:sz w:val="24"/>
          <w:szCs w:val="20"/>
        </w:rPr>
        <w:t>商务要求偏离表</w:t>
      </w:r>
    </w:p>
    <w:tbl>
      <w:tblPr>
        <w:tblStyle w:val="4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674"/>
        <w:gridCol w:w="4776"/>
        <w:gridCol w:w="970"/>
        <w:gridCol w:w="770"/>
        <w:gridCol w:w="757"/>
      </w:tblGrid>
      <w:tr w14:paraId="33F2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4" w:type="pct"/>
            <w:tcBorders>
              <w:top w:val="single" w:color="auto" w:sz="4" w:space="0"/>
              <w:left w:val="single" w:color="auto" w:sz="4" w:space="0"/>
              <w:bottom w:val="single" w:color="auto" w:sz="4" w:space="0"/>
              <w:right w:val="single" w:color="auto" w:sz="4" w:space="0"/>
            </w:tcBorders>
            <w:vAlign w:val="center"/>
          </w:tcPr>
          <w:p w14:paraId="7B4B7C68">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序号</w:t>
            </w:r>
          </w:p>
        </w:tc>
        <w:tc>
          <w:tcPr>
            <w:tcW w:w="395" w:type="pct"/>
            <w:tcBorders>
              <w:top w:val="single" w:color="auto" w:sz="4" w:space="0"/>
              <w:left w:val="single" w:color="auto" w:sz="4" w:space="0"/>
              <w:bottom w:val="single" w:color="auto" w:sz="4" w:space="0"/>
              <w:right w:val="single" w:color="auto" w:sz="4" w:space="0"/>
            </w:tcBorders>
            <w:vAlign w:val="center"/>
          </w:tcPr>
          <w:p w14:paraId="16F44413">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目录</w:t>
            </w:r>
          </w:p>
        </w:tc>
        <w:tc>
          <w:tcPr>
            <w:tcW w:w="2803" w:type="pct"/>
            <w:tcBorders>
              <w:top w:val="single" w:color="auto" w:sz="4" w:space="0"/>
              <w:left w:val="single" w:color="auto" w:sz="4" w:space="0"/>
              <w:bottom w:val="single" w:color="auto" w:sz="4" w:space="0"/>
              <w:right w:val="single" w:color="auto" w:sz="4" w:space="0"/>
            </w:tcBorders>
            <w:vAlign w:val="center"/>
          </w:tcPr>
          <w:p w14:paraId="5304C03A">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商务需求</w:t>
            </w:r>
          </w:p>
        </w:tc>
        <w:tc>
          <w:tcPr>
            <w:tcW w:w="569" w:type="pct"/>
            <w:tcBorders>
              <w:top w:val="single" w:color="auto" w:sz="4" w:space="0"/>
              <w:left w:val="single" w:color="auto" w:sz="4" w:space="0"/>
              <w:bottom w:val="single" w:color="auto" w:sz="4" w:space="0"/>
              <w:right w:val="single" w:color="auto" w:sz="4" w:space="0"/>
            </w:tcBorders>
            <w:vAlign w:val="center"/>
          </w:tcPr>
          <w:p w14:paraId="6550BF47">
            <w:pPr>
              <w:jc w:val="center"/>
              <w:rPr>
                <w:rFonts w:hint="eastAsia" w:ascii="宋体" w:hAnsi="宋体"/>
                <w:b/>
                <w:sz w:val="21"/>
                <w:szCs w:val="21"/>
              </w:rPr>
            </w:pPr>
            <w:r>
              <w:rPr>
                <w:rFonts w:hint="eastAsia"/>
                <w:b/>
              </w:rPr>
              <w:t>投标商务响应</w:t>
            </w:r>
          </w:p>
        </w:tc>
        <w:tc>
          <w:tcPr>
            <w:tcW w:w="452" w:type="pct"/>
            <w:tcBorders>
              <w:top w:val="single" w:color="auto" w:sz="4" w:space="0"/>
              <w:left w:val="single" w:color="auto" w:sz="4" w:space="0"/>
              <w:bottom w:val="single" w:color="auto" w:sz="4" w:space="0"/>
              <w:right w:val="single" w:color="auto" w:sz="4" w:space="0"/>
            </w:tcBorders>
            <w:vAlign w:val="center"/>
          </w:tcPr>
          <w:p w14:paraId="0E37D78D">
            <w:pPr>
              <w:jc w:val="center"/>
              <w:rPr>
                <w:rFonts w:hint="eastAsia" w:ascii="宋体" w:hAnsi="宋体"/>
                <w:b/>
                <w:sz w:val="21"/>
                <w:szCs w:val="21"/>
              </w:rPr>
            </w:pPr>
            <w:r>
              <w:rPr>
                <w:rFonts w:hint="eastAsia"/>
                <w:b/>
              </w:rPr>
              <w:t>偏离情况</w:t>
            </w:r>
          </w:p>
        </w:tc>
        <w:tc>
          <w:tcPr>
            <w:tcW w:w="444" w:type="pct"/>
            <w:tcBorders>
              <w:top w:val="single" w:color="auto" w:sz="4" w:space="0"/>
              <w:left w:val="single" w:color="auto" w:sz="4" w:space="0"/>
              <w:bottom w:val="single" w:color="auto" w:sz="4" w:space="0"/>
              <w:right w:val="single" w:color="auto" w:sz="4" w:space="0"/>
            </w:tcBorders>
            <w:vAlign w:val="center"/>
          </w:tcPr>
          <w:p w14:paraId="0ABC3346">
            <w:pPr>
              <w:jc w:val="center"/>
              <w:rPr>
                <w:rFonts w:hint="eastAsia" w:ascii="宋体" w:hAnsi="宋体"/>
                <w:b/>
                <w:sz w:val="21"/>
                <w:szCs w:val="21"/>
              </w:rPr>
            </w:pPr>
            <w:r>
              <w:rPr>
                <w:rFonts w:hint="eastAsia"/>
                <w:b/>
              </w:rPr>
              <w:t>说明</w:t>
            </w:r>
          </w:p>
        </w:tc>
      </w:tr>
      <w:tr w14:paraId="64D61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34" w:type="pct"/>
            <w:vMerge w:val="restart"/>
            <w:tcBorders>
              <w:top w:val="single" w:color="auto" w:sz="4" w:space="0"/>
              <w:left w:val="single" w:color="auto" w:sz="4" w:space="0"/>
              <w:bottom w:val="single" w:color="auto" w:sz="4" w:space="0"/>
              <w:right w:val="single" w:color="auto" w:sz="4" w:space="0"/>
            </w:tcBorders>
            <w:vAlign w:val="center"/>
          </w:tcPr>
          <w:p w14:paraId="5BDEF1B6">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1</w:t>
            </w:r>
          </w:p>
        </w:tc>
        <w:tc>
          <w:tcPr>
            <w:tcW w:w="395" w:type="pct"/>
            <w:vMerge w:val="restart"/>
            <w:tcBorders>
              <w:top w:val="single" w:color="auto" w:sz="4" w:space="0"/>
              <w:left w:val="single" w:color="auto" w:sz="4" w:space="0"/>
              <w:bottom w:val="single" w:color="auto" w:sz="4" w:space="0"/>
              <w:right w:val="single" w:color="auto" w:sz="4" w:space="0"/>
            </w:tcBorders>
            <w:vAlign w:val="center"/>
          </w:tcPr>
          <w:p w14:paraId="63987C70">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r>
              <w:rPr>
                <w:rFonts w:hint="eastAsia" w:ascii="宋体" w:hAnsi="宋体"/>
                <w:sz w:val="21"/>
                <w:szCs w:val="21"/>
              </w:rPr>
              <w:t>★</w:t>
            </w:r>
            <w:r>
              <w:rPr>
                <w:rFonts w:hint="eastAsia" w:ascii="宋体" w:hAnsi="宋体"/>
                <w:b/>
                <w:sz w:val="21"/>
                <w:szCs w:val="21"/>
              </w:rPr>
              <w:t>关于交货</w:t>
            </w:r>
          </w:p>
        </w:tc>
        <w:tc>
          <w:tcPr>
            <w:tcW w:w="2803" w:type="pct"/>
            <w:tcBorders>
              <w:top w:val="single" w:color="auto" w:sz="4" w:space="0"/>
              <w:left w:val="single" w:color="auto" w:sz="4" w:space="0"/>
              <w:bottom w:val="single" w:color="auto" w:sz="4" w:space="0"/>
              <w:right w:val="single" w:color="auto" w:sz="4" w:space="0"/>
            </w:tcBorders>
          </w:tcPr>
          <w:p w14:paraId="309D07E5">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1.1交货地点：深圳市南山区。</w:t>
            </w:r>
          </w:p>
        </w:tc>
        <w:tc>
          <w:tcPr>
            <w:tcW w:w="569" w:type="pct"/>
            <w:tcBorders>
              <w:top w:val="single" w:color="auto" w:sz="4" w:space="0"/>
              <w:left w:val="single" w:color="auto" w:sz="4" w:space="0"/>
              <w:bottom w:val="single" w:color="auto" w:sz="4" w:space="0"/>
              <w:right w:val="single" w:color="auto" w:sz="4" w:space="0"/>
            </w:tcBorders>
          </w:tcPr>
          <w:p w14:paraId="28B8D037">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3F359585">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44090322">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r>
      <w:tr w14:paraId="2ED6C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627C231E">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bottom w:val="single" w:color="auto" w:sz="4" w:space="0"/>
              <w:right w:val="single" w:color="auto" w:sz="4" w:space="0"/>
            </w:tcBorders>
            <w:vAlign w:val="center"/>
          </w:tcPr>
          <w:p w14:paraId="0A735D58">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0E397E0B">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1.2</w:t>
            </w:r>
            <w:r>
              <w:rPr>
                <w:rFonts w:hint="eastAsia" w:ascii="宋体" w:hAnsi="宋体"/>
                <w:bCs/>
                <w:sz w:val="21"/>
                <w:szCs w:val="21"/>
                <w:lang w:val="zh-CN"/>
              </w:rPr>
              <w:t>交货期：合同签订后</w:t>
            </w:r>
            <w:r>
              <w:rPr>
                <w:rFonts w:hint="eastAsia" w:ascii="宋体" w:hAnsi="宋体"/>
                <w:bCs/>
                <w:sz w:val="21"/>
                <w:szCs w:val="21"/>
              </w:rPr>
              <w:t>15日内</w:t>
            </w:r>
            <w:r>
              <w:rPr>
                <w:rFonts w:hint="eastAsia" w:ascii="宋体" w:hAnsi="宋体"/>
                <w:bCs/>
                <w:sz w:val="21"/>
                <w:szCs w:val="21"/>
                <w:lang w:val="zh-CN"/>
              </w:rPr>
              <w:t>（自然日）</w:t>
            </w:r>
            <w:r>
              <w:rPr>
                <w:rFonts w:hint="eastAsia" w:ascii="宋体" w:hAnsi="宋体"/>
                <w:bCs/>
                <w:sz w:val="21"/>
                <w:szCs w:val="21"/>
              </w:rPr>
              <w:t>主要设备到达现场，</w:t>
            </w:r>
            <w:r>
              <w:rPr>
                <w:rFonts w:ascii="宋体" w:hAnsi="宋体"/>
                <w:bCs/>
                <w:sz w:val="21"/>
                <w:szCs w:val="21"/>
              </w:rPr>
              <w:t>6</w:t>
            </w:r>
            <w:r>
              <w:rPr>
                <w:rFonts w:hint="eastAsia" w:ascii="宋体" w:hAnsi="宋体"/>
                <w:bCs/>
                <w:sz w:val="21"/>
                <w:szCs w:val="21"/>
                <w:lang w:val="zh-CN"/>
              </w:rPr>
              <w:t>0日内（自然日）交付合同条款约定的货物</w:t>
            </w:r>
            <w:r>
              <w:rPr>
                <w:rFonts w:hint="eastAsia" w:ascii="宋体" w:hAnsi="宋体"/>
                <w:bCs/>
                <w:sz w:val="21"/>
                <w:szCs w:val="21"/>
              </w:rPr>
              <w:t>。</w:t>
            </w:r>
          </w:p>
        </w:tc>
        <w:tc>
          <w:tcPr>
            <w:tcW w:w="569" w:type="pct"/>
            <w:tcBorders>
              <w:top w:val="single" w:color="auto" w:sz="4" w:space="0"/>
              <w:left w:val="single" w:color="auto" w:sz="4" w:space="0"/>
              <w:bottom w:val="single" w:color="auto" w:sz="4" w:space="0"/>
              <w:right w:val="single" w:color="auto" w:sz="4" w:space="0"/>
            </w:tcBorders>
          </w:tcPr>
          <w:p w14:paraId="396914C2">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02547441">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2B3528A9">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r>
      <w:tr w14:paraId="6DBB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5359D7D6">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bottom w:val="single" w:color="auto" w:sz="4" w:space="0"/>
              <w:right w:val="single" w:color="auto" w:sz="4" w:space="0"/>
            </w:tcBorders>
            <w:vAlign w:val="center"/>
          </w:tcPr>
          <w:p w14:paraId="77D49A3D">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3A36723C">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1.3当货物抵达交货地点时，由中标人自行安排的工作人员和货运方验收货物并签收运单，采购人提供存放地点，采购人对于货物运输过程出现的问题以及其他问题不负任何责任。</w:t>
            </w:r>
          </w:p>
        </w:tc>
        <w:tc>
          <w:tcPr>
            <w:tcW w:w="569" w:type="pct"/>
            <w:tcBorders>
              <w:top w:val="single" w:color="auto" w:sz="4" w:space="0"/>
              <w:left w:val="single" w:color="auto" w:sz="4" w:space="0"/>
              <w:bottom w:val="single" w:color="auto" w:sz="4" w:space="0"/>
              <w:right w:val="single" w:color="auto" w:sz="4" w:space="0"/>
            </w:tcBorders>
          </w:tcPr>
          <w:p w14:paraId="1A4E6F47">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1372453F">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732C27E0">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r>
      <w:tr w14:paraId="66A24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2ACA666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1.4</w:t>
            </w:r>
          </w:p>
        </w:tc>
        <w:tc>
          <w:tcPr>
            <w:tcW w:w="395" w:type="pct"/>
            <w:vMerge w:val="continue"/>
            <w:tcBorders>
              <w:top w:val="single" w:color="auto" w:sz="4" w:space="0"/>
              <w:left w:val="single" w:color="auto" w:sz="4" w:space="0"/>
              <w:bottom w:val="single" w:color="auto" w:sz="4" w:space="0"/>
              <w:right w:val="single" w:color="auto" w:sz="4" w:space="0"/>
            </w:tcBorders>
            <w:vAlign w:val="center"/>
          </w:tcPr>
          <w:p w14:paraId="64824B53">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415124B0">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1.4签订合同前，采购人有权要求中标人提供每类产品至少1台样机用于检验或进行厂验。检验内容由采购人根据技术要求自行检测，或邀请第三方检测。如果检测结果与中标人承诺不符，</w:t>
            </w:r>
            <w:r>
              <w:rPr>
                <w:rFonts w:hint="eastAsia" w:ascii="宋体" w:hAnsi="宋体"/>
                <w:color w:val="000000" w:themeColor="text1"/>
                <w:sz w:val="21"/>
                <w:szCs w:val="21"/>
                <w14:textFill>
                  <w14:solidFill>
                    <w14:schemeClr w14:val="tx1"/>
                  </w14:solidFill>
                </w14:textFill>
              </w:rPr>
              <w:t>采购人有权要求中标人限期重新提供符合要求的产品，同时</w:t>
            </w:r>
            <w:r>
              <w:rPr>
                <w:rFonts w:hint="eastAsia"/>
                <w:sz w:val="21"/>
                <w:szCs w:val="21"/>
              </w:rPr>
              <w:t>采购人有权视情况报财政主管部门申请解除合同，</w:t>
            </w:r>
            <w:r>
              <w:rPr>
                <w:rFonts w:hint="eastAsia" w:ascii="宋体" w:hAnsi="宋体"/>
                <w:color w:val="000000" w:themeColor="text1"/>
                <w:sz w:val="21"/>
                <w:szCs w:val="21"/>
                <w14:textFill>
                  <w14:solidFill>
                    <w14:schemeClr w14:val="tx1"/>
                  </w14:solidFill>
                </w14:textFill>
              </w:rPr>
              <w:t>由此造成的一</w:t>
            </w:r>
            <w:r>
              <w:rPr>
                <w:rFonts w:hint="eastAsia" w:ascii="宋体" w:hAnsi="宋体"/>
                <w:kern w:val="0"/>
                <w:sz w:val="21"/>
                <w:szCs w:val="21"/>
                <w:lang w:val="zh-CN"/>
              </w:rPr>
              <w:t>切损失由中标人承</w:t>
            </w:r>
            <w:r>
              <w:rPr>
                <w:rFonts w:hint="eastAsia" w:ascii="宋体" w:hAnsi="宋体"/>
                <w:color w:val="000000" w:themeColor="text1"/>
                <w:sz w:val="21"/>
                <w:szCs w:val="21"/>
                <w14:textFill>
                  <w14:solidFill>
                    <w14:schemeClr w14:val="tx1"/>
                  </w14:solidFill>
                </w14:textFill>
              </w:rPr>
              <w:t>担。</w:t>
            </w:r>
          </w:p>
        </w:tc>
        <w:tc>
          <w:tcPr>
            <w:tcW w:w="569" w:type="pct"/>
            <w:tcBorders>
              <w:top w:val="single" w:color="auto" w:sz="4" w:space="0"/>
              <w:left w:val="single" w:color="auto" w:sz="4" w:space="0"/>
              <w:bottom w:val="single" w:color="auto" w:sz="4" w:space="0"/>
              <w:right w:val="single" w:color="auto" w:sz="4" w:space="0"/>
            </w:tcBorders>
          </w:tcPr>
          <w:p w14:paraId="7529F755">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293B35A1">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330BA156">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r>
      <w:tr w14:paraId="2416A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26063175">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bottom w:val="single" w:color="auto" w:sz="4" w:space="0"/>
              <w:right w:val="single" w:color="auto" w:sz="4" w:space="0"/>
            </w:tcBorders>
            <w:vAlign w:val="center"/>
          </w:tcPr>
          <w:p w14:paraId="72FBEC3C">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53DA592A">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1.5中标人必须承担设备运输、安装调试、验收检测和提供设备操作说明书、图纸等其他类似的义务。</w:t>
            </w:r>
          </w:p>
          <w:p w14:paraId="3AB81D78">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1.6实际交付产品，必须与应标方案中所选产品的品牌型号数量保持一致，如果某一产品因特殊原因无法交付，经采购人同意后，可以替换为同品牌其它型号，其产品性能不能低于原投票产品，并且要求原厂出具证明函，加盖厂商公章。</w:t>
            </w:r>
          </w:p>
        </w:tc>
        <w:tc>
          <w:tcPr>
            <w:tcW w:w="569" w:type="pct"/>
            <w:tcBorders>
              <w:top w:val="single" w:color="auto" w:sz="4" w:space="0"/>
              <w:left w:val="single" w:color="auto" w:sz="4" w:space="0"/>
              <w:bottom w:val="single" w:color="auto" w:sz="4" w:space="0"/>
              <w:right w:val="single" w:color="auto" w:sz="4" w:space="0"/>
            </w:tcBorders>
          </w:tcPr>
          <w:p w14:paraId="01B50E39">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6CB97547">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75A0CD51">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r>
      <w:tr w14:paraId="02DDC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34" w:type="pct"/>
            <w:tcBorders>
              <w:top w:val="single" w:color="auto" w:sz="4" w:space="0"/>
              <w:left w:val="single" w:color="auto" w:sz="4" w:space="0"/>
              <w:right w:val="single" w:color="auto" w:sz="4" w:space="0"/>
            </w:tcBorders>
            <w:vAlign w:val="center"/>
          </w:tcPr>
          <w:p w14:paraId="5C3817A4">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2</w:t>
            </w:r>
          </w:p>
        </w:tc>
        <w:tc>
          <w:tcPr>
            <w:tcW w:w="395" w:type="pct"/>
            <w:tcBorders>
              <w:top w:val="single" w:color="auto" w:sz="4" w:space="0"/>
              <w:left w:val="single" w:color="auto" w:sz="4" w:space="0"/>
              <w:right w:val="single" w:color="auto" w:sz="4" w:space="0"/>
            </w:tcBorders>
            <w:vAlign w:val="center"/>
          </w:tcPr>
          <w:p w14:paraId="3B722432">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关于报价方式</w:t>
            </w:r>
          </w:p>
        </w:tc>
        <w:tc>
          <w:tcPr>
            <w:tcW w:w="2803" w:type="pct"/>
            <w:tcBorders>
              <w:top w:val="single" w:color="auto" w:sz="4" w:space="0"/>
              <w:left w:val="single" w:color="auto" w:sz="4" w:space="0"/>
              <w:bottom w:val="single" w:color="auto" w:sz="4" w:space="0"/>
              <w:right w:val="single" w:color="auto" w:sz="4" w:space="0"/>
            </w:tcBorders>
          </w:tcPr>
          <w:p w14:paraId="69C8FFAD">
            <w:pPr>
              <w:pStyle w:val="44"/>
              <w:keepNext w:val="0"/>
              <w:keepLines w:val="0"/>
              <w:pageBreakBefore w:val="0"/>
              <w:widowControl w:val="0"/>
              <w:kinsoku/>
              <w:wordWrap/>
              <w:overflowPunct/>
              <w:topLinePunct w:val="0"/>
              <w:bidi w:val="0"/>
              <w:snapToGrid/>
              <w:spacing w:after="0" w:line="276" w:lineRule="auto"/>
              <w:ind w:left="0" w:leftChars="0" w:right="36" w:rightChars="17" w:firstLine="0" w:firstLineChars="0"/>
              <w:rPr>
                <w:rFonts w:ascii="宋体" w:hAnsi="宋体" w:cs="宋体"/>
                <w:sz w:val="21"/>
                <w:szCs w:val="21"/>
              </w:rPr>
            </w:pPr>
            <w:r>
              <w:rPr>
                <w:rFonts w:hint="eastAsia" w:ascii="宋体" w:hAnsi="宋体" w:cs="宋体"/>
                <w:sz w:val="21"/>
                <w:szCs w:val="21"/>
              </w:rPr>
              <w:t>（1）投标价必须是人民币含税价。</w:t>
            </w:r>
          </w:p>
          <w:p w14:paraId="0F35897A">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r>
              <w:rPr>
                <w:rFonts w:hint="eastAsia" w:ascii="宋体" w:hAnsi="宋体"/>
                <w:sz w:val="21"/>
                <w:szCs w:val="21"/>
              </w:rPr>
              <w:t>（2）投标价包含所有费用，包含但不限于仪器设备辅助设施及配件购置、税费、包装、运输、保险、装卸、调试、技术服务、培训、检测、服务、免费保修期（免费保修期内设备及部件故障的更换，维修和退运返修）、售后服务等，验收合格交付使用之前的一切费用，采购人不再另行支付其他费用。</w:t>
            </w:r>
          </w:p>
          <w:p w14:paraId="7E64C64B">
            <w:pPr>
              <w:keepNext w:val="0"/>
              <w:keepLines w:val="0"/>
              <w:pageBreakBefore w:val="0"/>
              <w:widowControl w:val="0"/>
              <w:kinsoku/>
              <w:wordWrap/>
              <w:overflowPunct/>
              <w:topLinePunct w:val="0"/>
              <w:bidi w:val="0"/>
              <w:snapToGrid/>
              <w:spacing w:line="276" w:lineRule="auto"/>
              <w:ind w:left="0" w:leftChars="-4" w:right="36" w:rightChars="17" w:hanging="8" w:hangingChars="4"/>
              <w:rPr>
                <w:rFonts w:ascii="宋体" w:hAnsi="宋体"/>
                <w:sz w:val="21"/>
                <w:szCs w:val="21"/>
              </w:rPr>
            </w:pPr>
            <w:r>
              <w:rPr>
                <w:rFonts w:hint="eastAsia" w:ascii="宋体" w:hAnsi="宋体"/>
                <w:sz w:val="21"/>
                <w:szCs w:val="21"/>
              </w:rPr>
              <w:t>（4）本项目需求中所称的免费是指由此产生的一切费用由中标人承担，中标金额是采购人支付的唯一依据，采购人不再另行支付其他任何费用。</w:t>
            </w:r>
          </w:p>
        </w:tc>
        <w:tc>
          <w:tcPr>
            <w:tcW w:w="569" w:type="pct"/>
            <w:tcBorders>
              <w:top w:val="single" w:color="auto" w:sz="4" w:space="0"/>
              <w:left w:val="single" w:color="auto" w:sz="4" w:space="0"/>
              <w:bottom w:val="single" w:color="auto" w:sz="4" w:space="0"/>
              <w:right w:val="single" w:color="auto" w:sz="4" w:space="0"/>
            </w:tcBorders>
          </w:tcPr>
          <w:p w14:paraId="1099FCBD">
            <w:pPr>
              <w:keepNext w:val="0"/>
              <w:keepLines w:val="0"/>
              <w:pageBreakBefore w:val="0"/>
              <w:widowControl w:val="0"/>
              <w:kinsoku/>
              <w:wordWrap/>
              <w:overflowPunct/>
              <w:topLinePunct w:val="0"/>
              <w:bidi w:val="0"/>
              <w:snapToGrid/>
              <w:spacing w:line="276" w:lineRule="auto"/>
              <w:ind w:left="0" w:leftChars="-4" w:right="36" w:rightChars="17" w:hanging="8" w:hangingChars="4"/>
              <w:rPr>
                <w:rFonts w:hint="eastAsia" w:ascii="宋体" w:hAnsi="宋体"/>
                <w:sz w:val="21"/>
                <w:szCs w:val="21"/>
              </w:rPr>
            </w:pPr>
          </w:p>
        </w:tc>
        <w:tc>
          <w:tcPr>
            <w:tcW w:w="452" w:type="pct"/>
            <w:tcBorders>
              <w:top w:val="single" w:color="auto" w:sz="4" w:space="0"/>
              <w:left w:val="single" w:color="auto" w:sz="4" w:space="0"/>
              <w:bottom w:val="single" w:color="auto" w:sz="4" w:space="0"/>
              <w:right w:val="single" w:color="auto" w:sz="4" w:space="0"/>
            </w:tcBorders>
          </w:tcPr>
          <w:p w14:paraId="0DAAA6EB">
            <w:pPr>
              <w:keepNext w:val="0"/>
              <w:keepLines w:val="0"/>
              <w:pageBreakBefore w:val="0"/>
              <w:widowControl w:val="0"/>
              <w:kinsoku/>
              <w:wordWrap/>
              <w:overflowPunct/>
              <w:topLinePunct w:val="0"/>
              <w:bidi w:val="0"/>
              <w:snapToGrid/>
              <w:spacing w:line="276" w:lineRule="auto"/>
              <w:ind w:left="0" w:leftChars="-4" w:right="36" w:rightChars="17" w:hanging="8" w:hangingChars="4"/>
              <w:rPr>
                <w:rFonts w:hint="eastAsia" w:ascii="宋体" w:hAnsi="宋体"/>
                <w:sz w:val="21"/>
                <w:szCs w:val="21"/>
              </w:rPr>
            </w:pPr>
          </w:p>
        </w:tc>
        <w:tc>
          <w:tcPr>
            <w:tcW w:w="444" w:type="pct"/>
            <w:tcBorders>
              <w:top w:val="single" w:color="auto" w:sz="4" w:space="0"/>
              <w:left w:val="single" w:color="auto" w:sz="4" w:space="0"/>
              <w:bottom w:val="single" w:color="auto" w:sz="4" w:space="0"/>
              <w:right w:val="single" w:color="auto" w:sz="4" w:space="0"/>
            </w:tcBorders>
          </w:tcPr>
          <w:p w14:paraId="236959AF">
            <w:pPr>
              <w:keepNext w:val="0"/>
              <w:keepLines w:val="0"/>
              <w:pageBreakBefore w:val="0"/>
              <w:widowControl w:val="0"/>
              <w:kinsoku/>
              <w:wordWrap/>
              <w:overflowPunct/>
              <w:topLinePunct w:val="0"/>
              <w:bidi w:val="0"/>
              <w:snapToGrid/>
              <w:spacing w:line="276" w:lineRule="auto"/>
              <w:ind w:left="0" w:leftChars="-4" w:right="36" w:rightChars="17" w:hanging="8" w:hangingChars="4"/>
              <w:rPr>
                <w:rFonts w:hint="eastAsia" w:ascii="宋体" w:hAnsi="宋体"/>
                <w:sz w:val="21"/>
                <w:szCs w:val="21"/>
              </w:rPr>
            </w:pPr>
          </w:p>
        </w:tc>
      </w:tr>
      <w:tr w14:paraId="15FC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334" w:type="pct"/>
            <w:tcBorders>
              <w:top w:val="single" w:color="auto" w:sz="4" w:space="0"/>
              <w:left w:val="single" w:color="auto" w:sz="4" w:space="0"/>
              <w:bottom w:val="single" w:color="auto" w:sz="4" w:space="0"/>
              <w:right w:val="single" w:color="auto" w:sz="4" w:space="0"/>
            </w:tcBorders>
            <w:vAlign w:val="center"/>
          </w:tcPr>
          <w:p w14:paraId="0B4BBAFB">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3</w:t>
            </w:r>
          </w:p>
        </w:tc>
        <w:tc>
          <w:tcPr>
            <w:tcW w:w="395" w:type="pct"/>
            <w:tcBorders>
              <w:top w:val="single" w:color="auto" w:sz="4" w:space="0"/>
              <w:left w:val="single" w:color="auto" w:sz="4" w:space="0"/>
              <w:bottom w:val="single" w:color="auto" w:sz="4" w:space="0"/>
              <w:right w:val="single" w:color="auto" w:sz="4" w:space="0"/>
            </w:tcBorders>
            <w:vAlign w:val="center"/>
          </w:tcPr>
          <w:p w14:paraId="77363D64">
            <w:pPr>
              <w:keepNext w:val="0"/>
              <w:keepLines w:val="0"/>
              <w:pageBreakBefore w:val="0"/>
              <w:widowControl w:val="0"/>
              <w:kinsoku/>
              <w:wordWrap/>
              <w:overflowPunct/>
              <w:topLinePunct w:val="0"/>
              <w:bidi w:val="0"/>
              <w:snapToGrid/>
              <w:spacing w:line="276" w:lineRule="auto"/>
              <w:ind w:right="36" w:rightChars="17"/>
              <w:jc w:val="left"/>
              <w:rPr>
                <w:rFonts w:ascii="宋体" w:hAnsi="宋体"/>
                <w:b/>
                <w:sz w:val="21"/>
                <w:szCs w:val="21"/>
              </w:rPr>
            </w:pPr>
            <w:r>
              <w:rPr>
                <w:rFonts w:hint="eastAsia" w:ascii="宋体" w:hAnsi="宋体"/>
                <w:sz w:val="21"/>
                <w:szCs w:val="21"/>
              </w:rPr>
              <w:t>★</w:t>
            </w:r>
            <w:r>
              <w:rPr>
                <w:rFonts w:hint="eastAsia" w:ascii="宋体" w:hAnsi="宋体"/>
                <w:b/>
                <w:sz w:val="21"/>
                <w:szCs w:val="21"/>
              </w:rPr>
              <w:t>关于付款方式</w:t>
            </w:r>
          </w:p>
        </w:tc>
        <w:tc>
          <w:tcPr>
            <w:tcW w:w="2803" w:type="pct"/>
            <w:tcBorders>
              <w:top w:val="single" w:color="auto" w:sz="4" w:space="0"/>
              <w:left w:val="single" w:color="auto" w:sz="4" w:space="0"/>
              <w:right w:val="single" w:color="auto" w:sz="4" w:space="0"/>
            </w:tcBorders>
            <w:vAlign w:val="center"/>
          </w:tcPr>
          <w:p w14:paraId="3CB02506">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①合同签订后，中标人提供供货清单及到货时间，经采购人确认后，支付合同总金额</w:t>
            </w:r>
            <w:r>
              <w:rPr>
                <w:rFonts w:ascii="宋体" w:hAnsi="宋体"/>
                <w:kern w:val="0"/>
                <w:sz w:val="21"/>
                <w:szCs w:val="21"/>
              </w:rPr>
              <w:t>20</w:t>
            </w:r>
            <w:r>
              <w:rPr>
                <w:rFonts w:hint="eastAsia" w:ascii="宋体" w:hAnsi="宋体"/>
                <w:kern w:val="0"/>
                <w:sz w:val="21"/>
                <w:szCs w:val="21"/>
              </w:rPr>
              <w:t>%货款；</w:t>
            </w:r>
          </w:p>
          <w:p w14:paraId="11EB4726">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②主要设备到货后，经采购人或采购人代表确认后，支付合同总金额</w:t>
            </w:r>
            <w:r>
              <w:rPr>
                <w:rFonts w:ascii="宋体" w:hAnsi="宋体"/>
                <w:kern w:val="0"/>
                <w:sz w:val="21"/>
                <w:szCs w:val="21"/>
              </w:rPr>
              <w:t>30</w:t>
            </w:r>
            <w:r>
              <w:rPr>
                <w:rFonts w:hint="eastAsia" w:ascii="宋体" w:hAnsi="宋体"/>
                <w:kern w:val="0"/>
                <w:sz w:val="21"/>
                <w:szCs w:val="21"/>
              </w:rPr>
              <w:t>%货款；</w:t>
            </w:r>
          </w:p>
          <w:p w14:paraId="7B6722A3">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③设备安装、调试完成，经采购人或采购人代表确认后，支付合同总金额</w:t>
            </w:r>
            <w:r>
              <w:rPr>
                <w:rFonts w:ascii="宋体" w:hAnsi="宋体"/>
                <w:kern w:val="0"/>
                <w:sz w:val="21"/>
                <w:szCs w:val="21"/>
              </w:rPr>
              <w:t>20</w:t>
            </w:r>
            <w:r>
              <w:rPr>
                <w:rFonts w:hint="eastAsia" w:ascii="宋体" w:hAnsi="宋体"/>
                <w:kern w:val="0"/>
                <w:sz w:val="21"/>
                <w:szCs w:val="21"/>
              </w:rPr>
              <w:t>%货款；</w:t>
            </w:r>
          </w:p>
          <w:p w14:paraId="2D797B94">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rPr>
              <w:t>④试运行后，凭试运行报告、整改通过后的第三方测试验收报告、屏蔽机房验收报告、5年原厂保修服务证明（证明材料需要包含设备清单、服务起止日期、服务内容、服务响应时间等，盖原厂公章），经采购人或采购人代表确认后，支付合同总金额</w:t>
            </w:r>
            <w:r>
              <w:rPr>
                <w:rFonts w:ascii="宋体" w:hAnsi="宋体"/>
                <w:kern w:val="0"/>
                <w:sz w:val="21"/>
                <w:szCs w:val="21"/>
              </w:rPr>
              <w:t>3</w:t>
            </w:r>
            <w:r>
              <w:rPr>
                <w:rFonts w:hint="eastAsia" w:ascii="宋体" w:hAnsi="宋体"/>
                <w:kern w:val="0"/>
                <w:sz w:val="21"/>
                <w:szCs w:val="21"/>
              </w:rPr>
              <w:t>0%货款；</w:t>
            </w:r>
          </w:p>
        </w:tc>
        <w:tc>
          <w:tcPr>
            <w:tcW w:w="569" w:type="pct"/>
            <w:tcBorders>
              <w:top w:val="single" w:color="auto" w:sz="4" w:space="0"/>
              <w:left w:val="single" w:color="auto" w:sz="4" w:space="0"/>
              <w:right w:val="single" w:color="auto" w:sz="4" w:space="0"/>
            </w:tcBorders>
            <w:vAlign w:val="center"/>
          </w:tcPr>
          <w:p w14:paraId="7BDF0FED">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c>
          <w:tcPr>
            <w:tcW w:w="452" w:type="pct"/>
            <w:tcBorders>
              <w:top w:val="single" w:color="auto" w:sz="4" w:space="0"/>
              <w:left w:val="single" w:color="auto" w:sz="4" w:space="0"/>
              <w:right w:val="single" w:color="auto" w:sz="4" w:space="0"/>
            </w:tcBorders>
            <w:vAlign w:val="center"/>
          </w:tcPr>
          <w:p w14:paraId="5D752975">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c>
          <w:tcPr>
            <w:tcW w:w="444" w:type="pct"/>
            <w:tcBorders>
              <w:top w:val="single" w:color="auto" w:sz="4" w:space="0"/>
              <w:left w:val="single" w:color="auto" w:sz="4" w:space="0"/>
              <w:right w:val="single" w:color="auto" w:sz="4" w:space="0"/>
            </w:tcBorders>
            <w:vAlign w:val="center"/>
          </w:tcPr>
          <w:p w14:paraId="1244CC9C">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r>
      <w:tr w14:paraId="3D8B5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restart"/>
            <w:tcBorders>
              <w:top w:val="single" w:color="auto" w:sz="4" w:space="0"/>
              <w:left w:val="single" w:color="auto" w:sz="4" w:space="0"/>
              <w:right w:val="single" w:color="auto" w:sz="4" w:space="0"/>
            </w:tcBorders>
            <w:vAlign w:val="center"/>
          </w:tcPr>
          <w:p w14:paraId="3E4CBB6C">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4</w:t>
            </w:r>
          </w:p>
        </w:tc>
        <w:tc>
          <w:tcPr>
            <w:tcW w:w="395" w:type="pct"/>
            <w:vMerge w:val="restart"/>
            <w:tcBorders>
              <w:top w:val="single" w:color="auto" w:sz="4" w:space="0"/>
              <w:left w:val="single" w:color="auto" w:sz="4" w:space="0"/>
              <w:right w:val="single" w:color="auto" w:sz="4" w:space="0"/>
            </w:tcBorders>
            <w:vAlign w:val="center"/>
          </w:tcPr>
          <w:p w14:paraId="115640FE">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关于售后服务和培训</w:t>
            </w:r>
          </w:p>
        </w:tc>
        <w:tc>
          <w:tcPr>
            <w:tcW w:w="2803" w:type="pct"/>
            <w:tcBorders>
              <w:top w:val="single" w:color="auto" w:sz="4" w:space="0"/>
              <w:left w:val="single" w:color="auto" w:sz="4" w:space="0"/>
              <w:bottom w:val="single" w:color="auto" w:sz="4" w:space="0"/>
              <w:right w:val="single" w:color="auto" w:sz="4" w:space="0"/>
            </w:tcBorders>
          </w:tcPr>
          <w:p w14:paraId="63414EA9">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4.1中标人需为本项目配备足够的售后服务力量；如果</w:t>
            </w:r>
            <w:r>
              <w:rPr>
                <w:rFonts w:hint="eastAsia" w:ascii="宋体" w:hAnsi="宋体"/>
                <w:kern w:val="0"/>
                <w:sz w:val="21"/>
                <w:szCs w:val="21"/>
              </w:rPr>
              <w:t>所供</w:t>
            </w:r>
            <w:r>
              <w:rPr>
                <w:rFonts w:hint="eastAsia" w:ascii="宋体" w:hAnsi="宋体"/>
                <w:kern w:val="0"/>
                <w:sz w:val="21"/>
                <w:szCs w:val="21"/>
                <w:lang w:val="zh-CN"/>
              </w:rPr>
              <w:t>设备发生故障，中标人要排查故障并修复至原最终验收指标和性能的要求。</w:t>
            </w:r>
          </w:p>
        </w:tc>
        <w:tc>
          <w:tcPr>
            <w:tcW w:w="569" w:type="pct"/>
            <w:tcBorders>
              <w:top w:val="single" w:color="auto" w:sz="4" w:space="0"/>
              <w:left w:val="single" w:color="auto" w:sz="4" w:space="0"/>
              <w:bottom w:val="single" w:color="auto" w:sz="4" w:space="0"/>
              <w:right w:val="single" w:color="auto" w:sz="4" w:space="0"/>
            </w:tcBorders>
          </w:tcPr>
          <w:p w14:paraId="7716C85F">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4DDB60B7">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11CACA06">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7E730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top w:val="single" w:color="auto" w:sz="4" w:space="0"/>
              <w:left w:val="single" w:color="auto" w:sz="4" w:space="0"/>
              <w:right w:val="single" w:color="auto" w:sz="4" w:space="0"/>
            </w:tcBorders>
            <w:vAlign w:val="center"/>
          </w:tcPr>
          <w:p w14:paraId="306602FE">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right w:val="single" w:color="auto" w:sz="4" w:space="0"/>
            </w:tcBorders>
            <w:vAlign w:val="center"/>
          </w:tcPr>
          <w:p w14:paraId="4BD7E08E">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1621D590">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4.2中标人提供</w:t>
            </w:r>
            <w:r>
              <w:rPr>
                <w:rFonts w:hint="eastAsia" w:ascii="宋体" w:hAnsi="宋体"/>
                <w:kern w:val="0"/>
                <w:sz w:val="21"/>
                <w:szCs w:val="21"/>
              </w:rPr>
              <w:t>所供</w:t>
            </w:r>
            <w:r>
              <w:rPr>
                <w:rFonts w:hint="eastAsia" w:ascii="宋体" w:hAnsi="宋体"/>
                <w:kern w:val="0"/>
                <w:sz w:val="21"/>
                <w:szCs w:val="21"/>
                <w:lang w:val="zh-CN"/>
              </w:rPr>
              <w:t>设备的免费保修期至少</w:t>
            </w:r>
            <w:r>
              <w:rPr>
                <w:rFonts w:hint="eastAsia" w:ascii="宋体" w:hAnsi="宋体"/>
                <w:kern w:val="0"/>
                <w:sz w:val="21"/>
                <w:szCs w:val="21"/>
                <w:u w:val="single"/>
                <w:lang w:val="zh-CN"/>
              </w:rPr>
              <w:t xml:space="preserve"> </w:t>
            </w:r>
            <w:r>
              <w:rPr>
                <w:rFonts w:hint="eastAsia" w:ascii="宋体" w:hAnsi="宋体"/>
                <w:kern w:val="0"/>
                <w:sz w:val="21"/>
                <w:szCs w:val="21"/>
                <w:u w:val="single"/>
              </w:rPr>
              <w:t>5</w:t>
            </w:r>
            <w:r>
              <w:rPr>
                <w:rFonts w:hint="eastAsia" w:ascii="宋体" w:hAnsi="宋体"/>
                <w:kern w:val="0"/>
                <w:sz w:val="21"/>
                <w:szCs w:val="21"/>
                <w:u w:val="single"/>
                <w:lang w:val="zh-CN"/>
              </w:rPr>
              <w:t xml:space="preserve"> </w:t>
            </w:r>
            <w:r>
              <w:rPr>
                <w:rFonts w:hint="eastAsia" w:ascii="宋体" w:hAnsi="宋体"/>
                <w:kern w:val="0"/>
                <w:sz w:val="21"/>
                <w:szCs w:val="21"/>
                <w:lang w:val="zh-CN"/>
              </w:rPr>
              <w:t>年（保修期内免费维修并更换</w:t>
            </w:r>
            <w:r>
              <w:rPr>
                <w:rFonts w:hint="eastAsia" w:ascii="宋体" w:hAnsi="宋体"/>
                <w:kern w:val="0"/>
                <w:sz w:val="21"/>
                <w:szCs w:val="21"/>
              </w:rPr>
              <w:t>有问题的</w:t>
            </w:r>
            <w:r>
              <w:rPr>
                <w:rFonts w:hint="eastAsia" w:ascii="宋体" w:hAnsi="宋体"/>
                <w:kern w:val="0"/>
                <w:sz w:val="21"/>
                <w:szCs w:val="21"/>
                <w:lang w:val="zh-CN"/>
              </w:rPr>
              <w:t>零部件，维修人员的路费、食宿等自理），</w:t>
            </w:r>
            <w:r>
              <w:rPr>
                <w:rFonts w:hint="eastAsia" w:ascii="宋体" w:hAnsi="宋体"/>
                <w:bCs/>
                <w:sz w:val="21"/>
                <w:szCs w:val="21"/>
              </w:rPr>
              <w:t>保修期自最终安装验收合格且通过第三方测试验证，签字确认之日算起。</w:t>
            </w:r>
            <w:r>
              <w:rPr>
                <w:rFonts w:ascii="宋体" w:hAnsi="宋体"/>
                <w:kern w:val="0"/>
                <w:sz w:val="21"/>
                <w:szCs w:val="21"/>
                <w:lang w:val="zh-CN"/>
              </w:rPr>
              <w:t xml:space="preserve"> </w:t>
            </w:r>
          </w:p>
        </w:tc>
        <w:tc>
          <w:tcPr>
            <w:tcW w:w="569" w:type="pct"/>
            <w:tcBorders>
              <w:top w:val="single" w:color="auto" w:sz="4" w:space="0"/>
              <w:left w:val="single" w:color="auto" w:sz="4" w:space="0"/>
              <w:bottom w:val="single" w:color="auto" w:sz="4" w:space="0"/>
              <w:right w:val="single" w:color="auto" w:sz="4" w:space="0"/>
            </w:tcBorders>
          </w:tcPr>
          <w:p w14:paraId="45DC87E2">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7B956689">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6FA0B43A">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417D3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left w:val="single" w:color="auto" w:sz="4" w:space="0"/>
              <w:right w:val="single" w:color="auto" w:sz="4" w:space="0"/>
            </w:tcBorders>
            <w:vAlign w:val="center"/>
          </w:tcPr>
          <w:p w14:paraId="78AEA3DA">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4EC2DCF5">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17B0F927">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4.3中标人售后服务响应时间（24小时热线电话、email）：电话响应时间要求1小时内，到场响应时间要求4个小时内（指从接到报障至到达故障现场的时间）；email响应时间要求为24小时内。</w:t>
            </w:r>
          </w:p>
        </w:tc>
        <w:tc>
          <w:tcPr>
            <w:tcW w:w="569" w:type="pct"/>
            <w:tcBorders>
              <w:top w:val="single" w:color="auto" w:sz="4" w:space="0"/>
              <w:left w:val="single" w:color="auto" w:sz="4" w:space="0"/>
              <w:bottom w:val="single" w:color="auto" w:sz="4" w:space="0"/>
              <w:right w:val="single" w:color="auto" w:sz="4" w:space="0"/>
            </w:tcBorders>
          </w:tcPr>
          <w:p w14:paraId="473F6746">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42BEF698">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07AF7198">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1671E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left w:val="single" w:color="auto" w:sz="4" w:space="0"/>
              <w:right w:val="single" w:color="auto" w:sz="4" w:space="0"/>
            </w:tcBorders>
            <w:vAlign w:val="center"/>
          </w:tcPr>
          <w:p w14:paraId="730026D0">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022BD093">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7800CA7A">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4.4中标人必须能够随时提供全新备品，一旦设备出现问题必须保证全新备品能在24小时内到现场，48小时内解决相关问题。</w:t>
            </w:r>
          </w:p>
        </w:tc>
        <w:tc>
          <w:tcPr>
            <w:tcW w:w="569" w:type="pct"/>
            <w:tcBorders>
              <w:top w:val="single" w:color="auto" w:sz="4" w:space="0"/>
              <w:left w:val="single" w:color="auto" w:sz="4" w:space="0"/>
              <w:bottom w:val="single" w:color="auto" w:sz="4" w:space="0"/>
              <w:right w:val="single" w:color="auto" w:sz="4" w:space="0"/>
            </w:tcBorders>
          </w:tcPr>
          <w:p w14:paraId="4BD0060D">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029661AC">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3B556FA7">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16B2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left w:val="single" w:color="auto" w:sz="4" w:space="0"/>
              <w:right w:val="single" w:color="auto" w:sz="4" w:space="0"/>
            </w:tcBorders>
            <w:vAlign w:val="center"/>
          </w:tcPr>
          <w:p w14:paraId="2B6C1FE0">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16AF7417">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7F30D376">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rPr>
              <w:t>4.5</w:t>
            </w:r>
            <w:r>
              <w:rPr>
                <w:rFonts w:hint="eastAsia" w:ascii="宋体" w:hAnsi="宋体"/>
                <w:kern w:val="0"/>
                <w:sz w:val="21"/>
                <w:szCs w:val="21"/>
                <w:lang w:val="zh-CN"/>
              </w:rPr>
              <w:t>为保证中标人所提供的</w:t>
            </w:r>
            <w:r>
              <w:rPr>
                <w:rFonts w:hint="eastAsia" w:ascii="宋体" w:hAnsi="宋体"/>
                <w:kern w:val="0"/>
                <w:sz w:val="21"/>
                <w:szCs w:val="21"/>
              </w:rPr>
              <w:t>所供</w:t>
            </w:r>
            <w:r>
              <w:rPr>
                <w:rFonts w:hint="eastAsia" w:ascii="宋体" w:hAnsi="宋体"/>
                <w:kern w:val="0"/>
                <w:sz w:val="21"/>
                <w:szCs w:val="21"/>
                <w:lang w:val="zh-CN"/>
              </w:rPr>
              <w:t>设备安全、可靠运行，便于采购人运行维护，中标人必须对采购人培训合格的维护和管理人员；</w:t>
            </w:r>
          </w:p>
        </w:tc>
        <w:tc>
          <w:tcPr>
            <w:tcW w:w="569" w:type="pct"/>
            <w:tcBorders>
              <w:top w:val="single" w:color="auto" w:sz="4" w:space="0"/>
              <w:left w:val="single" w:color="auto" w:sz="4" w:space="0"/>
              <w:bottom w:val="single" w:color="auto" w:sz="4" w:space="0"/>
              <w:right w:val="single" w:color="auto" w:sz="4" w:space="0"/>
            </w:tcBorders>
          </w:tcPr>
          <w:p w14:paraId="61796CBA">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c>
          <w:tcPr>
            <w:tcW w:w="452" w:type="pct"/>
            <w:tcBorders>
              <w:top w:val="single" w:color="auto" w:sz="4" w:space="0"/>
              <w:left w:val="single" w:color="auto" w:sz="4" w:space="0"/>
              <w:bottom w:val="single" w:color="auto" w:sz="4" w:space="0"/>
              <w:right w:val="single" w:color="auto" w:sz="4" w:space="0"/>
            </w:tcBorders>
          </w:tcPr>
          <w:p w14:paraId="75BB3606">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c>
          <w:tcPr>
            <w:tcW w:w="444" w:type="pct"/>
            <w:tcBorders>
              <w:top w:val="single" w:color="auto" w:sz="4" w:space="0"/>
              <w:left w:val="single" w:color="auto" w:sz="4" w:space="0"/>
              <w:bottom w:val="single" w:color="auto" w:sz="4" w:space="0"/>
              <w:right w:val="single" w:color="auto" w:sz="4" w:space="0"/>
            </w:tcBorders>
          </w:tcPr>
          <w:p w14:paraId="6B7120C7">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r>
      <w:tr w14:paraId="403FF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left w:val="single" w:color="auto" w:sz="4" w:space="0"/>
              <w:right w:val="single" w:color="auto" w:sz="4" w:space="0"/>
            </w:tcBorders>
            <w:vAlign w:val="center"/>
          </w:tcPr>
          <w:p w14:paraId="0FE6E0B5">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493061F0">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21B2FCA7">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4.6中标人负责对采购人提供至少一次现场技术培训，以便工作人员在培训后能熟练地掌握系统的维护工作，并能及时排除大部分的系统障碍。</w:t>
            </w:r>
          </w:p>
        </w:tc>
        <w:tc>
          <w:tcPr>
            <w:tcW w:w="569" w:type="pct"/>
            <w:tcBorders>
              <w:top w:val="single" w:color="auto" w:sz="4" w:space="0"/>
              <w:left w:val="single" w:color="auto" w:sz="4" w:space="0"/>
              <w:bottom w:val="single" w:color="auto" w:sz="4" w:space="0"/>
              <w:right w:val="single" w:color="auto" w:sz="4" w:space="0"/>
            </w:tcBorders>
          </w:tcPr>
          <w:p w14:paraId="7BC0DC73">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3420FB4A">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11E2F14F">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167E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34" w:type="pct"/>
            <w:vMerge w:val="continue"/>
            <w:tcBorders>
              <w:left w:val="single" w:color="auto" w:sz="4" w:space="0"/>
              <w:right w:val="single" w:color="auto" w:sz="4" w:space="0"/>
            </w:tcBorders>
            <w:vAlign w:val="center"/>
          </w:tcPr>
          <w:p w14:paraId="3C544141">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06A8D8CD">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569AC8A3">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4.7中标人提供该设备的技术使用说明书及外购配件说明书，并指导在使用该设备时的操作注意。</w:t>
            </w:r>
          </w:p>
        </w:tc>
        <w:tc>
          <w:tcPr>
            <w:tcW w:w="569" w:type="pct"/>
            <w:tcBorders>
              <w:top w:val="single" w:color="auto" w:sz="4" w:space="0"/>
              <w:left w:val="single" w:color="auto" w:sz="4" w:space="0"/>
              <w:bottom w:val="single" w:color="auto" w:sz="4" w:space="0"/>
              <w:right w:val="single" w:color="auto" w:sz="4" w:space="0"/>
            </w:tcBorders>
          </w:tcPr>
          <w:p w14:paraId="6AC3BB6A">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07685365">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6D3D0D33">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36AB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Merge w:val="continue"/>
            <w:tcBorders>
              <w:left w:val="single" w:color="auto" w:sz="4" w:space="0"/>
              <w:right w:val="single" w:color="auto" w:sz="4" w:space="0"/>
            </w:tcBorders>
            <w:vAlign w:val="center"/>
          </w:tcPr>
          <w:p w14:paraId="63AAA6D8">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21CA7BF1">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2DE03D39">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4.8 免费保修期外，</w:t>
            </w:r>
            <w:r>
              <w:rPr>
                <w:rFonts w:hint="eastAsia" w:ascii="宋体" w:hAnsi="宋体"/>
                <w:kern w:val="0"/>
                <w:sz w:val="21"/>
                <w:szCs w:val="21"/>
              </w:rPr>
              <w:t>主要设备</w:t>
            </w:r>
            <w:r>
              <w:rPr>
                <w:rFonts w:hint="eastAsia" w:ascii="宋体" w:hAnsi="宋体"/>
                <w:sz w:val="21"/>
                <w:szCs w:val="21"/>
              </w:rPr>
              <w:t>（</w:t>
            </w:r>
            <w:r>
              <w:rPr>
                <w:sz w:val="21"/>
                <w:szCs w:val="21"/>
              </w:rPr>
              <w:t>UPS</w:t>
            </w:r>
            <w:r>
              <w:rPr>
                <w:rFonts w:hint="eastAsia"/>
                <w:sz w:val="21"/>
                <w:szCs w:val="21"/>
              </w:rPr>
              <w:t>及功率模块、铅酸电池系统、</w:t>
            </w:r>
            <w:r>
              <w:rPr>
                <w:sz w:val="21"/>
                <w:szCs w:val="21"/>
              </w:rPr>
              <w:t>2.4MW</w:t>
            </w:r>
            <w:r>
              <w:rPr>
                <w:rFonts w:hint="eastAsia"/>
                <w:sz w:val="21"/>
                <w:szCs w:val="21"/>
              </w:rPr>
              <w:t>配电柜系统、</w:t>
            </w:r>
            <w:r>
              <w:rPr>
                <w:rFonts w:hint="eastAsia" w:ascii="宋体" w:hAnsi="宋体"/>
                <w:sz w:val="21"/>
                <w:szCs w:val="21"/>
              </w:rPr>
              <w:t>水冷型行间空调</w:t>
            </w:r>
            <w:r>
              <w:rPr>
                <w:rFonts w:hint="eastAsia"/>
                <w:sz w:val="21"/>
                <w:szCs w:val="21"/>
              </w:rPr>
              <w:t>、</w:t>
            </w:r>
            <w:r>
              <w:rPr>
                <w:rFonts w:hint="eastAsia" w:ascii="宋体" w:hAnsi="宋体"/>
                <w:sz w:val="21"/>
                <w:szCs w:val="21"/>
              </w:rPr>
              <w:t>水冷型房间级空调、风冷型行间空调、</w:t>
            </w:r>
            <w:r>
              <w:rPr>
                <w:rFonts w:hint="eastAsia"/>
                <w:sz w:val="21"/>
                <w:szCs w:val="21"/>
              </w:rPr>
              <w:t>动环管理系统</w:t>
            </w:r>
            <w:r>
              <w:rPr>
                <w:rFonts w:hint="eastAsia" w:ascii="宋体" w:hAnsi="宋体"/>
                <w:kern w:val="0"/>
                <w:sz w:val="21"/>
                <w:szCs w:val="21"/>
              </w:rPr>
              <w:t>）维保不高于合同价额的2%。</w:t>
            </w:r>
          </w:p>
        </w:tc>
        <w:tc>
          <w:tcPr>
            <w:tcW w:w="569" w:type="pct"/>
            <w:tcBorders>
              <w:top w:val="single" w:color="auto" w:sz="4" w:space="0"/>
              <w:left w:val="single" w:color="auto" w:sz="4" w:space="0"/>
              <w:bottom w:val="single" w:color="auto" w:sz="4" w:space="0"/>
              <w:right w:val="single" w:color="auto" w:sz="4" w:space="0"/>
            </w:tcBorders>
          </w:tcPr>
          <w:p w14:paraId="0D0321C9">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07BC54CF">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6D2B41B4">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0A06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34" w:type="pct"/>
            <w:vMerge w:val="continue"/>
            <w:tcBorders>
              <w:left w:val="single" w:color="auto" w:sz="4" w:space="0"/>
              <w:right w:val="single" w:color="auto" w:sz="4" w:space="0"/>
            </w:tcBorders>
            <w:vAlign w:val="center"/>
          </w:tcPr>
          <w:p w14:paraId="2A2AD05E">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95" w:type="pct"/>
            <w:vMerge w:val="continue"/>
            <w:tcBorders>
              <w:left w:val="single" w:color="auto" w:sz="4" w:space="0"/>
              <w:right w:val="single" w:color="auto" w:sz="4" w:space="0"/>
            </w:tcBorders>
          </w:tcPr>
          <w:p w14:paraId="5AA890E3">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6F033568">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4.9本次采</w:t>
            </w:r>
            <w:r>
              <w:rPr>
                <w:rFonts w:hint="eastAsia" w:ascii="宋体" w:hAnsi="宋体"/>
                <w:b w:val="0"/>
                <w:bCs w:val="0"/>
                <w:i w:val="0"/>
                <w:iCs w:val="0"/>
                <w:color w:val="auto"/>
                <w:kern w:val="0"/>
                <w:sz w:val="21"/>
                <w:szCs w:val="21"/>
                <w:lang w:val="zh-CN"/>
              </w:rPr>
              <w:t>购</w:t>
            </w:r>
            <w:r>
              <w:rPr>
                <w:rFonts w:hint="eastAsia" w:ascii="宋体" w:hAnsi="宋体"/>
                <w:b w:val="0"/>
                <w:bCs w:val="0"/>
                <w:i w:val="0"/>
                <w:iCs w:val="0"/>
                <w:color w:val="auto"/>
                <w:kern w:val="0"/>
                <w:sz w:val="21"/>
                <w:szCs w:val="21"/>
                <w:lang w:val="en-US" w:eastAsia="zh-CN"/>
              </w:rPr>
              <w:t>的主要设备（</w:t>
            </w:r>
            <w:r>
              <w:rPr>
                <w:b w:val="0"/>
                <w:bCs w:val="0"/>
                <w:i w:val="0"/>
                <w:iCs w:val="0"/>
                <w:color w:val="auto"/>
                <w:sz w:val="21"/>
                <w:szCs w:val="21"/>
              </w:rPr>
              <w:t>UPS</w:t>
            </w:r>
            <w:r>
              <w:rPr>
                <w:rFonts w:hint="eastAsia"/>
                <w:b w:val="0"/>
                <w:bCs w:val="0"/>
                <w:i w:val="0"/>
                <w:iCs w:val="0"/>
                <w:color w:val="auto"/>
                <w:sz w:val="21"/>
                <w:szCs w:val="21"/>
              </w:rPr>
              <w:t>及功率模块、铅酸电池系统、</w:t>
            </w:r>
            <w:r>
              <w:rPr>
                <w:b w:val="0"/>
                <w:bCs w:val="0"/>
                <w:i w:val="0"/>
                <w:iCs w:val="0"/>
                <w:color w:val="auto"/>
                <w:sz w:val="21"/>
                <w:szCs w:val="21"/>
              </w:rPr>
              <w:t>2.4MW</w:t>
            </w:r>
            <w:r>
              <w:rPr>
                <w:rFonts w:hint="eastAsia"/>
                <w:b w:val="0"/>
                <w:bCs w:val="0"/>
                <w:i w:val="0"/>
                <w:iCs w:val="0"/>
                <w:color w:val="auto"/>
                <w:sz w:val="21"/>
                <w:szCs w:val="21"/>
              </w:rPr>
              <w:t>配电柜系统、</w:t>
            </w:r>
            <w:r>
              <w:rPr>
                <w:rFonts w:hint="eastAsia" w:ascii="宋体" w:hAnsi="宋体"/>
                <w:b w:val="0"/>
                <w:bCs w:val="0"/>
                <w:i w:val="0"/>
                <w:iCs w:val="0"/>
                <w:color w:val="auto"/>
                <w:sz w:val="21"/>
                <w:szCs w:val="21"/>
              </w:rPr>
              <w:t>水冷型行间空调</w:t>
            </w:r>
            <w:r>
              <w:rPr>
                <w:rFonts w:hint="eastAsia"/>
                <w:b w:val="0"/>
                <w:bCs w:val="0"/>
                <w:i w:val="0"/>
                <w:iCs w:val="0"/>
                <w:color w:val="auto"/>
                <w:sz w:val="21"/>
                <w:szCs w:val="21"/>
              </w:rPr>
              <w:t>、</w:t>
            </w:r>
            <w:r>
              <w:rPr>
                <w:rFonts w:hint="eastAsia" w:ascii="宋体" w:hAnsi="宋体"/>
                <w:b w:val="0"/>
                <w:bCs w:val="0"/>
                <w:i w:val="0"/>
                <w:iCs w:val="0"/>
                <w:color w:val="auto"/>
                <w:sz w:val="21"/>
                <w:szCs w:val="21"/>
              </w:rPr>
              <w:t>水冷型房间级空调、风冷型行间空调、小母线、动环管理系统</w:t>
            </w:r>
            <w:r>
              <w:rPr>
                <w:rFonts w:hint="eastAsia" w:ascii="宋体" w:hAnsi="宋体"/>
                <w:b w:val="0"/>
                <w:bCs w:val="0"/>
                <w:i w:val="0"/>
                <w:iCs w:val="0"/>
                <w:color w:val="auto"/>
                <w:sz w:val="21"/>
                <w:szCs w:val="21"/>
                <w:lang w:eastAsia="zh-CN"/>
              </w:rPr>
              <w:t>、</w:t>
            </w:r>
            <w:r>
              <w:rPr>
                <w:rFonts w:hint="eastAsia" w:ascii="宋体" w:hAnsi="宋体"/>
                <w:b w:val="0"/>
                <w:bCs w:val="0"/>
                <w:i w:val="0"/>
                <w:iCs w:val="0"/>
                <w:color w:val="auto"/>
                <w:sz w:val="21"/>
                <w:szCs w:val="21"/>
                <w:lang w:val="en-US" w:eastAsia="zh-CN"/>
              </w:rPr>
              <w:t>防火墙、堡垒机等</w:t>
            </w:r>
            <w:r>
              <w:rPr>
                <w:rFonts w:hint="eastAsia" w:ascii="宋体" w:hAnsi="宋体"/>
                <w:b w:val="0"/>
                <w:bCs w:val="0"/>
                <w:i w:val="0"/>
                <w:iCs w:val="0"/>
                <w:color w:val="auto"/>
                <w:kern w:val="0"/>
                <w:sz w:val="21"/>
                <w:szCs w:val="21"/>
                <w:lang w:val="en-US" w:eastAsia="zh-CN"/>
              </w:rPr>
              <w:t>）</w:t>
            </w:r>
            <w:r>
              <w:rPr>
                <w:rFonts w:hint="eastAsia" w:ascii="宋体" w:hAnsi="宋体"/>
                <w:b w:val="0"/>
                <w:bCs w:val="0"/>
                <w:i w:val="0"/>
                <w:iCs w:val="0"/>
                <w:color w:val="auto"/>
                <w:kern w:val="0"/>
                <w:sz w:val="21"/>
                <w:szCs w:val="21"/>
                <w:lang w:val="zh-CN"/>
              </w:rPr>
              <w:t>，均需提供原厂保修</w:t>
            </w:r>
            <w:r>
              <w:rPr>
                <w:rFonts w:hint="eastAsia" w:ascii="宋体" w:hAnsi="宋体"/>
                <w:b w:val="0"/>
                <w:bCs w:val="0"/>
                <w:i w:val="0"/>
                <w:iCs w:val="0"/>
                <w:color w:val="auto"/>
                <w:kern w:val="0"/>
                <w:sz w:val="21"/>
                <w:szCs w:val="21"/>
              </w:rPr>
              <w:t>5</w:t>
            </w:r>
            <w:r>
              <w:rPr>
                <w:rFonts w:hint="eastAsia" w:ascii="宋体" w:hAnsi="宋体"/>
                <w:b w:val="0"/>
                <w:bCs w:val="0"/>
                <w:i w:val="0"/>
                <w:iCs w:val="0"/>
                <w:color w:val="auto"/>
                <w:kern w:val="0"/>
                <w:sz w:val="21"/>
                <w:szCs w:val="21"/>
                <w:lang w:val="zh-CN"/>
              </w:rPr>
              <w:t>年。免费保修期内，中标人还需提供关键性设备如UPS电源系统、精密空调每半年一次的巡检维护并出具</w:t>
            </w:r>
            <w:r>
              <w:rPr>
                <w:rFonts w:hint="eastAsia" w:ascii="宋体" w:hAnsi="宋体"/>
                <w:kern w:val="0"/>
                <w:sz w:val="21"/>
                <w:szCs w:val="21"/>
                <w:lang w:val="zh-CN"/>
              </w:rPr>
              <w:t>详细报告。</w:t>
            </w:r>
          </w:p>
        </w:tc>
        <w:tc>
          <w:tcPr>
            <w:tcW w:w="569" w:type="pct"/>
            <w:tcBorders>
              <w:top w:val="single" w:color="auto" w:sz="4" w:space="0"/>
              <w:left w:val="single" w:color="auto" w:sz="4" w:space="0"/>
              <w:bottom w:val="single" w:color="auto" w:sz="4" w:space="0"/>
              <w:right w:val="single" w:color="auto" w:sz="4" w:space="0"/>
            </w:tcBorders>
          </w:tcPr>
          <w:p w14:paraId="6CD1D9D0">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07EEBC36">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38B0965A">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lang w:val="zh-CN"/>
              </w:rPr>
            </w:pPr>
          </w:p>
        </w:tc>
      </w:tr>
      <w:tr w14:paraId="0F35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34" w:type="pct"/>
            <w:vMerge w:val="continue"/>
            <w:tcBorders>
              <w:left w:val="single" w:color="auto" w:sz="4" w:space="0"/>
              <w:right w:val="single" w:color="auto" w:sz="4" w:space="0"/>
            </w:tcBorders>
            <w:vAlign w:val="center"/>
          </w:tcPr>
          <w:p w14:paraId="4DE03CF3">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395" w:type="pct"/>
            <w:vMerge w:val="continue"/>
            <w:tcBorders>
              <w:left w:val="single" w:color="auto" w:sz="4" w:space="0"/>
              <w:right w:val="single" w:color="auto" w:sz="4" w:space="0"/>
            </w:tcBorders>
          </w:tcPr>
          <w:p w14:paraId="630C388C">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058CCCCE">
            <w:pPr>
              <w:pStyle w:val="18"/>
              <w:keepNext w:val="0"/>
              <w:keepLines w:val="0"/>
              <w:pageBreakBefore w:val="0"/>
              <w:widowControl w:val="0"/>
              <w:kinsoku/>
              <w:wordWrap/>
              <w:overflowPunct/>
              <w:topLinePunct w:val="0"/>
              <w:bidi w:val="0"/>
              <w:snapToGrid/>
              <w:spacing w:line="276" w:lineRule="auto"/>
              <w:rPr>
                <w:rFonts w:ascii="宋体" w:hAnsi="宋体"/>
                <w:kern w:val="0"/>
                <w:sz w:val="21"/>
                <w:szCs w:val="21"/>
              </w:rPr>
            </w:pPr>
            <w:r>
              <w:rPr>
                <w:rFonts w:hint="eastAsia"/>
                <w:b/>
                <w:bCs/>
                <w:color w:val="FF0000"/>
                <w:sz w:val="21"/>
                <w:szCs w:val="21"/>
                <w:highlight w:val="yellow"/>
              </w:rPr>
              <w:t>4.10</w:t>
            </w:r>
            <w:r>
              <w:rPr>
                <w:rFonts w:hint="eastAsia"/>
                <w:b/>
                <w:bCs/>
                <w:color w:val="FF0000"/>
                <w:sz w:val="21"/>
                <w:szCs w:val="21"/>
                <w:highlight w:val="yellow"/>
                <w:lang w:val="en-US" w:eastAsia="zh-CN"/>
              </w:rPr>
              <w:t xml:space="preserve"> </w:t>
            </w:r>
            <w:r>
              <w:rPr>
                <w:rFonts w:hint="eastAsia"/>
                <w:b/>
                <w:bCs/>
                <w:color w:val="FF0000"/>
                <w:sz w:val="21"/>
                <w:szCs w:val="21"/>
                <w:highlight w:val="yellow"/>
              </w:rPr>
              <w:t>投标人承诺对本项目提供的电池承担废电池回收、处理服务。（投标时要求提供满足要求的承诺函扫描件或复印件（格式自拟），并加盖投标人公章）</w:t>
            </w:r>
          </w:p>
        </w:tc>
        <w:tc>
          <w:tcPr>
            <w:tcW w:w="569" w:type="pct"/>
            <w:tcBorders>
              <w:top w:val="single" w:color="auto" w:sz="4" w:space="0"/>
              <w:left w:val="single" w:color="auto" w:sz="4" w:space="0"/>
              <w:bottom w:val="single" w:color="auto" w:sz="4" w:space="0"/>
              <w:right w:val="single" w:color="auto" w:sz="4" w:space="0"/>
            </w:tcBorders>
          </w:tcPr>
          <w:p w14:paraId="2862B723">
            <w:pPr>
              <w:pStyle w:val="18"/>
              <w:keepNext w:val="0"/>
              <w:keepLines w:val="0"/>
              <w:pageBreakBefore w:val="0"/>
              <w:widowControl w:val="0"/>
              <w:kinsoku/>
              <w:wordWrap/>
              <w:overflowPunct/>
              <w:topLinePunct w:val="0"/>
              <w:bidi w:val="0"/>
              <w:snapToGrid/>
              <w:spacing w:line="276" w:lineRule="auto"/>
              <w:rPr>
                <w:rFonts w:hint="eastAsia"/>
                <w:b/>
                <w:bCs/>
                <w:color w:val="FF0000"/>
                <w:sz w:val="21"/>
                <w:szCs w:val="21"/>
                <w:highlight w:val="yellow"/>
              </w:rPr>
            </w:pPr>
          </w:p>
        </w:tc>
        <w:tc>
          <w:tcPr>
            <w:tcW w:w="452" w:type="pct"/>
            <w:tcBorders>
              <w:top w:val="single" w:color="auto" w:sz="4" w:space="0"/>
              <w:left w:val="single" w:color="auto" w:sz="4" w:space="0"/>
              <w:bottom w:val="single" w:color="auto" w:sz="4" w:space="0"/>
              <w:right w:val="single" w:color="auto" w:sz="4" w:space="0"/>
            </w:tcBorders>
          </w:tcPr>
          <w:p w14:paraId="7ABA90A6">
            <w:pPr>
              <w:pStyle w:val="18"/>
              <w:keepNext w:val="0"/>
              <w:keepLines w:val="0"/>
              <w:pageBreakBefore w:val="0"/>
              <w:widowControl w:val="0"/>
              <w:kinsoku/>
              <w:wordWrap/>
              <w:overflowPunct/>
              <w:topLinePunct w:val="0"/>
              <w:bidi w:val="0"/>
              <w:snapToGrid/>
              <w:spacing w:line="276" w:lineRule="auto"/>
              <w:rPr>
                <w:rFonts w:hint="eastAsia"/>
                <w:b/>
                <w:bCs/>
                <w:color w:val="FF0000"/>
                <w:sz w:val="21"/>
                <w:szCs w:val="21"/>
                <w:highlight w:val="yellow"/>
              </w:rPr>
            </w:pPr>
          </w:p>
        </w:tc>
        <w:tc>
          <w:tcPr>
            <w:tcW w:w="444" w:type="pct"/>
            <w:tcBorders>
              <w:top w:val="single" w:color="auto" w:sz="4" w:space="0"/>
              <w:left w:val="single" w:color="auto" w:sz="4" w:space="0"/>
              <w:bottom w:val="single" w:color="auto" w:sz="4" w:space="0"/>
              <w:right w:val="single" w:color="auto" w:sz="4" w:space="0"/>
            </w:tcBorders>
          </w:tcPr>
          <w:p w14:paraId="0F2024BB">
            <w:pPr>
              <w:pStyle w:val="18"/>
              <w:keepNext w:val="0"/>
              <w:keepLines w:val="0"/>
              <w:pageBreakBefore w:val="0"/>
              <w:widowControl w:val="0"/>
              <w:kinsoku/>
              <w:wordWrap/>
              <w:overflowPunct/>
              <w:topLinePunct w:val="0"/>
              <w:bidi w:val="0"/>
              <w:snapToGrid/>
              <w:spacing w:line="276" w:lineRule="auto"/>
              <w:rPr>
                <w:rFonts w:hint="eastAsia"/>
                <w:b/>
                <w:bCs/>
                <w:color w:val="FF0000"/>
                <w:sz w:val="21"/>
                <w:szCs w:val="21"/>
                <w:highlight w:val="yellow"/>
              </w:rPr>
            </w:pPr>
          </w:p>
        </w:tc>
      </w:tr>
      <w:tr w14:paraId="413F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Merge w:val="continue"/>
            <w:tcBorders>
              <w:left w:val="single" w:color="auto" w:sz="4" w:space="0"/>
              <w:bottom w:val="single" w:color="auto" w:sz="4" w:space="0"/>
              <w:right w:val="single" w:color="auto" w:sz="4" w:space="0"/>
            </w:tcBorders>
            <w:vAlign w:val="center"/>
          </w:tcPr>
          <w:p w14:paraId="53FC8850">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bottom w:val="single" w:color="auto" w:sz="4" w:space="0"/>
              <w:right w:val="single" w:color="auto" w:sz="4" w:space="0"/>
            </w:tcBorders>
          </w:tcPr>
          <w:p w14:paraId="635A0CB4">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431E1D75">
            <w:pPr>
              <w:keepNext w:val="0"/>
              <w:keepLines w:val="0"/>
              <w:pageBreakBefore w:val="0"/>
              <w:widowControl w:val="0"/>
              <w:kinsoku/>
              <w:wordWrap/>
              <w:overflowPunct/>
              <w:topLinePunct w:val="0"/>
              <w:bidi w:val="0"/>
              <w:snapToGrid/>
              <w:spacing w:line="276" w:lineRule="auto"/>
              <w:ind w:right="36" w:rightChars="17"/>
              <w:rPr>
                <w:rFonts w:ascii="宋体" w:hAnsi="宋体"/>
                <w:kern w:val="0"/>
                <w:sz w:val="21"/>
                <w:szCs w:val="21"/>
              </w:rPr>
            </w:pPr>
            <w:r>
              <w:rPr>
                <w:rFonts w:hint="eastAsia" w:ascii="宋体" w:hAnsi="宋体"/>
                <w:kern w:val="0"/>
                <w:sz w:val="21"/>
                <w:szCs w:val="21"/>
              </w:rPr>
              <w:t>4.</w:t>
            </w:r>
            <w:r>
              <w:rPr>
                <w:rFonts w:ascii="宋体" w:hAnsi="宋体"/>
                <w:kern w:val="0"/>
                <w:sz w:val="21"/>
                <w:szCs w:val="21"/>
              </w:rPr>
              <w:t>11</w:t>
            </w:r>
            <w:r>
              <w:rPr>
                <w:rFonts w:hint="eastAsia" w:ascii="宋体" w:hAnsi="宋体"/>
                <w:kern w:val="0"/>
                <w:sz w:val="21"/>
                <w:szCs w:val="21"/>
              </w:rPr>
              <w:t xml:space="preserve"> 通过第三方测试验证后1年内，中标人提供≧2人的驻场服务。</w:t>
            </w:r>
          </w:p>
        </w:tc>
        <w:tc>
          <w:tcPr>
            <w:tcW w:w="569" w:type="pct"/>
            <w:tcBorders>
              <w:top w:val="single" w:color="auto" w:sz="4" w:space="0"/>
              <w:left w:val="single" w:color="auto" w:sz="4" w:space="0"/>
              <w:bottom w:val="single" w:color="auto" w:sz="4" w:space="0"/>
              <w:right w:val="single" w:color="auto" w:sz="4" w:space="0"/>
            </w:tcBorders>
          </w:tcPr>
          <w:p w14:paraId="5C2AD602">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c>
          <w:tcPr>
            <w:tcW w:w="452" w:type="pct"/>
            <w:tcBorders>
              <w:top w:val="single" w:color="auto" w:sz="4" w:space="0"/>
              <w:left w:val="single" w:color="auto" w:sz="4" w:space="0"/>
              <w:bottom w:val="single" w:color="auto" w:sz="4" w:space="0"/>
              <w:right w:val="single" w:color="auto" w:sz="4" w:space="0"/>
            </w:tcBorders>
          </w:tcPr>
          <w:p w14:paraId="0C450226">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c>
          <w:tcPr>
            <w:tcW w:w="444" w:type="pct"/>
            <w:tcBorders>
              <w:top w:val="single" w:color="auto" w:sz="4" w:space="0"/>
              <w:left w:val="single" w:color="auto" w:sz="4" w:space="0"/>
              <w:bottom w:val="single" w:color="auto" w:sz="4" w:space="0"/>
              <w:right w:val="single" w:color="auto" w:sz="4" w:space="0"/>
            </w:tcBorders>
          </w:tcPr>
          <w:p w14:paraId="67DCD351">
            <w:pPr>
              <w:keepNext w:val="0"/>
              <w:keepLines w:val="0"/>
              <w:pageBreakBefore w:val="0"/>
              <w:widowControl w:val="0"/>
              <w:kinsoku/>
              <w:wordWrap/>
              <w:overflowPunct/>
              <w:topLinePunct w:val="0"/>
              <w:bidi w:val="0"/>
              <w:snapToGrid/>
              <w:spacing w:line="276" w:lineRule="auto"/>
              <w:ind w:right="36" w:rightChars="17"/>
              <w:rPr>
                <w:rFonts w:hint="eastAsia" w:ascii="宋体" w:hAnsi="宋体"/>
                <w:kern w:val="0"/>
                <w:sz w:val="21"/>
                <w:szCs w:val="21"/>
              </w:rPr>
            </w:pPr>
          </w:p>
        </w:tc>
      </w:tr>
      <w:tr w14:paraId="6987B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restart"/>
            <w:tcBorders>
              <w:top w:val="single" w:color="auto" w:sz="4" w:space="0"/>
              <w:left w:val="single" w:color="auto" w:sz="4" w:space="0"/>
              <w:right w:val="single" w:color="auto" w:sz="4" w:space="0"/>
            </w:tcBorders>
            <w:vAlign w:val="center"/>
          </w:tcPr>
          <w:p w14:paraId="04F00D1E">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5</w:t>
            </w:r>
          </w:p>
        </w:tc>
        <w:tc>
          <w:tcPr>
            <w:tcW w:w="395" w:type="pct"/>
            <w:vMerge w:val="restart"/>
            <w:tcBorders>
              <w:top w:val="single" w:color="auto" w:sz="4" w:space="0"/>
              <w:left w:val="single" w:color="auto" w:sz="4" w:space="0"/>
              <w:right w:val="single" w:color="auto" w:sz="4" w:space="0"/>
            </w:tcBorders>
            <w:vAlign w:val="center"/>
          </w:tcPr>
          <w:p w14:paraId="5AF7302B">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关于安装、调试和验收</w:t>
            </w:r>
          </w:p>
        </w:tc>
        <w:tc>
          <w:tcPr>
            <w:tcW w:w="2803" w:type="pct"/>
            <w:tcBorders>
              <w:top w:val="single" w:color="auto" w:sz="4" w:space="0"/>
              <w:left w:val="single" w:color="auto" w:sz="4" w:space="0"/>
              <w:bottom w:val="single" w:color="auto" w:sz="4" w:space="0"/>
              <w:right w:val="single" w:color="auto" w:sz="4" w:space="0"/>
            </w:tcBorders>
          </w:tcPr>
          <w:p w14:paraId="77090280">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5.1</w:t>
            </w:r>
            <w:r>
              <w:rPr>
                <w:rFonts w:hint="eastAsia" w:ascii="宋体" w:hAnsi="宋体"/>
                <w:kern w:val="0"/>
                <w:sz w:val="21"/>
                <w:szCs w:val="21"/>
                <w:lang w:val="zh-CN"/>
              </w:rPr>
              <w:t>中标人技术</w:t>
            </w:r>
            <w:r>
              <w:rPr>
                <w:rFonts w:hint="eastAsia" w:ascii="宋体" w:hAnsi="宋体"/>
                <w:bCs/>
                <w:sz w:val="21"/>
                <w:szCs w:val="21"/>
                <w:lang w:val="zh-CN"/>
              </w:rPr>
              <w:t>工程师负责现场的免费安装、调试；如需特殊安装条件的，中标人应当发货前</w:t>
            </w:r>
            <w:r>
              <w:rPr>
                <w:rFonts w:hint="eastAsia" w:ascii="宋体" w:hAnsi="宋体"/>
                <w:bCs/>
                <w:sz w:val="21"/>
                <w:szCs w:val="21"/>
                <w:u w:val="single"/>
              </w:rPr>
              <w:t>15</w:t>
            </w:r>
            <w:r>
              <w:rPr>
                <w:rFonts w:hint="eastAsia" w:ascii="宋体" w:hAnsi="宋体"/>
                <w:bCs/>
                <w:sz w:val="21"/>
                <w:szCs w:val="21"/>
                <w:lang w:val="zh-CN"/>
              </w:rPr>
              <w:t>天内与采购人进行场地安装事宜的确认。</w:t>
            </w:r>
          </w:p>
        </w:tc>
        <w:tc>
          <w:tcPr>
            <w:tcW w:w="569" w:type="pct"/>
            <w:tcBorders>
              <w:top w:val="single" w:color="auto" w:sz="4" w:space="0"/>
              <w:left w:val="single" w:color="auto" w:sz="4" w:space="0"/>
              <w:bottom w:val="single" w:color="auto" w:sz="4" w:space="0"/>
              <w:right w:val="single" w:color="auto" w:sz="4" w:space="0"/>
            </w:tcBorders>
          </w:tcPr>
          <w:p w14:paraId="1CD0D586">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65043837">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67C53486">
            <w:pPr>
              <w:keepNext w:val="0"/>
              <w:keepLines w:val="0"/>
              <w:pageBreakBefore w:val="0"/>
              <w:widowControl w:val="0"/>
              <w:kinsoku/>
              <w:wordWrap/>
              <w:overflowPunct/>
              <w:topLinePunct w:val="0"/>
              <w:bidi w:val="0"/>
              <w:snapToGrid/>
              <w:spacing w:line="276" w:lineRule="auto"/>
              <w:ind w:right="36" w:rightChars="17"/>
              <w:rPr>
                <w:rFonts w:hint="eastAsia" w:ascii="宋体" w:hAnsi="宋体"/>
                <w:bCs/>
                <w:sz w:val="21"/>
                <w:szCs w:val="21"/>
              </w:rPr>
            </w:pPr>
          </w:p>
        </w:tc>
      </w:tr>
      <w:tr w14:paraId="33BD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continue"/>
            <w:tcBorders>
              <w:left w:val="single" w:color="auto" w:sz="4" w:space="0"/>
              <w:right w:val="single" w:color="auto" w:sz="4" w:space="0"/>
            </w:tcBorders>
            <w:vAlign w:val="center"/>
          </w:tcPr>
          <w:p w14:paraId="32F63E94">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75CF0832">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225642B6">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5.2货物</w:t>
            </w:r>
            <w:r>
              <w:rPr>
                <w:rFonts w:hint="eastAsia" w:ascii="宋体" w:hAnsi="宋体"/>
                <w:bCs/>
                <w:sz w:val="21"/>
                <w:szCs w:val="21"/>
                <w:lang w:val="zh-CN"/>
              </w:rPr>
              <w:t>运抵安装现场后，采购人应当与中标人共同开箱；中标人技术工程师负责现场的免费安装、调试，验收结果以采购人的验收报告为最终验收结果，验收时发现短缺、破损, 采购人有权要求中标人立即补发和负责更换。</w:t>
            </w:r>
          </w:p>
        </w:tc>
        <w:tc>
          <w:tcPr>
            <w:tcW w:w="569" w:type="pct"/>
            <w:tcBorders>
              <w:top w:val="single" w:color="auto" w:sz="4" w:space="0"/>
              <w:left w:val="single" w:color="auto" w:sz="4" w:space="0"/>
              <w:bottom w:val="single" w:color="auto" w:sz="4" w:space="0"/>
              <w:right w:val="single" w:color="auto" w:sz="4" w:space="0"/>
            </w:tcBorders>
          </w:tcPr>
          <w:p w14:paraId="2F2886AD">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3383C58B">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43FF3DD6">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389B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continue"/>
            <w:tcBorders>
              <w:left w:val="single" w:color="auto" w:sz="4" w:space="0"/>
              <w:right w:val="single" w:color="auto" w:sz="4" w:space="0"/>
            </w:tcBorders>
            <w:vAlign w:val="center"/>
          </w:tcPr>
          <w:p w14:paraId="429679DF">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6C53BE4D">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2DA6D804">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5.3</w:t>
            </w:r>
            <w:r>
              <w:rPr>
                <w:rFonts w:hint="eastAsia" w:ascii="宋体" w:hAnsi="宋体"/>
                <w:kern w:val="0"/>
                <w:sz w:val="21"/>
                <w:szCs w:val="21"/>
                <w:lang w:val="zh-CN"/>
              </w:rPr>
              <w:t>中标人应提出</w:t>
            </w:r>
            <w:r>
              <w:rPr>
                <w:rFonts w:hint="eastAsia" w:ascii="宋体" w:hAnsi="宋体"/>
                <w:kern w:val="0"/>
                <w:sz w:val="21"/>
                <w:szCs w:val="21"/>
              </w:rPr>
              <w:t>所供</w:t>
            </w:r>
            <w:r>
              <w:rPr>
                <w:rFonts w:hint="eastAsia" w:ascii="宋体" w:hAnsi="宋体"/>
                <w:kern w:val="0"/>
                <w:sz w:val="21"/>
                <w:szCs w:val="21"/>
                <w:lang w:val="zh-CN"/>
              </w:rPr>
              <w:t xml:space="preserve">设备测试的内容、项目、指标和方法, 中标人有责任对采购人的技术人员提出的问题作出解答。测试应进行详细记录, </w:t>
            </w:r>
            <w:r>
              <w:rPr>
                <w:rFonts w:hint="eastAsia" w:ascii="宋体" w:hAnsi="宋体"/>
                <w:kern w:val="0"/>
                <w:sz w:val="21"/>
                <w:szCs w:val="21"/>
              </w:rPr>
              <w:t>所供</w:t>
            </w:r>
            <w:r>
              <w:rPr>
                <w:rFonts w:hint="eastAsia" w:ascii="宋体" w:hAnsi="宋体"/>
                <w:kern w:val="0"/>
                <w:sz w:val="21"/>
                <w:szCs w:val="21"/>
                <w:lang w:val="zh-CN"/>
              </w:rPr>
              <w:t>设备测试结束后, 由中标人技术人员签字后交给采购人验收</w:t>
            </w:r>
            <w:r>
              <w:rPr>
                <w:rFonts w:hint="eastAsia" w:ascii="宋体" w:hAnsi="宋体"/>
                <w:bCs/>
                <w:sz w:val="21"/>
                <w:szCs w:val="21"/>
                <w:lang w:val="zh-CN"/>
              </w:rPr>
              <w:t>。</w:t>
            </w:r>
          </w:p>
        </w:tc>
        <w:tc>
          <w:tcPr>
            <w:tcW w:w="569" w:type="pct"/>
            <w:tcBorders>
              <w:top w:val="single" w:color="auto" w:sz="4" w:space="0"/>
              <w:left w:val="single" w:color="auto" w:sz="4" w:space="0"/>
              <w:bottom w:val="single" w:color="auto" w:sz="4" w:space="0"/>
              <w:right w:val="single" w:color="auto" w:sz="4" w:space="0"/>
            </w:tcBorders>
          </w:tcPr>
          <w:p w14:paraId="3B2CA38B">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1E26CD8C">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2D7CFA4D">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545AF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continue"/>
            <w:tcBorders>
              <w:left w:val="single" w:color="auto" w:sz="4" w:space="0"/>
              <w:right w:val="single" w:color="auto" w:sz="4" w:space="0"/>
            </w:tcBorders>
            <w:vAlign w:val="center"/>
          </w:tcPr>
          <w:p w14:paraId="54FD88A5">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2EFCF729">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564A9E55">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5.4中标人应提前一周将发货信息提供给采购人。货物到达后，采购人应将到货信息立即通知中标人。中标人应协助采购人于到货后一周（7天）内将设备在安装基础上就位，并做好现场安装调试、验收的各项准备工作，包括必要的软硬件及检具等。验收期应最晚不迟于交货安装后90天内，除双方协商的特殊情况外。</w:t>
            </w:r>
          </w:p>
        </w:tc>
        <w:tc>
          <w:tcPr>
            <w:tcW w:w="569" w:type="pct"/>
            <w:tcBorders>
              <w:top w:val="single" w:color="auto" w:sz="4" w:space="0"/>
              <w:left w:val="single" w:color="auto" w:sz="4" w:space="0"/>
              <w:bottom w:val="single" w:color="auto" w:sz="4" w:space="0"/>
              <w:right w:val="single" w:color="auto" w:sz="4" w:space="0"/>
            </w:tcBorders>
          </w:tcPr>
          <w:p w14:paraId="71097912">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79129660">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0B470E3C">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46C1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continue"/>
            <w:tcBorders>
              <w:left w:val="single" w:color="auto" w:sz="4" w:space="0"/>
              <w:right w:val="single" w:color="auto" w:sz="4" w:space="0"/>
            </w:tcBorders>
            <w:vAlign w:val="center"/>
          </w:tcPr>
          <w:p w14:paraId="290D4C54">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4DE950CC">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1928C65B">
            <w:pPr>
              <w:keepNext w:val="0"/>
              <w:keepLines w:val="0"/>
              <w:pageBreakBefore w:val="0"/>
              <w:widowControl w:val="0"/>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5.5当同时满足以下条件时，采购人才向中标人签发货物验收报告：</w:t>
            </w:r>
          </w:p>
          <w:p w14:paraId="4D27B8AF">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bCs/>
                <w:sz w:val="21"/>
                <w:szCs w:val="21"/>
              </w:rPr>
              <w:t>a、</w:t>
            </w:r>
            <w:r>
              <w:rPr>
                <w:rFonts w:hint="eastAsia" w:ascii="宋体" w:hAnsi="宋体"/>
                <w:kern w:val="0"/>
                <w:sz w:val="21"/>
                <w:szCs w:val="21"/>
                <w:lang w:val="zh-CN"/>
              </w:rPr>
              <w:t>中标人已按照合同规定提供了全部产品及完整的技术资料。</w:t>
            </w:r>
          </w:p>
          <w:p w14:paraId="339532DD">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kern w:val="0"/>
                <w:sz w:val="21"/>
                <w:szCs w:val="21"/>
                <w:lang w:val="zh-CN"/>
              </w:rPr>
              <w:t>b、货物符合采购文</w:t>
            </w:r>
            <w:r>
              <w:rPr>
                <w:rFonts w:hint="eastAsia" w:ascii="宋体" w:hAnsi="宋体"/>
                <w:bCs/>
                <w:sz w:val="21"/>
                <w:szCs w:val="21"/>
              </w:rPr>
              <w:t>件技术规格书的要求，性能满足要求。</w:t>
            </w:r>
          </w:p>
          <w:p w14:paraId="71D5419E">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c、货物具备产品合格证。</w:t>
            </w:r>
          </w:p>
        </w:tc>
        <w:tc>
          <w:tcPr>
            <w:tcW w:w="569" w:type="pct"/>
            <w:tcBorders>
              <w:top w:val="single" w:color="auto" w:sz="4" w:space="0"/>
              <w:left w:val="single" w:color="auto" w:sz="4" w:space="0"/>
              <w:bottom w:val="single" w:color="auto" w:sz="4" w:space="0"/>
              <w:right w:val="single" w:color="auto" w:sz="4" w:space="0"/>
            </w:tcBorders>
          </w:tcPr>
          <w:p w14:paraId="4924C345">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105C69BF">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7139D34E">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349B7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34" w:type="pct"/>
            <w:vMerge w:val="continue"/>
            <w:tcBorders>
              <w:left w:val="single" w:color="auto" w:sz="4" w:space="0"/>
              <w:right w:val="single" w:color="auto" w:sz="4" w:space="0"/>
            </w:tcBorders>
            <w:vAlign w:val="center"/>
          </w:tcPr>
          <w:p w14:paraId="6A42414F">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tcPr>
          <w:p w14:paraId="01369ADA">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right w:val="single" w:color="auto" w:sz="4" w:space="0"/>
            </w:tcBorders>
          </w:tcPr>
          <w:p w14:paraId="6FB74787">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5.6 对于采购人不具备验收测试环境的设备和软件等，可考虑增加验收条款在厂家发货前进行验收测试，或要求提供有资质的第三方测试报告。</w:t>
            </w:r>
          </w:p>
        </w:tc>
        <w:tc>
          <w:tcPr>
            <w:tcW w:w="569" w:type="pct"/>
            <w:tcBorders>
              <w:top w:val="single" w:color="auto" w:sz="4" w:space="0"/>
              <w:left w:val="single" w:color="auto" w:sz="4" w:space="0"/>
              <w:right w:val="single" w:color="auto" w:sz="4" w:space="0"/>
            </w:tcBorders>
          </w:tcPr>
          <w:p w14:paraId="191CBC3D">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right w:val="single" w:color="auto" w:sz="4" w:space="0"/>
            </w:tcBorders>
          </w:tcPr>
          <w:p w14:paraId="676EF3E3">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right w:val="single" w:color="auto" w:sz="4" w:space="0"/>
            </w:tcBorders>
          </w:tcPr>
          <w:p w14:paraId="6EE6607F">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r>
      <w:tr w14:paraId="40C83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34" w:type="pct"/>
            <w:vMerge w:val="continue"/>
            <w:tcBorders>
              <w:left w:val="single" w:color="auto" w:sz="4" w:space="0"/>
              <w:right w:val="single" w:color="auto" w:sz="4" w:space="0"/>
            </w:tcBorders>
            <w:vAlign w:val="center"/>
          </w:tcPr>
          <w:p w14:paraId="32459F85">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p>
        </w:tc>
        <w:tc>
          <w:tcPr>
            <w:tcW w:w="395" w:type="pct"/>
            <w:vMerge w:val="continue"/>
            <w:tcBorders>
              <w:left w:val="single" w:color="auto" w:sz="4" w:space="0"/>
              <w:right w:val="single" w:color="auto" w:sz="4" w:space="0"/>
            </w:tcBorders>
          </w:tcPr>
          <w:p w14:paraId="13D044E3">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p>
        </w:tc>
        <w:tc>
          <w:tcPr>
            <w:tcW w:w="2803" w:type="pct"/>
            <w:tcBorders>
              <w:top w:val="single" w:color="auto" w:sz="4" w:space="0"/>
              <w:left w:val="single" w:color="auto" w:sz="4" w:space="0"/>
              <w:right w:val="single" w:color="auto" w:sz="4" w:space="0"/>
            </w:tcBorders>
          </w:tcPr>
          <w:p w14:paraId="68A0A0D1">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Style w:val="54"/>
                <w:rFonts w:hint="eastAsia" w:ascii="宋体" w:hAnsi="宋体"/>
                <w:kern w:val="0"/>
                <w:sz w:val="21"/>
                <w:szCs w:val="21"/>
              </w:rPr>
              <w:t>5.7中标人拟安排的项目团队成员须为投标人现有员工、不少于</w:t>
            </w:r>
            <w:r>
              <w:rPr>
                <w:rStyle w:val="54"/>
                <w:rFonts w:ascii="宋体" w:hAnsi="宋体"/>
                <w:kern w:val="0"/>
                <w:sz w:val="21"/>
                <w:szCs w:val="21"/>
              </w:rPr>
              <w:t>7</w:t>
            </w:r>
            <w:r>
              <w:rPr>
                <w:rStyle w:val="54"/>
                <w:rFonts w:hint="eastAsia" w:ascii="宋体" w:hAnsi="宋体"/>
                <w:kern w:val="0"/>
                <w:sz w:val="21"/>
                <w:szCs w:val="21"/>
              </w:rPr>
              <w:t>人。</w:t>
            </w:r>
          </w:p>
        </w:tc>
        <w:tc>
          <w:tcPr>
            <w:tcW w:w="569" w:type="pct"/>
            <w:tcBorders>
              <w:top w:val="single" w:color="auto" w:sz="4" w:space="0"/>
              <w:left w:val="single" w:color="auto" w:sz="4" w:space="0"/>
              <w:right w:val="single" w:color="auto" w:sz="4" w:space="0"/>
            </w:tcBorders>
          </w:tcPr>
          <w:p w14:paraId="61F061A6">
            <w:pPr>
              <w:keepNext w:val="0"/>
              <w:keepLines w:val="0"/>
              <w:pageBreakBefore w:val="0"/>
              <w:widowControl w:val="0"/>
              <w:tabs>
                <w:tab w:val="left" w:pos="1260"/>
              </w:tabs>
              <w:kinsoku/>
              <w:wordWrap/>
              <w:overflowPunct/>
              <w:topLinePunct w:val="0"/>
              <w:bidi w:val="0"/>
              <w:snapToGrid/>
              <w:spacing w:line="276" w:lineRule="auto"/>
              <w:ind w:right="36" w:rightChars="17"/>
              <w:rPr>
                <w:rStyle w:val="54"/>
                <w:rFonts w:hint="eastAsia" w:ascii="宋体" w:hAnsi="宋体"/>
                <w:kern w:val="0"/>
                <w:sz w:val="21"/>
                <w:szCs w:val="21"/>
              </w:rPr>
            </w:pPr>
          </w:p>
        </w:tc>
        <w:tc>
          <w:tcPr>
            <w:tcW w:w="452" w:type="pct"/>
            <w:tcBorders>
              <w:top w:val="single" w:color="auto" w:sz="4" w:space="0"/>
              <w:left w:val="single" w:color="auto" w:sz="4" w:space="0"/>
              <w:right w:val="single" w:color="auto" w:sz="4" w:space="0"/>
            </w:tcBorders>
          </w:tcPr>
          <w:p w14:paraId="3C1AC0E8">
            <w:pPr>
              <w:keepNext w:val="0"/>
              <w:keepLines w:val="0"/>
              <w:pageBreakBefore w:val="0"/>
              <w:widowControl w:val="0"/>
              <w:tabs>
                <w:tab w:val="left" w:pos="1260"/>
              </w:tabs>
              <w:kinsoku/>
              <w:wordWrap/>
              <w:overflowPunct/>
              <w:topLinePunct w:val="0"/>
              <w:bidi w:val="0"/>
              <w:snapToGrid/>
              <w:spacing w:line="276" w:lineRule="auto"/>
              <w:ind w:right="36" w:rightChars="17"/>
              <w:rPr>
                <w:rStyle w:val="54"/>
                <w:rFonts w:hint="eastAsia" w:ascii="宋体" w:hAnsi="宋体"/>
                <w:kern w:val="0"/>
                <w:sz w:val="21"/>
                <w:szCs w:val="21"/>
              </w:rPr>
            </w:pPr>
          </w:p>
        </w:tc>
        <w:tc>
          <w:tcPr>
            <w:tcW w:w="444" w:type="pct"/>
            <w:tcBorders>
              <w:top w:val="single" w:color="auto" w:sz="4" w:space="0"/>
              <w:left w:val="single" w:color="auto" w:sz="4" w:space="0"/>
              <w:right w:val="single" w:color="auto" w:sz="4" w:space="0"/>
            </w:tcBorders>
          </w:tcPr>
          <w:p w14:paraId="2842894C">
            <w:pPr>
              <w:keepNext w:val="0"/>
              <w:keepLines w:val="0"/>
              <w:pageBreakBefore w:val="0"/>
              <w:widowControl w:val="0"/>
              <w:tabs>
                <w:tab w:val="left" w:pos="1260"/>
              </w:tabs>
              <w:kinsoku/>
              <w:wordWrap/>
              <w:overflowPunct/>
              <w:topLinePunct w:val="0"/>
              <w:bidi w:val="0"/>
              <w:snapToGrid/>
              <w:spacing w:line="276" w:lineRule="auto"/>
              <w:ind w:right="36" w:rightChars="17"/>
              <w:rPr>
                <w:rStyle w:val="54"/>
                <w:rFonts w:hint="eastAsia" w:ascii="宋体" w:hAnsi="宋体"/>
                <w:kern w:val="0"/>
                <w:sz w:val="21"/>
                <w:szCs w:val="21"/>
              </w:rPr>
            </w:pPr>
          </w:p>
        </w:tc>
      </w:tr>
      <w:tr w14:paraId="15078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tcBorders>
              <w:left w:val="single" w:color="auto" w:sz="4" w:space="0"/>
              <w:right w:val="single" w:color="auto" w:sz="4" w:space="0"/>
            </w:tcBorders>
            <w:vAlign w:val="center"/>
          </w:tcPr>
          <w:p w14:paraId="2601C43B">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6</w:t>
            </w:r>
          </w:p>
        </w:tc>
        <w:tc>
          <w:tcPr>
            <w:tcW w:w="395" w:type="pct"/>
            <w:tcBorders>
              <w:left w:val="single" w:color="auto" w:sz="4" w:space="0"/>
              <w:right w:val="single" w:color="auto" w:sz="4" w:space="0"/>
            </w:tcBorders>
            <w:vAlign w:val="center"/>
          </w:tcPr>
          <w:p w14:paraId="086DE63E">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关于运输及包装方式</w:t>
            </w:r>
          </w:p>
        </w:tc>
        <w:tc>
          <w:tcPr>
            <w:tcW w:w="2803" w:type="pct"/>
            <w:tcBorders>
              <w:top w:val="single" w:color="auto" w:sz="4" w:space="0"/>
              <w:left w:val="single" w:color="auto" w:sz="4" w:space="0"/>
              <w:bottom w:val="single" w:color="auto" w:sz="4" w:space="0"/>
              <w:right w:val="single" w:color="auto" w:sz="4" w:space="0"/>
            </w:tcBorders>
          </w:tcPr>
          <w:p w14:paraId="009C5CA9">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kern w:val="0"/>
                <w:sz w:val="21"/>
                <w:szCs w:val="21"/>
                <w:lang w:val="zh-CN"/>
              </w:rPr>
              <w:t>货物到达采购人指点地点前的包装、运输等均由中标人负责。针对特殊设备应使用崭新坚固的木质包装（标准包装，必要时为木质烟熏包装），适合于空运、或陆运等长途运输方式；适合气候变化；中标人应对任何由于不当包装或防护措施不利而导致的商品损坏、损失、费用增长等后果负责。</w:t>
            </w:r>
          </w:p>
        </w:tc>
        <w:tc>
          <w:tcPr>
            <w:tcW w:w="569" w:type="pct"/>
            <w:tcBorders>
              <w:top w:val="single" w:color="auto" w:sz="4" w:space="0"/>
              <w:left w:val="single" w:color="auto" w:sz="4" w:space="0"/>
              <w:bottom w:val="single" w:color="auto" w:sz="4" w:space="0"/>
              <w:right w:val="single" w:color="auto" w:sz="4" w:space="0"/>
            </w:tcBorders>
          </w:tcPr>
          <w:p w14:paraId="0D540101">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15707673">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517AEBDC">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r>
      <w:tr w14:paraId="20B20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restart"/>
            <w:tcBorders>
              <w:top w:val="single" w:color="auto" w:sz="4" w:space="0"/>
              <w:left w:val="single" w:color="auto" w:sz="4" w:space="0"/>
              <w:bottom w:val="single" w:color="auto" w:sz="4" w:space="0"/>
              <w:right w:val="single" w:color="auto" w:sz="4" w:space="0"/>
            </w:tcBorders>
            <w:vAlign w:val="center"/>
          </w:tcPr>
          <w:p w14:paraId="6710EE17">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r>
              <w:rPr>
                <w:rFonts w:hint="eastAsia" w:ascii="宋体" w:hAnsi="宋体"/>
                <w:b/>
                <w:sz w:val="21"/>
                <w:szCs w:val="21"/>
              </w:rPr>
              <w:t>7</w:t>
            </w:r>
          </w:p>
        </w:tc>
        <w:tc>
          <w:tcPr>
            <w:tcW w:w="395" w:type="pct"/>
            <w:vMerge w:val="restart"/>
            <w:tcBorders>
              <w:top w:val="single" w:color="auto" w:sz="4" w:space="0"/>
              <w:left w:val="single" w:color="auto" w:sz="4" w:space="0"/>
              <w:bottom w:val="single" w:color="auto" w:sz="4" w:space="0"/>
              <w:right w:val="single" w:color="auto" w:sz="4" w:space="0"/>
            </w:tcBorders>
            <w:vAlign w:val="center"/>
          </w:tcPr>
          <w:p w14:paraId="254BCA3C">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关于违约责任要求</w:t>
            </w:r>
          </w:p>
        </w:tc>
        <w:tc>
          <w:tcPr>
            <w:tcW w:w="2803" w:type="pct"/>
            <w:tcBorders>
              <w:top w:val="single" w:color="auto" w:sz="4" w:space="0"/>
              <w:left w:val="single" w:color="auto" w:sz="4" w:space="0"/>
              <w:bottom w:val="single" w:color="auto" w:sz="4" w:space="0"/>
              <w:right w:val="single" w:color="auto" w:sz="4" w:space="0"/>
            </w:tcBorders>
          </w:tcPr>
          <w:p w14:paraId="7BB38F1B">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7.1由于中标人的原因未能按时供货的，每迟一天支付合同总额的</w:t>
            </w:r>
            <w:r>
              <w:rPr>
                <w:rFonts w:ascii="宋体" w:hAnsi="宋体"/>
                <w:bCs/>
                <w:sz w:val="21"/>
                <w:szCs w:val="21"/>
              </w:rPr>
              <w:t>1</w:t>
            </w:r>
            <w:r>
              <w:rPr>
                <w:rFonts w:hint="eastAsia" w:ascii="宋体" w:hAnsi="宋体"/>
                <w:bCs/>
                <w:sz w:val="21"/>
                <w:szCs w:val="21"/>
              </w:rPr>
              <w:t>%违约金，累计不超过</w:t>
            </w:r>
            <w:r>
              <w:rPr>
                <w:rFonts w:hint="eastAsia" w:ascii="宋体" w:hAnsi="宋体"/>
                <w:bCs/>
                <w:sz w:val="21"/>
                <w:szCs w:val="21"/>
                <w:u w:val="single"/>
              </w:rPr>
              <w:t xml:space="preserve"> </w:t>
            </w:r>
            <w:r>
              <w:rPr>
                <w:rFonts w:ascii="宋体" w:hAnsi="宋体"/>
                <w:bCs/>
                <w:sz w:val="21"/>
                <w:szCs w:val="21"/>
                <w:u w:val="single"/>
              </w:rPr>
              <w:t>3</w:t>
            </w:r>
            <w:r>
              <w:rPr>
                <w:rFonts w:hint="eastAsia" w:ascii="宋体" w:hAnsi="宋体"/>
                <w:bCs/>
                <w:sz w:val="21"/>
                <w:szCs w:val="21"/>
                <w:u w:val="single"/>
              </w:rPr>
              <w:t xml:space="preserve">0% </w:t>
            </w:r>
            <w:r>
              <w:rPr>
                <w:rFonts w:hint="eastAsia" w:ascii="宋体" w:hAnsi="宋体"/>
                <w:bCs/>
                <w:sz w:val="21"/>
                <w:szCs w:val="21"/>
              </w:rPr>
              <w:t>。如超过供货期3</w:t>
            </w:r>
            <w:r>
              <w:rPr>
                <w:rFonts w:ascii="宋体" w:hAnsi="宋体"/>
                <w:bCs/>
                <w:sz w:val="21"/>
                <w:szCs w:val="21"/>
              </w:rPr>
              <w:t>0</w:t>
            </w:r>
            <w:r>
              <w:rPr>
                <w:rFonts w:hint="eastAsia" w:ascii="宋体" w:hAnsi="宋体"/>
                <w:bCs/>
                <w:sz w:val="21"/>
                <w:szCs w:val="21"/>
              </w:rPr>
              <w:t>天，采购人有权视情况终止采购合同并通过法律程序对供应商进行索赔。</w:t>
            </w:r>
          </w:p>
        </w:tc>
        <w:tc>
          <w:tcPr>
            <w:tcW w:w="569" w:type="pct"/>
            <w:tcBorders>
              <w:top w:val="single" w:color="auto" w:sz="4" w:space="0"/>
              <w:left w:val="single" w:color="auto" w:sz="4" w:space="0"/>
              <w:bottom w:val="single" w:color="auto" w:sz="4" w:space="0"/>
              <w:right w:val="single" w:color="auto" w:sz="4" w:space="0"/>
            </w:tcBorders>
          </w:tcPr>
          <w:p w14:paraId="7457FCDE">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32C17AEC">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11703839">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016BD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1659E65B">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bottom w:val="single" w:color="auto" w:sz="4" w:space="0"/>
              <w:right w:val="single" w:color="auto" w:sz="4" w:space="0"/>
            </w:tcBorders>
          </w:tcPr>
          <w:p w14:paraId="5980A4A8">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21734279">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7.2</w:t>
            </w:r>
            <w:r>
              <w:rPr>
                <w:rFonts w:hint="eastAsia" w:ascii="宋体" w:hAnsi="宋体"/>
                <w:color w:val="000000" w:themeColor="text1"/>
                <w:sz w:val="21"/>
                <w:szCs w:val="21"/>
                <w14:textFill>
                  <w14:solidFill>
                    <w14:schemeClr w14:val="tx1"/>
                  </w14:solidFill>
                </w14:textFill>
              </w:rPr>
              <w:t>中标人所提供的服务及所交付的产品品种、型号、规格、质量不符合同规定标准的，采购人有权拒绝收货且无需承担任何责任，同时采购人有权要求中标人限期重新供货，并且</w:t>
            </w:r>
            <w:r>
              <w:rPr>
                <w:rFonts w:hint="eastAsia"/>
                <w:sz w:val="21"/>
                <w:szCs w:val="21"/>
              </w:rPr>
              <w:t>采购人有权视情况报财政主管部门申请解除合同，</w:t>
            </w:r>
            <w:r>
              <w:rPr>
                <w:rFonts w:hint="eastAsia" w:ascii="宋体" w:hAnsi="宋体"/>
                <w:color w:val="000000" w:themeColor="text1"/>
                <w:sz w:val="21"/>
                <w:szCs w:val="21"/>
                <w14:textFill>
                  <w14:solidFill>
                    <w14:schemeClr w14:val="tx1"/>
                  </w14:solidFill>
                </w14:textFill>
              </w:rPr>
              <w:t>由此造成的一</w:t>
            </w:r>
            <w:r>
              <w:rPr>
                <w:rFonts w:hint="eastAsia" w:ascii="宋体" w:hAnsi="宋体"/>
                <w:kern w:val="0"/>
                <w:sz w:val="21"/>
                <w:szCs w:val="21"/>
                <w:lang w:val="zh-CN"/>
              </w:rPr>
              <w:t>切损失由中标人承</w:t>
            </w:r>
            <w:r>
              <w:rPr>
                <w:rFonts w:hint="eastAsia" w:ascii="宋体" w:hAnsi="宋体"/>
                <w:color w:val="000000" w:themeColor="text1"/>
                <w:sz w:val="21"/>
                <w:szCs w:val="21"/>
                <w14:textFill>
                  <w14:solidFill>
                    <w14:schemeClr w14:val="tx1"/>
                  </w14:solidFill>
                </w14:textFill>
              </w:rPr>
              <w:t>担。</w:t>
            </w:r>
          </w:p>
        </w:tc>
        <w:tc>
          <w:tcPr>
            <w:tcW w:w="569" w:type="pct"/>
            <w:tcBorders>
              <w:top w:val="single" w:color="auto" w:sz="4" w:space="0"/>
              <w:left w:val="single" w:color="auto" w:sz="4" w:space="0"/>
              <w:bottom w:val="single" w:color="auto" w:sz="4" w:space="0"/>
              <w:right w:val="single" w:color="auto" w:sz="4" w:space="0"/>
            </w:tcBorders>
          </w:tcPr>
          <w:p w14:paraId="1970F9B3">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4D7FA9E9">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740F4196">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39783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337FD7F0">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bottom w:val="single" w:color="auto" w:sz="4" w:space="0"/>
              <w:right w:val="single" w:color="auto" w:sz="4" w:space="0"/>
            </w:tcBorders>
          </w:tcPr>
          <w:p w14:paraId="5A3D0F45">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0BB65CE8">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7.3采购人有权对中标人就本项目提供的相关证明资料（原件）进行审查。中标人提供虚假资料被查实的，则可能面临被取消本项目中标资格、列入不良行为记录名单和三年内禁止参与政府采购活动的风险，另外，中标人应当向采购人赔偿合同总金额30%的违约金。违约金不足以弥补采购人损失的，中标人应当继续赔偿。由此造成的一切损失由中标人承担。</w:t>
            </w:r>
          </w:p>
        </w:tc>
        <w:tc>
          <w:tcPr>
            <w:tcW w:w="569" w:type="pct"/>
            <w:tcBorders>
              <w:top w:val="single" w:color="auto" w:sz="4" w:space="0"/>
              <w:left w:val="single" w:color="auto" w:sz="4" w:space="0"/>
              <w:bottom w:val="single" w:color="auto" w:sz="4" w:space="0"/>
              <w:right w:val="single" w:color="auto" w:sz="4" w:space="0"/>
            </w:tcBorders>
          </w:tcPr>
          <w:p w14:paraId="1BE2C735">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05C5A20A">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05B8C940">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4737C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46B85805">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bottom w:val="single" w:color="auto" w:sz="4" w:space="0"/>
              <w:right w:val="single" w:color="auto" w:sz="4" w:space="0"/>
            </w:tcBorders>
          </w:tcPr>
          <w:p w14:paraId="2795973E">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30F7AA70">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7.4中标</w:t>
            </w:r>
            <w:r>
              <w:rPr>
                <w:rFonts w:hint="eastAsia" w:ascii="宋体" w:hAnsi="宋体"/>
                <w:kern w:val="0"/>
                <w:sz w:val="21"/>
                <w:szCs w:val="21"/>
                <w:lang w:val="zh-CN"/>
              </w:rPr>
              <w:t>人</w:t>
            </w:r>
            <w:r>
              <w:rPr>
                <w:rFonts w:hint="eastAsia" w:ascii="宋体" w:hAnsi="宋体"/>
                <w:bCs/>
                <w:sz w:val="21"/>
                <w:szCs w:val="21"/>
              </w:rPr>
              <w:t>原则上不允许分包，必须分包的须经过采购人同意，否则由此</w:t>
            </w:r>
            <w:r>
              <w:rPr>
                <w:rFonts w:hint="eastAsia" w:ascii="宋体" w:hAnsi="宋体"/>
                <w:sz w:val="21"/>
                <w:szCs w:val="21"/>
              </w:rPr>
              <w:t>造成的一</w:t>
            </w:r>
            <w:r>
              <w:rPr>
                <w:rFonts w:hint="eastAsia" w:ascii="宋体" w:hAnsi="宋体"/>
                <w:kern w:val="0"/>
                <w:sz w:val="21"/>
                <w:szCs w:val="21"/>
                <w:lang w:val="zh-CN"/>
              </w:rPr>
              <w:t>切损失由中标人承</w:t>
            </w:r>
            <w:r>
              <w:rPr>
                <w:rFonts w:hint="eastAsia" w:ascii="宋体" w:hAnsi="宋体"/>
                <w:sz w:val="21"/>
                <w:szCs w:val="21"/>
              </w:rPr>
              <w:t>担。</w:t>
            </w:r>
          </w:p>
        </w:tc>
        <w:tc>
          <w:tcPr>
            <w:tcW w:w="569" w:type="pct"/>
            <w:tcBorders>
              <w:top w:val="single" w:color="auto" w:sz="4" w:space="0"/>
              <w:left w:val="single" w:color="auto" w:sz="4" w:space="0"/>
              <w:bottom w:val="single" w:color="auto" w:sz="4" w:space="0"/>
              <w:right w:val="single" w:color="auto" w:sz="4" w:space="0"/>
            </w:tcBorders>
          </w:tcPr>
          <w:p w14:paraId="35DFE646">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6A8F83EE">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69B71C66">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7E9D7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334" w:type="pct"/>
            <w:vMerge w:val="continue"/>
            <w:tcBorders>
              <w:top w:val="single" w:color="auto" w:sz="4" w:space="0"/>
              <w:left w:val="single" w:color="auto" w:sz="4" w:space="0"/>
              <w:bottom w:val="single" w:color="auto" w:sz="4" w:space="0"/>
              <w:right w:val="single" w:color="auto" w:sz="4" w:space="0"/>
            </w:tcBorders>
            <w:vAlign w:val="center"/>
          </w:tcPr>
          <w:p w14:paraId="1B0192F0">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top w:val="single" w:color="auto" w:sz="4" w:space="0"/>
              <w:left w:val="single" w:color="auto" w:sz="4" w:space="0"/>
              <w:bottom w:val="single" w:color="auto" w:sz="4" w:space="0"/>
              <w:right w:val="single" w:color="auto" w:sz="4" w:space="0"/>
            </w:tcBorders>
          </w:tcPr>
          <w:p w14:paraId="5BFCBE83">
            <w:pPr>
              <w:keepNext w:val="0"/>
              <w:keepLines w:val="0"/>
              <w:pageBreakBefore w:val="0"/>
              <w:widowControl w:val="0"/>
              <w:kinsoku/>
              <w:wordWrap/>
              <w:overflowPunct/>
              <w:topLinePunct w:val="0"/>
              <w:bidi w:val="0"/>
              <w:snapToGrid/>
              <w:spacing w:line="276" w:lineRule="auto"/>
              <w:ind w:right="36" w:rightChars="17"/>
              <w:jc w:val="center"/>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70A066A9">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7.5其他由违法导致违约的行为按相关法律法规执行。</w:t>
            </w:r>
          </w:p>
        </w:tc>
        <w:tc>
          <w:tcPr>
            <w:tcW w:w="569" w:type="pct"/>
            <w:tcBorders>
              <w:top w:val="single" w:color="auto" w:sz="4" w:space="0"/>
              <w:left w:val="single" w:color="auto" w:sz="4" w:space="0"/>
              <w:bottom w:val="single" w:color="auto" w:sz="4" w:space="0"/>
              <w:right w:val="single" w:color="auto" w:sz="4" w:space="0"/>
            </w:tcBorders>
          </w:tcPr>
          <w:p w14:paraId="21D9703B">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16CFDD4D">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30F6EF4C">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38DD8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34" w:type="pct"/>
            <w:vMerge w:val="restart"/>
            <w:tcBorders>
              <w:top w:val="single" w:color="auto" w:sz="4" w:space="0"/>
              <w:left w:val="single" w:color="auto" w:sz="4" w:space="0"/>
              <w:right w:val="single" w:color="auto" w:sz="4" w:space="0"/>
            </w:tcBorders>
            <w:vAlign w:val="center"/>
          </w:tcPr>
          <w:p w14:paraId="6211E9B8">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r>
              <w:rPr>
                <w:rFonts w:hint="eastAsia" w:ascii="宋体" w:hAnsi="宋体"/>
                <w:b/>
                <w:sz w:val="21"/>
                <w:szCs w:val="21"/>
              </w:rPr>
              <w:t>8</w:t>
            </w:r>
          </w:p>
        </w:tc>
        <w:tc>
          <w:tcPr>
            <w:tcW w:w="395" w:type="pct"/>
            <w:vMerge w:val="restart"/>
            <w:tcBorders>
              <w:top w:val="single" w:color="auto" w:sz="4" w:space="0"/>
              <w:left w:val="single" w:color="auto" w:sz="4" w:space="0"/>
              <w:right w:val="single" w:color="auto" w:sz="4" w:space="0"/>
            </w:tcBorders>
            <w:vAlign w:val="center"/>
          </w:tcPr>
          <w:p w14:paraId="60F293AD">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sz w:val="21"/>
                <w:szCs w:val="21"/>
              </w:rPr>
              <w:t>★</w:t>
            </w:r>
            <w:r>
              <w:rPr>
                <w:rFonts w:hint="eastAsia" w:ascii="宋体" w:hAnsi="宋体"/>
                <w:b/>
                <w:sz w:val="21"/>
                <w:szCs w:val="21"/>
              </w:rPr>
              <w:t>关于质量及知识产权要求</w:t>
            </w:r>
          </w:p>
        </w:tc>
        <w:tc>
          <w:tcPr>
            <w:tcW w:w="2803" w:type="pct"/>
            <w:tcBorders>
              <w:top w:val="single" w:color="auto" w:sz="4" w:space="0"/>
              <w:left w:val="single" w:color="auto" w:sz="4" w:space="0"/>
              <w:bottom w:val="single" w:color="auto" w:sz="4" w:space="0"/>
              <w:right w:val="single" w:color="auto" w:sz="4" w:space="0"/>
            </w:tcBorders>
          </w:tcPr>
          <w:p w14:paraId="66260627">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bCs/>
                <w:sz w:val="21"/>
                <w:szCs w:val="21"/>
              </w:rPr>
            </w:pPr>
            <w:r>
              <w:rPr>
                <w:rFonts w:hint="eastAsia" w:ascii="宋体" w:hAnsi="宋体"/>
                <w:bCs/>
                <w:sz w:val="21"/>
                <w:szCs w:val="21"/>
              </w:rPr>
              <w:t>8.1</w:t>
            </w:r>
            <w:r>
              <w:rPr>
                <w:rFonts w:hint="eastAsia" w:ascii="宋体" w:hAnsi="宋体"/>
                <w:kern w:val="0"/>
                <w:sz w:val="21"/>
                <w:szCs w:val="21"/>
                <w:lang w:val="zh-CN"/>
              </w:rPr>
              <w:t>中标人提供完</w:t>
            </w:r>
            <w:r>
              <w:rPr>
                <w:rFonts w:hint="eastAsia" w:ascii="宋体" w:hAnsi="宋体"/>
                <w:bCs/>
                <w:sz w:val="21"/>
                <w:szCs w:val="21"/>
                <w:lang w:val="zh-CN"/>
              </w:rPr>
              <w:t>好、全新的原包装产品（包括零配件），随机技术资料齐全。产品符合国家质量检测标准，必须具有生产日期、厂名、厂址、产品合格证等。</w:t>
            </w:r>
          </w:p>
        </w:tc>
        <w:tc>
          <w:tcPr>
            <w:tcW w:w="569" w:type="pct"/>
            <w:tcBorders>
              <w:top w:val="single" w:color="auto" w:sz="4" w:space="0"/>
              <w:left w:val="single" w:color="auto" w:sz="4" w:space="0"/>
              <w:bottom w:val="single" w:color="auto" w:sz="4" w:space="0"/>
              <w:right w:val="single" w:color="auto" w:sz="4" w:space="0"/>
            </w:tcBorders>
          </w:tcPr>
          <w:p w14:paraId="7D1F91CC">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52" w:type="pct"/>
            <w:tcBorders>
              <w:top w:val="single" w:color="auto" w:sz="4" w:space="0"/>
              <w:left w:val="single" w:color="auto" w:sz="4" w:space="0"/>
              <w:bottom w:val="single" w:color="auto" w:sz="4" w:space="0"/>
              <w:right w:val="single" w:color="auto" w:sz="4" w:space="0"/>
            </w:tcBorders>
          </w:tcPr>
          <w:p w14:paraId="607191DE">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c>
          <w:tcPr>
            <w:tcW w:w="444" w:type="pct"/>
            <w:tcBorders>
              <w:top w:val="single" w:color="auto" w:sz="4" w:space="0"/>
              <w:left w:val="single" w:color="auto" w:sz="4" w:space="0"/>
              <w:bottom w:val="single" w:color="auto" w:sz="4" w:space="0"/>
              <w:right w:val="single" w:color="auto" w:sz="4" w:space="0"/>
            </w:tcBorders>
          </w:tcPr>
          <w:p w14:paraId="48AE1F44">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Cs/>
                <w:sz w:val="21"/>
                <w:szCs w:val="21"/>
              </w:rPr>
            </w:pPr>
          </w:p>
        </w:tc>
      </w:tr>
      <w:tr w14:paraId="191CA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334" w:type="pct"/>
            <w:vMerge w:val="continue"/>
            <w:tcBorders>
              <w:left w:val="single" w:color="auto" w:sz="4" w:space="0"/>
              <w:right w:val="single" w:color="auto" w:sz="4" w:space="0"/>
            </w:tcBorders>
            <w:vAlign w:val="center"/>
          </w:tcPr>
          <w:p w14:paraId="68BBF48B">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vAlign w:val="center"/>
          </w:tcPr>
          <w:p w14:paraId="0F0E8C71">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6BEFDBC5">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8.2中标人应当保证其交付给采购人的货物或服务不侵犯任何第三人的合法权益。如发生第三人指控采购人实施的技术侵权的，中标人应当承担全部责任。采购人在使用该货物或服务的任何一部分时，免受第三方提出的侵犯其专利权、商标权或工业设计权等知识产权的起诉或司法干预。如果发生上述起诉或干预，则其法律责任均由中标人负责。</w:t>
            </w:r>
          </w:p>
        </w:tc>
        <w:tc>
          <w:tcPr>
            <w:tcW w:w="569" w:type="pct"/>
            <w:tcBorders>
              <w:top w:val="single" w:color="auto" w:sz="4" w:space="0"/>
              <w:left w:val="single" w:color="auto" w:sz="4" w:space="0"/>
              <w:bottom w:val="single" w:color="auto" w:sz="4" w:space="0"/>
              <w:right w:val="single" w:color="auto" w:sz="4" w:space="0"/>
            </w:tcBorders>
          </w:tcPr>
          <w:p w14:paraId="3ED45D61">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49287CDF">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4D270D1C">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r>
      <w:tr w14:paraId="02E20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34" w:type="pct"/>
            <w:vMerge w:val="continue"/>
            <w:tcBorders>
              <w:left w:val="single" w:color="auto" w:sz="4" w:space="0"/>
              <w:right w:val="single" w:color="auto" w:sz="4" w:space="0"/>
            </w:tcBorders>
            <w:vAlign w:val="center"/>
          </w:tcPr>
          <w:p w14:paraId="07A76EE9">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vAlign w:val="center"/>
          </w:tcPr>
          <w:p w14:paraId="607A7147">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2803" w:type="pct"/>
            <w:tcBorders>
              <w:top w:val="single" w:color="auto" w:sz="4" w:space="0"/>
              <w:left w:val="single" w:color="auto" w:sz="4" w:space="0"/>
              <w:bottom w:val="single" w:color="auto" w:sz="4" w:space="0"/>
              <w:right w:val="single" w:color="auto" w:sz="4" w:space="0"/>
            </w:tcBorders>
          </w:tcPr>
          <w:p w14:paraId="0B55B55A">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8.3定制开发的货物或服务，所产生的研究开发成果及其相关知识产权权利归属采购人，采购人享有知识产权，知识产权取得后的使用和有关利益分配归采购人所有。</w:t>
            </w:r>
          </w:p>
        </w:tc>
        <w:tc>
          <w:tcPr>
            <w:tcW w:w="569" w:type="pct"/>
            <w:tcBorders>
              <w:top w:val="single" w:color="auto" w:sz="4" w:space="0"/>
              <w:left w:val="single" w:color="auto" w:sz="4" w:space="0"/>
              <w:bottom w:val="single" w:color="auto" w:sz="4" w:space="0"/>
              <w:right w:val="single" w:color="auto" w:sz="4" w:space="0"/>
            </w:tcBorders>
          </w:tcPr>
          <w:p w14:paraId="07245A7B">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bottom w:val="single" w:color="auto" w:sz="4" w:space="0"/>
              <w:right w:val="single" w:color="auto" w:sz="4" w:space="0"/>
            </w:tcBorders>
          </w:tcPr>
          <w:p w14:paraId="70E30607">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bottom w:val="single" w:color="auto" w:sz="4" w:space="0"/>
              <w:right w:val="single" w:color="auto" w:sz="4" w:space="0"/>
            </w:tcBorders>
          </w:tcPr>
          <w:p w14:paraId="7FE76CBF">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r>
      <w:tr w14:paraId="016DA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334" w:type="pct"/>
            <w:vMerge w:val="continue"/>
            <w:tcBorders>
              <w:left w:val="single" w:color="auto" w:sz="4" w:space="0"/>
              <w:right w:val="single" w:color="auto" w:sz="4" w:space="0"/>
            </w:tcBorders>
            <w:vAlign w:val="center"/>
          </w:tcPr>
          <w:p w14:paraId="6DAA898D">
            <w:pPr>
              <w:keepNext w:val="0"/>
              <w:keepLines w:val="0"/>
              <w:pageBreakBefore w:val="0"/>
              <w:widowControl w:val="0"/>
              <w:kinsoku/>
              <w:wordWrap/>
              <w:overflowPunct/>
              <w:topLinePunct w:val="0"/>
              <w:bidi w:val="0"/>
              <w:snapToGrid/>
              <w:spacing w:line="276" w:lineRule="auto"/>
              <w:ind w:right="36" w:rightChars="17"/>
              <w:jc w:val="center"/>
              <w:rPr>
                <w:rFonts w:ascii="宋体" w:hAnsi="宋体"/>
                <w:b/>
                <w:sz w:val="21"/>
                <w:szCs w:val="21"/>
              </w:rPr>
            </w:pPr>
          </w:p>
        </w:tc>
        <w:tc>
          <w:tcPr>
            <w:tcW w:w="395" w:type="pct"/>
            <w:vMerge w:val="continue"/>
            <w:tcBorders>
              <w:left w:val="single" w:color="auto" w:sz="4" w:space="0"/>
              <w:right w:val="single" w:color="auto" w:sz="4" w:space="0"/>
            </w:tcBorders>
            <w:vAlign w:val="center"/>
          </w:tcPr>
          <w:p w14:paraId="2D3B08E4">
            <w:pPr>
              <w:keepNext w:val="0"/>
              <w:keepLines w:val="0"/>
              <w:pageBreakBefore w:val="0"/>
              <w:widowControl w:val="0"/>
              <w:kinsoku/>
              <w:wordWrap/>
              <w:overflowPunct/>
              <w:topLinePunct w:val="0"/>
              <w:bidi w:val="0"/>
              <w:snapToGrid/>
              <w:spacing w:line="276" w:lineRule="auto"/>
              <w:ind w:right="36" w:rightChars="17"/>
              <w:rPr>
                <w:rFonts w:ascii="宋体" w:hAnsi="宋体"/>
                <w:sz w:val="21"/>
                <w:szCs w:val="21"/>
              </w:rPr>
            </w:pPr>
          </w:p>
        </w:tc>
        <w:tc>
          <w:tcPr>
            <w:tcW w:w="2803" w:type="pct"/>
            <w:tcBorders>
              <w:top w:val="single" w:color="auto" w:sz="4" w:space="0"/>
              <w:left w:val="single" w:color="auto" w:sz="4" w:space="0"/>
              <w:right w:val="single" w:color="auto" w:sz="4" w:space="0"/>
            </w:tcBorders>
            <w:vAlign w:val="center"/>
          </w:tcPr>
          <w:p w14:paraId="1E57294F">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kern w:val="0"/>
                <w:sz w:val="21"/>
                <w:szCs w:val="21"/>
                <w:lang w:val="zh-CN"/>
              </w:rPr>
            </w:pPr>
            <w:r>
              <w:rPr>
                <w:rFonts w:hint="eastAsia" w:ascii="宋体" w:hAnsi="宋体"/>
                <w:kern w:val="0"/>
                <w:sz w:val="21"/>
                <w:szCs w:val="21"/>
                <w:lang w:val="zh-CN"/>
              </w:rPr>
              <w:t>8.4中标人保证所提供的货物或服务为中标人通过合法来源依法取得，如应采购人要求，中标人有义务向采购人提供相关证明材料。</w:t>
            </w:r>
          </w:p>
        </w:tc>
        <w:tc>
          <w:tcPr>
            <w:tcW w:w="569" w:type="pct"/>
            <w:tcBorders>
              <w:top w:val="single" w:color="auto" w:sz="4" w:space="0"/>
              <w:left w:val="single" w:color="auto" w:sz="4" w:space="0"/>
              <w:right w:val="single" w:color="auto" w:sz="4" w:space="0"/>
            </w:tcBorders>
            <w:vAlign w:val="center"/>
          </w:tcPr>
          <w:p w14:paraId="04EB20B9">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52" w:type="pct"/>
            <w:tcBorders>
              <w:top w:val="single" w:color="auto" w:sz="4" w:space="0"/>
              <w:left w:val="single" w:color="auto" w:sz="4" w:space="0"/>
              <w:right w:val="single" w:color="auto" w:sz="4" w:space="0"/>
            </w:tcBorders>
            <w:vAlign w:val="center"/>
          </w:tcPr>
          <w:p w14:paraId="01A4F6E4">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c>
          <w:tcPr>
            <w:tcW w:w="444" w:type="pct"/>
            <w:tcBorders>
              <w:top w:val="single" w:color="auto" w:sz="4" w:space="0"/>
              <w:left w:val="single" w:color="auto" w:sz="4" w:space="0"/>
              <w:right w:val="single" w:color="auto" w:sz="4" w:space="0"/>
            </w:tcBorders>
            <w:vAlign w:val="center"/>
          </w:tcPr>
          <w:p w14:paraId="7A705328">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kern w:val="0"/>
                <w:sz w:val="21"/>
                <w:szCs w:val="21"/>
                <w:lang w:val="zh-CN"/>
              </w:rPr>
            </w:pPr>
          </w:p>
        </w:tc>
      </w:tr>
      <w:tr w14:paraId="67A5F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jc w:val="center"/>
        </w:trPr>
        <w:tc>
          <w:tcPr>
            <w:tcW w:w="334" w:type="pct"/>
            <w:vMerge w:val="restart"/>
            <w:tcBorders>
              <w:top w:val="single" w:color="auto" w:sz="4" w:space="0"/>
              <w:left w:val="single" w:color="auto" w:sz="4" w:space="0"/>
              <w:right w:val="single" w:color="auto" w:sz="4" w:space="0"/>
            </w:tcBorders>
            <w:vAlign w:val="center"/>
          </w:tcPr>
          <w:p w14:paraId="102E28A3">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b/>
                <w:sz w:val="21"/>
                <w:szCs w:val="21"/>
              </w:rPr>
              <w:t>9</w:t>
            </w:r>
          </w:p>
        </w:tc>
        <w:tc>
          <w:tcPr>
            <w:tcW w:w="395" w:type="pct"/>
            <w:vMerge w:val="restart"/>
            <w:tcBorders>
              <w:top w:val="single" w:color="auto" w:sz="4" w:space="0"/>
              <w:left w:val="single" w:color="auto" w:sz="4" w:space="0"/>
              <w:right w:val="single" w:color="auto" w:sz="4" w:space="0"/>
            </w:tcBorders>
            <w:vAlign w:val="center"/>
          </w:tcPr>
          <w:p w14:paraId="53392AED">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r>
              <w:rPr>
                <w:rFonts w:hint="eastAsia" w:ascii="宋体" w:hAnsi="宋体"/>
                <w:b/>
                <w:sz w:val="21"/>
                <w:szCs w:val="21"/>
              </w:rPr>
              <w:t>关于证书/资质要求</w:t>
            </w:r>
          </w:p>
        </w:tc>
        <w:tc>
          <w:tcPr>
            <w:tcW w:w="2803" w:type="pct"/>
            <w:tcBorders>
              <w:top w:val="single" w:color="auto" w:sz="4" w:space="0"/>
              <w:left w:val="single" w:color="auto" w:sz="4" w:space="0"/>
              <w:bottom w:val="single" w:color="auto" w:sz="4" w:space="0"/>
              <w:right w:val="single" w:color="auto" w:sz="4" w:space="0"/>
            </w:tcBorders>
          </w:tcPr>
          <w:p w14:paraId="402265FF">
            <w:pPr>
              <w:pStyle w:val="18"/>
              <w:keepNext w:val="0"/>
              <w:keepLines w:val="0"/>
              <w:pageBreakBefore w:val="0"/>
              <w:widowControl w:val="0"/>
              <w:kinsoku/>
              <w:wordWrap/>
              <w:overflowPunct/>
              <w:topLinePunct w:val="0"/>
              <w:bidi w:val="0"/>
              <w:snapToGrid/>
              <w:spacing w:line="276" w:lineRule="auto"/>
              <w:rPr>
                <w:rFonts w:ascii="宋体" w:hAnsi="宋体"/>
                <w:b/>
                <w:bCs/>
                <w:color w:val="FF0000"/>
                <w:sz w:val="21"/>
                <w:szCs w:val="21"/>
                <w:highlight w:val="yellow"/>
              </w:rPr>
            </w:pPr>
            <w:r>
              <w:rPr>
                <w:rFonts w:hint="eastAsia" w:ascii="宋体" w:hAnsi="宋体"/>
                <w:b/>
                <w:bCs/>
                <w:color w:val="FF0000"/>
                <w:sz w:val="21"/>
                <w:szCs w:val="21"/>
                <w:highlight w:val="yellow"/>
              </w:rPr>
              <w:t>★9.1项目经理：需要具有住房和城乡建设部颁发的机电工程专业的一级建造师证书。（备注：要求与“评标信息——拟安排的项目经理情况”中项目经理为同一人，否则视为未实质性满足招标文件要求。）</w:t>
            </w:r>
          </w:p>
          <w:p w14:paraId="730F5860">
            <w:pPr>
              <w:pStyle w:val="18"/>
              <w:keepNext w:val="0"/>
              <w:keepLines w:val="0"/>
              <w:pageBreakBefore w:val="0"/>
              <w:widowControl w:val="0"/>
              <w:kinsoku/>
              <w:wordWrap/>
              <w:overflowPunct/>
              <w:topLinePunct w:val="0"/>
              <w:bidi w:val="0"/>
              <w:snapToGrid/>
              <w:spacing w:line="276" w:lineRule="auto"/>
              <w:rPr>
                <w:b/>
                <w:bCs/>
                <w:color w:val="FF0000"/>
                <w:sz w:val="21"/>
                <w:szCs w:val="21"/>
                <w:highlight w:val="yellow"/>
              </w:rPr>
            </w:pPr>
            <w:r>
              <w:rPr>
                <w:rFonts w:hint="eastAsia" w:ascii="宋体" w:hAnsi="宋体"/>
                <w:b/>
                <w:bCs/>
                <w:color w:val="FF0000"/>
                <w:sz w:val="21"/>
                <w:szCs w:val="21"/>
                <w:highlight w:val="yellow"/>
              </w:rPr>
              <w:t>技术负责人：具有住房和城乡建设部颁发的机电工程专业的一级建造师证书。（备注：要求与“评标信息——拟安排的项目主要团队成员（项目经理除外）情况”中技术负责人为同一人，否则视为未实质性满足招标文件要求。）</w:t>
            </w:r>
          </w:p>
          <w:p w14:paraId="1CE40DF0">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r>
              <w:rPr>
                <w:rFonts w:hint="eastAsia" w:ascii="宋体" w:hAnsi="宋体"/>
                <w:b/>
                <w:bCs/>
                <w:color w:val="FF0000"/>
                <w:sz w:val="21"/>
                <w:szCs w:val="21"/>
                <w:highlight w:val="yellow"/>
              </w:rPr>
              <w:t>（投标时提供相关证书扫描件或复印件，且法人（或授权代表）签字并加盖投标人公章）。</w:t>
            </w:r>
          </w:p>
        </w:tc>
        <w:tc>
          <w:tcPr>
            <w:tcW w:w="569" w:type="pct"/>
            <w:tcBorders>
              <w:top w:val="single" w:color="auto" w:sz="4" w:space="0"/>
              <w:left w:val="single" w:color="auto" w:sz="4" w:space="0"/>
              <w:bottom w:val="single" w:color="auto" w:sz="4" w:space="0"/>
              <w:right w:val="single" w:color="auto" w:sz="4" w:space="0"/>
            </w:tcBorders>
          </w:tcPr>
          <w:p w14:paraId="2C84754A">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highlight w:val="yellow"/>
              </w:rPr>
            </w:pPr>
          </w:p>
        </w:tc>
        <w:tc>
          <w:tcPr>
            <w:tcW w:w="452" w:type="pct"/>
            <w:tcBorders>
              <w:top w:val="single" w:color="auto" w:sz="4" w:space="0"/>
              <w:left w:val="single" w:color="auto" w:sz="4" w:space="0"/>
              <w:bottom w:val="single" w:color="auto" w:sz="4" w:space="0"/>
              <w:right w:val="single" w:color="auto" w:sz="4" w:space="0"/>
            </w:tcBorders>
          </w:tcPr>
          <w:p w14:paraId="2C9524E7">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highlight w:val="yellow"/>
              </w:rPr>
            </w:pPr>
          </w:p>
        </w:tc>
        <w:tc>
          <w:tcPr>
            <w:tcW w:w="444" w:type="pct"/>
            <w:tcBorders>
              <w:top w:val="single" w:color="auto" w:sz="4" w:space="0"/>
              <w:left w:val="single" w:color="auto" w:sz="4" w:space="0"/>
              <w:bottom w:val="single" w:color="auto" w:sz="4" w:space="0"/>
              <w:right w:val="single" w:color="auto" w:sz="4" w:space="0"/>
            </w:tcBorders>
          </w:tcPr>
          <w:p w14:paraId="11A6E3E1">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highlight w:val="yellow"/>
              </w:rPr>
            </w:pPr>
          </w:p>
        </w:tc>
      </w:tr>
      <w:tr w14:paraId="78B7E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Merge w:val="continue"/>
            <w:tcBorders>
              <w:left w:val="single" w:color="auto" w:sz="4" w:space="0"/>
              <w:right w:val="single" w:color="auto" w:sz="4" w:space="0"/>
            </w:tcBorders>
            <w:vAlign w:val="center"/>
          </w:tcPr>
          <w:p w14:paraId="4C0D3D40">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95" w:type="pct"/>
            <w:vMerge w:val="continue"/>
            <w:tcBorders>
              <w:left w:val="single" w:color="auto" w:sz="4" w:space="0"/>
              <w:right w:val="single" w:color="auto" w:sz="4" w:space="0"/>
            </w:tcBorders>
            <w:vAlign w:val="center"/>
          </w:tcPr>
          <w:p w14:paraId="55204E63">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4CA96331">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r>
              <w:rPr>
                <w:rFonts w:hint="eastAsia" w:ascii="宋体" w:hAnsi="宋体"/>
                <w:b/>
                <w:bCs/>
                <w:color w:val="FF0000"/>
                <w:sz w:val="21"/>
                <w:szCs w:val="21"/>
              </w:rPr>
              <w:t>▲9.2投标人需在投标时提供所投设备（以</w:t>
            </w:r>
            <w:r>
              <w:rPr>
                <w:rFonts w:hint="eastAsia" w:ascii="宋体" w:hAnsi="宋体"/>
                <w:b/>
                <w:bCs/>
                <w:color w:val="FF0000"/>
                <w:sz w:val="21"/>
                <w:szCs w:val="21"/>
                <w:lang w:val="en-US" w:eastAsia="zh-CN"/>
              </w:rPr>
              <w:t>分项报价表</w:t>
            </w:r>
            <w:r>
              <w:rPr>
                <w:rFonts w:hint="eastAsia" w:ascii="宋体" w:hAnsi="宋体"/>
                <w:b/>
                <w:bCs/>
                <w:color w:val="FF0000"/>
                <w:sz w:val="21"/>
                <w:szCs w:val="21"/>
              </w:rPr>
              <w:t>为准）（</w:t>
            </w:r>
            <w:r>
              <w:rPr>
                <w:rFonts w:hint="eastAsia" w:ascii="宋体" w:hAnsi="宋体"/>
                <w:b/>
                <w:bCs/>
                <w:color w:val="FF0000"/>
                <w:kern w:val="0"/>
                <w:sz w:val="21"/>
                <w:szCs w:val="21"/>
              </w:rPr>
              <w:t>服务器机柜1和2</w:t>
            </w:r>
            <w:r>
              <w:rPr>
                <w:rFonts w:hint="eastAsia" w:ascii="宋体" w:hAnsi="宋体"/>
                <w:b/>
                <w:bCs/>
                <w:color w:val="FF0000"/>
                <w:sz w:val="21"/>
                <w:szCs w:val="21"/>
              </w:rPr>
              <w:t>、密闭冷通道组件、</w:t>
            </w:r>
            <w:r>
              <w:rPr>
                <w:b/>
                <w:bCs/>
                <w:color w:val="FF0000"/>
                <w:sz w:val="21"/>
                <w:szCs w:val="21"/>
              </w:rPr>
              <w:t>UPS</w:t>
            </w:r>
            <w:r>
              <w:rPr>
                <w:rFonts w:hint="eastAsia"/>
                <w:b/>
                <w:bCs/>
                <w:color w:val="FF0000"/>
                <w:sz w:val="21"/>
                <w:szCs w:val="21"/>
              </w:rPr>
              <w:t>及功率模块</w:t>
            </w:r>
            <w:r>
              <w:rPr>
                <w:rFonts w:hint="eastAsia" w:ascii="宋体" w:hAnsi="宋体"/>
                <w:b/>
                <w:bCs/>
                <w:color w:val="FF0000"/>
                <w:sz w:val="21"/>
                <w:szCs w:val="21"/>
              </w:rPr>
              <w:t>、</w:t>
            </w:r>
            <w:r>
              <w:rPr>
                <w:rFonts w:hint="eastAsia"/>
                <w:b/>
                <w:bCs/>
                <w:color w:val="FF0000"/>
                <w:sz w:val="21"/>
                <w:szCs w:val="21"/>
              </w:rPr>
              <w:t>铅酸电池系统</w:t>
            </w:r>
            <w:r>
              <w:rPr>
                <w:rFonts w:hint="eastAsia" w:ascii="宋体" w:hAnsi="宋体"/>
                <w:b/>
                <w:bCs/>
                <w:color w:val="FF0000"/>
                <w:sz w:val="21"/>
                <w:szCs w:val="21"/>
              </w:rPr>
              <w:t>、水冷型行间空调</w:t>
            </w:r>
            <w:r>
              <w:rPr>
                <w:rFonts w:hint="eastAsia"/>
                <w:b/>
                <w:bCs/>
                <w:color w:val="FF0000"/>
                <w:sz w:val="21"/>
                <w:szCs w:val="21"/>
              </w:rPr>
              <w:t>、</w:t>
            </w:r>
            <w:r>
              <w:rPr>
                <w:rFonts w:hint="eastAsia" w:ascii="宋体" w:hAnsi="宋体"/>
                <w:b/>
                <w:bCs/>
                <w:color w:val="FF0000"/>
                <w:sz w:val="21"/>
                <w:szCs w:val="21"/>
              </w:rPr>
              <w:t>水冷型房间级空调、风冷型行间空调、2.</w:t>
            </w:r>
            <w:r>
              <w:rPr>
                <w:rFonts w:ascii="宋体" w:hAnsi="宋体"/>
                <w:b/>
                <w:bCs/>
                <w:color w:val="FF0000"/>
                <w:sz w:val="21"/>
                <w:szCs w:val="21"/>
              </w:rPr>
              <w:t>4</w:t>
            </w:r>
            <w:r>
              <w:rPr>
                <w:rFonts w:hint="eastAsia" w:ascii="宋体" w:hAnsi="宋体"/>
                <w:b/>
                <w:bCs/>
                <w:color w:val="FF0000"/>
                <w:sz w:val="21"/>
                <w:szCs w:val="21"/>
              </w:rPr>
              <w:t>MW配电柜系统、小母线、</w:t>
            </w:r>
            <w:r>
              <w:rPr>
                <w:rFonts w:hint="eastAsia" w:ascii="宋体" w:hAnsi="宋体"/>
                <w:b/>
                <w:bCs/>
                <w:color w:val="FF0000"/>
                <w:kern w:val="0"/>
                <w:sz w:val="21"/>
                <w:szCs w:val="21"/>
              </w:rPr>
              <w:t>动环管理系统</w:t>
            </w:r>
            <w:r>
              <w:rPr>
                <w:rFonts w:hint="eastAsia" w:ascii="宋体" w:hAnsi="宋体"/>
                <w:b/>
                <w:bCs/>
                <w:color w:val="FF0000"/>
                <w:kern w:val="0"/>
                <w:sz w:val="21"/>
                <w:szCs w:val="21"/>
                <w:lang w:eastAsia="zh-CN"/>
              </w:rPr>
              <w:t>、</w:t>
            </w:r>
            <w:r>
              <w:rPr>
                <w:rFonts w:hint="eastAsia" w:ascii="宋体" w:hAnsi="宋体"/>
                <w:b/>
                <w:bCs/>
                <w:color w:val="FF0000"/>
                <w:kern w:val="0"/>
                <w:sz w:val="21"/>
                <w:szCs w:val="21"/>
                <w:lang w:val="en-US" w:eastAsia="zh-CN"/>
              </w:rPr>
              <w:t>防火墙、堡垒机</w:t>
            </w:r>
            <w:r>
              <w:rPr>
                <w:rFonts w:hint="eastAsia" w:ascii="宋体" w:hAnsi="宋体"/>
                <w:b/>
                <w:bCs/>
                <w:color w:val="FF0000"/>
                <w:sz w:val="21"/>
                <w:szCs w:val="21"/>
              </w:rPr>
              <w:t>）的制造商出具的授权书并加盖原厂公章。</w:t>
            </w:r>
          </w:p>
        </w:tc>
        <w:tc>
          <w:tcPr>
            <w:tcW w:w="569" w:type="pct"/>
            <w:tcBorders>
              <w:top w:val="single" w:color="auto" w:sz="4" w:space="0"/>
              <w:left w:val="single" w:color="auto" w:sz="4" w:space="0"/>
              <w:bottom w:val="single" w:color="auto" w:sz="4" w:space="0"/>
              <w:right w:val="single" w:color="auto" w:sz="4" w:space="0"/>
            </w:tcBorders>
          </w:tcPr>
          <w:p w14:paraId="38CE3C4D">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rPr>
            </w:pPr>
          </w:p>
        </w:tc>
        <w:tc>
          <w:tcPr>
            <w:tcW w:w="452" w:type="pct"/>
            <w:tcBorders>
              <w:top w:val="single" w:color="auto" w:sz="4" w:space="0"/>
              <w:left w:val="single" w:color="auto" w:sz="4" w:space="0"/>
              <w:bottom w:val="single" w:color="auto" w:sz="4" w:space="0"/>
              <w:right w:val="single" w:color="auto" w:sz="4" w:space="0"/>
            </w:tcBorders>
          </w:tcPr>
          <w:p w14:paraId="7FA7EB3F">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rPr>
            </w:pPr>
          </w:p>
        </w:tc>
        <w:tc>
          <w:tcPr>
            <w:tcW w:w="444" w:type="pct"/>
            <w:tcBorders>
              <w:top w:val="single" w:color="auto" w:sz="4" w:space="0"/>
              <w:left w:val="single" w:color="auto" w:sz="4" w:space="0"/>
              <w:bottom w:val="single" w:color="auto" w:sz="4" w:space="0"/>
              <w:right w:val="single" w:color="auto" w:sz="4" w:space="0"/>
            </w:tcBorders>
          </w:tcPr>
          <w:p w14:paraId="0B35F862">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rPr>
            </w:pPr>
          </w:p>
        </w:tc>
      </w:tr>
      <w:tr w14:paraId="73E4C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jc w:val="center"/>
        </w:trPr>
        <w:tc>
          <w:tcPr>
            <w:tcW w:w="334" w:type="pct"/>
            <w:vMerge w:val="continue"/>
            <w:tcBorders>
              <w:left w:val="single" w:color="auto" w:sz="4" w:space="0"/>
              <w:right w:val="single" w:color="auto" w:sz="4" w:space="0"/>
            </w:tcBorders>
            <w:vAlign w:val="center"/>
          </w:tcPr>
          <w:p w14:paraId="3B8573BE">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395" w:type="pct"/>
            <w:vMerge w:val="continue"/>
            <w:tcBorders>
              <w:left w:val="single" w:color="auto" w:sz="4" w:space="0"/>
              <w:right w:val="single" w:color="auto" w:sz="4" w:space="0"/>
            </w:tcBorders>
            <w:vAlign w:val="center"/>
          </w:tcPr>
          <w:p w14:paraId="347D7483">
            <w:pPr>
              <w:keepNext w:val="0"/>
              <w:keepLines w:val="0"/>
              <w:pageBreakBefore w:val="0"/>
              <w:widowControl w:val="0"/>
              <w:kinsoku/>
              <w:wordWrap/>
              <w:overflowPunct/>
              <w:topLinePunct w:val="0"/>
              <w:bidi w:val="0"/>
              <w:snapToGrid/>
              <w:spacing w:line="276" w:lineRule="auto"/>
              <w:ind w:right="36" w:rightChars="17"/>
              <w:rPr>
                <w:rFonts w:ascii="宋体" w:hAnsi="宋体"/>
                <w:b/>
                <w:sz w:val="21"/>
                <w:szCs w:val="21"/>
              </w:rPr>
            </w:pPr>
          </w:p>
        </w:tc>
        <w:tc>
          <w:tcPr>
            <w:tcW w:w="2803" w:type="pct"/>
            <w:tcBorders>
              <w:top w:val="single" w:color="auto" w:sz="4" w:space="0"/>
              <w:left w:val="single" w:color="auto" w:sz="4" w:space="0"/>
              <w:bottom w:val="single" w:color="auto" w:sz="4" w:space="0"/>
              <w:right w:val="single" w:color="auto" w:sz="4" w:space="0"/>
            </w:tcBorders>
          </w:tcPr>
          <w:p w14:paraId="2EA9CCB7">
            <w:pPr>
              <w:keepNext w:val="0"/>
              <w:keepLines w:val="0"/>
              <w:pageBreakBefore w:val="0"/>
              <w:widowControl w:val="0"/>
              <w:tabs>
                <w:tab w:val="left" w:pos="1260"/>
              </w:tabs>
              <w:kinsoku/>
              <w:wordWrap/>
              <w:overflowPunct/>
              <w:topLinePunct w:val="0"/>
              <w:bidi w:val="0"/>
              <w:snapToGrid/>
              <w:spacing w:line="276" w:lineRule="auto"/>
              <w:ind w:right="36" w:rightChars="17"/>
              <w:rPr>
                <w:rFonts w:ascii="宋体" w:hAnsi="宋体"/>
                <w:sz w:val="21"/>
                <w:szCs w:val="21"/>
              </w:rPr>
            </w:pPr>
            <w:r>
              <w:rPr>
                <w:rFonts w:hint="eastAsia" w:ascii="宋体" w:hAnsi="宋体"/>
                <w:b/>
                <w:bCs/>
                <w:color w:val="FF0000"/>
                <w:sz w:val="21"/>
                <w:szCs w:val="21"/>
              </w:rPr>
              <w:t>▲9.3投标时需提供所投设备（以</w:t>
            </w:r>
            <w:r>
              <w:rPr>
                <w:rFonts w:hint="eastAsia" w:ascii="宋体" w:hAnsi="宋体"/>
                <w:b/>
                <w:bCs/>
                <w:color w:val="FF0000"/>
                <w:sz w:val="21"/>
                <w:szCs w:val="21"/>
                <w:lang w:val="en-US" w:eastAsia="zh-CN"/>
              </w:rPr>
              <w:t>分项报价表</w:t>
            </w:r>
            <w:r>
              <w:rPr>
                <w:rFonts w:hint="eastAsia" w:ascii="宋体" w:hAnsi="宋体"/>
                <w:b/>
                <w:bCs/>
                <w:color w:val="FF0000"/>
                <w:sz w:val="21"/>
                <w:szCs w:val="21"/>
              </w:rPr>
              <w:t>为准）（</w:t>
            </w:r>
            <w:r>
              <w:rPr>
                <w:b/>
                <w:bCs/>
                <w:color w:val="FF0000"/>
                <w:sz w:val="21"/>
                <w:szCs w:val="21"/>
              </w:rPr>
              <w:t>UPS</w:t>
            </w:r>
            <w:r>
              <w:rPr>
                <w:rFonts w:hint="eastAsia"/>
                <w:b/>
                <w:bCs/>
                <w:color w:val="FF0000"/>
                <w:sz w:val="21"/>
                <w:szCs w:val="21"/>
              </w:rPr>
              <w:t>及功率模块、铅酸电池系统、</w:t>
            </w:r>
            <w:r>
              <w:rPr>
                <w:b/>
                <w:bCs/>
                <w:color w:val="FF0000"/>
                <w:sz w:val="21"/>
                <w:szCs w:val="21"/>
              </w:rPr>
              <w:t>2.4MW</w:t>
            </w:r>
            <w:r>
              <w:rPr>
                <w:rFonts w:hint="eastAsia"/>
                <w:b/>
                <w:bCs/>
                <w:color w:val="FF0000"/>
                <w:sz w:val="21"/>
                <w:szCs w:val="21"/>
              </w:rPr>
              <w:t>配电柜系统、</w:t>
            </w:r>
            <w:r>
              <w:rPr>
                <w:rFonts w:hint="eastAsia" w:ascii="宋体" w:hAnsi="宋体"/>
                <w:b/>
                <w:bCs/>
                <w:color w:val="FF0000"/>
                <w:sz w:val="21"/>
                <w:szCs w:val="21"/>
              </w:rPr>
              <w:t>水冷型行间空调</w:t>
            </w:r>
            <w:r>
              <w:rPr>
                <w:rFonts w:hint="eastAsia"/>
                <w:b/>
                <w:bCs/>
                <w:color w:val="FF0000"/>
                <w:sz w:val="21"/>
                <w:szCs w:val="21"/>
              </w:rPr>
              <w:t>、</w:t>
            </w:r>
            <w:r>
              <w:rPr>
                <w:rFonts w:hint="eastAsia" w:ascii="宋体" w:hAnsi="宋体"/>
                <w:b/>
                <w:bCs/>
                <w:color w:val="FF0000"/>
                <w:sz w:val="21"/>
                <w:szCs w:val="21"/>
              </w:rPr>
              <w:t>水冷型房间级空调、风冷型行间空调、小母线、动环管理系统</w:t>
            </w:r>
            <w:r>
              <w:rPr>
                <w:rFonts w:hint="eastAsia" w:ascii="宋体" w:hAnsi="宋体"/>
                <w:b/>
                <w:bCs/>
                <w:color w:val="FF0000"/>
                <w:sz w:val="21"/>
                <w:szCs w:val="21"/>
                <w:lang w:eastAsia="zh-CN"/>
              </w:rPr>
              <w:t>、</w:t>
            </w:r>
            <w:r>
              <w:rPr>
                <w:rFonts w:hint="eastAsia" w:ascii="宋体" w:hAnsi="宋体"/>
                <w:b/>
                <w:bCs/>
                <w:color w:val="FF0000"/>
                <w:sz w:val="21"/>
                <w:szCs w:val="21"/>
                <w:lang w:val="en-US" w:eastAsia="zh-CN"/>
              </w:rPr>
              <w:t>防火墙、堡垒机</w:t>
            </w:r>
            <w:r>
              <w:rPr>
                <w:rFonts w:hint="eastAsia" w:ascii="宋体" w:hAnsi="宋体"/>
                <w:b/>
                <w:bCs/>
                <w:color w:val="FF0000"/>
                <w:sz w:val="21"/>
                <w:szCs w:val="21"/>
              </w:rPr>
              <w:t>）厂商提供的5年原厂售后服务承诺函，并加盖原厂公章。</w:t>
            </w:r>
          </w:p>
        </w:tc>
        <w:tc>
          <w:tcPr>
            <w:tcW w:w="569" w:type="pct"/>
            <w:tcBorders>
              <w:top w:val="single" w:color="auto" w:sz="4" w:space="0"/>
              <w:left w:val="single" w:color="auto" w:sz="4" w:space="0"/>
              <w:bottom w:val="single" w:color="auto" w:sz="4" w:space="0"/>
              <w:right w:val="single" w:color="auto" w:sz="4" w:space="0"/>
            </w:tcBorders>
          </w:tcPr>
          <w:p w14:paraId="5FF40C32">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rPr>
            </w:pPr>
          </w:p>
        </w:tc>
        <w:tc>
          <w:tcPr>
            <w:tcW w:w="452" w:type="pct"/>
            <w:tcBorders>
              <w:top w:val="single" w:color="auto" w:sz="4" w:space="0"/>
              <w:left w:val="single" w:color="auto" w:sz="4" w:space="0"/>
              <w:bottom w:val="single" w:color="auto" w:sz="4" w:space="0"/>
              <w:right w:val="single" w:color="auto" w:sz="4" w:space="0"/>
            </w:tcBorders>
          </w:tcPr>
          <w:p w14:paraId="369D70CE">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rPr>
            </w:pPr>
          </w:p>
        </w:tc>
        <w:tc>
          <w:tcPr>
            <w:tcW w:w="444" w:type="pct"/>
            <w:tcBorders>
              <w:top w:val="single" w:color="auto" w:sz="4" w:space="0"/>
              <w:left w:val="single" w:color="auto" w:sz="4" w:space="0"/>
              <w:bottom w:val="single" w:color="auto" w:sz="4" w:space="0"/>
              <w:right w:val="single" w:color="auto" w:sz="4" w:space="0"/>
            </w:tcBorders>
          </w:tcPr>
          <w:p w14:paraId="476AA86D">
            <w:pPr>
              <w:keepNext w:val="0"/>
              <w:keepLines w:val="0"/>
              <w:pageBreakBefore w:val="0"/>
              <w:widowControl w:val="0"/>
              <w:tabs>
                <w:tab w:val="left" w:pos="1260"/>
              </w:tabs>
              <w:kinsoku/>
              <w:wordWrap/>
              <w:overflowPunct/>
              <w:topLinePunct w:val="0"/>
              <w:bidi w:val="0"/>
              <w:snapToGrid/>
              <w:spacing w:line="276" w:lineRule="auto"/>
              <w:ind w:right="36" w:rightChars="17"/>
              <w:rPr>
                <w:rFonts w:hint="eastAsia" w:ascii="宋体" w:hAnsi="宋体"/>
                <w:b/>
                <w:bCs/>
                <w:color w:val="FF0000"/>
                <w:sz w:val="21"/>
                <w:szCs w:val="21"/>
              </w:rPr>
            </w:pPr>
          </w:p>
        </w:tc>
      </w:tr>
    </w:tbl>
    <w:p w14:paraId="3E94D6ED">
      <w:pPr>
        <w:pStyle w:val="2"/>
        <w:rPr>
          <w:rFonts w:hint="eastAsia" w:ascii="黑体" w:eastAsia="黑体"/>
          <w:b w:val="0"/>
          <w:bCs w:val="0"/>
          <w:sz w:val="24"/>
          <w:szCs w:val="20"/>
        </w:rPr>
      </w:pPr>
    </w:p>
    <w:p w14:paraId="62764FA8">
      <w:pPr>
        <w:pStyle w:val="2"/>
      </w:pPr>
    </w:p>
    <w:p w14:paraId="7E884B20">
      <w:pPr>
        <w:rPr>
          <w:b/>
          <w:bCs/>
          <w:sz w:val="24"/>
        </w:rPr>
      </w:pPr>
      <w:r>
        <w:rPr>
          <w:rFonts w:hint="eastAsia"/>
          <w:b/>
          <w:bCs/>
          <w:sz w:val="24"/>
        </w:rPr>
        <w:t>《商务要求偏离表》编制指引：</w:t>
      </w:r>
    </w:p>
    <w:p w14:paraId="552BC00E">
      <w:pPr>
        <w:ind w:firstLine="420" w:firstLineChars="200"/>
        <w:rPr>
          <w:b w:val="0"/>
          <w:bCs/>
          <w:sz w:val="21"/>
          <w:szCs w:val="21"/>
        </w:rPr>
      </w:pPr>
      <w:r>
        <w:rPr>
          <w:rFonts w:hint="eastAsia"/>
          <w:b w:val="0"/>
          <w:bCs/>
          <w:sz w:val="21"/>
          <w:szCs w:val="21"/>
        </w:rPr>
        <w:t>1、商务要求偏离表的序号、</w:t>
      </w:r>
      <w:r>
        <w:rPr>
          <w:rFonts w:hint="eastAsia"/>
          <w:b w:val="0"/>
          <w:bCs/>
          <w:sz w:val="21"/>
          <w:szCs w:val="21"/>
          <w:lang w:val="en-US" w:eastAsia="zh-CN"/>
        </w:rPr>
        <w:t>目录</w:t>
      </w:r>
      <w:r>
        <w:rPr>
          <w:rFonts w:hint="eastAsia"/>
          <w:b w:val="0"/>
          <w:bCs/>
          <w:sz w:val="21"/>
          <w:szCs w:val="21"/>
        </w:rPr>
        <w:t>、</w:t>
      </w:r>
      <w:r>
        <w:rPr>
          <w:rFonts w:hint="eastAsia"/>
          <w:b w:val="0"/>
          <w:bCs/>
          <w:sz w:val="21"/>
          <w:szCs w:val="21"/>
          <w:lang w:val="en-US" w:eastAsia="zh-CN"/>
        </w:rPr>
        <w:t>商务需求</w:t>
      </w:r>
      <w:r>
        <w:rPr>
          <w:rFonts w:hint="eastAsia"/>
          <w:b w:val="0"/>
          <w:bCs/>
          <w:sz w:val="21"/>
          <w:szCs w:val="21"/>
        </w:rPr>
        <w:t>等栏目对应“用户需求书”中的“商务要求”章节相关内容。</w:t>
      </w:r>
    </w:p>
    <w:p w14:paraId="415DF4A7">
      <w:pPr>
        <w:ind w:firstLine="420" w:firstLineChars="200"/>
        <w:rPr>
          <w:b w:val="0"/>
          <w:bCs/>
          <w:sz w:val="21"/>
          <w:szCs w:val="21"/>
        </w:rPr>
      </w:pPr>
      <w:r>
        <w:rPr>
          <w:b w:val="0"/>
          <w:bCs/>
          <w:sz w:val="21"/>
          <w:szCs w:val="21"/>
        </w:rPr>
        <w:t>2</w:t>
      </w:r>
      <w:r>
        <w:rPr>
          <w:rFonts w:hint="eastAsia"/>
          <w:b w:val="0"/>
          <w:bCs/>
          <w:sz w:val="21"/>
          <w:szCs w:val="21"/>
        </w:rPr>
        <w:t>、“投标商务响应”一栏必须一一对照“</w:t>
      </w:r>
      <w:r>
        <w:rPr>
          <w:rFonts w:hint="eastAsia"/>
          <w:b w:val="0"/>
          <w:bCs/>
          <w:sz w:val="21"/>
          <w:szCs w:val="21"/>
          <w:lang w:val="en-US" w:eastAsia="zh-CN"/>
        </w:rPr>
        <w:t>商务需求</w:t>
      </w:r>
      <w:r>
        <w:rPr>
          <w:rFonts w:hint="eastAsia"/>
          <w:b w:val="0"/>
          <w:bCs/>
          <w:sz w:val="21"/>
          <w:szCs w:val="21"/>
        </w:rPr>
        <w:t>”，详细填写自身响应情况，而不能不合理照搬照抄招标文件的商务要求，以体现具体响应情况。</w:t>
      </w:r>
    </w:p>
    <w:p w14:paraId="66FAB721">
      <w:pPr>
        <w:ind w:firstLine="420" w:firstLineChars="200"/>
        <w:rPr>
          <w:b w:val="0"/>
          <w:bCs/>
          <w:color w:val="FF0000"/>
          <w:sz w:val="21"/>
          <w:szCs w:val="21"/>
        </w:rPr>
      </w:pPr>
      <w:r>
        <w:rPr>
          <w:b w:val="0"/>
          <w:bCs/>
          <w:sz w:val="21"/>
          <w:szCs w:val="21"/>
        </w:rPr>
        <w:t>3</w:t>
      </w:r>
      <w:r>
        <w:rPr>
          <w:rFonts w:hint="eastAsia"/>
          <w:b w:val="0"/>
          <w:bCs/>
          <w:sz w:val="21"/>
          <w:szCs w:val="21"/>
        </w:rPr>
        <w:t>、“偏离情况”一栏填写如实填写“正偏离”、“负偏离”或“无偏离”，其中：“正偏离”表示“投标响应优于</w:t>
      </w:r>
      <w:r>
        <w:rPr>
          <w:rFonts w:hint="eastAsia"/>
          <w:b w:val="0"/>
          <w:bCs/>
          <w:sz w:val="21"/>
          <w:szCs w:val="21"/>
          <w:lang w:val="en-US" w:eastAsia="zh-CN"/>
        </w:rPr>
        <w:t>商务需求</w:t>
      </w:r>
      <w:r>
        <w:rPr>
          <w:rFonts w:hint="eastAsia"/>
          <w:b w:val="0"/>
          <w:bCs/>
          <w:sz w:val="21"/>
          <w:szCs w:val="21"/>
        </w:rPr>
        <w:t>”，“负偏离”表示“投标响应不满足</w:t>
      </w:r>
      <w:r>
        <w:rPr>
          <w:rFonts w:hint="eastAsia"/>
          <w:b w:val="0"/>
          <w:bCs/>
          <w:sz w:val="21"/>
          <w:szCs w:val="21"/>
          <w:lang w:val="en-US" w:eastAsia="zh-CN"/>
        </w:rPr>
        <w:t>商务需求</w:t>
      </w:r>
      <w:r>
        <w:rPr>
          <w:rFonts w:hint="eastAsia"/>
          <w:b w:val="0"/>
          <w:bCs/>
          <w:sz w:val="21"/>
          <w:szCs w:val="21"/>
        </w:rPr>
        <w:t>”，“无偏离”表示“投标响应与</w:t>
      </w:r>
      <w:r>
        <w:rPr>
          <w:rFonts w:hint="eastAsia"/>
          <w:b w:val="0"/>
          <w:bCs/>
          <w:sz w:val="21"/>
          <w:szCs w:val="21"/>
          <w:lang w:val="en-US" w:eastAsia="zh-CN"/>
        </w:rPr>
        <w:t>商务需求</w:t>
      </w:r>
      <w:r>
        <w:rPr>
          <w:rFonts w:hint="eastAsia"/>
          <w:b w:val="0"/>
          <w:bCs/>
          <w:sz w:val="21"/>
          <w:szCs w:val="21"/>
        </w:rPr>
        <w:t>一致”。</w:t>
      </w:r>
    </w:p>
    <w:p w14:paraId="299B0599">
      <w:pPr>
        <w:rPr>
          <w:rFonts w:hint="eastAsia"/>
          <w:b w:val="0"/>
          <w:bCs/>
          <w:sz w:val="21"/>
          <w:szCs w:val="21"/>
          <w:lang w:eastAsia="zh-CN"/>
        </w:rPr>
      </w:pPr>
      <w:r>
        <w:rPr>
          <w:rFonts w:hint="eastAsia"/>
          <w:b w:val="0"/>
          <w:bCs/>
          <w:sz w:val="21"/>
          <w:szCs w:val="21"/>
        </w:rPr>
        <w:t>“投标商务响应”对比“</w:t>
      </w:r>
      <w:r>
        <w:rPr>
          <w:rFonts w:hint="eastAsia"/>
          <w:b w:val="0"/>
          <w:bCs/>
          <w:sz w:val="21"/>
          <w:szCs w:val="21"/>
          <w:lang w:val="en-US" w:eastAsia="zh-CN"/>
        </w:rPr>
        <w:t>商务需求</w:t>
      </w:r>
      <w:r>
        <w:rPr>
          <w:rFonts w:hint="eastAsia"/>
          <w:b w:val="0"/>
          <w:bCs/>
          <w:sz w:val="21"/>
          <w:szCs w:val="21"/>
        </w:rPr>
        <w:t>”存在响应不全（包括未响应整项</w:t>
      </w:r>
      <w:r>
        <w:rPr>
          <w:rFonts w:hint="eastAsia"/>
          <w:b w:val="0"/>
          <w:bCs/>
          <w:sz w:val="21"/>
          <w:szCs w:val="21"/>
          <w:lang w:val="en-US" w:eastAsia="zh-CN"/>
        </w:rPr>
        <w:t>商务需求</w:t>
      </w:r>
      <w:r>
        <w:rPr>
          <w:rFonts w:hint="eastAsia"/>
          <w:b w:val="0"/>
          <w:bCs/>
          <w:sz w:val="21"/>
          <w:szCs w:val="21"/>
        </w:rPr>
        <w:t>或者未响应一项</w:t>
      </w:r>
      <w:r>
        <w:rPr>
          <w:rFonts w:hint="eastAsia"/>
          <w:b w:val="0"/>
          <w:bCs/>
          <w:sz w:val="21"/>
          <w:szCs w:val="21"/>
          <w:lang w:val="en-US" w:eastAsia="zh-CN"/>
        </w:rPr>
        <w:t>商务需求</w:t>
      </w:r>
      <w:r>
        <w:rPr>
          <w:rFonts w:hint="eastAsia"/>
          <w:b w:val="0"/>
          <w:bCs/>
          <w:sz w:val="21"/>
          <w:szCs w:val="21"/>
        </w:rPr>
        <w:t>的部分内容），均视为“负偏离”</w:t>
      </w:r>
      <w:r>
        <w:rPr>
          <w:rFonts w:hint="eastAsia"/>
          <w:b w:val="0"/>
          <w:bCs/>
          <w:sz w:val="21"/>
          <w:szCs w:val="21"/>
          <w:lang w:eastAsia="zh-CN"/>
        </w:rPr>
        <w:t>。</w:t>
      </w:r>
    </w:p>
    <w:p w14:paraId="06A1FD05">
      <w:pPr>
        <w:ind w:firstLine="420" w:firstLineChars="200"/>
        <w:rPr>
          <w:b w:val="0"/>
          <w:bCs/>
          <w:sz w:val="21"/>
          <w:szCs w:val="21"/>
        </w:rPr>
      </w:pPr>
      <w:r>
        <w:rPr>
          <w:rFonts w:hint="eastAsia"/>
          <w:b w:val="0"/>
          <w:bCs/>
          <w:sz w:val="21"/>
          <w:szCs w:val="21"/>
        </w:rPr>
        <w:t>4、带★号条款为不可偏离条款，如未响应或出现负偏离的，将作投标无效处理。</w:t>
      </w:r>
    </w:p>
    <w:p w14:paraId="52ACAC2F">
      <w:pPr>
        <w:ind w:firstLine="420" w:firstLineChars="200"/>
        <w:rPr>
          <w:b w:val="0"/>
          <w:bCs/>
          <w:sz w:val="21"/>
          <w:szCs w:val="21"/>
        </w:rPr>
      </w:pPr>
      <w:r>
        <w:rPr>
          <w:rFonts w:hint="eastAsia"/>
          <w:b w:val="0"/>
          <w:bCs/>
          <w:sz w:val="21"/>
          <w:szCs w:val="21"/>
          <w:lang w:val="en-US" w:eastAsia="zh-CN"/>
        </w:rPr>
        <w:t>5、</w:t>
      </w:r>
      <w:r>
        <w:rPr>
          <w:rFonts w:hint="eastAsia"/>
          <w:b w:val="0"/>
          <w:bCs/>
          <w:sz w:val="21"/>
          <w:szCs w:val="21"/>
        </w:rPr>
        <w:t>证明资料条款响应要求：要求提供证明资料（且已对证明资料的形式、内容作出明确要求）进行响应的条款，应当在“说明”一栏中列明是否提供了符合要求的证明资料，以及所提供证明资料在表后“证明资料”中的编号（位置）,以便评审；此类条款应严格依照要求的形式、内容提供证明资料，如未提供证明资料（或：证明资料的形式、内容等不符合要求；证明资料显示不符合招标</w:t>
      </w:r>
      <w:r>
        <w:rPr>
          <w:rFonts w:hint="eastAsia"/>
          <w:b w:val="0"/>
          <w:bCs/>
          <w:sz w:val="21"/>
          <w:szCs w:val="21"/>
          <w:lang w:val="en-US" w:eastAsia="zh-CN"/>
        </w:rPr>
        <w:t>文件</w:t>
      </w:r>
      <w:r>
        <w:rPr>
          <w:rFonts w:hint="eastAsia"/>
          <w:b w:val="0"/>
          <w:bCs/>
          <w:sz w:val="21"/>
          <w:szCs w:val="21"/>
        </w:rPr>
        <w:t>要求；证明资料模糊不清无法判断或未显示是否满足招标</w:t>
      </w:r>
      <w:r>
        <w:rPr>
          <w:rFonts w:hint="eastAsia"/>
          <w:b w:val="0"/>
          <w:bCs/>
          <w:sz w:val="21"/>
          <w:szCs w:val="21"/>
          <w:lang w:val="en-US" w:eastAsia="zh-CN"/>
        </w:rPr>
        <w:t>文件</w:t>
      </w:r>
      <w:r>
        <w:rPr>
          <w:rFonts w:hint="eastAsia"/>
          <w:b w:val="0"/>
          <w:bCs/>
          <w:sz w:val="21"/>
          <w:szCs w:val="21"/>
        </w:rPr>
        <w:t>要求），且投标人在“偏离情况”一栏响应为“正偏离”或“无偏离”的，经评审委员会认定，将判定为负偏离。</w:t>
      </w:r>
    </w:p>
    <w:p w14:paraId="77E2E138">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5E93C8D8">
      <w:pPr>
        <w:spacing w:line="360" w:lineRule="auto"/>
        <w:ind w:firstLine="5040" w:firstLineChars="2400"/>
        <w:jc w:val="left"/>
        <w:rPr>
          <w:rFonts w:ascii="宋体" w:hAnsi="宋体" w:cs="宋体"/>
          <w:szCs w:val="21"/>
        </w:rPr>
      </w:pPr>
      <w:r>
        <w:rPr>
          <w:rFonts w:hint="eastAsia" w:ascii="宋体" w:hAnsi="宋体" w:cs="宋体"/>
          <w:szCs w:val="21"/>
        </w:rPr>
        <w:t>法定代表人签名或签章：</w:t>
      </w:r>
    </w:p>
    <w:p w14:paraId="1254274D">
      <w:pPr>
        <w:wordWrap w:val="0"/>
        <w:jc w:val="right"/>
        <w:rPr>
          <w:sz w:val="24"/>
        </w:rPr>
      </w:pPr>
      <w:r>
        <w:rPr>
          <w:rFonts w:hint="eastAsia" w:ascii="宋体" w:hAnsi="宋体" w:cs="宋体"/>
          <w:szCs w:val="21"/>
        </w:rPr>
        <w:t xml:space="preserve">日期：      年    月    日     </w:t>
      </w:r>
    </w:p>
    <w:p w14:paraId="46C9D692">
      <w:pPr>
        <w:rPr>
          <w:sz w:val="24"/>
        </w:rPr>
      </w:pPr>
    </w:p>
    <w:p w14:paraId="490C95F1">
      <w:pPr>
        <w:rPr>
          <w:b/>
          <w:bCs/>
          <w:sz w:val="24"/>
        </w:rPr>
      </w:pPr>
    </w:p>
    <w:p w14:paraId="6E8C0122">
      <w:pPr>
        <w:outlineLvl w:val="3"/>
        <w:rPr>
          <w:rFonts w:ascii="黑体" w:hAnsi="宋体" w:eastAsia="黑体"/>
          <w:bCs/>
          <w:kern w:val="0"/>
          <w:sz w:val="24"/>
          <w:szCs w:val="32"/>
        </w:rPr>
      </w:pPr>
      <w:r>
        <w:rPr>
          <w:rFonts w:hint="eastAsia" w:ascii="黑体" w:eastAsia="黑体"/>
          <w:sz w:val="24"/>
          <w:szCs w:val="20"/>
        </w:rPr>
        <w:t>六、安装部署方案设计（格式自定）</w:t>
      </w:r>
    </w:p>
    <w:p w14:paraId="413E5679">
      <w:pPr>
        <w:outlineLvl w:val="3"/>
        <w:rPr>
          <w:b/>
          <w:color w:val="FF0000"/>
          <w:sz w:val="22"/>
        </w:rPr>
      </w:pPr>
      <w:r>
        <w:rPr>
          <w:rFonts w:hint="eastAsia"/>
          <w:b/>
          <w:color w:val="FF0000"/>
          <w:sz w:val="22"/>
        </w:rPr>
        <w:t>（特别提示：投标人须按本招标文件评标信息中这一评审因素要求，提供证明资料）</w:t>
      </w:r>
    </w:p>
    <w:p w14:paraId="31E07BA6">
      <w:pPr>
        <w:rPr>
          <w:b/>
          <w:sz w:val="22"/>
        </w:rPr>
      </w:pPr>
    </w:p>
    <w:p w14:paraId="1E880C81">
      <w:pPr>
        <w:outlineLvl w:val="3"/>
        <w:rPr>
          <w:rFonts w:ascii="黑体" w:hAnsi="宋体" w:eastAsia="黑体"/>
          <w:bCs/>
          <w:kern w:val="0"/>
          <w:sz w:val="24"/>
          <w:szCs w:val="32"/>
        </w:rPr>
      </w:pPr>
      <w:r>
        <w:rPr>
          <w:rFonts w:hint="eastAsia" w:ascii="黑体" w:eastAsia="黑体"/>
          <w:sz w:val="24"/>
          <w:szCs w:val="20"/>
        </w:rPr>
        <w:t>七、企业认证（格式自定）</w:t>
      </w:r>
    </w:p>
    <w:p w14:paraId="3B50D560">
      <w:pPr>
        <w:outlineLvl w:val="3"/>
        <w:rPr>
          <w:b/>
          <w:color w:val="FF0000"/>
          <w:sz w:val="22"/>
        </w:rPr>
      </w:pPr>
      <w:r>
        <w:rPr>
          <w:rFonts w:hint="eastAsia"/>
          <w:b/>
          <w:color w:val="FF0000"/>
          <w:sz w:val="22"/>
        </w:rPr>
        <w:t>（特别提示：投标人须按本招标文件评标信息中这一评审因素要求，提供证明资料）</w:t>
      </w:r>
    </w:p>
    <w:p w14:paraId="4D931E8A">
      <w:pPr>
        <w:rPr>
          <w:b/>
          <w:sz w:val="22"/>
        </w:rPr>
      </w:pPr>
    </w:p>
    <w:p w14:paraId="5E1FDF4D">
      <w:pPr>
        <w:outlineLvl w:val="3"/>
        <w:rPr>
          <w:rFonts w:ascii="黑体" w:hAnsi="宋体" w:eastAsia="黑体"/>
          <w:bCs/>
          <w:kern w:val="0"/>
          <w:sz w:val="24"/>
          <w:szCs w:val="32"/>
        </w:rPr>
      </w:pPr>
      <w:r>
        <w:rPr>
          <w:rFonts w:hint="eastAsia" w:ascii="黑体" w:eastAsia="黑体"/>
          <w:sz w:val="24"/>
          <w:szCs w:val="20"/>
        </w:rPr>
        <w:t>八、同类项目业绩（格式自定）</w:t>
      </w:r>
    </w:p>
    <w:p w14:paraId="1C7796BB">
      <w:pPr>
        <w:outlineLvl w:val="3"/>
        <w:rPr>
          <w:b/>
          <w:color w:val="FF0000"/>
          <w:sz w:val="22"/>
        </w:rPr>
      </w:pPr>
      <w:r>
        <w:rPr>
          <w:rFonts w:hint="eastAsia"/>
          <w:b/>
          <w:color w:val="FF0000"/>
          <w:sz w:val="22"/>
        </w:rPr>
        <w:t>（特别提示：投标人须按本招标文件评标信息中这一评审因素要求，提供证明资料）</w:t>
      </w:r>
    </w:p>
    <w:p w14:paraId="48ADB780">
      <w:pPr>
        <w:rPr>
          <w:b/>
          <w:sz w:val="22"/>
        </w:rPr>
      </w:pPr>
    </w:p>
    <w:p w14:paraId="30266227">
      <w:pPr>
        <w:outlineLvl w:val="3"/>
        <w:rPr>
          <w:rFonts w:ascii="黑体" w:hAnsi="宋体" w:eastAsia="黑体"/>
          <w:bCs/>
          <w:kern w:val="0"/>
          <w:sz w:val="24"/>
          <w:szCs w:val="32"/>
        </w:rPr>
      </w:pPr>
      <w:r>
        <w:rPr>
          <w:rFonts w:hint="eastAsia" w:ascii="黑体" w:eastAsia="黑体"/>
          <w:sz w:val="24"/>
          <w:szCs w:val="20"/>
          <w:lang w:val="en-US" w:eastAsia="zh-CN"/>
        </w:rPr>
        <w:t>九</w:t>
      </w:r>
      <w:r>
        <w:rPr>
          <w:rFonts w:hint="eastAsia" w:ascii="黑体" w:eastAsia="黑体"/>
          <w:sz w:val="24"/>
          <w:szCs w:val="20"/>
        </w:rPr>
        <w:t>、投标人自主知识产权产品（创新、设计）情况（格式自定）</w:t>
      </w:r>
    </w:p>
    <w:p w14:paraId="2F22CA59">
      <w:pPr>
        <w:outlineLvl w:val="3"/>
        <w:rPr>
          <w:b/>
          <w:color w:val="FF0000"/>
          <w:sz w:val="22"/>
        </w:rPr>
      </w:pPr>
      <w:r>
        <w:rPr>
          <w:rFonts w:hint="eastAsia"/>
          <w:b/>
          <w:color w:val="FF0000"/>
          <w:sz w:val="22"/>
        </w:rPr>
        <w:t>（特别提示：投标人须按本招标文件评标信息中这一评审因素要求，提供证明资料）</w:t>
      </w:r>
    </w:p>
    <w:p w14:paraId="2BEEB587">
      <w:pPr>
        <w:rPr>
          <w:b/>
          <w:sz w:val="22"/>
        </w:rPr>
      </w:pPr>
    </w:p>
    <w:p w14:paraId="21714E3C">
      <w:pPr>
        <w:outlineLvl w:val="3"/>
        <w:rPr>
          <w:rFonts w:ascii="黑体" w:hAnsi="宋体" w:eastAsia="黑体"/>
          <w:bCs/>
          <w:kern w:val="0"/>
          <w:sz w:val="24"/>
          <w:szCs w:val="32"/>
        </w:rPr>
      </w:pPr>
      <w:r>
        <w:rPr>
          <w:rFonts w:hint="eastAsia" w:ascii="黑体" w:eastAsia="黑体"/>
          <w:sz w:val="24"/>
          <w:szCs w:val="20"/>
          <w:lang w:val="en-US" w:eastAsia="zh-CN"/>
        </w:rPr>
        <w:t>十</w:t>
      </w:r>
      <w:r>
        <w:rPr>
          <w:rFonts w:hint="eastAsia" w:ascii="黑体" w:eastAsia="黑体"/>
          <w:sz w:val="24"/>
          <w:szCs w:val="20"/>
        </w:rPr>
        <w:t>、拟安排的项目经理情况（格式自定）</w:t>
      </w:r>
    </w:p>
    <w:p w14:paraId="028C17B8">
      <w:pPr>
        <w:outlineLvl w:val="3"/>
        <w:rPr>
          <w:b/>
          <w:color w:val="FF0000"/>
          <w:sz w:val="22"/>
        </w:rPr>
      </w:pPr>
      <w:r>
        <w:rPr>
          <w:rFonts w:hint="eastAsia"/>
          <w:b/>
          <w:color w:val="FF0000"/>
          <w:sz w:val="22"/>
        </w:rPr>
        <w:t>（特别提示：投标人须按本招标文件评标信息中这一评审因素要求，提供证明资料）</w:t>
      </w:r>
    </w:p>
    <w:p w14:paraId="38261DE0">
      <w:pPr>
        <w:rPr>
          <w:b/>
          <w:sz w:val="22"/>
        </w:rPr>
      </w:pPr>
    </w:p>
    <w:p w14:paraId="7D829517">
      <w:pPr>
        <w:outlineLvl w:val="3"/>
        <w:rPr>
          <w:rFonts w:ascii="黑体" w:hAnsi="宋体" w:eastAsia="黑体"/>
          <w:bCs/>
          <w:kern w:val="0"/>
          <w:sz w:val="24"/>
          <w:szCs w:val="32"/>
        </w:rPr>
      </w:pPr>
      <w:r>
        <w:rPr>
          <w:rFonts w:hint="eastAsia" w:ascii="黑体" w:eastAsia="黑体"/>
          <w:sz w:val="24"/>
          <w:szCs w:val="20"/>
          <w:lang w:val="en-US" w:eastAsia="zh-CN"/>
        </w:rPr>
        <w:t>十一</w:t>
      </w:r>
      <w:r>
        <w:rPr>
          <w:rFonts w:hint="eastAsia" w:ascii="黑体" w:eastAsia="黑体"/>
          <w:sz w:val="24"/>
          <w:szCs w:val="20"/>
        </w:rPr>
        <w:t>、拟安排的项目主要团队成员（项目经理除外）情况（格式自定）</w:t>
      </w:r>
    </w:p>
    <w:p w14:paraId="43425619">
      <w:pPr>
        <w:pStyle w:val="3"/>
      </w:pPr>
      <w:r>
        <w:rPr>
          <w:rFonts w:hint="eastAsia"/>
          <w:b/>
          <w:color w:val="FF0000"/>
          <w:sz w:val="22"/>
        </w:rPr>
        <w:t>（特别提示：投标人须按本招标文件评标信息中这一评审因素要求，提供证明资料）</w:t>
      </w:r>
    </w:p>
    <w:p w14:paraId="58D74CCD">
      <w:pPr>
        <w:pStyle w:val="3"/>
      </w:pPr>
    </w:p>
    <w:p w14:paraId="77578BE0">
      <w:pPr>
        <w:outlineLvl w:val="3"/>
        <w:rPr>
          <w:rFonts w:ascii="黑体" w:hAnsi="宋体" w:eastAsia="黑体"/>
          <w:bCs/>
          <w:kern w:val="0"/>
          <w:sz w:val="24"/>
          <w:szCs w:val="32"/>
        </w:rPr>
      </w:pPr>
      <w:r>
        <w:rPr>
          <w:rFonts w:hint="eastAsia" w:ascii="黑体" w:eastAsia="黑体"/>
          <w:sz w:val="24"/>
          <w:szCs w:val="20"/>
          <w:lang w:val="en-US" w:eastAsia="zh-CN"/>
        </w:rPr>
        <w:t>十二</w:t>
      </w:r>
      <w:r>
        <w:rPr>
          <w:rFonts w:hint="eastAsia" w:ascii="黑体" w:eastAsia="黑体"/>
          <w:sz w:val="24"/>
          <w:szCs w:val="20"/>
        </w:rPr>
        <w:t>、环保执行情况情况（格式自定）</w:t>
      </w:r>
    </w:p>
    <w:p w14:paraId="73A93931">
      <w:pPr>
        <w:pStyle w:val="3"/>
      </w:pPr>
      <w:r>
        <w:rPr>
          <w:rFonts w:hint="eastAsia"/>
          <w:b/>
          <w:color w:val="FF0000"/>
          <w:sz w:val="22"/>
        </w:rPr>
        <w:t>（特别提示：投标人须按本招标文件评标信息中这一评审因素要求，提供证明资料）</w:t>
      </w:r>
    </w:p>
    <w:p w14:paraId="1D0EF0DB">
      <w:pPr>
        <w:pStyle w:val="3"/>
      </w:pPr>
    </w:p>
    <w:p w14:paraId="56804C96">
      <w:pPr>
        <w:outlineLvl w:val="3"/>
        <w:rPr>
          <w:rFonts w:ascii="黑体" w:hAnsi="宋体" w:eastAsia="黑体"/>
          <w:bCs/>
          <w:kern w:val="0"/>
          <w:sz w:val="24"/>
          <w:szCs w:val="32"/>
        </w:rPr>
      </w:pPr>
      <w:r>
        <w:rPr>
          <w:rFonts w:hint="eastAsia" w:ascii="黑体" w:hAnsi="宋体" w:eastAsia="黑体"/>
          <w:bCs/>
          <w:kern w:val="0"/>
          <w:sz w:val="24"/>
          <w:szCs w:val="32"/>
          <w:lang w:val="en-US" w:eastAsia="zh-CN"/>
        </w:rPr>
        <w:t>十三</w:t>
      </w:r>
      <w:r>
        <w:rPr>
          <w:rFonts w:hint="eastAsia" w:ascii="黑体" w:hAnsi="宋体" w:eastAsia="黑体"/>
          <w:bCs/>
          <w:kern w:val="0"/>
          <w:sz w:val="24"/>
          <w:szCs w:val="32"/>
        </w:rPr>
        <w:t>、投标人认为需要加以说明的其他内容（格式自定）</w:t>
      </w:r>
    </w:p>
    <w:p w14:paraId="3704E755">
      <w:r>
        <w:br w:type="page"/>
      </w:r>
    </w:p>
    <w:p w14:paraId="307F0576">
      <w:pPr>
        <w:spacing w:before="260" w:after="260"/>
        <w:jc w:val="left"/>
        <w:outlineLvl w:val="2"/>
        <w:rPr>
          <w:rFonts w:ascii="黑体" w:hAnsi="宋体" w:eastAsia="黑体"/>
          <w:b/>
          <w:bCs/>
          <w:color w:val="FF0000"/>
          <w:kern w:val="0"/>
          <w:sz w:val="24"/>
          <w:highlight w:val="yellow"/>
        </w:rPr>
      </w:pPr>
      <w:r>
        <w:rPr>
          <w:rFonts w:hint="eastAsia" w:ascii="黑体" w:hAnsi="宋体" w:eastAsia="黑体"/>
          <w:b/>
          <w:bCs/>
          <w:color w:val="FF0000"/>
          <w:kern w:val="0"/>
          <w:sz w:val="24"/>
          <w:highlight w:val="yellow"/>
        </w:rPr>
        <w:t>唱标信封（单独密封）</w:t>
      </w:r>
    </w:p>
    <w:p w14:paraId="530A33B0">
      <w:pPr>
        <w:pStyle w:val="23"/>
        <w:spacing w:line="180" w:lineRule="atLeast"/>
        <w:rPr>
          <w:rFonts w:hAnsi="宋体" w:cs="宋体"/>
          <w:b/>
          <w:bCs/>
          <w:szCs w:val="21"/>
        </w:rPr>
      </w:pPr>
      <w:r>
        <w:rPr>
          <w:rFonts w:hint="eastAsia" w:hAnsi="宋体" w:cs="宋体"/>
          <w:b/>
          <w:bCs/>
          <w:szCs w:val="21"/>
        </w:rPr>
        <w:t>1.开标一览表</w:t>
      </w:r>
    </w:p>
    <w:p w14:paraId="24C95725">
      <w:pPr>
        <w:pStyle w:val="23"/>
        <w:spacing w:line="180" w:lineRule="atLeast"/>
        <w:jc w:val="center"/>
        <w:rPr>
          <w:rFonts w:hAnsi="宋体" w:cs="宋体"/>
          <w:b/>
          <w:bCs/>
          <w:szCs w:val="21"/>
        </w:rPr>
      </w:pPr>
      <w:r>
        <w:rPr>
          <w:rFonts w:hint="eastAsia" w:hAnsi="宋体" w:cs="宋体"/>
          <w:b/>
          <w:bCs/>
          <w:szCs w:val="21"/>
        </w:rPr>
        <w:t>开标一览表</w:t>
      </w:r>
    </w:p>
    <w:p w14:paraId="6B3939B7">
      <w:pPr>
        <w:pStyle w:val="23"/>
        <w:spacing w:line="180" w:lineRule="atLeast"/>
        <w:rPr>
          <w:rFonts w:hAnsi="宋体" w:cs="宋体"/>
          <w:szCs w:val="21"/>
        </w:rPr>
      </w:pP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3758"/>
        <w:gridCol w:w="1810"/>
      </w:tblGrid>
      <w:tr w14:paraId="6C5E8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jc w:val="center"/>
        </w:trPr>
        <w:tc>
          <w:tcPr>
            <w:tcW w:w="8180" w:type="dxa"/>
            <w:gridSpan w:val="3"/>
            <w:tcBorders>
              <w:top w:val="nil"/>
              <w:left w:val="nil"/>
              <w:bottom w:val="single" w:color="auto" w:sz="4" w:space="0"/>
              <w:right w:val="nil"/>
            </w:tcBorders>
            <w:vAlign w:val="center"/>
          </w:tcPr>
          <w:p w14:paraId="3F49D0CD">
            <w:pPr>
              <w:pStyle w:val="23"/>
              <w:rPr>
                <w:rFonts w:hAnsi="宋体" w:cs="宋体"/>
                <w:szCs w:val="21"/>
              </w:rPr>
            </w:pPr>
            <w:r>
              <w:rPr>
                <w:rFonts w:hint="eastAsia" w:hAnsi="宋体" w:cs="宋体"/>
                <w:szCs w:val="21"/>
              </w:rPr>
              <w:t>项目名称：</w:t>
            </w:r>
          </w:p>
          <w:p w14:paraId="4F4D0269">
            <w:pPr>
              <w:pStyle w:val="23"/>
              <w:rPr>
                <w:rFonts w:hAnsi="宋体" w:cs="宋体"/>
                <w:szCs w:val="21"/>
              </w:rPr>
            </w:pPr>
            <w:r>
              <w:rPr>
                <w:rFonts w:hint="eastAsia" w:hAnsi="宋体" w:cs="宋体"/>
                <w:szCs w:val="21"/>
              </w:rPr>
              <w:t>项目编号：</w:t>
            </w:r>
          </w:p>
        </w:tc>
      </w:tr>
      <w:tr w14:paraId="5D40C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2612" w:type="dxa"/>
            <w:tcBorders>
              <w:top w:val="single" w:color="auto" w:sz="4" w:space="0"/>
            </w:tcBorders>
            <w:vAlign w:val="center"/>
          </w:tcPr>
          <w:p w14:paraId="2444527D">
            <w:pPr>
              <w:pStyle w:val="23"/>
              <w:jc w:val="center"/>
              <w:rPr>
                <w:rFonts w:hAnsi="宋体" w:cs="宋体"/>
                <w:szCs w:val="21"/>
              </w:rPr>
            </w:pPr>
            <w:r>
              <w:rPr>
                <w:rFonts w:hint="eastAsia" w:hAnsi="宋体" w:cs="宋体"/>
                <w:szCs w:val="21"/>
              </w:rPr>
              <w:t>投标人</w:t>
            </w:r>
          </w:p>
        </w:tc>
        <w:tc>
          <w:tcPr>
            <w:tcW w:w="3758" w:type="dxa"/>
            <w:tcBorders>
              <w:top w:val="single" w:color="auto" w:sz="4" w:space="0"/>
            </w:tcBorders>
            <w:vAlign w:val="center"/>
          </w:tcPr>
          <w:p w14:paraId="2102B05C">
            <w:pPr>
              <w:pStyle w:val="23"/>
              <w:jc w:val="center"/>
              <w:rPr>
                <w:rFonts w:hAnsi="宋体" w:cs="宋体"/>
                <w:szCs w:val="21"/>
              </w:rPr>
            </w:pPr>
            <w:r>
              <w:rPr>
                <w:rFonts w:hint="eastAsia" w:hAnsi="宋体" w:cs="宋体"/>
                <w:szCs w:val="21"/>
              </w:rPr>
              <w:t>投标报价（人民币/元）</w:t>
            </w:r>
          </w:p>
        </w:tc>
        <w:tc>
          <w:tcPr>
            <w:tcW w:w="1810" w:type="dxa"/>
            <w:tcBorders>
              <w:top w:val="single" w:color="auto" w:sz="4" w:space="0"/>
            </w:tcBorders>
            <w:vAlign w:val="center"/>
          </w:tcPr>
          <w:p w14:paraId="4B0501EC">
            <w:pPr>
              <w:pStyle w:val="23"/>
              <w:jc w:val="center"/>
              <w:rPr>
                <w:rFonts w:hAnsi="宋体" w:cs="宋体"/>
                <w:szCs w:val="21"/>
              </w:rPr>
            </w:pPr>
            <w:r>
              <w:rPr>
                <w:rFonts w:hint="eastAsia" w:hAnsi="宋体" w:cs="宋体"/>
                <w:szCs w:val="21"/>
              </w:rPr>
              <w:t>备注</w:t>
            </w:r>
          </w:p>
        </w:tc>
      </w:tr>
      <w:tr w14:paraId="1E6E9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612" w:type="dxa"/>
            <w:vAlign w:val="center"/>
          </w:tcPr>
          <w:p w14:paraId="240AEEED">
            <w:pPr>
              <w:autoSpaceDE w:val="0"/>
              <w:autoSpaceDN w:val="0"/>
              <w:spacing w:line="320" w:lineRule="atLeast"/>
              <w:jc w:val="center"/>
              <w:textAlignment w:val="bottom"/>
              <w:rPr>
                <w:rFonts w:ascii="宋体" w:hAnsi="宋体" w:cs="宋体"/>
                <w:szCs w:val="21"/>
              </w:rPr>
            </w:pPr>
          </w:p>
        </w:tc>
        <w:tc>
          <w:tcPr>
            <w:tcW w:w="3758" w:type="dxa"/>
            <w:vAlign w:val="center"/>
          </w:tcPr>
          <w:p w14:paraId="24922BB5">
            <w:pPr>
              <w:pStyle w:val="23"/>
              <w:rPr>
                <w:rFonts w:hAnsi="宋体" w:cs="宋体"/>
                <w:szCs w:val="21"/>
              </w:rPr>
            </w:pPr>
            <w:r>
              <w:rPr>
                <w:rFonts w:hint="eastAsia" w:hAnsi="宋体" w:cs="宋体"/>
                <w:szCs w:val="21"/>
              </w:rPr>
              <w:t>大写：</w:t>
            </w:r>
          </w:p>
          <w:p w14:paraId="38CA9610">
            <w:pPr>
              <w:pStyle w:val="23"/>
              <w:rPr>
                <w:rFonts w:hAnsi="宋体" w:cs="宋体"/>
                <w:szCs w:val="21"/>
              </w:rPr>
            </w:pPr>
            <w:r>
              <w:rPr>
                <w:rFonts w:hint="eastAsia" w:hAnsi="宋体" w:cs="宋体"/>
                <w:szCs w:val="21"/>
              </w:rPr>
              <w:t>小写：</w:t>
            </w:r>
          </w:p>
        </w:tc>
        <w:tc>
          <w:tcPr>
            <w:tcW w:w="1810" w:type="dxa"/>
            <w:vAlign w:val="center"/>
          </w:tcPr>
          <w:p w14:paraId="26C7A640">
            <w:pPr>
              <w:pStyle w:val="23"/>
              <w:jc w:val="center"/>
              <w:rPr>
                <w:rFonts w:hAnsi="宋体" w:cs="宋体"/>
                <w:szCs w:val="21"/>
              </w:rPr>
            </w:pPr>
          </w:p>
        </w:tc>
      </w:tr>
    </w:tbl>
    <w:p w14:paraId="3F45FA75">
      <w:pPr>
        <w:pStyle w:val="23"/>
        <w:spacing w:line="360" w:lineRule="auto"/>
        <w:ind w:left="420" w:leftChars="200"/>
        <w:rPr>
          <w:rFonts w:hAnsi="宋体" w:cs="宋体"/>
          <w:szCs w:val="21"/>
        </w:rPr>
      </w:pPr>
      <w:r>
        <w:rPr>
          <w:rFonts w:hint="eastAsia" w:hAnsi="宋体" w:cs="宋体"/>
          <w:szCs w:val="21"/>
        </w:rPr>
        <w:t>注：1. 报价结果保留到小数点后两位。</w:t>
      </w:r>
    </w:p>
    <w:p w14:paraId="5CE8E129">
      <w:pPr>
        <w:pStyle w:val="23"/>
        <w:spacing w:line="360" w:lineRule="auto"/>
        <w:ind w:firstLine="420" w:firstLineChars="200"/>
        <w:rPr>
          <w:rFonts w:hAnsi="宋体" w:cs="宋体"/>
          <w:szCs w:val="21"/>
        </w:rPr>
      </w:pPr>
    </w:p>
    <w:p w14:paraId="20A44E21">
      <w:pPr>
        <w:pStyle w:val="23"/>
        <w:spacing w:line="360" w:lineRule="auto"/>
        <w:ind w:firstLine="420" w:firstLineChars="200"/>
        <w:rPr>
          <w:rFonts w:hAnsi="宋体" w:cs="宋体"/>
          <w:szCs w:val="21"/>
        </w:rPr>
      </w:pPr>
    </w:p>
    <w:p w14:paraId="55496EF5">
      <w:pPr>
        <w:pStyle w:val="23"/>
        <w:spacing w:line="360" w:lineRule="auto"/>
        <w:jc w:val="center"/>
        <w:rPr>
          <w:rFonts w:hAnsi="宋体" w:cs="宋体"/>
          <w:sz w:val="24"/>
        </w:rPr>
      </w:pPr>
      <w:r>
        <w:rPr>
          <w:rFonts w:hint="eastAsia" w:hAnsi="宋体" w:cs="宋体"/>
          <w:sz w:val="24"/>
        </w:rPr>
        <w:t xml:space="preserve"> </w:t>
      </w:r>
    </w:p>
    <w:p w14:paraId="15AB2EC1">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400262AA">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55D5F645">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02FDD87A">
      <w:pPr>
        <w:rPr>
          <w:szCs w:val="21"/>
        </w:rPr>
      </w:pPr>
    </w:p>
    <w:p w14:paraId="7CA886F2">
      <w:pPr>
        <w:rPr>
          <w:szCs w:val="21"/>
        </w:rPr>
      </w:pPr>
    </w:p>
    <w:p w14:paraId="01667F65">
      <w:pPr>
        <w:rPr>
          <w:b/>
          <w:sz w:val="22"/>
        </w:rPr>
      </w:pPr>
      <w:r>
        <w:rPr>
          <w:rFonts w:hint="eastAsia"/>
          <w:szCs w:val="21"/>
        </w:rPr>
        <w:t>2.投标文件电子文档（具体要求详见“对通用条款的补充内容”）</w:t>
      </w:r>
    </w:p>
    <w:p w14:paraId="75415FD2">
      <w:r>
        <w:rPr>
          <w:rFonts w:hint="eastAsia"/>
        </w:rPr>
        <w:br w:type="page"/>
      </w:r>
    </w:p>
    <w:p w14:paraId="18559A57">
      <w:pPr>
        <w:pStyle w:val="7"/>
      </w:pPr>
      <w:r>
        <w:rPr>
          <w:rFonts w:hint="eastAsia"/>
        </w:rPr>
        <w:t>第五章  合同条款及格式</w:t>
      </w:r>
    </w:p>
    <w:p w14:paraId="1C4723D1">
      <w:pPr>
        <w:ind w:firstLine="411" w:firstLineChars="196"/>
      </w:pPr>
    </w:p>
    <w:p w14:paraId="1B51A0B2">
      <w:pPr>
        <w:jc w:val="center"/>
      </w:pPr>
      <w:bookmarkStart w:id="74" w:name="_Hlk72574405"/>
      <w:bookmarkStart w:id="75" w:name="_Hlk72260917"/>
      <w:r>
        <w:rPr>
          <w:rFonts w:hint="eastAsia"/>
          <w:b/>
          <w:sz w:val="24"/>
        </w:rPr>
        <w:t>（仅供参考，具体以项目需求及采购结果为准）</w:t>
      </w:r>
      <w:bookmarkEnd w:id="74"/>
    </w:p>
    <w:p w14:paraId="5BE7C5B9">
      <w:pPr>
        <w:pStyle w:val="2"/>
        <w:jc w:val="center"/>
        <w:rPr>
          <w:rFonts w:ascii="宋体" w:hAnsi="宋体" w:cs="宋体"/>
          <w:spacing w:val="-20"/>
          <w:kern w:val="44"/>
          <w:sz w:val="48"/>
          <w:szCs w:val="48"/>
        </w:rPr>
      </w:pPr>
      <w:bookmarkStart w:id="76" w:name="_Toc3995"/>
    </w:p>
    <w:p w14:paraId="2D563D24">
      <w:pPr>
        <w:pStyle w:val="2"/>
        <w:jc w:val="center"/>
        <w:rPr>
          <w:rFonts w:ascii="宋体" w:hAnsi="宋体" w:cs="宋体"/>
          <w:spacing w:val="-20"/>
          <w:kern w:val="44"/>
          <w:sz w:val="48"/>
          <w:szCs w:val="48"/>
        </w:rPr>
      </w:pPr>
    </w:p>
    <w:p w14:paraId="547815A2">
      <w:pPr>
        <w:pStyle w:val="2"/>
        <w:jc w:val="center"/>
        <w:rPr>
          <w:rFonts w:ascii="宋体" w:hAnsi="宋体" w:cs="宋体"/>
          <w:spacing w:val="-20"/>
          <w:kern w:val="44"/>
          <w:sz w:val="48"/>
          <w:szCs w:val="48"/>
        </w:rPr>
      </w:pPr>
    </w:p>
    <w:p w14:paraId="77DA082C">
      <w:pPr>
        <w:pStyle w:val="2"/>
        <w:jc w:val="center"/>
        <w:rPr>
          <w:rFonts w:ascii="宋体" w:hAnsi="宋体" w:cs="宋体"/>
          <w:spacing w:val="-20"/>
          <w:kern w:val="44"/>
          <w:sz w:val="48"/>
          <w:szCs w:val="48"/>
        </w:rPr>
      </w:pPr>
    </w:p>
    <w:p w14:paraId="480C3B30">
      <w:pPr>
        <w:pStyle w:val="2"/>
        <w:jc w:val="center"/>
        <w:rPr>
          <w:rFonts w:ascii="宋体" w:hAnsi="宋体" w:cs="宋体"/>
          <w:spacing w:val="-20"/>
          <w:kern w:val="44"/>
          <w:sz w:val="48"/>
          <w:szCs w:val="48"/>
        </w:rPr>
      </w:pPr>
    </w:p>
    <w:p w14:paraId="2C2FA09A">
      <w:pPr>
        <w:pStyle w:val="2"/>
        <w:jc w:val="center"/>
        <w:rPr>
          <w:rFonts w:ascii="宋体" w:hAnsi="宋体" w:cs="宋体"/>
          <w:spacing w:val="-20"/>
          <w:kern w:val="44"/>
          <w:sz w:val="48"/>
          <w:szCs w:val="48"/>
        </w:rPr>
      </w:pPr>
      <w:r>
        <w:rPr>
          <w:rFonts w:hint="eastAsia" w:ascii="宋体" w:hAnsi="宋体" w:cs="宋体"/>
          <w:spacing w:val="-20"/>
          <w:kern w:val="44"/>
          <w:sz w:val="48"/>
          <w:szCs w:val="48"/>
        </w:rPr>
        <w:t>政府采购货物买卖合同</w:t>
      </w:r>
    </w:p>
    <w:p w14:paraId="130C8F82">
      <w:pPr>
        <w:pStyle w:val="2"/>
        <w:jc w:val="center"/>
        <w:rPr>
          <w:rFonts w:ascii="宋体" w:hAnsi="宋体" w:cs="宋体"/>
          <w:spacing w:val="-20"/>
          <w:kern w:val="44"/>
          <w:sz w:val="48"/>
          <w:szCs w:val="48"/>
        </w:rPr>
      </w:pPr>
      <w:r>
        <w:rPr>
          <w:rFonts w:hint="eastAsia" w:ascii="宋体" w:hAnsi="宋体" w:cs="宋体"/>
          <w:spacing w:val="-20"/>
          <w:kern w:val="44"/>
          <w:sz w:val="48"/>
          <w:szCs w:val="48"/>
        </w:rPr>
        <w:t>（试行）</w:t>
      </w:r>
    </w:p>
    <w:p w14:paraId="5DF67162">
      <w:pPr>
        <w:rPr>
          <w:rFonts w:ascii="宋体" w:hAnsi="宋体" w:cs="宋体"/>
          <w:b/>
          <w:bCs/>
          <w:spacing w:val="-20"/>
          <w:kern w:val="44"/>
          <w:sz w:val="40"/>
          <w:szCs w:val="40"/>
        </w:rPr>
      </w:pPr>
    </w:p>
    <w:p w14:paraId="540C1B07">
      <w:pPr>
        <w:rPr>
          <w:rFonts w:ascii="宋体" w:hAnsi="宋体" w:cs="宋体"/>
          <w:b/>
          <w:bCs/>
          <w:spacing w:val="-20"/>
          <w:kern w:val="44"/>
          <w:sz w:val="40"/>
          <w:szCs w:val="40"/>
        </w:rPr>
      </w:pPr>
    </w:p>
    <w:p w14:paraId="08C67AFD">
      <w:pPr>
        <w:rPr>
          <w:rFonts w:ascii="宋体" w:hAnsi="宋体" w:cs="宋体"/>
          <w:b/>
          <w:bCs/>
          <w:spacing w:val="-20"/>
          <w:kern w:val="44"/>
          <w:sz w:val="40"/>
          <w:szCs w:val="40"/>
        </w:rPr>
      </w:pPr>
    </w:p>
    <w:p w14:paraId="67471748">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5B690EC6">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49559A56">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6FAE3843">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085D8CD4">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CE68391"/>
    <w:p w14:paraId="1945A624">
      <w:pPr>
        <w:rPr>
          <w:rFonts w:eastAsia="黑体"/>
          <w:sz w:val="44"/>
          <w:szCs w:val="44"/>
        </w:rPr>
      </w:pPr>
      <w:r>
        <w:rPr>
          <w:rFonts w:eastAsia="黑体"/>
          <w:sz w:val="44"/>
          <w:szCs w:val="44"/>
        </w:rPr>
        <w:br w:type="page"/>
      </w:r>
    </w:p>
    <w:p w14:paraId="2A2A5837">
      <w:pPr>
        <w:rPr>
          <w:rFonts w:eastAsia="黑体"/>
          <w:sz w:val="44"/>
          <w:szCs w:val="44"/>
        </w:rPr>
      </w:pPr>
    </w:p>
    <w:p w14:paraId="7655C64F">
      <w:pPr>
        <w:rPr>
          <w:rFonts w:eastAsia="黑体"/>
          <w:sz w:val="44"/>
          <w:szCs w:val="44"/>
        </w:rPr>
      </w:pPr>
    </w:p>
    <w:p w14:paraId="4CA776AA">
      <w:pPr>
        <w:jc w:val="center"/>
        <w:rPr>
          <w:rFonts w:eastAsia="黑体"/>
          <w:sz w:val="44"/>
          <w:szCs w:val="44"/>
        </w:rPr>
      </w:pPr>
      <w:r>
        <w:rPr>
          <w:rFonts w:hint="eastAsia" w:eastAsia="黑体"/>
          <w:sz w:val="44"/>
          <w:szCs w:val="44"/>
        </w:rPr>
        <w:t>使 用 说 明</w:t>
      </w:r>
    </w:p>
    <w:p w14:paraId="5331944B">
      <w:pPr>
        <w:ind w:firstLine="640" w:firstLineChars="200"/>
        <w:rPr>
          <w:rFonts w:ascii="仿宋_GB2312" w:hAnsi="仿宋_GB2312" w:eastAsia="仿宋_GB2312" w:cs="仿宋_GB2312"/>
          <w:sz w:val="32"/>
          <w:szCs w:val="32"/>
        </w:rPr>
      </w:pPr>
    </w:p>
    <w:p w14:paraId="2D04DF8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53301DE9">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11D05FC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242BC64D">
      <w:pPr>
        <w:ind w:firstLine="880" w:firstLineChars="200"/>
        <w:rPr>
          <w:rFonts w:eastAsia="黑体"/>
          <w:sz w:val="44"/>
          <w:szCs w:val="44"/>
        </w:rPr>
        <w:sectPr>
          <w:headerReference r:id="rId5" w:type="default"/>
          <w:footerReference r:id="rId6" w:type="default"/>
          <w:pgSz w:w="11906" w:h="16838"/>
          <w:pgMar w:top="1440" w:right="1800" w:bottom="1440" w:left="1800" w:header="851" w:footer="992" w:gutter="0"/>
          <w:cols w:space="425" w:num="1"/>
          <w:docGrid w:type="lines" w:linePitch="312" w:charSpace="0"/>
        </w:sectPr>
      </w:pPr>
    </w:p>
    <w:bookmarkEnd w:id="76"/>
    <w:p w14:paraId="061A67A8">
      <w:pPr>
        <w:pStyle w:val="7"/>
        <w:snapToGrid w:val="0"/>
        <w:spacing w:line="400" w:lineRule="exact"/>
        <w:rPr>
          <w:rFonts w:ascii="黑体" w:hAnsi="黑体" w:eastAsia="黑体"/>
          <w:sz w:val="28"/>
          <w:szCs w:val="28"/>
        </w:rPr>
      </w:pPr>
      <w:bookmarkStart w:id="77" w:name="_Toc22209"/>
    </w:p>
    <w:p w14:paraId="3B4F4FC2">
      <w:pPr>
        <w:pStyle w:val="7"/>
        <w:snapToGrid w:val="0"/>
        <w:spacing w:line="400" w:lineRule="exact"/>
        <w:rPr>
          <w:rFonts w:ascii="黑体" w:hAnsi="华文中宋" w:eastAsia="黑体"/>
          <w:sz w:val="28"/>
          <w:szCs w:val="28"/>
        </w:rPr>
      </w:pPr>
      <w:r>
        <w:rPr>
          <w:rFonts w:hint="eastAsia" w:ascii="黑体" w:hAnsi="黑体" w:eastAsia="黑体"/>
          <w:sz w:val="28"/>
          <w:szCs w:val="28"/>
        </w:rPr>
        <w:t xml:space="preserve">第一节 </w:t>
      </w:r>
      <w:r>
        <w:rPr>
          <w:rFonts w:hint="eastAsia" w:ascii="黑体" w:hAnsi="华文中宋" w:eastAsia="黑体"/>
          <w:sz w:val="28"/>
          <w:szCs w:val="28"/>
        </w:rPr>
        <w:t>政府采购合同协议书</w:t>
      </w:r>
      <w:bookmarkEnd w:id="77"/>
    </w:p>
    <w:p w14:paraId="0A95B04C">
      <w:pPr>
        <w:pStyle w:val="7"/>
        <w:snapToGrid w:val="0"/>
        <w:spacing w:line="400" w:lineRule="exact"/>
        <w:rPr>
          <w:rFonts w:ascii="黑体" w:hAnsi="华文中宋" w:eastAsia="黑体"/>
          <w:sz w:val="28"/>
          <w:szCs w:val="28"/>
        </w:rPr>
      </w:pPr>
    </w:p>
    <w:p w14:paraId="13E49DA4">
      <w:pPr>
        <w:adjustRightInd w:val="0"/>
        <w:snapToGrid w:val="0"/>
        <w:spacing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（采购人、受采购人委托签订合同的单位或采购</w:t>
      </w:r>
      <w:r>
        <w:rPr>
          <w:rFonts w:hint="eastAsia" w:ascii="宋体" w:hAnsi="宋体"/>
          <w:szCs w:val="21"/>
        </w:rPr>
        <w:tab/>
      </w:r>
      <w:r>
        <w:rPr>
          <w:rFonts w:hint="eastAsia" w:ascii="宋体" w:hAnsi="宋体"/>
          <w:szCs w:val="21"/>
        </w:rPr>
        <w:t xml:space="preserve">                                   文件约定的合同甲方）</w:t>
      </w:r>
    </w:p>
    <w:p w14:paraId="6F5C35CE">
      <w:pPr>
        <w:adjustRightInd w:val="0"/>
        <w:snapToGrid w:val="0"/>
        <w:spacing w:line="400" w:lineRule="exact"/>
        <w:rPr>
          <w:rFonts w:ascii="宋体" w:hAnsi="宋体"/>
          <w:szCs w:val="21"/>
        </w:rPr>
      </w:pPr>
      <w:r>
        <w:rPr>
          <w:rFonts w:hint="eastAsia" w:ascii="宋体" w:hAnsi="宋体"/>
          <w:szCs w:val="21"/>
        </w:rPr>
        <w:t>乙方1（全称）：</w:t>
      </w:r>
      <w:r>
        <w:rPr>
          <w:rFonts w:hint="eastAsia" w:ascii="宋体" w:hAnsi="宋体"/>
          <w:szCs w:val="21"/>
          <w:u w:val="single"/>
        </w:rPr>
        <w:t xml:space="preserve">                       </w:t>
      </w:r>
      <w:r>
        <w:rPr>
          <w:rFonts w:hint="eastAsia" w:ascii="宋体" w:hAnsi="宋体"/>
          <w:szCs w:val="21"/>
        </w:rPr>
        <w:t>（供应商）</w:t>
      </w:r>
    </w:p>
    <w:p w14:paraId="330BE9B6">
      <w:pPr>
        <w:adjustRightInd w:val="0"/>
        <w:snapToGrid w:val="0"/>
        <w:spacing w:line="400" w:lineRule="exact"/>
        <w:rPr>
          <w:rFonts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0EE603D9">
      <w:pPr>
        <w:adjustRightInd w:val="0"/>
        <w:snapToGrid w:val="0"/>
        <w:spacing w:line="400" w:lineRule="exact"/>
        <w:rPr>
          <w:rFonts w:ascii="宋体" w:hAnsi="宋体"/>
          <w:szCs w:val="21"/>
        </w:rPr>
      </w:pPr>
      <w:r>
        <w:rPr>
          <w:rFonts w:hint="eastAsia"/>
        </w:rPr>
        <w:t>乙方</w:t>
      </w:r>
      <w:r>
        <w:rPr>
          <w:rFonts w:hint="eastAsia" w:ascii="宋体" w:hAnsi="宋体"/>
          <w:szCs w:val="21"/>
        </w:rPr>
        <w:t>3</w:t>
      </w:r>
      <w:r>
        <w:rPr>
          <w:rFonts w:hint="eastAsia"/>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77F0285F">
      <w:pPr>
        <w:spacing w:line="400" w:lineRule="exact"/>
      </w:pPr>
    </w:p>
    <w:p w14:paraId="57C66E90">
      <w:pPr>
        <w:pStyle w:val="20"/>
        <w:adjustRightInd w:val="0"/>
        <w:snapToGrid w:val="0"/>
        <w:spacing w:line="400" w:lineRule="exact"/>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AA9E382">
      <w:pPr>
        <w:numPr>
          <w:ilvl w:val="0"/>
          <w:numId w:val="10"/>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660B8DBD">
      <w:pPr>
        <w:pStyle w:val="20"/>
        <w:numPr>
          <w:ilvl w:val="0"/>
          <w:numId w:val="11"/>
        </w:numPr>
        <w:adjustRightInd w:val="0"/>
        <w:snapToGrid w:val="0"/>
        <w:spacing w:line="400" w:lineRule="exact"/>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0DFCCD47">
      <w:pPr>
        <w:pStyle w:val="20"/>
        <w:numPr>
          <w:ilvl w:val="255"/>
          <w:numId w:val="0"/>
        </w:numPr>
        <w:tabs>
          <w:tab w:val="left" w:pos="999"/>
        </w:tabs>
        <w:adjustRightInd w:val="0"/>
        <w:snapToGrid w:val="0"/>
        <w:spacing w:line="400" w:lineRule="exact"/>
        <w:rPr>
          <w:rFonts w:ascii="宋体" w:hAnsi="宋体"/>
          <w:szCs w:val="21"/>
        </w:rPr>
      </w:pPr>
      <w:r>
        <w:rPr>
          <w:rFonts w:hint="eastAsia" w:ascii="宋体" w:hAnsi="宋体"/>
          <w:szCs w:val="21"/>
        </w:rPr>
        <w:t xml:space="preserve">         采购项目编号：</w:t>
      </w:r>
      <w:r>
        <w:rPr>
          <w:rFonts w:ascii="宋体" w:hAnsi="宋体"/>
          <w:szCs w:val="21"/>
          <w:u w:val="single"/>
        </w:rPr>
        <w:t xml:space="preserve">                                          </w:t>
      </w:r>
    </w:p>
    <w:p w14:paraId="00BE1E1E">
      <w:pPr>
        <w:pStyle w:val="20"/>
        <w:adjustRightInd w:val="0"/>
        <w:snapToGrid w:val="0"/>
        <w:spacing w:line="400" w:lineRule="exact"/>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3FCF77D1">
      <w:pPr>
        <w:adjustRightInd w:val="0"/>
        <w:snapToGrid w:val="0"/>
        <w:spacing w:line="400" w:lineRule="exact"/>
        <w:ind w:firstLine="420" w:firstLineChars="200"/>
        <w:rPr>
          <w:rFonts w:ascii="宋体" w:hAnsi="宋体"/>
          <w:szCs w:val="21"/>
        </w:rPr>
      </w:pPr>
      <w:r>
        <w:rPr>
          <w:rFonts w:hint="eastAsia" w:ascii="宋体" w:hAnsi="宋体"/>
          <w:szCs w:val="21"/>
        </w:rPr>
        <w:t>（3）项目内容：</w:t>
      </w:r>
    </w:p>
    <w:p w14:paraId="33A94E8F">
      <w:pPr>
        <w:adjustRightInd w:val="0"/>
        <w:snapToGrid w:val="0"/>
        <w:spacing w:line="400" w:lineRule="exact"/>
        <w:ind w:firstLine="420" w:firstLineChars="200"/>
        <w:rPr>
          <w:rFonts w:ascii="宋体" w:hAnsi="宋体"/>
          <w:szCs w:val="21"/>
        </w:rPr>
      </w:pPr>
      <w:r>
        <w:rPr>
          <w:rFonts w:hint="eastAsia" w:ascii="宋体" w:hAnsi="宋体"/>
          <w:szCs w:val="21"/>
        </w:rPr>
        <w:t xml:space="preserve">     采购标的及数量（台/套</w:t>
      </w:r>
      <w:r>
        <w:rPr>
          <w:rFonts w:ascii="宋体" w:hAnsi="宋体"/>
          <w:szCs w:val="21"/>
          <w:lang w:val="en"/>
        </w:rPr>
        <w:t>/</w:t>
      </w:r>
      <w:r>
        <w:rPr>
          <w:rFonts w:hint="eastAsia" w:ascii="宋体" w:hAnsi="宋体"/>
          <w:szCs w:val="21"/>
          <w:lang w:val="en"/>
        </w:rPr>
        <w:t>个</w:t>
      </w:r>
      <w:r>
        <w:rPr>
          <w:rFonts w:ascii="宋体" w:hAnsi="宋体"/>
          <w:szCs w:val="21"/>
          <w:lang w:val="en"/>
        </w:rPr>
        <w:t>/</w:t>
      </w:r>
      <w:r>
        <w:rPr>
          <w:rFonts w:hint="eastAsia" w:ascii="宋体" w:hAnsi="宋体"/>
          <w:szCs w:val="21"/>
          <w:lang w:val="en"/>
        </w:rPr>
        <w:t>架</w:t>
      </w:r>
      <w:r>
        <w:rPr>
          <w:rFonts w:ascii="宋体" w:hAnsi="宋体"/>
          <w:szCs w:val="21"/>
          <w:lang w:val="en"/>
        </w:rPr>
        <w:t>/</w:t>
      </w:r>
      <w:r>
        <w:rPr>
          <w:rFonts w:hint="eastAsia" w:ascii="宋体" w:hAnsi="宋体"/>
          <w:szCs w:val="21"/>
          <w:lang w:val="en"/>
        </w:rPr>
        <w:t>组等</w:t>
      </w:r>
      <w:r>
        <w:rPr>
          <w:rFonts w:hint="eastAsia" w:ascii="宋体" w:hAnsi="宋体"/>
          <w:szCs w:val="21"/>
        </w:rPr>
        <w:t>）：</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p>
    <w:p w14:paraId="54D089EF">
      <w:pPr>
        <w:numPr>
          <w:ilvl w:val="255"/>
          <w:numId w:val="0"/>
        </w:numPr>
        <w:adjustRightInd w:val="0"/>
        <w:snapToGrid w:val="0"/>
        <w:spacing w:line="400" w:lineRule="exact"/>
        <w:ind w:firstLine="420" w:firstLineChars="200"/>
        <w:rPr>
          <w:rFonts w:ascii="宋体" w:hAnsi="宋体" w:cs="宋体"/>
          <w:szCs w:val="21"/>
          <w:lang w:val="en"/>
        </w:rPr>
      </w:pPr>
      <w:r>
        <w:rPr>
          <w:rFonts w:hint="eastAsia" w:ascii="宋体" w:hAnsi="宋体"/>
          <w:szCs w:val="21"/>
        </w:rPr>
        <w:t xml:space="preserve">     </w:t>
      </w: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p>
    <w:p w14:paraId="7904CED1">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4045909F">
      <w:pPr>
        <w:numPr>
          <w:ilvl w:val="255"/>
          <w:numId w:val="0"/>
        </w:numPr>
        <w:adjustRightInd w:val="0"/>
        <w:snapToGrid w:val="0"/>
        <w:spacing w:line="400" w:lineRule="exact"/>
        <w:ind w:firstLine="945" w:firstLineChars="450"/>
        <w:rPr>
          <w:rFonts w:ascii="宋体" w:hAnsi="宋体" w:cs="宋体"/>
          <w:szCs w:val="21"/>
        </w:rPr>
      </w:pPr>
      <w:r>
        <w:rPr>
          <w:rFonts w:hint="eastAsia" w:ascii="汉仪书宋二S" w:hAnsi="汉仪书宋二S" w:eastAsia="汉仪书宋二S" w:cs="汉仪书宋二S"/>
          <w:szCs w:val="21"/>
        </w:rPr>
        <w:t>①</w:t>
      </w:r>
      <w:r>
        <w:rPr>
          <w:rFonts w:hint="eastAsia" w:ascii="宋体" w:hAnsi="宋体" w:cs="宋体"/>
          <w:szCs w:val="21"/>
        </w:rPr>
        <w:t>涉及信息类产品，请填写该产品关键部件的品牌、型号：</w:t>
      </w:r>
    </w:p>
    <w:p w14:paraId="038F0742">
      <w:pPr>
        <w:numPr>
          <w:ilvl w:val="255"/>
          <w:numId w:val="0"/>
        </w:numPr>
        <w:adjustRightInd w:val="0"/>
        <w:snapToGrid w:val="0"/>
        <w:spacing w:line="400" w:lineRule="exact"/>
        <w:ind w:firstLine="420" w:firstLineChars="200"/>
        <w:rPr>
          <w:rFonts w:ascii="宋体" w:hAnsi="宋体" w:cs="宋体"/>
          <w:kern w:val="0"/>
          <w:szCs w:val="21"/>
          <w:u w:val="single"/>
        </w:rPr>
      </w:pPr>
      <w:r>
        <w:rPr>
          <w:rFonts w:hint="eastAsia" w:ascii="宋体" w:hAnsi="宋体" w:cs="宋体"/>
          <w:szCs w:val="21"/>
        </w:rPr>
        <w:t xml:space="preserve">     标的名称：</w:t>
      </w:r>
      <w:r>
        <w:rPr>
          <w:rFonts w:hint="eastAsia" w:ascii="宋体" w:hAnsi="宋体" w:cs="宋体"/>
          <w:kern w:val="0"/>
          <w:szCs w:val="21"/>
          <w:u w:val="single"/>
        </w:rPr>
        <w:t xml:space="preserve">      </w:t>
      </w:r>
      <w:r>
        <w:rPr>
          <w:rFonts w:ascii="宋体" w:hAnsi="宋体" w:cs="宋体"/>
          <w:kern w:val="0"/>
          <w:szCs w:val="21"/>
          <w:u w:val="single"/>
          <w:lang w:val="en"/>
        </w:rPr>
        <w:t xml:space="preserve">               </w:t>
      </w:r>
      <w:r>
        <w:rPr>
          <w:rFonts w:hint="eastAsia" w:ascii="宋体" w:hAnsi="宋体" w:cs="宋体"/>
          <w:kern w:val="0"/>
          <w:szCs w:val="21"/>
          <w:u w:val="single"/>
        </w:rPr>
        <w:t xml:space="preserve">    </w:t>
      </w:r>
    </w:p>
    <w:p w14:paraId="45019017">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 xml:space="preserve">     关键部件：</w:t>
      </w:r>
      <w:r>
        <w:rPr>
          <w:rFonts w:hint="eastAsia" w:ascii="宋体" w:hAnsi="宋体" w:cs="宋体"/>
          <w:kern w:val="0"/>
          <w:szCs w:val="21"/>
          <w:u w:val="single"/>
        </w:rPr>
        <w:t xml:space="preserve">          </w:t>
      </w:r>
      <w:r>
        <w:rPr>
          <w:rFonts w:hint="eastAsia" w:ascii="宋体" w:hAnsi="宋体" w:cs="宋体"/>
          <w:kern w:val="0"/>
          <w:szCs w:val="21"/>
        </w:rPr>
        <w:t xml:space="preserve"> </w:t>
      </w:r>
      <w:r>
        <w:rPr>
          <w:rFonts w:hint="eastAsia" w:ascii="宋体" w:hAnsi="宋体" w:cs="宋体"/>
          <w:szCs w:val="21"/>
        </w:rPr>
        <w:t>品牌：</w:t>
      </w:r>
      <w:r>
        <w:rPr>
          <w:rFonts w:hint="eastAsia" w:ascii="宋体" w:hAnsi="宋体" w:cs="宋体"/>
          <w:szCs w:val="21"/>
          <w:u w:val="single"/>
        </w:rPr>
        <w:t xml:space="preserve">        </w:t>
      </w:r>
      <w:r>
        <w:rPr>
          <w:rFonts w:hint="eastAsia" w:ascii="宋体" w:hAnsi="宋体" w:cs="宋体"/>
          <w:szCs w:val="21"/>
        </w:rPr>
        <w:t xml:space="preserve"> 型号：</w:t>
      </w:r>
      <w:r>
        <w:rPr>
          <w:rFonts w:hint="eastAsia" w:ascii="宋体" w:hAnsi="宋体" w:cs="宋体"/>
          <w:szCs w:val="21"/>
          <w:u w:val="single"/>
        </w:rPr>
        <w:t xml:space="preserve">       </w:t>
      </w:r>
      <w:r>
        <w:rPr>
          <w:rFonts w:hint="eastAsia" w:ascii="宋体" w:hAnsi="宋体" w:cs="宋体"/>
          <w:szCs w:val="21"/>
        </w:rPr>
        <w:t xml:space="preserve"> </w:t>
      </w:r>
    </w:p>
    <w:p w14:paraId="307A6CA6">
      <w:pPr>
        <w:pStyle w:val="481"/>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750AE956">
      <w:pPr>
        <w:pStyle w:val="481"/>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7309C376">
      <w:pPr>
        <w:pStyle w:val="481"/>
        <w:numPr>
          <w:ilvl w:val="255"/>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78BE0A24">
      <w:pPr>
        <w:pStyle w:val="481"/>
        <w:numPr>
          <w:ilvl w:val="255"/>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14:paraId="4D9FEC8E">
      <w:pPr>
        <w:pStyle w:val="481"/>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是，《政府采购品目分类目录》底级品目名称：</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数量：</w:t>
      </w:r>
      <w:r>
        <w:rPr>
          <w:rFonts w:hint="eastAsia" w:asciiTheme="minorEastAsia" w:hAnsiTheme="minorEastAsia" w:eastAsiaTheme="minorEastAsia" w:cstheme="minorEastAsia"/>
          <w:sz w:val="21"/>
          <w:u w:val="single"/>
        </w:rPr>
        <w:t xml:space="preserve"> </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金额：</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w:t>
      </w:r>
    </w:p>
    <w:p w14:paraId="68B4FD2F">
      <w:pPr>
        <w:pStyle w:val="481"/>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否</w:t>
      </w:r>
    </w:p>
    <w:p w14:paraId="103A1640">
      <w:pPr>
        <w:pStyle w:val="481"/>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lang w:val="en"/>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1943867D">
      <w:pPr>
        <w:pStyle w:val="481"/>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lang w:val="en"/>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664A1291">
      <w:pPr>
        <w:pStyle w:val="481"/>
        <w:numPr>
          <w:ilvl w:val="255"/>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397CEB56">
      <w:pPr>
        <w:pStyle w:val="481"/>
        <w:numPr>
          <w:ilvl w:val="255"/>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14:paraId="5CA774F7">
      <w:pPr>
        <w:pStyle w:val="481"/>
        <w:numPr>
          <w:ilvl w:val="255"/>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6FBBE9B0">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220E2F2">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C2EF63D">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99879C7">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6E3B41B">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lang w:val="e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7983318">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r>
        <w:rPr>
          <w:rFonts w:hint="eastAsia" w:ascii="宋体" w:hAnsi="宋体"/>
          <w:szCs w:val="21"/>
          <w:u w:val="single"/>
        </w:rPr>
        <w:t xml:space="preserve">                                            </w:t>
      </w:r>
    </w:p>
    <w:p w14:paraId="585A1733">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6E9C35A5">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69D7390F">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6FBF2D32">
      <w:pPr>
        <w:adjustRightInd w:val="0"/>
        <w:snapToGrid w:val="0"/>
        <w:spacing w:line="400" w:lineRule="exact"/>
        <w:ind w:firstLine="840" w:firstLineChars="400"/>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 xml:space="preserve">小微型企业  </w:t>
      </w:r>
    </w:p>
    <w:p w14:paraId="28FAE716">
      <w:pPr>
        <w:adjustRightInd w:val="0"/>
        <w:snapToGrid w:val="0"/>
        <w:spacing w:line="400" w:lineRule="exact"/>
        <w:ind w:firstLine="840" w:firstLineChars="400"/>
        <w:rPr>
          <w:rFonts w:eastAsia="华文楷体"/>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687FA9A4">
      <w:pPr>
        <w:numPr>
          <w:ilvl w:val="255"/>
          <w:numId w:val="0"/>
        </w:numPr>
        <w:adjustRightInd w:val="0"/>
        <w:snapToGrid w:val="0"/>
        <w:spacing w:line="400" w:lineRule="exact"/>
        <w:rPr>
          <w:rFonts w:ascii="宋体" w:hAnsi="宋体" w:cs="宋体"/>
          <w:iCs/>
          <w:szCs w:val="21"/>
        </w:rPr>
      </w:pPr>
      <w:r>
        <w:rPr>
          <w:rFonts w:hint="eastAsia" w:ascii="宋体" w:hAnsi="宋体"/>
          <w:szCs w:val="21"/>
        </w:rPr>
        <w:t xml:space="preserve">    </w:t>
      </w:r>
      <w:r>
        <w:rPr>
          <w:rFonts w:hint="eastAsia" w:ascii="宋体" w:hAnsi="宋体" w:cs="宋体"/>
          <w:szCs w:val="21"/>
        </w:rPr>
        <w:t>（</w:t>
      </w:r>
      <w:r>
        <w:rPr>
          <w:rFonts w:ascii="宋体" w:hAnsi="宋体" w:cs="宋体"/>
          <w:szCs w:val="21"/>
          <w:lang w:val="en"/>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宋体" w:hAnsi="宋体" w:cs="宋体"/>
          <w:iCs/>
          <w:szCs w:val="21"/>
        </w:rPr>
        <w:sym w:font="Wingdings" w:char="00A8"/>
      </w:r>
      <w:r>
        <w:rPr>
          <w:rFonts w:hint="eastAsia" w:ascii="宋体" w:hAnsi="宋体" w:cs="宋体"/>
          <w:iCs/>
          <w:szCs w:val="21"/>
        </w:rPr>
        <w:t>否</w:t>
      </w:r>
    </w:p>
    <w:p w14:paraId="39F890DD">
      <w:pPr>
        <w:pStyle w:val="481"/>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55C2F048">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lang w:val="en"/>
        </w:rPr>
        <w:t>9</w:t>
      </w:r>
      <w:r>
        <w:rPr>
          <w:rFonts w:hint="eastAsia" w:ascii="宋体" w:hAnsi="宋体" w:cs="宋体"/>
          <w:szCs w:val="21"/>
        </w:rPr>
        <w:t>）是否涉及进口产品：</w:t>
      </w:r>
    </w:p>
    <w:p w14:paraId="23B610F5">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t xml:space="preserve"> </w:t>
      </w:r>
      <w:r>
        <w:rPr>
          <w:rFonts w:hint="eastAsia" w:ascii="宋体" w:hAnsi="宋体" w:cs="宋体"/>
          <w:szCs w:val="21"/>
        </w:rPr>
        <w:sym w:font="Wingdings" w:char="00A8"/>
      </w:r>
      <w:r>
        <w:rPr>
          <w:rFonts w:hint="eastAsia" w:ascii="宋体" w:hAnsi="宋体" w:cs="宋体"/>
          <w:szCs w:val="21"/>
        </w:rPr>
        <w:t>是，《政府采购品目分类目录》底级品目名称：</w:t>
      </w:r>
      <w:r>
        <w:rPr>
          <w:rFonts w:hint="eastAsia" w:ascii="宋体" w:hAnsi="宋体" w:cs="宋体"/>
          <w:szCs w:val="21"/>
          <w:u w:val="single"/>
        </w:rPr>
        <w:t xml:space="preserve">         </w:t>
      </w:r>
      <w:r>
        <w:rPr>
          <w:rFonts w:hint="eastAsia" w:ascii="宋体" w:hAnsi="宋体" w:cs="宋体"/>
          <w:szCs w:val="21"/>
        </w:rPr>
        <w:t xml:space="preserve"> 金额：</w:t>
      </w:r>
      <w:r>
        <w:rPr>
          <w:rFonts w:hint="eastAsia" w:ascii="宋体" w:hAnsi="宋体" w:cs="宋体"/>
          <w:szCs w:val="21"/>
          <w:u w:val="single"/>
        </w:rPr>
        <w:t xml:space="preserve">        </w:t>
      </w:r>
    </w:p>
    <w:p w14:paraId="001EA952">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规格型号：</w:t>
      </w:r>
      <w:r>
        <w:rPr>
          <w:rFonts w:hint="eastAsia" w:ascii="宋体" w:hAnsi="宋体" w:cs="宋体"/>
          <w:szCs w:val="21"/>
          <w:u w:val="single"/>
        </w:rPr>
        <w:t xml:space="preserve">        </w:t>
      </w:r>
      <w:r>
        <w:rPr>
          <w:rFonts w:hint="eastAsia" w:ascii="宋体" w:hAnsi="宋体"/>
          <w:szCs w:val="21"/>
        </w:rPr>
        <w:t xml:space="preserve">      </w:t>
      </w:r>
    </w:p>
    <w:p w14:paraId="2F540803">
      <w:pPr>
        <w:adjustRightInd w:val="0"/>
        <w:snapToGrid w:val="0"/>
        <w:spacing w:line="400" w:lineRule="exact"/>
        <w:ind w:firstLine="840" w:firstLineChars="400"/>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否</w:t>
      </w:r>
    </w:p>
    <w:p w14:paraId="3C70F0E8">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0</w:t>
      </w:r>
      <w:r>
        <w:rPr>
          <w:rFonts w:hint="eastAsia" w:ascii="宋体" w:hAnsi="宋体"/>
          <w:szCs w:val="21"/>
        </w:rPr>
        <w:t>）是否涉及节能产品：</w:t>
      </w:r>
    </w:p>
    <w:p w14:paraId="04DEE6BD">
      <w:pPr>
        <w:numPr>
          <w:ilvl w:val="255"/>
          <w:numId w:val="0"/>
        </w:numPr>
        <w:tabs>
          <w:tab w:val="left" w:pos="740"/>
        </w:tabs>
        <w:adjustRightInd w:val="0"/>
        <w:snapToGrid w:val="0"/>
        <w:spacing w:line="400" w:lineRule="exact"/>
        <w:rPr>
          <w:rFonts w:ascii="宋体" w:hAnsi="宋体"/>
          <w:iCs/>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是，《节能产品政府采购品目清单》的底级品目名称：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5ABABE52">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575B9FC2">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249C6ADF">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00BF9589">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是，《环境标志产品政府采购品目清单》的底级品目名称：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7D86DCF5">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5388A98">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2F750F83">
      <w:pPr>
        <w:pStyle w:val="481"/>
        <w:numPr>
          <w:ilvl w:val="255"/>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6512256E">
      <w:pPr>
        <w:pStyle w:val="481"/>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2192F5F3">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44C30653">
      <w:pPr>
        <w:pStyle w:val="481"/>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29C33177">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2D9FBBB1">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宋体" w:hAnsi="宋体"/>
          <w:szCs w:val="21"/>
        </w:rPr>
        <w:sym w:font="Wingdings" w:char="00A8"/>
      </w:r>
      <w:r>
        <w:rPr>
          <w:rFonts w:hint="eastAsia" w:ascii="宋体" w:hAnsi="宋体"/>
          <w:szCs w:val="21"/>
        </w:rPr>
        <w:t>不涉及</w:t>
      </w:r>
    </w:p>
    <w:p w14:paraId="14890C55">
      <w:pPr>
        <w:numPr>
          <w:ilvl w:val="0"/>
          <w:numId w:val="10"/>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5BA3FE73">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32E0A3B3">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7C61B351">
      <w:pPr>
        <w:adjustRightInd w:val="0"/>
        <w:snapToGrid w:val="0"/>
        <w:spacing w:line="400" w:lineRule="exact"/>
        <w:rPr>
          <w:rFonts w:ascii="宋体" w:hAnsi="宋体"/>
          <w:szCs w:val="21"/>
        </w:rPr>
      </w:pPr>
      <w:r>
        <w:rPr>
          <w:rFonts w:hint="eastAsia" w:ascii="宋体" w:hAnsi="宋体"/>
          <w:szCs w:val="21"/>
        </w:rPr>
        <w:t xml:space="preserve">         分包金额（如有）小写：</w:t>
      </w:r>
      <w:r>
        <w:rPr>
          <w:rFonts w:hint="eastAsia" w:ascii="宋体" w:hAnsi="宋体"/>
          <w:szCs w:val="21"/>
          <w:u w:val="single"/>
        </w:rPr>
        <w:t xml:space="preserve">                   </w:t>
      </w:r>
    </w:p>
    <w:p w14:paraId="302EFEDC">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21FDD807">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29832D7C">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16463991">
      <w:pPr>
        <w:adjustRightInd w:val="0"/>
        <w:snapToGrid w:val="0"/>
        <w:spacing w:line="400" w:lineRule="exact"/>
        <w:ind w:firstLine="420" w:firstLineChars="200"/>
        <w:rPr>
          <w:rFonts w:ascii="宋体" w:hAnsi="宋体"/>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r>
        <w:rPr>
          <w:rFonts w:hint="eastAsia" w:ascii="宋体" w:hAnsi="宋体"/>
          <w:szCs w:val="21"/>
          <w:u w:val="single"/>
        </w:rPr>
        <w:t xml:space="preserve">       </w:t>
      </w:r>
    </w:p>
    <w:p w14:paraId="3F2529C7">
      <w:pPr>
        <w:pStyle w:val="185"/>
        <w:spacing w:line="400" w:lineRule="exact"/>
      </w:pPr>
      <w:r>
        <w:rPr>
          <w:rFonts w:hint="eastAsia" w:ascii="宋体" w:hAnsi="宋体"/>
        </w:rPr>
        <w:t>（3）付款方式（按项目实际勾选填写）：</w:t>
      </w:r>
    </w:p>
    <w:p w14:paraId="268A67DE">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（应明确一次性支付合同款项的条件）                    </w:t>
      </w:r>
    </w:p>
    <w:p w14:paraId="64071F1D">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356F1F2">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293BFC83">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47816D0C">
      <w:pPr>
        <w:numPr>
          <w:ilvl w:val="0"/>
          <w:numId w:val="10"/>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24832EFE">
      <w:pPr>
        <w:adjustRightInd w:val="0"/>
        <w:snapToGrid w:val="0"/>
        <w:spacing w:line="400" w:lineRule="exact"/>
        <w:ind w:firstLine="420" w:firstLineChars="200"/>
        <w:rPr>
          <w:rFonts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2FACFD09">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rPr>
        <w:t>（2）履约地点</w:t>
      </w:r>
      <w:r>
        <w:rPr>
          <w:rFonts w:hint="eastAsia" w:ascii="宋体" w:hAnsi="宋体" w:cs="宋体"/>
          <w:bCs/>
          <w:szCs w:val="21"/>
        </w:rPr>
        <w:t>：</w:t>
      </w:r>
      <w:r>
        <w:rPr>
          <w:rFonts w:hint="eastAsia" w:ascii="宋体" w:hAnsi="宋体" w:cs="宋体"/>
          <w:szCs w:val="21"/>
          <w:u w:val="single"/>
        </w:rPr>
        <w:t xml:space="preserve">                             </w:t>
      </w:r>
    </w:p>
    <w:p w14:paraId="5AB9F75D">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A8"/>
      </w:r>
      <w:r>
        <w:rPr>
          <w:rFonts w:hint="eastAsia" w:ascii="宋体" w:hAnsi="宋体" w:cs="宋体"/>
          <w:szCs w:val="21"/>
        </w:rPr>
        <w:t>否</w:t>
      </w:r>
    </w:p>
    <w:p w14:paraId="5D167985">
      <w:pPr>
        <w:pStyle w:val="481"/>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77437C6C">
      <w:pPr>
        <w:pStyle w:val="481"/>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60FF3246">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r>
        <w:rPr>
          <w:rFonts w:hint="eastAsia" w:ascii="宋体" w:hAnsi="宋体" w:cs="宋体"/>
          <w:bCs/>
          <w:szCs w:val="21"/>
          <w:u w:val="single"/>
        </w:rPr>
        <w:t xml:space="preserve">                                  </w:t>
      </w:r>
    </w:p>
    <w:p w14:paraId="10038D3E">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p>
    <w:p w14:paraId="06A9E826">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68ADD5E7">
      <w:pPr>
        <w:numPr>
          <w:ilvl w:val="0"/>
          <w:numId w:val="10"/>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699FB88C">
      <w:pPr>
        <w:numPr>
          <w:ilvl w:val="0"/>
          <w:numId w:val="12"/>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A8"/>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702C2486">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p>
    <w:p w14:paraId="52A08B92">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46584E46">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00101A91">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1C7500D6">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60F98934">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bCs/>
          <w:szCs w:val="21"/>
          <w:u w:val="single"/>
        </w:rPr>
        <w:t xml:space="preserve">        </w:t>
      </w: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5F43925D">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r>
        <w:rPr>
          <w:rFonts w:hint="eastAsia" w:ascii="宋体" w:hAnsi="宋体" w:cs="宋体"/>
          <w:szCs w:val="21"/>
        </w:rPr>
        <w:sym w:font="Wingdings" w:char="00A8"/>
      </w:r>
      <w:r>
        <w:rPr>
          <w:rFonts w:hint="eastAsia" w:ascii="宋体" w:hAnsi="宋体"/>
          <w:bCs/>
          <w:szCs w:val="21"/>
        </w:rPr>
        <w:t>是，</w:t>
      </w:r>
      <w:r>
        <w:rPr>
          <w:rFonts w:hint="eastAsia" w:ascii="宋体" w:hAnsi="宋体"/>
          <w:bCs/>
          <w:szCs w:val="21"/>
          <w:u w:val="single"/>
        </w:rPr>
        <w:t>（应明确对被破坏的检测产品的处理方式）</w:t>
      </w:r>
    </w:p>
    <w:p w14:paraId="77B38F70">
      <w:pPr>
        <w:adjustRightInd w:val="0"/>
        <w:snapToGrid w:val="0"/>
        <w:spacing w:line="400" w:lineRule="exact"/>
        <w:ind w:firstLine="840" w:firstLineChars="400"/>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7C332EE8">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70F8EE13">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日内组织验收） </w:t>
      </w:r>
    </w:p>
    <w:p w14:paraId="76140035">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6E90C9B5">
      <w:pPr>
        <w:adjustRightInd w:val="0"/>
        <w:snapToGrid w:val="0"/>
        <w:spacing w:line="400" w:lineRule="exact"/>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 xml:space="preserve"> （应明确分期</w:t>
      </w:r>
      <w:r>
        <w:rPr>
          <w:rFonts w:ascii="宋体" w:hAnsi="宋体"/>
          <w:bCs/>
          <w:szCs w:val="21"/>
          <w:u w:val="single"/>
          <w:lang w:val="en"/>
        </w:rPr>
        <w:t>/</w:t>
      </w:r>
      <w:r>
        <w:rPr>
          <w:rFonts w:hint="eastAsia" w:ascii="宋体" w:hAnsi="宋体"/>
          <w:bCs/>
          <w:szCs w:val="21"/>
          <w:u w:val="single"/>
          <w:lang w:val="en"/>
        </w:rPr>
        <w:t>分项验收的工作安排</w:t>
      </w:r>
      <w:r>
        <w:rPr>
          <w:rFonts w:hint="eastAsia" w:ascii="宋体" w:hAnsi="宋体"/>
          <w:bCs/>
          <w:szCs w:val="21"/>
          <w:u w:val="single"/>
        </w:rPr>
        <w:t xml:space="preserve">）  </w:t>
      </w:r>
    </w:p>
    <w:p w14:paraId="3C5F43E2">
      <w:pPr>
        <w:adjustRightInd w:val="0"/>
        <w:snapToGrid w:val="0"/>
        <w:spacing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6D25E1E5">
      <w:pPr>
        <w:adjustRightInd w:val="0"/>
        <w:snapToGrid w:val="0"/>
        <w:spacing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06AEE325">
      <w:pPr>
        <w:adjustRightInd w:val="0"/>
        <w:snapToGrid w:val="0"/>
        <w:spacing w:line="400" w:lineRule="exact"/>
        <w:ind w:firstLine="420" w:firstLineChars="200"/>
        <w:rPr>
          <w:rFonts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785AC50A">
      <w:pPr>
        <w:pStyle w:val="481"/>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0A0B0C31">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6F324F45">
      <w:pPr>
        <w:numPr>
          <w:ilvl w:val="0"/>
          <w:numId w:val="10"/>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673E0ACF">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080803B5">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62D1F6EB">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1FF164D4">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5C96AD84">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60B1612E">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4F2647BA">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24E60B03">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25158646">
      <w:pPr>
        <w:pStyle w:val="481"/>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65DA878F">
      <w:pPr>
        <w:numPr>
          <w:ilvl w:val="0"/>
          <w:numId w:val="10"/>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22BF1A33">
      <w:pPr>
        <w:adjustRightInd w:val="0"/>
        <w:snapToGrid w:val="0"/>
        <w:spacing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57D495A5">
      <w:pPr>
        <w:numPr>
          <w:ilvl w:val="0"/>
          <w:numId w:val="10"/>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4611DB7A">
      <w:pPr>
        <w:adjustRightInd w:val="0"/>
        <w:snapToGrid w:val="0"/>
        <w:spacing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份，均具有同等法律效力。</w:t>
      </w:r>
    </w:p>
    <w:p w14:paraId="7DD68E37">
      <w:pPr>
        <w:adjustRightInd w:val="0"/>
        <w:snapToGrid w:val="0"/>
        <w:spacing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0C58B87">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25D77D88">
      <w:pPr>
        <w:adjustRightInd w:val="0"/>
        <w:snapToGrid w:val="0"/>
        <w:spacing w:line="400" w:lineRule="exact"/>
        <w:ind w:firstLine="420" w:firstLineChars="200"/>
      </w:pPr>
      <w:r>
        <w:rPr>
          <w:rFonts w:hint="eastAsia" w:ascii="宋体" w:hAnsi="宋体"/>
          <w:szCs w:val="21"/>
        </w:rPr>
        <w:t>附件：具体标的及其技术要求和商务要求、联合协议、分包意向协议等。</w:t>
      </w:r>
    </w:p>
    <w:p w14:paraId="4DC144A9"/>
    <w:p w14:paraId="65CD6BDB">
      <w:pPr>
        <w:pStyle w:val="185"/>
      </w:pPr>
    </w:p>
    <w:tbl>
      <w:tblPr>
        <w:tblStyle w:val="45"/>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4"/>
        <w:gridCol w:w="1980"/>
        <w:gridCol w:w="2118"/>
      </w:tblGrid>
      <w:tr w14:paraId="15177B1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C64E83A">
            <w:pPr>
              <w:adjustRightInd w:val="0"/>
              <w:snapToGrid w:val="0"/>
              <w:spacing w:line="300" w:lineRule="exact"/>
              <w:jc w:val="center"/>
            </w:pPr>
            <w:r>
              <w:rPr>
                <w:szCs w:val="21"/>
              </w:rPr>
              <w:t>甲方</w:t>
            </w:r>
            <w:r>
              <w:rPr>
                <w:rFonts w:hint="eastAsia"/>
                <w:szCs w:val="21"/>
              </w:rPr>
              <w:t>（采购人</w:t>
            </w:r>
            <w:r>
              <w:rPr>
                <w:rFonts w:hint="eastAsia" w:ascii="宋体" w:hAnsi="宋体"/>
                <w:szCs w:val="21"/>
              </w:rPr>
              <w:t>、受采购人委托签订合同的单位或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11D80A64">
            <w:pPr>
              <w:adjustRightInd w:val="0"/>
              <w:snapToGrid w:val="0"/>
              <w:spacing w:line="300" w:lineRule="exact"/>
              <w:jc w:val="center"/>
            </w:pPr>
            <w:r>
              <w:rPr>
                <w:szCs w:val="21"/>
              </w:rPr>
              <w:t>乙方</w:t>
            </w:r>
            <w:r>
              <w:rPr>
                <w:rFonts w:hint="eastAsia"/>
                <w:szCs w:val="21"/>
              </w:rPr>
              <w:t>（供应商）</w:t>
            </w:r>
          </w:p>
        </w:tc>
      </w:tr>
      <w:tr w14:paraId="3087A2C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392F8F38">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69108CB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CB6C37C">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vAlign w:val="center"/>
          </w:tcPr>
          <w:p w14:paraId="74561E8B">
            <w:pPr>
              <w:adjustRightInd w:val="0"/>
              <w:snapToGrid w:val="0"/>
              <w:spacing w:line="300" w:lineRule="exact"/>
              <w:jc w:val="center"/>
              <w:rPr>
                <w:spacing w:val="20"/>
                <w:szCs w:val="21"/>
              </w:rPr>
            </w:pPr>
          </w:p>
        </w:tc>
      </w:tr>
      <w:tr w14:paraId="7158FA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5541746C">
            <w:pPr>
              <w:adjustRightInd w:val="0"/>
              <w:snapToGrid w:val="0"/>
              <w:spacing w:line="300" w:lineRule="exact"/>
              <w:jc w:val="center"/>
              <w:rPr>
                <w:szCs w:val="21"/>
              </w:rPr>
            </w:pPr>
            <w:r>
              <w:rPr>
                <w:szCs w:val="21"/>
              </w:rPr>
              <w:t>法定代表人</w:t>
            </w:r>
          </w:p>
          <w:p w14:paraId="2EB486F9">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1D3C0736">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719267A1">
            <w:pPr>
              <w:adjustRightInd w:val="0"/>
              <w:snapToGrid w:val="0"/>
              <w:spacing w:line="300" w:lineRule="exact"/>
              <w:jc w:val="center"/>
              <w:rPr>
                <w:szCs w:val="21"/>
              </w:rPr>
            </w:pPr>
            <w:r>
              <w:rPr>
                <w:szCs w:val="21"/>
              </w:rPr>
              <w:t>法定代表人</w:t>
            </w:r>
          </w:p>
          <w:p w14:paraId="1158DA31">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3472D7AB">
            <w:pPr>
              <w:adjustRightInd w:val="0"/>
              <w:snapToGrid w:val="0"/>
              <w:spacing w:line="300" w:lineRule="exact"/>
              <w:jc w:val="center"/>
              <w:rPr>
                <w:szCs w:val="21"/>
              </w:rPr>
            </w:pPr>
          </w:p>
        </w:tc>
      </w:tr>
      <w:tr w14:paraId="6D30F4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24E07A11">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6825833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FAC9FDE">
            <w:pPr>
              <w:adjustRightInd w:val="0"/>
              <w:snapToGrid w:val="0"/>
              <w:spacing w:line="300" w:lineRule="exact"/>
              <w:jc w:val="center"/>
              <w:rPr>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vAlign w:val="center"/>
          </w:tcPr>
          <w:p w14:paraId="26D98E80">
            <w:pPr>
              <w:adjustRightInd w:val="0"/>
              <w:snapToGrid w:val="0"/>
              <w:spacing w:line="300" w:lineRule="exact"/>
              <w:jc w:val="center"/>
              <w:rPr>
                <w:spacing w:val="20"/>
                <w:szCs w:val="21"/>
              </w:rPr>
            </w:pPr>
          </w:p>
        </w:tc>
      </w:tr>
      <w:tr w14:paraId="76C64B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38108BA">
            <w:pPr>
              <w:adjustRightInd w:val="0"/>
              <w:snapToGrid w:val="0"/>
              <w:spacing w:line="300" w:lineRule="exact"/>
              <w:jc w:val="center"/>
              <w:rPr>
                <w:szCs w:val="21"/>
              </w:rPr>
            </w:pPr>
            <w:r>
              <w:rPr>
                <w:rFonts w:hint="eastAsia"/>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008CCE8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0B8726D">
            <w:pPr>
              <w:adjustRightInd w:val="0"/>
              <w:snapToGrid w:val="0"/>
              <w:spacing w:line="300" w:lineRule="exact"/>
              <w:jc w:val="center"/>
              <w:rPr>
                <w:szCs w:val="21"/>
              </w:rPr>
            </w:pPr>
            <w:r>
              <w:rPr>
                <w:rFonts w:hint="eastAsia"/>
                <w:szCs w:val="21"/>
              </w:rPr>
              <w:t>住  所</w:t>
            </w:r>
          </w:p>
        </w:tc>
        <w:tc>
          <w:tcPr>
            <w:tcW w:w="1259" w:type="pct"/>
            <w:tcBorders>
              <w:top w:val="single" w:color="auto" w:sz="2" w:space="0"/>
              <w:left w:val="single" w:color="auto" w:sz="2" w:space="0"/>
              <w:bottom w:val="single" w:color="auto" w:sz="2" w:space="0"/>
            </w:tcBorders>
            <w:vAlign w:val="center"/>
          </w:tcPr>
          <w:p w14:paraId="03920D9F">
            <w:pPr>
              <w:adjustRightInd w:val="0"/>
              <w:snapToGrid w:val="0"/>
              <w:spacing w:line="300" w:lineRule="exact"/>
              <w:jc w:val="center"/>
              <w:rPr>
                <w:spacing w:val="20"/>
                <w:szCs w:val="21"/>
              </w:rPr>
            </w:pPr>
          </w:p>
        </w:tc>
      </w:tr>
      <w:tr w14:paraId="7F3238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3454D8">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593B1D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06C78D">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66E4F5A7">
            <w:pPr>
              <w:adjustRightInd w:val="0"/>
              <w:snapToGrid w:val="0"/>
              <w:spacing w:line="300" w:lineRule="exact"/>
              <w:jc w:val="center"/>
              <w:rPr>
                <w:spacing w:val="20"/>
                <w:szCs w:val="21"/>
              </w:rPr>
            </w:pPr>
          </w:p>
        </w:tc>
      </w:tr>
      <w:tr w14:paraId="03747B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D8E280F">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666E631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8DCDE0">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31B70DFA">
            <w:pPr>
              <w:adjustRightInd w:val="0"/>
              <w:snapToGrid w:val="0"/>
              <w:spacing w:line="300" w:lineRule="exact"/>
              <w:jc w:val="center"/>
              <w:rPr>
                <w:spacing w:val="20"/>
                <w:szCs w:val="21"/>
              </w:rPr>
            </w:pPr>
          </w:p>
        </w:tc>
      </w:tr>
      <w:tr w14:paraId="21414A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3FB6E91">
            <w:pPr>
              <w:adjustRightInd w:val="0"/>
              <w:snapToGrid w:val="0"/>
              <w:spacing w:line="300" w:lineRule="exact"/>
              <w:jc w:val="center"/>
              <w:rPr>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C72D79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53A4AA9">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vAlign w:val="center"/>
          </w:tcPr>
          <w:p w14:paraId="078AC59E">
            <w:pPr>
              <w:adjustRightInd w:val="0"/>
              <w:snapToGrid w:val="0"/>
              <w:spacing w:line="300" w:lineRule="exact"/>
              <w:jc w:val="center"/>
              <w:rPr>
                <w:spacing w:val="20"/>
                <w:szCs w:val="21"/>
              </w:rPr>
            </w:pPr>
          </w:p>
        </w:tc>
      </w:tr>
      <w:tr w14:paraId="3CDCEF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9927A6">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D16231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368D023">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109D71ED">
            <w:pPr>
              <w:adjustRightInd w:val="0"/>
              <w:snapToGrid w:val="0"/>
              <w:spacing w:line="300" w:lineRule="exact"/>
              <w:jc w:val="center"/>
              <w:rPr>
                <w:spacing w:val="20"/>
                <w:szCs w:val="21"/>
              </w:rPr>
            </w:pPr>
          </w:p>
        </w:tc>
      </w:tr>
      <w:tr w14:paraId="10B4AB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780DFCB">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134F05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3584389">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4AE4E575">
            <w:pPr>
              <w:adjustRightInd w:val="0"/>
              <w:snapToGrid w:val="0"/>
              <w:spacing w:line="300" w:lineRule="exact"/>
              <w:jc w:val="center"/>
              <w:rPr>
                <w:spacing w:val="20"/>
                <w:szCs w:val="21"/>
              </w:rPr>
            </w:pPr>
          </w:p>
        </w:tc>
      </w:tr>
      <w:tr w14:paraId="026AA6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0807F0">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D358C6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0CCB800">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6FD967AD">
            <w:pPr>
              <w:adjustRightInd w:val="0"/>
              <w:snapToGrid w:val="0"/>
              <w:spacing w:line="300" w:lineRule="exact"/>
              <w:jc w:val="center"/>
              <w:rPr>
                <w:spacing w:val="20"/>
                <w:szCs w:val="21"/>
              </w:rPr>
            </w:pPr>
          </w:p>
        </w:tc>
      </w:tr>
      <w:tr w14:paraId="4197062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B2F1BE">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AEE180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2270AFE">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00022B82">
            <w:pPr>
              <w:adjustRightInd w:val="0"/>
              <w:snapToGrid w:val="0"/>
              <w:spacing w:line="300" w:lineRule="exact"/>
              <w:jc w:val="center"/>
              <w:rPr>
                <w:spacing w:val="20"/>
                <w:szCs w:val="21"/>
              </w:rPr>
            </w:pPr>
          </w:p>
        </w:tc>
      </w:tr>
      <w:tr w14:paraId="0DE775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D7F16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0B16AC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5085E07">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186EFF2B">
            <w:pPr>
              <w:adjustRightInd w:val="0"/>
              <w:snapToGrid w:val="0"/>
              <w:spacing w:line="300" w:lineRule="exact"/>
              <w:jc w:val="center"/>
              <w:rPr>
                <w:spacing w:val="20"/>
                <w:szCs w:val="21"/>
              </w:rPr>
            </w:pPr>
          </w:p>
        </w:tc>
      </w:tr>
      <w:tr w14:paraId="7116F5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8F0A4D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8F9382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8BC948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6F58C30">
            <w:pPr>
              <w:adjustRightInd w:val="0"/>
              <w:snapToGrid w:val="0"/>
              <w:spacing w:line="300" w:lineRule="exact"/>
              <w:jc w:val="center"/>
              <w:rPr>
                <w:spacing w:val="20"/>
                <w:szCs w:val="21"/>
              </w:rPr>
            </w:pPr>
          </w:p>
        </w:tc>
      </w:tr>
      <w:tr w14:paraId="2BB6D9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4A6C522">
            <w:pPr>
              <w:pStyle w:val="20"/>
              <w:adjustRightInd w:val="0"/>
              <w:snapToGrid w:val="0"/>
              <w:spacing w:before="120" w:beforeLines="50"/>
              <w:jc w:val="left"/>
              <w:rPr>
                <w:spacing w:val="20"/>
                <w:szCs w:val="21"/>
              </w:rPr>
            </w:pPr>
            <w:r>
              <w:rPr>
                <w:rFonts w:hint="eastAsia" w:ascii="宋体" w:hAnsi="宋体"/>
                <w:szCs w:val="21"/>
              </w:rPr>
              <w:t>注：涉及联合体或其他合同主体的信息应按上表格式加列。</w:t>
            </w:r>
          </w:p>
        </w:tc>
      </w:tr>
    </w:tbl>
    <w:p w14:paraId="5283B747">
      <w:pPr>
        <w:pStyle w:val="7"/>
        <w:snapToGrid w:val="0"/>
        <w:spacing w:before="120" w:beforeLines="50"/>
        <w:rPr>
          <w:rFonts w:ascii="黑体" w:hAnsi="黑体" w:eastAsia="黑体"/>
          <w:sz w:val="28"/>
          <w:szCs w:val="28"/>
        </w:rPr>
      </w:pPr>
      <w:r>
        <w:rPr>
          <w:sz w:val="21"/>
          <w:szCs w:val="21"/>
          <w:u w:val="single"/>
        </w:rPr>
        <w:br w:type="page"/>
      </w:r>
      <w:bookmarkStart w:id="78" w:name="_Toc27624"/>
      <w:r>
        <w:rPr>
          <w:rFonts w:hint="eastAsia" w:ascii="黑体" w:hAnsi="黑体" w:eastAsia="黑体"/>
          <w:sz w:val="28"/>
          <w:szCs w:val="28"/>
        </w:rPr>
        <w:t>第二节 政府采购合同通用条款</w:t>
      </w:r>
      <w:bookmarkEnd w:id="78"/>
    </w:p>
    <w:p w14:paraId="6D152EAB">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240E8AE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5B17AFA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24E817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2C29042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52E7AA46">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7DF5B0C1">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1CCD4B46">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4E4D6D5B">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1ADAABA5">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06E0296B">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155D49B1">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4F6B1369">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618E9D1B">
      <w:pPr>
        <w:numPr>
          <w:ilvl w:val="0"/>
          <w:numId w:val="13"/>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344958D4">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2E7B9ABF">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0A2EE33D">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4E4597C5">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49115AA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003A6CBB">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6B962C9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176A64C9">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79B763B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3F4DEF7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0DCCC83C">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74AB6E2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304A218D">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1C726E16">
      <w:pPr>
        <w:pStyle w:val="2"/>
        <w:spacing w:line="400" w:lineRule="exact"/>
        <w:ind w:firstLine="424"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3B324CBA">
      <w:pPr>
        <w:pStyle w:val="2"/>
        <w:spacing w:line="400" w:lineRule="exact"/>
        <w:ind w:firstLine="424"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szCs w:val="21"/>
        </w:rPr>
        <w:t>【政府采购合同专用条款】</w:t>
      </w:r>
      <w:r>
        <w:rPr>
          <w:rFonts w:hint="eastAsia" w:ascii="宋体" w:hAnsi="宋体" w:cs="宋体"/>
          <w:b w:val="0"/>
          <w:bCs w:val="0"/>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28C2B3C8">
      <w:pPr>
        <w:numPr>
          <w:ilvl w:val="0"/>
          <w:numId w:val="1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4ED153A6">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5C8823D9">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2E9F0CC9">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605958B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3DB8CCD8">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0186C80D">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0F4E54F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839264E">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123F146C">
      <w:pPr>
        <w:pStyle w:val="481"/>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21108A34">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4741C6D2">
      <w:pPr>
        <w:pStyle w:val="23"/>
        <w:adjustRightInd w:val="0"/>
        <w:snapToGrid w:val="0"/>
        <w:spacing w:line="400" w:lineRule="exact"/>
        <w:ind w:firstLine="420" w:firstLineChars="200"/>
        <w:jc w:val="left"/>
        <w:rPr>
          <w:rFonts w:hAnsi="宋体"/>
          <w:b/>
        </w:rPr>
      </w:pPr>
      <w:r>
        <w:rPr>
          <w:rFonts w:hint="eastAsia" w:hAnsi="宋体"/>
        </w:rPr>
        <w:t>8.1 质量标准</w:t>
      </w:r>
    </w:p>
    <w:p w14:paraId="17357C5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8FD1746">
      <w:pPr>
        <w:pStyle w:val="23"/>
        <w:adjustRightInd w:val="0"/>
        <w:snapToGrid w:val="0"/>
        <w:spacing w:line="400" w:lineRule="exact"/>
        <w:ind w:firstLine="420" w:firstLineChars="200"/>
        <w:jc w:val="left"/>
        <w:rPr>
          <w:rFonts w:hAnsi="宋体"/>
        </w:rPr>
      </w:pPr>
      <w:r>
        <w:rPr>
          <w:rFonts w:hint="eastAsia" w:hAnsi="宋体"/>
        </w:rPr>
        <w:t>（2）采用中华人民共和国法定计量单位。</w:t>
      </w:r>
    </w:p>
    <w:p w14:paraId="685F5B4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2B718DB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53AF0EC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08D66B6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2B5BF9E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667D619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622D05B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18DC1539">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E32797B">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750EBE3B">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36371D2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519A543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3F788D4A">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7C189A9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79"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79"/>
      <w:r>
        <w:rPr>
          <w:rFonts w:hint="eastAsia" w:ascii="宋体" w:hAnsi="宋体"/>
          <w:szCs w:val="21"/>
        </w:rPr>
        <w:t>。</w:t>
      </w:r>
    </w:p>
    <w:p w14:paraId="2FBE3C02">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42414793">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06789158">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3A6396DB">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7072C4A2">
      <w:pPr>
        <w:pStyle w:val="7"/>
        <w:spacing w:line="400" w:lineRule="exact"/>
        <w:ind w:firstLine="422" w:firstLineChars="200"/>
      </w:pPr>
      <w:r>
        <w:rPr>
          <w:rFonts w:hint="eastAsia"/>
          <w:sz w:val="21"/>
          <w:szCs w:val="21"/>
        </w:rPr>
        <w:t xml:space="preserve">12.2 </w:t>
      </w:r>
      <w:r>
        <w:rPr>
          <w:rFonts w:hint="eastAsia"/>
          <w:kern w:val="2"/>
          <w:sz w:val="21"/>
          <w:szCs w:val="21"/>
        </w:rPr>
        <w:t>对于满足合同约定支付条件的，甲方</w:t>
      </w:r>
      <w:r>
        <w:rPr>
          <w:rFonts w:hint="eastAsia"/>
          <w:sz w:val="21"/>
          <w:szCs w:val="21"/>
        </w:rPr>
        <w:t>原则上应当自收到发票后10个工作日内</w:t>
      </w:r>
      <w:r>
        <w:rPr>
          <w:rFonts w:hint="eastAsia"/>
          <w:kern w:val="2"/>
          <w:sz w:val="21"/>
          <w:szCs w:val="21"/>
        </w:rPr>
        <w:t>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2E350B72">
      <w:pPr>
        <w:pStyle w:val="2"/>
        <w:spacing w:line="400" w:lineRule="exact"/>
        <w:rPr>
          <w:rFonts w:ascii="宋体" w:hAnsi="宋体"/>
        </w:rPr>
      </w:pPr>
      <w:r>
        <w:rPr>
          <w:rFonts w:hint="eastAsia" w:ascii="宋体" w:hAnsi="宋体"/>
        </w:rPr>
        <w:t>13. 履约保证金</w:t>
      </w:r>
    </w:p>
    <w:p w14:paraId="6AC881A4">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2FA7B93C">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3C3EF7BE">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350CC92A">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6BEFB0F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5878016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285B6FB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6B54E88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211E959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6DBE1BA8">
      <w:pPr>
        <w:pStyle w:val="481"/>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68D27A4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4093FB0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2FF04792">
      <w:pPr>
        <w:adjustRightInd w:val="0"/>
        <w:snapToGrid w:val="0"/>
        <w:spacing w:line="400" w:lineRule="exact"/>
        <w:jc w:val="left"/>
        <w:rPr>
          <w:rFonts w:ascii="宋体" w:hAnsi="宋体"/>
          <w:b/>
          <w:bCs/>
          <w:sz w:val="24"/>
        </w:rPr>
      </w:pPr>
      <w:r>
        <w:rPr>
          <w:rFonts w:hint="eastAsia" w:ascii="宋体" w:hAnsi="宋体"/>
          <w:b/>
          <w:bCs/>
          <w:sz w:val="24"/>
        </w:rPr>
        <w:t>15. 违约责任</w:t>
      </w:r>
    </w:p>
    <w:p w14:paraId="1D008D28">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64C7AB3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5CAB4BA5">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5FBE608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2B26BB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7B05DFE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1F0461F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491E3B07">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35394B87">
      <w:pPr>
        <w:numPr>
          <w:ilvl w:val="0"/>
          <w:numId w:val="15"/>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31C68710">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1391A63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31DD0C13">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3727CCF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0118842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CA49B7A">
      <w:pPr>
        <w:pStyle w:val="481"/>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120941DE">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0AFEE9DE">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33C2DD7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5ADCD1EE">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4DDC0362">
      <w:pPr>
        <w:pStyle w:val="481"/>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2731464B">
      <w:pPr>
        <w:pStyle w:val="481"/>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359C9F96">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569C9F0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48CEB65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4AB94BB4">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567A3FA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5026C65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7481586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C9495B5">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1574E6E7">
      <w:pPr>
        <w:pStyle w:val="481"/>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141E0EE6">
      <w:pPr>
        <w:pStyle w:val="481"/>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6F29227">
      <w:pPr>
        <w:pStyle w:val="481"/>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74191608">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43A46E7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2A7A6336">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561FF1B9">
      <w:pPr>
        <w:pStyle w:val="2"/>
        <w:spacing w:line="400" w:lineRule="exact"/>
        <w:ind w:firstLine="482"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64A50D3">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4816F6CE">
      <w:pPr>
        <w:pStyle w:val="481"/>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690C4244">
      <w:pPr>
        <w:pStyle w:val="481"/>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2347A275">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753286A2">
      <w:pPr>
        <w:pStyle w:val="481"/>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165CC91D">
      <w:pPr>
        <w:pStyle w:val="481"/>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7FA1CFEE">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1FAE1D29">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4E21879B">
      <w:pPr>
        <w:numPr>
          <w:ilvl w:val="0"/>
          <w:numId w:val="16"/>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5D436CB2">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30151A46">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80" w:name="_Toc20313"/>
    </w:p>
    <w:p w14:paraId="3A43AE22">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3D3795BD">
      <w:pPr>
        <w:pStyle w:val="7"/>
        <w:snapToGrid w:val="0"/>
        <w:rPr>
          <w:rFonts w:ascii="黑体" w:hAnsi="华文中宋" w:eastAsia="黑体"/>
          <w:sz w:val="28"/>
          <w:szCs w:val="28"/>
        </w:rPr>
      </w:pPr>
      <w:r>
        <w:rPr>
          <w:rFonts w:hint="eastAsia" w:ascii="黑体" w:hAnsi="华文中宋" w:eastAsia="黑体"/>
          <w:sz w:val="28"/>
          <w:szCs w:val="28"/>
        </w:rPr>
        <w:t>第三节 政府采购合同专用条款</w:t>
      </w:r>
      <w:bookmarkEnd w:id="80"/>
    </w:p>
    <w:tbl>
      <w:tblPr>
        <w:tblStyle w:val="45"/>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E39CC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84B31F">
            <w:pPr>
              <w:adjustRightInd w:val="0"/>
              <w:snapToGrid w:val="0"/>
              <w:jc w:val="center"/>
              <w:rPr>
                <w:rFonts w:ascii="宋体" w:hAnsi="宋体"/>
                <w:szCs w:val="21"/>
              </w:rPr>
            </w:pPr>
            <w:r>
              <w:rPr>
                <w:rFonts w:hint="eastAsia" w:ascii="宋体" w:hAnsi="宋体"/>
                <w:szCs w:val="21"/>
              </w:rPr>
              <w:t>第二节</w:t>
            </w:r>
          </w:p>
          <w:p w14:paraId="6276ADFC">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1B604C64">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4FB68A22">
            <w:pPr>
              <w:adjustRightInd w:val="0"/>
              <w:snapToGrid w:val="0"/>
              <w:jc w:val="left"/>
              <w:rPr>
                <w:rFonts w:ascii="宋体" w:hAnsi="宋体"/>
                <w:szCs w:val="21"/>
              </w:rPr>
            </w:pPr>
          </w:p>
        </w:tc>
      </w:tr>
      <w:tr w14:paraId="0FAE32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418501E">
            <w:pPr>
              <w:adjustRightInd w:val="0"/>
              <w:snapToGrid w:val="0"/>
              <w:jc w:val="center"/>
              <w:rPr>
                <w:rFonts w:ascii="宋体" w:hAnsi="宋体"/>
                <w:szCs w:val="21"/>
              </w:rPr>
            </w:pPr>
            <w:r>
              <w:rPr>
                <w:rFonts w:hint="eastAsia" w:ascii="宋体" w:hAnsi="宋体"/>
                <w:szCs w:val="21"/>
              </w:rPr>
              <w:t>第二节</w:t>
            </w:r>
          </w:p>
          <w:p w14:paraId="016F3731">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4262DFEE">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1F5E2B82">
            <w:pPr>
              <w:adjustRightInd w:val="0"/>
              <w:snapToGrid w:val="0"/>
              <w:jc w:val="left"/>
              <w:rPr>
                <w:rFonts w:ascii="宋体" w:hAnsi="宋体"/>
                <w:szCs w:val="21"/>
              </w:rPr>
            </w:pPr>
          </w:p>
        </w:tc>
      </w:tr>
      <w:tr w14:paraId="6D3B1A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E3F185">
            <w:pPr>
              <w:adjustRightInd w:val="0"/>
              <w:snapToGrid w:val="0"/>
              <w:jc w:val="center"/>
              <w:rPr>
                <w:rFonts w:ascii="宋体" w:hAnsi="宋体"/>
                <w:szCs w:val="21"/>
              </w:rPr>
            </w:pPr>
            <w:r>
              <w:rPr>
                <w:rFonts w:hint="eastAsia" w:ascii="宋体" w:hAnsi="宋体"/>
                <w:szCs w:val="21"/>
              </w:rPr>
              <w:t>第二节</w:t>
            </w:r>
          </w:p>
          <w:p w14:paraId="282494E0">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31FE7482">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3529AC33">
            <w:pPr>
              <w:adjustRightInd w:val="0"/>
              <w:snapToGrid w:val="0"/>
              <w:jc w:val="left"/>
              <w:rPr>
                <w:rFonts w:ascii="宋体" w:hAnsi="宋体"/>
                <w:szCs w:val="21"/>
              </w:rPr>
            </w:pPr>
          </w:p>
        </w:tc>
      </w:tr>
      <w:tr w14:paraId="1A1B9F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EB71A1D">
            <w:pPr>
              <w:adjustRightInd w:val="0"/>
              <w:snapToGrid w:val="0"/>
              <w:jc w:val="center"/>
              <w:rPr>
                <w:rFonts w:ascii="宋体" w:hAnsi="宋体"/>
                <w:szCs w:val="21"/>
              </w:rPr>
            </w:pPr>
            <w:r>
              <w:rPr>
                <w:rFonts w:hint="eastAsia" w:ascii="宋体" w:hAnsi="宋体"/>
                <w:szCs w:val="21"/>
              </w:rPr>
              <w:t>第二节</w:t>
            </w:r>
          </w:p>
          <w:p w14:paraId="3328A847">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62F5B739">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1BF9462A">
            <w:pPr>
              <w:adjustRightInd w:val="0"/>
              <w:snapToGrid w:val="0"/>
              <w:jc w:val="left"/>
              <w:rPr>
                <w:rFonts w:ascii="宋体" w:hAnsi="宋体"/>
                <w:szCs w:val="21"/>
              </w:rPr>
            </w:pPr>
          </w:p>
        </w:tc>
      </w:tr>
      <w:tr w14:paraId="4A435A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91B1ED">
            <w:pPr>
              <w:adjustRightInd w:val="0"/>
              <w:snapToGrid w:val="0"/>
              <w:jc w:val="center"/>
              <w:rPr>
                <w:rFonts w:ascii="宋体" w:hAnsi="宋体"/>
                <w:szCs w:val="21"/>
              </w:rPr>
            </w:pPr>
            <w:r>
              <w:rPr>
                <w:rFonts w:hint="eastAsia" w:ascii="宋体" w:hAnsi="宋体"/>
                <w:szCs w:val="21"/>
              </w:rPr>
              <w:t>第二节</w:t>
            </w:r>
          </w:p>
          <w:p w14:paraId="1AB6D2FB">
            <w:pPr>
              <w:snapToGrid w:val="0"/>
              <w:jc w:val="center"/>
            </w:pPr>
            <w:r>
              <w:rPr>
                <w:rFonts w:hint="eastAsia" w:ascii="宋体" w:hAnsi="宋体"/>
                <w:szCs w:val="21"/>
              </w:rPr>
              <w:t>第5.4款</w:t>
            </w:r>
          </w:p>
        </w:tc>
        <w:tc>
          <w:tcPr>
            <w:tcW w:w="1742" w:type="dxa"/>
            <w:vAlign w:val="center"/>
          </w:tcPr>
          <w:p w14:paraId="33FC7B21">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7DE8EE41">
            <w:pPr>
              <w:adjustRightInd w:val="0"/>
              <w:snapToGrid w:val="0"/>
              <w:jc w:val="left"/>
              <w:rPr>
                <w:rFonts w:ascii="宋体" w:hAnsi="宋体"/>
                <w:szCs w:val="21"/>
              </w:rPr>
            </w:pPr>
          </w:p>
        </w:tc>
      </w:tr>
      <w:tr w14:paraId="739F55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8D0F44">
            <w:pPr>
              <w:adjustRightInd w:val="0"/>
              <w:snapToGrid w:val="0"/>
              <w:jc w:val="center"/>
              <w:rPr>
                <w:rFonts w:ascii="宋体" w:hAnsi="宋体"/>
                <w:szCs w:val="21"/>
              </w:rPr>
            </w:pPr>
            <w:r>
              <w:rPr>
                <w:rFonts w:hint="eastAsia" w:ascii="宋体" w:hAnsi="宋体"/>
                <w:szCs w:val="21"/>
              </w:rPr>
              <w:t>第二节</w:t>
            </w:r>
          </w:p>
          <w:p w14:paraId="5E190F28">
            <w:pPr>
              <w:snapToGrid w:val="0"/>
              <w:jc w:val="center"/>
              <w:rPr>
                <w:rFonts w:ascii="宋体" w:hAnsi="宋体"/>
                <w:szCs w:val="21"/>
              </w:rPr>
            </w:pPr>
            <w:r>
              <w:rPr>
                <w:rFonts w:hint="eastAsia" w:ascii="宋体" w:hAnsi="宋体"/>
                <w:szCs w:val="21"/>
              </w:rPr>
              <w:t>第6.1款</w:t>
            </w:r>
          </w:p>
        </w:tc>
        <w:tc>
          <w:tcPr>
            <w:tcW w:w="1742" w:type="dxa"/>
            <w:vAlign w:val="center"/>
          </w:tcPr>
          <w:p w14:paraId="158E7287">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6E117956">
            <w:pPr>
              <w:adjustRightInd w:val="0"/>
              <w:snapToGrid w:val="0"/>
              <w:jc w:val="left"/>
              <w:rPr>
                <w:rFonts w:ascii="宋体" w:hAnsi="宋体"/>
                <w:szCs w:val="21"/>
              </w:rPr>
            </w:pPr>
          </w:p>
        </w:tc>
      </w:tr>
      <w:tr w14:paraId="2D6ECE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26303BEC">
            <w:pPr>
              <w:adjustRightInd w:val="0"/>
              <w:snapToGrid w:val="0"/>
              <w:jc w:val="center"/>
              <w:rPr>
                <w:rFonts w:ascii="宋体" w:hAnsi="宋体"/>
                <w:szCs w:val="21"/>
              </w:rPr>
            </w:pPr>
            <w:r>
              <w:rPr>
                <w:rFonts w:hint="eastAsia" w:ascii="宋体" w:hAnsi="宋体"/>
                <w:szCs w:val="21"/>
              </w:rPr>
              <w:t>第二节</w:t>
            </w:r>
          </w:p>
          <w:p w14:paraId="5D5084B1">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42BDFDAA">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53FDF60F"/>
        </w:tc>
      </w:tr>
      <w:tr w14:paraId="1AF0E2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8A22F90">
            <w:pPr>
              <w:adjustRightInd w:val="0"/>
              <w:snapToGrid w:val="0"/>
              <w:jc w:val="center"/>
              <w:rPr>
                <w:rFonts w:ascii="宋体" w:hAnsi="宋体"/>
                <w:szCs w:val="21"/>
              </w:rPr>
            </w:pPr>
          </w:p>
        </w:tc>
        <w:tc>
          <w:tcPr>
            <w:tcW w:w="1742" w:type="dxa"/>
            <w:vAlign w:val="center"/>
          </w:tcPr>
          <w:p w14:paraId="7FB63905">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12770B68"/>
        </w:tc>
      </w:tr>
      <w:tr w14:paraId="58F07E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3C8E0BA1">
            <w:pPr>
              <w:adjustRightInd w:val="0"/>
              <w:snapToGrid w:val="0"/>
              <w:jc w:val="center"/>
              <w:rPr>
                <w:rFonts w:ascii="宋体" w:hAnsi="宋体"/>
                <w:szCs w:val="21"/>
              </w:rPr>
            </w:pPr>
            <w:r>
              <w:rPr>
                <w:rFonts w:hint="eastAsia" w:ascii="宋体" w:hAnsi="宋体"/>
                <w:szCs w:val="21"/>
              </w:rPr>
              <w:t>第二节</w:t>
            </w:r>
          </w:p>
          <w:p w14:paraId="630BCB37">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79B81B0C">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12DCA6BD"/>
        </w:tc>
      </w:tr>
      <w:tr w14:paraId="3926CD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CE28BE4">
            <w:pPr>
              <w:adjustRightInd w:val="0"/>
              <w:snapToGrid w:val="0"/>
              <w:jc w:val="center"/>
              <w:rPr>
                <w:rFonts w:ascii="宋体" w:hAnsi="宋体"/>
                <w:szCs w:val="21"/>
              </w:rPr>
            </w:pPr>
            <w:r>
              <w:rPr>
                <w:rFonts w:hint="eastAsia" w:ascii="宋体" w:hAnsi="宋体"/>
                <w:szCs w:val="21"/>
              </w:rPr>
              <w:t>第二节</w:t>
            </w:r>
          </w:p>
          <w:p w14:paraId="36C7AED8">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78222498">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147D9F93"/>
        </w:tc>
      </w:tr>
      <w:tr w14:paraId="59D4E1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199E944">
            <w:pPr>
              <w:adjustRightInd w:val="0"/>
              <w:snapToGrid w:val="0"/>
              <w:jc w:val="center"/>
              <w:rPr>
                <w:rFonts w:ascii="宋体" w:hAnsi="宋体"/>
                <w:szCs w:val="21"/>
              </w:rPr>
            </w:pPr>
            <w:r>
              <w:rPr>
                <w:rFonts w:hint="eastAsia" w:ascii="宋体" w:hAnsi="宋体"/>
                <w:szCs w:val="21"/>
              </w:rPr>
              <w:t>第二节</w:t>
            </w:r>
          </w:p>
          <w:p w14:paraId="7922DA1C">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3B991A2E">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41EDBE00">
            <w:pPr>
              <w:autoSpaceDE w:val="0"/>
              <w:autoSpaceDN w:val="0"/>
              <w:adjustRightInd w:val="0"/>
              <w:snapToGrid w:val="0"/>
              <w:ind w:firstLine="420" w:firstLineChars="200"/>
              <w:jc w:val="left"/>
              <w:rPr>
                <w:rFonts w:ascii="宋体" w:hAnsi="宋体"/>
                <w:szCs w:val="21"/>
              </w:rPr>
            </w:pPr>
          </w:p>
        </w:tc>
      </w:tr>
      <w:tr w14:paraId="67800A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D9F7E80">
            <w:pPr>
              <w:adjustRightInd w:val="0"/>
              <w:snapToGrid w:val="0"/>
              <w:jc w:val="center"/>
              <w:rPr>
                <w:rFonts w:ascii="宋体" w:hAnsi="宋体"/>
                <w:szCs w:val="21"/>
              </w:rPr>
            </w:pPr>
            <w:r>
              <w:rPr>
                <w:rFonts w:hint="eastAsia" w:ascii="宋体" w:hAnsi="宋体"/>
                <w:szCs w:val="21"/>
              </w:rPr>
              <w:t>第二节</w:t>
            </w:r>
          </w:p>
          <w:p w14:paraId="010C8565">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35F6FF6B">
            <w:pPr>
              <w:adjustRightInd w:val="0"/>
              <w:snapToGrid w:val="0"/>
              <w:jc w:val="left"/>
              <w:rPr>
                <w:rFonts w:ascii="宋体" w:hAnsi="宋体"/>
                <w:szCs w:val="21"/>
              </w:rPr>
            </w:pPr>
            <w:r>
              <w:rPr>
                <w:rFonts w:hint="eastAsia" w:ascii="宋体" w:hAnsi="宋体"/>
                <w:szCs w:val="21"/>
              </w:rPr>
              <w:t>货物质量缺陷</w:t>
            </w:r>
          </w:p>
          <w:p w14:paraId="31037114">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70A0C506">
            <w:pPr>
              <w:adjustRightInd w:val="0"/>
              <w:snapToGrid w:val="0"/>
              <w:jc w:val="left"/>
              <w:rPr>
                <w:rFonts w:ascii="宋体" w:hAnsi="宋体"/>
                <w:szCs w:val="21"/>
              </w:rPr>
            </w:pPr>
          </w:p>
        </w:tc>
      </w:tr>
      <w:tr w14:paraId="531F50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BF4825">
            <w:pPr>
              <w:snapToGrid w:val="0"/>
              <w:jc w:val="center"/>
              <w:rPr>
                <w:rFonts w:ascii="宋体" w:hAnsi="宋体" w:cs="宋体"/>
                <w:szCs w:val="21"/>
              </w:rPr>
            </w:pPr>
            <w:r>
              <w:rPr>
                <w:rFonts w:hint="eastAsia" w:ascii="宋体" w:hAnsi="宋体" w:cs="宋体"/>
                <w:szCs w:val="21"/>
              </w:rPr>
              <w:t>第二节</w:t>
            </w:r>
          </w:p>
          <w:p w14:paraId="7A833573">
            <w:pPr>
              <w:pStyle w:val="481"/>
              <w:ind w:firstLine="0" w:firstLineChars="0"/>
              <w:jc w:val="center"/>
            </w:pPr>
            <w:r>
              <w:rPr>
                <w:rFonts w:hint="eastAsia" w:ascii="宋体" w:hAnsi="宋体" w:eastAsia="宋体" w:cs="宋体"/>
              </w:rPr>
              <w:t>第11.1款</w:t>
            </w:r>
          </w:p>
        </w:tc>
        <w:tc>
          <w:tcPr>
            <w:tcW w:w="1742" w:type="dxa"/>
            <w:vAlign w:val="center"/>
          </w:tcPr>
          <w:p w14:paraId="113A68D1">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2E0B5C7B">
            <w:pPr>
              <w:adjustRightInd w:val="0"/>
              <w:snapToGrid w:val="0"/>
              <w:jc w:val="left"/>
              <w:rPr>
                <w:rFonts w:ascii="宋体" w:hAnsi="宋体"/>
                <w:szCs w:val="21"/>
              </w:rPr>
            </w:pPr>
          </w:p>
        </w:tc>
      </w:tr>
      <w:tr w14:paraId="3BFD0F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735D714">
            <w:pPr>
              <w:adjustRightInd w:val="0"/>
              <w:snapToGrid w:val="0"/>
              <w:jc w:val="center"/>
              <w:rPr>
                <w:rFonts w:ascii="宋体" w:hAnsi="宋体"/>
                <w:szCs w:val="21"/>
              </w:rPr>
            </w:pPr>
            <w:r>
              <w:rPr>
                <w:rFonts w:hint="eastAsia" w:ascii="宋体" w:hAnsi="宋体"/>
                <w:szCs w:val="21"/>
              </w:rPr>
              <w:t>第二节</w:t>
            </w:r>
          </w:p>
          <w:p w14:paraId="0D366574">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7025EBC4">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5AA5DD0D">
            <w:pPr>
              <w:adjustRightInd w:val="0"/>
              <w:snapToGrid w:val="0"/>
              <w:jc w:val="left"/>
              <w:rPr>
                <w:rFonts w:ascii="宋体" w:hAnsi="宋体"/>
                <w:szCs w:val="21"/>
              </w:rPr>
            </w:pPr>
          </w:p>
        </w:tc>
      </w:tr>
      <w:tr w14:paraId="4F3E68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8C6AFF1">
            <w:pPr>
              <w:adjustRightInd w:val="0"/>
              <w:snapToGrid w:val="0"/>
              <w:jc w:val="center"/>
              <w:rPr>
                <w:rFonts w:ascii="宋体" w:hAnsi="宋体"/>
                <w:szCs w:val="21"/>
              </w:rPr>
            </w:pPr>
            <w:r>
              <w:rPr>
                <w:rFonts w:hint="eastAsia" w:ascii="宋体" w:hAnsi="宋体"/>
                <w:szCs w:val="21"/>
              </w:rPr>
              <w:t>第二节</w:t>
            </w:r>
          </w:p>
          <w:p w14:paraId="561CCB20">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705DA935">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64649457">
            <w:pPr>
              <w:adjustRightInd w:val="0"/>
              <w:snapToGrid w:val="0"/>
              <w:jc w:val="left"/>
              <w:rPr>
                <w:rFonts w:ascii="宋体" w:hAnsi="宋体"/>
                <w:szCs w:val="21"/>
              </w:rPr>
            </w:pPr>
          </w:p>
        </w:tc>
      </w:tr>
      <w:tr w14:paraId="1AB3C0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2D230D3">
            <w:pPr>
              <w:adjustRightInd w:val="0"/>
              <w:snapToGrid w:val="0"/>
              <w:jc w:val="center"/>
              <w:rPr>
                <w:rFonts w:ascii="宋体" w:hAnsi="宋体"/>
                <w:szCs w:val="21"/>
              </w:rPr>
            </w:pPr>
            <w:r>
              <w:rPr>
                <w:rFonts w:hint="eastAsia" w:ascii="宋体" w:hAnsi="宋体"/>
                <w:szCs w:val="21"/>
              </w:rPr>
              <w:t>第二节</w:t>
            </w:r>
          </w:p>
          <w:p w14:paraId="569FE952">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4A5FC425">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227BCE3C">
            <w:pPr>
              <w:adjustRightInd w:val="0"/>
              <w:snapToGrid w:val="0"/>
              <w:jc w:val="left"/>
              <w:rPr>
                <w:rFonts w:ascii="宋体" w:hAnsi="宋体"/>
                <w:szCs w:val="21"/>
              </w:rPr>
            </w:pPr>
          </w:p>
        </w:tc>
      </w:tr>
      <w:tr w14:paraId="00DD18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6153A2B">
            <w:pPr>
              <w:adjustRightInd w:val="0"/>
              <w:snapToGrid w:val="0"/>
              <w:jc w:val="center"/>
              <w:rPr>
                <w:rFonts w:ascii="宋体" w:hAnsi="宋体"/>
                <w:szCs w:val="21"/>
              </w:rPr>
            </w:pPr>
            <w:r>
              <w:rPr>
                <w:rFonts w:hint="eastAsia" w:ascii="宋体" w:hAnsi="宋体"/>
                <w:szCs w:val="21"/>
              </w:rPr>
              <w:t>第二节</w:t>
            </w:r>
          </w:p>
          <w:p w14:paraId="43F1A4DB">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070AFFAE">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1EEBD241">
            <w:pPr>
              <w:adjustRightInd w:val="0"/>
              <w:snapToGrid w:val="0"/>
              <w:jc w:val="left"/>
              <w:rPr>
                <w:rFonts w:ascii="宋体" w:hAnsi="宋体"/>
                <w:szCs w:val="21"/>
              </w:rPr>
            </w:pPr>
          </w:p>
        </w:tc>
      </w:tr>
      <w:tr w14:paraId="3F096D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0264443">
            <w:pPr>
              <w:adjustRightInd w:val="0"/>
              <w:snapToGrid w:val="0"/>
              <w:jc w:val="center"/>
              <w:rPr>
                <w:rFonts w:ascii="宋体" w:hAnsi="宋体"/>
                <w:szCs w:val="21"/>
              </w:rPr>
            </w:pPr>
            <w:r>
              <w:rPr>
                <w:rFonts w:hint="eastAsia" w:ascii="宋体" w:hAnsi="宋体"/>
                <w:szCs w:val="21"/>
              </w:rPr>
              <w:t>第二节</w:t>
            </w:r>
          </w:p>
          <w:p w14:paraId="5DEB92A1">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42CC221E">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2D54E9EC">
            <w:pPr>
              <w:adjustRightInd w:val="0"/>
              <w:snapToGrid w:val="0"/>
              <w:jc w:val="left"/>
              <w:rPr>
                <w:rFonts w:ascii="宋体" w:hAnsi="宋体"/>
                <w:szCs w:val="21"/>
              </w:rPr>
            </w:pPr>
          </w:p>
        </w:tc>
      </w:tr>
      <w:tr w14:paraId="0FFF72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09AFA58">
            <w:pPr>
              <w:adjustRightInd w:val="0"/>
              <w:snapToGrid w:val="0"/>
              <w:jc w:val="center"/>
              <w:rPr>
                <w:rFonts w:ascii="宋体" w:hAnsi="宋体"/>
                <w:szCs w:val="21"/>
              </w:rPr>
            </w:pPr>
            <w:r>
              <w:rPr>
                <w:rFonts w:hint="eastAsia" w:ascii="宋体" w:hAnsi="宋体"/>
                <w:szCs w:val="21"/>
              </w:rPr>
              <w:t>第二节</w:t>
            </w:r>
          </w:p>
          <w:p w14:paraId="75C23ADA">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457D4540">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7D946E96">
            <w:pPr>
              <w:adjustRightInd w:val="0"/>
              <w:snapToGrid w:val="0"/>
              <w:jc w:val="left"/>
              <w:rPr>
                <w:rFonts w:ascii="宋体" w:hAnsi="宋体"/>
                <w:szCs w:val="21"/>
              </w:rPr>
            </w:pPr>
          </w:p>
        </w:tc>
      </w:tr>
      <w:tr w14:paraId="56858E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5DB74E1">
            <w:pPr>
              <w:adjustRightInd w:val="0"/>
              <w:snapToGrid w:val="0"/>
              <w:jc w:val="center"/>
              <w:rPr>
                <w:rFonts w:ascii="宋体" w:hAnsi="宋体"/>
                <w:szCs w:val="21"/>
              </w:rPr>
            </w:pPr>
            <w:r>
              <w:rPr>
                <w:rFonts w:hint="eastAsia" w:ascii="宋体" w:hAnsi="宋体"/>
                <w:szCs w:val="21"/>
              </w:rPr>
              <w:t>第二节</w:t>
            </w:r>
          </w:p>
          <w:p w14:paraId="2D53AC8E">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33A0208B">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10088C12">
            <w:pPr>
              <w:adjustRightInd w:val="0"/>
              <w:snapToGrid w:val="0"/>
              <w:jc w:val="left"/>
              <w:rPr>
                <w:rFonts w:ascii="宋体" w:hAnsi="宋体"/>
                <w:szCs w:val="21"/>
              </w:rPr>
            </w:pPr>
          </w:p>
        </w:tc>
      </w:tr>
      <w:tr w14:paraId="76217D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836F9A9">
            <w:pPr>
              <w:adjustRightInd w:val="0"/>
              <w:snapToGrid w:val="0"/>
              <w:jc w:val="center"/>
              <w:rPr>
                <w:rFonts w:ascii="宋体" w:hAnsi="宋体"/>
                <w:szCs w:val="21"/>
              </w:rPr>
            </w:pPr>
            <w:r>
              <w:rPr>
                <w:rFonts w:hint="eastAsia" w:ascii="宋体" w:hAnsi="宋体"/>
                <w:szCs w:val="21"/>
              </w:rPr>
              <w:t>第二节</w:t>
            </w:r>
          </w:p>
          <w:p w14:paraId="148AA51F">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7916414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32371E27">
            <w:pPr>
              <w:adjustRightInd w:val="0"/>
              <w:snapToGrid w:val="0"/>
              <w:jc w:val="left"/>
              <w:rPr>
                <w:rFonts w:ascii="宋体" w:hAnsi="宋体"/>
                <w:szCs w:val="21"/>
                <w:u w:val="single"/>
              </w:rPr>
            </w:pPr>
          </w:p>
        </w:tc>
      </w:tr>
      <w:tr w14:paraId="4B3653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161376">
            <w:pPr>
              <w:adjustRightInd w:val="0"/>
              <w:snapToGrid w:val="0"/>
              <w:jc w:val="center"/>
              <w:rPr>
                <w:rFonts w:ascii="宋体" w:hAnsi="宋体"/>
                <w:szCs w:val="21"/>
              </w:rPr>
            </w:pPr>
            <w:r>
              <w:rPr>
                <w:rFonts w:hint="eastAsia" w:ascii="宋体" w:hAnsi="宋体"/>
                <w:szCs w:val="21"/>
              </w:rPr>
              <w:t>第二节</w:t>
            </w:r>
          </w:p>
          <w:p w14:paraId="4757B13C">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7B408F79">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065BC786">
            <w:pPr>
              <w:adjustRightInd w:val="0"/>
              <w:snapToGrid w:val="0"/>
              <w:jc w:val="left"/>
              <w:rPr>
                <w:rFonts w:ascii="宋体" w:hAnsi="宋体"/>
                <w:szCs w:val="21"/>
                <w:u w:val="single"/>
              </w:rPr>
            </w:pPr>
          </w:p>
        </w:tc>
      </w:tr>
      <w:tr w14:paraId="06F95B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07B7B3C1">
            <w:pPr>
              <w:adjustRightInd w:val="0"/>
              <w:snapToGrid w:val="0"/>
              <w:jc w:val="center"/>
              <w:rPr>
                <w:rFonts w:ascii="宋体" w:hAnsi="宋体"/>
                <w:szCs w:val="21"/>
              </w:rPr>
            </w:pPr>
            <w:r>
              <w:rPr>
                <w:rFonts w:hint="eastAsia" w:ascii="宋体" w:hAnsi="宋体"/>
                <w:szCs w:val="21"/>
              </w:rPr>
              <w:t>第二节</w:t>
            </w:r>
          </w:p>
          <w:p w14:paraId="7D1D8A69">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2C16E51C">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7401503D">
            <w:pPr>
              <w:adjustRightInd w:val="0"/>
              <w:snapToGrid w:val="0"/>
              <w:jc w:val="left"/>
              <w:rPr>
                <w:rFonts w:ascii="宋体" w:hAnsi="宋体"/>
                <w:szCs w:val="21"/>
                <w:u w:val="single"/>
              </w:rPr>
            </w:pPr>
          </w:p>
        </w:tc>
      </w:tr>
      <w:tr w14:paraId="4FBF02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1E4AA4AA">
            <w:pPr>
              <w:adjustRightInd w:val="0"/>
              <w:snapToGrid w:val="0"/>
              <w:jc w:val="center"/>
              <w:rPr>
                <w:rFonts w:ascii="宋体" w:hAnsi="宋体"/>
                <w:szCs w:val="21"/>
              </w:rPr>
            </w:pPr>
            <w:r>
              <w:rPr>
                <w:rFonts w:hint="eastAsia" w:ascii="宋体" w:hAnsi="宋体"/>
                <w:szCs w:val="21"/>
              </w:rPr>
              <w:t>第二节</w:t>
            </w:r>
          </w:p>
          <w:p w14:paraId="1379187E">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104F8008">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28C0F2C5">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177EA9AC">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136E2F53">
            <w:pPr>
              <w:adjustRightInd w:val="0"/>
              <w:snapToGrid w:val="0"/>
              <w:jc w:val="left"/>
              <w:rPr>
                <w:rFonts w:ascii="宋体" w:hAnsi="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6F65BF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9041E1E">
            <w:pPr>
              <w:adjustRightInd w:val="0"/>
              <w:snapToGrid w:val="0"/>
              <w:jc w:val="center"/>
              <w:rPr>
                <w:rFonts w:ascii="宋体" w:hAnsi="宋体"/>
                <w:szCs w:val="21"/>
              </w:rPr>
            </w:pPr>
            <w:r>
              <w:rPr>
                <w:rFonts w:hint="eastAsia" w:ascii="宋体" w:hAnsi="宋体"/>
                <w:szCs w:val="21"/>
              </w:rPr>
              <w:t>第二节</w:t>
            </w:r>
          </w:p>
          <w:p w14:paraId="424C8FA4">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6541D3EB">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4E025E98">
            <w:pPr>
              <w:adjustRightInd w:val="0"/>
              <w:snapToGrid w:val="0"/>
              <w:jc w:val="left"/>
              <w:rPr>
                <w:rFonts w:ascii="宋体" w:hAnsi="宋体"/>
                <w:szCs w:val="21"/>
              </w:rPr>
            </w:pPr>
          </w:p>
        </w:tc>
      </w:tr>
    </w:tbl>
    <w:p w14:paraId="469946C8"/>
    <w:p w14:paraId="271F0538"/>
    <w:bookmarkEnd w:id="75"/>
    <w:p w14:paraId="01FAE830"/>
    <w:p w14:paraId="3125F414">
      <w:pPr>
        <w:widowControl/>
        <w:jc w:val="left"/>
        <w:rPr>
          <w:rFonts w:ascii="宋体" w:hAnsi="宋体"/>
          <w:szCs w:val="21"/>
        </w:rPr>
      </w:pPr>
      <w:r>
        <w:rPr>
          <w:rFonts w:ascii="宋体" w:hAnsi="宋体"/>
          <w:szCs w:val="21"/>
        </w:rPr>
        <w:br w:type="page"/>
      </w:r>
    </w:p>
    <w:p w14:paraId="2EBEF3EB">
      <w:pPr>
        <w:pStyle w:val="7"/>
        <w:spacing w:before="120" w:beforeLines="50" w:after="120" w:afterLines="50"/>
        <w:ind w:left="562"/>
        <w:rPr>
          <w:sz w:val="28"/>
          <w:szCs w:val="28"/>
        </w:rPr>
      </w:pPr>
      <w:r>
        <w:rPr>
          <w:rFonts w:hint="eastAsia"/>
          <w:sz w:val="28"/>
          <w:szCs w:val="28"/>
        </w:rPr>
        <w:t>第二册  通用条款（公开招标）</w:t>
      </w:r>
    </w:p>
    <w:p w14:paraId="6AF31EEF">
      <w:pPr>
        <w:pStyle w:val="7"/>
        <w:numPr>
          <w:ilvl w:val="0"/>
          <w:numId w:val="17"/>
        </w:numPr>
        <w:spacing w:before="120" w:beforeLines="50" w:after="120" w:afterLines="50"/>
        <w:ind w:left="562" w:hanging="562"/>
        <w:rPr>
          <w:sz w:val="28"/>
          <w:szCs w:val="28"/>
        </w:rPr>
      </w:pPr>
      <w:bookmarkStart w:id="81" w:name="_Hlk72399513"/>
      <w:r>
        <w:rPr>
          <w:rFonts w:hint="eastAsia"/>
          <w:sz w:val="28"/>
          <w:szCs w:val="28"/>
        </w:rPr>
        <w:t>总则</w:t>
      </w:r>
    </w:p>
    <w:bookmarkEnd w:id="81"/>
    <w:p w14:paraId="6DFE1323">
      <w:pPr>
        <w:outlineLvl w:val="1"/>
        <w:rPr>
          <w:rFonts w:ascii="黑体" w:hAnsi="宋体" w:eastAsia="黑体"/>
          <w:sz w:val="24"/>
        </w:rPr>
      </w:pPr>
      <w:r>
        <w:rPr>
          <w:rFonts w:hint="eastAsia" w:ascii="黑体" w:hAnsi="宋体" w:eastAsia="黑体"/>
          <w:sz w:val="24"/>
        </w:rPr>
        <w:t>1. 通用条款说明</w:t>
      </w:r>
    </w:p>
    <w:p w14:paraId="5B86A562">
      <w:pPr>
        <w:ind w:firstLine="411" w:firstLineChars="196"/>
        <w:rPr>
          <w:rFonts w:ascii="宋体" w:hAnsi="宋体"/>
          <w:szCs w:val="21"/>
        </w:rPr>
      </w:pPr>
      <w:r>
        <w:rPr>
          <w:rFonts w:hint="eastAsia" w:ascii="宋体" w:hAnsi="宋体"/>
          <w:szCs w:val="21"/>
        </w:rPr>
        <w:t>1.1政府集中采购机构发出招标文件通用条款版本，列出政府采购项目进行招标采购所适用的通用条款内容。</w:t>
      </w:r>
      <w:bookmarkStart w:id="82" w:name="_Hlk72399729"/>
      <w:r>
        <w:rPr>
          <w:rFonts w:hint="eastAsia" w:ascii="宋体" w:hAnsi="宋体"/>
          <w:szCs w:val="21"/>
        </w:rPr>
        <w:t>如有需要，政府集中采购机构可以对通用条款的内容进行补充。</w:t>
      </w:r>
      <w:bookmarkEnd w:id="82"/>
    </w:p>
    <w:p w14:paraId="7DC28EA4">
      <w:pPr>
        <w:ind w:firstLine="411" w:firstLineChars="196"/>
        <w:rPr>
          <w:rFonts w:ascii="宋体" w:hAnsi="宋体"/>
          <w:szCs w:val="21"/>
        </w:rPr>
      </w:pPr>
      <w:r>
        <w:rPr>
          <w:rFonts w:hint="eastAsia" w:ascii="宋体" w:hAnsi="宋体"/>
          <w:szCs w:val="21"/>
        </w:rPr>
        <w:t>1.2招标文件分为第一册“专用条款”和第二册“通用条款”。</w:t>
      </w:r>
    </w:p>
    <w:p w14:paraId="3C2A541F">
      <w:pPr>
        <w:ind w:firstLine="411" w:firstLineChars="196"/>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29BEA0D7">
      <w:pPr>
        <w:ind w:firstLine="411" w:firstLineChars="196"/>
        <w:rPr>
          <w:rFonts w:ascii="宋体" w:hAnsi="宋体"/>
          <w:szCs w:val="21"/>
        </w:rPr>
      </w:pPr>
      <w:r>
        <w:rPr>
          <w:rFonts w:hint="eastAsia" w:ascii="宋体" w:hAnsi="宋体"/>
          <w:szCs w:val="21"/>
        </w:rPr>
        <w:t>1.4“通用条款”是适用于政府采购公开招标项目的基础性条款，具有普遍性和通用性。</w:t>
      </w:r>
    </w:p>
    <w:p w14:paraId="3313D8E1">
      <w:pPr>
        <w:ind w:firstLine="411" w:firstLineChars="196"/>
        <w:rPr>
          <w:rFonts w:ascii="宋体" w:hAnsi="宋体"/>
          <w:szCs w:val="21"/>
        </w:rPr>
      </w:pPr>
      <w:r>
        <w:rPr>
          <w:rFonts w:hint="eastAsia" w:ascii="宋体" w:hAnsi="宋体"/>
          <w:szCs w:val="21"/>
        </w:rPr>
        <w:t>1.5 “专用条款”和“通用条款”表述不一致或有冲突时，以“专用条款”为准。</w:t>
      </w:r>
    </w:p>
    <w:p w14:paraId="6207E15F">
      <w:pPr>
        <w:outlineLvl w:val="1"/>
        <w:rPr>
          <w:rFonts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14:paraId="190AE53F">
      <w:pPr>
        <w:ind w:firstLine="411" w:firstLineChars="196"/>
        <w:rPr>
          <w:rFonts w:ascii="宋体" w:hAnsi="宋体"/>
          <w:szCs w:val="21"/>
        </w:rPr>
      </w:pPr>
      <w:r>
        <w:rPr>
          <w:rFonts w:hint="eastAsia" w:ascii="宋体" w:hAnsi="宋体"/>
          <w:szCs w:val="21"/>
        </w:rPr>
        <w:t>本项目按照《中华人民共和国政府采购法》和《中华人民共和国政府采购法实施条例》及政府采购其他法律法规，通过公开招标方式确定中标供应商。</w:t>
      </w:r>
    </w:p>
    <w:p w14:paraId="13FB59FD">
      <w:pPr>
        <w:outlineLvl w:val="1"/>
        <w:rPr>
          <w:rFonts w:ascii="黑体" w:hAnsi="宋体" w:eastAsia="黑体"/>
          <w:sz w:val="24"/>
        </w:rPr>
      </w:pPr>
      <w:r>
        <w:rPr>
          <w:rFonts w:hint="eastAsia" w:ascii="黑体" w:hAnsi="宋体" w:eastAsia="黑体"/>
          <w:sz w:val="24"/>
        </w:rPr>
        <w:t>3．定义</w:t>
      </w:r>
    </w:p>
    <w:p w14:paraId="4C4EBA5E">
      <w:pPr>
        <w:ind w:firstLine="420" w:firstLineChars="200"/>
        <w:rPr>
          <w:rFonts w:ascii="宋体" w:hAnsi="宋体"/>
          <w:szCs w:val="21"/>
        </w:rPr>
      </w:pPr>
      <w:r>
        <w:rPr>
          <w:rFonts w:ascii="宋体" w:hAnsi="宋体"/>
          <w:szCs w:val="21"/>
        </w:rPr>
        <w:t>招标文件中下列术语应解释为：</w:t>
      </w:r>
    </w:p>
    <w:p w14:paraId="3688FE79">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p>
    <w:p w14:paraId="1A338466">
      <w:pPr>
        <w:ind w:firstLine="411" w:firstLineChars="196"/>
        <w:rPr>
          <w:rFonts w:ascii="宋体" w:hAnsi="宋体"/>
          <w:szCs w:val="21"/>
        </w:rPr>
      </w:pPr>
      <w:r>
        <w:rPr>
          <w:rFonts w:hint="eastAsia" w:ascii="宋体" w:hAnsi="宋体"/>
          <w:szCs w:val="21"/>
        </w:rPr>
        <w:t>3.2 “政府集中采购机构”</w:t>
      </w:r>
      <w:r>
        <w:rPr>
          <w:rFonts w:hint="eastAsia" w:ascii="Arial" w:hAnsi="Arial" w:cs="Arial"/>
          <w:szCs w:val="21"/>
          <w:shd w:val="clear" w:color="auto" w:fill="FFFFFF"/>
        </w:rPr>
        <w:t>是指市政府设立的，组织实施政府采购项目，并对政府采购活动提供服务的专门机构；</w:t>
      </w:r>
      <w:r>
        <w:rPr>
          <w:rFonts w:hint="eastAsia" w:ascii="宋体" w:hAnsi="宋体"/>
          <w:szCs w:val="21"/>
        </w:rPr>
        <w:t>本文件所述的“政府集中采购机构”</w:t>
      </w:r>
      <w:r>
        <w:rPr>
          <w:rFonts w:ascii="宋体" w:hAnsi="宋体"/>
          <w:szCs w:val="21"/>
        </w:rPr>
        <w:t>指</w:t>
      </w:r>
      <w:r>
        <w:rPr>
          <w:rFonts w:hint="eastAsia" w:ascii="宋体" w:hAnsi="宋体"/>
          <w:b/>
          <w:bCs/>
          <w:szCs w:val="21"/>
        </w:rPr>
        <w:t>深圳公共资源交易中心</w:t>
      </w:r>
      <w:r>
        <w:rPr>
          <w:rFonts w:hint="eastAsia" w:ascii="宋体" w:hAnsi="宋体"/>
          <w:szCs w:val="21"/>
        </w:rPr>
        <w:t>；</w:t>
      </w:r>
    </w:p>
    <w:p w14:paraId="60D697BE">
      <w:pPr>
        <w:ind w:firstLine="411" w:firstLineChars="196"/>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5BCCC607">
      <w:pPr>
        <w:ind w:firstLine="411" w:firstLineChars="196"/>
        <w:rPr>
          <w:rFonts w:ascii="宋体" w:hAnsi="宋体"/>
          <w:szCs w:val="21"/>
        </w:rPr>
      </w:pPr>
      <w:r>
        <w:rPr>
          <w:rFonts w:hint="eastAsia" w:ascii="宋体" w:hAnsi="宋体"/>
          <w:szCs w:val="21"/>
        </w:rPr>
        <w:t>3.4“中标候选人”即“候选中标供应商”</w:t>
      </w:r>
    </w:p>
    <w:p w14:paraId="174A3A81">
      <w:pPr>
        <w:ind w:firstLine="411" w:firstLineChars="196"/>
        <w:rPr>
          <w:rFonts w:ascii="宋体" w:hAnsi="宋体"/>
          <w:szCs w:val="21"/>
        </w:rPr>
      </w:pPr>
      <w:r>
        <w:rPr>
          <w:rFonts w:hint="eastAsia" w:ascii="宋体" w:hAnsi="宋体"/>
          <w:szCs w:val="21"/>
        </w:rPr>
        <w:t>3.5“评审委员会”是依据《中华人民共和国政府采购法》和《中华人民共和国政府采购法实施条例》等有关规定组建的专门负责本次招标其评审工作的临时性机构；</w:t>
      </w:r>
    </w:p>
    <w:p w14:paraId="7C7E37C1">
      <w:pPr>
        <w:ind w:firstLine="411" w:firstLineChars="196"/>
        <w:rPr>
          <w:rFonts w:ascii="宋体" w:hAnsi="宋体"/>
          <w:szCs w:val="21"/>
        </w:rPr>
      </w:pPr>
      <w:r>
        <w:rPr>
          <w:rFonts w:hint="eastAsia" w:ascii="宋体" w:hAnsi="宋体"/>
          <w:szCs w:val="21"/>
        </w:rPr>
        <w:t>3.6“日期”</w:t>
      </w:r>
      <w:r>
        <w:rPr>
          <w:rFonts w:ascii="宋体" w:hAnsi="宋体"/>
          <w:szCs w:val="21"/>
        </w:rPr>
        <w:t>指</w:t>
      </w:r>
      <w:r>
        <w:rPr>
          <w:rFonts w:hint="eastAsia" w:ascii="宋体" w:hAnsi="宋体"/>
          <w:szCs w:val="21"/>
        </w:rPr>
        <w:t>公历日；</w:t>
      </w:r>
    </w:p>
    <w:p w14:paraId="074AB422">
      <w:pPr>
        <w:ind w:firstLine="411" w:firstLineChars="196"/>
        <w:rPr>
          <w:rFonts w:ascii="宋体" w:hAnsi="宋体"/>
          <w:szCs w:val="21"/>
        </w:rPr>
      </w:pPr>
      <w:r>
        <w:rPr>
          <w:rFonts w:hint="eastAsia" w:ascii="宋体" w:hAnsi="宋体"/>
          <w:szCs w:val="21"/>
        </w:rPr>
        <w:t>3.7“合同”指由本次招标所产生的合同或合约文件；</w:t>
      </w:r>
    </w:p>
    <w:p w14:paraId="206E4718">
      <w:pPr>
        <w:ind w:firstLine="411" w:firstLineChars="196"/>
        <w:rPr>
          <w:rFonts w:ascii="宋体" w:hAnsi="宋体"/>
          <w:szCs w:val="21"/>
        </w:rPr>
      </w:pPr>
      <w:r>
        <w:rPr>
          <w:rFonts w:hint="eastAsia" w:ascii="宋体" w:hAnsi="宋体"/>
          <w:szCs w:val="21"/>
        </w:rPr>
        <w:t>3.8招标文件中的标题或题名仅起引导作用，而不应视为对招标文件内容的理解和解释。</w:t>
      </w:r>
    </w:p>
    <w:p w14:paraId="107BABB8">
      <w:pPr>
        <w:outlineLvl w:val="1"/>
        <w:rPr>
          <w:rFonts w:ascii="黑体" w:hAnsi="宋体" w:eastAsia="黑体"/>
          <w:sz w:val="24"/>
        </w:rPr>
      </w:pPr>
      <w:r>
        <w:rPr>
          <w:rFonts w:hint="eastAsia" w:ascii="黑体" w:hAnsi="宋体" w:eastAsia="黑体"/>
          <w:sz w:val="24"/>
        </w:rPr>
        <w:t xml:space="preserve">4. </w:t>
      </w:r>
      <w:bookmarkStart w:id="83" w:name="_Hlk72398643"/>
      <w:r>
        <w:rPr>
          <w:rFonts w:hint="eastAsia" w:ascii="黑体" w:hAnsi="宋体" w:eastAsia="黑体"/>
          <w:sz w:val="24"/>
        </w:rPr>
        <w:t>政府采购供应商责任</w:t>
      </w:r>
    </w:p>
    <w:p w14:paraId="57D0B97F">
      <w:pPr>
        <w:ind w:firstLine="411" w:firstLineChars="196"/>
        <w:rPr>
          <w:rFonts w:ascii="宋体" w:hAnsi="宋体"/>
          <w:szCs w:val="21"/>
        </w:rPr>
      </w:pPr>
      <w:r>
        <w:rPr>
          <w:rFonts w:hint="eastAsia" w:ascii="宋体" w:hAnsi="宋体"/>
          <w:szCs w:val="21"/>
        </w:rPr>
        <w:t>4.1欢迎诚信、有实力和有社会责任心的供应商参与政府采购事业。</w:t>
      </w:r>
    </w:p>
    <w:p w14:paraId="492AA1A0">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04D9BC7D">
      <w:pPr>
        <w:outlineLvl w:val="1"/>
        <w:rPr>
          <w:rFonts w:ascii="黑体" w:hAnsi="宋体" w:eastAsia="黑体"/>
          <w:sz w:val="24"/>
        </w:rPr>
      </w:pPr>
      <w:r>
        <w:rPr>
          <w:rFonts w:hint="eastAsia" w:ascii="黑体" w:hAnsi="宋体" w:eastAsia="黑体"/>
          <w:sz w:val="24"/>
        </w:rPr>
        <w:t>5．投标人参加政府采购的条件</w:t>
      </w:r>
    </w:p>
    <w:p w14:paraId="40E7BB6F">
      <w:pPr>
        <w:ind w:firstLine="411" w:firstLineChars="196"/>
        <w:rPr>
          <w:rFonts w:ascii="宋体" w:hAnsi="宋体"/>
          <w:szCs w:val="21"/>
        </w:rPr>
      </w:pPr>
      <w:r>
        <w:rPr>
          <w:rFonts w:hint="eastAsia" w:ascii="宋体" w:hAnsi="宋体"/>
          <w:szCs w:val="21"/>
        </w:rPr>
        <w:t>5.1投标人资格要求</w:t>
      </w:r>
    </w:p>
    <w:p w14:paraId="74B7D347">
      <w:pPr>
        <w:ind w:firstLine="411" w:firstLineChars="196"/>
        <w:rPr>
          <w:rFonts w:ascii="宋体" w:hAnsi="宋体"/>
          <w:szCs w:val="21"/>
        </w:rPr>
      </w:pPr>
      <w:r>
        <w:rPr>
          <w:rFonts w:hint="eastAsia" w:ascii="宋体" w:hAnsi="宋体"/>
          <w:szCs w:val="21"/>
        </w:rPr>
        <w:t>参加本项目的投标人应具备的资格条件详见本项目招标公告中 “投标人资格要求”（即申请人的资格要求）的内容。</w:t>
      </w:r>
    </w:p>
    <w:p w14:paraId="02CD7750">
      <w:pPr>
        <w:ind w:firstLine="411" w:firstLineChars="196"/>
        <w:rPr>
          <w:rFonts w:ascii="宋体" w:hAnsi="宋体"/>
          <w:szCs w:val="21"/>
        </w:rPr>
      </w:pPr>
      <w:r>
        <w:rPr>
          <w:rFonts w:hint="eastAsia" w:ascii="宋体" w:hAnsi="宋体"/>
          <w:szCs w:val="21"/>
        </w:rPr>
        <w:t>5.2联合体投标</w:t>
      </w:r>
    </w:p>
    <w:p w14:paraId="73DAC298">
      <w:pPr>
        <w:ind w:firstLine="411" w:firstLineChars="196"/>
        <w:rPr>
          <w:rFonts w:ascii="宋体" w:hAnsi="宋体"/>
          <w:szCs w:val="21"/>
        </w:rPr>
      </w:pPr>
      <w:r>
        <w:rPr>
          <w:rFonts w:hint="eastAsia" w:ascii="宋体" w:hAnsi="宋体"/>
          <w:szCs w:val="21"/>
        </w:rPr>
        <w:t>5.2.1　以下有关联合体投标的条款仅适用于允许投标人组成联合体投标的项目。</w:t>
      </w:r>
    </w:p>
    <w:p w14:paraId="099DD251">
      <w:pPr>
        <w:ind w:firstLine="411" w:firstLineChars="196"/>
        <w:rPr>
          <w:rFonts w:ascii="宋体" w:hAnsi="宋体"/>
          <w:szCs w:val="21"/>
        </w:rPr>
      </w:pPr>
      <w:r>
        <w:rPr>
          <w:rFonts w:hint="eastAsia" w:ascii="宋体" w:hAnsi="宋体"/>
          <w:szCs w:val="21"/>
        </w:rPr>
        <w:t>5.2.2  由两个或两个以上的自然人、法人或者其他组织可以组成一个联合体，以一个供应商的身份共同投标时，应符合以下原则：</w:t>
      </w:r>
    </w:p>
    <w:p w14:paraId="22250C6D">
      <w:pPr>
        <w:ind w:firstLine="411" w:firstLineChars="196"/>
        <w:rPr>
          <w:rFonts w:ascii="宋体" w:hAnsi="宋体"/>
        </w:rPr>
      </w:pPr>
      <w:r>
        <w:rPr>
          <w:rFonts w:hint="eastAsia" w:ascii="宋体" w:hAnsi="宋体"/>
        </w:rPr>
        <w:t>（1）投标联合体各方参加政府采购活动应当具备下列条件：</w:t>
      </w:r>
    </w:p>
    <w:p w14:paraId="71DC352B">
      <w:pPr>
        <w:ind w:left="420" w:leftChars="200" w:firstLine="411" w:firstLineChars="196"/>
        <w:rPr>
          <w:rFonts w:ascii="宋体" w:hAnsi="宋体"/>
        </w:rPr>
      </w:pPr>
      <w:r>
        <w:rPr>
          <w:rFonts w:hint="eastAsia" w:ascii="宋体" w:hAnsi="宋体"/>
        </w:rPr>
        <w:t>1、具有独立承担民事责任的能力；</w:t>
      </w:r>
    </w:p>
    <w:p w14:paraId="30A3EC91">
      <w:pPr>
        <w:ind w:left="420" w:firstLine="411" w:firstLineChars="196"/>
        <w:rPr>
          <w:rFonts w:ascii="宋体" w:hAnsi="宋体"/>
        </w:rPr>
      </w:pPr>
      <w:r>
        <w:rPr>
          <w:rFonts w:hint="eastAsia" w:ascii="宋体" w:hAnsi="宋体"/>
        </w:rPr>
        <w:t>2、有良好的商业信誉和健全的财务会计制度；</w:t>
      </w:r>
    </w:p>
    <w:p w14:paraId="53621CC1">
      <w:pPr>
        <w:ind w:left="420" w:leftChars="200" w:firstLine="411" w:firstLineChars="196"/>
        <w:rPr>
          <w:rFonts w:ascii="宋体" w:hAnsi="宋体"/>
        </w:rPr>
      </w:pPr>
      <w:r>
        <w:rPr>
          <w:rFonts w:hint="eastAsia" w:ascii="宋体" w:hAnsi="宋体"/>
        </w:rPr>
        <w:t>3、具有履行合同所必需的设备和专业技术能力；</w:t>
      </w:r>
    </w:p>
    <w:p w14:paraId="4378E574">
      <w:pPr>
        <w:ind w:left="420" w:leftChars="200" w:firstLine="411" w:firstLineChars="196"/>
        <w:rPr>
          <w:rFonts w:ascii="宋体" w:hAnsi="宋体"/>
        </w:rPr>
      </w:pPr>
      <w:r>
        <w:rPr>
          <w:rFonts w:hint="eastAsia" w:ascii="宋体" w:hAnsi="宋体"/>
        </w:rPr>
        <w:t>4、有依法缴纳税收和社会保障资金的良好记录；</w:t>
      </w:r>
    </w:p>
    <w:p w14:paraId="6258702F">
      <w:pPr>
        <w:ind w:left="420" w:leftChars="200" w:firstLine="411" w:firstLineChars="196"/>
        <w:rPr>
          <w:rFonts w:ascii="宋体" w:hAnsi="宋体"/>
        </w:rPr>
      </w:pPr>
      <w:r>
        <w:rPr>
          <w:rFonts w:hint="eastAsia" w:ascii="宋体" w:hAnsi="宋体"/>
        </w:rPr>
        <w:t>5、参加政府采购活动前三年内，在经营活动中没有重大违法记录；</w:t>
      </w:r>
    </w:p>
    <w:p w14:paraId="03E2B91D">
      <w:pPr>
        <w:ind w:left="420" w:leftChars="200" w:firstLine="411" w:firstLineChars="196"/>
        <w:rPr>
          <w:rFonts w:ascii="宋体" w:hAnsi="宋体"/>
        </w:rPr>
      </w:pPr>
      <w:r>
        <w:rPr>
          <w:rFonts w:hint="eastAsia" w:ascii="宋体" w:hAnsi="宋体"/>
        </w:rPr>
        <w:t>6、法律、行政法规规定的其他条件。</w:t>
      </w:r>
    </w:p>
    <w:p w14:paraId="2546DDC7">
      <w:pPr>
        <w:ind w:firstLine="411" w:firstLineChars="196"/>
        <w:rPr>
          <w:rFonts w:ascii="宋体" w:hAnsi="宋体"/>
        </w:rPr>
      </w:pPr>
      <w:r>
        <w:rPr>
          <w:rFonts w:hint="eastAsia" w:ascii="宋体" w:hAnsi="宋体"/>
        </w:rPr>
        <w:t>（2）联合体中有同类资质的供应商按照联合体分工承担相同工作的，应当按照资质等级较低的供应商确定资质等级；</w:t>
      </w:r>
    </w:p>
    <w:p w14:paraId="37268859">
      <w:pPr>
        <w:ind w:firstLine="411" w:firstLineChars="196"/>
      </w:pPr>
      <w:r>
        <w:rPr>
          <w:rFonts w:hint="eastAsia"/>
        </w:rPr>
        <w:t>（3）是否允许联合体参加投标，应当由采购人和采购代理机构根据项目的实际情况和潜在供应商的数量自主决定，如果决定接受联合体投标则应当在招标公告中明示；</w:t>
      </w:r>
    </w:p>
    <w:p w14:paraId="0B20A926">
      <w:pPr>
        <w:ind w:firstLine="411" w:firstLineChars="196"/>
        <w:rPr>
          <w:rFonts w:ascii="宋体" w:hAnsi="宋体"/>
        </w:rPr>
      </w:pPr>
      <w:r>
        <w:rPr>
          <w:rFonts w:hint="eastAsia" w:ascii="宋体" w:hAnsi="宋体"/>
        </w:rPr>
        <w:t>（4）投标人的投标文件及中标后签署的合同协议对联合体各方均具法律约束力；</w:t>
      </w:r>
    </w:p>
    <w:p w14:paraId="3D797471">
      <w:pPr>
        <w:ind w:firstLine="411" w:firstLineChars="196"/>
        <w:rPr>
          <w:rFonts w:ascii="宋体" w:hAnsi="宋体"/>
        </w:rPr>
      </w:pPr>
      <w:r>
        <w:rPr>
          <w:rFonts w:hint="eastAsia" w:ascii="宋体" w:hAnsi="宋体"/>
        </w:rPr>
        <w:t>（5）联合体各方应当签订联合体投标协议，明确约定各方拟承担的工作和责任，并将该协议随投标文件一并递交给政府集中采购机构；</w:t>
      </w:r>
    </w:p>
    <w:p w14:paraId="053C0EE2">
      <w:pPr>
        <w:ind w:firstLine="411" w:firstLineChars="196"/>
        <w:rPr>
          <w:rFonts w:ascii="宋体" w:hAnsi="宋体"/>
        </w:rPr>
      </w:pPr>
      <w:r>
        <w:rPr>
          <w:rFonts w:hint="eastAsia" w:ascii="宋体" w:hAnsi="宋体"/>
        </w:rPr>
        <w:t>（6）联合体中标后，联合体各方应当共同与采购人签订合同，就中标项目向采购人承担连带责任；</w:t>
      </w:r>
    </w:p>
    <w:p w14:paraId="77D2DBC3">
      <w:pPr>
        <w:ind w:firstLine="411" w:firstLineChars="196"/>
        <w:rPr>
          <w:rFonts w:ascii="宋体" w:hAnsi="宋体"/>
        </w:rPr>
      </w:pPr>
      <w:r>
        <w:rPr>
          <w:rFonts w:hint="eastAsia" w:ascii="宋体" w:hAnsi="宋体"/>
        </w:rPr>
        <w:t>（7）以联合体形式参加政府采购活动的，联合体各方不得再单独参加或者与其他供应商另外组成联合体参加同一合同项下的政府采购活动，出现上述情况者，其投标和与此有关联合体、总包单位的投标将被拒绝；</w:t>
      </w:r>
    </w:p>
    <w:p w14:paraId="25201877">
      <w:pPr>
        <w:ind w:firstLine="411" w:firstLineChars="196"/>
        <w:rPr>
          <w:rFonts w:ascii="宋体" w:hAnsi="宋体"/>
          <w:szCs w:val="21"/>
        </w:rPr>
      </w:pPr>
      <w:r>
        <w:rPr>
          <w:rFonts w:hint="eastAsia" w:ascii="宋体" w:hAnsi="宋体"/>
        </w:rPr>
        <w:t>（8）本通用条款中“投标人”一词亦指联合体各方，专用条款另有规定或说明的除外。</w:t>
      </w:r>
    </w:p>
    <w:p w14:paraId="37D294CA">
      <w:pPr>
        <w:outlineLvl w:val="1"/>
        <w:rPr>
          <w:rFonts w:ascii="黑体" w:hAnsi="宋体" w:eastAsia="黑体"/>
          <w:sz w:val="24"/>
        </w:rPr>
      </w:pPr>
      <w:r>
        <w:rPr>
          <w:rFonts w:hint="eastAsia" w:ascii="黑体" w:hAnsi="宋体" w:eastAsia="黑体"/>
          <w:sz w:val="24"/>
        </w:rPr>
        <w:t>6．政策导向</w:t>
      </w:r>
    </w:p>
    <w:p w14:paraId="2293688D">
      <w:pPr>
        <w:ind w:firstLine="411" w:firstLineChars="196"/>
        <w:rPr>
          <w:rFonts w:ascii="宋体" w:hAnsi="宋体"/>
        </w:rPr>
      </w:pPr>
      <w:r>
        <w:rPr>
          <w:rFonts w:hint="eastAsia" w:ascii="宋体" w:hAnsi="宋体"/>
        </w:rPr>
        <w:t>6.1政府采购扶持贫困地区、中小企业、监狱企业和残疾人福利性单位发展，支持节能减排、环境保护、绿色采购。</w:t>
      </w:r>
    </w:p>
    <w:p w14:paraId="3BC37853">
      <w:pPr>
        <w:ind w:firstLine="405"/>
        <w:rPr>
          <w:shd w:val="clear" w:color="auto" w:fill="FFFFFF"/>
        </w:rPr>
      </w:pPr>
      <w:r>
        <w:rPr>
          <w:rFonts w:hint="eastAsia" w:ascii="宋体" w:hAnsi="宋体"/>
        </w:rPr>
        <w:t>6.2本项目落实政府采购供应商诚信管理政策要求。</w:t>
      </w:r>
    </w:p>
    <w:p w14:paraId="5BEA3BB3">
      <w:pPr>
        <w:outlineLvl w:val="1"/>
        <w:rPr>
          <w:rFonts w:ascii="黑体" w:hAnsi="宋体" w:eastAsia="黑体"/>
          <w:sz w:val="24"/>
        </w:rPr>
      </w:pPr>
      <w:r>
        <w:rPr>
          <w:rFonts w:hint="eastAsia" w:ascii="黑体" w:hAnsi="宋体" w:eastAsia="黑体"/>
          <w:sz w:val="24"/>
        </w:rPr>
        <w:t>7. 本项目若涉及采购货物，则合格的货物及相应服务应满足以下要求：</w:t>
      </w:r>
    </w:p>
    <w:p w14:paraId="577B14CB">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14:paraId="0139AF07">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14:paraId="02E58BD1">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5D67E779">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4投标人</w:t>
      </w:r>
      <w:bookmarkStart w:id="84"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4"/>
    </w:p>
    <w:p w14:paraId="45CC23FC">
      <w:pPr>
        <w:ind w:firstLine="411" w:firstLineChars="196"/>
        <w:rPr>
          <w:rFonts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68BB94D2">
      <w:pPr>
        <w:ind w:firstLine="411" w:firstLineChars="196"/>
        <w:rPr>
          <w:rFonts w:ascii="宋体" w:hAnsi="宋体"/>
        </w:rPr>
      </w:pPr>
      <w:r>
        <w:rPr>
          <w:rFonts w:hint="eastAsia" w:ascii="宋体" w:hAnsi="宋体"/>
        </w:rPr>
        <w:t>7.6  工期要求：投标人在投标时对其所投项目应提交交货进度、交货计划等，在合同规定的时间内完成项目实施工作。</w:t>
      </w:r>
    </w:p>
    <w:p w14:paraId="3E09F984">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14:paraId="1FDA46FA">
      <w:pPr>
        <w:outlineLvl w:val="1"/>
        <w:rPr>
          <w:rFonts w:ascii="黑体" w:hAnsi="宋体" w:eastAsia="黑体"/>
          <w:sz w:val="24"/>
        </w:rPr>
      </w:pPr>
      <w:r>
        <w:rPr>
          <w:rFonts w:hint="eastAsia" w:ascii="黑体" w:hAnsi="宋体" w:eastAsia="黑体"/>
          <w:sz w:val="24"/>
        </w:rPr>
        <w:t>8．投标费用</w:t>
      </w:r>
    </w:p>
    <w:p w14:paraId="6FD00313">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14:paraId="7C1F5C20">
      <w:pPr>
        <w:outlineLvl w:val="1"/>
        <w:rPr>
          <w:rFonts w:ascii="黑体" w:hAnsi="宋体" w:eastAsia="黑体"/>
          <w:sz w:val="24"/>
        </w:rPr>
      </w:pPr>
      <w:r>
        <w:rPr>
          <w:rFonts w:hint="eastAsia" w:ascii="黑体" w:hAnsi="宋体" w:eastAsia="黑体"/>
          <w:sz w:val="24"/>
        </w:rPr>
        <w:t>9．踏勘现场</w:t>
      </w:r>
    </w:p>
    <w:p w14:paraId="4126D96F">
      <w:pPr>
        <w:ind w:firstLine="411" w:firstLineChars="196"/>
        <w:rPr>
          <w:rFonts w:ascii="宋体" w:hAnsi="宋体"/>
          <w:szCs w:val="21"/>
        </w:rPr>
      </w:pPr>
      <w:r>
        <w:rPr>
          <w:rFonts w:hint="eastAsia" w:ascii="宋体" w:hAnsi="宋体"/>
          <w:szCs w:val="21"/>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14:paraId="683D573B">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14:paraId="587068AD">
      <w:pPr>
        <w:ind w:firstLine="411" w:firstLineChars="196"/>
        <w:rPr>
          <w:rFonts w:ascii="宋体" w:hAnsi="宋体"/>
        </w:rPr>
      </w:pPr>
      <w:r>
        <w:rPr>
          <w:rFonts w:hint="eastAsia" w:ascii="宋体" w:hAnsi="宋体"/>
        </w:rPr>
        <w:t>9.3采购人应当通过政府集中采购机构向投标人提供有关现场的书面资料和数据。</w:t>
      </w:r>
    </w:p>
    <w:p w14:paraId="4F56B6F8">
      <w:pPr>
        <w:ind w:firstLine="411" w:firstLineChars="196"/>
        <w:rPr>
          <w:rFonts w:ascii="宋体" w:hAnsi="宋体"/>
        </w:rPr>
      </w:pPr>
      <w:r>
        <w:rPr>
          <w:rFonts w:hint="eastAsia" w:ascii="宋体" w:hAnsi="宋体"/>
        </w:rPr>
        <w:t>9.4任何人或任何组织在踏勘现场时向投标人提供的任何书面资料或口头承诺，未经政府集中采购机构在网上发布或书面通知，均作无效处理。</w:t>
      </w:r>
    </w:p>
    <w:p w14:paraId="634F096A">
      <w:pPr>
        <w:ind w:firstLine="411" w:firstLineChars="196"/>
        <w:rPr>
          <w:rFonts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14:paraId="4EE00F99">
      <w:pPr>
        <w:outlineLvl w:val="1"/>
        <w:rPr>
          <w:rFonts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14:paraId="1E878FBC">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14:paraId="6543CAA6">
      <w:pPr>
        <w:ind w:firstLine="411" w:firstLineChars="196"/>
        <w:rPr>
          <w:rFonts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任何人或任何组织在标前会议时向投标人提供的任何书面资料或口头承诺，未经政府集中采购机构在网上发布或书面通知，均作无效处理。</w:t>
      </w:r>
    </w:p>
    <w:p w14:paraId="7EB1C34A">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83"/>
    <w:p w14:paraId="23AB35CD">
      <w:pPr>
        <w:pStyle w:val="7"/>
        <w:numPr>
          <w:ilvl w:val="0"/>
          <w:numId w:val="17"/>
        </w:numPr>
        <w:spacing w:before="120" w:beforeLines="50" w:after="120" w:afterLines="50"/>
        <w:ind w:left="562" w:hanging="562"/>
        <w:rPr>
          <w:sz w:val="28"/>
          <w:szCs w:val="28"/>
        </w:rPr>
      </w:pPr>
      <w:r>
        <w:rPr>
          <w:rFonts w:hint="eastAsia"/>
          <w:sz w:val="28"/>
          <w:szCs w:val="28"/>
        </w:rPr>
        <w:t>招标文件</w:t>
      </w:r>
    </w:p>
    <w:p w14:paraId="064F3FC5">
      <w:pPr>
        <w:rPr>
          <w:rFonts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85" w:name="_Hlk72399819"/>
      <w:r>
        <w:rPr>
          <w:rFonts w:hint="eastAsia" w:ascii="黑体" w:hAnsi="宋体" w:eastAsia="黑体"/>
          <w:sz w:val="24"/>
        </w:rPr>
        <w:t>招标文件的编制与组成</w:t>
      </w:r>
    </w:p>
    <w:p w14:paraId="23CF6576">
      <w:pPr>
        <w:snapToGrid w:val="0"/>
        <w:ind w:firstLine="420" w:firstLine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.1招标文件除以下内容外，政府集中采购机构在招标期间发出的澄清或修改等相关公告或通知内容，均是招标文件的组成部分，对投标人起约束作用；</w:t>
      </w:r>
    </w:p>
    <w:p w14:paraId="48B918D1">
      <w:pPr>
        <w:ind w:firstLine="411" w:firstLineChars="196"/>
        <w:rPr>
          <w:rFonts w:ascii="宋体" w:hAnsi="宋体"/>
          <w:szCs w:val="21"/>
        </w:rPr>
      </w:pPr>
      <w:r>
        <w:rPr>
          <w:rFonts w:hint="eastAsia" w:ascii="宋体" w:hAnsi="宋体"/>
          <w:szCs w:val="21"/>
        </w:rPr>
        <w:t>招标文件包括下列内容：</w:t>
      </w:r>
    </w:p>
    <w:p w14:paraId="30CB65C5">
      <w:pPr>
        <w:ind w:left="420" w:leftChars="200" w:firstLine="413" w:firstLineChars="196"/>
        <w:rPr>
          <w:rFonts w:ascii="宋体" w:hAnsi="宋体"/>
          <w:b/>
          <w:szCs w:val="21"/>
        </w:rPr>
      </w:pPr>
      <w:r>
        <w:rPr>
          <w:rFonts w:hint="eastAsia" w:ascii="宋体" w:hAnsi="宋体"/>
          <w:b/>
          <w:szCs w:val="21"/>
        </w:rPr>
        <w:t>第一册  专用条款</w:t>
      </w:r>
    </w:p>
    <w:p w14:paraId="41FFBFD3">
      <w:pPr>
        <w:ind w:left="1079" w:leftChars="514"/>
        <w:rPr>
          <w:rFonts w:ascii="宋体" w:hAnsi="宋体"/>
          <w:b/>
          <w:szCs w:val="21"/>
        </w:rPr>
      </w:pPr>
      <w:r>
        <w:rPr>
          <w:rFonts w:hint="eastAsia" w:ascii="宋体" w:hAnsi="宋体"/>
          <w:b/>
          <w:szCs w:val="21"/>
        </w:rPr>
        <w:t>关键信息</w:t>
      </w:r>
    </w:p>
    <w:p w14:paraId="2F19844E">
      <w:pPr>
        <w:ind w:left="630" w:leftChars="300" w:firstLine="411" w:firstLineChars="196"/>
        <w:outlineLvl w:val="0"/>
        <w:rPr>
          <w:rFonts w:ascii="宋体" w:hAnsi="宋体"/>
          <w:szCs w:val="21"/>
        </w:rPr>
      </w:pPr>
      <w:r>
        <w:rPr>
          <w:rFonts w:hint="eastAsia" w:ascii="宋体" w:hAnsi="宋体"/>
          <w:szCs w:val="21"/>
        </w:rPr>
        <w:t>第一章  招标公告</w:t>
      </w:r>
    </w:p>
    <w:p w14:paraId="108E41D2">
      <w:pPr>
        <w:ind w:left="630" w:leftChars="300" w:firstLine="411" w:firstLineChars="196"/>
        <w:outlineLvl w:val="0"/>
        <w:rPr>
          <w:rFonts w:ascii="宋体" w:hAnsi="宋体"/>
          <w:szCs w:val="21"/>
        </w:rPr>
      </w:pPr>
      <w:r>
        <w:rPr>
          <w:rFonts w:hint="eastAsia" w:ascii="宋体" w:hAnsi="宋体"/>
          <w:szCs w:val="21"/>
        </w:rPr>
        <w:t>第二章  对通用条款的补充内容及其他关键信息</w:t>
      </w:r>
    </w:p>
    <w:p w14:paraId="5D500108">
      <w:pPr>
        <w:ind w:left="630" w:leftChars="300" w:firstLine="411" w:firstLineChars="196"/>
        <w:outlineLvl w:val="0"/>
        <w:rPr>
          <w:rFonts w:ascii="宋体" w:hAnsi="宋体"/>
          <w:szCs w:val="21"/>
        </w:rPr>
      </w:pPr>
      <w:r>
        <w:rPr>
          <w:rFonts w:hint="eastAsia" w:ascii="宋体" w:hAnsi="宋体"/>
          <w:szCs w:val="21"/>
        </w:rPr>
        <w:t>第三章  用户需求书</w:t>
      </w:r>
    </w:p>
    <w:p w14:paraId="2ECF758D">
      <w:pPr>
        <w:ind w:left="630" w:leftChars="300" w:firstLine="411" w:firstLineChars="196"/>
        <w:outlineLvl w:val="0"/>
        <w:rPr>
          <w:rFonts w:ascii="宋体" w:hAnsi="宋体"/>
          <w:szCs w:val="21"/>
        </w:rPr>
      </w:pPr>
      <w:r>
        <w:rPr>
          <w:rFonts w:hint="eastAsia"/>
        </w:rPr>
        <w:t>第四章 投标文件格式及附件</w:t>
      </w:r>
    </w:p>
    <w:p w14:paraId="22B8BDF4">
      <w:pPr>
        <w:ind w:left="630" w:leftChars="300" w:firstLine="411" w:firstLineChars="196"/>
        <w:outlineLvl w:val="0"/>
        <w:rPr>
          <w:rFonts w:ascii="宋体" w:hAnsi="宋体"/>
          <w:szCs w:val="21"/>
        </w:rPr>
      </w:pPr>
      <w:r>
        <w:rPr>
          <w:rFonts w:hint="eastAsia" w:ascii="宋体" w:hAnsi="宋体"/>
          <w:szCs w:val="21"/>
        </w:rPr>
        <w:t>第五章  合同条款及格式</w:t>
      </w:r>
    </w:p>
    <w:p w14:paraId="5B76249F">
      <w:pPr>
        <w:ind w:left="420" w:leftChars="200" w:firstLine="413" w:firstLineChars="196"/>
        <w:outlineLvl w:val="0"/>
        <w:rPr>
          <w:rFonts w:ascii="宋体" w:hAnsi="宋体"/>
          <w:b/>
          <w:szCs w:val="21"/>
        </w:rPr>
      </w:pPr>
      <w:r>
        <w:rPr>
          <w:rFonts w:hint="eastAsia" w:ascii="宋体" w:hAnsi="宋体"/>
          <w:b/>
          <w:szCs w:val="21"/>
        </w:rPr>
        <w:t>第二册  通用条款</w:t>
      </w:r>
    </w:p>
    <w:p w14:paraId="6E12E93D">
      <w:pPr>
        <w:ind w:left="630" w:leftChars="300" w:firstLine="411" w:firstLineChars="196"/>
        <w:outlineLvl w:val="0"/>
        <w:rPr>
          <w:rFonts w:ascii="宋体" w:hAnsi="宋体"/>
          <w:szCs w:val="21"/>
        </w:rPr>
      </w:pPr>
      <w:r>
        <w:rPr>
          <w:rFonts w:hint="eastAsia" w:ascii="宋体" w:hAnsi="宋体"/>
          <w:szCs w:val="21"/>
        </w:rPr>
        <w:t>第一章  总则</w:t>
      </w:r>
    </w:p>
    <w:p w14:paraId="61FB7195">
      <w:pPr>
        <w:ind w:left="630" w:leftChars="300" w:firstLine="411" w:firstLineChars="196"/>
        <w:outlineLvl w:val="0"/>
        <w:rPr>
          <w:rFonts w:ascii="宋体" w:hAnsi="宋体"/>
          <w:szCs w:val="21"/>
        </w:rPr>
      </w:pPr>
      <w:r>
        <w:rPr>
          <w:rFonts w:hint="eastAsia" w:ascii="宋体" w:hAnsi="宋体"/>
          <w:szCs w:val="21"/>
        </w:rPr>
        <w:t>第二章  招标文件</w:t>
      </w:r>
    </w:p>
    <w:p w14:paraId="34C70E6B">
      <w:pPr>
        <w:ind w:left="630" w:leftChars="300" w:firstLine="411" w:firstLineChars="196"/>
        <w:outlineLvl w:val="0"/>
        <w:rPr>
          <w:rFonts w:ascii="宋体" w:hAnsi="宋体"/>
          <w:szCs w:val="21"/>
        </w:rPr>
      </w:pPr>
      <w:r>
        <w:rPr>
          <w:rFonts w:hint="eastAsia" w:ascii="宋体" w:hAnsi="宋体"/>
          <w:szCs w:val="21"/>
        </w:rPr>
        <w:t>第三章  投标文件的编制</w:t>
      </w:r>
    </w:p>
    <w:p w14:paraId="4B435C69">
      <w:pPr>
        <w:ind w:left="630" w:leftChars="300" w:firstLine="411" w:firstLineChars="196"/>
        <w:outlineLvl w:val="0"/>
        <w:rPr>
          <w:rFonts w:ascii="宋体" w:hAnsi="宋体"/>
          <w:szCs w:val="21"/>
        </w:rPr>
      </w:pPr>
      <w:r>
        <w:rPr>
          <w:rFonts w:hint="eastAsia" w:ascii="宋体" w:hAnsi="宋体"/>
          <w:szCs w:val="21"/>
        </w:rPr>
        <w:t>第四章  投标文件的递交</w:t>
      </w:r>
    </w:p>
    <w:p w14:paraId="283B63B0">
      <w:pPr>
        <w:ind w:left="630" w:leftChars="300" w:firstLine="411" w:firstLineChars="196"/>
        <w:outlineLvl w:val="0"/>
        <w:rPr>
          <w:rFonts w:ascii="宋体" w:hAnsi="宋体"/>
          <w:szCs w:val="21"/>
        </w:rPr>
      </w:pPr>
      <w:r>
        <w:rPr>
          <w:rFonts w:hint="eastAsia" w:ascii="宋体" w:hAnsi="宋体"/>
          <w:szCs w:val="21"/>
        </w:rPr>
        <w:t>第五章  开标</w:t>
      </w:r>
    </w:p>
    <w:p w14:paraId="147375E1">
      <w:pPr>
        <w:ind w:left="630" w:leftChars="300" w:firstLine="411" w:firstLineChars="196"/>
        <w:outlineLvl w:val="0"/>
        <w:rPr>
          <w:rFonts w:ascii="宋体" w:hAnsi="宋体"/>
          <w:szCs w:val="21"/>
        </w:rPr>
      </w:pPr>
      <w:r>
        <w:rPr>
          <w:rFonts w:hint="eastAsia" w:ascii="宋体" w:hAnsi="宋体"/>
          <w:szCs w:val="21"/>
        </w:rPr>
        <w:t>第六章  评审要求</w:t>
      </w:r>
    </w:p>
    <w:p w14:paraId="4508BEBC">
      <w:pPr>
        <w:ind w:left="630" w:leftChars="300" w:firstLine="411" w:firstLineChars="196"/>
        <w:outlineLvl w:val="0"/>
        <w:rPr>
          <w:rFonts w:ascii="宋体" w:hAnsi="宋体"/>
          <w:szCs w:val="21"/>
        </w:rPr>
      </w:pPr>
      <w:r>
        <w:rPr>
          <w:rFonts w:hint="eastAsia" w:ascii="宋体" w:hAnsi="宋体"/>
          <w:szCs w:val="21"/>
        </w:rPr>
        <w:t>第七章  评审程序及评审方法</w:t>
      </w:r>
    </w:p>
    <w:p w14:paraId="48C89DA9">
      <w:pPr>
        <w:ind w:left="630" w:leftChars="300" w:firstLine="411" w:firstLineChars="196"/>
        <w:outlineLvl w:val="0"/>
        <w:rPr>
          <w:rFonts w:ascii="宋体" w:hAnsi="宋体"/>
          <w:szCs w:val="21"/>
        </w:rPr>
      </w:pPr>
      <w:r>
        <w:rPr>
          <w:rFonts w:hint="eastAsia" w:ascii="宋体" w:hAnsi="宋体"/>
          <w:szCs w:val="21"/>
        </w:rPr>
        <w:t>第八章  定标及公示</w:t>
      </w:r>
    </w:p>
    <w:p w14:paraId="015C7B10">
      <w:pPr>
        <w:ind w:left="630" w:leftChars="300" w:firstLine="411" w:firstLineChars="196"/>
        <w:outlineLvl w:val="0"/>
        <w:rPr>
          <w:rFonts w:ascii="宋体" w:hAnsi="宋体"/>
          <w:szCs w:val="21"/>
        </w:rPr>
      </w:pPr>
      <w:r>
        <w:rPr>
          <w:rFonts w:hint="eastAsia" w:ascii="宋体" w:hAnsi="宋体"/>
          <w:szCs w:val="21"/>
        </w:rPr>
        <w:t>第九章  公开招标失败的后续处理</w:t>
      </w:r>
    </w:p>
    <w:p w14:paraId="140CF290">
      <w:pPr>
        <w:ind w:left="630" w:leftChars="300" w:firstLine="411" w:firstLineChars="196"/>
        <w:outlineLvl w:val="0"/>
        <w:rPr>
          <w:rFonts w:ascii="宋体" w:hAnsi="宋体"/>
          <w:szCs w:val="21"/>
        </w:rPr>
      </w:pPr>
      <w:r>
        <w:rPr>
          <w:rFonts w:hint="eastAsia" w:ascii="宋体" w:hAnsi="宋体"/>
          <w:szCs w:val="21"/>
        </w:rPr>
        <w:t>第十章  合同的授予与备案</w:t>
      </w:r>
    </w:p>
    <w:p w14:paraId="5D7248D8">
      <w:pPr>
        <w:ind w:left="630" w:leftChars="300" w:firstLine="411" w:firstLineChars="196"/>
        <w:outlineLvl w:val="0"/>
        <w:rPr>
          <w:rFonts w:ascii="宋体" w:hAnsi="宋体"/>
          <w:szCs w:val="21"/>
        </w:rPr>
      </w:pPr>
      <w:r>
        <w:rPr>
          <w:rFonts w:hint="eastAsia" w:ascii="宋体" w:hAnsi="宋体"/>
          <w:szCs w:val="21"/>
        </w:rPr>
        <w:t>第十一章  质疑处理</w:t>
      </w:r>
    </w:p>
    <w:p w14:paraId="10C0FBE0">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2693E32D">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14:paraId="10E4E146">
      <w:pPr>
        <w:rPr>
          <w:rFonts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14:paraId="442457DE">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14:paraId="305AE36B">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.2投标人如对招标文件内容有疑问，应当在招标公告规定的澄清（提问）截止时间前以网上提问的形式通过网上政府采购系统提交政府集中采购机构。</w:t>
      </w:r>
    </w:p>
    <w:p w14:paraId="55C746F5">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14:paraId="541D5CFD">
      <w:pPr>
        <w:rPr>
          <w:rFonts w:ascii="黑体" w:hAnsi="宋体" w:eastAsia="黑体"/>
          <w:sz w:val="24"/>
        </w:rPr>
      </w:pPr>
      <w:r>
        <w:rPr>
          <w:rFonts w:ascii="黑体" w:hAnsi="宋体" w:eastAsia="黑体"/>
          <w:sz w:val="24"/>
        </w:rPr>
        <w:t>1</w:t>
      </w:r>
      <w:r>
        <w:rPr>
          <w:rFonts w:hint="eastAsia" w:ascii="黑体" w:hAnsi="宋体" w:eastAsia="黑体"/>
          <w:sz w:val="24"/>
        </w:rPr>
        <w:t>3．招标文件的修改</w:t>
      </w:r>
    </w:p>
    <w:p w14:paraId="01910157">
      <w:pPr>
        <w:ind w:firstLine="411" w:firstLineChars="196"/>
        <w:rPr>
          <w:rFonts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3.1招标文件发出后，在投标截止日期前任何时候，确需要变更招标文件内容的，政府集中采购机构可主动或在解答投标人提出的澄清问题时对招标文件进行修改。</w:t>
      </w:r>
    </w:p>
    <w:p w14:paraId="0ED761C1">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3.2招标文件的修改以书面形式（包括政府集中采购机构网站发布方式，如更正公告等）发送给所有投标人，招标文件的修改内容作为招标文件的组成部分，并具有约束力。</w:t>
      </w:r>
    </w:p>
    <w:p w14:paraId="5F7C9295">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14:paraId="1868E8D4">
      <w:pPr>
        <w:ind w:firstLine="411" w:firstLineChars="196"/>
        <w:rPr>
          <w:rFonts w:ascii="宋体" w:hAnsi="宋体"/>
          <w:szCs w:val="21"/>
        </w:rPr>
      </w:pPr>
      <w:r>
        <w:rPr>
          <w:rFonts w:ascii="宋体" w:hAnsi="宋体"/>
          <w:szCs w:val="21"/>
        </w:rPr>
        <w:t>1</w:t>
      </w:r>
      <w:r>
        <w:rPr>
          <w:rFonts w:hint="eastAsia" w:ascii="宋体" w:hAnsi="宋体"/>
          <w:szCs w:val="21"/>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85"/>
    </w:p>
    <w:p w14:paraId="24B5BCA1">
      <w:pPr>
        <w:pStyle w:val="7"/>
        <w:numPr>
          <w:ilvl w:val="0"/>
          <w:numId w:val="17"/>
        </w:numPr>
        <w:spacing w:before="120" w:beforeLines="50" w:after="120" w:afterLines="50"/>
        <w:ind w:left="562" w:hanging="562"/>
        <w:rPr>
          <w:sz w:val="28"/>
          <w:szCs w:val="28"/>
        </w:rPr>
      </w:pPr>
      <w:r>
        <w:rPr>
          <w:rFonts w:hint="eastAsia"/>
          <w:sz w:val="28"/>
          <w:szCs w:val="28"/>
        </w:rPr>
        <w:t>投标文件的编制</w:t>
      </w:r>
    </w:p>
    <w:p w14:paraId="6BB6EA75">
      <w:pPr>
        <w:rPr>
          <w:rFonts w:ascii="黑体" w:hAnsi="宋体" w:eastAsia="黑体"/>
          <w:sz w:val="24"/>
        </w:rPr>
      </w:pPr>
      <w:r>
        <w:rPr>
          <w:rFonts w:hint="eastAsia" w:ascii="黑体" w:hAnsi="宋体" w:eastAsia="黑体"/>
          <w:sz w:val="24"/>
        </w:rPr>
        <w:t>14．</w:t>
      </w:r>
      <w:bookmarkStart w:id="86" w:name="_Hlk72400236"/>
      <w:r>
        <w:rPr>
          <w:rFonts w:hint="eastAsia" w:ascii="黑体" w:hAnsi="宋体" w:eastAsia="黑体"/>
          <w:sz w:val="24"/>
        </w:rPr>
        <w:t>投标文件的语言及度量单位</w:t>
      </w:r>
    </w:p>
    <w:p w14:paraId="3F242504">
      <w:pPr>
        <w:ind w:firstLine="411" w:firstLineChars="196"/>
        <w:rPr>
          <w:rFonts w:ascii="宋体" w:hAnsi="宋体"/>
          <w:szCs w:val="21"/>
        </w:rPr>
      </w:pPr>
      <w:r>
        <w:rPr>
          <w:rFonts w:hint="eastAsia" w:ascii="宋体" w:hAnsi="宋体"/>
          <w:szCs w:val="21"/>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14:paraId="502A1578">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bookmarkEnd w:id="86"/>
    <w:p w14:paraId="4C370459">
      <w:pPr>
        <w:rPr>
          <w:rFonts w:ascii="黑体" w:hAnsi="宋体" w:eastAsia="黑体"/>
          <w:sz w:val="24"/>
        </w:rPr>
      </w:pPr>
      <w:r>
        <w:rPr>
          <w:rFonts w:hint="eastAsia" w:ascii="黑体" w:hAnsi="宋体" w:eastAsia="黑体"/>
          <w:sz w:val="24"/>
        </w:rPr>
        <w:t>15．</w:t>
      </w:r>
      <w:bookmarkStart w:id="87" w:name="_Hlk72401567"/>
      <w:r>
        <w:rPr>
          <w:rFonts w:hint="eastAsia" w:ascii="黑体" w:hAnsi="宋体" w:eastAsia="黑体"/>
          <w:sz w:val="24"/>
        </w:rPr>
        <w:t>投标文件的组成</w:t>
      </w:r>
    </w:p>
    <w:p w14:paraId="5C8519CC">
      <w:pPr>
        <w:ind w:firstLine="411" w:firstLineChars="196"/>
        <w:rPr>
          <w:rFonts w:ascii="宋体" w:hAnsi="宋体"/>
          <w:szCs w:val="21"/>
        </w:rPr>
      </w:pPr>
      <w:r>
        <w:rPr>
          <w:rFonts w:hint="eastAsia" w:ascii="宋体" w:hAnsi="宋体"/>
          <w:szCs w:val="21"/>
        </w:rPr>
        <w:t>具体内容在招标文件专用条款中进行规定。</w:t>
      </w:r>
    </w:p>
    <w:p w14:paraId="6BE92DCF">
      <w:pPr>
        <w:rPr>
          <w:rFonts w:ascii="黑体" w:hAnsi="宋体" w:eastAsia="黑体"/>
          <w:sz w:val="24"/>
        </w:rPr>
      </w:pPr>
      <w:r>
        <w:rPr>
          <w:rFonts w:ascii="黑体" w:hAnsi="宋体" w:eastAsia="黑体"/>
          <w:sz w:val="24"/>
        </w:rPr>
        <w:t>16．投标文件格式</w:t>
      </w:r>
    </w:p>
    <w:p w14:paraId="113FF3FB">
      <w:pPr>
        <w:ind w:firstLine="411" w:firstLineChars="196"/>
        <w:rPr>
          <w:rFonts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4B0D8B56">
      <w:pPr>
        <w:rPr>
          <w:rFonts w:ascii="黑体" w:hAnsi="宋体" w:eastAsia="黑体"/>
          <w:sz w:val="24"/>
        </w:rPr>
      </w:pPr>
      <w:r>
        <w:rPr>
          <w:rFonts w:hint="eastAsia" w:ascii="黑体" w:hAnsi="宋体" w:eastAsia="黑体"/>
          <w:sz w:val="24"/>
        </w:rPr>
        <w:t>17．投标货币</w:t>
      </w:r>
    </w:p>
    <w:p w14:paraId="029C1156">
      <w:pPr>
        <w:ind w:firstLine="411" w:firstLineChars="196"/>
        <w:rPr>
          <w:rFonts w:ascii="宋体" w:hAnsi="宋体"/>
          <w:szCs w:val="21"/>
        </w:rPr>
      </w:pPr>
      <w:r>
        <w:rPr>
          <w:rFonts w:hint="eastAsia" w:ascii="宋体" w:hAnsi="宋体"/>
          <w:szCs w:val="21"/>
        </w:rPr>
        <w:t>本项目的投标报价应以人民币计。</w:t>
      </w:r>
    </w:p>
    <w:bookmarkEnd w:id="87"/>
    <w:p w14:paraId="404651F7">
      <w:pPr>
        <w:rPr>
          <w:rFonts w:ascii="黑体" w:hAnsi="宋体" w:eastAsia="黑体"/>
          <w:sz w:val="24"/>
        </w:rPr>
      </w:pPr>
      <w:r>
        <w:rPr>
          <w:rFonts w:hint="eastAsia" w:ascii="黑体" w:hAnsi="宋体" w:eastAsia="黑体"/>
          <w:sz w:val="24"/>
        </w:rPr>
        <w:t>18．</w:t>
      </w:r>
      <w:bookmarkStart w:id="88" w:name="_Hlk72401735"/>
      <w:r>
        <w:rPr>
          <w:rFonts w:hint="eastAsia" w:ascii="黑体" w:hAnsi="宋体" w:eastAsia="黑体"/>
          <w:sz w:val="24"/>
        </w:rPr>
        <w:t>证明投标文件投标技术方案的合格性和符合招标文件规定的文件要求</w:t>
      </w:r>
    </w:p>
    <w:p w14:paraId="6E843839">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14:paraId="0FE79DB8">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45DA571F">
      <w:pPr>
        <w:ind w:firstLine="411" w:firstLineChars="196"/>
        <w:rPr>
          <w:rFonts w:ascii="宋体" w:hAnsi="宋体"/>
          <w:szCs w:val="21"/>
        </w:rPr>
      </w:pPr>
      <w:r>
        <w:rPr>
          <w:rFonts w:hint="eastAsia" w:ascii="宋体" w:hAnsi="宋体"/>
          <w:szCs w:val="21"/>
        </w:rPr>
        <w:t>18.2.1主要技术指标和性能的详细说明。</w:t>
      </w:r>
    </w:p>
    <w:p w14:paraId="7FD0F868">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14:paraId="68E42C1F">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00A556DE">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14:paraId="6B393148">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7750ABDE">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51D6F9DA">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14:paraId="0F4CEEA6">
      <w:pPr>
        <w:ind w:firstLine="411" w:firstLineChars="196"/>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88"/>
    <w:p w14:paraId="3E04EC0C">
      <w:pPr>
        <w:rPr>
          <w:rFonts w:ascii="黑体" w:hAnsi="宋体" w:eastAsia="黑体"/>
          <w:sz w:val="24"/>
        </w:rPr>
      </w:pPr>
      <w:r>
        <w:rPr>
          <w:rFonts w:hint="eastAsia" w:ascii="黑体" w:hAnsi="宋体" w:eastAsia="黑体"/>
          <w:sz w:val="24"/>
        </w:rPr>
        <w:t>19．</w:t>
      </w:r>
      <w:bookmarkStart w:id="89" w:name="_Hlk72402034"/>
      <w:r>
        <w:rPr>
          <w:rFonts w:hint="eastAsia" w:ascii="黑体" w:hAnsi="宋体" w:eastAsia="黑体"/>
          <w:sz w:val="24"/>
        </w:rPr>
        <w:t>投标文件其他证明文件的要求</w:t>
      </w:r>
    </w:p>
    <w:p w14:paraId="4DB3AFFB">
      <w:pPr>
        <w:ind w:firstLine="420" w:firstLineChars="200"/>
        <w:rPr>
          <w:rFonts w:ascii="宋体" w:hAnsi="宋体"/>
          <w:color w:val="FF0000"/>
          <w:szCs w:val="21"/>
        </w:rPr>
      </w:pP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90" w:name="_Hlk71407299"/>
    </w:p>
    <w:bookmarkEnd w:id="90"/>
    <w:p w14:paraId="3F48B1E6">
      <w:pPr>
        <w:ind w:firstLine="411" w:firstLineChars="196"/>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25C37C27">
      <w:pPr>
        <w:rPr>
          <w:rFonts w:ascii="黑体" w:hAnsi="宋体" w:eastAsia="黑体"/>
          <w:sz w:val="24"/>
        </w:rPr>
      </w:pPr>
      <w:r>
        <w:rPr>
          <w:rFonts w:hint="eastAsia" w:ascii="黑体" w:hAnsi="宋体" w:eastAsia="黑体"/>
          <w:sz w:val="24"/>
        </w:rPr>
        <w:t>20．投标有效期</w:t>
      </w:r>
    </w:p>
    <w:bookmarkEnd w:id="89"/>
    <w:p w14:paraId="3577C194">
      <w:pPr>
        <w:ind w:firstLine="411" w:firstLineChars="196"/>
        <w:rPr>
          <w:rFonts w:ascii="宋体" w:hAnsi="宋体"/>
          <w:szCs w:val="21"/>
        </w:rPr>
      </w:pPr>
      <w:bookmarkStart w:id="91"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15B8E3F3">
      <w:pPr>
        <w:ind w:firstLine="411" w:firstLineChars="196"/>
        <w:rPr>
          <w:rFonts w:ascii="宋体" w:hAnsi="宋体"/>
          <w:szCs w:val="21"/>
        </w:rPr>
      </w:pPr>
      <w:r>
        <w:rPr>
          <w:rFonts w:hint="eastAsia" w:ascii="宋体" w:hAnsi="宋体"/>
          <w:szCs w:val="21"/>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14:paraId="4E54EB36">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91"/>
    <w:p w14:paraId="3E87F185">
      <w:pPr>
        <w:rPr>
          <w:rFonts w:ascii="黑体" w:hAnsi="宋体" w:eastAsia="黑体"/>
          <w:sz w:val="24"/>
        </w:rPr>
      </w:pPr>
      <w:r>
        <w:rPr>
          <w:rFonts w:hint="eastAsia" w:ascii="黑体" w:hAnsi="宋体" w:eastAsia="黑体"/>
          <w:sz w:val="24"/>
        </w:rPr>
        <w:t>21．</w:t>
      </w:r>
      <w:bookmarkStart w:id="92" w:name="_Hlk72402325"/>
      <w:r>
        <w:rPr>
          <w:rFonts w:hint="eastAsia" w:ascii="黑体" w:hAnsi="宋体" w:eastAsia="黑体"/>
          <w:sz w:val="24"/>
        </w:rPr>
        <w:t xml:space="preserve">关于投标保证金 </w:t>
      </w:r>
    </w:p>
    <w:p w14:paraId="618054F1">
      <w:pPr>
        <w:rPr>
          <w:rFonts w:ascii="宋体" w:hAnsi="宋体"/>
          <w:szCs w:val="21"/>
        </w:rPr>
      </w:pPr>
      <w:r>
        <w:rPr>
          <w:rFonts w:hint="eastAsia" w:ascii="宋体" w:hAnsi="宋体"/>
          <w:szCs w:val="21"/>
        </w:rPr>
        <w:t xml:space="preserve">    21.1 </w:t>
      </w:r>
      <w:r>
        <w:rPr>
          <w:rFonts w:hint="eastAsia"/>
        </w:rPr>
        <w:t>本项目不收取投标保证金。</w:t>
      </w:r>
    </w:p>
    <w:p w14:paraId="7DDC94C3">
      <w:pPr>
        <w:rPr>
          <w:rFonts w:ascii="黑体" w:hAnsi="宋体" w:eastAsia="黑体"/>
          <w:sz w:val="24"/>
        </w:rPr>
      </w:pPr>
      <w:r>
        <w:rPr>
          <w:rFonts w:hint="eastAsia" w:ascii="黑体" w:hAnsi="宋体" w:eastAsia="黑体"/>
          <w:sz w:val="24"/>
        </w:rPr>
        <w:t>22．投标人的替代方案</w:t>
      </w:r>
    </w:p>
    <w:p w14:paraId="7ED8A21C">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7ADCD1F0">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92"/>
    <w:p w14:paraId="6E061D45">
      <w:pPr>
        <w:rPr>
          <w:rFonts w:ascii="黑体" w:hAnsi="宋体" w:eastAsia="黑体"/>
          <w:sz w:val="24"/>
        </w:rPr>
      </w:pPr>
      <w:r>
        <w:rPr>
          <w:rFonts w:hint="eastAsia" w:ascii="黑体" w:hAnsi="宋体" w:eastAsia="黑体"/>
          <w:sz w:val="24"/>
        </w:rPr>
        <w:t>23．</w:t>
      </w:r>
      <w:bookmarkStart w:id="93"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bookmarkEnd w:id="93"/>
    <w:p w14:paraId="44F63D4D">
      <w:pPr>
        <w:snapToGrid w:val="0"/>
        <w:ind w:firstLine="420" w:firstLineChars="200"/>
        <w:rPr>
          <w:rFonts w:ascii="宋体" w:hAnsi="宋体" w:cs="宋体"/>
          <w:bCs/>
        </w:rPr>
      </w:pPr>
      <w:r>
        <w:rPr>
          <w:rFonts w:hint="eastAsia" w:ascii="宋体" w:hAnsi="宋体" w:cs="宋体"/>
          <w:bCs/>
        </w:rPr>
        <w:t>23.1投标人应准备一份“唱标信封”（包括投标文件电子文档一份）、一份正本（注明投标人名称及项目名称）和专用条款规定数量的副本投标文件，在每一份投标文件上编上页码，装订成册，并要明确注明 “正本”或“副本”字样，一旦正本和副本发现差异，以正本为准。</w:t>
      </w:r>
    </w:p>
    <w:p w14:paraId="10E0D695">
      <w:pPr>
        <w:snapToGrid w:val="0"/>
        <w:ind w:firstLine="420" w:firstLineChars="200"/>
        <w:rPr>
          <w:rFonts w:ascii="宋体" w:hAnsi="宋体" w:cs="宋体"/>
        </w:rPr>
      </w:pPr>
      <w:r>
        <w:rPr>
          <w:rFonts w:hint="eastAsia" w:ascii="宋体" w:hAnsi="宋体" w:cs="宋体"/>
        </w:rPr>
        <w:t>23.2 投标文件正本和副本须使用不褪色墨水打印，由投标人法定代表人或其授权代表在对应位置签字，后者须将“法定代表人授权书”以书面形式附在投标文件中。</w:t>
      </w:r>
      <w:r>
        <w:rPr>
          <w:rFonts w:hint="eastAsia" w:ascii="宋体" w:hAnsi="宋体" w:cs="宋体"/>
          <w:bCs/>
        </w:rPr>
        <w:t>副</w:t>
      </w:r>
      <w:r>
        <w:rPr>
          <w:rFonts w:hint="eastAsia" w:ascii="宋体" w:hAnsi="宋体" w:cs="宋体"/>
        </w:rPr>
        <w:t>本文件可由正本文件复印而成。</w:t>
      </w:r>
    </w:p>
    <w:p w14:paraId="74EF47B6">
      <w:pPr>
        <w:snapToGrid w:val="0"/>
        <w:ind w:firstLine="420" w:firstLineChars="200"/>
        <w:rPr>
          <w:rFonts w:ascii="宋体" w:hAnsi="宋体" w:cs="宋体"/>
          <w:b/>
          <w:bCs/>
          <w:u w:val="single"/>
        </w:rPr>
      </w:pPr>
      <w:r>
        <w:rPr>
          <w:rFonts w:hint="eastAsia" w:ascii="宋体" w:hAnsi="宋体" w:cs="宋体"/>
        </w:rPr>
        <w:t>23.3 除投标人对错处作必要修改外，投标文件中不许有加行、涂抹或改写。</w:t>
      </w:r>
      <w:r>
        <w:rPr>
          <w:rFonts w:hint="eastAsia" w:ascii="宋体" w:hAnsi="宋体" w:cs="宋体"/>
          <w:b/>
          <w:bCs/>
          <w:u w:val="single"/>
        </w:rPr>
        <w:t>若有修改须由投标人法定代表人或其授权代表进行签字，并加盖投标人公章。</w:t>
      </w:r>
    </w:p>
    <w:p w14:paraId="59EA0889">
      <w:pPr>
        <w:snapToGrid w:val="0"/>
        <w:ind w:firstLine="420" w:firstLineChars="200"/>
        <w:rPr>
          <w:rFonts w:ascii="宋体" w:hAnsi="宋体" w:cs="宋体"/>
          <w:b/>
          <w:bCs/>
          <w:u w:val="single"/>
        </w:rPr>
      </w:pPr>
      <w:r>
        <w:rPr>
          <w:rFonts w:hint="eastAsia" w:ascii="宋体" w:hAnsi="宋体" w:cs="宋体"/>
          <w:u w:val="single"/>
        </w:rPr>
        <w:t>23.4 投标文件的[正本]及所有[副本]的封面均须</w:t>
      </w:r>
      <w:r>
        <w:rPr>
          <w:rFonts w:hint="eastAsia" w:ascii="宋体" w:hAnsi="宋体" w:cs="宋体"/>
          <w:b/>
          <w:bCs/>
          <w:u w:val="single"/>
        </w:rPr>
        <w:t>加盖投标人公章</w:t>
      </w:r>
      <w:r>
        <w:rPr>
          <w:rFonts w:hint="eastAsia" w:ascii="宋体" w:hAnsi="宋体" w:cs="宋体"/>
          <w:u w:val="single"/>
        </w:rPr>
        <w:t>。</w:t>
      </w:r>
    </w:p>
    <w:p w14:paraId="5EE7E0EE">
      <w:pPr>
        <w:snapToGrid w:val="0"/>
        <w:ind w:firstLine="420" w:firstLineChars="200"/>
        <w:rPr>
          <w:rFonts w:ascii="宋体" w:hAnsi="宋体" w:cs="宋体"/>
          <w:b/>
          <w:bCs/>
          <w:u w:val="single"/>
        </w:rPr>
      </w:pPr>
      <w:r>
        <w:rPr>
          <w:rFonts w:hint="eastAsia" w:ascii="宋体" w:hAnsi="宋体" w:cs="宋体"/>
        </w:rPr>
        <w:t>23.5投标文件的封面应注明“采购项目名称、项目编号、投标人名称、投标日期等”。</w:t>
      </w:r>
    </w:p>
    <w:p w14:paraId="29DE3AD4">
      <w:pPr>
        <w:snapToGrid w:val="0"/>
        <w:ind w:firstLine="420" w:firstLineChars="200"/>
        <w:rPr>
          <w:rFonts w:ascii="宋体" w:hAnsi="宋体" w:cs="宋体"/>
        </w:rPr>
      </w:pPr>
      <w:r>
        <w:rPr>
          <w:rFonts w:hint="eastAsia" w:ascii="宋体" w:hAnsi="宋体" w:cs="宋体"/>
        </w:rPr>
        <w:t>23.6电子文件内容包括：①投标文件完整的Word版本（DOC或者DOCX格式）；②投标文件正本</w:t>
      </w:r>
      <w:r>
        <w:rPr>
          <w:rFonts w:hint="eastAsia" w:ascii="宋体" w:hAnsi="宋体" w:cs="宋体"/>
          <w:highlight w:val="yellow"/>
        </w:rPr>
        <w:t>扫描件（PDF分为公开部分和非公开部分，要求彩色扫描，扫描页面清晰、完整</w:t>
      </w:r>
      <w:r>
        <w:rPr>
          <w:rFonts w:hint="eastAsia" w:ascii="宋体" w:hAnsi="宋体" w:cs="宋体"/>
        </w:rPr>
        <w:t>），内容包括：由投标人自行制作的与投标文件正本一致的所有文件；电子文件用U盘储存，并密封于“唱标信封”内。</w:t>
      </w:r>
    </w:p>
    <w:p w14:paraId="5D80240B">
      <w:pPr>
        <w:snapToGrid w:val="0"/>
        <w:ind w:firstLine="422" w:firstLineChars="200"/>
        <w:rPr>
          <w:rFonts w:ascii="宋体" w:hAnsi="宋体" w:cs="宋体"/>
          <w:b/>
          <w:color w:val="FF0000"/>
          <w:u w:val="single"/>
        </w:rPr>
      </w:pPr>
      <w:r>
        <w:rPr>
          <w:rFonts w:hint="eastAsia" w:ascii="宋体" w:hAnsi="宋体" w:cs="宋体"/>
          <w:b/>
          <w:u w:val="single"/>
        </w:rPr>
        <w:t xml:space="preserve">23.7 </w:t>
      </w:r>
      <w:r>
        <w:rPr>
          <w:rFonts w:hint="eastAsia" w:ascii="宋体" w:hAnsi="宋体" w:cs="宋体"/>
          <w:b/>
          <w:color w:val="FF0000"/>
          <w:u w:val="single"/>
        </w:rPr>
        <w:t>唱标信封须单独密封并加盖投标人公章。</w:t>
      </w:r>
    </w:p>
    <w:p w14:paraId="2C8AEB89">
      <w:pPr>
        <w:pStyle w:val="36"/>
        <w:ind w:firstLine="211" w:firstLineChars="100"/>
        <w:rPr>
          <w:color w:val="FF0000"/>
        </w:rPr>
      </w:pPr>
      <w:r>
        <w:rPr>
          <w:rFonts w:hint="eastAsia" w:ascii="宋体" w:hAnsi="宋体" w:cs="宋体"/>
          <w:b/>
          <w:smallCaps w:val="0"/>
          <w:u w:val="single"/>
        </w:rPr>
        <w:t xml:space="preserve">23.8 </w:t>
      </w:r>
      <w:r>
        <w:rPr>
          <w:rFonts w:hint="eastAsia" w:ascii="宋体" w:hAnsi="宋体" w:cs="宋体"/>
          <w:b/>
          <w:color w:val="FF0000"/>
          <w:u w:val="single"/>
        </w:rPr>
        <w:t>投标文件应加盖骑缝章，若采用散装或者活页夹编制投标文件，则有可能导致投标文件无效。</w:t>
      </w:r>
    </w:p>
    <w:p w14:paraId="2CDE909E">
      <w:pPr>
        <w:snapToGrid w:val="0"/>
        <w:ind w:firstLine="420" w:firstLineChars="200"/>
        <w:rPr>
          <w:rFonts w:ascii="宋体" w:hAnsi="宋体" w:cs="宋体"/>
        </w:rPr>
      </w:pPr>
      <w:r>
        <w:rPr>
          <w:rFonts w:hint="eastAsia" w:ascii="宋体" w:hAnsi="宋体" w:cs="宋体"/>
        </w:rPr>
        <w:t>23.9 政府集中采购机构不接受投标截止时间后递交的纸质、电子、传真等所有形式的投标文件。</w:t>
      </w:r>
    </w:p>
    <w:p w14:paraId="500BC0AD">
      <w:pPr>
        <w:snapToGrid w:val="0"/>
        <w:ind w:firstLine="420" w:firstLineChars="200"/>
        <w:rPr>
          <w:rFonts w:ascii="宋体" w:hAnsi="宋体" w:cs="宋体"/>
        </w:rPr>
      </w:pPr>
      <w:r>
        <w:rPr>
          <w:rFonts w:hint="eastAsia" w:ascii="宋体" w:hAnsi="宋体" w:cs="宋体"/>
        </w:rPr>
        <w:t>23.10 电报、电话、传真形式的投标概不接受。</w:t>
      </w:r>
    </w:p>
    <w:p w14:paraId="0B1B214E">
      <w:pPr>
        <w:ind w:firstLine="411" w:firstLineChars="196"/>
        <w:rPr>
          <w:rFonts w:ascii="宋体" w:hAnsi="宋体"/>
        </w:rPr>
      </w:pPr>
      <w:r>
        <w:rPr>
          <w:rFonts w:hint="eastAsia" w:ascii="宋体" w:hAnsi="宋体" w:cs="宋体"/>
        </w:rPr>
        <w:t>23.11 资格证明文件提供复印件，专用条款另有要求的除外。</w:t>
      </w:r>
    </w:p>
    <w:p w14:paraId="7D1FAE82">
      <w:pPr>
        <w:pStyle w:val="7"/>
        <w:numPr>
          <w:ilvl w:val="0"/>
          <w:numId w:val="17"/>
        </w:numPr>
        <w:spacing w:before="120" w:beforeLines="50" w:after="120" w:afterLines="50"/>
        <w:ind w:left="562" w:hanging="562"/>
        <w:rPr>
          <w:sz w:val="28"/>
          <w:szCs w:val="28"/>
        </w:rPr>
      </w:pPr>
      <w:r>
        <w:rPr>
          <w:rFonts w:hint="eastAsia"/>
          <w:sz w:val="28"/>
          <w:szCs w:val="28"/>
        </w:rPr>
        <w:t>投标文件的递交</w:t>
      </w:r>
      <w:bookmarkStart w:id="94" w:name="_Hlk72405459"/>
    </w:p>
    <w:bookmarkEnd w:id="94"/>
    <w:p w14:paraId="785373CA">
      <w:pPr>
        <w:rPr>
          <w:rFonts w:ascii="黑体" w:hAnsi="宋体" w:eastAsia="黑体"/>
          <w:sz w:val="24"/>
        </w:rPr>
      </w:pPr>
      <w:r>
        <w:rPr>
          <w:rFonts w:hint="eastAsia" w:ascii="黑体" w:hAnsi="宋体" w:eastAsia="黑体"/>
          <w:sz w:val="24"/>
        </w:rPr>
        <w:t>24．投标书的密封</w:t>
      </w:r>
    </w:p>
    <w:p w14:paraId="3B0D1C55">
      <w:pPr>
        <w:widowControl/>
        <w:autoSpaceDE w:val="0"/>
        <w:autoSpaceDN w:val="0"/>
        <w:snapToGrid w:val="0"/>
        <w:ind w:right="18" w:firstLine="420" w:firstLineChars="200"/>
        <w:textAlignment w:val="bottom"/>
        <w:rPr>
          <w:rFonts w:ascii="宋体" w:hAnsi="宋体" w:cs="宋体"/>
          <w:bCs/>
        </w:rPr>
      </w:pPr>
      <w:r>
        <w:rPr>
          <w:rFonts w:hint="eastAsia" w:ascii="宋体" w:hAnsi="宋体" w:cs="宋体"/>
          <w:bCs/>
        </w:rPr>
        <w:t>24.1 投标人应将投标文件、唱标信封分别单独密封。“电子文件”密封于“唱标信封”内。</w:t>
      </w:r>
    </w:p>
    <w:p w14:paraId="72FBB58D">
      <w:pPr>
        <w:widowControl/>
        <w:autoSpaceDE w:val="0"/>
        <w:autoSpaceDN w:val="0"/>
        <w:snapToGrid w:val="0"/>
        <w:ind w:right="18" w:firstLine="420" w:firstLineChars="200"/>
        <w:textAlignment w:val="bottom"/>
        <w:rPr>
          <w:rFonts w:ascii="宋体" w:hAnsi="宋体" w:cs="宋体"/>
          <w:bCs/>
        </w:rPr>
      </w:pPr>
      <w:r>
        <w:rPr>
          <w:rFonts w:hint="eastAsia" w:ascii="宋体" w:hAnsi="宋体" w:cs="宋体"/>
          <w:bCs/>
        </w:rPr>
        <w:t>24.2 1）密封封装表面应正确标明投标人名称、地址、项目名称并注明开标时间之前不得开封（在封口位置的封条上标注注明），封口位置须加盖投标人公章。</w:t>
      </w:r>
    </w:p>
    <w:p w14:paraId="5BC579DB">
      <w:pPr>
        <w:widowControl/>
        <w:tabs>
          <w:tab w:val="left" w:pos="567"/>
        </w:tabs>
        <w:autoSpaceDE w:val="0"/>
        <w:autoSpaceDN w:val="0"/>
        <w:snapToGrid w:val="0"/>
        <w:ind w:right="35" w:firstLine="840" w:firstLineChars="400"/>
        <w:textAlignment w:val="bottom"/>
        <w:rPr>
          <w:rFonts w:ascii="宋体" w:hAnsi="宋体" w:cs="宋体"/>
          <w:bCs/>
          <w:u w:val="single"/>
        </w:rPr>
      </w:pPr>
      <w:r>
        <w:rPr>
          <w:rFonts w:hint="eastAsia" w:ascii="宋体" w:hAnsi="宋体" w:cs="宋体"/>
          <w:bCs/>
        </w:rPr>
        <w:t>2）投标文件已密封，未按前述24.1、24.2 1）要求封装的投标文件不作投标无效处理，但由此而引起的提前开封或错放责任由投标人承担。</w:t>
      </w:r>
    </w:p>
    <w:p w14:paraId="08FFFA72">
      <w:pPr>
        <w:widowControl/>
        <w:autoSpaceDE w:val="0"/>
        <w:autoSpaceDN w:val="0"/>
        <w:snapToGrid w:val="0"/>
        <w:ind w:right="18" w:firstLine="420" w:firstLineChars="200"/>
        <w:textAlignment w:val="bottom"/>
        <w:rPr>
          <w:rFonts w:ascii="宋体" w:hAnsi="宋体" w:cs="宋体"/>
        </w:rPr>
      </w:pPr>
      <w:r>
        <w:rPr>
          <w:rFonts w:hint="eastAsia" w:ascii="宋体" w:hAnsi="宋体" w:cs="宋体"/>
        </w:rPr>
        <w:t>24.3 如果投标文件的密封封装未按本款规定密封和标记，政府集中采购机构对投标文件的误投或提前拆封不负责任。对由此造成提前开封的投标文件，政府集中采购机构予以拒绝，并退回投标人。</w:t>
      </w:r>
    </w:p>
    <w:p w14:paraId="05378B61">
      <w:pPr>
        <w:widowControl/>
        <w:autoSpaceDE w:val="0"/>
        <w:autoSpaceDN w:val="0"/>
        <w:snapToGrid w:val="0"/>
        <w:ind w:right="18" w:firstLine="420" w:firstLineChars="200"/>
        <w:textAlignment w:val="bottom"/>
        <w:rPr>
          <w:rFonts w:ascii="宋体" w:hAnsi="宋体" w:cs="宋体"/>
        </w:rPr>
      </w:pPr>
      <w:r>
        <w:rPr>
          <w:rFonts w:hint="eastAsia" w:ascii="宋体" w:hAnsi="宋体" w:cs="宋体"/>
        </w:rPr>
        <w:t>24.4 拒收投标文件的情形：逾期送达或者未按照招标文件要求密封的投标文。</w:t>
      </w:r>
    </w:p>
    <w:p w14:paraId="3F48C4F1">
      <w:pPr>
        <w:widowControl/>
        <w:autoSpaceDE w:val="0"/>
        <w:autoSpaceDN w:val="0"/>
        <w:snapToGrid w:val="0"/>
        <w:ind w:right="18" w:firstLine="420" w:firstLineChars="200"/>
        <w:textAlignment w:val="bottom"/>
        <w:rPr>
          <w:rFonts w:ascii="宋体" w:hAnsi="宋体" w:cs="宋体"/>
        </w:rPr>
      </w:pPr>
      <w:r>
        <w:rPr>
          <w:rFonts w:hint="eastAsia" w:ascii="宋体" w:hAnsi="宋体" w:cs="宋体"/>
        </w:rPr>
        <w:t>24.5 开标前，由采购人委派的监督人员或投标人代表检查各投标人投标文件的密封情况，并进行确认。</w:t>
      </w:r>
    </w:p>
    <w:p w14:paraId="180D8236">
      <w:pPr>
        <w:rPr>
          <w:rFonts w:ascii="黑体" w:hAnsi="宋体" w:eastAsia="黑体"/>
          <w:sz w:val="24"/>
        </w:rPr>
      </w:pPr>
      <w:r>
        <w:rPr>
          <w:rFonts w:hint="eastAsia" w:ascii="黑体" w:hAnsi="宋体" w:eastAsia="黑体"/>
          <w:sz w:val="24"/>
        </w:rPr>
        <w:t>25．上传投标文件及投标截止日期</w:t>
      </w:r>
    </w:p>
    <w:p w14:paraId="27982263">
      <w:pPr>
        <w:ind w:firstLine="411" w:firstLineChars="196"/>
        <w:rPr>
          <w:rFonts w:ascii="宋体" w:hAnsi="宋体"/>
        </w:rPr>
      </w:pPr>
      <w:r>
        <w:rPr>
          <w:rFonts w:hint="eastAsia" w:ascii="宋体" w:hAnsi="宋体"/>
        </w:rPr>
        <w:t>25.1投标人应在招标文件规定的投标截止时间前按招标文件专用条款要求密封递交投标文件。如因故须延迟投标截止时间，经采购人同意后，政府集中采购机构可以按本通用条款第13条规定，通过网页发布或书面延期通知的方式延长投标截止时间。在此情况下，政府集中采购机构、采购人和投标人受投标截止时间制约的所有权利和义务均应延长至新的投标截止时间。</w:t>
      </w:r>
    </w:p>
    <w:p w14:paraId="4FC4EE83">
      <w:pPr>
        <w:ind w:firstLine="411" w:firstLineChars="196"/>
        <w:rPr>
          <w:rFonts w:ascii="宋体" w:hAnsi="宋体"/>
        </w:rPr>
      </w:pPr>
      <w:r>
        <w:rPr>
          <w:rFonts w:hint="eastAsia" w:ascii="宋体" w:hAnsi="宋体"/>
        </w:rPr>
        <w:t>25.2投标截止时间以后不接收投标文件及投标人主动提供的其它资料。</w:t>
      </w:r>
    </w:p>
    <w:p w14:paraId="111022A9">
      <w:pPr>
        <w:rPr>
          <w:rFonts w:ascii="黑体" w:hAnsi="宋体" w:eastAsia="黑体"/>
          <w:sz w:val="24"/>
        </w:rPr>
      </w:pPr>
      <w:r>
        <w:rPr>
          <w:rFonts w:hint="eastAsia" w:ascii="黑体" w:hAnsi="宋体" w:eastAsia="黑体"/>
          <w:sz w:val="24"/>
        </w:rPr>
        <w:t>26. 样品、演示、方案讲解</w:t>
      </w:r>
    </w:p>
    <w:p w14:paraId="78FE0AB7">
      <w:pPr>
        <w:ind w:firstLine="411" w:firstLineChars="196"/>
        <w:rPr>
          <w:rFonts w:ascii="宋体" w:hAnsi="宋体"/>
          <w:szCs w:val="21"/>
        </w:rPr>
      </w:pPr>
      <w:r>
        <w:rPr>
          <w:rFonts w:hint="eastAsia" w:ascii="宋体" w:hAnsi="宋体"/>
          <w:szCs w:val="21"/>
        </w:rPr>
        <w:t>26.1 样品、演示、方案讲解等事项在招标文件专用条款中进行规定。</w:t>
      </w:r>
    </w:p>
    <w:p w14:paraId="1A36E87E">
      <w:pPr>
        <w:rPr>
          <w:rFonts w:ascii="黑体" w:hAnsi="宋体" w:eastAsia="黑体"/>
          <w:sz w:val="24"/>
        </w:rPr>
      </w:pPr>
      <w:bookmarkStart w:id="95"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14:paraId="2FDCA19F">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14:paraId="60455940">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14:paraId="6FEEC6A3">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14:paraId="098D53B7">
      <w:pPr>
        <w:ind w:firstLine="411" w:firstLineChars="196"/>
        <w:rPr>
          <w:rFonts w:ascii="宋体" w:hAnsi="宋体"/>
          <w:szCs w:val="21"/>
        </w:rPr>
      </w:pPr>
      <w:r>
        <w:rPr>
          <w:rFonts w:hint="eastAsia" w:ascii="宋体" w:hAnsi="宋体"/>
          <w:szCs w:val="21"/>
        </w:rPr>
        <w:t>27.4政府集中采购机构不退还投标文件，专用条款另有规定的除外。</w:t>
      </w:r>
    </w:p>
    <w:bookmarkEnd w:id="95"/>
    <w:p w14:paraId="6EBFFD00">
      <w:pPr>
        <w:pStyle w:val="7"/>
        <w:numPr>
          <w:ilvl w:val="0"/>
          <w:numId w:val="17"/>
        </w:numPr>
        <w:spacing w:before="120" w:beforeLines="50" w:after="120" w:afterLines="50"/>
        <w:ind w:left="562" w:hanging="562"/>
        <w:rPr>
          <w:sz w:val="28"/>
          <w:szCs w:val="28"/>
        </w:rPr>
      </w:pPr>
      <w:r>
        <w:rPr>
          <w:rFonts w:hint="eastAsia"/>
          <w:sz w:val="28"/>
          <w:szCs w:val="28"/>
        </w:rPr>
        <w:t>开标</w:t>
      </w:r>
    </w:p>
    <w:p w14:paraId="33D02C39">
      <w:pPr>
        <w:rPr>
          <w:rFonts w:ascii="黑体" w:hAnsi="宋体" w:eastAsia="黑体"/>
          <w:sz w:val="24"/>
        </w:rPr>
      </w:pPr>
      <w:r>
        <w:rPr>
          <w:rFonts w:hint="eastAsia" w:ascii="黑体" w:hAnsi="宋体" w:eastAsia="黑体"/>
          <w:sz w:val="24"/>
        </w:rPr>
        <w:t>28．开标</w:t>
      </w:r>
    </w:p>
    <w:p w14:paraId="451D1055">
      <w:pPr>
        <w:ind w:firstLine="359" w:firstLineChars="171"/>
        <w:rPr>
          <w:rFonts w:ascii="宋体" w:hAnsi="宋体"/>
          <w:szCs w:val="21"/>
        </w:rPr>
      </w:pPr>
      <w:r>
        <w:rPr>
          <w:rFonts w:hint="eastAsia" w:ascii="宋体" w:hAnsi="宋体"/>
          <w:szCs w:val="21"/>
        </w:rPr>
        <w:t>28.1政府集中采购机构将按招标公告规定的时间和地点组织公开开标。投标人应委派代表参加，参加开标的代表应签名报到以证明出席。</w:t>
      </w:r>
    </w:p>
    <w:p w14:paraId="5A8B0B92">
      <w:pPr>
        <w:ind w:firstLine="359" w:firstLineChars="171"/>
        <w:rPr>
          <w:rFonts w:ascii="宋体" w:hAnsi="宋体"/>
          <w:szCs w:val="21"/>
        </w:rPr>
      </w:pPr>
      <w:r>
        <w:rPr>
          <w:rFonts w:hint="eastAsia" w:ascii="宋体" w:hAnsi="宋体"/>
          <w:szCs w:val="21"/>
        </w:rPr>
        <w:t>28.2开标时，政府集中采购机构将当众宣读投标人名称、开标一览表（以招标文件规定的开标一览表内容为准）。除了按照第24.4条规定原封退回的投标之外，开标时将不得拒绝任何投标文件。</w:t>
      </w:r>
    </w:p>
    <w:p w14:paraId="483261EA">
      <w:pPr>
        <w:ind w:firstLine="359" w:firstLineChars="171"/>
        <w:rPr>
          <w:rFonts w:ascii="宋体" w:hAnsi="宋体"/>
          <w:szCs w:val="21"/>
        </w:rPr>
      </w:pPr>
      <w:r>
        <w:rPr>
          <w:rFonts w:hint="eastAsia" w:ascii="宋体" w:hAnsi="宋体"/>
          <w:szCs w:val="21"/>
        </w:rPr>
        <w:t>28.3政府集中采购机构将做开标记录，开标记录包括按第28.2条的规定在开标时宣读的全部内容。</w:t>
      </w:r>
    </w:p>
    <w:p w14:paraId="3428D7AA">
      <w:pPr>
        <w:pStyle w:val="7"/>
        <w:numPr>
          <w:ilvl w:val="0"/>
          <w:numId w:val="17"/>
        </w:numPr>
        <w:spacing w:before="120" w:beforeLines="50" w:after="120" w:afterLines="50"/>
        <w:ind w:left="562" w:hanging="562"/>
        <w:rPr>
          <w:sz w:val="28"/>
          <w:szCs w:val="28"/>
        </w:rPr>
      </w:pPr>
      <w:r>
        <w:rPr>
          <w:rFonts w:hint="eastAsia"/>
          <w:sz w:val="28"/>
          <w:szCs w:val="28"/>
        </w:rPr>
        <w:t>评审要求</w:t>
      </w:r>
    </w:p>
    <w:p w14:paraId="76378C0A">
      <w:pPr>
        <w:rPr>
          <w:rFonts w:ascii="黑体" w:hAnsi="宋体" w:eastAsia="黑体"/>
          <w:sz w:val="24"/>
        </w:rPr>
      </w:pPr>
      <w:r>
        <w:rPr>
          <w:rFonts w:hint="eastAsia" w:ascii="黑体" w:hAnsi="宋体" w:eastAsia="黑体"/>
          <w:sz w:val="24"/>
        </w:rPr>
        <w:t>29．评审委员会组成</w:t>
      </w:r>
    </w:p>
    <w:p w14:paraId="3FE56284">
      <w:pPr>
        <w:ind w:firstLine="411" w:firstLineChars="196"/>
        <w:rPr>
          <w:rFonts w:ascii="宋体" w:hAnsi="宋体"/>
        </w:rPr>
      </w:pPr>
      <w:r>
        <w:rPr>
          <w:rFonts w:hint="eastAsia" w:ascii="宋体" w:hAnsi="宋体"/>
        </w:rPr>
        <w:t>29.1开标结束后召开评审会议，</w:t>
      </w:r>
      <w:r>
        <w:rPr>
          <w:rFonts w:hint="eastAsia" w:ascii="宋体" w:hAnsi="宋体"/>
          <w:szCs w:val="21"/>
        </w:rPr>
        <w:t>评审委员会</w:t>
      </w:r>
      <w:r>
        <w:rPr>
          <w:rFonts w:hint="eastAsia" w:ascii="宋体" w:hAnsi="宋体"/>
        </w:rPr>
        <w:t>由政府集中采购机构依法组建，负责评审活动。</w:t>
      </w:r>
    </w:p>
    <w:p w14:paraId="684ED797">
      <w:pPr>
        <w:ind w:firstLine="411" w:firstLineChars="196"/>
        <w:rPr>
          <w:rFonts w:ascii="宋体" w:hAnsi="宋体"/>
        </w:rPr>
      </w:pPr>
      <w:r>
        <w:rPr>
          <w:rFonts w:hint="eastAsia" w:ascii="宋体" w:hAnsi="宋体"/>
        </w:rPr>
        <w:t>评审委员会由采购人代表和评审专家组成，成员人数应当为5人以上单数（部分条件下为7人以上单数），其中评审专家不得少于成员总数的三分之二。评定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从深圳市政府采购评审专家库中随机抽取。采购人代表须持采购人出具签发的《评审授权书》参加评审。</w:t>
      </w:r>
    </w:p>
    <w:p w14:paraId="628B3F71">
      <w:pPr>
        <w:ind w:firstLine="411" w:firstLineChars="196"/>
        <w:rPr>
          <w:rFonts w:ascii="宋体" w:hAnsi="宋体"/>
        </w:rPr>
      </w:pPr>
      <w:r>
        <w:rPr>
          <w:rFonts w:hint="eastAsia" w:ascii="宋体" w:hAnsi="宋体"/>
        </w:rPr>
        <w:t>29.2评审定标应当遵循公平、公正、科学、择优的原则。</w:t>
      </w:r>
    </w:p>
    <w:p w14:paraId="7EEAACD5">
      <w:pPr>
        <w:ind w:firstLine="411" w:firstLineChars="196"/>
        <w:rPr>
          <w:rFonts w:ascii="宋体" w:hAnsi="宋体"/>
        </w:rPr>
      </w:pPr>
      <w:r>
        <w:rPr>
          <w:rFonts w:hint="eastAsia" w:ascii="宋体" w:hAnsi="宋体"/>
        </w:rPr>
        <w:t>29.3评审活动依法进行，任何单位和个人不得非法干预评标过程和结果。</w:t>
      </w:r>
    </w:p>
    <w:p w14:paraId="59EBFDC3">
      <w:pPr>
        <w:ind w:firstLine="411" w:firstLineChars="196"/>
        <w:rPr>
          <w:rFonts w:ascii="宋体" w:hAnsi="宋体"/>
        </w:rPr>
      </w:pPr>
      <w:r>
        <w:rPr>
          <w:rFonts w:hint="eastAsia" w:ascii="宋体" w:hAnsi="宋体"/>
        </w:rPr>
        <w:t>29.4评审过程中不允许违背评标程序或采用招标文件未载明的评标方法或评标因素进行评标。</w:t>
      </w:r>
    </w:p>
    <w:p w14:paraId="0B4BBB1F">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14:paraId="0D6CA3DA">
      <w:pPr>
        <w:rPr>
          <w:rFonts w:ascii="黑体" w:hAnsi="宋体" w:eastAsia="黑体"/>
          <w:sz w:val="24"/>
        </w:rPr>
      </w:pPr>
      <w:r>
        <w:rPr>
          <w:rFonts w:hint="eastAsia" w:ascii="黑体" w:hAnsi="宋体" w:eastAsia="黑体"/>
          <w:sz w:val="24"/>
        </w:rPr>
        <w:t>30．向评审委员会提供的资料</w:t>
      </w:r>
    </w:p>
    <w:p w14:paraId="0B21E29B">
      <w:pPr>
        <w:ind w:firstLine="411" w:firstLineChars="196"/>
        <w:rPr>
          <w:rFonts w:ascii="宋体" w:hAnsi="宋体"/>
        </w:rPr>
      </w:pPr>
      <w:r>
        <w:rPr>
          <w:rFonts w:hint="eastAsia" w:ascii="宋体" w:hAnsi="宋体"/>
        </w:rPr>
        <w:t>30.1公开发布的招标文件，包括图纸、服务清单、答疑文件等；</w:t>
      </w:r>
    </w:p>
    <w:p w14:paraId="4EA06EC3">
      <w:pPr>
        <w:ind w:firstLine="411" w:firstLineChars="196"/>
        <w:rPr>
          <w:rFonts w:ascii="宋体" w:hAnsi="宋体"/>
        </w:rPr>
      </w:pPr>
      <w:r>
        <w:rPr>
          <w:rFonts w:hint="eastAsia" w:ascii="宋体" w:hAnsi="宋体"/>
        </w:rPr>
        <w:t>30.2其他评标必须的资料。</w:t>
      </w:r>
    </w:p>
    <w:p w14:paraId="2C10B23D">
      <w:pPr>
        <w:ind w:firstLine="411" w:firstLineChars="196"/>
        <w:rPr>
          <w:rFonts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14:paraId="7FDDF702">
      <w:pPr>
        <w:ind w:firstLine="411" w:firstLineChars="196"/>
        <w:rPr>
          <w:rFonts w:ascii="宋体" w:hAnsi="宋体"/>
        </w:rPr>
      </w:pPr>
      <w:r>
        <w:rPr>
          <w:rFonts w:hint="eastAsia" w:ascii="宋体" w:hAnsi="宋体"/>
        </w:rPr>
        <w:t>（1）招标的目的；</w:t>
      </w:r>
    </w:p>
    <w:p w14:paraId="29006DB5">
      <w:pPr>
        <w:ind w:firstLine="411" w:firstLineChars="196"/>
        <w:rPr>
          <w:rFonts w:ascii="宋体" w:hAnsi="宋体"/>
        </w:rPr>
      </w:pPr>
      <w:r>
        <w:rPr>
          <w:rFonts w:hint="eastAsia" w:ascii="宋体" w:hAnsi="宋体"/>
        </w:rPr>
        <w:t>（2）招标项目需求的范围和性质；</w:t>
      </w:r>
    </w:p>
    <w:p w14:paraId="61E52C45">
      <w:pPr>
        <w:ind w:firstLine="411" w:firstLineChars="196"/>
        <w:rPr>
          <w:rFonts w:ascii="宋体" w:hAnsi="宋体"/>
        </w:rPr>
      </w:pPr>
      <w:r>
        <w:rPr>
          <w:rFonts w:hint="eastAsia" w:ascii="宋体" w:hAnsi="宋体"/>
        </w:rPr>
        <w:t>（3）招标文件规定的投标人的资格、预算金额、商务条款；</w:t>
      </w:r>
    </w:p>
    <w:p w14:paraId="2E460B00">
      <w:pPr>
        <w:ind w:firstLine="411" w:firstLineChars="196"/>
        <w:rPr>
          <w:rFonts w:ascii="宋体" w:hAnsi="宋体"/>
        </w:rPr>
      </w:pPr>
      <w:r>
        <w:rPr>
          <w:rFonts w:hint="eastAsia" w:ascii="宋体" w:hAnsi="宋体"/>
        </w:rPr>
        <w:t>（4）招标文件规定的评标程序、评标方法和评标因素；</w:t>
      </w:r>
    </w:p>
    <w:p w14:paraId="40B3F688">
      <w:pPr>
        <w:ind w:firstLine="411" w:firstLineChars="196"/>
        <w:rPr>
          <w:rFonts w:ascii="宋体" w:hAnsi="宋体"/>
        </w:rPr>
      </w:pPr>
      <w:r>
        <w:rPr>
          <w:rFonts w:hint="eastAsia" w:ascii="宋体" w:hAnsi="宋体"/>
        </w:rPr>
        <w:t>（5）招标文件所列示的资格性审查表及符合性审查表。</w:t>
      </w:r>
    </w:p>
    <w:p w14:paraId="6A80DD69">
      <w:pPr>
        <w:rPr>
          <w:rFonts w:ascii="黑体" w:hAnsi="宋体" w:eastAsia="黑体"/>
          <w:sz w:val="24"/>
        </w:rPr>
      </w:pPr>
      <w:r>
        <w:rPr>
          <w:rFonts w:hint="eastAsia" w:ascii="黑体" w:hAnsi="宋体" w:eastAsia="黑体"/>
          <w:sz w:val="24"/>
        </w:rPr>
        <w:t>31．独立评审</w:t>
      </w:r>
    </w:p>
    <w:p w14:paraId="3481BA1C">
      <w:pPr>
        <w:ind w:firstLine="411" w:firstLineChars="196"/>
        <w:rPr>
          <w:rFonts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14:paraId="2A7D8EC6">
      <w:pPr>
        <w:pStyle w:val="7"/>
        <w:numPr>
          <w:ilvl w:val="0"/>
          <w:numId w:val="17"/>
        </w:numPr>
        <w:spacing w:before="120" w:beforeLines="50" w:after="120" w:afterLines="50"/>
        <w:ind w:left="562" w:hanging="562"/>
        <w:rPr>
          <w:sz w:val="28"/>
          <w:szCs w:val="28"/>
        </w:rPr>
      </w:pPr>
      <w:r>
        <w:rPr>
          <w:rFonts w:hint="eastAsia"/>
          <w:sz w:val="28"/>
          <w:szCs w:val="28"/>
        </w:rPr>
        <w:t>评审程序及评审方法</w:t>
      </w:r>
    </w:p>
    <w:p w14:paraId="6AF00EF7">
      <w:pPr>
        <w:rPr>
          <w:rFonts w:ascii="黑体" w:hAnsi="宋体" w:eastAsia="黑体"/>
          <w:sz w:val="24"/>
        </w:rPr>
      </w:pPr>
      <w:r>
        <w:rPr>
          <w:rFonts w:hint="eastAsia" w:ascii="黑体" w:hAnsi="宋体" w:eastAsia="黑体"/>
          <w:sz w:val="24"/>
        </w:rPr>
        <w:t>32．投标文件初审</w:t>
      </w:r>
    </w:p>
    <w:p w14:paraId="4A1F661E">
      <w:pPr>
        <w:ind w:firstLine="411" w:firstLineChars="196"/>
        <w:rPr>
          <w:rFonts w:ascii="宋体" w:hAnsi="宋体"/>
        </w:rPr>
      </w:pPr>
      <w:r>
        <w:rPr>
          <w:rFonts w:hint="eastAsia" w:ascii="宋体" w:hAnsi="宋体"/>
        </w:rPr>
        <w:t>32.1投标文件初审包括资格性审查和符合性审查。</w:t>
      </w:r>
    </w:p>
    <w:p w14:paraId="5A3D62CD">
      <w:pPr>
        <w:ind w:firstLine="411" w:firstLineChars="196"/>
        <w:rPr>
          <w:rFonts w:ascii="宋体" w:hAnsi="宋体"/>
        </w:rPr>
      </w:pPr>
      <w:r>
        <w:rPr>
          <w:rFonts w:hint="eastAsia" w:ascii="宋体" w:hAnsi="宋体"/>
        </w:rPr>
        <w:t>资格性审查：依据法律法规和招标文件的规定，对投标文件中的资格证明等进行审查，以确定投标供应商是否具备投标资格。</w:t>
      </w:r>
    </w:p>
    <w:p w14:paraId="01B64732">
      <w:pPr>
        <w:ind w:firstLine="411" w:firstLineChars="196"/>
        <w:rPr>
          <w:rFonts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14:paraId="5B3CC4F3">
      <w:pPr>
        <w:ind w:firstLine="411" w:firstLineChars="196"/>
        <w:rPr>
          <w:rFonts w:ascii="宋体" w:hAnsi="宋体"/>
        </w:rPr>
      </w:pPr>
      <w:r>
        <w:rPr>
          <w:rFonts w:hint="eastAsia" w:ascii="宋体" w:hAnsi="宋体"/>
        </w:rPr>
        <w:t>32.2 投标文件初审内容请详见《资格性审查表》和《符合性审查表》部分。投标人若有一条审查不通过则按投标无效处理。</w:t>
      </w:r>
    </w:p>
    <w:p w14:paraId="676C90A1">
      <w:pPr>
        <w:ind w:firstLine="411" w:firstLineChars="196"/>
        <w:rPr>
          <w:rFonts w:ascii="宋体" w:hAnsi="宋体"/>
          <w:bCs/>
        </w:rPr>
      </w:pPr>
      <w:r>
        <w:rPr>
          <w:rFonts w:hint="eastAsia" w:ascii="宋体" w:hAnsi="宋体"/>
          <w:bCs/>
        </w:rPr>
        <w:t>32.3 投标文件初审中关于供应商家数的计算:</w:t>
      </w:r>
    </w:p>
    <w:p w14:paraId="50EBE32C">
      <w:pPr>
        <w:ind w:firstLine="411" w:firstLineChars="196"/>
        <w:rPr>
          <w:rFonts w:ascii="宋体" w:hAnsi="宋体"/>
          <w:bCs/>
        </w:rPr>
      </w:pPr>
      <w:r>
        <w:rPr>
          <w:rFonts w:hint="eastAsia" w:ascii="宋体" w:hAnsi="宋体"/>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2888CBC5">
      <w:pPr>
        <w:ind w:firstLine="411" w:firstLineChars="196"/>
        <w:rPr>
          <w:rFonts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14:paraId="752E94C3">
      <w:pPr>
        <w:ind w:firstLine="411" w:firstLineChars="196"/>
        <w:rPr>
          <w:rFonts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14:paraId="0289337E">
      <w:pPr>
        <w:ind w:firstLine="411" w:firstLineChars="196"/>
        <w:rPr>
          <w:rFonts w:ascii="宋体" w:hAnsi="宋体"/>
        </w:rPr>
      </w:pPr>
      <w:r>
        <w:rPr>
          <w:rFonts w:hint="eastAsia" w:ascii="宋体" w:hAnsi="宋体"/>
        </w:rPr>
        <w:t>32.4投标人投标文件作无效处理的情形，具体包括但不限于以下：</w:t>
      </w:r>
    </w:p>
    <w:p w14:paraId="4D4D2988">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14:paraId="690A47C8">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14:paraId="02EDF918">
      <w:pPr>
        <w:ind w:firstLine="411" w:firstLineChars="196"/>
        <w:rPr>
          <w:rFonts w:ascii="宋体" w:hAnsi="宋体"/>
        </w:rPr>
      </w:pPr>
      <w:r>
        <w:rPr>
          <w:rFonts w:hint="eastAsia" w:ascii="宋体" w:hAnsi="宋体"/>
        </w:rPr>
        <w:t>32.4.3不同投标人的投标文件载明的项目管理成员或者联系人员为同一人；</w:t>
      </w:r>
    </w:p>
    <w:p w14:paraId="258A6969">
      <w:pPr>
        <w:ind w:firstLine="411" w:firstLineChars="196"/>
        <w:rPr>
          <w:rFonts w:ascii="宋体" w:hAnsi="宋体"/>
        </w:rPr>
      </w:pPr>
      <w:r>
        <w:rPr>
          <w:rFonts w:hint="eastAsia" w:ascii="宋体" w:hAnsi="宋体"/>
        </w:rPr>
        <w:t>32.4.4不同投标人的投标文件异常一致或者投标报价呈规律性差异；</w:t>
      </w:r>
    </w:p>
    <w:p w14:paraId="31C9400C">
      <w:pPr>
        <w:ind w:firstLine="411" w:firstLineChars="196"/>
        <w:rPr>
          <w:rFonts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14:paraId="69D17AB4">
      <w:pPr>
        <w:ind w:firstLine="411" w:firstLineChars="196"/>
        <w:rPr>
          <w:rFonts w:ascii="宋体" w:hAnsi="宋体"/>
        </w:rPr>
      </w:pPr>
      <w:r>
        <w:rPr>
          <w:rFonts w:hint="eastAsia" w:ascii="宋体" w:hAnsi="宋体"/>
        </w:rPr>
        <w:t>32.4.6投标供应商之间相互约定给予未中标的供应商利益补偿；</w:t>
      </w:r>
    </w:p>
    <w:p w14:paraId="23E2A508">
      <w:pPr>
        <w:ind w:firstLine="411" w:firstLineChars="196"/>
        <w:rPr>
          <w:rFonts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14:paraId="00869CD7">
      <w:pPr>
        <w:ind w:firstLine="411" w:firstLineChars="196"/>
        <w:rPr>
          <w:rFonts w:ascii="宋体" w:hAnsi="宋体"/>
        </w:rPr>
      </w:pPr>
      <w:r>
        <w:rPr>
          <w:rFonts w:hint="eastAsia" w:ascii="宋体" w:hAnsi="宋体"/>
        </w:rPr>
        <w:t>32.4.8不同投标供应商的投标文件内容存在非正常一致；</w:t>
      </w:r>
    </w:p>
    <w:p w14:paraId="007F3AF9">
      <w:pPr>
        <w:ind w:firstLine="411" w:firstLineChars="196"/>
        <w:rPr>
          <w:rFonts w:ascii="宋体" w:hAnsi="宋体"/>
        </w:rPr>
      </w:pPr>
      <w:r>
        <w:rPr>
          <w:rFonts w:hint="eastAsia" w:ascii="宋体" w:hAnsi="宋体"/>
        </w:rPr>
        <w:t>32.4.9在同一单位工作人员为两家以上（含两家）供应商进行同一项投标活动；</w:t>
      </w:r>
    </w:p>
    <w:p w14:paraId="17BA2A49">
      <w:pPr>
        <w:ind w:firstLine="411" w:firstLineChars="196"/>
        <w:rPr>
          <w:rFonts w:ascii="宋体" w:hAnsi="宋体"/>
        </w:rPr>
      </w:pPr>
      <w:r>
        <w:rPr>
          <w:rFonts w:hint="eastAsia" w:ascii="宋体" w:hAnsi="宋体"/>
        </w:rPr>
        <w:t>32.4.10主管部门依照法律、法规认定的其他情形。</w:t>
      </w:r>
    </w:p>
    <w:p w14:paraId="23B34D16">
      <w:pPr>
        <w:ind w:firstLine="411" w:firstLineChars="196"/>
        <w:rPr>
          <w:rFonts w:ascii="宋体" w:hAnsi="宋体"/>
        </w:rPr>
      </w:pPr>
      <w:r>
        <w:rPr>
          <w:rFonts w:hint="eastAsia" w:ascii="宋体" w:hAnsi="宋体"/>
        </w:rPr>
        <w:t>32.5对不属于《资格性审查表》和《符合性审查表》所列的其他情形，除专用条款另有规定和32.4条款所列情形外，不得作为投标无效的理由。</w:t>
      </w:r>
    </w:p>
    <w:p w14:paraId="0680C1CA">
      <w:pPr>
        <w:rPr>
          <w:rFonts w:ascii="黑体" w:hAnsi="宋体" w:eastAsia="黑体"/>
          <w:sz w:val="24"/>
        </w:rPr>
      </w:pPr>
      <w:r>
        <w:rPr>
          <w:rFonts w:hint="eastAsia" w:ascii="黑体" w:hAnsi="宋体" w:eastAsia="黑体"/>
          <w:sz w:val="24"/>
        </w:rPr>
        <w:t>33．澄清有关问题</w:t>
      </w:r>
    </w:p>
    <w:p w14:paraId="4DADD10D">
      <w:pPr>
        <w:ind w:firstLine="411" w:firstLineChars="196"/>
        <w:rPr>
          <w:rFonts w:ascii="宋体" w:hAnsi="宋体"/>
        </w:rPr>
      </w:pPr>
      <w:bookmarkStart w:id="96"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96"/>
    </w:p>
    <w:p w14:paraId="541F06C1">
      <w:pPr>
        <w:ind w:firstLine="411" w:firstLineChars="196"/>
        <w:rPr>
          <w:rFonts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rPr>
        <w:t>政府集中采购机构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14:paraId="578A60D1">
      <w:pPr>
        <w:ind w:firstLine="411" w:firstLineChars="196"/>
        <w:rPr>
          <w:rFonts w:ascii="宋体" w:hAnsi="宋体"/>
        </w:rPr>
      </w:pPr>
      <w:r>
        <w:rPr>
          <w:rFonts w:ascii="宋体" w:hAnsi="宋体"/>
        </w:rPr>
        <w:t>33.3</w:t>
      </w:r>
      <w:r>
        <w:rPr>
          <w:rFonts w:hint="eastAsia" w:ascii="宋体" w:hAnsi="宋体"/>
        </w:rPr>
        <w:t>对于投标文件中含义不明确、同类问题表述不一致或者有明显文字和计算错误的内容，评审委员会应当以书面形式要求投标人作出必要的澄清、说明或者补正。</w:t>
      </w:r>
    </w:p>
    <w:p w14:paraId="54DB866E">
      <w:pPr>
        <w:ind w:firstLine="411" w:firstLineChars="196"/>
        <w:rPr>
          <w:rFonts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088E4E67">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14:paraId="6DA0DEB2">
      <w:pPr>
        <w:rPr>
          <w:rFonts w:ascii="黑体" w:hAnsi="宋体" w:eastAsia="黑体"/>
          <w:sz w:val="24"/>
        </w:rPr>
      </w:pPr>
      <w:bookmarkStart w:id="97" w:name="_Toc73517673"/>
      <w:bookmarkStart w:id="98" w:name="_Toc73518151"/>
      <w:bookmarkStart w:id="99" w:name="_Toc73521669"/>
      <w:bookmarkStart w:id="100" w:name="_Toc73521581"/>
      <w:bookmarkStart w:id="101" w:name="_Toc100052400"/>
      <w:r>
        <w:rPr>
          <w:rFonts w:hint="eastAsia" w:ascii="黑体" w:hAnsi="宋体" w:eastAsia="黑体"/>
          <w:sz w:val="24"/>
        </w:rPr>
        <w:t>34．错误的修正</w:t>
      </w:r>
      <w:bookmarkEnd w:id="97"/>
      <w:bookmarkEnd w:id="98"/>
      <w:bookmarkEnd w:id="99"/>
      <w:bookmarkEnd w:id="100"/>
      <w:bookmarkEnd w:id="101"/>
    </w:p>
    <w:p w14:paraId="3F043341">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14:paraId="4AEA5EC6">
      <w:pPr>
        <w:ind w:firstLine="411" w:firstLineChars="196"/>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14:paraId="0A7A4B50">
      <w:pPr>
        <w:ind w:firstLine="411" w:firstLineChars="196"/>
        <w:rPr>
          <w:rFonts w:ascii="宋体" w:hAnsi="宋体"/>
          <w:szCs w:val="21"/>
        </w:rPr>
      </w:pPr>
      <w:r>
        <w:rPr>
          <w:rFonts w:hint="eastAsia" w:ascii="宋体" w:hAnsi="宋体"/>
          <w:szCs w:val="21"/>
        </w:rPr>
        <w:t>34.2大写金额和小写金额不一致的，以大写金额为准；</w:t>
      </w:r>
    </w:p>
    <w:p w14:paraId="46AC69B4">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14:paraId="22257605">
      <w:pPr>
        <w:ind w:firstLine="411" w:firstLineChars="196"/>
        <w:rPr>
          <w:rFonts w:ascii="宋体" w:hAnsi="宋体"/>
          <w:szCs w:val="21"/>
        </w:rPr>
      </w:pPr>
      <w:r>
        <w:rPr>
          <w:rFonts w:hint="eastAsia" w:ascii="宋体" w:hAnsi="宋体"/>
          <w:szCs w:val="21"/>
        </w:rPr>
        <w:t>34.4总价金额与按单价汇总金额不一致的，以单价金额计算结果为准。</w:t>
      </w:r>
    </w:p>
    <w:p w14:paraId="4A1F4B8D">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2AB59CE9">
      <w:pPr>
        <w:rPr>
          <w:rFonts w:ascii="黑体" w:hAnsi="宋体" w:eastAsia="黑体"/>
          <w:sz w:val="24"/>
        </w:rPr>
      </w:pPr>
      <w:r>
        <w:rPr>
          <w:rFonts w:hint="eastAsia" w:ascii="黑体" w:hAnsi="宋体" w:eastAsia="黑体"/>
          <w:sz w:val="24"/>
        </w:rPr>
        <w:t>35．投标文件的比较与评价</w:t>
      </w:r>
    </w:p>
    <w:p w14:paraId="1DBEB01D">
      <w:pPr>
        <w:ind w:firstLine="411" w:firstLineChars="196"/>
        <w:rPr>
          <w:rFonts w:ascii="宋体" w:hAnsi="宋体"/>
          <w:szCs w:val="21"/>
        </w:rPr>
      </w:pPr>
      <w:r>
        <w:rPr>
          <w:rFonts w:hint="eastAsia" w:ascii="宋体" w:hAnsi="宋体"/>
          <w:szCs w:val="21"/>
        </w:rPr>
        <w:t>评审委员会将按照《中华人民共和国政府采购法》和《中华人民共和国政府采购法实施条例》及政府采购其他法律法规，仅对通过资格性审查和符合性审查的投标文件进行综合比较与评价。</w:t>
      </w:r>
    </w:p>
    <w:p w14:paraId="4E67220C">
      <w:pPr>
        <w:ind w:firstLine="411" w:firstLineChars="196"/>
        <w:rPr>
          <w:rFonts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评审委员会成员对需要共同认定的事项存在争议的，应当按照少数服从多数的原则作出结论。持不同意见的评审委员会成员应当书面作出说明，否则视为无异议。</w:t>
      </w:r>
    </w:p>
    <w:p w14:paraId="380DFF7A">
      <w:pPr>
        <w:rPr>
          <w:rFonts w:ascii="黑体" w:hAnsi="宋体" w:eastAsia="黑体"/>
          <w:sz w:val="24"/>
        </w:rPr>
      </w:pPr>
      <w:r>
        <w:rPr>
          <w:rFonts w:hint="eastAsia" w:ascii="黑体" w:hAnsi="宋体" w:eastAsia="黑体"/>
          <w:sz w:val="24"/>
        </w:rPr>
        <w:t>36. 实地考察或资料查验</w:t>
      </w:r>
    </w:p>
    <w:p w14:paraId="3529E278">
      <w:pPr>
        <w:ind w:firstLine="411" w:firstLineChars="196"/>
        <w:rPr>
          <w:rFonts w:ascii="宋体" w:hAnsi="宋体"/>
          <w:szCs w:val="21"/>
        </w:rPr>
      </w:pPr>
      <w:r>
        <w:rPr>
          <w:rFonts w:hint="eastAsia" w:ascii="宋体" w:hAnsi="宋体"/>
          <w:szCs w:val="21"/>
        </w:rPr>
        <w:t>36.1在评审过程中，评审委员会有权决定是否对本项目投标人进行实地考察或资料查验（原件）。投标人应随时做好接受实地考察或资料查验的准备。</w:t>
      </w:r>
    </w:p>
    <w:p w14:paraId="72477807">
      <w:pPr>
        <w:rPr>
          <w:rFonts w:ascii="黑体" w:hAnsi="宋体" w:eastAsia="黑体"/>
          <w:sz w:val="24"/>
        </w:rPr>
      </w:pPr>
      <w:r>
        <w:rPr>
          <w:rFonts w:hint="eastAsia" w:ascii="黑体" w:hAnsi="宋体" w:eastAsia="黑体"/>
          <w:sz w:val="24"/>
        </w:rPr>
        <w:t>37．评审方法</w:t>
      </w:r>
    </w:p>
    <w:p w14:paraId="4196D0A3">
      <w:pPr>
        <w:ind w:firstLine="413" w:firstLineChars="196"/>
        <w:rPr>
          <w:rFonts w:ascii="宋体" w:hAnsi="宋体"/>
          <w:b/>
          <w:bCs/>
          <w:szCs w:val="21"/>
        </w:rPr>
      </w:pPr>
      <w:r>
        <w:rPr>
          <w:rFonts w:hint="eastAsia" w:ascii="宋体" w:hAnsi="宋体"/>
          <w:b/>
          <w:bCs/>
          <w:szCs w:val="21"/>
        </w:rPr>
        <w:t>37.1.1最低价法</w:t>
      </w:r>
    </w:p>
    <w:p w14:paraId="3851D9A1">
      <w:pPr>
        <w:ind w:firstLine="411" w:firstLineChars="196"/>
        <w:rPr>
          <w:rFonts w:hint="eastAsia" w:ascii="ˎ̥" w:hAnsi="ˎ̥"/>
        </w:rPr>
      </w:pPr>
      <w:bookmarkStart w:id="102" w:name="_Hlk72438142"/>
      <w:r>
        <w:rPr>
          <w:rFonts w:ascii="ˎ̥" w:hAnsi="ˎ̥"/>
        </w:rPr>
        <w:t>最低价法，是指</w:t>
      </w:r>
      <w:r>
        <w:rPr>
          <w:rFonts w:hint="eastAsia" w:ascii="ˎ̥" w:hAnsi="ˎ̥"/>
        </w:rPr>
        <w:t>完全</w:t>
      </w:r>
      <w:r>
        <w:rPr>
          <w:rFonts w:ascii="ˎ̥" w:hAnsi="ˎ̥"/>
        </w:rPr>
        <w:t>满足招标文件实质性要求，</w:t>
      </w:r>
      <w:r>
        <w:rPr>
          <w:rFonts w:hint="eastAsia" w:ascii="ˎ̥" w:hAnsi="ˎ̥"/>
        </w:rPr>
        <w:t>按照报价由低到高的顺序，依据招标文件中规定的数量或者比例推荐候选中标供应商。</w:t>
      </w:r>
    </w:p>
    <w:p w14:paraId="397705D8">
      <w:pPr>
        <w:ind w:firstLine="413" w:firstLineChars="196"/>
        <w:rPr>
          <w:rFonts w:ascii="宋体" w:hAnsi="宋体"/>
          <w:b/>
          <w:bCs/>
          <w:szCs w:val="21"/>
        </w:rPr>
      </w:pPr>
      <w:r>
        <w:rPr>
          <w:rFonts w:hint="eastAsia" w:ascii="宋体" w:hAnsi="宋体"/>
          <w:b/>
          <w:bCs/>
          <w:szCs w:val="21"/>
        </w:rPr>
        <w:t>37.1.2综合评分法</w:t>
      </w:r>
    </w:p>
    <w:p w14:paraId="007C2C5B">
      <w:pPr>
        <w:ind w:firstLine="411" w:firstLineChars="196"/>
        <w:rPr>
          <w:rFonts w:hint="eastAsia"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102"/>
    </w:p>
    <w:p w14:paraId="45F21907">
      <w:pPr>
        <w:ind w:firstLine="413" w:firstLineChars="196"/>
        <w:rPr>
          <w:rFonts w:ascii="宋体" w:hAnsi="宋体"/>
          <w:b/>
          <w:bCs/>
          <w:szCs w:val="21"/>
        </w:rPr>
      </w:pPr>
      <w:r>
        <w:rPr>
          <w:rFonts w:hint="eastAsia" w:ascii="宋体" w:hAnsi="宋体"/>
          <w:b/>
          <w:bCs/>
          <w:szCs w:val="21"/>
        </w:rPr>
        <w:t>37.2 本项目采用的评审方法见本项目招标文件第一册“专用条款”的相关内容。</w:t>
      </w:r>
    </w:p>
    <w:p w14:paraId="285A6D92">
      <w:pPr>
        <w:ind w:firstLine="413" w:firstLineChars="196"/>
        <w:rPr>
          <w:rFonts w:ascii="宋体" w:hAnsi="宋体"/>
          <w:b/>
          <w:bCs/>
          <w:szCs w:val="21"/>
        </w:rPr>
      </w:pPr>
      <w:r>
        <w:rPr>
          <w:rFonts w:hint="eastAsia" w:ascii="宋体" w:hAnsi="宋体"/>
          <w:b/>
          <w:bCs/>
          <w:szCs w:val="21"/>
        </w:rPr>
        <w:t>37.3重新评审的情形</w:t>
      </w:r>
    </w:p>
    <w:p w14:paraId="4489F092">
      <w:pPr>
        <w:ind w:firstLine="411" w:firstLineChars="196"/>
        <w:rPr>
          <w:rFonts w:ascii="宋体" w:hAnsi="宋体"/>
          <w:b/>
          <w:bCs/>
          <w:szCs w:val="21"/>
        </w:rPr>
      </w:pPr>
      <w:r>
        <w:rPr>
          <w:rFonts w:hint="eastAsia" w:ascii="宋体" w:hAnsi="宋体" w:cs="宋体"/>
          <w:kern w:val="0"/>
          <w:szCs w:val="21"/>
        </w:rPr>
        <w:t>评审结果汇总完成后，除下列情形外，任何人不得修改评审结果：</w:t>
      </w:r>
    </w:p>
    <w:p w14:paraId="79527D11">
      <w:pPr>
        <w:ind w:firstLine="411" w:firstLineChars="196"/>
        <w:rPr>
          <w:rFonts w:ascii="宋体" w:hAnsi="宋体" w:cs="宋体"/>
          <w:kern w:val="0"/>
          <w:szCs w:val="21"/>
        </w:rPr>
      </w:pPr>
      <w:r>
        <w:rPr>
          <w:rFonts w:hint="eastAsia" w:ascii="宋体" w:hAnsi="宋体" w:cs="宋体"/>
          <w:kern w:val="0"/>
          <w:szCs w:val="21"/>
        </w:rPr>
        <w:t>37.3.1分值汇总计算错误的；</w:t>
      </w:r>
    </w:p>
    <w:p w14:paraId="132EBFAA">
      <w:pPr>
        <w:ind w:firstLine="411" w:firstLineChars="196"/>
        <w:rPr>
          <w:rFonts w:ascii="宋体" w:hAnsi="宋体" w:cs="宋体"/>
          <w:kern w:val="0"/>
          <w:szCs w:val="21"/>
        </w:rPr>
      </w:pPr>
      <w:r>
        <w:rPr>
          <w:rFonts w:hint="eastAsia" w:ascii="宋体" w:hAnsi="宋体" w:cs="宋体"/>
          <w:kern w:val="0"/>
          <w:szCs w:val="21"/>
        </w:rPr>
        <w:t>37.3.2分项评分超出评分标准范围的；</w:t>
      </w:r>
    </w:p>
    <w:p w14:paraId="106C8938">
      <w:pPr>
        <w:ind w:firstLine="411" w:firstLineChars="196"/>
        <w:rPr>
          <w:rFonts w:ascii="宋体" w:hAnsi="宋体" w:cs="宋体"/>
          <w:kern w:val="0"/>
          <w:szCs w:val="21"/>
        </w:rPr>
      </w:pPr>
      <w:r>
        <w:rPr>
          <w:rFonts w:hint="eastAsia" w:ascii="宋体" w:hAnsi="宋体" w:cs="宋体"/>
          <w:kern w:val="0"/>
          <w:szCs w:val="21"/>
        </w:rPr>
        <w:t>37.3.3评审委员会成员对客观评审因素评分不一致的；</w:t>
      </w:r>
    </w:p>
    <w:p w14:paraId="41EECF45">
      <w:pPr>
        <w:ind w:firstLine="411" w:firstLineChars="196"/>
        <w:rPr>
          <w:rFonts w:ascii="宋体" w:hAnsi="宋体" w:cs="宋体"/>
          <w:kern w:val="0"/>
          <w:szCs w:val="21"/>
        </w:rPr>
      </w:pPr>
      <w:r>
        <w:rPr>
          <w:rFonts w:hint="eastAsia" w:ascii="宋体" w:hAnsi="宋体" w:cs="宋体"/>
          <w:kern w:val="0"/>
          <w:szCs w:val="21"/>
        </w:rPr>
        <w:t>37.3.4经评审委员会认定评分畸高、畸低的。</w:t>
      </w:r>
    </w:p>
    <w:p w14:paraId="4F579774">
      <w:pPr>
        <w:ind w:firstLine="411" w:firstLineChars="196"/>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063D2EFE">
      <w:pPr>
        <w:ind w:firstLine="411" w:firstLineChars="196"/>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591D02A1">
      <w:pPr>
        <w:ind w:firstLine="413" w:firstLineChars="196"/>
        <w:rPr>
          <w:rFonts w:ascii="宋体" w:hAnsi="宋体"/>
          <w:b/>
          <w:bCs/>
          <w:szCs w:val="21"/>
        </w:rPr>
      </w:pPr>
      <w:r>
        <w:rPr>
          <w:rFonts w:hint="eastAsia" w:ascii="宋体" w:hAnsi="宋体"/>
          <w:b/>
          <w:bCs/>
          <w:szCs w:val="21"/>
        </w:rPr>
        <w:t>37.4重新组建评审委员会的情形</w:t>
      </w:r>
    </w:p>
    <w:p w14:paraId="655D417D">
      <w:pPr>
        <w:ind w:firstLine="411" w:firstLineChars="196"/>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65282209">
      <w:pPr>
        <w:ind w:firstLine="411" w:firstLineChars="196"/>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20DF1944">
      <w:pPr>
        <w:ind w:firstLine="411" w:firstLineChars="196"/>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7358D049">
      <w:pPr>
        <w:ind w:firstLine="411" w:firstLineChars="196"/>
        <w:rPr>
          <w:rFonts w:ascii="宋体" w:hAnsi="宋体" w:cs="宋体"/>
          <w:kern w:val="0"/>
          <w:szCs w:val="21"/>
        </w:rPr>
      </w:pPr>
      <w:r>
        <w:rPr>
          <w:rFonts w:hint="eastAsia" w:ascii="宋体" w:hAnsi="宋体" w:cs="宋体"/>
          <w:kern w:val="0"/>
          <w:szCs w:val="21"/>
        </w:rPr>
        <w:t>37.4.3评审委员会及其成员独立评标受到非法干预的；</w:t>
      </w:r>
    </w:p>
    <w:p w14:paraId="5F3EA9DC">
      <w:pPr>
        <w:ind w:firstLine="411" w:firstLineChars="196"/>
        <w:rPr>
          <w:rFonts w:ascii="宋体" w:hAnsi="宋体" w:cs="宋体"/>
          <w:kern w:val="0"/>
          <w:szCs w:val="21"/>
        </w:rPr>
      </w:pPr>
      <w:r>
        <w:rPr>
          <w:rFonts w:hint="eastAsia" w:ascii="宋体" w:hAnsi="宋体" w:cs="宋体"/>
          <w:kern w:val="0"/>
          <w:szCs w:val="21"/>
        </w:rPr>
        <w:t>37.4.4有政府采购法实施条例第七十五条规定的违法行为的。</w:t>
      </w:r>
    </w:p>
    <w:p w14:paraId="3704F57F">
      <w:pPr>
        <w:ind w:firstLine="411" w:firstLineChars="196"/>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002E4D27">
      <w:pPr>
        <w:pStyle w:val="7"/>
        <w:numPr>
          <w:ilvl w:val="0"/>
          <w:numId w:val="17"/>
        </w:numPr>
        <w:spacing w:before="120" w:beforeLines="50" w:after="120" w:afterLines="50"/>
        <w:ind w:left="562" w:hanging="562"/>
        <w:rPr>
          <w:sz w:val="28"/>
          <w:szCs w:val="28"/>
        </w:rPr>
      </w:pPr>
      <w:r>
        <w:rPr>
          <w:rFonts w:hint="eastAsia"/>
          <w:sz w:val="28"/>
          <w:szCs w:val="28"/>
        </w:rPr>
        <w:t>定标及公示</w:t>
      </w:r>
    </w:p>
    <w:p w14:paraId="3836D036">
      <w:pPr>
        <w:rPr>
          <w:rFonts w:ascii="黑体" w:hAnsi="宋体" w:eastAsia="黑体"/>
          <w:sz w:val="24"/>
        </w:rPr>
      </w:pPr>
      <w:r>
        <w:rPr>
          <w:rFonts w:hint="eastAsia" w:ascii="黑体" w:hAnsi="宋体" w:eastAsia="黑体"/>
          <w:sz w:val="24"/>
        </w:rPr>
        <w:t>38．定标方法</w:t>
      </w:r>
    </w:p>
    <w:p w14:paraId="0F83C34C">
      <w:pPr>
        <w:ind w:firstLine="411" w:firstLineChars="196"/>
        <w:rPr>
          <w:rFonts w:ascii="宋体" w:hAnsi="宋体"/>
          <w:szCs w:val="21"/>
        </w:rPr>
      </w:pPr>
      <w:bookmarkStart w:id="103" w:name="_Hlk73782795"/>
      <w:r>
        <w:rPr>
          <w:rFonts w:hint="eastAsia" w:ascii="宋体" w:hAnsi="宋体"/>
          <w:szCs w:val="21"/>
        </w:rPr>
        <w:t>38.1非评定分离项目定标方法</w:t>
      </w:r>
    </w:p>
    <w:p w14:paraId="2DB6D655">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1.1评审委员会依据本项目招标文件所约定的评审方法进行评审和比较，向政府集中采购机构提交书面评审报告，并根据评审方法比较评价结果从优到劣进行排序，确定候选中标供应商。</w:t>
      </w:r>
    </w:p>
    <w:p w14:paraId="40A50A41">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w:t>
      </w:r>
      <w:bookmarkStart w:id="104" w:name="_Hlk73821177"/>
      <w:r>
        <w:rPr>
          <w:rFonts w:hint="eastAsia" w:ascii="ˎ̥" w:hAnsi="ˎ̥"/>
        </w:rPr>
        <w:t>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bookmarkEnd w:id="104"/>
      <w:r>
        <w:rPr>
          <w:rFonts w:ascii="ˎ̥" w:hAnsi="ˎ̥"/>
        </w:rPr>
        <w:t>）。</w:t>
      </w:r>
    </w:p>
    <w:p w14:paraId="7C7FBC1C">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p>
    <w:p w14:paraId="6A30AE5D">
      <w:pPr>
        <w:ind w:firstLine="411" w:firstLineChars="196"/>
        <w:rPr>
          <w:rFonts w:ascii="宋体" w:hAnsi="宋体"/>
          <w:szCs w:val="21"/>
        </w:rPr>
      </w:pPr>
      <w:r>
        <w:rPr>
          <w:rFonts w:hint="eastAsia" w:ascii="宋体" w:hAnsi="宋体"/>
          <w:szCs w:val="21"/>
        </w:rPr>
        <w:t>38.2专用条款另有规定的，按专用条款相关要求定标。</w:t>
      </w:r>
      <w:bookmarkEnd w:id="103"/>
    </w:p>
    <w:p w14:paraId="6EBB9152">
      <w:pPr>
        <w:rPr>
          <w:rFonts w:ascii="黑体" w:hAnsi="宋体" w:eastAsia="黑体"/>
          <w:sz w:val="24"/>
        </w:rPr>
      </w:pPr>
      <w:r>
        <w:rPr>
          <w:rFonts w:hint="eastAsia" w:ascii="黑体" w:hAnsi="宋体" w:eastAsia="黑体"/>
          <w:sz w:val="24"/>
        </w:rPr>
        <w:t>39．编写评审报告</w:t>
      </w:r>
    </w:p>
    <w:p w14:paraId="4597F458">
      <w:pPr>
        <w:ind w:firstLine="411" w:firstLineChars="196"/>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0F7EE624">
      <w:pPr>
        <w:rPr>
          <w:rFonts w:ascii="黑体" w:hAnsi="宋体" w:eastAsia="黑体"/>
          <w:sz w:val="24"/>
        </w:rPr>
      </w:pPr>
      <w:r>
        <w:rPr>
          <w:rFonts w:hint="eastAsia" w:ascii="黑体" w:hAnsi="宋体" w:eastAsia="黑体"/>
          <w:sz w:val="24"/>
        </w:rPr>
        <w:t>40．中标公告</w:t>
      </w:r>
    </w:p>
    <w:p w14:paraId="39F1BC1B">
      <w:pPr>
        <w:ind w:firstLine="411" w:firstLineChars="196"/>
        <w:rPr>
          <w:rFonts w:ascii="宋体" w:hAnsi="宋体"/>
          <w:szCs w:val="21"/>
        </w:rPr>
      </w:pPr>
      <w:r>
        <w:rPr>
          <w:rFonts w:hint="eastAsia" w:ascii="宋体" w:hAnsi="宋体"/>
          <w:szCs w:val="21"/>
        </w:rPr>
        <w:t>40.1</w:t>
      </w:r>
      <w:bookmarkStart w:id="105" w:name="_Hlk72438709"/>
      <w:r>
        <w:rPr>
          <w:rFonts w:hint="eastAsia" w:ascii="宋体" w:hAnsi="宋体"/>
          <w:szCs w:val="21"/>
        </w:rPr>
        <w:t>为体现“公开、公平、公正”的原则，评审结束后经采购人确认（确定）评审结果，政府集中采购机构将在“中国政府采购网（http://www.ccgp.gov.cn/）、深圳市政府采购监管网（中国政府采购网深圳分网）（http://zfcg.sz.gov.cn/）、深圳政府采购智慧平台（http://zfcg.szggzy.com:8081）”上发布中标结果公告。</w:t>
      </w:r>
      <w:bookmarkEnd w:id="105"/>
      <w:bookmarkStart w:id="106"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rPr>
        <w:t>政府集中采购机构</w:t>
      </w:r>
      <w:r>
        <w:rPr>
          <w:rFonts w:ascii="宋体" w:hAnsi="宋体"/>
          <w:szCs w:val="21"/>
        </w:rPr>
        <w:t>提出。 监督电话：0755-83948143。</w:t>
      </w:r>
      <w:r>
        <w:rPr>
          <w:rFonts w:hint="eastAsia" w:ascii="宋体" w:hAnsi="宋体"/>
          <w:szCs w:val="21"/>
        </w:rPr>
        <w:t>若在公示期内未提出质疑，则视为认同该评审结果。</w:t>
      </w:r>
    </w:p>
    <w:bookmarkEnd w:id="106"/>
    <w:p w14:paraId="04ECB877">
      <w:pPr>
        <w:ind w:firstLine="411" w:firstLineChars="196"/>
        <w:rPr>
          <w:rFonts w:ascii="宋体" w:hAnsi="宋体"/>
          <w:szCs w:val="21"/>
        </w:rPr>
      </w:pPr>
      <w:r>
        <w:rPr>
          <w:rFonts w:hint="eastAsia" w:ascii="宋体" w:hAnsi="宋体"/>
          <w:szCs w:val="21"/>
        </w:rPr>
        <w:t>40.2质疑、投诉供应商应保证质疑、投诉内容的真实性和可靠性，并承担相应的法律责任。</w:t>
      </w:r>
    </w:p>
    <w:p w14:paraId="5B4AE564">
      <w:pPr>
        <w:rPr>
          <w:rFonts w:ascii="黑体" w:hAnsi="宋体" w:eastAsia="黑体"/>
          <w:sz w:val="24"/>
        </w:rPr>
      </w:pPr>
      <w:r>
        <w:rPr>
          <w:rFonts w:hint="eastAsia" w:ascii="黑体" w:hAnsi="宋体" w:eastAsia="黑体"/>
          <w:sz w:val="24"/>
        </w:rPr>
        <w:t>41．中标通知书</w:t>
      </w:r>
    </w:p>
    <w:p w14:paraId="6CD351C7">
      <w:pPr>
        <w:ind w:firstLine="411" w:firstLineChars="196"/>
        <w:rPr>
          <w:rFonts w:ascii="宋体" w:hAnsi="宋体"/>
          <w:szCs w:val="21"/>
        </w:rPr>
      </w:pPr>
      <w:bookmarkStart w:id="107" w:name="_Hlk71407340"/>
      <w:r>
        <w:rPr>
          <w:rFonts w:hint="eastAsia" w:ascii="宋体" w:hAnsi="宋体"/>
          <w:szCs w:val="21"/>
        </w:rPr>
        <w:t>41.1中标公告公布以后,公示期内无有效质疑投诉,中标人在缴纳中标服务费后，可联系政府集中采购机构领取《中标通知书》。</w:t>
      </w:r>
    </w:p>
    <w:p w14:paraId="54479835">
      <w:pPr>
        <w:ind w:firstLine="411" w:firstLineChars="196"/>
        <w:rPr>
          <w:rFonts w:ascii="宋体" w:hAnsi="宋体"/>
          <w:szCs w:val="21"/>
        </w:rPr>
      </w:pPr>
      <w:r>
        <w:rPr>
          <w:rFonts w:hint="eastAsia" w:ascii="宋体" w:hAnsi="宋体"/>
          <w:szCs w:val="21"/>
        </w:rPr>
        <w:t>41.2中标通知书是合同的重要组成部分。</w:t>
      </w:r>
    </w:p>
    <w:p w14:paraId="249AF669">
      <w:pPr>
        <w:ind w:firstLine="411" w:firstLineChars="196"/>
        <w:rPr>
          <w:rFonts w:ascii="宋体" w:hAnsi="宋体"/>
          <w:szCs w:val="21"/>
        </w:rPr>
      </w:pPr>
      <w:r>
        <w:rPr>
          <w:rFonts w:hint="eastAsia" w:ascii="宋体" w:hAnsi="宋体"/>
          <w:szCs w:val="21"/>
        </w:rPr>
        <w:t>41.3因质疑投诉或其它原因导致项目结果变更或采购终止的，政府集中采购机构有权吊销中标通知书。</w:t>
      </w:r>
    </w:p>
    <w:bookmarkEnd w:id="107"/>
    <w:p w14:paraId="1764CBC6">
      <w:pPr>
        <w:pStyle w:val="7"/>
        <w:numPr>
          <w:ilvl w:val="0"/>
          <w:numId w:val="17"/>
        </w:numPr>
        <w:spacing w:before="120" w:beforeLines="50" w:after="120" w:afterLines="50"/>
        <w:ind w:left="562" w:hanging="562"/>
        <w:rPr>
          <w:sz w:val="28"/>
          <w:szCs w:val="28"/>
        </w:rPr>
      </w:pPr>
      <w:r>
        <w:rPr>
          <w:rFonts w:hint="eastAsia"/>
          <w:sz w:val="28"/>
          <w:szCs w:val="28"/>
        </w:rPr>
        <w:t>公开招标失败的后续处理</w:t>
      </w:r>
    </w:p>
    <w:p w14:paraId="0A4CD342">
      <w:pPr>
        <w:rPr>
          <w:rFonts w:ascii="黑体" w:hAnsi="宋体" w:eastAsia="黑体"/>
          <w:sz w:val="24"/>
        </w:rPr>
      </w:pPr>
      <w:r>
        <w:rPr>
          <w:rFonts w:hint="eastAsia" w:ascii="黑体" w:hAnsi="宋体" w:eastAsia="黑体"/>
          <w:sz w:val="24"/>
        </w:rPr>
        <w:t>42．公开招标失败的处理</w:t>
      </w:r>
    </w:p>
    <w:p w14:paraId="5D07D1CB">
      <w:pPr>
        <w:ind w:firstLine="411" w:firstLineChars="196"/>
        <w:rPr>
          <w:rFonts w:ascii="宋体" w:hAnsi="宋体"/>
        </w:rPr>
      </w:pPr>
      <w:bookmarkStart w:id="108" w:name="_Hlk72439043"/>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rPr>
        <w:t>政府集中采购机构</w:t>
      </w:r>
      <w:r>
        <w:rPr>
          <w:rFonts w:hint="eastAsia" w:ascii="宋体" w:hAnsi="宋体"/>
        </w:rPr>
        <w:t>重新组织采购。</w:t>
      </w:r>
    </w:p>
    <w:p w14:paraId="11C12895">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619B064E">
      <w:pPr>
        <w:ind w:firstLine="411" w:firstLineChars="196"/>
        <w:rPr>
          <w:rFonts w:ascii="宋体" w:hAnsi="宋体"/>
          <w:szCs w:val="21"/>
        </w:rPr>
      </w:pPr>
      <w:r>
        <w:rPr>
          <w:rFonts w:hint="eastAsia" w:ascii="宋体" w:hAnsi="宋体"/>
          <w:szCs w:val="21"/>
        </w:rPr>
        <w:t>42.3重新组织采购有以下两种组织形式：</w:t>
      </w:r>
    </w:p>
    <w:p w14:paraId="5373DF41">
      <w:pPr>
        <w:ind w:firstLine="411" w:firstLineChars="196"/>
        <w:rPr>
          <w:rFonts w:ascii="宋体" w:hAnsi="宋体"/>
        </w:rPr>
      </w:pPr>
      <w:r>
        <w:rPr>
          <w:rFonts w:hint="eastAsia" w:ascii="宋体" w:hAnsi="宋体"/>
        </w:rPr>
        <w:t>（1）由政府集中采购机构重新组织公开招标；</w:t>
      </w:r>
    </w:p>
    <w:p w14:paraId="176F76EB">
      <w:pPr>
        <w:ind w:firstLine="411" w:firstLineChars="196"/>
        <w:rPr>
          <w:rFonts w:ascii="宋体" w:hAnsi="宋体"/>
        </w:rPr>
      </w:pPr>
      <w:r>
        <w:rPr>
          <w:rFonts w:hint="eastAsia" w:ascii="宋体" w:hAnsi="宋体"/>
        </w:rPr>
        <w:t>（2）根据实际情况需要向同级财政部门提出非公开招标方式申请，经同级财政部门批准，公开招标失败采购项目可转为竞争性谈判或单一来源谈判方式采购。</w:t>
      </w:r>
    </w:p>
    <w:p w14:paraId="4EA0384F">
      <w:pPr>
        <w:ind w:firstLine="411" w:firstLineChars="196"/>
        <w:rPr>
          <w:rFonts w:ascii="宋体" w:hAnsi="宋体"/>
        </w:rPr>
      </w:pPr>
      <w:r>
        <w:rPr>
          <w:rFonts w:hint="eastAsia" w:ascii="宋体" w:hAnsi="宋体"/>
        </w:rPr>
        <w:t>42.4公开招标失败的采购项目重新组织公开招标，由政府集中采购机构重新按公开招标流程组织采购活动。</w:t>
      </w:r>
    </w:p>
    <w:p w14:paraId="185965C9">
      <w:pPr>
        <w:rPr>
          <w:rFonts w:ascii="宋体" w:hAnsi="宋体"/>
        </w:rPr>
      </w:pPr>
      <w:r>
        <w:rPr>
          <w:rFonts w:hint="eastAsia" w:ascii="宋体" w:hAnsi="宋体"/>
        </w:rPr>
        <w:t>42.5公开招标失败的采购项目经同级财政部门批准转为竞争性谈判或单一来源谈判方式采购的，按规定要求组织政府采购工作。</w:t>
      </w:r>
    </w:p>
    <w:p w14:paraId="059690D7">
      <w:pPr>
        <w:pStyle w:val="7"/>
        <w:numPr>
          <w:ilvl w:val="0"/>
          <w:numId w:val="17"/>
        </w:numPr>
        <w:spacing w:before="120" w:beforeLines="50" w:after="120" w:afterLines="50"/>
        <w:ind w:left="562" w:hanging="562"/>
        <w:rPr>
          <w:sz w:val="28"/>
          <w:szCs w:val="28"/>
        </w:rPr>
      </w:pPr>
      <w:r>
        <w:rPr>
          <w:rFonts w:hint="eastAsia"/>
          <w:sz w:val="28"/>
          <w:szCs w:val="28"/>
        </w:rPr>
        <w:t>合同的授予与备案</w:t>
      </w:r>
      <w:bookmarkEnd w:id="108"/>
    </w:p>
    <w:p w14:paraId="1B784181">
      <w:pPr>
        <w:rPr>
          <w:rFonts w:ascii="黑体" w:hAnsi="宋体" w:eastAsia="黑体"/>
          <w:sz w:val="24"/>
        </w:rPr>
      </w:pPr>
      <w:bookmarkStart w:id="109" w:name="_Toc100052408"/>
      <w:bookmarkStart w:id="110" w:name="_Toc73521586"/>
      <w:bookmarkStart w:id="111" w:name="_Toc73521674"/>
      <w:bookmarkStart w:id="112" w:name="_Toc73517679"/>
      <w:bookmarkStart w:id="113" w:name="_Toc73518157"/>
      <w:bookmarkStart w:id="114" w:name="_Hlk72439088"/>
      <w:r>
        <w:rPr>
          <w:rFonts w:hint="eastAsia" w:ascii="黑体" w:hAnsi="宋体" w:eastAsia="黑体"/>
          <w:sz w:val="24"/>
        </w:rPr>
        <w:t>43．合同授予标准</w:t>
      </w:r>
      <w:bookmarkEnd w:id="109"/>
      <w:bookmarkEnd w:id="110"/>
      <w:bookmarkEnd w:id="111"/>
      <w:bookmarkEnd w:id="112"/>
      <w:bookmarkEnd w:id="113"/>
    </w:p>
    <w:p w14:paraId="1A8866F0">
      <w:pPr>
        <w:ind w:firstLine="411" w:firstLineChars="196"/>
        <w:rPr>
          <w:rFonts w:ascii="宋体" w:hAnsi="宋体"/>
          <w:szCs w:val="21"/>
        </w:rPr>
      </w:pPr>
      <w:r>
        <w:rPr>
          <w:rFonts w:hint="eastAsia" w:ascii="宋体" w:hAnsi="宋体"/>
          <w:szCs w:val="21"/>
        </w:rPr>
        <w:t>本项目的合同将授予经本招标文件规定评审确定的中标供应商。</w:t>
      </w:r>
    </w:p>
    <w:p w14:paraId="732942DD">
      <w:pPr>
        <w:rPr>
          <w:rFonts w:ascii="黑体" w:hAnsi="宋体" w:eastAsia="黑体"/>
          <w:sz w:val="24"/>
        </w:rPr>
      </w:pPr>
      <w:bookmarkStart w:id="115" w:name="_Toc73521587"/>
      <w:bookmarkStart w:id="116" w:name="_Toc73518158"/>
      <w:bookmarkStart w:id="117" w:name="_Toc73521675"/>
      <w:bookmarkStart w:id="118" w:name="_Toc73517680"/>
      <w:bookmarkStart w:id="119" w:name="_Toc100052409"/>
      <w:r>
        <w:rPr>
          <w:rFonts w:hint="eastAsia" w:ascii="黑体" w:hAnsi="宋体" w:eastAsia="黑体"/>
          <w:sz w:val="24"/>
        </w:rPr>
        <w:t>44．</w:t>
      </w:r>
      <w:bookmarkEnd w:id="115"/>
      <w:bookmarkEnd w:id="116"/>
      <w:bookmarkEnd w:id="117"/>
      <w:bookmarkEnd w:id="118"/>
      <w:bookmarkEnd w:id="119"/>
      <w:r>
        <w:rPr>
          <w:rFonts w:hint="eastAsia" w:ascii="黑体" w:hAnsi="宋体" w:eastAsia="黑体"/>
          <w:sz w:val="24"/>
        </w:rPr>
        <w:t>接受和拒绝任何或所有投标的权力</w:t>
      </w:r>
    </w:p>
    <w:p w14:paraId="71BD24B2">
      <w:pPr>
        <w:ind w:firstLine="411" w:firstLineChars="196"/>
        <w:rPr>
          <w:rFonts w:ascii="宋体" w:hAnsi="宋体"/>
          <w:szCs w:val="21"/>
        </w:rPr>
      </w:pPr>
      <w:r>
        <w:rPr>
          <w:rFonts w:hint="eastAsia" w:ascii="宋体" w:hAnsi="宋体"/>
          <w:szCs w:val="21"/>
        </w:rPr>
        <w:t>政府集中采购机构和采购人保留在投标之前任何时候接受或拒绝任何投标或所有投标，以及宣布招标无效的权力，对受影响的投标人不承担任何责任，也无义务向受影响的投标人解释采取这一行动的理由。</w:t>
      </w:r>
    </w:p>
    <w:p w14:paraId="5C152103">
      <w:pPr>
        <w:rPr>
          <w:rFonts w:ascii="黑体" w:hAnsi="宋体" w:eastAsia="黑体"/>
          <w:sz w:val="24"/>
        </w:rPr>
      </w:pPr>
      <w:bookmarkStart w:id="120" w:name="_Toc100052410"/>
      <w:bookmarkStart w:id="121" w:name="_Toc73521677"/>
      <w:bookmarkStart w:id="122" w:name="_Toc73518160"/>
      <w:bookmarkStart w:id="123" w:name="_Toc73521589"/>
      <w:bookmarkStart w:id="124" w:name="_Toc73517682"/>
      <w:r>
        <w:rPr>
          <w:rFonts w:hint="eastAsia" w:ascii="黑体" w:hAnsi="宋体" w:eastAsia="黑体"/>
          <w:sz w:val="24"/>
        </w:rPr>
        <w:t>45．合同的签订</w:t>
      </w:r>
      <w:bookmarkEnd w:id="120"/>
      <w:bookmarkEnd w:id="121"/>
      <w:bookmarkEnd w:id="122"/>
      <w:bookmarkEnd w:id="123"/>
      <w:bookmarkEnd w:id="124"/>
    </w:p>
    <w:p w14:paraId="3ADFDA37">
      <w:pPr>
        <w:ind w:firstLine="411" w:firstLineChars="196"/>
        <w:rPr>
          <w:rFonts w:ascii="宋体" w:hAnsi="宋体"/>
          <w:szCs w:val="21"/>
        </w:rPr>
      </w:pPr>
      <w:r>
        <w:rPr>
          <w:rFonts w:hint="eastAsia" w:ascii="宋体" w:hAnsi="宋体"/>
          <w:szCs w:val="21"/>
        </w:rPr>
        <w:t>45.1中标人将于中标通知书发出之日起30日内，按照采购文件（招标文件和投标文件等）内容与采购人签订政府采购合同；合同的实质性内容应当符合招标文件的规定；</w:t>
      </w:r>
    </w:p>
    <w:p w14:paraId="579C2663">
      <w:pPr>
        <w:ind w:firstLine="411" w:firstLineChars="196"/>
        <w:rPr>
          <w:rFonts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rPr>
        <w:t>同级财政</w:t>
      </w:r>
      <w:r>
        <w:rPr>
          <w:rFonts w:ascii="宋体" w:hAnsi="宋体" w:cs="宋体"/>
          <w:kern w:val="0"/>
          <w:szCs w:val="21"/>
        </w:rPr>
        <w:t>部门记入供应商诚信档案，予以通报</w:t>
      </w:r>
      <w:r>
        <w:rPr>
          <w:rFonts w:hint="eastAsia" w:ascii="宋体" w:hAnsi="宋体"/>
          <w:szCs w:val="21"/>
        </w:rPr>
        <w:t>；</w:t>
      </w:r>
    </w:p>
    <w:p w14:paraId="5B2DF6E1">
      <w:pPr>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14:paraId="15A90BD6">
      <w:pPr>
        <w:rPr>
          <w:rFonts w:ascii="黑体" w:hAnsi="宋体" w:eastAsia="黑体"/>
          <w:sz w:val="24"/>
        </w:rPr>
      </w:pPr>
      <w:bookmarkStart w:id="125" w:name="_Toc73521590"/>
      <w:bookmarkStart w:id="126" w:name="_Toc73517683"/>
      <w:bookmarkStart w:id="127" w:name="_Toc73518161"/>
      <w:bookmarkStart w:id="128" w:name="_Toc100052411"/>
      <w:bookmarkStart w:id="129" w:name="_Toc73521678"/>
      <w:r>
        <w:rPr>
          <w:rFonts w:hint="eastAsia" w:ascii="黑体" w:hAnsi="宋体" w:eastAsia="黑体"/>
          <w:sz w:val="24"/>
        </w:rPr>
        <w:t>46．履约担保</w:t>
      </w:r>
      <w:bookmarkEnd w:id="125"/>
      <w:bookmarkEnd w:id="126"/>
      <w:bookmarkEnd w:id="127"/>
      <w:bookmarkEnd w:id="128"/>
      <w:bookmarkEnd w:id="129"/>
    </w:p>
    <w:p w14:paraId="2C3709CB">
      <w:pPr>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46.1在签订项目合同的同时，中标人应按“对通用条款的补充内容”中规定的金额向采购人提交履约担保；</w:t>
      </w:r>
    </w:p>
    <w:p w14:paraId="2B22D1A8">
      <w:pPr>
        <w:ind w:firstLine="411" w:firstLineChars="196"/>
        <w:rPr>
          <w:rFonts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14:paraId="123474C0">
      <w:pPr>
        <w:rPr>
          <w:rFonts w:ascii="黑体" w:hAnsi="宋体" w:eastAsia="黑体"/>
          <w:sz w:val="24"/>
        </w:rPr>
      </w:pPr>
      <w:r>
        <w:rPr>
          <w:rFonts w:hint="eastAsia" w:ascii="黑体" w:hAnsi="宋体" w:eastAsia="黑体"/>
          <w:sz w:val="24"/>
        </w:rPr>
        <w:t>47. 合同备案</w:t>
      </w:r>
    </w:p>
    <w:p w14:paraId="39F50D3F">
      <w:pPr>
        <w:ind w:firstLine="411" w:firstLineChars="196"/>
        <w:rPr>
          <w:rFonts w:ascii="宋体" w:hAnsi="宋体"/>
          <w:szCs w:val="21"/>
        </w:rPr>
      </w:pPr>
      <w:r>
        <w:rPr>
          <w:rFonts w:hint="eastAsia" w:ascii="宋体" w:hAnsi="宋体"/>
          <w:szCs w:val="21"/>
        </w:rPr>
        <w:t>政府采购项目的采购合同自签订之日起七个工作日内，采购人应当将合同副本报同级政府采购监督管理部门和有关部门备案。</w:t>
      </w:r>
    </w:p>
    <w:p w14:paraId="5A97B003">
      <w:pPr>
        <w:rPr>
          <w:rFonts w:ascii="黑体" w:hAnsi="宋体" w:eastAsia="黑体"/>
          <w:sz w:val="24"/>
        </w:rPr>
      </w:pPr>
      <w:r>
        <w:rPr>
          <w:rFonts w:hint="eastAsia" w:ascii="黑体" w:hAnsi="宋体" w:eastAsia="黑体"/>
          <w:sz w:val="24"/>
        </w:rPr>
        <w:t>48. 合同变更</w:t>
      </w:r>
    </w:p>
    <w:p w14:paraId="543594FB">
      <w:pPr>
        <w:ind w:firstLine="411" w:firstLineChars="196"/>
        <w:rPr>
          <w:rFonts w:ascii="宋体" w:hAnsi="宋体"/>
          <w:szCs w:val="21"/>
        </w:rPr>
      </w:pPr>
      <w:r>
        <w:rPr>
          <w:rFonts w:hint="eastAsia" w:ascii="宋体" w:hAnsi="宋体"/>
          <w:szCs w:val="21"/>
        </w:rPr>
        <w:t>合同变更事宜按相关规定执行。</w:t>
      </w:r>
    </w:p>
    <w:p w14:paraId="405F8AFA">
      <w:pPr>
        <w:rPr>
          <w:rFonts w:ascii="黑体" w:hAnsi="宋体" w:eastAsia="黑体"/>
          <w:sz w:val="24"/>
        </w:rPr>
      </w:pPr>
      <w:r>
        <w:rPr>
          <w:rFonts w:hint="eastAsia" w:ascii="黑体" w:hAnsi="宋体" w:eastAsia="黑体"/>
          <w:sz w:val="24"/>
        </w:rPr>
        <w:t>49. 项目验收</w:t>
      </w:r>
    </w:p>
    <w:p w14:paraId="4BE9D0E3">
      <w:pPr>
        <w:widowControl/>
        <w:ind w:right="176" w:firstLine="420"/>
        <w:jc w:val="left"/>
        <w:rPr>
          <w:rFonts w:ascii="宋体" w:hAnsi="宋体"/>
        </w:rPr>
      </w:pPr>
      <w:r>
        <w:rPr>
          <w:rFonts w:hint="eastAsia" w:ascii="宋体" w:hAnsi="宋体"/>
        </w:rPr>
        <w:t>49.1采购人应当按照招标文件和合同规定的标准和方法，及时组织验收。</w:t>
      </w:r>
    </w:p>
    <w:p w14:paraId="486275BC">
      <w:pPr>
        <w:rPr>
          <w:rFonts w:ascii="黑体" w:hAnsi="宋体" w:eastAsia="黑体"/>
          <w:sz w:val="24"/>
        </w:rPr>
      </w:pPr>
      <w:r>
        <w:rPr>
          <w:rFonts w:hint="eastAsia" w:ascii="黑体" w:hAnsi="宋体" w:eastAsia="黑体"/>
          <w:sz w:val="24"/>
        </w:rPr>
        <w:t>50. 宣传</w:t>
      </w:r>
    </w:p>
    <w:p w14:paraId="28F3FE0C">
      <w:pPr>
        <w:ind w:left="210" w:leftChars="100" w:firstLine="411" w:firstLineChars="196"/>
        <w:rPr>
          <w:rFonts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rPr>
        <w:t>政府集中采购机构</w:t>
      </w:r>
      <w:r>
        <w:rPr>
          <w:rFonts w:ascii="宋体" w:hAnsi="宋体"/>
        </w:rPr>
        <w:t>，并征得其同意。对外市场宣传包括但不限于以下形式：</w:t>
      </w:r>
    </w:p>
    <w:p w14:paraId="50B3BB46">
      <w:pPr>
        <w:ind w:left="210" w:leftChars="100" w:firstLine="411" w:firstLineChars="196"/>
        <w:rPr>
          <w:rFonts w:ascii="宋体" w:hAnsi="宋体"/>
        </w:rPr>
      </w:pPr>
      <w:r>
        <w:rPr>
          <w:rFonts w:ascii="宋体" w:hAnsi="宋体"/>
        </w:rPr>
        <w:t>a.名片、宣传册、广告标语等；</w:t>
      </w:r>
    </w:p>
    <w:p w14:paraId="740FAF71">
      <w:pPr>
        <w:ind w:left="210" w:leftChars="100" w:firstLine="411" w:firstLineChars="196"/>
        <w:rPr>
          <w:rFonts w:ascii="宋体" w:hAnsi="宋体"/>
        </w:rPr>
      </w:pPr>
      <w:r>
        <w:rPr>
          <w:rFonts w:ascii="宋体" w:hAnsi="宋体"/>
        </w:rPr>
        <w:t>b.案例介绍、推广等；</w:t>
      </w:r>
    </w:p>
    <w:p w14:paraId="7BA04D9A">
      <w:pPr>
        <w:ind w:left="210" w:leftChars="100" w:firstLine="411" w:firstLineChars="196"/>
        <w:rPr>
          <w:rFonts w:ascii="宋体" w:hAnsi="宋体"/>
        </w:rPr>
      </w:pPr>
      <w:r>
        <w:rPr>
          <w:rFonts w:hint="eastAsia" w:ascii="宋体" w:hAnsi="宋体"/>
        </w:rPr>
        <w:t>c.工作</w:t>
      </w:r>
      <w:r>
        <w:rPr>
          <w:rFonts w:ascii="宋体" w:hAnsi="宋体"/>
        </w:rPr>
        <w:t>人员向其他消费群体宣传</w:t>
      </w:r>
    </w:p>
    <w:p w14:paraId="7BA876AA">
      <w:pPr>
        <w:rPr>
          <w:rFonts w:ascii="黑体" w:hAnsi="宋体" w:eastAsia="黑体"/>
          <w:sz w:val="24"/>
        </w:rPr>
      </w:pPr>
      <w:r>
        <w:rPr>
          <w:rFonts w:hint="eastAsia" w:ascii="黑体" w:hAnsi="宋体" w:eastAsia="黑体"/>
          <w:sz w:val="24"/>
        </w:rPr>
        <w:t>51. 供应商违法责任</w:t>
      </w:r>
    </w:p>
    <w:bookmarkEnd w:id="114"/>
    <w:p w14:paraId="32C68F2C">
      <w:pPr>
        <w:ind w:firstLine="411" w:firstLineChars="196"/>
        <w:rPr>
          <w:rFonts w:ascii="宋体" w:hAnsi="宋体"/>
          <w:szCs w:val="21"/>
        </w:rPr>
      </w:pPr>
      <w:r>
        <w:rPr>
          <w:rFonts w:hint="eastAsia" w:ascii="宋体" w:hAnsi="宋体"/>
          <w:szCs w:val="21"/>
        </w:rPr>
        <w:t>51.1《中华人民共和国政府采购法》第七十七条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74C7C36">
      <w:pPr>
        <w:ind w:firstLine="411" w:firstLineChars="196"/>
        <w:rPr>
          <w:rFonts w:ascii="宋体" w:hAnsi="宋体"/>
          <w:szCs w:val="21"/>
        </w:rPr>
      </w:pPr>
      <w:r>
        <w:rPr>
          <w:rFonts w:hint="eastAsia" w:ascii="宋体" w:hAnsi="宋体"/>
          <w:szCs w:val="21"/>
        </w:rPr>
        <w:t>（一）提供虚假材料谋取中标、成交的；</w:t>
      </w:r>
    </w:p>
    <w:p w14:paraId="45937FD4">
      <w:pPr>
        <w:ind w:firstLine="411" w:firstLineChars="196"/>
        <w:rPr>
          <w:rFonts w:ascii="宋体" w:hAnsi="宋体"/>
          <w:szCs w:val="21"/>
        </w:rPr>
      </w:pPr>
      <w:r>
        <w:rPr>
          <w:rFonts w:hint="eastAsia" w:ascii="宋体" w:hAnsi="宋体"/>
          <w:szCs w:val="21"/>
        </w:rPr>
        <w:t>（二）采取不正当手段诋毁、排挤其他供应商的；</w:t>
      </w:r>
    </w:p>
    <w:p w14:paraId="2421CADE">
      <w:pPr>
        <w:ind w:firstLine="411" w:firstLineChars="196"/>
        <w:rPr>
          <w:rFonts w:ascii="宋体" w:hAnsi="宋体"/>
          <w:szCs w:val="21"/>
        </w:rPr>
      </w:pPr>
      <w:r>
        <w:rPr>
          <w:rFonts w:hint="eastAsia" w:ascii="宋体" w:hAnsi="宋体"/>
          <w:szCs w:val="21"/>
        </w:rPr>
        <w:t>（三）与采购人、其他供应商或者采购代理机构恶意串通的；</w:t>
      </w:r>
    </w:p>
    <w:p w14:paraId="44FCB1A7">
      <w:pPr>
        <w:ind w:firstLine="411" w:firstLineChars="196"/>
        <w:rPr>
          <w:rFonts w:ascii="宋体" w:hAnsi="宋体"/>
          <w:szCs w:val="21"/>
        </w:rPr>
      </w:pPr>
      <w:r>
        <w:rPr>
          <w:rFonts w:hint="eastAsia" w:ascii="宋体" w:hAnsi="宋体"/>
          <w:szCs w:val="21"/>
        </w:rPr>
        <w:t>（四）向采购人、采购代理机构行贿或者提供其他不正当利益的；</w:t>
      </w:r>
    </w:p>
    <w:p w14:paraId="00997598">
      <w:pPr>
        <w:ind w:firstLine="411" w:firstLineChars="196"/>
        <w:rPr>
          <w:rFonts w:ascii="宋体" w:hAnsi="宋体"/>
          <w:szCs w:val="21"/>
        </w:rPr>
      </w:pPr>
      <w:r>
        <w:rPr>
          <w:rFonts w:hint="eastAsia" w:ascii="宋体" w:hAnsi="宋体"/>
          <w:szCs w:val="21"/>
        </w:rPr>
        <w:t>（五）在招标采购过程中与采购人进行协商谈判的；</w:t>
      </w:r>
    </w:p>
    <w:p w14:paraId="22E90429">
      <w:pPr>
        <w:ind w:firstLine="411" w:firstLineChars="196"/>
        <w:rPr>
          <w:rFonts w:ascii="宋体" w:hAnsi="宋体"/>
          <w:szCs w:val="21"/>
        </w:rPr>
      </w:pPr>
      <w:r>
        <w:rPr>
          <w:rFonts w:hint="eastAsia" w:ascii="宋体" w:hAnsi="宋体"/>
          <w:szCs w:val="21"/>
        </w:rPr>
        <w:t>（六）拒绝有关部门监督检查或者提供虚假情况的。</w:t>
      </w:r>
    </w:p>
    <w:p w14:paraId="26600337">
      <w:pPr>
        <w:ind w:firstLine="411" w:firstLineChars="196"/>
        <w:rPr>
          <w:rFonts w:ascii="宋体" w:hAnsi="宋体"/>
          <w:szCs w:val="21"/>
        </w:rPr>
      </w:pPr>
      <w:r>
        <w:rPr>
          <w:rFonts w:hint="eastAsia" w:ascii="宋体" w:hAnsi="宋体"/>
          <w:szCs w:val="21"/>
        </w:rPr>
        <w:t>供应商有前款第（一）至（五）项情形之一的，中标、成交无效。</w:t>
      </w:r>
    </w:p>
    <w:p w14:paraId="15D88447">
      <w:pPr>
        <w:pStyle w:val="7"/>
        <w:numPr>
          <w:ilvl w:val="0"/>
          <w:numId w:val="17"/>
        </w:numPr>
        <w:spacing w:before="120" w:beforeLines="50" w:after="120" w:afterLines="50"/>
        <w:ind w:left="562" w:hanging="562"/>
        <w:rPr>
          <w:sz w:val="28"/>
          <w:szCs w:val="28"/>
        </w:rPr>
      </w:pPr>
      <w:r>
        <w:rPr>
          <w:rFonts w:hint="eastAsia"/>
          <w:sz w:val="28"/>
          <w:szCs w:val="28"/>
        </w:rPr>
        <w:t>质疑处理</w:t>
      </w:r>
    </w:p>
    <w:p w14:paraId="3F2EB5CF">
      <w:pPr>
        <w:rPr>
          <w:rFonts w:ascii="黑体" w:hAnsi="宋体" w:eastAsia="黑体"/>
          <w:sz w:val="24"/>
        </w:rPr>
      </w:pPr>
      <w:bookmarkStart w:id="130" w:name="_Hlk72439706"/>
      <w:r>
        <w:rPr>
          <w:rFonts w:hint="eastAsia" w:ascii="黑体" w:hAnsi="宋体" w:eastAsia="黑体"/>
          <w:sz w:val="24"/>
        </w:rPr>
        <w:t>52.质疑提出与答复</w:t>
      </w:r>
    </w:p>
    <w:p w14:paraId="592E8305">
      <w:pPr>
        <w:rPr>
          <w:rFonts w:ascii="宋体" w:hAnsi="宋体"/>
          <w:szCs w:val="21"/>
        </w:rPr>
      </w:pPr>
      <w:r>
        <w:rPr>
          <w:rFonts w:hint="eastAsia" w:ascii="宋体" w:hAnsi="宋体"/>
          <w:szCs w:val="21"/>
        </w:rPr>
        <w:t xml:space="preserve">    52.1提出质疑</w:t>
      </w:r>
    </w:p>
    <w:p w14:paraId="6FE3214C">
      <w:pPr>
        <w:rPr>
          <w:rFonts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14:paraId="2D5147E1">
      <w:pPr>
        <w:rPr>
          <w:rFonts w:ascii="宋体" w:hAnsi="宋体"/>
          <w:szCs w:val="21"/>
        </w:rPr>
      </w:pPr>
      <w:r>
        <w:rPr>
          <w:rFonts w:hint="eastAsia" w:ascii="宋体" w:hAnsi="宋体"/>
          <w:szCs w:val="21"/>
        </w:rPr>
        <w:t xml:space="preserve">    52.2</w:t>
      </w:r>
      <w:r>
        <w:rPr>
          <w:rFonts w:ascii="宋体" w:hAnsi="宋体"/>
          <w:szCs w:val="21"/>
        </w:rPr>
        <w:t>法律依据</w:t>
      </w:r>
    </w:p>
    <w:p w14:paraId="7536CBF9">
      <w:pPr>
        <w:rPr>
          <w:rFonts w:ascii="宋体" w:hAnsi="宋体"/>
          <w:szCs w:val="21"/>
        </w:rPr>
      </w:pPr>
      <w:r>
        <w:rPr>
          <w:rFonts w:hint="eastAsia" w:ascii="宋体" w:hAnsi="宋体"/>
          <w:szCs w:val="21"/>
        </w:rPr>
        <w:t xml:space="preserve">    《中华人民共和国政府采购法》、《中华人民共和国政府采购法实施条例》、《政府采购质疑和投诉办法》（财政部令第94号）和其他有关法律法规规定。</w:t>
      </w:r>
    </w:p>
    <w:p w14:paraId="5C0A8B16">
      <w:pPr>
        <w:rPr>
          <w:rFonts w:ascii="宋体" w:hAnsi="宋体"/>
          <w:szCs w:val="21"/>
        </w:rPr>
      </w:pPr>
      <w:r>
        <w:rPr>
          <w:rFonts w:hint="eastAsia" w:ascii="宋体" w:hAnsi="宋体"/>
          <w:szCs w:val="21"/>
        </w:rPr>
        <w:t>52.3质疑条件</w:t>
      </w:r>
    </w:p>
    <w:p w14:paraId="46C7ADFF">
      <w:pPr>
        <w:rPr>
          <w:rFonts w:ascii="宋体" w:hAnsi="宋体"/>
          <w:szCs w:val="21"/>
        </w:rPr>
      </w:pPr>
      <w:r>
        <w:rPr>
          <w:rFonts w:hint="eastAsia" w:ascii="宋体" w:hAnsi="宋体"/>
          <w:szCs w:val="21"/>
        </w:rPr>
        <w:t xml:space="preserve">    52.3.1提出质疑的供应商应当是参与所质疑项目采购活动的供应商；</w:t>
      </w:r>
      <w:bookmarkStart w:id="131" w:name="_Hlk75374941"/>
      <w:r>
        <w:rPr>
          <w:rFonts w:hint="eastAsia" w:ascii="宋体" w:hAnsi="宋体"/>
          <w:szCs w:val="21"/>
        </w:rPr>
        <w:t>以联合体形式参与的，质疑应当由组成联合体的所有成员共同提出</w:t>
      </w:r>
      <w:bookmarkEnd w:id="131"/>
      <w:r>
        <w:rPr>
          <w:rFonts w:hint="eastAsia" w:ascii="宋体" w:hAnsi="宋体"/>
          <w:szCs w:val="21"/>
        </w:rPr>
        <w:t>；</w:t>
      </w:r>
    </w:p>
    <w:p w14:paraId="32440AA0">
      <w:pPr>
        <w:rPr>
          <w:rFonts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0EF14251">
      <w:pPr>
        <w:ind w:firstLine="420"/>
        <w:rPr>
          <w:rFonts w:ascii="宋体" w:hAnsi="宋体"/>
          <w:szCs w:val="21"/>
        </w:rPr>
      </w:pPr>
      <w:r>
        <w:rPr>
          <w:rFonts w:hint="eastAsia" w:ascii="宋体" w:hAnsi="宋体"/>
          <w:szCs w:val="21"/>
        </w:rPr>
        <w:t>52.3.3应提交书面质疑函，质疑函应当包括以下内容：</w:t>
      </w:r>
    </w:p>
    <w:p w14:paraId="3B40C01C">
      <w:pPr>
        <w:ind w:firstLine="420"/>
        <w:rPr>
          <w:rFonts w:ascii="宋体" w:hAnsi="宋体"/>
          <w:szCs w:val="21"/>
        </w:rPr>
      </w:pPr>
      <w:r>
        <w:rPr>
          <w:rFonts w:hint="eastAsia" w:ascii="宋体" w:hAnsi="宋体"/>
          <w:szCs w:val="21"/>
        </w:rPr>
        <w:t>（1）供应商的名称（或者姓名）、地址、邮编、邮箱、联系人及联系电话；</w:t>
      </w:r>
    </w:p>
    <w:p w14:paraId="4C90AF1B">
      <w:pPr>
        <w:ind w:firstLine="420" w:firstLineChars="200"/>
        <w:rPr>
          <w:rFonts w:ascii="宋体" w:hAnsi="宋体"/>
          <w:szCs w:val="21"/>
        </w:rPr>
      </w:pPr>
      <w:r>
        <w:rPr>
          <w:rFonts w:hint="eastAsia" w:ascii="宋体" w:hAnsi="宋体"/>
          <w:szCs w:val="21"/>
        </w:rPr>
        <w:t>（2）质疑项目的名称、编号；</w:t>
      </w:r>
    </w:p>
    <w:p w14:paraId="3CFD46EB">
      <w:pPr>
        <w:ind w:firstLine="420" w:firstLineChars="200"/>
        <w:rPr>
          <w:rFonts w:ascii="宋体" w:hAnsi="宋体"/>
          <w:szCs w:val="21"/>
        </w:rPr>
      </w:pPr>
      <w:r>
        <w:rPr>
          <w:rFonts w:hint="eastAsia" w:ascii="宋体" w:hAnsi="宋体"/>
          <w:szCs w:val="21"/>
        </w:rPr>
        <w:t>（3）具体、明确的质疑对象、质疑事项和质疑请求；</w:t>
      </w:r>
    </w:p>
    <w:p w14:paraId="6CF5E9DA">
      <w:pPr>
        <w:ind w:firstLine="420" w:firstLineChars="200"/>
        <w:rPr>
          <w:rFonts w:ascii="宋体" w:hAnsi="宋体"/>
          <w:szCs w:val="21"/>
        </w:rPr>
      </w:pPr>
      <w:r>
        <w:rPr>
          <w:rFonts w:hint="eastAsia" w:ascii="宋体" w:hAnsi="宋体"/>
          <w:szCs w:val="21"/>
        </w:rPr>
        <w:t>（4）因质疑事项而受损害的权益；</w:t>
      </w:r>
    </w:p>
    <w:p w14:paraId="6BAD7366">
      <w:pPr>
        <w:ind w:firstLine="420" w:firstLineChars="200"/>
        <w:rPr>
          <w:rFonts w:ascii="宋体" w:hAnsi="宋体"/>
          <w:szCs w:val="21"/>
        </w:rPr>
      </w:pPr>
      <w:r>
        <w:rPr>
          <w:rFonts w:hint="eastAsia" w:ascii="宋体" w:hAnsi="宋体"/>
          <w:szCs w:val="21"/>
        </w:rPr>
        <w:t>（5）事实依据；</w:t>
      </w:r>
    </w:p>
    <w:p w14:paraId="38F31DC7">
      <w:pPr>
        <w:ind w:firstLine="420" w:firstLineChars="200"/>
        <w:rPr>
          <w:rFonts w:ascii="宋体" w:hAnsi="宋体"/>
          <w:szCs w:val="21"/>
        </w:rPr>
      </w:pPr>
      <w:r>
        <w:rPr>
          <w:rFonts w:hint="eastAsia" w:ascii="宋体" w:hAnsi="宋体"/>
          <w:szCs w:val="21"/>
        </w:rPr>
        <w:t>（6）必要的法律依据；</w:t>
      </w:r>
    </w:p>
    <w:p w14:paraId="04C8E66F">
      <w:pPr>
        <w:ind w:firstLine="420" w:firstLineChars="200"/>
        <w:rPr>
          <w:rFonts w:ascii="宋体" w:hAnsi="宋体"/>
          <w:szCs w:val="21"/>
        </w:rPr>
      </w:pPr>
      <w:r>
        <w:rPr>
          <w:rFonts w:hint="eastAsia" w:ascii="宋体" w:hAnsi="宋体"/>
          <w:szCs w:val="21"/>
        </w:rPr>
        <w:t>（7）提出质疑的日期。</w:t>
      </w:r>
    </w:p>
    <w:p w14:paraId="1F6323B6">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51C617D2">
      <w:pPr>
        <w:ind w:firstLine="420" w:firstLineChars="200"/>
        <w:rPr>
          <w:rFonts w:ascii="宋体" w:hAnsi="宋体"/>
          <w:szCs w:val="21"/>
        </w:rPr>
      </w:pPr>
      <w:r>
        <w:rPr>
          <w:rFonts w:hint="eastAsia" w:ascii="宋体" w:hAnsi="宋体"/>
          <w:szCs w:val="21"/>
        </w:rPr>
        <w:t>52.4提交</w:t>
      </w:r>
      <w:r>
        <w:rPr>
          <w:rFonts w:ascii="宋体" w:hAnsi="宋体"/>
          <w:szCs w:val="21"/>
        </w:rPr>
        <w:t>材料</w:t>
      </w:r>
    </w:p>
    <w:p w14:paraId="1852B453">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61A19D33">
      <w:pPr>
        <w:ind w:firstLine="420" w:firstLineChars="200"/>
        <w:rPr>
          <w:rFonts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47D67540">
      <w:pPr>
        <w:ind w:firstLine="420" w:firstLineChars="200"/>
        <w:rPr>
          <w:rFonts w:ascii="宋体" w:hAnsi="宋体"/>
          <w:szCs w:val="21"/>
        </w:rPr>
      </w:pPr>
      <w:r>
        <w:rPr>
          <w:rFonts w:hint="eastAsia" w:ascii="宋体" w:hAnsi="宋体"/>
          <w:szCs w:val="21"/>
        </w:rPr>
        <w:t>52.5提交方式</w:t>
      </w:r>
    </w:p>
    <w:p w14:paraId="0A06FF7D">
      <w:pPr>
        <w:ind w:firstLine="420" w:firstLineChars="200"/>
        <w:rPr>
          <w:rFonts w:ascii="宋体" w:hAnsi="宋体"/>
          <w:b/>
          <w:bCs/>
          <w:szCs w:val="21"/>
        </w:rPr>
      </w:pPr>
      <w:r>
        <w:rPr>
          <w:rFonts w:hint="eastAsia" w:ascii="宋体" w:hAnsi="宋体"/>
          <w:szCs w:val="21"/>
        </w:rPr>
        <w:t>5</w:t>
      </w:r>
      <w:r>
        <w:rPr>
          <w:rFonts w:ascii="宋体" w:hAnsi="宋体"/>
          <w:szCs w:val="21"/>
        </w:rPr>
        <w:t>2.5.</w:t>
      </w:r>
      <w:r>
        <w:rPr>
          <w:rFonts w:hint="eastAsia" w:ascii="宋体" w:hAnsi="宋体"/>
          <w:szCs w:val="21"/>
        </w:rPr>
        <w:t>1请质疑供应商根据深圳政府采购智慧平台（http://zfcg.szggzy.com:8081/）所发布的质疑指引、质疑函模板填写质疑函并提交质疑材料。</w:t>
      </w:r>
      <w:r>
        <w:rPr>
          <w:rFonts w:hint="eastAsia" w:ascii="宋体" w:hAnsi="宋体"/>
          <w:b/>
          <w:bCs/>
          <w:szCs w:val="21"/>
        </w:rPr>
        <w:t>地址：深圳市南山区沙河西路3185号南山智谷A座（深圳交易集团总部大楼）27楼，质疑咨询电话：0755-</w:t>
      </w:r>
      <w:r>
        <w:rPr>
          <w:rFonts w:hint="eastAsia" w:ascii="宋体" w:hAnsi="宋体"/>
          <w:b/>
        </w:rPr>
        <w:t>86500050</w:t>
      </w:r>
      <w:r>
        <w:rPr>
          <w:rFonts w:hint="eastAsia" w:ascii="宋体" w:hAnsi="宋体"/>
          <w:b/>
          <w:bCs/>
          <w:szCs w:val="21"/>
        </w:rPr>
        <w:t>。</w:t>
      </w:r>
    </w:p>
    <w:p w14:paraId="7ED210B7">
      <w:pPr>
        <w:ind w:firstLine="420" w:firstLineChars="200"/>
        <w:rPr>
          <w:rFonts w:ascii="宋体" w:hAnsi="宋体"/>
          <w:szCs w:val="21"/>
        </w:rPr>
      </w:pPr>
      <w:r>
        <w:rPr>
          <w:rFonts w:hint="eastAsia" w:ascii="宋体" w:hAnsi="宋体"/>
          <w:szCs w:val="21"/>
        </w:rPr>
        <w:t>52.6收文办理</w:t>
      </w:r>
      <w:r>
        <w:rPr>
          <w:rFonts w:ascii="宋体" w:hAnsi="宋体"/>
          <w:szCs w:val="21"/>
        </w:rPr>
        <w:t>程序</w:t>
      </w:r>
    </w:p>
    <w:p w14:paraId="1D51658B">
      <w:pPr>
        <w:ind w:firstLine="420" w:firstLineChars="200"/>
        <w:rPr>
          <w:rFonts w:ascii="宋体" w:hAnsi="宋体"/>
          <w:szCs w:val="21"/>
        </w:rPr>
      </w:pPr>
      <w:r>
        <w:rPr>
          <w:rFonts w:hint="eastAsia" w:ascii="宋体" w:hAnsi="宋体"/>
          <w:szCs w:val="21"/>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14:paraId="32D12B22">
      <w:pPr>
        <w:ind w:firstLine="420" w:firstLineChars="200"/>
        <w:rPr>
          <w:rFonts w:ascii="仿宋" w:hAnsi="仿宋" w:eastAsia="仿宋"/>
          <w:sz w:val="28"/>
          <w:szCs w:val="28"/>
        </w:rPr>
      </w:pPr>
      <w:r>
        <w:rPr>
          <w:rFonts w:hint="eastAsia" w:ascii="宋体" w:hAnsi="宋体"/>
          <w:szCs w:val="21"/>
        </w:rPr>
        <w:t>52.6.2供应商提交的质疑材料不符合质疑条件的，视情况处理：</w:t>
      </w:r>
    </w:p>
    <w:p w14:paraId="4A2BF2EF">
      <w:pPr>
        <w:ind w:firstLine="420" w:firstLineChars="200"/>
        <w:rPr>
          <w:rFonts w:ascii="宋体" w:hAnsi="宋体"/>
          <w:szCs w:val="21"/>
        </w:rPr>
      </w:pPr>
      <w:r>
        <w:rPr>
          <w:rFonts w:hint="eastAsia" w:ascii="宋体" w:hAnsi="宋体"/>
          <w:szCs w:val="21"/>
        </w:rPr>
        <w:t>供应商提交的质疑材料不全或者未按要求签字或者盖章的，政府集中采购机构应当一次性告知供应商需补正的内容和补正期限。</w:t>
      </w:r>
    </w:p>
    <w:p w14:paraId="6731C1D2">
      <w:pPr>
        <w:ind w:firstLine="420" w:firstLineChars="200"/>
        <w:rPr>
          <w:rFonts w:ascii="宋体" w:hAnsi="宋体"/>
          <w:szCs w:val="21"/>
        </w:rPr>
      </w:pPr>
      <w:r>
        <w:rPr>
          <w:rFonts w:hint="eastAsia" w:ascii="宋体" w:hAnsi="宋体"/>
          <w:szCs w:val="21"/>
        </w:rPr>
        <w:t>供应商提交的质疑存在下列情形之一的，不予受理：</w:t>
      </w:r>
    </w:p>
    <w:p w14:paraId="5B5FF9F8">
      <w:pPr>
        <w:ind w:firstLine="420" w:firstLineChars="200"/>
        <w:rPr>
          <w:rFonts w:ascii="宋体" w:hAnsi="宋体"/>
          <w:szCs w:val="21"/>
        </w:rPr>
      </w:pPr>
      <w:r>
        <w:rPr>
          <w:rFonts w:hint="eastAsia" w:ascii="宋体" w:hAnsi="宋体"/>
          <w:szCs w:val="21"/>
        </w:rPr>
        <w:t>（1）质疑主体不满足要求的；</w:t>
      </w:r>
    </w:p>
    <w:p w14:paraId="328C7C52">
      <w:pPr>
        <w:ind w:firstLine="420" w:firstLineChars="200"/>
        <w:rPr>
          <w:rFonts w:ascii="宋体" w:hAnsi="宋体"/>
          <w:szCs w:val="21"/>
        </w:rPr>
      </w:pPr>
      <w:r>
        <w:rPr>
          <w:rFonts w:hint="eastAsia" w:ascii="宋体" w:hAnsi="宋体"/>
          <w:szCs w:val="21"/>
        </w:rPr>
        <w:t>（2）供应商自身权益未受到损害的；</w:t>
      </w:r>
    </w:p>
    <w:p w14:paraId="6C98A47B">
      <w:pPr>
        <w:ind w:firstLine="420" w:firstLineChars="200"/>
        <w:rPr>
          <w:rFonts w:ascii="宋体" w:hAnsi="宋体"/>
          <w:szCs w:val="21"/>
        </w:rPr>
      </w:pPr>
      <w:r>
        <w:rPr>
          <w:rFonts w:hint="eastAsia" w:ascii="宋体" w:hAnsi="宋体"/>
          <w:szCs w:val="21"/>
        </w:rPr>
        <w:t>（3）供应商未在法定质疑期限内提出质疑的；</w:t>
      </w:r>
    </w:p>
    <w:p w14:paraId="4ACF6A27">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53B2FB80">
      <w:pPr>
        <w:ind w:firstLine="420" w:firstLineChars="200"/>
        <w:rPr>
          <w:rFonts w:ascii="宋体" w:hAnsi="宋体"/>
          <w:szCs w:val="21"/>
        </w:rPr>
      </w:pPr>
      <w:r>
        <w:rPr>
          <w:rFonts w:hint="eastAsia" w:ascii="宋体" w:hAnsi="宋体"/>
          <w:szCs w:val="21"/>
        </w:rPr>
        <w:t>（5）其他不符合受理条件情形的。</w:t>
      </w:r>
    </w:p>
    <w:p w14:paraId="6610BA6D">
      <w:pPr>
        <w:ind w:firstLine="420" w:firstLineChars="200"/>
        <w:rPr>
          <w:rFonts w:ascii="宋体" w:hAnsi="宋体"/>
          <w:szCs w:val="21"/>
        </w:rPr>
      </w:pPr>
      <w:r>
        <w:rPr>
          <w:rFonts w:hint="eastAsia" w:ascii="宋体" w:hAnsi="宋体"/>
          <w:szCs w:val="21"/>
        </w:rPr>
        <w:t>质疑事项不予受理的，政府集中采购机构应当向供应商出具不符合质疑条件告知书。</w:t>
      </w:r>
    </w:p>
    <w:p w14:paraId="190FC0D5">
      <w:pPr>
        <w:rPr>
          <w:rFonts w:ascii="宋体" w:hAnsi="宋体"/>
          <w:szCs w:val="21"/>
        </w:rPr>
      </w:pPr>
      <w:r>
        <w:rPr>
          <w:rFonts w:hint="eastAsia" w:ascii="宋体" w:hAnsi="宋体"/>
          <w:szCs w:val="21"/>
        </w:rPr>
        <w:t xml:space="preserve">  52.7质疑答复时限</w:t>
      </w:r>
    </w:p>
    <w:p w14:paraId="16E6A26F">
      <w:pPr>
        <w:rPr>
          <w:rFonts w:ascii="宋体" w:hAnsi="宋体"/>
          <w:szCs w:val="21"/>
        </w:rPr>
      </w:pPr>
      <w:r>
        <w:rPr>
          <w:rFonts w:hint="eastAsia" w:ascii="宋体" w:hAnsi="宋体"/>
          <w:szCs w:val="21"/>
        </w:rPr>
        <w:t xml:space="preserve">    自收文之日起七个工作日内。</w:t>
      </w:r>
    </w:p>
    <w:p w14:paraId="5D20F8F0">
      <w:pPr>
        <w:rPr>
          <w:rFonts w:ascii="宋体" w:hAnsi="宋体"/>
          <w:szCs w:val="21"/>
        </w:rPr>
      </w:pPr>
      <w:r>
        <w:rPr>
          <w:rFonts w:hint="eastAsia" w:ascii="宋体" w:hAnsi="宋体"/>
          <w:szCs w:val="21"/>
        </w:rPr>
        <w:t xml:space="preserve">    52.8投诉</w:t>
      </w:r>
    </w:p>
    <w:p w14:paraId="313BCEA3">
      <w:pPr>
        <w:rPr>
          <w:rFonts w:ascii="宋体" w:hAnsi="宋体"/>
          <w:szCs w:val="21"/>
        </w:rPr>
      </w:pPr>
      <w:r>
        <w:rPr>
          <w:rFonts w:hint="eastAsia" w:ascii="宋体" w:hAnsi="宋体"/>
          <w:szCs w:val="21"/>
        </w:rPr>
        <w:t xml:space="preserve">    对质疑答复不满意或者未在规定时间内答复的，提出质疑的供应商可以在答复期满后15个工作日内向同级财政部门投诉。</w:t>
      </w:r>
    </w:p>
    <w:p w14:paraId="637CBD30">
      <w:pPr>
        <w:rPr>
          <w:rFonts w:ascii="黑体" w:hAnsi="宋体" w:eastAsia="黑体"/>
          <w:sz w:val="24"/>
        </w:rPr>
      </w:pPr>
      <w:r>
        <w:rPr>
          <w:rFonts w:hint="eastAsia" w:ascii="黑体" w:hAnsi="宋体" w:eastAsia="黑体"/>
          <w:sz w:val="24"/>
        </w:rPr>
        <w:t>53. 质疑后续处理</w:t>
      </w:r>
    </w:p>
    <w:p w14:paraId="0C1327F5">
      <w:pPr>
        <w:rPr>
          <w:rFonts w:ascii="宋体" w:hAnsi="宋体"/>
          <w:szCs w:val="21"/>
        </w:rPr>
      </w:pPr>
      <w:r>
        <w:rPr>
          <w:rFonts w:hint="eastAsia" w:ascii="宋体" w:hAnsi="宋体"/>
          <w:szCs w:val="21"/>
        </w:rPr>
        <w:t xml:space="preserve">    53.1供应商质疑不成立，或者成立但未对中标、成交结果构成影响的，继续开展采购活动。</w:t>
      </w:r>
    </w:p>
    <w:p w14:paraId="77022A2E">
      <w:pPr>
        <w:rPr>
          <w:rFonts w:ascii="宋体" w:hAnsi="宋体"/>
          <w:szCs w:val="21"/>
        </w:rPr>
      </w:pPr>
      <w:r>
        <w:rPr>
          <w:rFonts w:hint="eastAsia" w:ascii="宋体" w:hAnsi="宋体"/>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402A3CA0">
      <w:pPr>
        <w:jc w:val="center"/>
      </w:pPr>
      <w:r>
        <w:t>---- END ----</w:t>
      </w:r>
      <w:bookmarkEnd w:id="130"/>
    </w:p>
    <w:p w14:paraId="5DA590D4"/>
    <w:sectPr>
      <w:pgSz w:w="11907" w:h="16840"/>
      <w:pgMar w:top="1440" w:right="1797" w:bottom="1440" w:left="1797" w:header="851" w:footer="992" w:gutter="0"/>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宋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Times New Roman"/>
    <w:panose1 w:val="00000000000000000000"/>
    <w:charset w:val="01"/>
    <w:family w:val="auto"/>
    <w:pitch w:val="default"/>
    <w:sig w:usb0="00000000" w:usb1="00000000" w:usb2="00000000" w:usb3="00000000" w:csb0="00040001" w:csb1="00000000"/>
  </w:font>
  <w:font w:name="汉仪细等线简">
    <w:altName w:val="宋体"/>
    <w:panose1 w:val="00020600040101010101"/>
    <w:charset w:val="86"/>
    <w:family w:val="modern"/>
    <w:pitch w:val="default"/>
    <w:sig w:usb0="00000000" w:usb1="00000000" w:usb2="00000012" w:usb3="00000000" w:csb0="0004009F" w:csb1="DFD7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6178A">
    <w:pPr>
      <w:pStyle w:val="28"/>
      <w:framePr w:wrap="around" w:vAnchor="text" w:hAnchor="margin" w:xAlign="center" w:y="1"/>
      <w:rPr>
        <w:rStyle w:val="50"/>
      </w:rPr>
    </w:pPr>
    <w:r>
      <w:t xml:space="preserve">- </w:t>
    </w:r>
    <w:r>
      <w:fldChar w:fldCharType="begin"/>
    </w:r>
    <w:r>
      <w:instrText xml:space="preserve"> PAGE </w:instrText>
    </w:r>
    <w:r>
      <w:fldChar w:fldCharType="separate"/>
    </w:r>
    <w:r>
      <w:t>4</w:t>
    </w:r>
    <w:r>
      <w:fldChar w:fldCharType="end"/>
    </w:r>
    <w:r>
      <w:t xml:space="preserve"> -</w:t>
    </w:r>
  </w:p>
  <w:p w14:paraId="1589FA28">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35FC7">
    <w:pPr>
      <w:pStyle w:val="28"/>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Pr>
        <w:rStyle w:val="50"/>
      </w:rPr>
      <w:t>2</w:t>
    </w:r>
    <w:r>
      <w:rPr>
        <w:rStyle w:val="50"/>
      </w:rPr>
      <w:fldChar w:fldCharType="end"/>
    </w:r>
  </w:p>
  <w:p w14:paraId="7D8453EB">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1A692">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A6E3B">
    <w:pPr>
      <w:pStyle w:val="3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86A6A"/>
    <w:multiLevelType w:val="singleLevel"/>
    <w:tmpl w:val="9E486A6A"/>
    <w:lvl w:ilvl="0" w:tentative="0">
      <w:start w:val="2"/>
      <w:numFmt w:val="decimal"/>
      <w:suff w:val="nothing"/>
      <w:lvlText w:val="%1、"/>
      <w:lvlJc w:val="left"/>
    </w:lvl>
  </w:abstractNum>
  <w:abstractNum w:abstractNumId="1">
    <w:nsid w:val="BF6BC116"/>
    <w:multiLevelType w:val="singleLevel"/>
    <w:tmpl w:val="BF6BC116"/>
    <w:lvl w:ilvl="0" w:tentative="0">
      <w:start w:val="16"/>
      <w:numFmt w:val="decimal"/>
      <w:suff w:val="space"/>
      <w:lvlText w:val="%1."/>
      <w:lvlJc w:val="left"/>
    </w:lvl>
  </w:abstractNum>
  <w:abstractNum w:abstractNumId="2">
    <w:nsid w:val="CFE7C3F8"/>
    <w:multiLevelType w:val="singleLevel"/>
    <w:tmpl w:val="CFE7C3F8"/>
    <w:lvl w:ilvl="0" w:tentative="0">
      <w:start w:val="1"/>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lvl>
  </w:abstractNum>
  <w:abstractNum w:abstractNumId="4">
    <w:nsid w:val="DE759F4B"/>
    <w:multiLevelType w:val="singleLevel"/>
    <w:tmpl w:val="DE759F4B"/>
    <w:lvl w:ilvl="0" w:tentative="0">
      <w:start w:val="2"/>
      <w:numFmt w:val="decimal"/>
      <w:suff w:val="space"/>
      <w:lvlText w:val="%1."/>
      <w:lvlJc w:val="left"/>
    </w:lvl>
  </w:abstractNum>
  <w:abstractNum w:abstractNumId="5">
    <w:nsid w:val="DEABE1DB"/>
    <w:multiLevelType w:val="singleLevel"/>
    <w:tmpl w:val="DEABE1DB"/>
    <w:lvl w:ilvl="0" w:tentative="0">
      <w:start w:val="23"/>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FFFFFF7C"/>
    <w:multiLevelType w:val="singleLevel"/>
    <w:tmpl w:val="FFFFFF7C"/>
    <w:lvl w:ilvl="0" w:tentative="0">
      <w:start w:val="1"/>
      <w:numFmt w:val="decimal"/>
      <w:pStyle w:val="63"/>
      <w:lvlText w:val="%1."/>
      <w:lvlJc w:val="left"/>
      <w:pPr>
        <w:tabs>
          <w:tab w:val="left" w:pos="7994"/>
        </w:tabs>
        <w:ind w:left="7994" w:leftChars="800" w:hanging="360" w:hangingChars="200"/>
      </w:pPr>
    </w:lvl>
  </w:abstractNum>
  <w:abstractNum w:abstractNumId="8">
    <w:nsid w:val="FFFFFF89"/>
    <w:multiLevelType w:val="singleLevel"/>
    <w:tmpl w:val="FFFFFF89"/>
    <w:lvl w:ilvl="0" w:tentative="0">
      <w:start w:val="1"/>
      <w:numFmt w:val="bullet"/>
      <w:pStyle w:val="16"/>
      <w:lvlText w:val=""/>
      <w:lvlJc w:val="left"/>
      <w:pPr>
        <w:tabs>
          <w:tab w:val="left" w:pos="360"/>
        </w:tabs>
        <w:ind w:left="360" w:hanging="360" w:hangingChars="200"/>
      </w:pPr>
      <w:rPr>
        <w:rFonts w:hint="default" w:ascii="Wingdings" w:hAnsi="Wingdings"/>
      </w:rPr>
    </w:lvl>
  </w:abstractNum>
  <w:abstractNum w:abstractNumId="9">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2503483"/>
    <w:multiLevelType w:val="multilevel"/>
    <w:tmpl w:val="12503483"/>
    <w:lvl w:ilvl="0" w:tentative="0">
      <w:start w:val="1"/>
      <w:numFmt w:val="bullet"/>
      <w:pStyle w:val="109"/>
      <w:lvlText w:val=""/>
      <w:lvlJc w:val="left"/>
      <w:pPr>
        <w:tabs>
          <w:tab w:val="left" w:pos="420"/>
        </w:tabs>
        <w:ind w:left="420" w:hanging="420"/>
      </w:pPr>
      <w:rPr>
        <w:rFonts w:hint="default" w:ascii="Wingdings" w:hAnsi="Wingdings"/>
      </w:rPr>
    </w:lvl>
    <w:lvl w:ilvl="1" w:tentative="0">
      <w:start w:val="1"/>
      <w:numFmt w:val="bullet"/>
      <w:pStyle w:val="108"/>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160D20D0"/>
    <w:multiLevelType w:val="multilevel"/>
    <w:tmpl w:val="160D20D0"/>
    <w:lvl w:ilvl="0" w:tentative="0">
      <w:start w:val="1"/>
      <w:numFmt w:val="bullet"/>
      <w:pStyle w:val="77"/>
      <w:lvlText w:val=""/>
      <w:lvlJc w:val="left"/>
      <w:pPr>
        <w:tabs>
          <w:tab w:val="left" w:pos="840"/>
        </w:tabs>
        <w:ind w:left="840" w:hanging="420"/>
      </w:pPr>
      <w:rPr>
        <w:rFonts w:hint="default" w:ascii="Wingdings" w:hAnsi="Wingdings"/>
      </w:rPr>
    </w:lvl>
    <w:lvl w:ilvl="1" w:tentative="0">
      <w:start w:val="1"/>
      <w:numFmt w:val="bullet"/>
      <w:pStyle w:val="78"/>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2">
    <w:nsid w:val="1A674782"/>
    <w:multiLevelType w:val="singleLevel"/>
    <w:tmpl w:val="1A674782"/>
    <w:lvl w:ilvl="0" w:tentative="0">
      <w:start w:val="1"/>
      <w:numFmt w:val="decimal"/>
      <w:suff w:val="nothing"/>
      <w:lvlText w:val="%1、"/>
      <w:lvlJc w:val="left"/>
    </w:lvl>
  </w:abstractNum>
  <w:abstractNum w:abstractNumId="13">
    <w:nsid w:val="2F395B7B"/>
    <w:multiLevelType w:val="multilevel"/>
    <w:tmpl w:val="2F395B7B"/>
    <w:lvl w:ilvl="0" w:tentative="0">
      <w:start w:val="1"/>
      <w:numFmt w:val="bullet"/>
      <w:pStyle w:val="169"/>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4">
    <w:nsid w:val="6E426AAB"/>
    <w:multiLevelType w:val="singleLevel"/>
    <w:tmpl w:val="6E426AAB"/>
    <w:lvl w:ilvl="0" w:tentative="0">
      <w:start w:val="5"/>
      <w:numFmt w:val="chineseCounting"/>
      <w:suff w:val="nothing"/>
      <w:lvlText w:val="%1、"/>
      <w:lvlJc w:val="left"/>
      <w:rPr>
        <w:rFonts w:hint="eastAsia"/>
      </w:rPr>
    </w:lvl>
  </w:abstractNum>
  <w:abstractNum w:abstractNumId="15">
    <w:nsid w:val="7A0F6431"/>
    <w:multiLevelType w:val="singleLevel"/>
    <w:tmpl w:val="7A0F6431"/>
    <w:lvl w:ilvl="0" w:tentative="0">
      <w:start w:val="1"/>
      <w:numFmt w:val="decimal"/>
      <w:suff w:val="space"/>
      <w:lvlText w:val="%1."/>
      <w:lvlJc w:val="left"/>
    </w:lvl>
  </w:abstractNum>
  <w:abstractNum w:abstractNumId="16">
    <w:nsid w:val="7AEF7716"/>
    <w:multiLevelType w:val="multilevel"/>
    <w:tmpl w:val="7AEF7716"/>
    <w:lvl w:ilvl="0" w:tentative="0">
      <w:start w:val="1"/>
      <w:numFmt w:val="chineseCountingThousand"/>
      <w:pStyle w:val="122"/>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7"/>
  </w:num>
  <w:num w:numId="3">
    <w:abstractNumId w:val="11"/>
  </w:num>
  <w:num w:numId="4">
    <w:abstractNumId w:val="10"/>
  </w:num>
  <w:num w:numId="5">
    <w:abstractNumId w:val="16"/>
  </w:num>
  <w:num w:numId="6">
    <w:abstractNumId w:val="13"/>
  </w:num>
  <w:num w:numId="7">
    <w:abstractNumId w:val="12"/>
  </w:num>
  <w:num w:numId="8">
    <w:abstractNumId w:val="0"/>
  </w:num>
  <w:num w:numId="9">
    <w:abstractNumId w:val="14"/>
  </w:num>
  <w:num w:numId="10">
    <w:abstractNumId w:val="15"/>
  </w:num>
  <w:num w:numId="11">
    <w:abstractNumId w:val="2"/>
  </w:num>
  <w:num w:numId="12">
    <w:abstractNumId w:val="6"/>
  </w:num>
  <w:num w:numId="13">
    <w:abstractNumId w:val="4"/>
  </w:num>
  <w:num w:numId="14">
    <w:abstractNumId w:val="3"/>
  </w:num>
  <w:num w:numId="15">
    <w:abstractNumId w:val="1"/>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hideSpellingErrors/>
  <w:trackRevisions w:val="1"/>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MDFkMTRmMzJiMWZhYmMwMWQ3MGJmYTFiYmZiOWEifQ=="/>
  </w:docVars>
  <w:rsids>
    <w:rsidRoot w:val="006C5683"/>
    <w:rsid w:val="000006EA"/>
    <w:rsid w:val="00000AD9"/>
    <w:rsid w:val="000043C0"/>
    <w:rsid w:val="00004F2D"/>
    <w:rsid w:val="000050CA"/>
    <w:rsid w:val="000051C6"/>
    <w:rsid w:val="00005215"/>
    <w:rsid w:val="00005A10"/>
    <w:rsid w:val="00005D3D"/>
    <w:rsid w:val="0000667D"/>
    <w:rsid w:val="00006F7B"/>
    <w:rsid w:val="0000784F"/>
    <w:rsid w:val="00007951"/>
    <w:rsid w:val="00010063"/>
    <w:rsid w:val="00010102"/>
    <w:rsid w:val="0001019E"/>
    <w:rsid w:val="00011EA6"/>
    <w:rsid w:val="00012640"/>
    <w:rsid w:val="00012B21"/>
    <w:rsid w:val="0001300F"/>
    <w:rsid w:val="0001480D"/>
    <w:rsid w:val="00014A5C"/>
    <w:rsid w:val="00015388"/>
    <w:rsid w:val="0001716B"/>
    <w:rsid w:val="00017F81"/>
    <w:rsid w:val="000211EA"/>
    <w:rsid w:val="000234B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237"/>
    <w:rsid w:val="00036A2B"/>
    <w:rsid w:val="000379CB"/>
    <w:rsid w:val="00040D3C"/>
    <w:rsid w:val="00042C84"/>
    <w:rsid w:val="00043621"/>
    <w:rsid w:val="00043739"/>
    <w:rsid w:val="00043A89"/>
    <w:rsid w:val="00045739"/>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0A3D"/>
    <w:rsid w:val="00060C1C"/>
    <w:rsid w:val="00061D20"/>
    <w:rsid w:val="0006267A"/>
    <w:rsid w:val="0006335B"/>
    <w:rsid w:val="00063C25"/>
    <w:rsid w:val="00064892"/>
    <w:rsid w:val="00066026"/>
    <w:rsid w:val="0006660A"/>
    <w:rsid w:val="0006670C"/>
    <w:rsid w:val="00067960"/>
    <w:rsid w:val="0007003A"/>
    <w:rsid w:val="00070210"/>
    <w:rsid w:val="000707BF"/>
    <w:rsid w:val="00072B70"/>
    <w:rsid w:val="00072CB4"/>
    <w:rsid w:val="000734CD"/>
    <w:rsid w:val="00074403"/>
    <w:rsid w:val="000750DC"/>
    <w:rsid w:val="00075497"/>
    <w:rsid w:val="0007583C"/>
    <w:rsid w:val="00075E26"/>
    <w:rsid w:val="00076057"/>
    <w:rsid w:val="00076D4B"/>
    <w:rsid w:val="000770EC"/>
    <w:rsid w:val="00080613"/>
    <w:rsid w:val="00081461"/>
    <w:rsid w:val="00082667"/>
    <w:rsid w:val="00082AD2"/>
    <w:rsid w:val="00083DC6"/>
    <w:rsid w:val="00084857"/>
    <w:rsid w:val="000849B8"/>
    <w:rsid w:val="000850AF"/>
    <w:rsid w:val="000852EB"/>
    <w:rsid w:val="000869D8"/>
    <w:rsid w:val="00086CA6"/>
    <w:rsid w:val="00090213"/>
    <w:rsid w:val="00092FC7"/>
    <w:rsid w:val="00093133"/>
    <w:rsid w:val="0009395E"/>
    <w:rsid w:val="00094C6E"/>
    <w:rsid w:val="000954D5"/>
    <w:rsid w:val="00095723"/>
    <w:rsid w:val="000959B5"/>
    <w:rsid w:val="00095A74"/>
    <w:rsid w:val="0009618D"/>
    <w:rsid w:val="0009709B"/>
    <w:rsid w:val="000975E3"/>
    <w:rsid w:val="000A1DD1"/>
    <w:rsid w:val="000A21A5"/>
    <w:rsid w:val="000A3908"/>
    <w:rsid w:val="000A4C29"/>
    <w:rsid w:val="000A5B36"/>
    <w:rsid w:val="000A6E2B"/>
    <w:rsid w:val="000A79D3"/>
    <w:rsid w:val="000B05E2"/>
    <w:rsid w:val="000B2568"/>
    <w:rsid w:val="000B41BB"/>
    <w:rsid w:val="000B5357"/>
    <w:rsid w:val="000B597F"/>
    <w:rsid w:val="000B634D"/>
    <w:rsid w:val="000B73D2"/>
    <w:rsid w:val="000B7465"/>
    <w:rsid w:val="000C14CB"/>
    <w:rsid w:val="000C18BC"/>
    <w:rsid w:val="000C1D03"/>
    <w:rsid w:val="000C1EE4"/>
    <w:rsid w:val="000C1FF9"/>
    <w:rsid w:val="000C4151"/>
    <w:rsid w:val="000C4425"/>
    <w:rsid w:val="000C4B12"/>
    <w:rsid w:val="000C5FA7"/>
    <w:rsid w:val="000C7E71"/>
    <w:rsid w:val="000D0BCE"/>
    <w:rsid w:val="000D16AA"/>
    <w:rsid w:val="000D1A7D"/>
    <w:rsid w:val="000D2309"/>
    <w:rsid w:val="000D2CCA"/>
    <w:rsid w:val="000D366B"/>
    <w:rsid w:val="000D37B4"/>
    <w:rsid w:val="000D38F9"/>
    <w:rsid w:val="000D5D6B"/>
    <w:rsid w:val="000D7A20"/>
    <w:rsid w:val="000E161C"/>
    <w:rsid w:val="000E2C39"/>
    <w:rsid w:val="000E355C"/>
    <w:rsid w:val="000E4445"/>
    <w:rsid w:val="000E470B"/>
    <w:rsid w:val="000E4DE8"/>
    <w:rsid w:val="000E4EF8"/>
    <w:rsid w:val="000E50F5"/>
    <w:rsid w:val="000E5E99"/>
    <w:rsid w:val="000E655B"/>
    <w:rsid w:val="000E6A66"/>
    <w:rsid w:val="000F0C3B"/>
    <w:rsid w:val="000F0E9F"/>
    <w:rsid w:val="000F1540"/>
    <w:rsid w:val="000F1D4A"/>
    <w:rsid w:val="000F1D94"/>
    <w:rsid w:val="000F2065"/>
    <w:rsid w:val="000F2A88"/>
    <w:rsid w:val="000F2C23"/>
    <w:rsid w:val="000F2D1B"/>
    <w:rsid w:val="000F3658"/>
    <w:rsid w:val="000F3B37"/>
    <w:rsid w:val="000F3C85"/>
    <w:rsid w:val="000F3F12"/>
    <w:rsid w:val="000F565B"/>
    <w:rsid w:val="000F5C6C"/>
    <w:rsid w:val="000F5F3F"/>
    <w:rsid w:val="000F64AD"/>
    <w:rsid w:val="00100570"/>
    <w:rsid w:val="00101CE5"/>
    <w:rsid w:val="00101DD0"/>
    <w:rsid w:val="00102555"/>
    <w:rsid w:val="0010291B"/>
    <w:rsid w:val="00102B4B"/>
    <w:rsid w:val="00103AB9"/>
    <w:rsid w:val="00103E80"/>
    <w:rsid w:val="00107187"/>
    <w:rsid w:val="00107272"/>
    <w:rsid w:val="00107D54"/>
    <w:rsid w:val="00110383"/>
    <w:rsid w:val="00110B62"/>
    <w:rsid w:val="00111581"/>
    <w:rsid w:val="00111CEB"/>
    <w:rsid w:val="0011245C"/>
    <w:rsid w:val="00112800"/>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17AD"/>
    <w:rsid w:val="00131FC3"/>
    <w:rsid w:val="0013281E"/>
    <w:rsid w:val="00132F1A"/>
    <w:rsid w:val="00132FD3"/>
    <w:rsid w:val="001339CF"/>
    <w:rsid w:val="0013673A"/>
    <w:rsid w:val="00136D81"/>
    <w:rsid w:val="001410EB"/>
    <w:rsid w:val="00141224"/>
    <w:rsid w:val="00143103"/>
    <w:rsid w:val="00143554"/>
    <w:rsid w:val="00143653"/>
    <w:rsid w:val="00143934"/>
    <w:rsid w:val="00143B3A"/>
    <w:rsid w:val="00143E43"/>
    <w:rsid w:val="00143FEE"/>
    <w:rsid w:val="00143FFC"/>
    <w:rsid w:val="00145760"/>
    <w:rsid w:val="00146ABB"/>
    <w:rsid w:val="00147338"/>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012"/>
    <w:rsid w:val="0016595F"/>
    <w:rsid w:val="00166A2C"/>
    <w:rsid w:val="00166BF2"/>
    <w:rsid w:val="00166CC3"/>
    <w:rsid w:val="00170A9E"/>
    <w:rsid w:val="00170ED1"/>
    <w:rsid w:val="0017121A"/>
    <w:rsid w:val="00171401"/>
    <w:rsid w:val="0017141F"/>
    <w:rsid w:val="00171777"/>
    <w:rsid w:val="001719FB"/>
    <w:rsid w:val="00172B65"/>
    <w:rsid w:val="00172EF5"/>
    <w:rsid w:val="001732E1"/>
    <w:rsid w:val="0017486B"/>
    <w:rsid w:val="0017613E"/>
    <w:rsid w:val="00177167"/>
    <w:rsid w:val="00177753"/>
    <w:rsid w:val="00181A71"/>
    <w:rsid w:val="00182329"/>
    <w:rsid w:val="0018261B"/>
    <w:rsid w:val="001834A7"/>
    <w:rsid w:val="0018373B"/>
    <w:rsid w:val="00183C79"/>
    <w:rsid w:val="00183C8B"/>
    <w:rsid w:val="00183E75"/>
    <w:rsid w:val="001845CF"/>
    <w:rsid w:val="001865BB"/>
    <w:rsid w:val="00186EAE"/>
    <w:rsid w:val="00186F7A"/>
    <w:rsid w:val="00187518"/>
    <w:rsid w:val="00187743"/>
    <w:rsid w:val="00187F07"/>
    <w:rsid w:val="0019096C"/>
    <w:rsid w:val="00191EA7"/>
    <w:rsid w:val="00192164"/>
    <w:rsid w:val="00192883"/>
    <w:rsid w:val="00193AE9"/>
    <w:rsid w:val="00194C98"/>
    <w:rsid w:val="00194FB7"/>
    <w:rsid w:val="00195D28"/>
    <w:rsid w:val="00196B4E"/>
    <w:rsid w:val="001975A1"/>
    <w:rsid w:val="001A027A"/>
    <w:rsid w:val="001A08E4"/>
    <w:rsid w:val="001A0A6B"/>
    <w:rsid w:val="001A0D2C"/>
    <w:rsid w:val="001A12B5"/>
    <w:rsid w:val="001A1C72"/>
    <w:rsid w:val="001A3980"/>
    <w:rsid w:val="001A422B"/>
    <w:rsid w:val="001A440A"/>
    <w:rsid w:val="001A4A55"/>
    <w:rsid w:val="001A5C6F"/>
    <w:rsid w:val="001A6A4F"/>
    <w:rsid w:val="001A76B7"/>
    <w:rsid w:val="001B015C"/>
    <w:rsid w:val="001B1339"/>
    <w:rsid w:val="001B1B58"/>
    <w:rsid w:val="001B1CFC"/>
    <w:rsid w:val="001B1F55"/>
    <w:rsid w:val="001B2049"/>
    <w:rsid w:val="001B2934"/>
    <w:rsid w:val="001B4A37"/>
    <w:rsid w:val="001B5963"/>
    <w:rsid w:val="001B5CE9"/>
    <w:rsid w:val="001B6FAD"/>
    <w:rsid w:val="001C04B2"/>
    <w:rsid w:val="001C14C1"/>
    <w:rsid w:val="001C1FDE"/>
    <w:rsid w:val="001C2063"/>
    <w:rsid w:val="001C21E1"/>
    <w:rsid w:val="001C3426"/>
    <w:rsid w:val="001C4675"/>
    <w:rsid w:val="001C4768"/>
    <w:rsid w:val="001C5839"/>
    <w:rsid w:val="001C6AF6"/>
    <w:rsid w:val="001C7129"/>
    <w:rsid w:val="001C77E1"/>
    <w:rsid w:val="001C7ADA"/>
    <w:rsid w:val="001C7B48"/>
    <w:rsid w:val="001C7EA0"/>
    <w:rsid w:val="001D121D"/>
    <w:rsid w:val="001D3543"/>
    <w:rsid w:val="001D4151"/>
    <w:rsid w:val="001D58E5"/>
    <w:rsid w:val="001D7299"/>
    <w:rsid w:val="001E0FAB"/>
    <w:rsid w:val="001E2084"/>
    <w:rsid w:val="001E2502"/>
    <w:rsid w:val="001E292F"/>
    <w:rsid w:val="001E351C"/>
    <w:rsid w:val="001E474D"/>
    <w:rsid w:val="001E5194"/>
    <w:rsid w:val="001E5851"/>
    <w:rsid w:val="001E5A81"/>
    <w:rsid w:val="001E62FB"/>
    <w:rsid w:val="001E6A0B"/>
    <w:rsid w:val="001E77DA"/>
    <w:rsid w:val="001E7A2F"/>
    <w:rsid w:val="001E7AB0"/>
    <w:rsid w:val="001E7DD0"/>
    <w:rsid w:val="001F0349"/>
    <w:rsid w:val="001F077B"/>
    <w:rsid w:val="001F0B74"/>
    <w:rsid w:val="001F2648"/>
    <w:rsid w:val="001F3E37"/>
    <w:rsid w:val="001F41B9"/>
    <w:rsid w:val="001F4BE8"/>
    <w:rsid w:val="001F4EB8"/>
    <w:rsid w:val="001F560A"/>
    <w:rsid w:val="001F6270"/>
    <w:rsid w:val="001F6318"/>
    <w:rsid w:val="001F65B1"/>
    <w:rsid w:val="001F6B83"/>
    <w:rsid w:val="001F6F6A"/>
    <w:rsid w:val="001F7595"/>
    <w:rsid w:val="002000B8"/>
    <w:rsid w:val="002005CD"/>
    <w:rsid w:val="00200B4C"/>
    <w:rsid w:val="00202F46"/>
    <w:rsid w:val="00203267"/>
    <w:rsid w:val="00203897"/>
    <w:rsid w:val="0020391D"/>
    <w:rsid w:val="00205F9C"/>
    <w:rsid w:val="002060F7"/>
    <w:rsid w:val="00207BC6"/>
    <w:rsid w:val="00210771"/>
    <w:rsid w:val="00210EE2"/>
    <w:rsid w:val="00211885"/>
    <w:rsid w:val="00212864"/>
    <w:rsid w:val="00212ADF"/>
    <w:rsid w:val="002134CF"/>
    <w:rsid w:val="00213A60"/>
    <w:rsid w:val="0021429B"/>
    <w:rsid w:val="00215699"/>
    <w:rsid w:val="002159DE"/>
    <w:rsid w:val="00215E99"/>
    <w:rsid w:val="0021667D"/>
    <w:rsid w:val="002166A1"/>
    <w:rsid w:val="002166A6"/>
    <w:rsid w:val="00216BB6"/>
    <w:rsid w:val="0022039D"/>
    <w:rsid w:val="0022048B"/>
    <w:rsid w:val="0022175C"/>
    <w:rsid w:val="00221AE9"/>
    <w:rsid w:val="00222261"/>
    <w:rsid w:val="002227DF"/>
    <w:rsid w:val="00223AC8"/>
    <w:rsid w:val="00223C96"/>
    <w:rsid w:val="00224852"/>
    <w:rsid w:val="0022634D"/>
    <w:rsid w:val="00227512"/>
    <w:rsid w:val="0022766E"/>
    <w:rsid w:val="0022777A"/>
    <w:rsid w:val="002278D5"/>
    <w:rsid w:val="00227C13"/>
    <w:rsid w:val="00227D49"/>
    <w:rsid w:val="00227FC7"/>
    <w:rsid w:val="0023110A"/>
    <w:rsid w:val="00233A54"/>
    <w:rsid w:val="00234440"/>
    <w:rsid w:val="002347C9"/>
    <w:rsid w:val="00236E72"/>
    <w:rsid w:val="0023738E"/>
    <w:rsid w:val="002411BD"/>
    <w:rsid w:val="00242ED3"/>
    <w:rsid w:val="00244711"/>
    <w:rsid w:val="00244AE4"/>
    <w:rsid w:val="00245EBE"/>
    <w:rsid w:val="002472C1"/>
    <w:rsid w:val="002473F4"/>
    <w:rsid w:val="00247D64"/>
    <w:rsid w:val="00250EA1"/>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702CD"/>
    <w:rsid w:val="00270B4E"/>
    <w:rsid w:val="00271500"/>
    <w:rsid w:val="00272E57"/>
    <w:rsid w:val="00274663"/>
    <w:rsid w:val="00275641"/>
    <w:rsid w:val="0027569A"/>
    <w:rsid w:val="002767D9"/>
    <w:rsid w:val="00280382"/>
    <w:rsid w:val="00280F4B"/>
    <w:rsid w:val="002816D0"/>
    <w:rsid w:val="002821E9"/>
    <w:rsid w:val="002827D2"/>
    <w:rsid w:val="002835B7"/>
    <w:rsid w:val="00284C1F"/>
    <w:rsid w:val="002851AF"/>
    <w:rsid w:val="00285866"/>
    <w:rsid w:val="00286129"/>
    <w:rsid w:val="00286BB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A6949"/>
    <w:rsid w:val="002B18D6"/>
    <w:rsid w:val="002B22D4"/>
    <w:rsid w:val="002B3984"/>
    <w:rsid w:val="002B4BF3"/>
    <w:rsid w:val="002B55C8"/>
    <w:rsid w:val="002B5E4B"/>
    <w:rsid w:val="002B64E9"/>
    <w:rsid w:val="002B660D"/>
    <w:rsid w:val="002B7969"/>
    <w:rsid w:val="002C0031"/>
    <w:rsid w:val="002C0485"/>
    <w:rsid w:val="002C0762"/>
    <w:rsid w:val="002C257A"/>
    <w:rsid w:val="002C2BEC"/>
    <w:rsid w:val="002C30C0"/>
    <w:rsid w:val="002C3DDB"/>
    <w:rsid w:val="002C4F4B"/>
    <w:rsid w:val="002C5233"/>
    <w:rsid w:val="002C6EC0"/>
    <w:rsid w:val="002C7258"/>
    <w:rsid w:val="002D0189"/>
    <w:rsid w:val="002D0356"/>
    <w:rsid w:val="002D07C0"/>
    <w:rsid w:val="002D0F98"/>
    <w:rsid w:val="002D1DFB"/>
    <w:rsid w:val="002D45BF"/>
    <w:rsid w:val="002D4A85"/>
    <w:rsid w:val="002D6162"/>
    <w:rsid w:val="002D64DF"/>
    <w:rsid w:val="002D750A"/>
    <w:rsid w:val="002E242E"/>
    <w:rsid w:val="002E2FEC"/>
    <w:rsid w:val="002E38DB"/>
    <w:rsid w:val="002E3BEB"/>
    <w:rsid w:val="002E441D"/>
    <w:rsid w:val="002E4AB1"/>
    <w:rsid w:val="002E4F11"/>
    <w:rsid w:val="002E4F8A"/>
    <w:rsid w:val="002E505D"/>
    <w:rsid w:val="002E6F69"/>
    <w:rsid w:val="002E7296"/>
    <w:rsid w:val="002E73B8"/>
    <w:rsid w:val="002F0545"/>
    <w:rsid w:val="002F0823"/>
    <w:rsid w:val="002F2471"/>
    <w:rsid w:val="002F2B7A"/>
    <w:rsid w:val="002F3105"/>
    <w:rsid w:val="002F59F2"/>
    <w:rsid w:val="002F5E6C"/>
    <w:rsid w:val="002F72FF"/>
    <w:rsid w:val="00300BF3"/>
    <w:rsid w:val="0030143F"/>
    <w:rsid w:val="00301A2B"/>
    <w:rsid w:val="00301BCD"/>
    <w:rsid w:val="00302988"/>
    <w:rsid w:val="00303ACF"/>
    <w:rsid w:val="0030463E"/>
    <w:rsid w:val="00304ED6"/>
    <w:rsid w:val="00305977"/>
    <w:rsid w:val="00306654"/>
    <w:rsid w:val="00306D5D"/>
    <w:rsid w:val="00306FF4"/>
    <w:rsid w:val="00310EE1"/>
    <w:rsid w:val="003122B0"/>
    <w:rsid w:val="00312390"/>
    <w:rsid w:val="003123F4"/>
    <w:rsid w:val="00313487"/>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7BA"/>
    <w:rsid w:val="00324A1D"/>
    <w:rsid w:val="00324C55"/>
    <w:rsid w:val="003250B4"/>
    <w:rsid w:val="00325742"/>
    <w:rsid w:val="00327224"/>
    <w:rsid w:val="00327AB3"/>
    <w:rsid w:val="00327F9E"/>
    <w:rsid w:val="00330527"/>
    <w:rsid w:val="00330C9F"/>
    <w:rsid w:val="003318A6"/>
    <w:rsid w:val="003321A8"/>
    <w:rsid w:val="00332EB1"/>
    <w:rsid w:val="00333E63"/>
    <w:rsid w:val="00334044"/>
    <w:rsid w:val="00334CB0"/>
    <w:rsid w:val="00335188"/>
    <w:rsid w:val="00335234"/>
    <w:rsid w:val="003373B8"/>
    <w:rsid w:val="003413F4"/>
    <w:rsid w:val="00342DC1"/>
    <w:rsid w:val="00342EF7"/>
    <w:rsid w:val="003432B6"/>
    <w:rsid w:val="003434E9"/>
    <w:rsid w:val="00343F41"/>
    <w:rsid w:val="00344BF3"/>
    <w:rsid w:val="00345CC1"/>
    <w:rsid w:val="00345EA7"/>
    <w:rsid w:val="0034652C"/>
    <w:rsid w:val="00346606"/>
    <w:rsid w:val="00346E73"/>
    <w:rsid w:val="00346F27"/>
    <w:rsid w:val="0035067B"/>
    <w:rsid w:val="00350681"/>
    <w:rsid w:val="00350B6E"/>
    <w:rsid w:val="00351A4A"/>
    <w:rsid w:val="00351D95"/>
    <w:rsid w:val="00351FB4"/>
    <w:rsid w:val="00353860"/>
    <w:rsid w:val="00354CD9"/>
    <w:rsid w:val="0035501B"/>
    <w:rsid w:val="003556C1"/>
    <w:rsid w:val="00355EEE"/>
    <w:rsid w:val="00356FC1"/>
    <w:rsid w:val="00357883"/>
    <w:rsid w:val="00360494"/>
    <w:rsid w:val="00360C00"/>
    <w:rsid w:val="00361243"/>
    <w:rsid w:val="00361633"/>
    <w:rsid w:val="00361935"/>
    <w:rsid w:val="003626AE"/>
    <w:rsid w:val="0036292A"/>
    <w:rsid w:val="00362AF3"/>
    <w:rsid w:val="0036467D"/>
    <w:rsid w:val="00364BEE"/>
    <w:rsid w:val="0036508D"/>
    <w:rsid w:val="003651C8"/>
    <w:rsid w:val="00366321"/>
    <w:rsid w:val="00366419"/>
    <w:rsid w:val="003669F1"/>
    <w:rsid w:val="00366F10"/>
    <w:rsid w:val="003700A3"/>
    <w:rsid w:val="00370B40"/>
    <w:rsid w:val="00371A92"/>
    <w:rsid w:val="00371C15"/>
    <w:rsid w:val="00372CDF"/>
    <w:rsid w:val="00373411"/>
    <w:rsid w:val="00373D40"/>
    <w:rsid w:val="003741F6"/>
    <w:rsid w:val="00374A29"/>
    <w:rsid w:val="00374FA4"/>
    <w:rsid w:val="003756C6"/>
    <w:rsid w:val="00376E35"/>
    <w:rsid w:val="003773AC"/>
    <w:rsid w:val="00377F6C"/>
    <w:rsid w:val="00380094"/>
    <w:rsid w:val="00380256"/>
    <w:rsid w:val="0038165D"/>
    <w:rsid w:val="00383071"/>
    <w:rsid w:val="00383189"/>
    <w:rsid w:val="00385175"/>
    <w:rsid w:val="00385444"/>
    <w:rsid w:val="00385F39"/>
    <w:rsid w:val="00386070"/>
    <w:rsid w:val="00387DCF"/>
    <w:rsid w:val="00390006"/>
    <w:rsid w:val="003900A5"/>
    <w:rsid w:val="0039012D"/>
    <w:rsid w:val="003917AD"/>
    <w:rsid w:val="003917D1"/>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11D"/>
    <w:rsid w:val="003A0DC3"/>
    <w:rsid w:val="003A1675"/>
    <w:rsid w:val="003A1CA9"/>
    <w:rsid w:val="003A1CF5"/>
    <w:rsid w:val="003A2812"/>
    <w:rsid w:val="003A2D0C"/>
    <w:rsid w:val="003A3304"/>
    <w:rsid w:val="003A3551"/>
    <w:rsid w:val="003A38F0"/>
    <w:rsid w:val="003A419D"/>
    <w:rsid w:val="003A443D"/>
    <w:rsid w:val="003A4DE4"/>
    <w:rsid w:val="003A6A5A"/>
    <w:rsid w:val="003A72E9"/>
    <w:rsid w:val="003B175A"/>
    <w:rsid w:val="003B3231"/>
    <w:rsid w:val="003B357A"/>
    <w:rsid w:val="003B499C"/>
    <w:rsid w:val="003B4CCD"/>
    <w:rsid w:val="003B53D4"/>
    <w:rsid w:val="003B56D7"/>
    <w:rsid w:val="003B7298"/>
    <w:rsid w:val="003C0FF8"/>
    <w:rsid w:val="003C1D0C"/>
    <w:rsid w:val="003C1F2E"/>
    <w:rsid w:val="003C42A3"/>
    <w:rsid w:val="003C49D5"/>
    <w:rsid w:val="003C4FD5"/>
    <w:rsid w:val="003C582B"/>
    <w:rsid w:val="003C6BFF"/>
    <w:rsid w:val="003C7930"/>
    <w:rsid w:val="003C796C"/>
    <w:rsid w:val="003D2333"/>
    <w:rsid w:val="003D2E1B"/>
    <w:rsid w:val="003D3241"/>
    <w:rsid w:val="003D39AE"/>
    <w:rsid w:val="003D4804"/>
    <w:rsid w:val="003D5413"/>
    <w:rsid w:val="003D7685"/>
    <w:rsid w:val="003D7E9A"/>
    <w:rsid w:val="003E0366"/>
    <w:rsid w:val="003E100C"/>
    <w:rsid w:val="003E1C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3DA"/>
    <w:rsid w:val="003F5C9D"/>
    <w:rsid w:val="003F5D2C"/>
    <w:rsid w:val="003F7679"/>
    <w:rsid w:val="00400C13"/>
    <w:rsid w:val="00401F48"/>
    <w:rsid w:val="00402311"/>
    <w:rsid w:val="0040239F"/>
    <w:rsid w:val="00402C97"/>
    <w:rsid w:val="00403364"/>
    <w:rsid w:val="0040415C"/>
    <w:rsid w:val="00404AA4"/>
    <w:rsid w:val="00404AF1"/>
    <w:rsid w:val="00404C61"/>
    <w:rsid w:val="004050C9"/>
    <w:rsid w:val="004051F0"/>
    <w:rsid w:val="00405C04"/>
    <w:rsid w:val="00406314"/>
    <w:rsid w:val="00406376"/>
    <w:rsid w:val="00406896"/>
    <w:rsid w:val="00411B37"/>
    <w:rsid w:val="0041244F"/>
    <w:rsid w:val="004125ED"/>
    <w:rsid w:val="0041353D"/>
    <w:rsid w:val="00413B39"/>
    <w:rsid w:val="0041450E"/>
    <w:rsid w:val="0041456E"/>
    <w:rsid w:val="00415370"/>
    <w:rsid w:val="00415781"/>
    <w:rsid w:val="00415846"/>
    <w:rsid w:val="00416485"/>
    <w:rsid w:val="00416F40"/>
    <w:rsid w:val="00417769"/>
    <w:rsid w:val="00417F0D"/>
    <w:rsid w:val="00420765"/>
    <w:rsid w:val="00421EF2"/>
    <w:rsid w:val="00422668"/>
    <w:rsid w:val="0042482B"/>
    <w:rsid w:val="00424946"/>
    <w:rsid w:val="0042602D"/>
    <w:rsid w:val="004261DA"/>
    <w:rsid w:val="00427004"/>
    <w:rsid w:val="00431540"/>
    <w:rsid w:val="00431AC1"/>
    <w:rsid w:val="00431DE1"/>
    <w:rsid w:val="004329C9"/>
    <w:rsid w:val="00432CD5"/>
    <w:rsid w:val="00432EF0"/>
    <w:rsid w:val="00433CDB"/>
    <w:rsid w:val="00434999"/>
    <w:rsid w:val="00435D29"/>
    <w:rsid w:val="004363FA"/>
    <w:rsid w:val="004364CC"/>
    <w:rsid w:val="00437141"/>
    <w:rsid w:val="004405B0"/>
    <w:rsid w:val="00440853"/>
    <w:rsid w:val="00441905"/>
    <w:rsid w:val="00441FF9"/>
    <w:rsid w:val="0044382F"/>
    <w:rsid w:val="00443B96"/>
    <w:rsid w:val="00443E1D"/>
    <w:rsid w:val="004442EB"/>
    <w:rsid w:val="00444FA3"/>
    <w:rsid w:val="004459DC"/>
    <w:rsid w:val="00445D15"/>
    <w:rsid w:val="00446553"/>
    <w:rsid w:val="00446A92"/>
    <w:rsid w:val="004501B4"/>
    <w:rsid w:val="0045082F"/>
    <w:rsid w:val="00450C00"/>
    <w:rsid w:val="0045135E"/>
    <w:rsid w:val="00452434"/>
    <w:rsid w:val="00452C53"/>
    <w:rsid w:val="004539C7"/>
    <w:rsid w:val="00454597"/>
    <w:rsid w:val="004548E6"/>
    <w:rsid w:val="0045543A"/>
    <w:rsid w:val="0045543C"/>
    <w:rsid w:val="004556FB"/>
    <w:rsid w:val="00455880"/>
    <w:rsid w:val="00455BEC"/>
    <w:rsid w:val="004561F9"/>
    <w:rsid w:val="0045637C"/>
    <w:rsid w:val="004563C4"/>
    <w:rsid w:val="004569A3"/>
    <w:rsid w:val="0045703B"/>
    <w:rsid w:val="004578ED"/>
    <w:rsid w:val="00457EFC"/>
    <w:rsid w:val="0046064C"/>
    <w:rsid w:val="004611B6"/>
    <w:rsid w:val="00461997"/>
    <w:rsid w:val="00463F8B"/>
    <w:rsid w:val="004644C2"/>
    <w:rsid w:val="004649AD"/>
    <w:rsid w:val="004650E7"/>
    <w:rsid w:val="0046687B"/>
    <w:rsid w:val="00466CB4"/>
    <w:rsid w:val="004701F0"/>
    <w:rsid w:val="00470418"/>
    <w:rsid w:val="004704EA"/>
    <w:rsid w:val="0047071D"/>
    <w:rsid w:val="004720F6"/>
    <w:rsid w:val="004727C4"/>
    <w:rsid w:val="00472F62"/>
    <w:rsid w:val="00473579"/>
    <w:rsid w:val="00473E50"/>
    <w:rsid w:val="0047430A"/>
    <w:rsid w:val="00474E5A"/>
    <w:rsid w:val="0047558F"/>
    <w:rsid w:val="00475FD5"/>
    <w:rsid w:val="00476FED"/>
    <w:rsid w:val="0047725A"/>
    <w:rsid w:val="004812F4"/>
    <w:rsid w:val="0048231B"/>
    <w:rsid w:val="004831BD"/>
    <w:rsid w:val="004838D4"/>
    <w:rsid w:val="004845AC"/>
    <w:rsid w:val="00484C31"/>
    <w:rsid w:val="00485E3C"/>
    <w:rsid w:val="00486F09"/>
    <w:rsid w:val="004877FB"/>
    <w:rsid w:val="004906DB"/>
    <w:rsid w:val="00490C0F"/>
    <w:rsid w:val="00491FF2"/>
    <w:rsid w:val="004925EE"/>
    <w:rsid w:val="00492735"/>
    <w:rsid w:val="00493926"/>
    <w:rsid w:val="004945E8"/>
    <w:rsid w:val="00494FC9"/>
    <w:rsid w:val="00495228"/>
    <w:rsid w:val="004963B6"/>
    <w:rsid w:val="004A1AB1"/>
    <w:rsid w:val="004A2013"/>
    <w:rsid w:val="004A201B"/>
    <w:rsid w:val="004A2B7A"/>
    <w:rsid w:val="004A3EB3"/>
    <w:rsid w:val="004A4377"/>
    <w:rsid w:val="004A57EB"/>
    <w:rsid w:val="004A5824"/>
    <w:rsid w:val="004A59D3"/>
    <w:rsid w:val="004A6156"/>
    <w:rsid w:val="004A6D7C"/>
    <w:rsid w:val="004A6F11"/>
    <w:rsid w:val="004A74DD"/>
    <w:rsid w:val="004B00D1"/>
    <w:rsid w:val="004B0AC8"/>
    <w:rsid w:val="004B0B57"/>
    <w:rsid w:val="004B0BBE"/>
    <w:rsid w:val="004B0EB0"/>
    <w:rsid w:val="004B1246"/>
    <w:rsid w:val="004B1340"/>
    <w:rsid w:val="004B1CAB"/>
    <w:rsid w:val="004B2FF9"/>
    <w:rsid w:val="004B3506"/>
    <w:rsid w:val="004B36ED"/>
    <w:rsid w:val="004B4099"/>
    <w:rsid w:val="004B40DB"/>
    <w:rsid w:val="004B4EF6"/>
    <w:rsid w:val="004B612E"/>
    <w:rsid w:val="004B623B"/>
    <w:rsid w:val="004B6554"/>
    <w:rsid w:val="004B6B22"/>
    <w:rsid w:val="004B6C50"/>
    <w:rsid w:val="004C0DA0"/>
    <w:rsid w:val="004C3E02"/>
    <w:rsid w:val="004C422D"/>
    <w:rsid w:val="004C440E"/>
    <w:rsid w:val="004C4CEB"/>
    <w:rsid w:val="004C5CBA"/>
    <w:rsid w:val="004C64D8"/>
    <w:rsid w:val="004C64F7"/>
    <w:rsid w:val="004C6C09"/>
    <w:rsid w:val="004C6EA3"/>
    <w:rsid w:val="004C7BCD"/>
    <w:rsid w:val="004C7E03"/>
    <w:rsid w:val="004D000F"/>
    <w:rsid w:val="004D055D"/>
    <w:rsid w:val="004D1240"/>
    <w:rsid w:val="004D12F6"/>
    <w:rsid w:val="004D1946"/>
    <w:rsid w:val="004D32ED"/>
    <w:rsid w:val="004D3E71"/>
    <w:rsid w:val="004D49EE"/>
    <w:rsid w:val="004D4AE0"/>
    <w:rsid w:val="004D4C0B"/>
    <w:rsid w:val="004D69FC"/>
    <w:rsid w:val="004D72BA"/>
    <w:rsid w:val="004D77BD"/>
    <w:rsid w:val="004D77DE"/>
    <w:rsid w:val="004D7BF4"/>
    <w:rsid w:val="004D7C92"/>
    <w:rsid w:val="004E271F"/>
    <w:rsid w:val="004E295C"/>
    <w:rsid w:val="004E38B2"/>
    <w:rsid w:val="004E3936"/>
    <w:rsid w:val="004E3F15"/>
    <w:rsid w:val="004E490B"/>
    <w:rsid w:val="004E57F7"/>
    <w:rsid w:val="004E5D9C"/>
    <w:rsid w:val="004E6191"/>
    <w:rsid w:val="004E6707"/>
    <w:rsid w:val="004E6B8E"/>
    <w:rsid w:val="004F0543"/>
    <w:rsid w:val="004F0D33"/>
    <w:rsid w:val="004F2385"/>
    <w:rsid w:val="004F246C"/>
    <w:rsid w:val="004F3A97"/>
    <w:rsid w:val="004F5591"/>
    <w:rsid w:val="004F5D14"/>
    <w:rsid w:val="004F68DC"/>
    <w:rsid w:val="004F7F44"/>
    <w:rsid w:val="00500598"/>
    <w:rsid w:val="00500F7A"/>
    <w:rsid w:val="005012AD"/>
    <w:rsid w:val="005016E5"/>
    <w:rsid w:val="00501A56"/>
    <w:rsid w:val="00501B75"/>
    <w:rsid w:val="00502317"/>
    <w:rsid w:val="005027BB"/>
    <w:rsid w:val="00503415"/>
    <w:rsid w:val="005034C1"/>
    <w:rsid w:val="005037E1"/>
    <w:rsid w:val="00503B5C"/>
    <w:rsid w:val="0050456A"/>
    <w:rsid w:val="00505C46"/>
    <w:rsid w:val="005068E1"/>
    <w:rsid w:val="005070B6"/>
    <w:rsid w:val="005077C5"/>
    <w:rsid w:val="00510111"/>
    <w:rsid w:val="00510B80"/>
    <w:rsid w:val="0051168A"/>
    <w:rsid w:val="005117D2"/>
    <w:rsid w:val="005118A6"/>
    <w:rsid w:val="005122F4"/>
    <w:rsid w:val="0051405F"/>
    <w:rsid w:val="0051444F"/>
    <w:rsid w:val="005156A6"/>
    <w:rsid w:val="00516393"/>
    <w:rsid w:val="00516669"/>
    <w:rsid w:val="005179A5"/>
    <w:rsid w:val="00520B4F"/>
    <w:rsid w:val="005231D3"/>
    <w:rsid w:val="0052364C"/>
    <w:rsid w:val="00524AD7"/>
    <w:rsid w:val="005254FD"/>
    <w:rsid w:val="005268A9"/>
    <w:rsid w:val="0052720F"/>
    <w:rsid w:val="00527421"/>
    <w:rsid w:val="005275C4"/>
    <w:rsid w:val="00527D36"/>
    <w:rsid w:val="00531076"/>
    <w:rsid w:val="00531D28"/>
    <w:rsid w:val="005328A8"/>
    <w:rsid w:val="005338EE"/>
    <w:rsid w:val="00533920"/>
    <w:rsid w:val="00535141"/>
    <w:rsid w:val="005351D9"/>
    <w:rsid w:val="00535324"/>
    <w:rsid w:val="00535504"/>
    <w:rsid w:val="005363B4"/>
    <w:rsid w:val="0053712D"/>
    <w:rsid w:val="005403F4"/>
    <w:rsid w:val="00540B60"/>
    <w:rsid w:val="00541076"/>
    <w:rsid w:val="00541136"/>
    <w:rsid w:val="0054216F"/>
    <w:rsid w:val="00542F18"/>
    <w:rsid w:val="0054343C"/>
    <w:rsid w:val="00544853"/>
    <w:rsid w:val="00544CA5"/>
    <w:rsid w:val="005450E2"/>
    <w:rsid w:val="00545B19"/>
    <w:rsid w:val="00545EE8"/>
    <w:rsid w:val="00547404"/>
    <w:rsid w:val="005474A2"/>
    <w:rsid w:val="00547520"/>
    <w:rsid w:val="0055035F"/>
    <w:rsid w:val="005507FD"/>
    <w:rsid w:val="005511C0"/>
    <w:rsid w:val="00551D4B"/>
    <w:rsid w:val="00551E3C"/>
    <w:rsid w:val="0055232C"/>
    <w:rsid w:val="0055278E"/>
    <w:rsid w:val="00555488"/>
    <w:rsid w:val="0055549A"/>
    <w:rsid w:val="00555B18"/>
    <w:rsid w:val="00555C9C"/>
    <w:rsid w:val="00556A4D"/>
    <w:rsid w:val="00557319"/>
    <w:rsid w:val="0055764E"/>
    <w:rsid w:val="00560528"/>
    <w:rsid w:val="00560699"/>
    <w:rsid w:val="00561503"/>
    <w:rsid w:val="00561923"/>
    <w:rsid w:val="005622F8"/>
    <w:rsid w:val="0056310A"/>
    <w:rsid w:val="0056336F"/>
    <w:rsid w:val="00565AF7"/>
    <w:rsid w:val="00566024"/>
    <w:rsid w:val="005671C3"/>
    <w:rsid w:val="0057060C"/>
    <w:rsid w:val="0057189C"/>
    <w:rsid w:val="00571BD2"/>
    <w:rsid w:val="00571CD7"/>
    <w:rsid w:val="00571D59"/>
    <w:rsid w:val="00572E3E"/>
    <w:rsid w:val="0057332B"/>
    <w:rsid w:val="0057364D"/>
    <w:rsid w:val="005737FC"/>
    <w:rsid w:val="0057420B"/>
    <w:rsid w:val="005746CF"/>
    <w:rsid w:val="0057593B"/>
    <w:rsid w:val="005762CE"/>
    <w:rsid w:val="00580280"/>
    <w:rsid w:val="00580B9E"/>
    <w:rsid w:val="00580DAB"/>
    <w:rsid w:val="0058135A"/>
    <w:rsid w:val="005817D9"/>
    <w:rsid w:val="00581F7C"/>
    <w:rsid w:val="00583358"/>
    <w:rsid w:val="005839BF"/>
    <w:rsid w:val="00584058"/>
    <w:rsid w:val="005844A5"/>
    <w:rsid w:val="005846B4"/>
    <w:rsid w:val="005850E5"/>
    <w:rsid w:val="005851E0"/>
    <w:rsid w:val="00585571"/>
    <w:rsid w:val="005856F9"/>
    <w:rsid w:val="00585B91"/>
    <w:rsid w:val="00586BB0"/>
    <w:rsid w:val="00586BF1"/>
    <w:rsid w:val="00587412"/>
    <w:rsid w:val="00587DC4"/>
    <w:rsid w:val="0059008F"/>
    <w:rsid w:val="005903E4"/>
    <w:rsid w:val="005907D5"/>
    <w:rsid w:val="005910C0"/>
    <w:rsid w:val="005913EE"/>
    <w:rsid w:val="00592461"/>
    <w:rsid w:val="005950D6"/>
    <w:rsid w:val="0059519C"/>
    <w:rsid w:val="00595524"/>
    <w:rsid w:val="00595CA7"/>
    <w:rsid w:val="005974F3"/>
    <w:rsid w:val="0059751C"/>
    <w:rsid w:val="00597919"/>
    <w:rsid w:val="005A0B9F"/>
    <w:rsid w:val="005A0EFC"/>
    <w:rsid w:val="005A44E7"/>
    <w:rsid w:val="005A5D8E"/>
    <w:rsid w:val="005A63D8"/>
    <w:rsid w:val="005A6B4A"/>
    <w:rsid w:val="005A7420"/>
    <w:rsid w:val="005A7C14"/>
    <w:rsid w:val="005A7DBE"/>
    <w:rsid w:val="005B152C"/>
    <w:rsid w:val="005B1C64"/>
    <w:rsid w:val="005B1DE8"/>
    <w:rsid w:val="005B2294"/>
    <w:rsid w:val="005B271E"/>
    <w:rsid w:val="005B2807"/>
    <w:rsid w:val="005B3606"/>
    <w:rsid w:val="005B388D"/>
    <w:rsid w:val="005B3E08"/>
    <w:rsid w:val="005B49B6"/>
    <w:rsid w:val="005B56EE"/>
    <w:rsid w:val="005B63E1"/>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C6E71"/>
    <w:rsid w:val="005C7363"/>
    <w:rsid w:val="005D0B55"/>
    <w:rsid w:val="005D46FC"/>
    <w:rsid w:val="005D4A04"/>
    <w:rsid w:val="005D4CF7"/>
    <w:rsid w:val="005D5347"/>
    <w:rsid w:val="005D5CC5"/>
    <w:rsid w:val="005D5FE6"/>
    <w:rsid w:val="005D61EA"/>
    <w:rsid w:val="005D74D8"/>
    <w:rsid w:val="005D787B"/>
    <w:rsid w:val="005E031D"/>
    <w:rsid w:val="005E03AC"/>
    <w:rsid w:val="005E04B5"/>
    <w:rsid w:val="005E0621"/>
    <w:rsid w:val="005E12BE"/>
    <w:rsid w:val="005E27AD"/>
    <w:rsid w:val="005E2C81"/>
    <w:rsid w:val="005E4D3C"/>
    <w:rsid w:val="005E7158"/>
    <w:rsid w:val="005E7ECB"/>
    <w:rsid w:val="005F0C00"/>
    <w:rsid w:val="005F1037"/>
    <w:rsid w:val="005F2BF8"/>
    <w:rsid w:val="005F2EA8"/>
    <w:rsid w:val="005F3094"/>
    <w:rsid w:val="005F3B04"/>
    <w:rsid w:val="005F5574"/>
    <w:rsid w:val="005F5D1D"/>
    <w:rsid w:val="005F60C9"/>
    <w:rsid w:val="005F64C6"/>
    <w:rsid w:val="006008F1"/>
    <w:rsid w:val="00601714"/>
    <w:rsid w:val="00601735"/>
    <w:rsid w:val="00602BD2"/>
    <w:rsid w:val="00604980"/>
    <w:rsid w:val="0060614D"/>
    <w:rsid w:val="00610871"/>
    <w:rsid w:val="00610E48"/>
    <w:rsid w:val="00610FE0"/>
    <w:rsid w:val="00613C47"/>
    <w:rsid w:val="00614176"/>
    <w:rsid w:val="00615086"/>
    <w:rsid w:val="00616201"/>
    <w:rsid w:val="00616225"/>
    <w:rsid w:val="00616BA2"/>
    <w:rsid w:val="0061705E"/>
    <w:rsid w:val="00617914"/>
    <w:rsid w:val="00617A8B"/>
    <w:rsid w:val="00621904"/>
    <w:rsid w:val="00622248"/>
    <w:rsid w:val="00622FEA"/>
    <w:rsid w:val="00623CDF"/>
    <w:rsid w:val="00623DB1"/>
    <w:rsid w:val="006245F3"/>
    <w:rsid w:val="0062485E"/>
    <w:rsid w:val="00624DBE"/>
    <w:rsid w:val="00625450"/>
    <w:rsid w:val="0062557A"/>
    <w:rsid w:val="0062624F"/>
    <w:rsid w:val="006319CA"/>
    <w:rsid w:val="00632A6C"/>
    <w:rsid w:val="00633B3E"/>
    <w:rsid w:val="00634EC0"/>
    <w:rsid w:val="0063627F"/>
    <w:rsid w:val="00636969"/>
    <w:rsid w:val="006376C4"/>
    <w:rsid w:val="006403E7"/>
    <w:rsid w:val="00642D72"/>
    <w:rsid w:val="006443CB"/>
    <w:rsid w:val="006448B8"/>
    <w:rsid w:val="00644F80"/>
    <w:rsid w:val="00645874"/>
    <w:rsid w:val="00647673"/>
    <w:rsid w:val="00650F81"/>
    <w:rsid w:val="00650FC7"/>
    <w:rsid w:val="00651F86"/>
    <w:rsid w:val="0065395E"/>
    <w:rsid w:val="00653C24"/>
    <w:rsid w:val="00653D68"/>
    <w:rsid w:val="00653E4E"/>
    <w:rsid w:val="00654275"/>
    <w:rsid w:val="0065446D"/>
    <w:rsid w:val="00654891"/>
    <w:rsid w:val="00654894"/>
    <w:rsid w:val="00655104"/>
    <w:rsid w:val="00656067"/>
    <w:rsid w:val="00660693"/>
    <w:rsid w:val="006611D6"/>
    <w:rsid w:val="0066127B"/>
    <w:rsid w:val="00661402"/>
    <w:rsid w:val="00661918"/>
    <w:rsid w:val="00662A5A"/>
    <w:rsid w:val="006636D0"/>
    <w:rsid w:val="00663834"/>
    <w:rsid w:val="00663BF1"/>
    <w:rsid w:val="006647D7"/>
    <w:rsid w:val="00664F1B"/>
    <w:rsid w:val="006653D7"/>
    <w:rsid w:val="00665BFF"/>
    <w:rsid w:val="006665BA"/>
    <w:rsid w:val="006668A8"/>
    <w:rsid w:val="00666A4F"/>
    <w:rsid w:val="00667477"/>
    <w:rsid w:val="006703D9"/>
    <w:rsid w:val="00672DFC"/>
    <w:rsid w:val="00672F5B"/>
    <w:rsid w:val="00673DEE"/>
    <w:rsid w:val="00674E69"/>
    <w:rsid w:val="0067738E"/>
    <w:rsid w:val="00677F23"/>
    <w:rsid w:val="0068055B"/>
    <w:rsid w:val="00680936"/>
    <w:rsid w:val="00680D8C"/>
    <w:rsid w:val="00680D99"/>
    <w:rsid w:val="006821B2"/>
    <w:rsid w:val="00682725"/>
    <w:rsid w:val="00682A1B"/>
    <w:rsid w:val="00682D73"/>
    <w:rsid w:val="00682ED3"/>
    <w:rsid w:val="00683126"/>
    <w:rsid w:val="00683993"/>
    <w:rsid w:val="006846E8"/>
    <w:rsid w:val="00684E79"/>
    <w:rsid w:val="00685EBD"/>
    <w:rsid w:val="006861C3"/>
    <w:rsid w:val="00686AF3"/>
    <w:rsid w:val="00690F1F"/>
    <w:rsid w:val="006915BD"/>
    <w:rsid w:val="006915F2"/>
    <w:rsid w:val="00692582"/>
    <w:rsid w:val="00692592"/>
    <w:rsid w:val="00692A2F"/>
    <w:rsid w:val="0069322C"/>
    <w:rsid w:val="00693652"/>
    <w:rsid w:val="006939E7"/>
    <w:rsid w:val="00693D3E"/>
    <w:rsid w:val="006942F7"/>
    <w:rsid w:val="006956FB"/>
    <w:rsid w:val="00697D85"/>
    <w:rsid w:val="006A00CD"/>
    <w:rsid w:val="006A1A71"/>
    <w:rsid w:val="006A1D3D"/>
    <w:rsid w:val="006A2150"/>
    <w:rsid w:val="006A2216"/>
    <w:rsid w:val="006A241D"/>
    <w:rsid w:val="006A3288"/>
    <w:rsid w:val="006A43E6"/>
    <w:rsid w:val="006A47EB"/>
    <w:rsid w:val="006A4AEE"/>
    <w:rsid w:val="006A5E74"/>
    <w:rsid w:val="006A6184"/>
    <w:rsid w:val="006A6BB4"/>
    <w:rsid w:val="006A70BE"/>
    <w:rsid w:val="006A7290"/>
    <w:rsid w:val="006A7934"/>
    <w:rsid w:val="006A7BC8"/>
    <w:rsid w:val="006B0001"/>
    <w:rsid w:val="006B054B"/>
    <w:rsid w:val="006B059F"/>
    <w:rsid w:val="006B0E3A"/>
    <w:rsid w:val="006B2048"/>
    <w:rsid w:val="006B215A"/>
    <w:rsid w:val="006B2A36"/>
    <w:rsid w:val="006B2AD6"/>
    <w:rsid w:val="006B342E"/>
    <w:rsid w:val="006B3812"/>
    <w:rsid w:val="006B3B80"/>
    <w:rsid w:val="006B6EF0"/>
    <w:rsid w:val="006B6F32"/>
    <w:rsid w:val="006B7130"/>
    <w:rsid w:val="006B73CC"/>
    <w:rsid w:val="006B7695"/>
    <w:rsid w:val="006B76B9"/>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C0D"/>
    <w:rsid w:val="006D1D3F"/>
    <w:rsid w:val="006D253B"/>
    <w:rsid w:val="006D325A"/>
    <w:rsid w:val="006D386A"/>
    <w:rsid w:val="006D4242"/>
    <w:rsid w:val="006D45F0"/>
    <w:rsid w:val="006D4C8F"/>
    <w:rsid w:val="006D52A0"/>
    <w:rsid w:val="006D57CB"/>
    <w:rsid w:val="006D5819"/>
    <w:rsid w:val="006D5E6F"/>
    <w:rsid w:val="006D662B"/>
    <w:rsid w:val="006D693F"/>
    <w:rsid w:val="006D6CDD"/>
    <w:rsid w:val="006D7604"/>
    <w:rsid w:val="006D765E"/>
    <w:rsid w:val="006D76CB"/>
    <w:rsid w:val="006E0455"/>
    <w:rsid w:val="006E4238"/>
    <w:rsid w:val="006E4551"/>
    <w:rsid w:val="006E5F01"/>
    <w:rsid w:val="006E7033"/>
    <w:rsid w:val="006E7404"/>
    <w:rsid w:val="006E7B97"/>
    <w:rsid w:val="006F05B9"/>
    <w:rsid w:val="006F1972"/>
    <w:rsid w:val="006F1EA3"/>
    <w:rsid w:val="006F2627"/>
    <w:rsid w:val="006F2A57"/>
    <w:rsid w:val="006F3187"/>
    <w:rsid w:val="006F34B9"/>
    <w:rsid w:val="006F3568"/>
    <w:rsid w:val="006F40AD"/>
    <w:rsid w:val="006F53EB"/>
    <w:rsid w:val="006F6360"/>
    <w:rsid w:val="006F6436"/>
    <w:rsid w:val="006F65C5"/>
    <w:rsid w:val="006F687A"/>
    <w:rsid w:val="006F68EF"/>
    <w:rsid w:val="006F6D4C"/>
    <w:rsid w:val="006F6E67"/>
    <w:rsid w:val="006F7157"/>
    <w:rsid w:val="006F78E0"/>
    <w:rsid w:val="00702132"/>
    <w:rsid w:val="007023EA"/>
    <w:rsid w:val="007029F4"/>
    <w:rsid w:val="00702B1B"/>
    <w:rsid w:val="007032B3"/>
    <w:rsid w:val="00704164"/>
    <w:rsid w:val="007063BD"/>
    <w:rsid w:val="00706A58"/>
    <w:rsid w:val="00707517"/>
    <w:rsid w:val="007078ED"/>
    <w:rsid w:val="00707D1E"/>
    <w:rsid w:val="00710187"/>
    <w:rsid w:val="007101D7"/>
    <w:rsid w:val="007110E1"/>
    <w:rsid w:val="00711B18"/>
    <w:rsid w:val="007126D1"/>
    <w:rsid w:val="00714394"/>
    <w:rsid w:val="00714C87"/>
    <w:rsid w:val="00714ED6"/>
    <w:rsid w:val="00715E8D"/>
    <w:rsid w:val="00721C26"/>
    <w:rsid w:val="00721F7E"/>
    <w:rsid w:val="00722E29"/>
    <w:rsid w:val="00723ECB"/>
    <w:rsid w:val="00724606"/>
    <w:rsid w:val="00724A36"/>
    <w:rsid w:val="00724A60"/>
    <w:rsid w:val="00724E85"/>
    <w:rsid w:val="0072525D"/>
    <w:rsid w:val="00726E58"/>
    <w:rsid w:val="00726E8A"/>
    <w:rsid w:val="00727047"/>
    <w:rsid w:val="00727A0E"/>
    <w:rsid w:val="00727C81"/>
    <w:rsid w:val="00730B33"/>
    <w:rsid w:val="007328E2"/>
    <w:rsid w:val="00734462"/>
    <w:rsid w:val="00734510"/>
    <w:rsid w:val="00734887"/>
    <w:rsid w:val="007365B6"/>
    <w:rsid w:val="00736FB8"/>
    <w:rsid w:val="00737394"/>
    <w:rsid w:val="007401E2"/>
    <w:rsid w:val="00740205"/>
    <w:rsid w:val="00740217"/>
    <w:rsid w:val="007411E5"/>
    <w:rsid w:val="00741605"/>
    <w:rsid w:val="00742788"/>
    <w:rsid w:val="007436F2"/>
    <w:rsid w:val="00743B2E"/>
    <w:rsid w:val="0074436D"/>
    <w:rsid w:val="00746951"/>
    <w:rsid w:val="00746F65"/>
    <w:rsid w:val="007472C3"/>
    <w:rsid w:val="0074791E"/>
    <w:rsid w:val="00750948"/>
    <w:rsid w:val="00750A23"/>
    <w:rsid w:val="0075115D"/>
    <w:rsid w:val="00751A33"/>
    <w:rsid w:val="00753890"/>
    <w:rsid w:val="0075466D"/>
    <w:rsid w:val="007555DF"/>
    <w:rsid w:val="007569DC"/>
    <w:rsid w:val="0075711E"/>
    <w:rsid w:val="00757549"/>
    <w:rsid w:val="007579F2"/>
    <w:rsid w:val="00761434"/>
    <w:rsid w:val="00761FD5"/>
    <w:rsid w:val="00762BB6"/>
    <w:rsid w:val="0076341D"/>
    <w:rsid w:val="0076446D"/>
    <w:rsid w:val="007647EF"/>
    <w:rsid w:val="00765DD8"/>
    <w:rsid w:val="00766230"/>
    <w:rsid w:val="00766B33"/>
    <w:rsid w:val="00766D36"/>
    <w:rsid w:val="00767607"/>
    <w:rsid w:val="00767ACD"/>
    <w:rsid w:val="007705B5"/>
    <w:rsid w:val="0077270D"/>
    <w:rsid w:val="00773874"/>
    <w:rsid w:val="0077393B"/>
    <w:rsid w:val="00775D3B"/>
    <w:rsid w:val="0077615A"/>
    <w:rsid w:val="007806A0"/>
    <w:rsid w:val="00782346"/>
    <w:rsid w:val="007838CD"/>
    <w:rsid w:val="007839A9"/>
    <w:rsid w:val="007840F3"/>
    <w:rsid w:val="007849BE"/>
    <w:rsid w:val="00785491"/>
    <w:rsid w:val="007858C0"/>
    <w:rsid w:val="0078679A"/>
    <w:rsid w:val="00786BDC"/>
    <w:rsid w:val="007871FE"/>
    <w:rsid w:val="00787C89"/>
    <w:rsid w:val="007908ED"/>
    <w:rsid w:val="00790F74"/>
    <w:rsid w:val="00792014"/>
    <w:rsid w:val="007921CD"/>
    <w:rsid w:val="00792288"/>
    <w:rsid w:val="00792447"/>
    <w:rsid w:val="007928C6"/>
    <w:rsid w:val="00792E73"/>
    <w:rsid w:val="0079694C"/>
    <w:rsid w:val="007A0187"/>
    <w:rsid w:val="007A19AC"/>
    <w:rsid w:val="007A268F"/>
    <w:rsid w:val="007A29EC"/>
    <w:rsid w:val="007A31E2"/>
    <w:rsid w:val="007A4A53"/>
    <w:rsid w:val="007A4C93"/>
    <w:rsid w:val="007A4E17"/>
    <w:rsid w:val="007A7F6D"/>
    <w:rsid w:val="007B0FBD"/>
    <w:rsid w:val="007B10EC"/>
    <w:rsid w:val="007B1BAF"/>
    <w:rsid w:val="007B20C3"/>
    <w:rsid w:val="007B2FE8"/>
    <w:rsid w:val="007B35F7"/>
    <w:rsid w:val="007B3D39"/>
    <w:rsid w:val="007B4DD5"/>
    <w:rsid w:val="007B4F72"/>
    <w:rsid w:val="007B5148"/>
    <w:rsid w:val="007B5A16"/>
    <w:rsid w:val="007B71AA"/>
    <w:rsid w:val="007B7F09"/>
    <w:rsid w:val="007C03FE"/>
    <w:rsid w:val="007C0E04"/>
    <w:rsid w:val="007C17D3"/>
    <w:rsid w:val="007C1FA2"/>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2335"/>
    <w:rsid w:val="007D358B"/>
    <w:rsid w:val="007D370E"/>
    <w:rsid w:val="007D4624"/>
    <w:rsid w:val="007D4A8F"/>
    <w:rsid w:val="007D563E"/>
    <w:rsid w:val="007D5A49"/>
    <w:rsid w:val="007D5FC1"/>
    <w:rsid w:val="007D6EB6"/>
    <w:rsid w:val="007D715A"/>
    <w:rsid w:val="007D76EE"/>
    <w:rsid w:val="007E002B"/>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6758"/>
    <w:rsid w:val="007F6D96"/>
    <w:rsid w:val="00800D05"/>
    <w:rsid w:val="00801D7A"/>
    <w:rsid w:val="008020F2"/>
    <w:rsid w:val="00803F74"/>
    <w:rsid w:val="00804653"/>
    <w:rsid w:val="00804C48"/>
    <w:rsid w:val="0080505A"/>
    <w:rsid w:val="008060B3"/>
    <w:rsid w:val="00806639"/>
    <w:rsid w:val="008069FD"/>
    <w:rsid w:val="00806A84"/>
    <w:rsid w:val="00806BDB"/>
    <w:rsid w:val="008073A4"/>
    <w:rsid w:val="00807C6C"/>
    <w:rsid w:val="008115ED"/>
    <w:rsid w:val="0081254B"/>
    <w:rsid w:val="0081288C"/>
    <w:rsid w:val="0081340B"/>
    <w:rsid w:val="00813CBC"/>
    <w:rsid w:val="00815822"/>
    <w:rsid w:val="00815B93"/>
    <w:rsid w:val="00816585"/>
    <w:rsid w:val="0081760E"/>
    <w:rsid w:val="008179E8"/>
    <w:rsid w:val="00817BB4"/>
    <w:rsid w:val="00817E4F"/>
    <w:rsid w:val="00820F5B"/>
    <w:rsid w:val="00821021"/>
    <w:rsid w:val="008214BB"/>
    <w:rsid w:val="00821B58"/>
    <w:rsid w:val="008228A0"/>
    <w:rsid w:val="00822D4E"/>
    <w:rsid w:val="00822FBA"/>
    <w:rsid w:val="00823317"/>
    <w:rsid w:val="0082398C"/>
    <w:rsid w:val="00824FF1"/>
    <w:rsid w:val="00825196"/>
    <w:rsid w:val="00826F4C"/>
    <w:rsid w:val="008303A6"/>
    <w:rsid w:val="008310B4"/>
    <w:rsid w:val="00831573"/>
    <w:rsid w:val="00831C7F"/>
    <w:rsid w:val="00833C51"/>
    <w:rsid w:val="00834577"/>
    <w:rsid w:val="008349A6"/>
    <w:rsid w:val="00835271"/>
    <w:rsid w:val="00835679"/>
    <w:rsid w:val="008377DA"/>
    <w:rsid w:val="008404F8"/>
    <w:rsid w:val="00841F21"/>
    <w:rsid w:val="00842991"/>
    <w:rsid w:val="008429B0"/>
    <w:rsid w:val="00843900"/>
    <w:rsid w:val="00844C5B"/>
    <w:rsid w:val="00845A15"/>
    <w:rsid w:val="0084632F"/>
    <w:rsid w:val="008474A9"/>
    <w:rsid w:val="00851180"/>
    <w:rsid w:val="00852528"/>
    <w:rsid w:val="0085434F"/>
    <w:rsid w:val="008543F7"/>
    <w:rsid w:val="008545DC"/>
    <w:rsid w:val="00854A7E"/>
    <w:rsid w:val="00855B06"/>
    <w:rsid w:val="00856B95"/>
    <w:rsid w:val="00856D1A"/>
    <w:rsid w:val="00857D29"/>
    <w:rsid w:val="00861313"/>
    <w:rsid w:val="0086161C"/>
    <w:rsid w:val="008617AF"/>
    <w:rsid w:val="00861DB0"/>
    <w:rsid w:val="00861E83"/>
    <w:rsid w:val="0086225C"/>
    <w:rsid w:val="008629A8"/>
    <w:rsid w:val="00863225"/>
    <w:rsid w:val="00863ADA"/>
    <w:rsid w:val="00865BAA"/>
    <w:rsid w:val="00865C83"/>
    <w:rsid w:val="008677CB"/>
    <w:rsid w:val="0087026D"/>
    <w:rsid w:val="0087056E"/>
    <w:rsid w:val="00870CB6"/>
    <w:rsid w:val="00873177"/>
    <w:rsid w:val="008737AE"/>
    <w:rsid w:val="00873FEA"/>
    <w:rsid w:val="0087419B"/>
    <w:rsid w:val="008744CC"/>
    <w:rsid w:val="00874592"/>
    <w:rsid w:val="008751C1"/>
    <w:rsid w:val="00876C1B"/>
    <w:rsid w:val="00876E70"/>
    <w:rsid w:val="008804E1"/>
    <w:rsid w:val="008815B6"/>
    <w:rsid w:val="008818F6"/>
    <w:rsid w:val="00881D45"/>
    <w:rsid w:val="0088398E"/>
    <w:rsid w:val="00885182"/>
    <w:rsid w:val="008858B7"/>
    <w:rsid w:val="0088647E"/>
    <w:rsid w:val="00886D52"/>
    <w:rsid w:val="00887215"/>
    <w:rsid w:val="00887E02"/>
    <w:rsid w:val="00890382"/>
    <w:rsid w:val="0089046A"/>
    <w:rsid w:val="00891106"/>
    <w:rsid w:val="00892833"/>
    <w:rsid w:val="00892DCB"/>
    <w:rsid w:val="00893479"/>
    <w:rsid w:val="0089375D"/>
    <w:rsid w:val="008943CB"/>
    <w:rsid w:val="008946B9"/>
    <w:rsid w:val="008A0882"/>
    <w:rsid w:val="008A10C1"/>
    <w:rsid w:val="008A181A"/>
    <w:rsid w:val="008A183F"/>
    <w:rsid w:val="008A1C47"/>
    <w:rsid w:val="008A2289"/>
    <w:rsid w:val="008A34BA"/>
    <w:rsid w:val="008A3766"/>
    <w:rsid w:val="008A4F66"/>
    <w:rsid w:val="008A5290"/>
    <w:rsid w:val="008A593A"/>
    <w:rsid w:val="008A6A60"/>
    <w:rsid w:val="008A6C5A"/>
    <w:rsid w:val="008A6CCA"/>
    <w:rsid w:val="008B1B8C"/>
    <w:rsid w:val="008B2C59"/>
    <w:rsid w:val="008B2DF3"/>
    <w:rsid w:val="008B376A"/>
    <w:rsid w:val="008B444E"/>
    <w:rsid w:val="008B5381"/>
    <w:rsid w:val="008B55D8"/>
    <w:rsid w:val="008B569F"/>
    <w:rsid w:val="008B7220"/>
    <w:rsid w:val="008C0669"/>
    <w:rsid w:val="008C0814"/>
    <w:rsid w:val="008C08A5"/>
    <w:rsid w:val="008C1DD7"/>
    <w:rsid w:val="008C26FA"/>
    <w:rsid w:val="008C2BC1"/>
    <w:rsid w:val="008C3F4B"/>
    <w:rsid w:val="008C4566"/>
    <w:rsid w:val="008C46B6"/>
    <w:rsid w:val="008C4935"/>
    <w:rsid w:val="008C522A"/>
    <w:rsid w:val="008C5E71"/>
    <w:rsid w:val="008C64E3"/>
    <w:rsid w:val="008C6A8B"/>
    <w:rsid w:val="008C77F7"/>
    <w:rsid w:val="008D00EA"/>
    <w:rsid w:val="008D0D1E"/>
    <w:rsid w:val="008D1175"/>
    <w:rsid w:val="008D1627"/>
    <w:rsid w:val="008D1DA0"/>
    <w:rsid w:val="008D2828"/>
    <w:rsid w:val="008D284E"/>
    <w:rsid w:val="008D4ED3"/>
    <w:rsid w:val="008D54BF"/>
    <w:rsid w:val="008D5DC6"/>
    <w:rsid w:val="008D6A11"/>
    <w:rsid w:val="008D7F62"/>
    <w:rsid w:val="008E0D4B"/>
    <w:rsid w:val="008E1C27"/>
    <w:rsid w:val="008E1E54"/>
    <w:rsid w:val="008E2057"/>
    <w:rsid w:val="008E31EC"/>
    <w:rsid w:val="008E3C88"/>
    <w:rsid w:val="008E488D"/>
    <w:rsid w:val="008E4E17"/>
    <w:rsid w:val="008E5337"/>
    <w:rsid w:val="008E610D"/>
    <w:rsid w:val="008E69A2"/>
    <w:rsid w:val="008E78F2"/>
    <w:rsid w:val="008E7B12"/>
    <w:rsid w:val="008F022C"/>
    <w:rsid w:val="008F152D"/>
    <w:rsid w:val="008F2A60"/>
    <w:rsid w:val="008F310D"/>
    <w:rsid w:val="008F3888"/>
    <w:rsid w:val="008F3B22"/>
    <w:rsid w:val="008F43C7"/>
    <w:rsid w:val="008F4823"/>
    <w:rsid w:val="008F606D"/>
    <w:rsid w:val="008F7150"/>
    <w:rsid w:val="008F71CC"/>
    <w:rsid w:val="008F721C"/>
    <w:rsid w:val="009002F2"/>
    <w:rsid w:val="00900662"/>
    <w:rsid w:val="00901953"/>
    <w:rsid w:val="00902166"/>
    <w:rsid w:val="00902AB3"/>
    <w:rsid w:val="00903C31"/>
    <w:rsid w:val="009040A1"/>
    <w:rsid w:val="0090473B"/>
    <w:rsid w:val="0090487F"/>
    <w:rsid w:val="00904A00"/>
    <w:rsid w:val="00904EAB"/>
    <w:rsid w:val="00904EAC"/>
    <w:rsid w:val="00905282"/>
    <w:rsid w:val="00905908"/>
    <w:rsid w:val="00906AD1"/>
    <w:rsid w:val="00907432"/>
    <w:rsid w:val="009075A4"/>
    <w:rsid w:val="009101AF"/>
    <w:rsid w:val="00911808"/>
    <w:rsid w:val="009145FB"/>
    <w:rsid w:val="0091555E"/>
    <w:rsid w:val="00915786"/>
    <w:rsid w:val="0091701B"/>
    <w:rsid w:val="0091746C"/>
    <w:rsid w:val="00917816"/>
    <w:rsid w:val="00917D06"/>
    <w:rsid w:val="009207DB"/>
    <w:rsid w:val="00921202"/>
    <w:rsid w:val="00922024"/>
    <w:rsid w:val="009222A3"/>
    <w:rsid w:val="009224EE"/>
    <w:rsid w:val="009227F4"/>
    <w:rsid w:val="00922D24"/>
    <w:rsid w:val="00924853"/>
    <w:rsid w:val="009252E0"/>
    <w:rsid w:val="00925501"/>
    <w:rsid w:val="00926982"/>
    <w:rsid w:val="00926CA1"/>
    <w:rsid w:val="00926D4C"/>
    <w:rsid w:val="009270C4"/>
    <w:rsid w:val="0093083B"/>
    <w:rsid w:val="0093092B"/>
    <w:rsid w:val="009319D7"/>
    <w:rsid w:val="009325F7"/>
    <w:rsid w:val="00932BCF"/>
    <w:rsid w:val="00932E7E"/>
    <w:rsid w:val="00933396"/>
    <w:rsid w:val="00934D73"/>
    <w:rsid w:val="00935042"/>
    <w:rsid w:val="009354F5"/>
    <w:rsid w:val="0093740F"/>
    <w:rsid w:val="00937B4A"/>
    <w:rsid w:val="00937BE9"/>
    <w:rsid w:val="00937C1D"/>
    <w:rsid w:val="00940804"/>
    <w:rsid w:val="00940E9B"/>
    <w:rsid w:val="00940FC3"/>
    <w:rsid w:val="009410B3"/>
    <w:rsid w:val="0094131D"/>
    <w:rsid w:val="0094166C"/>
    <w:rsid w:val="00942120"/>
    <w:rsid w:val="00942292"/>
    <w:rsid w:val="0094245E"/>
    <w:rsid w:val="009425F7"/>
    <w:rsid w:val="00943BC0"/>
    <w:rsid w:val="00944BF0"/>
    <w:rsid w:val="00945EC2"/>
    <w:rsid w:val="00946136"/>
    <w:rsid w:val="00946CD9"/>
    <w:rsid w:val="00946E7C"/>
    <w:rsid w:val="00947046"/>
    <w:rsid w:val="00950297"/>
    <w:rsid w:val="009505F4"/>
    <w:rsid w:val="00951216"/>
    <w:rsid w:val="00951614"/>
    <w:rsid w:val="0095279B"/>
    <w:rsid w:val="009533C3"/>
    <w:rsid w:val="009535D3"/>
    <w:rsid w:val="00953807"/>
    <w:rsid w:val="00954282"/>
    <w:rsid w:val="00954427"/>
    <w:rsid w:val="0095611C"/>
    <w:rsid w:val="009564ED"/>
    <w:rsid w:val="00956CA2"/>
    <w:rsid w:val="0096079B"/>
    <w:rsid w:val="0096218D"/>
    <w:rsid w:val="00964509"/>
    <w:rsid w:val="0096501B"/>
    <w:rsid w:val="0096625E"/>
    <w:rsid w:val="0096662B"/>
    <w:rsid w:val="009666AF"/>
    <w:rsid w:val="00967180"/>
    <w:rsid w:val="0096797D"/>
    <w:rsid w:val="00970704"/>
    <w:rsid w:val="00970B65"/>
    <w:rsid w:val="00970D66"/>
    <w:rsid w:val="00971127"/>
    <w:rsid w:val="0097119E"/>
    <w:rsid w:val="009718E9"/>
    <w:rsid w:val="009734B8"/>
    <w:rsid w:val="00973514"/>
    <w:rsid w:val="009739F9"/>
    <w:rsid w:val="009741E7"/>
    <w:rsid w:val="00975C75"/>
    <w:rsid w:val="00977506"/>
    <w:rsid w:val="00977DFD"/>
    <w:rsid w:val="00981694"/>
    <w:rsid w:val="0098177A"/>
    <w:rsid w:val="00983583"/>
    <w:rsid w:val="00983EFD"/>
    <w:rsid w:val="009855B0"/>
    <w:rsid w:val="009859A8"/>
    <w:rsid w:val="00985F2F"/>
    <w:rsid w:val="00986257"/>
    <w:rsid w:val="00986564"/>
    <w:rsid w:val="0098658A"/>
    <w:rsid w:val="00986861"/>
    <w:rsid w:val="00987CBC"/>
    <w:rsid w:val="00991EB0"/>
    <w:rsid w:val="0099212B"/>
    <w:rsid w:val="0099245F"/>
    <w:rsid w:val="00993891"/>
    <w:rsid w:val="00993F0F"/>
    <w:rsid w:val="00995768"/>
    <w:rsid w:val="00995F21"/>
    <w:rsid w:val="00996203"/>
    <w:rsid w:val="00996326"/>
    <w:rsid w:val="009964FB"/>
    <w:rsid w:val="00996F95"/>
    <w:rsid w:val="00997B35"/>
    <w:rsid w:val="00997EA5"/>
    <w:rsid w:val="009A07D5"/>
    <w:rsid w:val="009A1FE7"/>
    <w:rsid w:val="009A2967"/>
    <w:rsid w:val="009A3274"/>
    <w:rsid w:val="009A36B7"/>
    <w:rsid w:val="009A3720"/>
    <w:rsid w:val="009A392B"/>
    <w:rsid w:val="009A3D58"/>
    <w:rsid w:val="009A42CF"/>
    <w:rsid w:val="009A44E8"/>
    <w:rsid w:val="009A581E"/>
    <w:rsid w:val="009A698D"/>
    <w:rsid w:val="009A6AB4"/>
    <w:rsid w:val="009B1DA5"/>
    <w:rsid w:val="009B1E1D"/>
    <w:rsid w:val="009B28FD"/>
    <w:rsid w:val="009B2AD6"/>
    <w:rsid w:val="009B3172"/>
    <w:rsid w:val="009B461D"/>
    <w:rsid w:val="009B4F1F"/>
    <w:rsid w:val="009B5594"/>
    <w:rsid w:val="009B59ED"/>
    <w:rsid w:val="009B6405"/>
    <w:rsid w:val="009B6D8D"/>
    <w:rsid w:val="009B729E"/>
    <w:rsid w:val="009B7498"/>
    <w:rsid w:val="009C007F"/>
    <w:rsid w:val="009C217C"/>
    <w:rsid w:val="009C264B"/>
    <w:rsid w:val="009C34F1"/>
    <w:rsid w:val="009C3B80"/>
    <w:rsid w:val="009C3D84"/>
    <w:rsid w:val="009C3F5A"/>
    <w:rsid w:val="009C48C6"/>
    <w:rsid w:val="009C5D76"/>
    <w:rsid w:val="009C5DFB"/>
    <w:rsid w:val="009C5FDE"/>
    <w:rsid w:val="009C623B"/>
    <w:rsid w:val="009C69E7"/>
    <w:rsid w:val="009C78D7"/>
    <w:rsid w:val="009C7B1D"/>
    <w:rsid w:val="009C7F10"/>
    <w:rsid w:val="009C7FF8"/>
    <w:rsid w:val="009D03F1"/>
    <w:rsid w:val="009D0921"/>
    <w:rsid w:val="009D101B"/>
    <w:rsid w:val="009D118E"/>
    <w:rsid w:val="009D1CF4"/>
    <w:rsid w:val="009D271A"/>
    <w:rsid w:val="009D380F"/>
    <w:rsid w:val="009D57A7"/>
    <w:rsid w:val="009D65EE"/>
    <w:rsid w:val="009D6865"/>
    <w:rsid w:val="009D6903"/>
    <w:rsid w:val="009E02F1"/>
    <w:rsid w:val="009E0525"/>
    <w:rsid w:val="009E199C"/>
    <w:rsid w:val="009E1F76"/>
    <w:rsid w:val="009E20A6"/>
    <w:rsid w:val="009E233F"/>
    <w:rsid w:val="009E323A"/>
    <w:rsid w:val="009E328B"/>
    <w:rsid w:val="009E68C1"/>
    <w:rsid w:val="009E6DD0"/>
    <w:rsid w:val="009E6DEE"/>
    <w:rsid w:val="009E700C"/>
    <w:rsid w:val="009F082A"/>
    <w:rsid w:val="009F0BD9"/>
    <w:rsid w:val="009F12B4"/>
    <w:rsid w:val="009F33FA"/>
    <w:rsid w:val="009F347C"/>
    <w:rsid w:val="009F3F14"/>
    <w:rsid w:val="009F4EC5"/>
    <w:rsid w:val="009F54D7"/>
    <w:rsid w:val="009F5B9D"/>
    <w:rsid w:val="009F6619"/>
    <w:rsid w:val="009F68FF"/>
    <w:rsid w:val="00A00E77"/>
    <w:rsid w:val="00A01A4C"/>
    <w:rsid w:val="00A01C1F"/>
    <w:rsid w:val="00A01C98"/>
    <w:rsid w:val="00A020F7"/>
    <w:rsid w:val="00A025E5"/>
    <w:rsid w:val="00A04B2F"/>
    <w:rsid w:val="00A054CB"/>
    <w:rsid w:val="00A05E8F"/>
    <w:rsid w:val="00A06A54"/>
    <w:rsid w:val="00A10423"/>
    <w:rsid w:val="00A10A6F"/>
    <w:rsid w:val="00A115B1"/>
    <w:rsid w:val="00A118B4"/>
    <w:rsid w:val="00A129C6"/>
    <w:rsid w:val="00A14BDD"/>
    <w:rsid w:val="00A15A52"/>
    <w:rsid w:val="00A169FE"/>
    <w:rsid w:val="00A1706F"/>
    <w:rsid w:val="00A1721D"/>
    <w:rsid w:val="00A20630"/>
    <w:rsid w:val="00A20956"/>
    <w:rsid w:val="00A210DB"/>
    <w:rsid w:val="00A21667"/>
    <w:rsid w:val="00A220FB"/>
    <w:rsid w:val="00A223A5"/>
    <w:rsid w:val="00A22946"/>
    <w:rsid w:val="00A23770"/>
    <w:rsid w:val="00A241FD"/>
    <w:rsid w:val="00A24BC5"/>
    <w:rsid w:val="00A2504C"/>
    <w:rsid w:val="00A26CA4"/>
    <w:rsid w:val="00A26D2E"/>
    <w:rsid w:val="00A26E5D"/>
    <w:rsid w:val="00A276A6"/>
    <w:rsid w:val="00A276FF"/>
    <w:rsid w:val="00A27A41"/>
    <w:rsid w:val="00A30C82"/>
    <w:rsid w:val="00A31A01"/>
    <w:rsid w:val="00A32211"/>
    <w:rsid w:val="00A33842"/>
    <w:rsid w:val="00A33A1E"/>
    <w:rsid w:val="00A33FDC"/>
    <w:rsid w:val="00A34114"/>
    <w:rsid w:val="00A34C81"/>
    <w:rsid w:val="00A34E19"/>
    <w:rsid w:val="00A35C90"/>
    <w:rsid w:val="00A362F9"/>
    <w:rsid w:val="00A36BE7"/>
    <w:rsid w:val="00A36F35"/>
    <w:rsid w:val="00A373CC"/>
    <w:rsid w:val="00A3760C"/>
    <w:rsid w:val="00A37704"/>
    <w:rsid w:val="00A378A0"/>
    <w:rsid w:val="00A37E59"/>
    <w:rsid w:val="00A40108"/>
    <w:rsid w:val="00A404AF"/>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0D10"/>
    <w:rsid w:val="00A533D5"/>
    <w:rsid w:val="00A5510E"/>
    <w:rsid w:val="00A559F4"/>
    <w:rsid w:val="00A56173"/>
    <w:rsid w:val="00A56547"/>
    <w:rsid w:val="00A57079"/>
    <w:rsid w:val="00A570E0"/>
    <w:rsid w:val="00A606A0"/>
    <w:rsid w:val="00A60943"/>
    <w:rsid w:val="00A60A2E"/>
    <w:rsid w:val="00A60A60"/>
    <w:rsid w:val="00A61263"/>
    <w:rsid w:val="00A614AD"/>
    <w:rsid w:val="00A61608"/>
    <w:rsid w:val="00A616BD"/>
    <w:rsid w:val="00A61886"/>
    <w:rsid w:val="00A61E92"/>
    <w:rsid w:val="00A63D89"/>
    <w:rsid w:val="00A63EF3"/>
    <w:rsid w:val="00A650F1"/>
    <w:rsid w:val="00A6526E"/>
    <w:rsid w:val="00A65DA4"/>
    <w:rsid w:val="00A66E04"/>
    <w:rsid w:val="00A67194"/>
    <w:rsid w:val="00A671B3"/>
    <w:rsid w:val="00A67864"/>
    <w:rsid w:val="00A70242"/>
    <w:rsid w:val="00A7040E"/>
    <w:rsid w:val="00A7286F"/>
    <w:rsid w:val="00A734F2"/>
    <w:rsid w:val="00A73517"/>
    <w:rsid w:val="00A73DEE"/>
    <w:rsid w:val="00A74678"/>
    <w:rsid w:val="00A75AEA"/>
    <w:rsid w:val="00A76063"/>
    <w:rsid w:val="00A767EB"/>
    <w:rsid w:val="00A771BF"/>
    <w:rsid w:val="00A77299"/>
    <w:rsid w:val="00A803C1"/>
    <w:rsid w:val="00A815B6"/>
    <w:rsid w:val="00A81953"/>
    <w:rsid w:val="00A823D7"/>
    <w:rsid w:val="00A827C9"/>
    <w:rsid w:val="00A8350D"/>
    <w:rsid w:val="00A85B31"/>
    <w:rsid w:val="00A861F3"/>
    <w:rsid w:val="00A86C48"/>
    <w:rsid w:val="00A90DB1"/>
    <w:rsid w:val="00A9147B"/>
    <w:rsid w:val="00A91BA8"/>
    <w:rsid w:val="00A91EF1"/>
    <w:rsid w:val="00A91EF2"/>
    <w:rsid w:val="00A9325C"/>
    <w:rsid w:val="00A93680"/>
    <w:rsid w:val="00A9430B"/>
    <w:rsid w:val="00A94483"/>
    <w:rsid w:val="00A94750"/>
    <w:rsid w:val="00A959CA"/>
    <w:rsid w:val="00A96FC6"/>
    <w:rsid w:val="00A97A16"/>
    <w:rsid w:val="00A97B61"/>
    <w:rsid w:val="00A97C2E"/>
    <w:rsid w:val="00A97CE3"/>
    <w:rsid w:val="00A97E0C"/>
    <w:rsid w:val="00AA01DA"/>
    <w:rsid w:val="00AA1178"/>
    <w:rsid w:val="00AA11BA"/>
    <w:rsid w:val="00AA2D62"/>
    <w:rsid w:val="00AA2E2C"/>
    <w:rsid w:val="00AA2E90"/>
    <w:rsid w:val="00AA3077"/>
    <w:rsid w:val="00AA375B"/>
    <w:rsid w:val="00AA38AF"/>
    <w:rsid w:val="00AA450C"/>
    <w:rsid w:val="00AA4B62"/>
    <w:rsid w:val="00AA5EB3"/>
    <w:rsid w:val="00AA6916"/>
    <w:rsid w:val="00AB040A"/>
    <w:rsid w:val="00AB110E"/>
    <w:rsid w:val="00AB11CF"/>
    <w:rsid w:val="00AB1287"/>
    <w:rsid w:val="00AB1CE8"/>
    <w:rsid w:val="00AB2016"/>
    <w:rsid w:val="00AB2E62"/>
    <w:rsid w:val="00AB2F06"/>
    <w:rsid w:val="00AB4FFF"/>
    <w:rsid w:val="00AB5190"/>
    <w:rsid w:val="00AB5513"/>
    <w:rsid w:val="00AB5A0C"/>
    <w:rsid w:val="00AB6070"/>
    <w:rsid w:val="00AB6DFC"/>
    <w:rsid w:val="00AB7354"/>
    <w:rsid w:val="00AB7C46"/>
    <w:rsid w:val="00AB7DD5"/>
    <w:rsid w:val="00AC05D0"/>
    <w:rsid w:val="00AC3637"/>
    <w:rsid w:val="00AC3D4F"/>
    <w:rsid w:val="00AC3DB7"/>
    <w:rsid w:val="00AC4699"/>
    <w:rsid w:val="00AC5650"/>
    <w:rsid w:val="00AC59DF"/>
    <w:rsid w:val="00AC72C7"/>
    <w:rsid w:val="00AC7773"/>
    <w:rsid w:val="00AC7899"/>
    <w:rsid w:val="00AD13D6"/>
    <w:rsid w:val="00AD347C"/>
    <w:rsid w:val="00AD4087"/>
    <w:rsid w:val="00AD4E84"/>
    <w:rsid w:val="00AD629C"/>
    <w:rsid w:val="00AD6A21"/>
    <w:rsid w:val="00AD6BE0"/>
    <w:rsid w:val="00AD752F"/>
    <w:rsid w:val="00AE0C8D"/>
    <w:rsid w:val="00AE0E2A"/>
    <w:rsid w:val="00AE1411"/>
    <w:rsid w:val="00AE19B4"/>
    <w:rsid w:val="00AE2330"/>
    <w:rsid w:val="00AE55BC"/>
    <w:rsid w:val="00AE62E7"/>
    <w:rsid w:val="00AE686D"/>
    <w:rsid w:val="00AE6B27"/>
    <w:rsid w:val="00AF0DC0"/>
    <w:rsid w:val="00AF0F96"/>
    <w:rsid w:val="00AF21D7"/>
    <w:rsid w:val="00AF28EB"/>
    <w:rsid w:val="00AF31BA"/>
    <w:rsid w:val="00AF36B6"/>
    <w:rsid w:val="00AF4803"/>
    <w:rsid w:val="00AF4D10"/>
    <w:rsid w:val="00AF58CB"/>
    <w:rsid w:val="00AF726F"/>
    <w:rsid w:val="00B00506"/>
    <w:rsid w:val="00B00ED5"/>
    <w:rsid w:val="00B0128C"/>
    <w:rsid w:val="00B0190C"/>
    <w:rsid w:val="00B01C3F"/>
    <w:rsid w:val="00B02315"/>
    <w:rsid w:val="00B02BF0"/>
    <w:rsid w:val="00B02EA8"/>
    <w:rsid w:val="00B034DD"/>
    <w:rsid w:val="00B03AB4"/>
    <w:rsid w:val="00B05B91"/>
    <w:rsid w:val="00B06ED4"/>
    <w:rsid w:val="00B077CC"/>
    <w:rsid w:val="00B07A28"/>
    <w:rsid w:val="00B102E7"/>
    <w:rsid w:val="00B12A63"/>
    <w:rsid w:val="00B13397"/>
    <w:rsid w:val="00B1400D"/>
    <w:rsid w:val="00B147C9"/>
    <w:rsid w:val="00B15BB2"/>
    <w:rsid w:val="00B16EBE"/>
    <w:rsid w:val="00B20E3B"/>
    <w:rsid w:val="00B21D0E"/>
    <w:rsid w:val="00B22C57"/>
    <w:rsid w:val="00B23C76"/>
    <w:rsid w:val="00B23EEE"/>
    <w:rsid w:val="00B27298"/>
    <w:rsid w:val="00B27384"/>
    <w:rsid w:val="00B276E4"/>
    <w:rsid w:val="00B27A6D"/>
    <w:rsid w:val="00B309F9"/>
    <w:rsid w:val="00B30DAD"/>
    <w:rsid w:val="00B31782"/>
    <w:rsid w:val="00B3402E"/>
    <w:rsid w:val="00B360B7"/>
    <w:rsid w:val="00B36928"/>
    <w:rsid w:val="00B37293"/>
    <w:rsid w:val="00B4076A"/>
    <w:rsid w:val="00B413EB"/>
    <w:rsid w:val="00B428F3"/>
    <w:rsid w:val="00B42C20"/>
    <w:rsid w:val="00B43287"/>
    <w:rsid w:val="00B43864"/>
    <w:rsid w:val="00B43AD9"/>
    <w:rsid w:val="00B443D5"/>
    <w:rsid w:val="00B44482"/>
    <w:rsid w:val="00B450D9"/>
    <w:rsid w:val="00B46FF2"/>
    <w:rsid w:val="00B51B75"/>
    <w:rsid w:val="00B52AD3"/>
    <w:rsid w:val="00B539EB"/>
    <w:rsid w:val="00B54B76"/>
    <w:rsid w:val="00B55ECC"/>
    <w:rsid w:val="00B560E5"/>
    <w:rsid w:val="00B5610F"/>
    <w:rsid w:val="00B576E1"/>
    <w:rsid w:val="00B6088D"/>
    <w:rsid w:val="00B608F1"/>
    <w:rsid w:val="00B60F79"/>
    <w:rsid w:val="00B61158"/>
    <w:rsid w:val="00B6252C"/>
    <w:rsid w:val="00B62CBE"/>
    <w:rsid w:val="00B62EFD"/>
    <w:rsid w:val="00B63999"/>
    <w:rsid w:val="00B63B4A"/>
    <w:rsid w:val="00B63E1F"/>
    <w:rsid w:val="00B641C5"/>
    <w:rsid w:val="00B64F8D"/>
    <w:rsid w:val="00B6533C"/>
    <w:rsid w:val="00B65388"/>
    <w:rsid w:val="00B6731A"/>
    <w:rsid w:val="00B673CA"/>
    <w:rsid w:val="00B70903"/>
    <w:rsid w:val="00B7108D"/>
    <w:rsid w:val="00B7117A"/>
    <w:rsid w:val="00B713F0"/>
    <w:rsid w:val="00B72053"/>
    <w:rsid w:val="00B733A9"/>
    <w:rsid w:val="00B73BEF"/>
    <w:rsid w:val="00B74530"/>
    <w:rsid w:val="00B7458C"/>
    <w:rsid w:val="00B74E4D"/>
    <w:rsid w:val="00B75D3F"/>
    <w:rsid w:val="00B75D4C"/>
    <w:rsid w:val="00B76F2C"/>
    <w:rsid w:val="00B77723"/>
    <w:rsid w:val="00B77863"/>
    <w:rsid w:val="00B801AC"/>
    <w:rsid w:val="00B815D3"/>
    <w:rsid w:val="00B8270D"/>
    <w:rsid w:val="00B827F1"/>
    <w:rsid w:val="00B82B33"/>
    <w:rsid w:val="00B8384C"/>
    <w:rsid w:val="00B843A1"/>
    <w:rsid w:val="00B8441F"/>
    <w:rsid w:val="00B854BE"/>
    <w:rsid w:val="00B85704"/>
    <w:rsid w:val="00B86421"/>
    <w:rsid w:val="00B866BF"/>
    <w:rsid w:val="00B868D6"/>
    <w:rsid w:val="00B86D0A"/>
    <w:rsid w:val="00B8748B"/>
    <w:rsid w:val="00B87B3F"/>
    <w:rsid w:val="00B90972"/>
    <w:rsid w:val="00B91818"/>
    <w:rsid w:val="00B922D6"/>
    <w:rsid w:val="00B92819"/>
    <w:rsid w:val="00B93E18"/>
    <w:rsid w:val="00B93E2C"/>
    <w:rsid w:val="00B94BE5"/>
    <w:rsid w:val="00B95B44"/>
    <w:rsid w:val="00B96069"/>
    <w:rsid w:val="00BA0A76"/>
    <w:rsid w:val="00BA11A9"/>
    <w:rsid w:val="00BA1642"/>
    <w:rsid w:val="00BA30C2"/>
    <w:rsid w:val="00BA31C6"/>
    <w:rsid w:val="00BA4B0A"/>
    <w:rsid w:val="00BA4FE7"/>
    <w:rsid w:val="00BA699B"/>
    <w:rsid w:val="00BA76AB"/>
    <w:rsid w:val="00BB0225"/>
    <w:rsid w:val="00BB0423"/>
    <w:rsid w:val="00BB1D73"/>
    <w:rsid w:val="00BB2CE4"/>
    <w:rsid w:val="00BB2D17"/>
    <w:rsid w:val="00BB2D1B"/>
    <w:rsid w:val="00BB42D2"/>
    <w:rsid w:val="00BB6ECF"/>
    <w:rsid w:val="00BB74B3"/>
    <w:rsid w:val="00BB777A"/>
    <w:rsid w:val="00BC06FE"/>
    <w:rsid w:val="00BC1765"/>
    <w:rsid w:val="00BC1FD6"/>
    <w:rsid w:val="00BC25D7"/>
    <w:rsid w:val="00BC320C"/>
    <w:rsid w:val="00BC4883"/>
    <w:rsid w:val="00BC5454"/>
    <w:rsid w:val="00BC5F7F"/>
    <w:rsid w:val="00BC74EE"/>
    <w:rsid w:val="00BC777E"/>
    <w:rsid w:val="00BD219A"/>
    <w:rsid w:val="00BD2C42"/>
    <w:rsid w:val="00BD2EF9"/>
    <w:rsid w:val="00BD2F1D"/>
    <w:rsid w:val="00BD3997"/>
    <w:rsid w:val="00BD5D7E"/>
    <w:rsid w:val="00BD6EF9"/>
    <w:rsid w:val="00BD754C"/>
    <w:rsid w:val="00BD764C"/>
    <w:rsid w:val="00BD78C6"/>
    <w:rsid w:val="00BE01E1"/>
    <w:rsid w:val="00BE07A5"/>
    <w:rsid w:val="00BE1494"/>
    <w:rsid w:val="00BE15DA"/>
    <w:rsid w:val="00BE19AD"/>
    <w:rsid w:val="00BE369C"/>
    <w:rsid w:val="00BE4117"/>
    <w:rsid w:val="00BE4FBC"/>
    <w:rsid w:val="00BE5B7C"/>
    <w:rsid w:val="00BE6DBE"/>
    <w:rsid w:val="00BE72FD"/>
    <w:rsid w:val="00BE733C"/>
    <w:rsid w:val="00BE73D4"/>
    <w:rsid w:val="00BE7AF2"/>
    <w:rsid w:val="00BF1EF8"/>
    <w:rsid w:val="00BF25A9"/>
    <w:rsid w:val="00BF2DE5"/>
    <w:rsid w:val="00BF4429"/>
    <w:rsid w:val="00BF45DB"/>
    <w:rsid w:val="00BF4C49"/>
    <w:rsid w:val="00BF4D1A"/>
    <w:rsid w:val="00BF5168"/>
    <w:rsid w:val="00BF51C9"/>
    <w:rsid w:val="00BF5A5B"/>
    <w:rsid w:val="00BF6338"/>
    <w:rsid w:val="00BF6D56"/>
    <w:rsid w:val="00BF7EB2"/>
    <w:rsid w:val="00C00D03"/>
    <w:rsid w:val="00C00D9C"/>
    <w:rsid w:val="00C01DFC"/>
    <w:rsid w:val="00C0270E"/>
    <w:rsid w:val="00C0282B"/>
    <w:rsid w:val="00C03262"/>
    <w:rsid w:val="00C047A4"/>
    <w:rsid w:val="00C05013"/>
    <w:rsid w:val="00C067E0"/>
    <w:rsid w:val="00C0773D"/>
    <w:rsid w:val="00C07B99"/>
    <w:rsid w:val="00C1025D"/>
    <w:rsid w:val="00C11733"/>
    <w:rsid w:val="00C12CC1"/>
    <w:rsid w:val="00C12D2D"/>
    <w:rsid w:val="00C12D93"/>
    <w:rsid w:val="00C12EE2"/>
    <w:rsid w:val="00C12EE5"/>
    <w:rsid w:val="00C1324B"/>
    <w:rsid w:val="00C139DE"/>
    <w:rsid w:val="00C13B55"/>
    <w:rsid w:val="00C13CB8"/>
    <w:rsid w:val="00C151CE"/>
    <w:rsid w:val="00C1561B"/>
    <w:rsid w:val="00C15BBB"/>
    <w:rsid w:val="00C16087"/>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614"/>
    <w:rsid w:val="00C33AEC"/>
    <w:rsid w:val="00C357CB"/>
    <w:rsid w:val="00C35C8E"/>
    <w:rsid w:val="00C36B1D"/>
    <w:rsid w:val="00C3742C"/>
    <w:rsid w:val="00C410D2"/>
    <w:rsid w:val="00C41363"/>
    <w:rsid w:val="00C42A78"/>
    <w:rsid w:val="00C437D6"/>
    <w:rsid w:val="00C45C94"/>
    <w:rsid w:val="00C4601D"/>
    <w:rsid w:val="00C46612"/>
    <w:rsid w:val="00C509D2"/>
    <w:rsid w:val="00C518B0"/>
    <w:rsid w:val="00C51CCA"/>
    <w:rsid w:val="00C523ED"/>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EDC"/>
    <w:rsid w:val="00C674F7"/>
    <w:rsid w:val="00C67D05"/>
    <w:rsid w:val="00C714EE"/>
    <w:rsid w:val="00C731E1"/>
    <w:rsid w:val="00C73883"/>
    <w:rsid w:val="00C7443F"/>
    <w:rsid w:val="00C745D7"/>
    <w:rsid w:val="00C7702A"/>
    <w:rsid w:val="00C7732F"/>
    <w:rsid w:val="00C773C8"/>
    <w:rsid w:val="00C80A25"/>
    <w:rsid w:val="00C80E5E"/>
    <w:rsid w:val="00C82930"/>
    <w:rsid w:val="00C82C9E"/>
    <w:rsid w:val="00C841BF"/>
    <w:rsid w:val="00C84F61"/>
    <w:rsid w:val="00C85176"/>
    <w:rsid w:val="00C8531E"/>
    <w:rsid w:val="00C85560"/>
    <w:rsid w:val="00C85A3E"/>
    <w:rsid w:val="00C85A50"/>
    <w:rsid w:val="00C85B6C"/>
    <w:rsid w:val="00C85ECE"/>
    <w:rsid w:val="00C86BFE"/>
    <w:rsid w:val="00C86D8A"/>
    <w:rsid w:val="00C86FF3"/>
    <w:rsid w:val="00C87E2F"/>
    <w:rsid w:val="00C900B0"/>
    <w:rsid w:val="00C9080B"/>
    <w:rsid w:val="00C90EA7"/>
    <w:rsid w:val="00C90EF9"/>
    <w:rsid w:val="00C9146C"/>
    <w:rsid w:val="00C91711"/>
    <w:rsid w:val="00C91A95"/>
    <w:rsid w:val="00C92931"/>
    <w:rsid w:val="00C92949"/>
    <w:rsid w:val="00C9312F"/>
    <w:rsid w:val="00C94499"/>
    <w:rsid w:val="00C9491A"/>
    <w:rsid w:val="00C94BE9"/>
    <w:rsid w:val="00C95DD7"/>
    <w:rsid w:val="00C95ED6"/>
    <w:rsid w:val="00C96BBB"/>
    <w:rsid w:val="00CA04D5"/>
    <w:rsid w:val="00CA1AC8"/>
    <w:rsid w:val="00CA1FB0"/>
    <w:rsid w:val="00CA24D1"/>
    <w:rsid w:val="00CA2AD9"/>
    <w:rsid w:val="00CA39CC"/>
    <w:rsid w:val="00CA3C11"/>
    <w:rsid w:val="00CA403D"/>
    <w:rsid w:val="00CA4743"/>
    <w:rsid w:val="00CA57FE"/>
    <w:rsid w:val="00CA5FF6"/>
    <w:rsid w:val="00CA6F32"/>
    <w:rsid w:val="00CA735E"/>
    <w:rsid w:val="00CB01B1"/>
    <w:rsid w:val="00CB138F"/>
    <w:rsid w:val="00CB13CF"/>
    <w:rsid w:val="00CB13E0"/>
    <w:rsid w:val="00CB1F09"/>
    <w:rsid w:val="00CB2282"/>
    <w:rsid w:val="00CB2F02"/>
    <w:rsid w:val="00CB3D0E"/>
    <w:rsid w:val="00CB44CC"/>
    <w:rsid w:val="00CB4522"/>
    <w:rsid w:val="00CB6DCF"/>
    <w:rsid w:val="00CB76B8"/>
    <w:rsid w:val="00CB7703"/>
    <w:rsid w:val="00CB77EE"/>
    <w:rsid w:val="00CB783B"/>
    <w:rsid w:val="00CB7AE2"/>
    <w:rsid w:val="00CC1C1E"/>
    <w:rsid w:val="00CC2611"/>
    <w:rsid w:val="00CC2803"/>
    <w:rsid w:val="00CC295E"/>
    <w:rsid w:val="00CC48D6"/>
    <w:rsid w:val="00CC4B7F"/>
    <w:rsid w:val="00CC544C"/>
    <w:rsid w:val="00CC559E"/>
    <w:rsid w:val="00CC707F"/>
    <w:rsid w:val="00CC708A"/>
    <w:rsid w:val="00CC79CD"/>
    <w:rsid w:val="00CD0365"/>
    <w:rsid w:val="00CD1447"/>
    <w:rsid w:val="00CD1841"/>
    <w:rsid w:val="00CD1BF1"/>
    <w:rsid w:val="00CD1C46"/>
    <w:rsid w:val="00CD1D2E"/>
    <w:rsid w:val="00CD27CD"/>
    <w:rsid w:val="00CD4BF8"/>
    <w:rsid w:val="00CD52CD"/>
    <w:rsid w:val="00CD652E"/>
    <w:rsid w:val="00CD6828"/>
    <w:rsid w:val="00CD685C"/>
    <w:rsid w:val="00CD68DD"/>
    <w:rsid w:val="00CD7B8B"/>
    <w:rsid w:val="00CE01F8"/>
    <w:rsid w:val="00CE0D43"/>
    <w:rsid w:val="00CE24B9"/>
    <w:rsid w:val="00CE2B04"/>
    <w:rsid w:val="00CE2CA1"/>
    <w:rsid w:val="00CE3E8B"/>
    <w:rsid w:val="00CE47DC"/>
    <w:rsid w:val="00CE4F3D"/>
    <w:rsid w:val="00CE5298"/>
    <w:rsid w:val="00CE5322"/>
    <w:rsid w:val="00CE58EB"/>
    <w:rsid w:val="00CE6939"/>
    <w:rsid w:val="00CE705F"/>
    <w:rsid w:val="00CE745E"/>
    <w:rsid w:val="00CF0041"/>
    <w:rsid w:val="00CF0D4B"/>
    <w:rsid w:val="00CF2605"/>
    <w:rsid w:val="00CF2804"/>
    <w:rsid w:val="00CF35B2"/>
    <w:rsid w:val="00CF36C4"/>
    <w:rsid w:val="00CF38D4"/>
    <w:rsid w:val="00CF5C07"/>
    <w:rsid w:val="00CF5CFC"/>
    <w:rsid w:val="00CF7EF6"/>
    <w:rsid w:val="00D00272"/>
    <w:rsid w:val="00D00AF5"/>
    <w:rsid w:val="00D00BD6"/>
    <w:rsid w:val="00D00E75"/>
    <w:rsid w:val="00D00EE2"/>
    <w:rsid w:val="00D01917"/>
    <w:rsid w:val="00D01EBC"/>
    <w:rsid w:val="00D036AC"/>
    <w:rsid w:val="00D03DE1"/>
    <w:rsid w:val="00D03EDD"/>
    <w:rsid w:val="00D03EEF"/>
    <w:rsid w:val="00D04F08"/>
    <w:rsid w:val="00D050BB"/>
    <w:rsid w:val="00D07010"/>
    <w:rsid w:val="00D07087"/>
    <w:rsid w:val="00D07A1B"/>
    <w:rsid w:val="00D07E2A"/>
    <w:rsid w:val="00D11666"/>
    <w:rsid w:val="00D11D07"/>
    <w:rsid w:val="00D138F2"/>
    <w:rsid w:val="00D1489F"/>
    <w:rsid w:val="00D159F8"/>
    <w:rsid w:val="00D15DD2"/>
    <w:rsid w:val="00D163E4"/>
    <w:rsid w:val="00D16E55"/>
    <w:rsid w:val="00D16ECF"/>
    <w:rsid w:val="00D17564"/>
    <w:rsid w:val="00D17C04"/>
    <w:rsid w:val="00D17CFB"/>
    <w:rsid w:val="00D17E3E"/>
    <w:rsid w:val="00D2046D"/>
    <w:rsid w:val="00D21820"/>
    <w:rsid w:val="00D2255E"/>
    <w:rsid w:val="00D226B9"/>
    <w:rsid w:val="00D23165"/>
    <w:rsid w:val="00D23437"/>
    <w:rsid w:val="00D2372E"/>
    <w:rsid w:val="00D2373E"/>
    <w:rsid w:val="00D239F4"/>
    <w:rsid w:val="00D2459A"/>
    <w:rsid w:val="00D248D9"/>
    <w:rsid w:val="00D24CD7"/>
    <w:rsid w:val="00D25DF4"/>
    <w:rsid w:val="00D27131"/>
    <w:rsid w:val="00D31AD0"/>
    <w:rsid w:val="00D31BBD"/>
    <w:rsid w:val="00D34305"/>
    <w:rsid w:val="00D34E83"/>
    <w:rsid w:val="00D35189"/>
    <w:rsid w:val="00D352D0"/>
    <w:rsid w:val="00D37354"/>
    <w:rsid w:val="00D404B1"/>
    <w:rsid w:val="00D40D69"/>
    <w:rsid w:val="00D4104F"/>
    <w:rsid w:val="00D43988"/>
    <w:rsid w:val="00D4707E"/>
    <w:rsid w:val="00D47238"/>
    <w:rsid w:val="00D4762C"/>
    <w:rsid w:val="00D47867"/>
    <w:rsid w:val="00D47B4E"/>
    <w:rsid w:val="00D47EAF"/>
    <w:rsid w:val="00D50B2A"/>
    <w:rsid w:val="00D51517"/>
    <w:rsid w:val="00D52D4A"/>
    <w:rsid w:val="00D52D7F"/>
    <w:rsid w:val="00D53034"/>
    <w:rsid w:val="00D538B0"/>
    <w:rsid w:val="00D541A8"/>
    <w:rsid w:val="00D55A05"/>
    <w:rsid w:val="00D562A8"/>
    <w:rsid w:val="00D60960"/>
    <w:rsid w:val="00D61A9F"/>
    <w:rsid w:val="00D61EDD"/>
    <w:rsid w:val="00D6211B"/>
    <w:rsid w:val="00D628AF"/>
    <w:rsid w:val="00D6294B"/>
    <w:rsid w:val="00D63F63"/>
    <w:rsid w:val="00D654F8"/>
    <w:rsid w:val="00D66697"/>
    <w:rsid w:val="00D676B3"/>
    <w:rsid w:val="00D6787A"/>
    <w:rsid w:val="00D67ACA"/>
    <w:rsid w:val="00D67F69"/>
    <w:rsid w:val="00D71103"/>
    <w:rsid w:val="00D71213"/>
    <w:rsid w:val="00D713E4"/>
    <w:rsid w:val="00D72FAD"/>
    <w:rsid w:val="00D7314F"/>
    <w:rsid w:val="00D73259"/>
    <w:rsid w:val="00D732D3"/>
    <w:rsid w:val="00D73678"/>
    <w:rsid w:val="00D73AF1"/>
    <w:rsid w:val="00D73E64"/>
    <w:rsid w:val="00D74504"/>
    <w:rsid w:val="00D74639"/>
    <w:rsid w:val="00D74926"/>
    <w:rsid w:val="00D75407"/>
    <w:rsid w:val="00D75449"/>
    <w:rsid w:val="00D7563E"/>
    <w:rsid w:val="00D76E21"/>
    <w:rsid w:val="00D770D5"/>
    <w:rsid w:val="00D809B7"/>
    <w:rsid w:val="00D812A9"/>
    <w:rsid w:val="00D813B0"/>
    <w:rsid w:val="00D8141C"/>
    <w:rsid w:val="00D81A57"/>
    <w:rsid w:val="00D81A98"/>
    <w:rsid w:val="00D8269A"/>
    <w:rsid w:val="00D82962"/>
    <w:rsid w:val="00D82A4C"/>
    <w:rsid w:val="00D830B5"/>
    <w:rsid w:val="00D83A65"/>
    <w:rsid w:val="00D846CF"/>
    <w:rsid w:val="00D84999"/>
    <w:rsid w:val="00D85683"/>
    <w:rsid w:val="00D86D21"/>
    <w:rsid w:val="00D8772B"/>
    <w:rsid w:val="00D9031D"/>
    <w:rsid w:val="00D90824"/>
    <w:rsid w:val="00D90F8A"/>
    <w:rsid w:val="00D91621"/>
    <w:rsid w:val="00D9180B"/>
    <w:rsid w:val="00D925BC"/>
    <w:rsid w:val="00D9323B"/>
    <w:rsid w:val="00D94870"/>
    <w:rsid w:val="00D94EB6"/>
    <w:rsid w:val="00D95111"/>
    <w:rsid w:val="00D954B6"/>
    <w:rsid w:val="00D9553A"/>
    <w:rsid w:val="00D958D2"/>
    <w:rsid w:val="00D95C5C"/>
    <w:rsid w:val="00D96B91"/>
    <w:rsid w:val="00D9740F"/>
    <w:rsid w:val="00D97545"/>
    <w:rsid w:val="00D9787B"/>
    <w:rsid w:val="00D97BA1"/>
    <w:rsid w:val="00DA09FC"/>
    <w:rsid w:val="00DA0A19"/>
    <w:rsid w:val="00DA16AA"/>
    <w:rsid w:val="00DA1DED"/>
    <w:rsid w:val="00DA28A7"/>
    <w:rsid w:val="00DA2BB0"/>
    <w:rsid w:val="00DA2FCA"/>
    <w:rsid w:val="00DA348E"/>
    <w:rsid w:val="00DA373A"/>
    <w:rsid w:val="00DA4A4E"/>
    <w:rsid w:val="00DA59D2"/>
    <w:rsid w:val="00DA5A9C"/>
    <w:rsid w:val="00DA5F60"/>
    <w:rsid w:val="00DA6E9D"/>
    <w:rsid w:val="00DA6FF3"/>
    <w:rsid w:val="00DB0066"/>
    <w:rsid w:val="00DB0F33"/>
    <w:rsid w:val="00DB1595"/>
    <w:rsid w:val="00DB297D"/>
    <w:rsid w:val="00DB2B7E"/>
    <w:rsid w:val="00DB2BA7"/>
    <w:rsid w:val="00DB2F6C"/>
    <w:rsid w:val="00DB345D"/>
    <w:rsid w:val="00DB5719"/>
    <w:rsid w:val="00DB624E"/>
    <w:rsid w:val="00DB65FF"/>
    <w:rsid w:val="00DB7C6B"/>
    <w:rsid w:val="00DC02EA"/>
    <w:rsid w:val="00DC035C"/>
    <w:rsid w:val="00DC1309"/>
    <w:rsid w:val="00DC16F9"/>
    <w:rsid w:val="00DC1CA6"/>
    <w:rsid w:val="00DC20CF"/>
    <w:rsid w:val="00DC28F2"/>
    <w:rsid w:val="00DC3472"/>
    <w:rsid w:val="00DC4B44"/>
    <w:rsid w:val="00DC5C38"/>
    <w:rsid w:val="00DC61A3"/>
    <w:rsid w:val="00DC76E7"/>
    <w:rsid w:val="00DC7E69"/>
    <w:rsid w:val="00DD0467"/>
    <w:rsid w:val="00DD15EF"/>
    <w:rsid w:val="00DD1738"/>
    <w:rsid w:val="00DD190E"/>
    <w:rsid w:val="00DD1F66"/>
    <w:rsid w:val="00DD3316"/>
    <w:rsid w:val="00DD3E02"/>
    <w:rsid w:val="00DD45AF"/>
    <w:rsid w:val="00DD5654"/>
    <w:rsid w:val="00DD5E57"/>
    <w:rsid w:val="00DD60E3"/>
    <w:rsid w:val="00DD66C8"/>
    <w:rsid w:val="00DD680F"/>
    <w:rsid w:val="00DD7F9B"/>
    <w:rsid w:val="00DE1C74"/>
    <w:rsid w:val="00DE1CCF"/>
    <w:rsid w:val="00DE1D7B"/>
    <w:rsid w:val="00DE3385"/>
    <w:rsid w:val="00DE39C4"/>
    <w:rsid w:val="00DE3CA1"/>
    <w:rsid w:val="00DE4007"/>
    <w:rsid w:val="00DE4053"/>
    <w:rsid w:val="00DE4638"/>
    <w:rsid w:val="00DE4651"/>
    <w:rsid w:val="00DE4FEE"/>
    <w:rsid w:val="00DE51C1"/>
    <w:rsid w:val="00DE534A"/>
    <w:rsid w:val="00DE55FD"/>
    <w:rsid w:val="00DE60A8"/>
    <w:rsid w:val="00DE7265"/>
    <w:rsid w:val="00DE7525"/>
    <w:rsid w:val="00DE7C1C"/>
    <w:rsid w:val="00DF0111"/>
    <w:rsid w:val="00DF01E6"/>
    <w:rsid w:val="00DF14DF"/>
    <w:rsid w:val="00DF2247"/>
    <w:rsid w:val="00DF2353"/>
    <w:rsid w:val="00DF29FE"/>
    <w:rsid w:val="00DF3AB2"/>
    <w:rsid w:val="00DF4116"/>
    <w:rsid w:val="00DF5129"/>
    <w:rsid w:val="00DF5784"/>
    <w:rsid w:val="00DF58B8"/>
    <w:rsid w:val="00DF5FF8"/>
    <w:rsid w:val="00DF6EE5"/>
    <w:rsid w:val="00DF7E7E"/>
    <w:rsid w:val="00E0077B"/>
    <w:rsid w:val="00E00898"/>
    <w:rsid w:val="00E01FE9"/>
    <w:rsid w:val="00E03634"/>
    <w:rsid w:val="00E04192"/>
    <w:rsid w:val="00E050B6"/>
    <w:rsid w:val="00E0557E"/>
    <w:rsid w:val="00E05980"/>
    <w:rsid w:val="00E05D14"/>
    <w:rsid w:val="00E0628E"/>
    <w:rsid w:val="00E06460"/>
    <w:rsid w:val="00E073CF"/>
    <w:rsid w:val="00E07997"/>
    <w:rsid w:val="00E07A6A"/>
    <w:rsid w:val="00E07EB8"/>
    <w:rsid w:val="00E107B2"/>
    <w:rsid w:val="00E10EB1"/>
    <w:rsid w:val="00E114CF"/>
    <w:rsid w:val="00E120E4"/>
    <w:rsid w:val="00E13636"/>
    <w:rsid w:val="00E149F4"/>
    <w:rsid w:val="00E14A90"/>
    <w:rsid w:val="00E1684C"/>
    <w:rsid w:val="00E16EF2"/>
    <w:rsid w:val="00E17F53"/>
    <w:rsid w:val="00E20354"/>
    <w:rsid w:val="00E207DB"/>
    <w:rsid w:val="00E20BB5"/>
    <w:rsid w:val="00E21F5A"/>
    <w:rsid w:val="00E221D8"/>
    <w:rsid w:val="00E234F1"/>
    <w:rsid w:val="00E23ACB"/>
    <w:rsid w:val="00E23BDA"/>
    <w:rsid w:val="00E25124"/>
    <w:rsid w:val="00E261F8"/>
    <w:rsid w:val="00E26E25"/>
    <w:rsid w:val="00E27DF3"/>
    <w:rsid w:val="00E30D68"/>
    <w:rsid w:val="00E3110A"/>
    <w:rsid w:val="00E319DC"/>
    <w:rsid w:val="00E324AD"/>
    <w:rsid w:val="00E3342D"/>
    <w:rsid w:val="00E33683"/>
    <w:rsid w:val="00E33734"/>
    <w:rsid w:val="00E33F82"/>
    <w:rsid w:val="00E34AA9"/>
    <w:rsid w:val="00E36A4F"/>
    <w:rsid w:val="00E376C4"/>
    <w:rsid w:val="00E37D5F"/>
    <w:rsid w:val="00E429A0"/>
    <w:rsid w:val="00E42D39"/>
    <w:rsid w:val="00E44CD4"/>
    <w:rsid w:val="00E45B91"/>
    <w:rsid w:val="00E461B6"/>
    <w:rsid w:val="00E46804"/>
    <w:rsid w:val="00E46AD2"/>
    <w:rsid w:val="00E46C57"/>
    <w:rsid w:val="00E5116E"/>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E25"/>
    <w:rsid w:val="00E6272B"/>
    <w:rsid w:val="00E627F6"/>
    <w:rsid w:val="00E62F1A"/>
    <w:rsid w:val="00E63F1D"/>
    <w:rsid w:val="00E646D5"/>
    <w:rsid w:val="00E64BB7"/>
    <w:rsid w:val="00E64EEE"/>
    <w:rsid w:val="00E66F49"/>
    <w:rsid w:val="00E721A9"/>
    <w:rsid w:val="00E73549"/>
    <w:rsid w:val="00E7484F"/>
    <w:rsid w:val="00E74861"/>
    <w:rsid w:val="00E74B50"/>
    <w:rsid w:val="00E74EC9"/>
    <w:rsid w:val="00E75572"/>
    <w:rsid w:val="00E75733"/>
    <w:rsid w:val="00E75895"/>
    <w:rsid w:val="00E75A9D"/>
    <w:rsid w:val="00E75E7E"/>
    <w:rsid w:val="00E77753"/>
    <w:rsid w:val="00E77754"/>
    <w:rsid w:val="00E80CF7"/>
    <w:rsid w:val="00E80FB4"/>
    <w:rsid w:val="00E81B8E"/>
    <w:rsid w:val="00E81ED7"/>
    <w:rsid w:val="00E8369B"/>
    <w:rsid w:val="00E8377F"/>
    <w:rsid w:val="00E83850"/>
    <w:rsid w:val="00E85244"/>
    <w:rsid w:val="00E85A96"/>
    <w:rsid w:val="00E86159"/>
    <w:rsid w:val="00E86741"/>
    <w:rsid w:val="00E87AE4"/>
    <w:rsid w:val="00E90A5A"/>
    <w:rsid w:val="00E90C1F"/>
    <w:rsid w:val="00E9124A"/>
    <w:rsid w:val="00E9222C"/>
    <w:rsid w:val="00E9296D"/>
    <w:rsid w:val="00E92AA5"/>
    <w:rsid w:val="00E94509"/>
    <w:rsid w:val="00E94A0D"/>
    <w:rsid w:val="00E9558B"/>
    <w:rsid w:val="00E95A44"/>
    <w:rsid w:val="00E95D1B"/>
    <w:rsid w:val="00E969A4"/>
    <w:rsid w:val="00E9735C"/>
    <w:rsid w:val="00EA0266"/>
    <w:rsid w:val="00EA234B"/>
    <w:rsid w:val="00EA274B"/>
    <w:rsid w:val="00EA2EFA"/>
    <w:rsid w:val="00EA3184"/>
    <w:rsid w:val="00EA3732"/>
    <w:rsid w:val="00EA3794"/>
    <w:rsid w:val="00EA3CDD"/>
    <w:rsid w:val="00EA4124"/>
    <w:rsid w:val="00EA42EB"/>
    <w:rsid w:val="00EA5028"/>
    <w:rsid w:val="00EA50D6"/>
    <w:rsid w:val="00EA5714"/>
    <w:rsid w:val="00EA5E70"/>
    <w:rsid w:val="00EA60EF"/>
    <w:rsid w:val="00EA6A30"/>
    <w:rsid w:val="00EA6A41"/>
    <w:rsid w:val="00EA7662"/>
    <w:rsid w:val="00EA7CC3"/>
    <w:rsid w:val="00EB016F"/>
    <w:rsid w:val="00EB04F4"/>
    <w:rsid w:val="00EB05E3"/>
    <w:rsid w:val="00EB212C"/>
    <w:rsid w:val="00EB2216"/>
    <w:rsid w:val="00EB27D1"/>
    <w:rsid w:val="00EB33F4"/>
    <w:rsid w:val="00EB3B9C"/>
    <w:rsid w:val="00EB40E0"/>
    <w:rsid w:val="00EB4C04"/>
    <w:rsid w:val="00EB6502"/>
    <w:rsid w:val="00EB7D9C"/>
    <w:rsid w:val="00EC01F0"/>
    <w:rsid w:val="00EC1406"/>
    <w:rsid w:val="00EC1526"/>
    <w:rsid w:val="00EC23F3"/>
    <w:rsid w:val="00EC2677"/>
    <w:rsid w:val="00EC2AB5"/>
    <w:rsid w:val="00EC36F2"/>
    <w:rsid w:val="00EC3EBF"/>
    <w:rsid w:val="00EC4B79"/>
    <w:rsid w:val="00EC4F33"/>
    <w:rsid w:val="00EC53AF"/>
    <w:rsid w:val="00EC7E82"/>
    <w:rsid w:val="00ED0B81"/>
    <w:rsid w:val="00ED19B3"/>
    <w:rsid w:val="00ED1A64"/>
    <w:rsid w:val="00ED28DD"/>
    <w:rsid w:val="00ED421C"/>
    <w:rsid w:val="00ED43A6"/>
    <w:rsid w:val="00ED4E89"/>
    <w:rsid w:val="00ED502A"/>
    <w:rsid w:val="00ED69B3"/>
    <w:rsid w:val="00ED6AF3"/>
    <w:rsid w:val="00ED6FB9"/>
    <w:rsid w:val="00ED7371"/>
    <w:rsid w:val="00ED7E2F"/>
    <w:rsid w:val="00ED7EA8"/>
    <w:rsid w:val="00EE1162"/>
    <w:rsid w:val="00EE1313"/>
    <w:rsid w:val="00EE1F37"/>
    <w:rsid w:val="00EE2126"/>
    <w:rsid w:val="00EE3363"/>
    <w:rsid w:val="00EE3725"/>
    <w:rsid w:val="00EE3F3C"/>
    <w:rsid w:val="00EE4C04"/>
    <w:rsid w:val="00EE4C7E"/>
    <w:rsid w:val="00EE556D"/>
    <w:rsid w:val="00EE60A2"/>
    <w:rsid w:val="00EE6184"/>
    <w:rsid w:val="00EE679C"/>
    <w:rsid w:val="00EE686B"/>
    <w:rsid w:val="00EE74C0"/>
    <w:rsid w:val="00EE7596"/>
    <w:rsid w:val="00EE7A2C"/>
    <w:rsid w:val="00EF06D3"/>
    <w:rsid w:val="00EF09D3"/>
    <w:rsid w:val="00EF108A"/>
    <w:rsid w:val="00EF1240"/>
    <w:rsid w:val="00EF19EF"/>
    <w:rsid w:val="00EF1F75"/>
    <w:rsid w:val="00EF2240"/>
    <w:rsid w:val="00EF297A"/>
    <w:rsid w:val="00EF3069"/>
    <w:rsid w:val="00EF31A5"/>
    <w:rsid w:val="00EF3742"/>
    <w:rsid w:val="00EF3EB5"/>
    <w:rsid w:val="00EF57B9"/>
    <w:rsid w:val="00EF57DF"/>
    <w:rsid w:val="00EF632B"/>
    <w:rsid w:val="00EF6556"/>
    <w:rsid w:val="00EF689A"/>
    <w:rsid w:val="00F02BAD"/>
    <w:rsid w:val="00F0319D"/>
    <w:rsid w:val="00F07890"/>
    <w:rsid w:val="00F07A4C"/>
    <w:rsid w:val="00F07B03"/>
    <w:rsid w:val="00F115A2"/>
    <w:rsid w:val="00F11635"/>
    <w:rsid w:val="00F11928"/>
    <w:rsid w:val="00F12D86"/>
    <w:rsid w:val="00F131AA"/>
    <w:rsid w:val="00F131FD"/>
    <w:rsid w:val="00F1350B"/>
    <w:rsid w:val="00F13B05"/>
    <w:rsid w:val="00F13B5A"/>
    <w:rsid w:val="00F13EED"/>
    <w:rsid w:val="00F15AF2"/>
    <w:rsid w:val="00F21290"/>
    <w:rsid w:val="00F2299F"/>
    <w:rsid w:val="00F231F0"/>
    <w:rsid w:val="00F24787"/>
    <w:rsid w:val="00F25311"/>
    <w:rsid w:val="00F259A5"/>
    <w:rsid w:val="00F263E5"/>
    <w:rsid w:val="00F301E0"/>
    <w:rsid w:val="00F307CC"/>
    <w:rsid w:val="00F30BBA"/>
    <w:rsid w:val="00F31630"/>
    <w:rsid w:val="00F31A8F"/>
    <w:rsid w:val="00F320C0"/>
    <w:rsid w:val="00F32D63"/>
    <w:rsid w:val="00F33C8D"/>
    <w:rsid w:val="00F34012"/>
    <w:rsid w:val="00F343A3"/>
    <w:rsid w:val="00F34C99"/>
    <w:rsid w:val="00F3531A"/>
    <w:rsid w:val="00F353E8"/>
    <w:rsid w:val="00F35AB2"/>
    <w:rsid w:val="00F400FB"/>
    <w:rsid w:val="00F41DB0"/>
    <w:rsid w:val="00F43631"/>
    <w:rsid w:val="00F43947"/>
    <w:rsid w:val="00F439BB"/>
    <w:rsid w:val="00F43CEB"/>
    <w:rsid w:val="00F449D7"/>
    <w:rsid w:val="00F460C4"/>
    <w:rsid w:val="00F461AE"/>
    <w:rsid w:val="00F467F9"/>
    <w:rsid w:val="00F47426"/>
    <w:rsid w:val="00F50D6C"/>
    <w:rsid w:val="00F5184D"/>
    <w:rsid w:val="00F51B88"/>
    <w:rsid w:val="00F51CB2"/>
    <w:rsid w:val="00F534D3"/>
    <w:rsid w:val="00F5421D"/>
    <w:rsid w:val="00F55022"/>
    <w:rsid w:val="00F55184"/>
    <w:rsid w:val="00F5704A"/>
    <w:rsid w:val="00F60DF3"/>
    <w:rsid w:val="00F62057"/>
    <w:rsid w:val="00F6259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1A48"/>
    <w:rsid w:val="00F82021"/>
    <w:rsid w:val="00F82080"/>
    <w:rsid w:val="00F82A7B"/>
    <w:rsid w:val="00F8476C"/>
    <w:rsid w:val="00F850A1"/>
    <w:rsid w:val="00F85CBD"/>
    <w:rsid w:val="00F87810"/>
    <w:rsid w:val="00F905B8"/>
    <w:rsid w:val="00F91164"/>
    <w:rsid w:val="00F91292"/>
    <w:rsid w:val="00F9190B"/>
    <w:rsid w:val="00F91D47"/>
    <w:rsid w:val="00F92B0F"/>
    <w:rsid w:val="00F9354E"/>
    <w:rsid w:val="00F941FC"/>
    <w:rsid w:val="00F9464C"/>
    <w:rsid w:val="00F96D24"/>
    <w:rsid w:val="00F97093"/>
    <w:rsid w:val="00F97FF3"/>
    <w:rsid w:val="00FA0091"/>
    <w:rsid w:val="00FA0437"/>
    <w:rsid w:val="00FA1AA9"/>
    <w:rsid w:val="00FA2C8B"/>
    <w:rsid w:val="00FA3E0C"/>
    <w:rsid w:val="00FA4DBA"/>
    <w:rsid w:val="00FA4F73"/>
    <w:rsid w:val="00FA4FBA"/>
    <w:rsid w:val="00FA5580"/>
    <w:rsid w:val="00FA655A"/>
    <w:rsid w:val="00FA69C3"/>
    <w:rsid w:val="00FA6AAC"/>
    <w:rsid w:val="00FA6CBC"/>
    <w:rsid w:val="00FA6D48"/>
    <w:rsid w:val="00FA7027"/>
    <w:rsid w:val="00FA7775"/>
    <w:rsid w:val="00FA7EC0"/>
    <w:rsid w:val="00FB1729"/>
    <w:rsid w:val="00FB30A2"/>
    <w:rsid w:val="00FB4993"/>
    <w:rsid w:val="00FC072E"/>
    <w:rsid w:val="00FC1364"/>
    <w:rsid w:val="00FC1A1E"/>
    <w:rsid w:val="00FC4323"/>
    <w:rsid w:val="00FC51AE"/>
    <w:rsid w:val="00FC550A"/>
    <w:rsid w:val="00FC551E"/>
    <w:rsid w:val="00FC5790"/>
    <w:rsid w:val="00FC6275"/>
    <w:rsid w:val="00FC62C4"/>
    <w:rsid w:val="00FD039F"/>
    <w:rsid w:val="00FD053B"/>
    <w:rsid w:val="00FD0910"/>
    <w:rsid w:val="00FD0A92"/>
    <w:rsid w:val="00FD0AF0"/>
    <w:rsid w:val="00FD1234"/>
    <w:rsid w:val="00FD18F3"/>
    <w:rsid w:val="00FD194F"/>
    <w:rsid w:val="00FD1995"/>
    <w:rsid w:val="00FD2333"/>
    <w:rsid w:val="00FD25E1"/>
    <w:rsid w:val="00FD4A75"/>
    <w:rsid w:val="00FD54E6"/>
    <w:rsid w:val="00FD5688"/>
    <w:rsid w:val="00FD5725"/>
    <w:rsid w:val="00FD5E1C"/>
    <w:rsid w:val="00FD5F36"/>
    <w:rsid w:val="00FD6624"/>
    <w:rsid w:val="00FD7F6B"/>
    <w:rsid w:val="00FE0948"/>
    <w:rsid w:val="00FE1880"/>
    <w:rsid w:val="00FE27F6"/>
    <w:rsid w:val="00FE3256"/>
    <w:rsid w:val="00FE3F8E"/>
    <w:rsid w:val="00FE445D"/>
    <w:rsid w:val="00FE47ED"/>
    <w:rsid w:val="00FE5101"/>
    <w:rsid w:val="00FE61DC"/>
    <w:rsid w:val="00FE67D0"/>
    <w:rsid w:val="00FE689B"/>
    <w:rsid w:val="00FE7081"/>
    <w:rsid w:val="00FE79CE"/>
    <w:rsid w:val="00FF06FA"/>
    <w:rsid w:val="00FF081E"/>
    <w:rsid w:val="00FF145C"/>
    <w:rsid w:val="00FF2249"/>
    <w:rsid w:val="00FF26EE"/>
    <w:rsid w:val="00FF28EC"/>
    <w:rsid w:val="00FF47A3"/>
    <w:rsid w:val="00FF4B3F"/>
    <w:rsid w:val="00FF4B43"/>
    <w:rsid w:val="00FF574F"/>
    <w:rsid w:val="010A4945"/>
    <w:rsid w:val="011E42FB"/>
    <w:rsid w:val="012146C6"/>
    <w:rsid w:val="0146655A"/>
    <w:rsid w:val="015223D4"/>
    <w:rsid w:val="016C0FA1"/>
    <w:rsid w:val="017442FA"/>
    <w:rsid w:val="017E579D"/>
    <w:rsid w:val="01816E25"/>
    <w:rsid w:val="01AC264C"/>
    <w:rsid w:val="01B06F91"/>
    <w:rsid w:val="01B54B2B"/>
    <w:rsid w:val="01C911A4"/>
    <w:rsid w:val="02777BFD"/>
    <w:rsid w:val="02DC78BE"/>
    <w:rsid w:val="02FA082F"/>
    <w:rsid w:val="0332621A"/>
    <w:rsid w:val="0575419C"/>
    <w:rsid w:val="05821997"/>
    <w:rsid w:val="05A515FE"/>
    <w:rsid w:val="05B81536"/>
    <w:rsid w:val="05D9297D"/>
    <w:rsid w:val="05FF6A84"/>
    <w:rsid w:val="066418D7"/>
    <w:rsid w:val="06A116ED"/>
    <w:rsid w:val="07783D1B"/>
    <w:rsid w:val="07A95418"/>
    <w:rsid w:val="08435AFA"/>
    <w:rsid w:val="089B02FF"/>
    <w:rsid w:val="090C7C1B"/>
    <w:rsid w:val="091F73DA"/>
    <w:rsid w:val="096B5FE2"/>
    <w:rsid w:val="099948FD"/>
    <w:rsid w:val="0A694FA2"/>
    <w:rsid w:val="0A9D21CB"/>
    <w:rsid w:val="0AD025A1"/>
    <w:rsid w:val="0B2D26FD"/>
    <w:rsid w:val="0B6D5629"/>
    <w:rsid w:val="0C0B527D"/>
    <w:rsid w:val="0C3F316D"/>
    <w:rsid w:val="0C4A0131"/>
    <w:rsid w:val="0C4C5587"/>
    <w:rsid w:val="0CA05B8A"/>
    <w:rsid w:val="0D2C7836"/>
    <w:rsid w:val="0D3F3A0E"/>
    <w:rsid w:val="0E5A3B85"/>
    <w:rsid w:val="0E614961"/>
    <w:rsid w:val="0E6B25E0"/>
    <w:rsid w:val="0E6E6F80"/>
    <w:rsid w:val="0E947D89"/>
    <w:rsid w:val="0EDF5A29"/>
    <w:rsid w:val="0EED42DD"/>
    <w:rsid w:val="0F2B7FAC"/>
    <w:rsid w:val="0F3375A2"/>
    <w:rsid w:val="0F865924"/>
    <w:rsid w:val="0FCB5944"/>
    <w:rsid w:val="0FF94323"/>
    <w:rsid w:val="102313C5"/>
    <w:rsid w:val="107C42FA"/>
    <w:rsid w:val="108D4A90"/>
    <w:rsid w:val="10D206F5"/>
    <w:rsid w:val="11906ABF"/>
    <w:rsid w:val="119B16E0"/>
    <w:rsid w:val="11F8062F"/>
    <w:rsid w:val="12274A70"/>
    <w:rsid w:val="124B25C4"/>
    <w:rsid w:val="12802AFE"/>
    <w:rsid w:val="12E070F9"/>
    <w:rsid w:val="130B4CCD"/>
    <w:rsid w:val="13166FBF"/>
    <w:rsid w:val="13734411"/>
    <w:rsid w:val="139B3968"/>
    <w:rsid w:val="13A46379"/>
    <w:rsid w:val="142C10D4"/>
    <w:rsid w:val="14883EEC"/>
    <w:rsid w:val="14956609"/>
    <w:rsid w:val="14E76E65"/>
    <w:rsid w:val="15681628"/>
    <w:rsid w:val="157F52EF"/>
    <w:rsid w:val="15973498"/>
    <w:rsid w:val="15973CBB"/>
    <w:rsid w:val="15D60C87"/>
    <w:rsid w:val="15FA2CEF"/>
    <w:rsid w:val="161A1EE6"/>
    <w:rsid w:val="16922E00"/>
    <w:rsid w:val="16BE1744"/>
    <w:rsid w:val="16D72F09"/>
    <w:rsid w:val="1752433D"/>
    <w:rsid w:val="17B9616B"/>
    <w:rsid w:val="17D93D45"/>
    <w:rsid w:val="17E94CA2"/>
    <w:rsid w:val="17FF3F07"/>
    <w:rsid w:val="18573E52"/>
    <w:rsid w:val="18661FE2"/>
    <w:rsid w:val="18B12304"/>
    <w:rsid w:val="18CA16E8"/>
    <w:rsid w:val="18EA56F8"/>
    <w:rsid w:val="190E2F28"/>
    <w:rsid w:val="197E58BE"/>
    <w:rsid w:val="198E1224"/>
    <w:rsid w:val="19B45886"/>
    <w:rsid w:val="1A8D5260"/>
    <w:rsid w:val="1A8E14B4"/>
    <w:rsid w:val="1B325F2A"/>
    <w:rsid w:val="1BD242F9"/>
    <w:rsid w:val="1C603069"/>
    <w:rsid w:val="1C8C02F2"/>
    <w:rsid w:val="1CA13D9D"/>
    <w:rsid w:val="1CB56BBA"/>
    <w:rsid w:val="1D2B3667"/>
    <w:rsid w:val="1D2D5631"/>
    <w:rsid w:val="1D4D0079"/>
    <w:rsid w:val="1D6F5C49"/>
    <w:rsid w:val="1DA358F3"/>
    <w:rsid w:val="1DFC3255"/>
    <w:rsid w:val="1E193E07"/>
    <w:rsid w:val="1E1D493C"/>
    <w:rsid w:val="1F78690B"/>
    <w:rsid w:val="1FBE4C66"/>
    <w:rsid w:val="203912F4"/>
    <w:rsid w:val="219A1B7F"/>
    <w:rsid w:val="21FE759C"/>
    <w:rsid w:val="23AA6A32"/>
    <w:rsid w:val="23C84E42"/>
    <w:rsid w:val="24134CA3"/>
    <w:rsid w:val="251267D8"/>
    <w:rsid w:val="25395A73"/>
    <w:rsid w:val="25D868AC"/>
    <w:rsid w:val="25F11338"/>
    <w:rsid w:val="26061115"/>
    <w:rsid w:val="261F3F85"/>
    <w:rsid w:val="262D4A7B"/>
    <w:rsid w:val="267B1E34"/>
    <w:rsid w:val="26926505"/>
    <w:rsid w:val="2733779C"/>
    <w:rsid w:val="275B2D9A"/>
    <w:rsid w:val="27E419C2"/>
    <w:rsid w:val="28184E76"/>
    <w:rsid w:val="287D5B19"/>
    <w:rsid w:val="28C7187B"/>
    <w:rsid w:val="28D977E3"/>
    <w:rsid w:val="28F416F8"/>
    <w:rsid w:val="29050F8C"/>
    <w:rsid w:val="294C6E3F"/>
    <w:rsid w:val="299627B0"/>
    <w:rsid w:val="2A4218C2"/>
    <w:rsid w:val="2A426494"/>
    <w:rsid w:val="2AF459E0"/>
    <w:rsid w:val="2B033371"/>
    <w:rsid w:val="2B2F595A"/>
    <w:rsid w:val="2B8459F3"/>
    <w:rsid w:val="2C240F34"/>
    <w:rsid w:val="2C33223E"/>
    <w:rsid w:val="2C64115C"/>
    <w:rsid w:val="2D0B54A3"/>
    <w:rsid w:val="2D230138"/>
    <w:rsid w:val="2D8A111D"/>
    <w:rsid w:val="2D945258"/>
    <w:rsid w:val="2DB63420"/>
    <w:rsid w:val="2E25414D"/>
    <w:rsid w:val="2E8452CD"/>
    <w:rsid w:val="2ECB4CA9"/>
    <w:rsid w:val="2EE54B18"/>
    <w:rsid w:val="2F0B39FA"/>
    <w:rsid w:val="2F634EE2"/>
    <w:rsid w:val="2F7455DA"/>
    <w:rsid w:val="2F974B8C"/>
    <w:rsid w:val="2F984DAB"/>
    <w:rsid w:val="2FC02468"/>
    <w:rsid w:val="300801AF"/>
    <w:rsid w:val="301365FF"/>
    <w:rsid w:val="305B1986"/>
    <w:rsid w:val="3063463F"/>
    <w:rsid w:val="30662EDC"/>
    <w:rsid w:val="30A6777C"/>
    <w:rsid w:val="30D34570"/>
    <w:rsid w:val="31682C84"/>
    <w:rsid w:val="31FC33CC"/>
    <w:rsid w:val="320D3A71"/>
    <w:rsid w:val="324B16F5"/>
    <w:rsid w:val="32551902"/>
    <w:rsid w:val="326F3519"/>
    <w:rsid w:val="32C263C3"/>
    <w:rsid w:val="32E31C0C"/>
    <w:rsid w:val="33B67A9F"/>
    <w:rsid w:val="33D91C17"/>
    <w:rsid w:val="33E365F1"/>
    <w:rsid w:val="33E804BF"/>
    <w:rsid w:val="344F350B"/>
    <w:rsid w:val="34DA3E98"/>
    <w:rsid w:val="34E60A39"/>
    <w:rsid w:val="34FC3E0F"/>
    <w:rsid w:val="356E76B1"/>
    <w:rsid w:val="3578720D"/>
    <w:rsid w:val="37052D23"/>
    <w:rsid w:val="37515F68"/>
    <w:rsid w:val="37D41C80"/>
    <w:rsid w:val="37D50947"/>
    <w:rsid w:val="37DA1EBD"/>
    <w:rsid w:val="386341A5"/>
    <w:rsid w:val="389E0976"/>
    <w:rsid w:val="38B34F5D"/>
    <w:rsid w:val="38EF3C8A"/>
    <w:rsid w:val="390037A2"/>
    <w:rsid w:val="39691347"/>
    <w:rsid w:val="39BF19FF"/>
    <w:rsid w:val="39D76BF8"/>
    <w:rsid w:val="39F913A9"/>
    <w:rsid w:val="3A397A96"/>
    <w:rsid w:val="3A414072"/>
    <w:rsid w:val="3A726921"/>
    <w:rsid w:val="3A844811"/>
    <w:rsid w:val="3AE27156"/>
    <w:rsid w:val="3AEE470F"/>
    <w:rsid w:val="3B5129DA"/>
    <w:rsid w:val="3B9F52CB"/>
    <w:rsid w:val="3BFD221A"/>
    <w:rsid w:val="3C6121D8"/>
    <w:rsid w:val="3C6D55F2"/>
    <w:rsid w:val="3CC3151E"/>
    <w:rsid w:val="3CDF3135"/>
    <w:rsid w:val="3F9C54CF"/>
    <w:rsid w:val="3FB269C3"/>
    <w:rsid w:val="3FBA3465"/>
    <w:rsid w:val="406A5EC0"/>
    <w:rsid w:val="40EF4827"/>
    <w:rsid w:val="40F1057F"/>
    <w:rsid w:val="410061AC"/>
    <w:rsid w:val="41193EE6"/>
    <w:rsid w:val="41571D6E"/>
    <w:rsid w:val="41574607"/>
    <w:rsid w:val="4162149D"/>
    <w:rsid w:val="420C58CB"/>
    <w:rsid w:val="423637BF"/>
    <w:rsid w:val="423F5E22"/>
    <w:rsid w:val="42843695"/>
    <w:rsid w:val="43510826"/>
    <w:rsid w:val="43A20A43"/>
    <w:rsid w:val="44102897"/>
    <w:rsid w:val="446A710E"/>
    <w:rsid w:val="44974855"/>
    <w:rsid w:val="45241FB6"/>
    <w:rsid w:val="45780A86"/>
    <w:rsid w:val="45945BCE"/>
    <w:rsid w:val="45A3736F"/>
    <w:rsid w:val="45B55914"/>
    <w:rsid w:val="45EF32B4"/>
    <w:rsid w:val="461B60BF"/>
    <w:rsid w:val="46357180"/>
    <w:rsid w:val="474F4272"/>
    <w:rsid w:val="47DA4083"/>
    <w:rsid w:val="47EA5D49"/>
    <w:rsid w:val="48516729"/>
    <w:rsid w:val="48D43EA7"/>
    <w:rsid w:val="48F012A7"/>
    <w:rsid w:val="49FB248F"/>
    <w:rsid w:val="49FB336A"/>
    <w:rsid w:val="4A2319E6"/>
    <w:rsid w:val="4A5C7322"/>
    <w:rsid w:val="4AB10DA0"/>
    <w:rsid w:val="4AFD1FCE"/>
    <w:rsid w:val="4B4E7EC4"/>
    <w:rsid w:val="4BBB3BFB"/>
    <w:rsid w:val="4BF03461"/>
    <w:rsid w:val="4C0008DC"/>
    <w:rsid w:val="4C5531E4"/>
    <w:rsid w:val="4C607D99"/>
    <w:rsid w:val="4D3857A8"/>
    <w:rsid w:val="4D604418"/>
    <w:rsid w:val="4DAD0863"/>
    <w:rsid w:val="4DB30006"/>
    <w:rsid w:val="4E352C84"/>
    <w:rsid w:val="4E830CA5"/>
    <w:rsid w:val="4FEC07C0"/>
    <w:rsid w:val="503D0814"/>
    <w:rsid w:val="50962F12"/>
    <w:rsid w:val="50CA4969"/>
    <w:rsid w:val="514F4E6E"/>
    <w:rsid w:val="51896FCD"/>
    <w:rsid w:val="52592449"/>
    <w:rsid w:val="525C0F0C"/>
    <w:rsid w:val="52FE4D9E"/>
    <w:rsid w:val="53344EC1"/>
    <w:rsid w:val="5382777D"/>
    <w:rsid w:val="53913A4D"/>
    <w:rsid w:val="53B57275"/>
    <w:rsid w:val="53DC50DF"/>
    <w:rsid w:val="546D3EF1"/>
    <w:rsid w:val="548923B7"/>
    <w:rsid w:val="549952E8"/>
    <w:rsid w:val="54D8431C"/>
    <w:rsid w:val="55124B31"/>
    <w:rsid w:val="558E2DF0"/>
    <w:rsid w:val="55EB1088"/>
    <w:rsid w:val="55F04DAA"/>
    <w:rsid w:val="56505911"/>
    <w:rsid w:val="569B4B2C"/>
    <w:rsid w:val="56D7652A"/>
    <w:rsid w:val="57541431"/>
    <w:rsid w:val="579B0E0D"/>
    <w:rsid w:val="57C40364"/>
    <w:rsid w:val="58156E12"/>
    <w:rsid w:val="58236A15"/>
    <w:rsid w:val="58321EC6"/>
    <w:rsid w:val="5847689F"/>
    <w:rsid w:val="585C67EF"/>
    <w:rsid w:val="586757C9"/>
    <w:rsid w:val="5952757D"/>
    <w:rsid w:val="5954396A"/>
    <w:rsid w:val="59883613"/>
    <w:rsid w:val="59963017"/>
    <w:rsid w:val="59A338CA"/>
    <w:rsid w:val="59B04904"/>
    <w:rsid w:val="5A1A070F"/>
    <w:rsid w:val="5A687090"/>
    <w:rsid w:val="5AE4089D"/>
    <w:rsid w:val="5AE64A95"/>
    <w:rsid w:val="5B144CC5"/>
    <w:rsid w:val="5B63290A"/>
    <w:rsid w:val="5B841BB9"/>
    <w:rsid w:val="5BC36B85"/>
    <w:rsid w:val="5BE2700B"/>
    <w:rsid w:val="5BF925A6"/>
    <w:rsid w:val="5C463CBF"/>
    <w:rsid w:val="5D652999"/>
    <w:rsid w:val="5D885990"/>
    <w:rsid w:val="5DF16A96"/>
    <w:rsid w:val="5E231BA8"/>
    <w:rsid w:val="5E643D94"/>
    <w:rsid w:val="5EA54320"/>
    <w:rsid w:val="5EE71003"/>
    <w:rsid w:val="5EEC4F2C"/>
    <w:rsid w:val="5F954394"/>
    <w:rsid w:val="60196D73"/>
    <w:rsid w:val="60457EC2"/>
    <w:rsid w:val="604D7180"/>
    <w:rsid w:val="6051475F"/>
    <w:rsid w:val="60A32AE1"/>
    <w:rsid w:val="60A568ED"/>
    <w:rsid w:val="60AF410C"/>
    <w:rsid w:val="60EE0200"/>
    <w:rsid w:val="612A4897"/>
    <w:rsid w:val="62141EE8"/>
    <w:rsid w:val="62145A44"/>
    <w:rsid w:val="62A25BF3"/>
    <w:rsid w:val="63015B9D"/>
    <w:rsid w:val="63A05B93"/>
    <w:rsid w:val="63B05C41"/>
    <w:rsid w:val="64523CDD"/>
    <w:rsid w:val="648A46E4"/>
    <w:rsid w:val="65143FAD"/>
    <w:rsid w:val="65A277EC"/>
    <w:rsid w:val="65B05485"/>
    <w:rsid w:val="664375E8"/>
    <w:rsid w:val="666B09B5"/>
    <w:rsid w:val="667D5860"/>
    <w:rsid w:val="66885224"/>
    <w:rsid w:val="6706628E"/>
    <w:rsid w:val="6769551A"/>
    <w:rsid w:val="67915D89"/>
    <w:rsid w:val="68D30AA0"/>
    <w:rsid w:val="68D357B0"/>
    <w:rsid w:val="695A1090"/>
    <w:rsid w:val="696A086B"/>
    <w:rsid w:val="69D4537F"/>
    <w:rsid w:val="6A944F86"/>
    <w:rsid w:val="6A9E20CB"/>
    <w:rsid w:val="6AEA2ED6"/>
    <w:rsid w:val="6B1E7934"/>
    <w:rsid w:val="6C942417"/>
    <w:rsid w:val="6CB16A9A"/>
    <w:rsid w:val="6CB24F51"/>
    <w:rsid w:val="6CC05D86"/>
    <w:rsid w:val="6D0325B4"/>
    <w:rsid w:val="6E8506AC"/>
    <w:rsid w:val="6EAE0FCF"/>
    <w:rsid w:val="6EC85676"/>
    <w:rsid w:val="6F827F9F"/>
    <w:rsid w:val="6F9C52CB"/>
    <w:rsid w:val="700C517E"/>
    <w:rsid w:val="702A6D7B"/>
    <w:rsid w:val="70843425"/>
    <w:rsid w:val="710140E2"/>
    <w:rsid w:val="718D136F"/>
    <w:rsid w:val="71F80EDE"/>
    <w:rsid w:val="721D6B97"/>
    <w:rsid w:val="722241AD"/>
    <w:rsid w:val="724834E8"/>
    <w:rsid w:val="728B1D53"/>
    <w:rsid w:val="72C03824"/>
    <w:rsid w:val="72CA13AB"/>
    <w:rsid w:val="72EB27F1"/>
    <w:rsid w:val="73393A7E"/>
    <w:rsid w:val="73640D26"/>
    <w:rsid w:val="741E4A5C"/>
    <w:rsid w:val="741F6D98"/>
    <w:rsid w:val="74AE334D"/>
    <w:rsid w:val="75181898"/>
    <w:rsid w:val="755A3C5E"/>
    <w:rsid w:val="76091A83"/>
    <w:rsid w:val="764D5571"/>
    <w:rsid w:val="76D10E3F"/>
    <w:rsid w:val="771F6F0D"/>
    <w:rsid w:val="772C3192"/>
    <w:rsid w:val="7733288D"/>
    <w:rsid w:val="775C3CBE"/>
    <w:rsid w:val="77784870"/>
    <w:rsid w:val="77901832"/>
    <w:rsid w:val="77A17922"/>
    <w:rsid w:val="77C15F74"/>
    <w:rsid w:val="77E471E7"/>
    <w:rsid w:val="78224D6B"/>
    <w:rsid w:val="784840CF"/>
    <w:rsid w:val="786B73C0"/>
    <w:rsid w:val="78991D6F"/>
    <w:rsid w:val="78EC1071"/>
    <w:rsid w:val="7999241F"/>
    <w:rsid w:val="79BF22E2"/>
    <w:rsid w:val="7A6F205A"/>
    <w:rsid w:val="7A9B44EE"/>
    <w:rsid w:val="7B0F7299"/>
    <w:rsid w:val="7C3E7E36"/>
    <w:rsid w:val="7C6333F8"/>
    <w:rsid w:val="7C903549"/>
    <w:rsid w:val="7CCF418F"/>
    <w:rsid w:val="7D0B4B8D"/>
    <w:rsid w:val="7D2C7C8E"/>
    <w:rsid w:val="7D537911"/>
    <w:rsid w:val="7D6B3D60"/>
    <w:rsid w:val="7D7747F2"/>
    <w:rsid w:val="7DB23C95"/>
    <w:rsid w:val="7E461224"/>
    <w:rsid w:val="7EC24C6A"/>
    <w:rsid w:val="7EF57DD4"/>
    <w:rsid w:val="7F586D6B"/>
    <w:rsid w:val="7F8873BD"/>
    <w:rsid w:val="7F9E730E"/>
    <w:rsid w:val="7FCC75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iPriority="99" w:semiHidden="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5"/>
    <w:next w:val="1"/>
    <w:link w:val="56"/>
    <w:autoRedefine/>
    <w:qFormat/>
    <w:uiPriority w:val="0"/>
    <w:pPr>
      <w:spacing w:before="340" w:after="330" w:line="360" w:lineRule="auto"/>
      <w:jc w:val="center"/>
      <w:outlineLvl w:val="0"/>
    </w:pPr>
    <w:rPr>
      <w:rFonts w:eastAsia="黑体"/>
      <w:kern w:val="44"/>
      <w:szCs w:val="44"/>
    </w:rPr>
  </w:style>
  <w:style w:type="paragraph" w:styleId="7">
    <w:name w:val="heading 2"/>
    <w:basedOn w:val="5"/>
    <w:next w:val="6"/>
    <w:link w:val="55"/>
    <w:autoRedefine/>
    <w:qFormat/>
    <w:uiPriority w:val="0"/>
    <w:pPr>
      <w:adjustRightInd w:val="0"/>
      <w:jc w:val="center"/>
      <w:textAlignment w:val="baseline"/>
      <w:outlineLvl w:val="1"/>
    </w:pPr>
    <w:rPr>
      <w:kern w:val="0"/>
      <w:sz w:val="24"/>
      <w:szCs w:val="20"/>
    </w:rPr>
  </w:style>
  <w:style w:type="paragraph" w:styleId="5">
    <w:name w:val="heading 3"/>
    <w:basedOn w:val="6"/>
    <w:next w:val="1"/>
    <w:link w:val="57"/>
    <w:autoRedefine/>
    <w:qFormat/>
    <w:uiPriority w:val="9"/>
    <w:pPr>
      <w:spacing w:before="260" w:after="260" w:line="240" w:lineRule="auto"/>
      <w:outlineLvl w:val="2"/>
    </w:pPr>
    <w:rPr>
      <w:rFonts w:ascii="宋体" w:hAnsi="宋体" w:eastAsia="宋体"/>
      <w:szCs w:val="32"/>
    </w:rPr>
  </w:style>
  <w:style w:type="paragraph" w:styleId="6">
    <w:name w:val="heading 4"/>
    <w:basedOn w:val="1"/>
    <w:next w:val="1"/>
    <w:link w:val="59"/>
    <w:autoRedefine/>
    <w:qFormat/>
    <w:uiPriority w:val="9"/>
    <w:pPr>
      <w:keepNext/>
      <w:keepLines/>
      <w:spacing w:before="280" w:after="290" w:line="376" w:lineRule="auto"/>
      <w:outlineLvl w:val="3"/>
    </w:pPr>
    <w:rPr>
      <w:rFonts w:ascii="Arial" w:hAnsi="Arial" w:eastAsia="黑体"/>
      <w:b/>
      <w:bCs/>
      <w:sz w:val="28"/>
      <w:szCs w:val="28"/>
    </w:rPr>
  </w:style>
  <w:style w:type="paragraph" w:styleId="8">
    <w:name w:val="heading 5"/>
    <w:basedOn w:val="1"/>
    <w:next w:val="9"/>
    <w:link w:val="82"/>
    <w:autoRedefine/>
    <w:qFormat/>
    <w:uiPriority w:val="0"/>
    <w:pPr>
      <w:keepNext/>
      <w:keepLines/>
      <w:spacing w:before="280" w:after="290" w:line="376" w:lineRule="auto"/>
      <w:outlineLvl w:val="4"/>
    </w:pPr>
    <w:rPr>
      <w:b/>
      <w:sz w:val="28"/>
      <w:szCs w:val="20"/>
    </w:rPr>
  </w:style>
  <w:style w:type="paragraph" w:styleId="10">
    <w:name w:val="heading 6"/>
    <w:basedOn w:val="1"/>
    <w:next w:val="9"/>
    <w:link w:val="85"/>
    <w:autoRedefine/>
    <w:qFormat/>
    <w:uiPriority w:val="0"/>
    <w:pPr>
      <w:keepNext/>
      <w:keepLines/>
      <w:spacing w:before="240" w:after="64" w:line="320" w:lineRule="auto"/>
      <w:outlineLvl w:val="5"/>
    </w:pPr>
    <w:rPr>
      <w:rFonts w:ascii="Arial" w:hAnsi="Arial" w:eastAsia="黑体"/>
      <w:b/>
      <w:sz w:val="24"/>
      <w:szCs w:val="20"/>
    </w:rPr>
  </w:style>
  <w:style w:type="paragraph" w:styleId="11">
    <w:name w:val="heading 7"/>
    <w:basedOn w:val="1"/>
    <w:next w:val="9"/>
    <w:link w:val="86"/>
    <w:autoRedefine/>
    <w:qFormat/>
    <w:uiPriority w:val="0"/>
    <w:pPr>
      <w:keepNext/>
      <w:keepLines/>
      <w:spacing w:before="240" w:after="64" w:line="320" w:lineRule="auto"/>
      <w:outlineLvl w:val="6"/>
    </w:pPr>
    <w:rPr>
      <w:b/>
      <w:sz w:val="24"/>
      <w:szCs w:val="20"/>
    </w:rPr>
  </w:style>
  <w:style w:type="paragraph" w:styleId="12">
    <w:name w:val="heading 8"/>
    <w:basedOn w:val="1"/>
    <w:next w:val="9"/>
    <w:link w:val="87"/>
    <w:autoRedefine/>
    <w:qFormat/>
    <w:uiPriority w:val="0"/>
    <w:pPr>
      <w:keepNext/>
      <w:keepLines/>
      <w:spacing w:before="240" w:after="64" w:line="320" w:lineRule="auto"/>
      <w:outlineLvl w:val="7"/>
    </w:pPr>
    <w:rPr>
      <w:rFonts w:ascii="Arial" w:hAnsi="Arial" w:eastAsia="黑体"/>
      <w:sz w:val="24"/>
      <w:szCs w:val="20"/>
    </w:rPr>
  </w:style>
  <w:style w:type="paragraph" w:styleId="13">
    <w:name w:val="heading 9"/>
    <w:basedOn w:val="1"/>
    <w:next w:val="9"/>
    <w:link w:val="88"/>
    <w:autoRedefine/>
    <w:qFormat/>
    <w:uiPriority w:val="0"/>
    <w:pPr>
      <w:keepNext/>
      <w:keepLines/>
      <w:spacing w:before="240" w:after="64" w:line="320" w:lineRule="auto"/>
      <w:outlineLvl w:val="8"/>
    </w:pPr>
    <w:rPr>
      <w:rFonts w:ascii="Arial" w:hAnsi="Arial" w:eastAsia="黑体"/>
      <w:szCs w:val="20"/>
    </w:rPr>
  </w:style>
  <w:style w:type="character" w:default="1" w:styleId="48">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94"/>
    <w:autoRedefine/>
    <w:qFormat/>
    <w:uiPriority w:val="0"/>
    <w:pPr>
      <w:spacing w:line="360" w:lineRule="auto"/>
    </w:pPr>
    <w:rPr>
      <w:b/>
      <w:bCs/>
      <w:sz w:val="24"/>
    </w:rPr>
  </w:style>
  <w:style w:type="paragraph" w:styleId="3">
    <w:name w:val="Body Text 2"/>
    <w:basedOn w:val="1"/>
    <w:link w:val="98"/>
    <w:autoRedefine/>
    <w:qFormat/>
    <w:uiPriority w:val="0"/>
    <w:pPr>
      <w:spacing w:line="360" w:lineRule="auto"/>
    </w:pPr>
    <w:rPr>
      <w:sz w:val="24"/>
    </w:rPr>
  </w:style>
  <w:style w:type="paragraph" w:styleId="9">
    <w:name w:val="Normal Indent"/>
    <w:basedOn w:val="1"/>
    <w:next w:val="2"/>
    <w:link w:val="61"/>
    <w:autoRedefine/>
    <w:qFormat/>
    <w:uiPriority w:val="0"/>
    <w:pPr>
      <w:ind w:firstLine="420"/>
    </w:pPr>
    <w:rPr>
      <w:szCs w:val="20"/>
    </w:rPr>
  </w:style>
  <w:style w:type="paragraph" w:styleId="14">
    <w:name w:val="toc 7"/>
    <w:basedOn w:val="1"/>
    <w:next w:val="1"/>
    <w:autoRedefine/>
    <w:semiHidden/>
    <w:qFormat/>
    <w:uiPriority w:val="0"/>
    <w:pPr>
      <w:ind w:left="1260"/>
      <w:jc w:val="left"/>
    </w:pPr>
    <w:rPr>
      <w:szCs w:val="21"/>
    </w:rPr>
  </w:style>
  <w:style w:type="paragraph" w:styleId="15">
    <w:name w:val="caption"/>
    <w:basedOn w:val="1"/>
    <w:next w:val="1"/>
    <w:autoRedefine/>
    <w:qFormat/>
    <w:uiPriority w:val="0"/>
    <w:pPr>
      <w:widowControl/>
      <w:spacing w:line="360" w:lineRule="auto"/>
      <w:ind w:firstLine="1940" w:firstLineChars="920"/>
      <w:jc w:val="left"/>
    </w:pPr>
    <w:rPr>
      <w:rFonts w:ascii="宋体" w:hAnsi="宋体"/>
      <w:b/>
      <w:bCs/>
      <w:kern w:val="0"/>
      <w:sz w:val="20"/>
      <w:szCs w:val="20"/>
    </w:rPr>
  </w:style>
  <w:style w:type="paragraph" w:styleId="16">
    <w:name w:val="List Bullet"/>
    <w:basedOn w:val="1"/>
    <w:autoRedefine/>
    <w:qFormat/>
    <w:uiPriority w:val="0"/>
    <w:pPr>
      <w:numPr>
        <w:ilvl w:val="0"/>
        <w:numId w:val="1"/>
      </w:numPr>
    </w:pPr>
    <w:rPr>
      <w:szCs w:val="20"/>
    </w:rPr>
  </w:style>
  <w:style w:type="paragraph" w:styleId="17">
    <w:name w:val="Document Map"/>
    <w:basedOn w:val="1"/>
    <w:autoRedefine/>
    <w:semiHidden/>
    <w:qFormat/>
    <w:uiPriority w:val="0"/>
    <w:pPr>
      <w:shd w:val="clear" w:color="auto" w:fill="000080"/>
    </w:pPr>
  </w:style>
  <w:style w:type="paragraph" w:styleId="18">
    <w:name w:val="annotation text"/>
    <w:basedOn w:val="1"/>
    <w:link w:val="186"/>
    <w:autoRedefine/>
    <w:qFormat/>
    <w:uiPriority w:val="0"/>
    <w:pPr>
      <w:autoSpaceDE w:val="0"/>
      <w:autoSpaceDN w:val="0"/>
      <w:adjustRightInd w:val="0"/>
      <w:jc w:val="left"/>
      <w:textAlignment w:val="baseline"/>
    </w:pPr>
    <w:rPr>
      <w:rFonts w:ascii="宋体"/>
      <w:kern w:val="0"/>
      <w:sz w:val="34"/>
      <w:szCs w:val="20"/>
    </w:rPr>
  </w:style>
  <w:style w:type="paragraph" w:styleId="19">
    <w:name w:val="Body Text 3"/>
    <w:basedOn w:val="1"/>
    <w:link w:val="100"/>
    <w:autoRedefine/>
    <w:qFormat/>
    <w:uiPriority w:val="0"/>
    <w:pPr>
      <w:spacing w:after="120"/>
    </w:pPr>
    <w:rPr>
      <w:sz w:val="16"/>
      <w:szCs w:val="16"/>
    </w:rPr>
  </w:style>
  <w:style w:type="paragraph" w:styleId="20">
    <w:name w:val="Body Text Indent"/>
    <w:basedOn w:val="1"/>
    <w:link w:val="81"/>
    <w:autoRedefine/>
    <w:qFormat/>
    <w:uiPriority w:val="0"/>
    <w:pPr>
      <w:spacing w:line="360" w:lineRule="auto"/>
      <w:ind w:firstLine="420" w:firstLineChars="200"/>
    </w:pPr>
  </w:style>
  <w:style w:type="paragraph" w:styleId="21">
    <w:name w:val="toc 5"/>
    <w:basedOn w:val="1"/>
    <w:next w:val="1"/>
    <w:autoRedefine/>
    <w:semiHidden/>
    <w:qFormat/>
    <w:uiPriority w:val="0"/>
    <w:pPr>
      <w:ind w:left="840"/>
      <w:jc w:val="left"/>
    </w:pPr>
    <w:rPr>
      <w:szCs w:val="21"/>
    </w:rPr>
  </w:style>
  <w:style w:type="paragraph" w:styleId="22">
    <w:name w:val="toc 3"/>
    <w:basedOn w:val="1"/>
    <w:next w:val="1"/>
    <w:autoRedefine/>
    <w:semiHidden/>
    <w:qFormat/>
    <w:uiPriority w:val="0"/>
    <w:pPr>
      <w:ind w:left="420"/>
      <w:jc w:val="left"/>
    </w:pPr>
    <w:rPr>
      <w:i/>
      <w:iCs/>
    </w:rPr>
  </w:style>
  <w:style w:type="paragraph" w:styleId="23">
    <w:name w:val="Plain Text"/>
    <w:basedOn w:val="1"/>
    <w:link w:val="92"/>
    <w:autoRedefine/>
    <w:qFormat/>
    <w:uiPriority w:val="0"/>
    <w:rPr>
      <w:rFonts w:ascii="宋体" w:hAnsi="Courier New"/>
      <w:szCs w:val="20"/>
    </w:rPr>
  </w:style>
  <w:style w:type="paragraph" w:styleId="24">
    <w:name w:val="toc 8"/>
    <w:basedOn w:val="1"/>
    <w:next w:val="1"/>
    <w:autoRedefine/>
    <w:semiHidden/>
    <w:qFormat/>
    <w:uiPriority w:val="0"/>
    <w:pPr>
      <w:ind w:left="1470"/>
      <w:jc w:val="left"/>
    </w:pPr>
    <w:rPr>
      <w:szCs w:val="21"/>
    </w:rPr>
  </w:style>
  <w:style w:type="paragraph" w:styleId="25">
    <w:name w:val="Date"/>
    <w:basedOn w:val="1"/>
    <w:next w:val="1"/>
    <w:link w:val="90"/>
    <w:autoRedefine/>
    <w:qFormat/>
    <w:uiPriority w:val="0"/>
    <w:rPr>
      <w:rFonts w:ascii="宋体" w:hAnsi="Courier New"/>
      <w:sz w:val="32"/>
      <w:szCs w:val="20"/>
    </w:rPr>
  </w:style>
  <w:style w:type="paragraph" w:styleId="26">
    <w:name w:val="Body Text Indent 2"/>
    <w:basedOn w:val="1"/>
    <w:link w:val="95"/>
    <w:autoRedefine/>
    <w:qFormat/>
    <w:uiPriority w:val="0"/>
    <w:pPr>
      <w:spacing w:beforeLines="50" w:afterLines="50" w:line="120" w:lineRule="auto"/>
      <w:ind w:firstLine="840" w:firstLineChars="400"/>
      <w:jc w:val="left"/>
    </w:pPr>
    <w:rPr>
      <w:rFonts w:ascii="宋体" w:hAnsi="宋体"/>
    </w:rPr>
  </w:style>
  <w:style w:type="paragraph" w:styleId="27">
    <w:name w:val="Balloon Text"/>
    <w:basedOn w:val="1"/>
    <w:link w:val="101"/>
    <w:autoRedefine/>
    <w:semiHidden/>
    <w:qFormat/>
    <w:uiPriority w:val="99"/>
    <w:rPr>
      <w:sz w:val="18"/>
      <w:szCs w:val="18"/>
    </w:rPr>
  </w:style>
  <w:style w:type="paragraph" w:styleId="28">
    <w:name w:val="footer"/>
    <w:basedOn w:val="1"/>
    <w:link w:val="99"/>
    <w:autoRedefine/>
    <w:qFormat/>
    <w:uiPriority w:val="0"/>
    <w:pPr>
      <w:tabs>
        <w:tab w:val="center" w:pos="4153"/>
        <w:tab w:val="right" w:pos="8306"/>
      </w:tabs>
      <w:snapToGrid w:val="0"/>
      <w:jc w:val="left"/>
    </w:pPr>
    <w:rPr>
      <w:sz w:val="18"/>
      <w:szCs w:val="18"/>
    </w:rPr>
  </w:style>
  <w:style w:type="paragraph" w:styleId="29">
    <w:name w:val="envelope return"/>
    <w:basedOn w:val="1"/>
    <w:unhideWhenUsed/>
    <w:qFormat/>
    <w:uiPriority w:val="99"/>
    <w:pPr>
      <w:snapToGrid w:val="0"/>
    </w:pPr>
    <w:rPr>
      <w:rFonts w:ascii="Arial" w:hAnsi="Arial"/>
    </w:rPr>
  </w:style>
  <w:style w:type="paragraph" w:styleId="30">
    <w:name w:val="header"/>
    <w:basedOn w:val="1"/>
    <w:link w:val="96"/>
    <w:autoRedefine/>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autoRedefine/>
    <w:qFormat/>
    <w:uiPriority w:val="0"/>
    <w:pPr>
      <w:spacing w:before="120" w:after="120"/>
      <w:jc w:val="left"/>
    </w:pPr>
    <w:rPr>
      <w:b/>
      <w:bCs/>
      <w:caps/>
    </w:rPr>
  </w:style>
  <w:style w:type="paragraph" w:styleId="32">
    <w:name w:val="toc 4"/>
    <w:basedOn w:val="1"/>
    <w:next w:val="1"/>
    <w:autoRedefine/>
    <w:semiHidden/>
    <w:qFormat/>
    <w:uiPriority w:val="0"/>
    <w:pPr>
      <w:ind w:left="630"/>
      <w:jc w:val="left"/>
    </w:pPr>
    <w:rPr>
      <w:szCs w:val="21"/>
    </w:rPr>
  </w:style>
  <w:style w:type="paragraph" w:styleId="33">
    <w:name w:val="Subtitle"/>
    <w:next w:val="1"/>
    <w:link w:val="311"/>
    <w:autoRedefine/>
    <w:qFormat/>
    <w:uiPriority w:val="0"/>
    <w:pPr>
      <w:wordWrap w:val="0"/>
      <w:spacing w:after="60"/>
      <w:jc w:val="center"/>
    </w:pPr>
    <w:rPr>
      <w:rFonts w:ascii="Calibri" w:hAnsi="Calibri" w:eastAsia="宋体" w:cs="Times New Roman"/>
      <w:sz w:val="24"/>
      <w:lang w:val="en-US" w:eastAsia="zh-CN" w:bidi="ar-SA"/>
    </w:rPr>
  </w:style>
  <w:style w:type="paragraph" w:styleId="34">
    <w:name w:val="toc 6"/>
    <w:basedOn w:val="1"/>
    <w:next w:val="1"/>
    <w:autoRedefine/>
    <w:semiHidden/>
    <w:qFormat/>
    <w:uiPriority w:val="0"/>
    <w:pPr>
      <w:ind w:left="1050"/>
      <w:jc w:val="left"/>
    </w:pPr>
    <w:rPr>
      <w:szCs w:val="21"/>
    </w:rPr>
  </w:style>
  <w:style w:type="paragraph" w:styleId="35">
    <w:name w:val="Body Text Indent 3"/>
    <w:basedOn w:val="1"/>
    <w:link w:val="97"/>
    <w:autoRedefine/>
    <w:qFormat/>
    <w:uiPriority w:val="0"/>
    <w:pPr>
      <w:spacing w:line="360" w:lineRule="auto"/>
      <w:ind w:firstLine="482" w:firstLineChars="200"/>
    </w:pPr>
    <w:rPr>
      <w:rFonts w:ascii="宋体"/>
      <w:b/>
      <w:bCs/>
      <w:sz w:val="24"/>
    </w:rPr>
  </w:style>
  <w:style w:type="paragraph" w:styleId="36">
    <w:name w:val="toc 2"/>
    <w:basedOn w:val="1"/>
    <w:next w:val="1"/>
    <w:autoRedefine/>
    <w:semiHidden/>
    <w:qFormat/>
    <w:uiPriority w:val="0"/>
    <w:pPr>
      <w:tabs>
        <w:tab w:val="right" w:leader="dot" w:pos="8296"/>
      </w:tabs>
      <w:ind w:left="210"/>
      <w:jc w:val="left"/>
    </w:pPr>
    <w:rPr>
      <w:smallCaps/>
    </w:rPr>
  </w:style>
  <w:style w:type="paragraph" w:styleId="37">
    <w:name w:val="toc 9"/>
    <w:basedOn w:val="1"/>
    <w:next w:val="1"/>
    <w:autoRedefine/>
    <w:semiHidden/>
    <w:qFormat/>
    <w:uiPriority w:val="0"/>
    <w:pPr>
      <w:ind w:left="1680"/>
      <w:jc w:val="left"/>
    </w:pPr>
    <w:rPr>
      <w:szCs w:val="21"/>
    </w:rPr>
  </w:style>
  <w:style w:type="paragraph" w:styleId="38">
    <w:name w:val="HTML Preformatted"/>
    <w:basedOn w:val="1"/>
    <w:link w:val="9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9">
    <w:name w:val="Normal (Web)"/>
    <w:basedOn w:val="1"/>
    <w:autoRedefine/>
    <w:qFormat/>
    <w:uiPriority w:val="99"/>
    <w:pPr>
      <w:spacing w:beforeAutospacing="1" w:afterAutospacing="1"/>
      <w:jc w:val="left"/>
    </w:pPr>
    <w:rPr>
      <w:kern w:val="0"/>
      <w:sz w:val="24"/>
    </w:rPr>
  </w:style>
  <w:style w:type="paragraph" w:styleId="40">
    <w:name w:val="index 1"/>
    <w:basedOn w:val="1"/>
    <w:next w:val="1"/>
    <w:autoRedefine/>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1">
    <w:name w:val="Title"/>
    <w:basedOn w:val="1"/>
    <w:next w:val="1"/>
    <w:link w:val="89"/>
    <w:autoRedefine/>
    <w:qFormat/>
    <w:uiPriority w:val="0"/>
    <w:pPr>
      <w:spacing w:before="240" w:after="60"/>
      <w:jc w:val="center"/>
      <w:outlineLvl w:val="0"/>
    </w:pPr>
    <w:rPr>
      <w:rFonts w:ascii="Arial" w:hAnsi="Arial" w:eastAsia="隶书" w:cs="Arial"/>
      <w:b/>
      <w:bCs/>
      <w:sz w:val="32"/>
      <w:szCs w:val="32"/>
    </w:rPr>
  </w:style>
  <w:style w:type="paragraph" w:styleId="42">
    <w:name w:val="annotation subject"/>
    <w:basedOn w:val="18"/>
    <w:next w:val="18"/>
    <w:link w:val="187"/>
    <w:autoRedefine/>
    <w:qFormat/>
    <w:uiPriority w:val="99"/>
    <w:pPr>
      <w:autoSpaceDE/>
      <w:autoSpaceDN/>
      <w:adjustRightInd/>
      <w:textAlignment w:val="auto"/>
    </w:pPr>
    <w:rPr>
      <w:rFonts w:ascii="Times New Roman"/>
      <w:b/>
      <w:bCs/>
      <w:kern w:val="2"/>
      <w:sz w:val="21"/>
      <w:szCs w:val="24"/>
    </w:rPr>
  </w:style>
  <w:style w:type="paragraph" w:styleId="43">
    <w:name w:val="Body Text First Indent"/>
    <w:basedOn w:val="2"/>
    <w:link w:val="132"/>
    <w:autoRedefine/>
    <w:qFormat/>
    <w:uiPriority w:val="0"/>
    <w:pPr>
      <w:spacing w:after="120" w:line="240" w:lineRule="auto"/>
      <w:ind w:firstLine="420" w:firstLineChars="100"/>
    </w:pPr>
    <w:rPr>
      <w:sz w:val="21"/>
    </w:rPr>
  </w:style>
  <w:style w:type="paragraph" w:styleId="44">
    <w:name w:val="Body Text First Indent 2"/>
    <w:basedOn w:val="20"/>
    <w:autoRedefine/>
    <w:unhideWhenUsed/>
    <w:qFormat/>
    <w:uiPriority w:val="99"/>
  </w:style>
  <w:style w:type="table" w:styleId="46">
    <w:name w:val="Table Grid"/>
    <w:basedOn w:val="4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7">
    <w:name w:val="Table Elegant"/>
    <w:basedOn w:val="45"/>
    <w:autoRedefine/>
    <w:qFormat/>
    <w:uiPriority w:val="0"/>
    <w:pPr>
      <w:widowControl w:val="0"/>
      <w:jc w:val="both"/>
    </w:pPr>
    <w:rPr>
      <w:rFonts w:ascii="Calibri" w:hAnsi="Calibri"/>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49">
    <w:name w:val="Strong"/>
    <w:autoRedefine/>
    <w:qFormat/>
    <w:uiPriority w:val="0"/>
    <w:rPr>
      <w:b/>
      <w:bCs/>
    </w:rPr>
  </w:style>
  <w:style w:type="character" w:styleId="50">
    <w:name w:val="page number"/>
    <w:basedOn w:val="48"/>
    <w:autoRedefine/>
    <w:qFormat/>
    <w:uiPriority w:val="0"/>
  </w:style>
  <w:style w:type="character" w:styleId="51">
    <w:name w:val="FollowedHyperlink"/>
    <w:autoRedefine/>
    <w:qFormat/>
    <w:uiPriority w:val="0"/>
    <w:rPr>
      <w:color w:val="800080"/>
      <w:u w:val="single"/>
    </w:rPr>
  </w:style>
  <w:style w:type="character" w:styleId="52">
    <w:name w:val="Emphasis"/>
    <w:basedOn w:val="48"/>
    <w:autoRedefine/>
    <w:qFormat/>
    <w:uiPriority w:val="0"/>
    <w:rPr>
      <w:sz w:val="20"/>
    </w:rPr>
  </w:style>
  <w:style w:type="character" w:styleId="53">
    <w:name w:val="Hyperlink"/>
    <w:autoRedefine/>
    <w:qFormat/>
    <w:uiPriority w:val="99"/>
    <w:rPr>
      <w:color w:val="0000FF"/>
      <w:u w:val="single"/>
    </w:rPr>
  </w:style>
  <w:style w:type="character" w:styleId="54">
    <w:name w:val="annotation reference"/>
    <w:basedOn w:val="48"/>
    <w:autoRedefine/>
    <w:qFormat/>
    <w:uiPriority w:val="99"/>
    <w:rPr>
      <w:sz w:val="21"/>
      <w:szCs w:val="21"/>
    </w:rPr>
  </w:style>
  <w:style w:type="character" w:customStyle="1" w:styleId="55">
    <w:name w:val="标题 2 字符"/>
    <w:link w:val="7"/>
    <w:autoRedefine/>
    <w:qFormat/>
    <w:uiPriority w:val="0"/>
    <w:rPr>
      <w:rFonts w:ascii="宋体" w:hAnsi="宋体" w:eastAsia="宋体"/>
      <w:b/>
      <w:bCs/>
      <w:sz w:val="24"/>
      <w:lang w:val="en-US" w:eastAsia="zh-CN" w:bidi="ar-SA"/>
    </w:rPr>
  </w:style>
  <w:style w:type="character" w:customStyle="1" w:styleId="56">
    <w:name w:val="标题 1 字符"/>
    <w:link w:val="4"/>
    <w:autoRedefine/>
    <w:qFormat/>
    <w:uiPriority w:val="0"/>
    <w:rPr>
      <w:rFonts w:ascii="宋体" w:hAnsi="宋体" w:eastAsia="黑体"/>
      <w:b/>
      <w:bCs/>
      <w:kern w:val="44"/>
      <w:sz w:val="28"/>
      <w:szCs w:val="44"/>
      <w:lang w:val="en-US" w:eastAsia="zh-CN" w:bidi="ar-SA"/>
    </w:rPr>
  </w:style>
  <w:style w:type="character" w:customStyle="1" w:styleId="57">
    <w:name w:val="标题 3 字符"/>
    <w:link w:val="5"/>
    <w:autoRedefine/>
    <w:qFormat/>
    <w:uiPriority w:val="9"/>
    <w:rPr>
      <w:rFonts w:ascii="宋体" w:hAnsi="宋体" w:eastAsia="宋体"/>
      <w:b/>
      <w:bCs/>
      <w:kern w:val="2"/>
      <w:sz w:val="28"/>
      <w:szCs w:val="32"/>
      <w:lang w:val="en-US" w:eastAsia="zh-CN" w:bidi="ar-SA"/>
    </w:rPr>
  </w:style>
  <w:style w:type="paragraph" w:styleId="58">
    <w:name w:val="List Paragraph"/>
    <w:basedOn w:val="1"/>
    <w:autoRedefine/>
    <w:qFormat/>
    <w:uiPriority w:val="0"/>
    <w:pPr>
      <w:ind w:firstLine="420" w:firstLineChars="200"/>
    </w:pPr>
    <w:rPr>
      <w:rFonts w:ascii="Calibri" w:hAnsi="Calibri"/>
      <w:szCs w:val="22"/>
    </w:rPr>
  </w:style>
  <w:style w:type="character" w:customStyle="1" w:styleId="59">
    <w:name w:val="标题 4 字符"/>
    <w:link w:val="6"/>
    <w:autoRedefine/>
    <w:qFormat/>
    <w:uiPriority w:val="9"/>
    <w:rPr>
      <w:rFonts w:ascii="Arial" w:hAnsi="Arial" w:eastAsia="黑体"/>
      <w:b/>
      <w:bCs/>
      <w:kern w:val="2"/>
      <w:sz w:val="28"/>
      <w:szCs w:val="28"/>
      <w:lang w:val="en-US" w:eastAsia="zh-CN" w:bidi="ar-SA"/>
    </w:rPr>
  </w:style>
  <w:style w:type="paragraph" w:customStyle="1" w:styleId="60">
    <w:name w:val="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61">
    <w:name w:val="正文缩进 字符"/>
    <w:link w:val="9"/>
    <w:autoRedefine/>
    <w:qFormat/>
    <w:uiPriority w:val="0"/>
    <w:rPr>
      <w:rFonts w:eastAsia="宋体"/>
      <w:kern w:val="2"/>
      <w:sz w:val="21"/>
      <w:lang w:val="en-US" w:eastAsia="zh-CN" w:bidi="ar-SA"/>
    </w:rPr>
  </w:style>
  <w:style w:type="character" w:customStyle="1" w:styleId="62">
    <w:name w:val="标题 3 Char"/>
    <w:autoRedefine/>
    <w:qFormat/>
    <w:uiPriority w:val="0"/>
    <w:rPr>
      <w:rFonts w:ascii="黑体" w:eastAsia="黑体"/>
      <w:bCs/>
      <w:sz w:val="30"/>
    </w:rPr>
  </w:style>
  <w:style w:type="paragraph" w:customStyle="1" w:styleId="63">
    <w:name w:val="样式41"/>
    <w:basedOn w:val="1"/>
    <w:autoRedefine/>
    <w:qFormat/>
    <w:uiPriority w:val="0"/>
    <w:pPr>
      <w:numPr>
        <w:ilvl w:val="0"/>
        <w:numId w:val="2"/>
      </w:numPr>
      <w:tabs>
        <w:tab w:val="left" w:pos="945"/>
      </w:tabs>
      <w:spacing w:line="360" w:lineRule="auto"/>
    </w:pPr>
    <w:rPr>
      <w:b/>
      <w:color w:val="000000"/>
      <w:sz w:val="24"/>
      <w:szCs w:val="20"/>
    </w:rPr>
  </w:style>
  <w:style w:type="paragraph" w:customStyle="1" w:styleId="64">
    <w:name w:val="图"/>
    <w:basedOn w:val="1"/>
    <w:autoRedefine/>
    <w:qFormat/>
    <w:uiPriority w:val="0"/>
    <w:pPr>
      <w:keepNext/>
      <w:adjustRightInd w:val="0"/>
      <w:snapToGrid w:val="0"/>
      <w:spacing w:before="60" w:after="60" w:line="300" w:lineRule="auto"/>
      <w:jc w:val="center"/>
    </w:pPr>
    <w:rPr>
      <w:spacing w:val="20"/>
      <w:kern w:val="0"/>
      <w:sz w:val="24"/>
      <w:szCs w:val="20"/>
    </w:rPr>
  </w:style>
  <w:style w:type="paragraph" w:customStyle="1" w:styleId="65">
    <w:name w:val="文档正文"/>
    <w:basedOn w:val="1"/>
    <w:autoRedefine/>
    <w:qFormat/>
    <w:uiPriority w:val="0"/>
    <w:pPr>
      <w:adjustRightInd w:val="0"/>
      <w:spacing w:line="480" w:lineRule="atLeast"/>
      <w:ind w:firstLine="567" w:firstLineChars="200"/>
      <w:textAlignment w:val="baseline"/>
    </w:pPr>
    <w:rPr>
      <w:rFonts w:ascii="长城仿宋"/>
      <w:kern w:val="0"/>
      <w:szCs w:val="20"/>
    </w:rPr>
  </w:style>
  <w:style w:type="paragraph" w:customStyle="1" w:styleId="66">
    <w:name w:val="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7">
    <w:name w:val="Char1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8">
    <w:name w:val="Char Char Char Char1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Table Contents"/>
    <w:basedOn w:val="1"/>
    <w:autoRedefine/>
    <w:qFormat/>
    <w:uiPriority w:val="0"/>
    <w:pPr>
      <w:suppressAutoHyphens/>
      <w:autoSpaceDE w:val="0"/>
      <w:spacing w:after="120"/>
      <w:jc w:val="left"/>
    </w:pPr>
    <w:rPr>
      <w:rFonts w:ascii="Helvetica" w:hAnsi="Helvetica"/>
      <w:kern w:val="1"/>
      <w:sz w:val="20"/>
      <w:szCs w:val="20"/>
    </w:rPr>
  </w:style>
  <w:style w:type="paragraph" w:customStyle="1" w:styleId="70">
    <w:name w:val="自定义正文"/>
    <w:basedOn w:val="1"/>
    <w:autoRedefine/>
    <w:qFormat/>
    <w:uiPriority w:val="0"/>
    <w:pPr>
      <w:spacing w:afterLines="50"/>
      <w:ind w:left="600" w:leftChars="600"/>
    </w:pPr>
  </w:style>
  <w:style w:type="paragraph" w:customStyle="1" w:styleId="71">
    <w:name w:val="Char Char Char Char Char"/>
    <w:basedOn w:val="1"/>
    <w:autoRedefine/>
    <w:qFormat/>
    <w:uiPriority w:val="0"/>
    <w:rPr>
      <w:rFonts w:ascii="Tahoma" w:hAnsi="Tahoma"/>
      <w:sz w:val="24"/>
      <w:szCs w:val="20"/>
    </w:rPr>
  </w:style>
  <w:style w:type="paragraph" w:customStyle="1" w:styleId="72">
    <w:name w:val="小标题 1"/>
    <w:basedOn w:val="1"/>
    <w:autoRedefine/>
    <w:qFormat/>
    <w:uiPriority w:val="0"/>
    <w:pPr>
      <w:autoSpaceDE w:val="0"/>
      <w:autoSpaceDN w:val="0"/>
      <w:adjustRightInd w:val="0"/>
      <w:spacing w:line="360" w:lineRule="atLeast"/>
    </w:pPr>
    <w:rPr>
      <w:rFonts w:ascii="文鼎粗黑" w:eastAsia="文鼎粗黑"/>
      <w:kern w:val="0"/>
      <w:sz w:val="22"/>
      <w:szCs w:val="20"/>
    </w:rPr>
  </w:style>
  <w:style w:type="paragraph" w:customStyle="1" w:styleId="73">
    <w:name w:val="Char Char"/>
    <w:basedOn w:val="1"/>
    <w:autoRedefine/>
    <w:qFormat/>
    <w:uiPriority w:val="0"/>
    <w:rPr>
      <w:rFonts w:ascii="Tahoma" w:hAnsi="Tahoma"/>
      <w:sz w:val="24"/>
      <w:szCs w:val="20"/>
    </w:rPr>
  </w:style>
  <w:style w:type="paragraph" w:customStyle="1" w:styleId="74">
    <w:name w:val="È±Ê¡ÎÄ±¾"/>
    <w:basedOn w:val="1"/>
    <w:autoRedefine/>
    <w:qFormat/>
    <w:uiPriority w:val="0"/>
    <w:pPr>
      <w:widowControl/>
      <w:overflowPunct w:val="0"/>
      <w:autoSpaceDE w:val="0"/>
      <w:autoSpaceDN w:val="0"/>
      <w:adjustRightInd w:val="0"/>
      <w:jc w:val="left"/>
      <w:textAlignment w:val="baseline"/>
    </w:pPr>
    <w:rPr>
      <w:kern w:val="0"/>
      <w:sz w:val="24"/>
      <w:szCs w:val="20"/>
    </w:rPr>
  </w:style>
  <w:style w:type="paragraph" w:customStyle="1" w:styleId="75">
    <w:name w:val="Char Char Char Char Char Char1 Char"/>
    <w:basedOn w:val="1"/>
    <w:autoRedefine/>
    <w:qFormat/>
    <w:uiPriority w:val="0"/>
    <w:pPr>
      <w:widowControl/>
      <w:spacing w:after="160" w:line="240" w:lineRule="exact"/>
      <w:jc w:val="left"/>
    </w:pPr>
    <w:rPr>
      <w:rFonts w:ascii="Verdana" w:hAnsi="Verdana"/>
      <w:kern w:val="0"/>
      <w:szCs w:val="20"/>
      <w:lang w:eastAsia="en-US"/>
    </w:rPr>
  </w:style>
  <w:style w:type="paragraph" w:customStyle="1" w:styleId="76">
    <w:name w:val="USE 1"/>
    <w:basedOn w:val="1"/>
    <w:autoRedefine/>
    <w:qFormat/>
    <w:uiPriority w:val="0"/>
    <w:pPr>
      <w:spacing w:line="200" w:lineRule="atLeast"/>
      <w:jc w:val="left"/>
    </w:pPr>
    <w:rPr>
      <w:rFonts w:ascii="宋体" w:hAnsi="宋体"/>
      <w:b/>
      <w:sz w:val="24"/>
      <w:szCs w:val="28"/>
    </w:rPr>
  </w:style>
  <w:style w:type="paragraph" w:customStyle="1" w:styleId="77">
    <w:name w:val="RFI text from 3rd Level"/>
    <w:basedOn w:val="1"/>
    <w:autoRedefine/>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78">
    <w:name w:val="正文文字缩进项目"/>
    <w:basedOn w:val="20"/>
    <w:autoRedefine/>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9">
    <w:name w:val="样式 标题 2 + 段前: 13 磅 段后: 13 磅 行距: 单倍行距"/>
    <w:basedOn w:val="7"/>
    <w:autoRedefine/>
    <w:qFormat/>
    <w:uiPriority w:val="0"/>
    <w:pPr>
      <w:adjustRightInd/>
      <w:jc w:val="both"/>
      <w:textAlignment w:val="auto"/>
    </w:pPr>
    <w:rPr>
      <w:rFonts w:ascii="Cambria" w:hAnsi="Cambria" w:cs="宋体"/>
      <w:kern w:val="2"/>
      <w:sz w:val="32"/>
    </w:rPr>
  </w:style>
  <w:style w:type="character" w:customStyle="1" w:styleId="80">
    <w:name w:val="H4 Char2"/>
    <w:autoRedefine/>
    <w:qFormat/>
    <w:uiPriority w:val="0"/>
    <w:rPr>
      <w:rFonts w:ascii="Arial" w:hAnsi="Arial" w:eastAsia="黑体"/>
      <w:b/>
      <w:bCs/>
      <w:kern w:val="2"/>
      <w:sz w:val="28"/>
      <w:szCs w:val="28"/>
      <w:lang w:val="en-US" w:eastAsia="zh-CN" w:bidi="ar-SA"/>
    </w:rPr>
  </w:style>
  <w:style w:type="character" w:customStyle="1" w:styleId="81">
    <w:name w:val="正文文本缩进 字符"/>
    <w:link w:val="20"/>
    <w:autoRedefine/>
    <w:qFormat/>
    <w:uiPriority w:val="0"/>
    <w:rPr>
      <w:rFonts w:eastAsia="宋体"/>
      <w:kern w:val="2"/>
      <w:sz w:val="21"/>
      <w:szCs w:val="24"/>
      <w:lang w:val="en-US" w:eastAsia="zh-CN" w:bidi="ar-SA"/>
    </w:rPr>
  </w:style>
  <w:style w:type="character" w:customStyle="1" w:styleId="82">
    <w:name w:val="标题 5 字符"/>
    <w:link w:val="8"/>
    <w:autoRedefine/>
    <w:qFormat/>
    <w:uiPriority w:val="0"/>
    <w:rPr>
      <w:rFonts w:eastAsia="宋体"/>
      <w:b/>
      <w:kern w:val="2"/>
      <w:sz w:val="28"/>
      <w:lang w:val="en-US" w:eastAsia="zh-CN" w:bidi="ar-SA"/>
    </w:rPr>
  </w:style>
  <w:style w:type="character" w:customStyle="1" w:styleId="83">
    <w:name w:val="第*章 Char"/>
    <w:autoRedefine/>
    <w:qFormat/>
    <w:uiPriority w:val="0"/>
    <w:rPr>
      <w:rFonts w:ascii="Arial" w:hAnsi="Arial" w:eastAsia="黑体"/>
      <w:b/>
      <w:bCs/>
      <w:kern w:val="2"/>
      <w:sz w:val="32"/>
      <w:szCs w:val="32"/>
    </w:rPr>
  </w:style>
  <w:style w:type="character" w:customStyle="1" w:styleId="84">
    <w:name w:val="章标题1 Char"/>
    <w:autoRedefine/>
    <w:qFormat/>
    <w:uiPriority w:val="0"/>
    <w:rPr>
      <w:rFonts w:eastAsia="宋体"/>
      <w:b/>
      <w:bCs/>
      <w:kern w:val="2"/>
      <w:sz w:val="32"/>
      <w:szCs w:val="32"/>
      <w:lang w:val="en-US" w:eastAsia="zh-CN" w:bidi="ar-SA"/>
    </w:rPr>
  </w:style>
  <w:style w:type="character" w:customStyle="1" w:styleId="85">
    <w:name w:val="标题 6 字符"/>
    <w:link w:val="10"/>
    <w:autoRedefine/>
    <w:qFormat/>
    <w:uiPriority w:val="0"/>
    <w:rPr>
      <w:rFonts w:ascii="Arial" w:hAnsi="Arial" w:eastAsia="黑体"/>
      <w:b/>
      <w:kern w:val="2"/>
      <w:sz w:val="24"/>
      <w:lang w:val="en-US" w:eastAsia="zh-CN" w:bidi="ar-SA"/>
    </w:rPr>
  </w:style>
  <w:style w:type="character" w:customStyle="1" w:styleId="86">
    <w:name w:val="标题 7 字符"/>
    <w:link w:val="11"/>
    <w:autoRedefine/>
    <w:qFormat/>
    <w:uiPriority w:val="0"/>
    <w:rPr>
      <w:rFonts w:eastAsia="宋体"/>
      <w:b/>
      <w:kern w:val="2"/>
      <w:sz w:val="24"/>
      <w:lang w:val="en-US" w:eastAsia="zh-CN" w:bidi="ar-SA"/>
    </w:rPr>
  </w:style>
  <w:style w:type="character" w:customStyle="1" w:styleId="87">
    <w:name w:val="标题 8 字符"/>
    <w:link w:val="12"/>
    <w:autoRedefine/>
    <w:qFormat/>
    <w:uiPriority w:val="0"/>
    <w:rPr>
      <w:rFonts w:ascii="Arial" w:hAnsi="Arial" w:eastAsia="黑体"/>
      <w:kern w:val="2"/>
      <w:sz w:val="24"/>
      <w:lang w:val="en-US" w:eastAsia="zh-CN" w:bidi="ar-SA"/>
    </w:rPr>
  </w:style>
  <w:style w:type="character" w:customStyle="1" w:styleId="88">
    <w:name w:val="标题 9 字符"/>
    <w:link w:val="13"/>
    <w:autoRedefine/>
    <w:qFormat/>
    <w:uiPriority w:val="0"/>
    <w:rPr>
      <w:rFonts w:ascii="Arial" w:hAnsi="Arial" w:eastAsia="黑体"/>
      <w:kern w:val="2"/>
      <w:sz w:val="21"/>
      <w:lang w:val="en-US" w:eastAsia="zh-CN" w:bidi="ar-SA"/>
    </w:rPr>
  </w:style>
  <w:style w:type="character" w:customStyle="1" w:styleId="89">
    <w:name w:val="标题 字符"/>
    <w:link w:val="41"/>
    <w:autoRedefine/>
    <w:qFormat/>
    <w:uiPriority w:val="0"/>
    <w:rPr>
      <w:rFonts w:ascii="Arial" w:hAnsi="Arial" w:eastAsia="隶书" w:cs="Arial"/>
      <w:b/>
      <w:bCs/>
      <w:kern w:val="2"/>
      <w:sz w:val="32"/>
      <w:szCs w:val="32"/>
      <w:lang w:val="en-US" w:eastAsia="zh-CN" w:bidi="ar-SA"/>
    </w:rPr>
  </w:style>
  <w:style w:type="character" w:customStyle="1" w:styleId="90">
    <w:name w:val="日期 字符"/>
    <w:link w:val="25"/>
    <w:autoRedefine/>
    <w:qFormat/>
    <w:uiPriority w:val="0"/>
    <w:rPr>
      <w:rFonts w:ascii="宋体" w:hAnsi="Courier New" w:eastAsia="宋体"/>
      <w:kern w:val="2"/>
      <w:sz w:val="32"/>
      <w:lang w:val="en-US" w:eastAsia="zh-CN" w:bidi="ar-SA"/>
    </w:rPr>
  </w:style>
  <w:style w:type="character" w:customStyle="1" w:styleId="91">
    <w:name w:val="HTML 预设格式 字符"/>
    <w:link w:val="38"/>
    <w:autoRedefine/>
    <w:qFormat/>
    <w:uiPriority w:val="0"/>
    <w:rPr>
      <w:rFonts w:ascii="Arial Unicode MS" w:hAnsi="Arial Unicode MS" w:eastAsia="Arial Unicode MS"/>
      <w:color w:val="000000"/>
      <w:lang w:val="en-US" w:eastAsia="zh-CN" w:bidi="ar-SA"/>
    </w:rPr>
  </w:style>
  <w:style w:type="character" w:customStyle="1" w:styleId="92">
    <w:name w:val="纯文本 字符"/>
    <w:link w:val="23"/>
    <w:autoRedefine/>
    <w:qFormat/>
    <w:uiPriority w:val="0"/>
    <w:rPr>
      <w:rFonts w:ascii="宋体" w:hAnsi="Courier New" w:eastAsia="宋体"/>
      <w:kern w:val="2"/>
      <w:sz w:val="21"/>
      <w:lang w:val="en-US" w:eastAsia="zh-CN" w:bidi="ar-SA"/>
    </w:rPr>
  </w:style>
  <w:style w:type="character" w:customStyle="1" w:styleId="93">
    <w:name w:val="正文文字首行缩进 Char"/>
    <w:autoRedefine/>
    <w:qFormat/>
    <w:uiPriority w:val="0"/>
    <w:rPr>
      <w:kern w:val="2"/>
      <w:sz w:val="21"/>
      <w:szCs w:val="24"/>
    </w:rPr>
  </w:style>
  <w:style w:type="character" w:customStyle="1" w:styleId="94">
    <w:name w:val="正文文本 字符"/>
    <w:link w:val="2"/>
    <w:autoRedefine/>
    <w:qFormat/>
    <w:uiPriority w:val="0"/>
    <w:rPr>
      <w:rFonts w:eastAsia="宋体"/>
      <w:b/>
      <w:bCs/>
      <w:kern w:val="2"/>
      <w:sz w:val="24"/>
      <w:szCs w:val="24"/>
      <w:lang w:val="en-US" w:eastAsia="zh-CN" w:bidi="ar-SA"/>
    </w:rPr>
  </w:style>
  <w:style w:type="character" w:customStyle="1" w:styleId="95">
    <w:name w:val="正文文本缩进 2 字符"/>
    <w:link w:val="26"/>
    <w:autoRedefine/>
    <w:qFormat/>
    <w:uiPriority w:val="0"/>
    <w:rPr>
      <w:rFonts w:ascii="宋体" w:hAnsi="宋体" w:eastAsia="宋体"/>
      <w:kern w:val="2"/>
      <w:sz w:val="21"/>
      <w:szCs w:val="24"/>
      <w:lang w:val="en-US" w:eastAsia="zh-CN" w:bidi="ar-SA"/>
    </w:rPr>
  </w:style>
  <w:style w:type="character" w:customStyle="1" w:styleId="96">
    <w:name w:val="页眉 字符"/>
    <w:link w:val="30"/>
    <w:autoRedefine/>
    <w:qFormat/>
    <w:uiPriority w:val="99"/>
    <w:rPr>
      <w:rFonts w:eastAsia="宋体"/>
      <w:kern w:val="2"/>
      <w:sz w:val="18"/>
      <w:szCs w:val="18"/>
      <w:lang w:val="en-US" w:eastAsia="zh-CN" w:bidi="ar-SA"/>
    </w:rPr>
  </w:style>
  <w:style w:type="character" w:customStyle="1" w:styleId="97">
    <w:name w:val="正文文本缩进 3 字符"/>
    <w:link w:val="35"/>
    <w:autoRedefine/>
    <w:qFormat/>
    <w:uiPriority w:val="0"/>
    <w:rPr>
      <w:rFonts w:ascii="宋体" w:eastAsia="宋体"/>
      <w:b/>
      <w:bCs/>
      <w:kern w:val="2"/>
      <w:sz w:val="24"/>
      <w:szCs w:val="24"/>
      <w:lang w:val="en-US" w:eastAsia="zh-CN" w:bidi="ar-SA"/>
    </w:rPr>
  </w:style>
  <w:style w:type="character" w:customStyle="1" w:styleId="98">
    <w:name w:val="正文文本 2 字符"/>
    <w:link w:val="3"/>
    <w:autoRedefine/>
    <w:qFormat/>
    <w:uiPriority w:val="0"/>
    <w:rPr>
      <w:rFonts w:eastAsia="宋体"/>
      <w:kern w:val="2"/>
      <w:sz w:val="24"/>
      <w:szCs w:val="24"/>
      <w:lang w:val="en-US" w:eastAsia="zh-CN" w:bidi="ar-SA"/>
    </w:rPr>
  </w:style>
  <w:style w:type="character" w:customStyle="1" w:styleId="99">
    <w:name w:val="页脚 字符"/>
    <w:link w:val="28"/>
    <w:autoRedefine/>
    <w:qFormat/>
    <w:uiPriority w:val="0"/>
    <w:rPr>
      <w:rFonts w:eastAsia="宋体"/>
      <w:kern w:val="2"/>
      <w:sz w:val="18"/>
      <w:szCs w:val="18"/>
      <w:lang w:val="en-US" w:eastAsia="zh-CN" w:bidi="ar-SA"/>
    </w:rPr>
  </w:style>
  <w:style w:type="character" w:customStyle="1" w:styleId="100">
    <w:name w:val="正文文本 3 字符"/>
    <w:link w:val="19"/>
    <w:autoRedefine/>
    <w:qFormat/>
    <w:uiPriority w:val="0"/>
    <w:rPr>
      <w:rFonts w:eastAsia="宋体"/>
      <w:kern w:val="2"/>
      <w:sz w:val="16"/>
      <w:szCs w:val="16"/>
      <w:lang w:val="en-US" w:eastAsia="zh-CN" w:bidi="ar-SA"/>
    </w:rPr>
  </w:style>
  <w:style w:type="character" w:customStyle="1" w:styleId="101">
    <w:name w:val="批注框文本 字符"/>
    <w:link w:val="27"/>
    <w:autoRedefine/>
    <w:semiHidden/>
    <w:qFormat/>
    <w:uiPriority w:val="99"/>
    <w:rPr>
      <w:rFonts w:eastAsia="宋体"/>
      <w:kern w:val="2"/>
      <w:sz w:val="18"/>
      <w:szCs w:val="18"/>
      <w:lang w:val="en-US" w:eastAsia="zh-CN" w:bidi="ar-SA"/>
    </w:rPr>
  </w:style>
  <w:style w:type="paragraph" w:customStyle="1" w:styleId="102">
    <w:name w:val="样式1"/>
    <w:basedOn w:val="41"/>
    <w:autoRedefine/>
    <w:qFormat/>
    <w:uiPriority w:val="0"/>
    <w:pPr>
      <w:spacing w:before="120" w:after="120"/>
    </w:pPr>
    <w:rPr>
      <w:rFonts w:eastAsia="黑体"/>
      <w:b w:val="0"/>
      <w:sz w:val="30"/>
      <w:szCs w:val="21"/>
    </w:rPr>
  </w:style>
  <w:style w:type="paragraph" w:customStyle="1" w:styleId="103">
    <w:name w:val="样式2"/>
    <w:basedOn w:val="41"/>
    <w:next w:val="102"/>
    <w:autoRedefine/>
    <w:qFormat/>
    <w:uiPriority w:val="0"/>
    <w:pPr>
      <w:spacing w:before="120" w:after="120"/>
    </w:pPr>
    <w:rPr>
      <w:rFonts w:eastAsia="黑体"/>
      <w:b w:val="0"/>
      <w:sz w:val="30"/>
      <w:szCs w:val="30"/>
    </w:rPr>
  </w:style>
  <w:style w:type="character" w:customStyle="1" w:styleId="104">
    <w:name w:val="标题 3 Char Char"/>
    <w:autoRedefine/>
    <w:qFormat/>
    <w:uiPriority w:val="0"/>
    <w:rPr>
      <w:rFonts w:eastAsia="宋体"/>
      <w:b/>
      <w:bCs/>
      <w:kern w:val="2"/>
      <w:sz w:val="32"/>
      <w:szCs w:val="32"/>
      <w:lang w:val="en-US" w:eastAsia="zh-CN" w:bidi="ar-SA"/>
    </w:rPr>
  </w:style>
  <w:style w:type="paragraph" w:customStyle="1" w:styleId="105">
    <w:name w:val="Char Char Char Char Char Char1 Char Char Char Char Char Char Char Char Char Char Char Char Char"/>
    <w:basedOn w:val="1"/>
    <w:autoRedefine/>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06">
    <w:name w:val="cont"/>
    <w:basedOn w:val="1"/>
    <w:autoRedefine/>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107">
    <w:name w:val="--规划正文"/>
    <w:basedOn w:val="1"/>
    <w:autoRedefine/>
    <w:qFormat/>
    <w:uiPriority w:val="0"/>
    <w:pPr>
      <w:spacing w:line="360" w:lineRule="auto"/>
      <w:ind w:firstLine="200" w:firstLineChars="200"/>
    </w:pPr>
    <w:rPr>
      <w:szCs w:val="20"/>
    </w:rPr>
  </w:style>
  <w:style w:type="paragraph" w:customStyle="1" w:styleId="108">
    <w:name w:val="设计依据"/>
    <w:basedOn w:val="2"/>
    <w:autoRedefine/>
    <w:qFormat/>
    <w:uiPriority w:val="0"/>
    <w:pPr>
      <w:numPr>
        <w:ilvl w:val="1"/>
        <w:numId w:val="4"/>
      </w:numPr>
      <w:tabs>
        <w:tab w:val="left" w:pos="1440"/>
        <w:tab w:val="clear" w:pos="840"/>
      </w:tabs>
      <w:adjustRightInd w:val="0"/>
      <w:ind w:left="1440"/>
      <w:textAlignment w:val="baseline"/>
    </w:pPr>
    <w:rPr>
      <w:rFonts w:ascii="宋体" w:hAnsi="宋体"/>
      <w:b w:val="0"/>
      <w:kern w:val="0"/>
      <w:sz w:val="28"/>
      <w:szCs w:val="18"/>
    </w:rPr>
  </w:style>
  <w:style w:type="paragraph" w:customStyle="1" w:styleId="109">
    <w:name w:val="方案要点"/>
    <w:basedOn w:val="1"/>
    <w:autoRedefine/>
    <w:qFormat/>
    <w:uiPriority w:val="0"/>
    <w:pPr>
      <w:numPr>
        <w:ilvl w:val="0"/>
        <w:numId w:val="4"/>
      </w:numPr>
      <w:spacing w:line="360" w:lineRule="auto"/>
    </w:pPr>
    <w:rPr>
      <w:rFonts w:ascii="仿宋_GB2312" w:hAnsi="宋体" w:eastAsia="仿宋_GB2312"/>
      <w:color w:val="000000"/>
      <w:sz w:val="28"/>
      <w:szCs w:val="28"/>
    </w:rPr>
  </w:style>
  <w:style w:type="paragraph" w:customStyle="1" w:styleId="110">
    <w:name w:val="样式4"/>
    <w:basedOn w:val="1"/>
    <w:autoRedefine/>
    <w:qFormat/>
    <w:uiPriority w:val="0"/>
    <w:pPr>
      <w:tabs>
        <w:tab w:val="left" w:pos="842"/>
      </w:tabs>
      <w:spacing w:line="360" w:lineRule="auto"/>
      <w:ind w:left="842" w:hanging="420"/>
    </w:pPr>
    <w:rPr>
      <w:sz w:val="24"/>
    </w:rPr>
  </w:style>
  <w:style w:type="paragraph" w:customStyle="1" w:styleId="111">
    <w:name w:val="文字"/>
    <w:basedOn w:val="1"/>
    <w:autoRedefine/>
    <w:qFormat/>
    <w:uiPriority w:val="0"/>
    <w:pPr>
      <w:tabs>
        <w:tab w:val="left" w:pos="8520"/>
      </w:tabs>
      <w:spacing w:line="312" w:lineRule="auto"/>
      <w:ind w:right="-210" w:firstLine="556"/>
    </w:pPr>
    <w:rPr>
      <w:rFonts w:ascii="宋体"/>
      <w:sz w:val="28"/>
      <w:szCs w:val="20"/>
    </w:rPr>
  </w:style>
  <w:style w:type="paragraph" w:customStyle="1" w:styleId="112">
    <w:name w:val="--规划-表格-居左"/>
    <w:basedOn w:val="107"/>
    <w:autoRedefine/>
    <w:qFormat/>
    <w:uiPriority w:val="0"/>
    <w:pPr>
      <w:spacing w:line="240" w:lineRule="auto"/>
      <w:ind w:firstLine="0" w:firstLineChars="0"/>
    </w:pPr>
    <w:rPr>
      <w:sz w:val="20"/>
    </w:rPr>
  </w:style>
  <w:style w:type="paragraph" w:customStyle="1" w:styleId="113">
    <w:name w:val="--规划-表格-居中"/>
    <w:basedOn w:val="107"/>
    <w:autoRedefine/>
    <w:qFormat/>
    <w:uiPriority w:val="0"/>
    <w:pPr>
      <w:spacing w:line="240" w:lineRule="auto"/>
      <w:ind w:firstLine="0" w:firstLineChars="0"/>
      <w:jc w:val="center"/>
    </w:pPr>
    <w:rPr>
      <w:sz w:val="20"/>
    </w:rPr>
  </w:style>
  <w:style w:type="paragraph" w:customStyle="1" w:styleId="114">
    <w:name w:val="--编号内缩进"/>
    <w:basedOn w:val="1"/>
    <w:autoRedefine/>
    <w:qFormat/>
    <w:uiPriority w:val="0"/>
    <w:pPr>
      <w:spacing w:line="360" w:lineRule="auto"/>
      <w:ind w:left="420" w:firstLine="200" w:firstLineChars="200"/>
    </w:pPr>
    <w:rPr>
      <w:szCs w:val="21"/>
    </w:rPr>
  </w:style>
  <w:style w:type="paragraph" w:customStyle="1" w:styleId="115">
    <w:name w:val="--规划-题注"/>
    <w:basedOn w:val="1"/>
    <w:next w:val="107"/>
    <w:autoRedefine/>
    <w:qFormat/>
    <w:uiPriority w:val="0"/>
    <w:pPr>
      <w:spacing w:line="360" w:lineRule="auto"/>
      <w:jc w:val="center"/>
    </w:pPr>
    <w:rPr>
      <w:rFonts w:eastAsia="黑体"/>
    </w:rPr>
  </w:style>
  <w:style w:type="paragraph" w:customStyle="1" w:styleId="116">
    <w:name w:val="--规划-图和表"/>
    <w:next w:val="107"/>
    <w:autoRedefine/>
    <w:qFormat/>
    <w:uiPriority w:val="0"/>
    <w:pPr>
      <w:jc w:val="center"/>
    </w:pPr>
    <w:rPr>
      <w:rFonts w:ascii="Times New Roman" w:hAnsi="Times New Roman" w:eastAsia="宋体" w:cs="Times New Roman"/>
      <w:kern w:val="2"/>
      <w:sz w:val="21"/>
      <w:lang w:val="en-US" w:eastAsia="zh-CN" w:bidi="ar-SA"/>
    </w:rPr>
  </w:style>
  <w:style w:type="paragraph" w:customStyle="1" w:styleId="117">
    <w:name w:val="--规划-小标题"/>
    <w:basedOn w:val="1"/>
    <w:next w:val="107"/>
    <w:autoRedefine/>
    <w:qFormat/>
    <w:uiPriority w:val="0"/>
    <w:pPr>
      <w:keepNext/>
      <w:keepLines/>
      <w:spacing w:line="360" w:lineRule="auto"/>
      <w:outlineLvl w:val="4"/>
    </w:pPr>
    <w:rPr>
      <w:rFonts w:eastAsia="黑体"/>
    </w:rPr>
  </w:style>
  <w:style w:type="paragraph" w:customStyle="1" w:styleId="118">
    <w:name w:val="--规划正文 Char"/>
    <w:basedOn w:val="1"/>
    <w:autoRedefine/>
    <w:qFormat/>
    <w:uiPriority w:val="0"/>
    <w:pPr>
      <w:spacing w:line="360" w:lineRule="auto"/>
      <w:ind w:firstLine="200" w:firstLineChars="200"/>
    </w:pPr>
    <w:rPr>
      <w:sz w:val="24"/>
    </w:rPr>
  </w:style>
  <w:style w:type="paragraph" w:customStyle="1" w:styleId="119">
    <w:name w:val="缺省文本"/>
    <w:basedOn w:val="1"/>
    <w:autoRedefine/>
    <w:qFormat/>
    <w:uiPriority w:val="0"/>
    <w:pPr>
      <w:autoSpaceDE w:val="0"/>
      <w:autoSpaceDN w:val="0"/>
      <w:adjustRightInd w:val="0"/>
      <w:jc w:val="left"/>
    </w:pPr>
    <w:rPr>
      <w:kern w:val="0"/>
    </w:rPr>
  </w:style>
  <w:style w:type="paragraph" w:customStyle="1" w:styleId="120">
    <w:name w:val="封面文档标题"/>
    <w:basedOn w:val="1"/>
    <w:autoRedefine/>
    <w:qFormat/>
    <w:uiPriority w:val="0"/>
    <w:pPr>
      <w:autoSpaceDE w:val="0"/>
      <w:autoSpaceDN w:val="0"/>
      <w:adjustRightInd w:val="0"/>
      <w:spacing w:line="360" w:lineRule="auto"/>
      <w:jc w:val="center"/>
    </w:pPr>
    <w:rPr>
      <w:rFonts w:ascii="Arial" w:hAnsi="Arial"/>
      <w:b/>
      <w:kern w:val="0"/>
      <w:sz w:val="56"/>
    </w:rPr>
  </w:style>
  <w:style w:type="character" w:customStyle="1" w:styleId="121">
    <w:name w:val="--规划正文 Char Char"/>
    <w:autoRedefine/>
    <w:qFormat/>
    <w:uiPriority w:val="0"/>
    <w:rPr>
      <w:rFonts w:eastAsia="宋体"/>
      <w:kern w:val="2"/>
      <w:sz w:val="24"/>
      <w:szCs w:val="24"/>
      <w:lang w:val="en-US" w:eastAsia="zh-CN" w:bidi="ar-SA"/>
    </w:rPr>
  </w:style>
  <w:style w:type="paragraph" w:customStyle="1" w:styleId="122">
    <w:name w:val="样式3"/>
    <w:basedOn w:val="4"/>
    <w:autoRedefine/>
    <w:qFormat/>
    <w:uiPriority w:val="0"/>
    <w:pPr>
      <w:numPr>
        <w:ilvl w:val="0"/>
        <w:numId w:val="5"/>
      </w:numPr>
      <w:spacing w:before="240" w:after="240" w:line="480" w:lineRule="auto"/>
      <w:ind w:right="210" w:rightChars="100"/>
      <w:jc w:val="left"/>
    </w:pPr>
    <w:rPr>
      <w:rFonts w:ascii="Times New Roman" w:hAnsi="Times New Roman"/>
      <w:sz w:val="32"/>
    </w:rPr>
  </w:style>
  <w:style w:type="character" w:customStyle="1" w:styleId="123">
    <w:name w:val="--规划正文 Char1"/>
    <w:autoRedefine/>
    <w:qFormat/>
    <w:uiPriority w:val="0"/>
    <w:rPr>
      <w:rFonts w:eastAsia="宋体"/>
      <w:kern w:val="2"/>
      <w:sz w:val="21"/>
      <w:lang w:val="en-US" w:eastAsia="zh-CN" w:bidi="ar-SA"/>
    </w:rPr>
  </w:style>
  <w:style w:type="paragraph" w:customStyle="1" w:styleId="124">
    <w:name w:val="word"/>
    <w:basedOn w:val="1"/>
    <w:autoRedefine/>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125">
    <w:name w:val="列表项目"/>
    <w:basedOn w:val="1"/>
    <w:autoRedefine/>
    <w:qFormat/>
    <w:uiPriority w:val="0"/>
    <w:pPr>
      <w:tabs>
        <w:tab w:val="left" w:pos="420"/>
        <w:tab w:val="left" w:pos="1080"/>
      </w:tabs>
      <w:spacing w:line="288" w:lineRule="auto"/>
      <w:ind w:left="1080" w:hanging="360"/>
    </w:pPr>
    <w:rPr>
      <w:sz w:val="24"/>
      <w:szCs w:val="20"/>
    </w:rPr>
  </w:style>
  <w:style w:type="character" w:customStyle="1" w:styleId="126">
    <w:name w:val="content1"/>
    <w:autoRedefine/>
    <w:qFormat/>
    <w:uiPriority w:val="0"/>
    <w:rPr>
      <w:rFonts w:hint="default" w:ascii="??" w:hAnsi="??"/>
      <w:sz w:val="16"/>
      <w:szCs w:val="16"/>
      <w:u w:val="none"/>
    </w:rPr>
  </w:style>
  <w:style w:type="character" w:customStyle="1" w:styleId="127">
    <w:name w:val="unnamed4"/>
    <w:basedOn w:val="48"/>
    <w:autoRedefine/>
    <w:qFormat/>
    <w:uiPriority w:val="0"/>
  </w:style>
  <w:style w:type="character" w:customStyle="1" w:styleId="128">
    <w:name w:val="font2"/>
    <w:basedOn w:val="48"/>
    <w:autoRedefine/>
    <w:qFormat/>
    <w:uiPriority w:val="0"/>
  </w:style>
  <w:style w:type="character" w:customStyle="1" w:styleId="129">
    <w:name w:val="font41"/>
    <w:autoRedefine/>
    <w:qFormat/>
    <w:uiPriority w:val="0"/>
    <w:rPr>
      <w:color w:val="000000"/>
      <w:spacing w:val="260"/>
      <w:sz w:val="18"/>
      <w:szCs w:val="18"/>
      <w:u w:val="none"/>
    </w:rPr>
  </w:style>
  <w:style w:type="paragraph" w:customStyle="1" w:styleId="130">
    <w:name w:val="正文(首行缩进)"/>
    <w:autoRedefine/>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131">
    <w:name w:val="xl72"/>
    <w:basedOn w:val="1"/>
    <w:autoRedefine/>
    <w:qFormat/>
    <w:uiPriority w:val="0"/>
    <w:pPr>
      <w:widowControl/>
      <w:spacing w:before="100" w:beforeAutospacing="1" w:after="100" w:afterAutospacing="1"/>
      <w:jc w:val="left"/>
    </w:pPr>
    <w:rPr>
      <w:rFonts w:ascii="宋体" w:hAnsi="宋体"/>
      <w:b/>
      <w:bCs/>
      <w:kern w:val="0"/>
      <w:sz w:val="28"/>
      <w:szCs w:val="28"/>
    </w:rPr>
  </w:style>
  <w:style w:type="character" w:customStyle="1" w:styleId="132">
    <w:name w:val="正文首行缩进 字符"/>
    <w:link w:val="43"/>
    <w:autoRedefine/>
    <w:qFormat/>
    <w:uiPriority w:val="0"/>
    <w:rPr>
      <w:rFonts w:eastAsia="宋体"/>
      <w:b/>
      <w:bCs/>
      <w:kern w:val="2"/>
      <w:sz w:val="21"/>
      <w:szCs w:val="24"/>
      <w:lang w:val="en-US" w:eastAsia="zh-CN" w:bidi="ar-SA"/>
    </w:rPr>
  </w:style>
  <w:style w:type="paragraph" w:customStyle="1" w:styleId="133">
    <w:name w:val="正文(首行缩进) Char"/>
    <w:autoRedefine/>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134">
    <w:name w:val="汉议细等线简8"/>
    <w:autoRedefine/>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135">
    <w:name w:val="汉仪细等线简9BOLD"/>
    <w:basedOn w:val="1"/>
    <w:autoRedefine/>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36">
    <w:name w:val="mode"/>
    <w:basedOn w:val="48"/>
    <w:autoRedefine/>
    <w:qFormat/>
    <w:uiPriority w:val="0"/>
  </w:style>
  <w:style w:type="paragraph" w:customStyle="1" w:styleId="137">
    <w:name w:val="9"/>
    <w:basedOn w:val="1"/>
    <w:next w:val="9"/>
    <w:autoRedefine/>
    <w:qFormat/>
    <w:uiPriority w:val="0"/>
    <w:pPr>
      <w:autoSpaceDE w:val="0"/>
      <w:autoSpaceDN w:val="0"/>
      <w:adjustRightInd w:val="0"/>
      <w:ind w:firstLine="420"/>
      <w:jc w:val="left"/>
      <w:textAlignment w:val="baseline"/>
    </w:pPr>
    <w:rPr>
      <w:rFonts w:ascii="宋体"/>
      <w:kern w:val="0"/>
      <w:sz w:val="34"/>
      <w:szCs w:val="20"/>
    </w:rPr>
  </w:style>
  <w:style w:type="character" w:customStyle="1" w:styleId="138">
    <w:name w:val="unnamed3"/>
    <w:basedOn w:val="48"/>
    <w:autoRedefine/>
    <w:qFormat/>
    <w:uiPriority w:val="0"/>
  </w:style>
  <w:style w:type="paragraph" w:customStyle="1" w:styleId="139">
    <w:name w:val="8"/>
    <w:basedOn w:val="1"/>
    <w:next w:val="20"/>
    <w:autoRedefine/>
    <w:qFormat/>
    <w:uiPriority w:val="0"/>
    <w:pPr>
      <w:spacing w:after="120"/>
      <w:ind w:left="420" w:leftChars="200"/>
    </w:pPr>
  </w:style>
  <w:style w:type="paragraph" w:customStyle="1" w:styleId="140">
    <w:name w:val="7"/>
    <w:basedOn w:val="1"/>
    <w:autoRedefine/>
    <w:qFormat/>
    <w:uiPriority w:val="0"/>
    <w:pPr>
      <w:autoSpaceDE w:val="0"/>
      <w:autoSpaceDN w:val="0"/>
      <w:adjustRightInd w:val="0"/>
      <w:spacing w:line="270" w:lineRule="atLeast"/>
      <w:jc w:val="left"/>
    </w:pPr>
    <w:rPr>
      <w:rFonts w:ascii="宋体"/>
      <w:kern w:val="0"/>
      <w:sz w:val="18"/>
      <w:szCs w:val="18"/>
    </w:rPr>
  </w:style>
  <w:style w:type="paragraph" w:customStyle="1" w:styleId="141">
    <w:name w:val="00"/>
    <w:basedOn w:val="1"/>
    <w:autoRedefine/>
    <w:qFormat/>
    <w:uiPriority w:val="0"/>
    <w:pPr>
      <w:autoSpaceDE w:val="0"/>
      <w:autoSpaceDN w:val="0"/>
      <w:adjustRightInd w:val="0"/>
      <w:jc w:val="left"/>
    </w:pPr>
    <w:rPr>
      <w:rFonts w:ascii="黑体" w:eastAsia="黑体"/>
      <w:b/>
      <w:bCs/>
      <w:kern w:val="0"/>
      <w:sz w:val="20"/>
      <w:szCs w:val="20"/>
    </w:rPr>
  </w:style>
  <w:style w:type="paragraph" w:customStyle="1" w:styleId="142">
    <w:name w:val="5"/>
    <w:basedOn w:val="1"/>
    <w:autoRedefine/>
    <w:qFormat/>
    <w:uiPriority w:val="0"/>
    <w:pPr>
      <w:autoSpaceDE w:val="0"/>
      <w:autoSpaceDN w:val="0"/>
      <w:adjustRightInd w:val="0"/>
      <w:jc w:val="left"/>
    </w:pPr>
    <w:rPr>
      <w:rFonts w:ascii="宋体"/>
      <w:b/>
      <w:bCs/>
      <w:kern w:val="0"/>
      <w:sz w:val="18"/>
      <w:szCs w:val="18"/>
    </w:rPr>
  </w:style>
  <w:style w:type="paragraph" w:customStyle="1" w:styleId="143">
    <w:name w:val="6"/>
    <w:basedOn w:val="142"/>
    <w:autoRedefine/>
    <w:qFormat/>
    <w:uiPriority w:val="0"/>
    <w:pPr>
      <w:spacing w:line="270" w:lineRule="atLeast"/>
      <w:jc w:val="both"/>
    </w:pPr>
    <w:rPr>
      <w:b w:val="0"/>
      <w:bCs w:val="0"/>
    </w:rPr>
  </w:style>
  <w:style w:type="paragraph" w:customStyle="1" w:styleId="144">
    <w:name w:val="产品描述"/>
    <w:autoRedefine/>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45">
    <w:name w:val="姜文清定义的正文"/>
    <w:basedOn w:val="1"/>
    <w:autoRedefine/>
    <w:qFormat/>
    <w:uiPriority w:val="0"/>
    <w:pPr>
      <w:spacing w:line="240" w:lineRule="atLeast"/>
      <w:ind w:firstLine="567"/>
    </w:pPr>
    <w:rPr>
      <w:szCs w:val="20"/>
    </w:rPr>
  </w:style>
  <w:style w:type="paragraph" w:customStyle="1" w:styleId="146">
    <w:name w:val="Default"/>
    <w:autoRedefine/>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47">
    <w:name w:val="CM2"/>
    <w:basedOn w:val="146"/>
    <w:next w:val="146"/>
    <w:autoRedefine/>
    <w:qFormat/>
    <w:uiPriority w:val="0"/>
    <w:pPr>
      <w:spacing w:line="200" w:lineRule="atLeast"/>
    </w:pPr>
    <w:rPr>
      <w:rFonts w:ascii="Arial" w:hAnsi="Arial" w:eastAsia="宋体" w:cs="Times New Roman"/>
      <w:color w:val="auto"/>
    </w:rPr>
  </w:style>
  <w:style w:type="paragraph" w:customStyle="1" w:styleId="148">
    <w:name w:val="Normal Paragraph"/>
    <w:basedOn w:val="1"/>
    <w:autoRedefine/>
    <w:qFormat/>
    <w:uiPriority w:val="0"/>
    <w:pPr>
      <w:widowControl/>
      <w:spacing w:before="120" w:line="360" w:lineRule="auto"/>
      <w:ind w:firstLine="425"/>
    </w:pPr>
    <w:rPr>
      <w:kern w:val="0"/>
      <w:sz w:val="24"/>
    </w:rPr>
  </w:style>
  <w:style w:type="character" w:customStyle="1" w:styleId="149">
    <w:name w:val="blue"/>
    <w:basedOn w:val="48"/>
    <w:autoRedefine/>
    <w:qFormat/>
    <w:uiPriority w:val="0"/>
  </w:style>
  <w:style w:type="paragraph" w:customStyle="1" w:styleId="150">
    <w:name w:val="blue1"/>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51">
    <w:name w:val="font"/>
    <w:basedOn w:val="48"/>
    <w:autoRedefine/>
    <w:qFormat/>
    <w:uiPriority w:val="0"/>
  </w:style>
  <w:style w:type="character" w:customStyle="1" w:styleId="152">
    <w:name w:val="font11"/>
    <w:autoRedefine/>
    <w:qFormat/>
    <w:uiPriority w:val="0"/>
    <w:rPr>
      <w:rFonts w:hint="default" w:ascii="ˎ̥" w:hAnsi="ˎ̥"/>
    </w:rPr>
  </w:style>
  <w:style w:type="paragraph" w:customStyle="1" w:styleId="153">
    <w:name w:val="a14"/>
    <w:basedOn w:val="1"/>
    <w:autoRedefine/>
    <w:qFormat/>
    <w:uiPriority w:val="0"/>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154">
    <w:name w:val="proddescription"/>
    <w:basedOn w:val="48"/>
    <w:autoRedefine/>
    <w:qFormat/>
    <w:uiPriority w:val="0"/>
  </w:style>
  <w:style w:type="character" w:customStyle="1" w:styleId="155">
    <w:name w:val="prodheadlines"/>
    <w:basedOn w:val="48"/>
    <w:autoRedefine/>
    <w:qFormat/>
    <w:uiPriority w:val="0"/>
  </w:style>
  <w:style w:type="character" w:customStyle="1" w:styleId="156">
    <w:name w:val="text"/>
    <w:basedOn w:val="48"/>
    <w:autoRedefine/>
    <w:qFormat/>
    <w:uiPriority w:val="0"/>
  </w:style>
  <w:style w:type="paragraph" w:customStyle="1" w:styleId="157">
    <w:name w:val="text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58">
    <w:name w:val="z-窗体顶端1"/>
    <w:basedOn w:val="1"/>
    <w:next w:val="1"/>
    <w:autoRedefine/>
    <w:hidden/>
    <w:qFormat/>
    <w:uiPriority w:val="0"/>
    <w:pPr>
      <w:widowControl/>
      <w:pBdr>
        <w:bottom w:val="single" w:color="auto" w:sz="6" w:space="1"/>
      </w:pBdr>
      <w:jc w:val="center"/>
    </w:pPr>
    <w:rPr>
      <w:rFonts w:ascii="Arial" w:hAnsi="Arial" w:cs="Arial"/>
      <w:vanish/>
      <w:kern w:val="0"/>
      <w:sz w:val="16"/>
      <w:szCs w:val="16"/>
    </w:rPr>
  </w:style>
  <w:style w:type="paragraph" w:customStyle="1" w:styleId="159">
    <w:name w:val="z-窗体底端1"/>
    <w:basedOn w:val="1"/>
    <w:next w:val="1"/>
    <w:autoRedefine/>
    <w:hidden/>
    <w:qFormat/>
    <w:uiPriority w:val="0"/>
    <w:pPr>
      <w:widowControl/>
      <w:pBdr>
        <w:top w:val="single" w:color="auto" w:sz="6" w:space="1"/>
      </w:pBdr>
      <w:jc w:val="center"/>
    </w:pPr>
    <w:rPr>
      <w:rFonts w:ascii="Arial" w:hAnsi="Arial" w:cs="Arial"/>
      <w:vanish/>
      <w:kern w:val="0"/>
      <w:sz w:val="16"/>
      <w:szCs w:val="16"/>
    </w:rPr>
  </w:style>
  <w:style w:type="paragraph" w:customStyle="1" w:styleId="160">
    <w:name w:val="正文样式"/>
    <w:basedOn w:val="1"/>
    <w:autoRedefine/>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61">
    <w:name w:val="xl34"/>
    <w:basedOn w:val="1"/>
    <w:autoRedefine/>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62">
    <w:name w:val="段落正文"/>
    <w:basedOn w:val="23"/>
    <w:autoRedefine/>
    <w:qFormat/>
    <w:uiPriority w:val="0"/>
    <w:pPr>
      <w:ind w:firstLine="560" w:firstLineChars="200"/>
    </w:pPr>
    <w:rPr>
      <w:sz w:val="28"/>
    </w:rPr>
  </w:style>
  <w:style w:type="character" w:customStyle="1" w:styleId="163">
    <w:name w:val="gray6"/>
    <w:basedOn w:val="48"/>
    <w:autoRedefine/>
    <w:qFormat/>
    <w:uiPriority w:val="0"/>
  </w:style>
  <w:style w:type="character" w:customStyle="1" w:styleId="164">
    <w:name w:val="style9"/>
    <w:basedOn w:val="48"/>
    <w:autoRedefine/>
    <w:qFormat/>
    <w:uiPriority w:val="0"/>
  </w:style>
  <w:style w:type="paragraph" w:customStyle="1" w:styleId="165">
    <w:name w:val="2册标题4"/>
    <w:basedOn w:val="1"/>
    <w:next w:val="1"/>
    <w:autoRedefine/>
    <w:qFormat/>
    <w:uiPriority w:val="0"/>
    <w:pPr>
      <w:spacing w:beforeLines="50" w:afterLines="50" w:line="300" w:lineRule="auto"/>
      <w:ind w:left="420" w:leftChars="200"/>
      <w:outlineLvl w:val="3"/>
    </w:pPr>
    <w:rPr>
      <w:rFonts w:ascii="Arial" w:hAnsi="Arial" w:eastAsia="幼圆" w:cs="Arial"/>
      <w:b/>
      <w:sz w:val="24"/>
    </w:rPr>
  </w:style>
  <w:style w:type="character" w:customStyle="1" w:styleId="166">
    <w:name w:val="grame"/>
    <w:basedOn w:val="48"/>
    <w:autoRedefine/>
    <w:qFormat/>
    <w:uiPriority w:val="0"/>
  </w:style>
  <w:style w:type="paragraph" w:customStyle="1" w:styleId="167">
    <w:name w:val="style2"/>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68">
    <w:name w:val="Char1"/>
    <w:basedOn w:val="1"/>
    <w:autoRedefine/>
    <w:qFormat/>
    <w:uiPriority w:val="0"/>
    <w:pPr>
      <w:jc w:val="left"/>
    </w:pPr>
    <w:rPr>
      <w:rFonts w:ascii="Tahoma" w:hAnsi="Tahoma"/>
      <w:sz w:val="24"/>
      <w:szCs w:val="20"/>
    </w:rPr>
  </w:style>
  <w:style w:type="paragraph" w:customStyle="1" w:styleId="169">
    <w:name w:val="编号1"/>
    <w:basedOn w:val="1"/>
    <w:autoRedefine/>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70">
    <w:name w:val="Char Char Char Char Char Char Char Char Char Char Char Char Char Char Char Char Char Char Char Char Char Char"/>
    <w:basedOn w:val="1"/>
    <w:autoRedefine/>
    <w:qFormat/>
    <w:uiPriority w:val="0"/>
    <w:pPr>
      <w:widowControl/>
      <w:spacing w:line="400" w:lineRule="exact"/>
      <w:jc w:val="center"/>
    </w:pPr>
    <w:rPr>
      <w:rFonts w:ascii="Verdana" w:hAnsi="Verdana"/>
      <w:kern w:val="0"/>
      <w:szCs w:val="20"/>
      <w:lang w:eastAsia="en-US"/>
    </w:rPr>
  </w:style>
  <w:style w:type="paragraph" w:customStyle="1" w:styleId="171">
    <w:name w:val="font0"/>
    <w:basedOn w:val="1"/>
    <w:autoRedefine/>
    <w:qFormat/>
    <w:uiPriority w:val="0"/>
    <w:pPr>
      <w:widowControl/>
      <w:spacing w:before="100" w:beforeAutospacing="1" w:after="100" w:afterAutospacing="1"/>
      <w:jc w:val="left"/>
    </w:pPr>
    <w:rPr>
      <w:rFonts w:hint="eastAsia" w:ascii="宋体" w:hAnsi="宋体"/>
      <w:kern w:val="0"/>
      <w:sz w:val="24"/>
    </w:rPr>
  </w:style>
  <w:style w:type="paragraph" w:customStyle="1" w:styleId="172">
    <w:name w:val="font5"/>
    <w:basedOn w:val="1"/>
    <w:autoRedefine/>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73">
    <w:name w:val="font6"/>
    <w:basedOn w:val="1"/>
    <w:autoRedefine/>
    <w:qFormat/>
    <w:uiPriority w:val="0"/>
    <w:pPr>
      <w:widowControl/>
      <w:spacing w:before="100" w:beforeAutospacing="1" w:after="100" w:afterAutospacing="1"/>
      <w:jc w:val="left"/>
    </w:pPr>
    <w:rPr>
      <w:kern w:val="0"/>
      <w:sz w:val="24"/>
    </w:rPr>
  </w:style>
  <w:style w:type="paragraph" w:customStyle="1" w:styleId="174">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75">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76">
    <w:name w:val="表格字"/>
    <w:basedOn w:val="1"/>
    <w:autoRedefine/>
    <w:qFormat/>
    <w:uiPriority w:val="0"/>
    <w:pPr>
      <w:adjustRightInd w:val="0"/>
      <w:jc w:val="center"/>
    </w:pPr>
    <w:rPr>
      <w:rFonts w:ascii="宋体"/>
      <w:sz w:val="24"/>
      <w:szCs w:val="20"/>
    </w:rPr>
  </w:style>
  <w:style w:type="character" w:customStyle="1" w:styleId="177">
    <w:name w:val="样式 小三 加粗"/>
    <w:autoRedefine/>
    <w:qFormat/>
    <w:uiPriority w:val="0"/>
    <w:rPr>
      <w:rFonts w:eastAsia="宋体"/>
      <w:b/>
      <w:bCs/>
      <w:sz w:val="32"/>
    </w:rPr>
  </w:style>
  <w:style w:type="paragraph" w:customStyle="1" w:styleId="178">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9">
    <w:name w:val="qw"/>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80">
    <w:name w:val="Char Char Char"/>
    <w:basedOn w:val="1"/>
    <w:autoRedefine/>
    <w:qFormat/>
    <w:uiPriority w:val="0"/>
    <w:rPr>
      <w:rFonts w:ascii="Tahoma" w:hAnsi="Tahoma"/>
      <w:sz w:val="24"/>
      <w:szCs w:val="20"/>
    </w:rPr>
  </w:style>
  <w:style w:type="paragraph" w:customStyle="1" w:styleId="181">
    <w:name w:val="Char2"/>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2">
    <w:name w:val="info4"/>
    <w:basedOn w:val="48"/>
    <w:autoRedefine/>
    <w:qFormat/>
    <w:uiPriority w:val="0"/>
  </w:style>
  <w:style w:type="paragraph" w:customStyle="1" w:styleId="183">
    <w:name w:val="缩进正文"/>
    <w:basedOn w:val="1"/>
    <w:link w:val="184"/>
    <w:autoRedefine/>
    <w:qFormat/>
    <w:uiPriority w:val="0"/>
    <w:pPr>
      <w:ind w:firstLine="560" w:firstLineChars="200"/>
    </w:pPr>
    <w:rPr>
      <w:rFonts w:eastAsia="仿宋_GB2312" w:cs="宋体"/>
      <w:sz w:val="28"/>
      <w:szCs w:val="20"/>
    </w:rPr>
  </w:style>
  <w:style w:type="character" w:customStyle="1" w:styleId="184">
    <w:name w:val="缩进正文 Char"/>
    <w:link w:val="183"/>
    <w:autoRedefine/>
    <w:qFormat/>
    <w:uiPriority w:val="0"/>
    <w:rPr>
      <w:rFonts w:eastAsia="仿宋_GB2312" w:cs="宋体"/>
      <w:kern w:val="2"/>
      <w:sz w:val="28"/>
      <w:lang w:val="en-US" w:eastAsia="zh-CN" w:bidi="ar-SA"/>
    </w:rPr>
  </w:style>
  <w:style w:type="paragraph" w:customStyle="1" w:styleId="185">
    <w:name w:val="列出段落1"/>
    <w:basedOn w:val="1"/>
    <w:autoRedefine/>
    <w:qFormat/>
    <w:uiPriority w:val="0"/>
    <w:pPr>
      <w:ind w:firstLine="420" w:firstLineChars="200"/>
    </w:pPr>
    <w:rPr>
      <w:rFonts w:ascii="Calibri" w:hAnsi="Calibri" w:cs="Calibri"/>
      <w:szCs w:val="21"/>
    </w:rPr>
  </w:style>
  <w:style w:type="character" w:customStyle="1" w:styleId="186">
    <w:name w:val="批注文字 字符"/>
    <w:basedOn w:val="48"/>
    <w:link w:val="18"/>
    <w:autoRedefine/>
    <w:qFormat/>
    <w:uiPriority w:val="0"/>
    <w:rPr>
      <w:rFonts w:ascii="宋体"/>
      <w:sz w:val="34"/>
    </w:rPr>
  </w:style>
  <w:style w:type="character" w:customStyle="1" w:styleId="187">
    <w:name w:val="批注主题 字符"/>
    <w:basedOn w:val="186"/>
    <w:link w:val="42"/>
    <w:autoRedefine/>
    <w:qFormat/>
    <w:uiPriority w:val="99"/>
    <w:rPr>
      <w:rFonts w:ascii="宋体"/>
      <w:sz w:val="34"/>
    </w:rPr>
  </w:style>
  <w:style w:type="paragraph" w:customStyle="1" w:styleId="188">
    <w:name w:val="评价"/>
    <w:basedOn w:val="1"/>
    <w:autoRedefine/>
    <w:qFormat/>
    <w:uiPriority w:val="0"/>
    <w:pPr>
      <w:spacing w:afterLines="20"/>
      <w:ind w:firstLine="1446" w:firstLineChars="200"/>
    </w:pPr>
    <w:rPr>
      <w:rFonts w:ascii="Calibri" w:hAnsi="Calibri"/>
      <w:sz w:val="24"/>
    </w:rPr>
  </w:style>
  <w:style w:type="paragraph" w:customStyle="1" w:styleId="189">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90">
    <w:name w:val="alt-edited1"/>
    <w:autoRedefine/>
    <w:qFormat/>
    <w:uiPriority w:val="0"/>
    <w:rPr>
      <w:color w:val="4D90F0"/>
    </w:rPr>
  </w:style>
  <w:style w:type="paragraph" w:customStyle="1" w:styleId="191">
    <w:name w:val="toc 14"/>
    <w:next w:val="1"/>
    <w:autoRedefine/>
    <w:qFormat/>
    <w:uiPriority w:val="0"/>
    <w:pPr>
      <w:wordWrap w:val="0"/>
      <w:jc w:val="both"/>
    </w:pPr>
    <w:rPr>
      <w:rFonts w:ascii="Calibri" w:hAnsi="Calibri" w:eastAsia="宋体" w:cs="Times New Roman"/>
      <w:sz w:val="21"/>
      <w:lang w:val="en-US" w:eastAsia="zh-CN" w:bidi="ar-SA"/>
    </w:rPr>
  </w:style>
  <w:style w:type="character" w:customStyle="1" w:styleId="192">
    <w:name w:val="文档结构图 Char1"/>
    <w:autoRedefine/>
    <w:semiHidden/>
    <w:qFormat/>
    <w:uiPriority w:val="0"/>
    <w:rPr>
      <w:sz w:val="20"/>
    </w:rPr>
  </w:style>
  <w:style w:type="character" w:customStyle="1" w:styleId="193">
    <w:name w:val="文档结构图 Char"/>
    <w:autoRedefine/>
    <w:semiHidden/>
    <w:qFormat/>
    <w:uiPriority w:val="0"/>
    <w:rPr>
      <w:sz w:val="20"/>
    </w:rPr>
  </w:style>
  <w:style w:type="character" w:customStyle="1" w:styleId="194">
    <w:name w:val="short_text"/>
    <w:basedOn w:val="48"/>
    <w:autoRedefine/>
    <w:qFormat/>
    <w:uiPriority w:val="0"/>
    <w:rPr>
      <w:sz w:val="20"/>
    </w:rPr>
  </w:style>
  <w:style w:type="character" w:customStyle="1" w:styleId="195">
    <w:name w:val="标题 Char1"/>
    <w:autoRedefine/>
    <w:qFormat/>
    <w:uiPriority w:val="0"/>
    <w:rPr>
      <w:b/>
      <w:sz w:val="20"/>
    </w:rPr>
  </w:style>
  <w:style w:type="character" w:customStyle="1" w:styleId="196">
    <w:name w:val="正文文本缩进 3 Char1"/>
    <w:autoRedefine/>
    <w:semiHidden/>
    <w:qFormat/>
    <w:uiPriority w:val="0"/>
    <w:rPr>
      <w:sz w:val="20"/>
    </w:rPr>
  </w:style>
  <w:style w:type="character" w:customStyle="1" w:styleId="197">
    <w:name w:val="font21"/>
    <w:autoRedefine/>
    <w:qFormat/>
    <w:uiPriority w:val="0"/>
    <w:rPr>
      <w:color w:val="FF0000"/>
      <w:sz w:val="20"/>
      <w:u w:val="none"/>
    </w:rPr>
  </w:style>
  <w:style w:type="character" w:customStyle="1" w:styleId="198">
    <w:name w:val="不明显强调1"/>
    <w:autoRedefine/>
    <w:qFormat/>
    <w:uiPriority w:val="0"/>
    <w:rPr>
      <w:i/>
      <w:sz w:val="20"/>
    </w:rPr>
  </w:style>
  <w:style w:type="character" w:customStyle="1" w:styleId="199">
    <w:name w:val="font71"/>
    <w:autoRedefine/>
    <w:qFormat/>
    <w:uiPriority w:val="0"/>
    <w:rPr>
      <w:sz w:val="20"/>
      <w:u w:val="none"/>
    </w:rPr>
  </w:style>
  <w:style w:type="character" w:customStyle="1" w:styleId="200">
    <w:name w:val="页眉 Char1"/>
    <w:autoRedefine/>
    <w:semiHidden/>
    <w:qFormat/>
    <w:uiPriority w:val="0"/>
    <w:rPr>
      <w:sz w:val="20"/>
    </w:rPr>
  </w:style>
  <w:style w:type="character" w:customStyle="1" w:styleId="201">
    <w:name w:val="正文文本缩进 2 Char1"/>
    <w:autoRedefine/>
    <w:semiHidden/>
    <w:qFormat/>
    <w:uiPriority w:val="0"/>
    <w:rPr>
      <w:sz w:val="20"/>
    </w:rPr>
  </w:style>
  <w:style w:type="character" w:customStyle="1" w:styleId="202">
    <w:name w:val="font61"/>
    <w:autoRedefine/>
    <w:qFormat/>
    <w:uiPriority w:val="0"/>
    <w:rPr>
      <w:sz w:val="20"/>
      <w:u w:val="none"/>
    </w:rPr>
  </w:style>
  <w:style w:type="character" w:customStyle="1" w:styleId="203">
    <w:name w:val="纯文本 Char1"/>
    <w:autoRedefine/>
    <w:semiHidden/>
    <w:qFormat/>
    <w:uiPriority w:val="0"/>
    <w:rPr>
      <w:sz w:val="20"/>
    </w:rPr>
  </w:style>
  <w:style w:type="character" w:customStyle="1" w:styleId="204">
    <w:name w:val="正文文本 3 Char1"/>
    <w:autoRedefine/>
    <w:semiHidden/>
    <w:qFormat/>
    <w:uiPriority w:val="0"/>
    <w:rPr>
      <w:sz w:val="20"/>
    </w:rPr>
  </w:style>
  <w:style w:type="character" w:customStyle="1" w:styleId="205">
    <w:name w:val="正文文本缩进 Char1"/>
    <w:autoRedefine/>
    <w:semiHidden/>
    <w:qFormat/>
    <w:uiPriority w:val="0"/>
    <w:rPr>
      <w:sz w:val="20"/>
    </w:rPr>
  </w:style>
  <w:style w:type="character" w:customStyle="1" w:styleId="206">
    <w:name w:val="明显参考1"/>
    <w:autoRedefine/>
    <w:qFormat/>
    <w:uiPriority w:val="0"/>
    <w:rPr>
      <w:b/>
      <w:sz w:val="20"/>
    </w:rPr>
  </w:style>
  <w:style w:type="character" w:customStyle="1" w:styleId="207">
    <w:name w:val="apple-converted-space"/>
    <w:autoRedefine/>
    <w:qFormat/>
    <w:uiPriority w:val="0"/>
    <w:rPr>
      <w:sz w:val="20"/>
    </w:rPr>
  </w:style>
  <w:style w:type="character" w:customStyle="1" w:styleId="208">
    <w:name w:val="书籍标题1"/>
    <w:autoRedefine/>
    <w:qFormat/>
    <w:uiPriority w:val="0"/>
    <w:rPr>
      <w:b/>
      <w:i/>
      <w:sz w:val="20"/>
    </w:rPr>
  </w:style>
  <w:style w:type="character" w:customStyle="1" w:styleId="209">
    <w:name w:val="long_text"/>
    <w:autoRedefine/>
    <w:qFormat/>
    <w:uiPriority w:val="0"/>
    <w:rPr>
      <w:sz w:val="20"/>
    </w:rPr>
  </w:style>
  <w:style w:type="character" w:customStyle="1" w:styleId="210">
    <w:name w:val="日期 Char1"/>
    <w:autoRedefine/>
    <w:semiHidden/>
    <w:qFormat/>
    <w:uiPriority w:val="0"/>
    <w:rPr>
      <w:sz w:val="20"/>
    </w:rPr>
  </w:style>
  <w:style w:type="character" w:customStyle="1" w:styleId="211">
    <w:name w:val="批注文字 Char1"/>
    <w:autoRedefine/>
    <w:semiHidden/>
    <w:qFormat/>
    <w:uiPriority w:val="0"/>
    <w:rPr>
      <w:sz w:val="20"/>
    </w:rPr>
  </w:style>
  <w:style w:type="character" w:customStyle="1" w:styleId="212">
    <w:name w:val="明显强调1"/>
    <w:autoRedefine/>
    <w:qFormat/>
    <w:uiPriority w:val="0"/>
    <w:rPr>
      <w:i/>
      <w:sz w:val="20"/>
    </w:rPr>
  </w:style>
  <w:style w:type="character" w:customStyle="1" w:styleId="213">
    <w:name w:val="16"/>
    <w:autoRedefine/>
    <w:qFormat/>
    <w:uiPriority w:val="0"/>
    <w:rPr>
      <w:b/>
      <w:color w:val="FF0356"/>
      <w:sz w:val="20"/>
    </w:rPr>
  </w:style>
  <w:style w:type="character" w:customStyle="1" w:styleId="214">
    <w:name w:val="批注主题 Char1"/>
    <w:autoRedefine/>
    <w:semiHidden/>
    <w:qFormat/>
    <w:uiPriority w:val="0"/>
    <w:rPr>
      <w:b/>
      <w:sz w:val="20"/>
    </w:rPr>
  </w:style>
  <w:style w:type="character" w:customStyle="1" w:styleId="215">
    <w:name w:val="正文文本 2 Char1"/>
    <w:autoRedefine/>
    <w:semiHidden/>
    <w:qFormat/>
    <w:uiPriority w:val="0"/>
    <w:rPr>
      <w:sz w:val="20"/>
    </w:rPr>
  </w:style>
  <w:style w:type="character" w:customStyle="1" w:styleId="216">
    <w:name w:val="font31"/>
    <w:autoRedefine/>
    <w:qFormat/>
    <w:uiPriority w:val="0"/>
    <w:rPr>
      <w:color w:val="FF0000"/>
      <w:sz w:val="20"/>
      <w:u w:val="none"/>
      <w:vertAlign w:val="superscript"/>
    </w:rPr>
  </w:style>
  <w:style w:type="character" w:customStyle="1" w:styleId="217">
    <w:name w:val="不明显参考1"/>
    <w:autoRedefine/>
    <w:qFormat/>
    <w:uiPriority w:val="0"/>
    <w:rPr>
      <w:sz w:val="20"/>
    </w:rPr>
  </w:style>
  <w:style w:type="character" w:customStyle="1" w:styleId="218">
    <w:name w:val="HTML 预设格式 Char1"/>
    <w:autoRedefine/>
    <w:semiHidden/>
    <w:qFormat/>
    <w:uiPriority w:val="0"/>
    <w:rPr>
      <w:sz w:val="20"/>
    </w:rPr>
  </w:style>
  <w:style w:type="character" w:customStyle="1" w:styleId="219">
    <w:name w:val="font01"/>
    <w:basedOn w:val="48"/>
    <w:autoRedefine/>
    <w:qFormat/>
    <w:uiPriority w:val="0"/>
    <w:rPr>
      <w:color w:val="FF0000"/>
      <w:sz w:val="20"/>
      <w:u w:val="none"/>
      <w:vertAlign w:val="superscript"/>
    </w:rPr>
  </w:style>
  <w:style w:type="character" w:customStyle="1" w:styleId="220">
    <w:name w:val="页脚 Char1"/>
    <w:autoRedefine/>
    <w:semiHidden/>
    <w:qFormat/>
    <w:uiPriority w:val="0"/>
    <w:rPr>
      <w:sz w:val="20"/>
    </w:rPr>
  </w:style>
  <w:style w:type="character" w:customStyle="1" w:styleId="221">
    <w:name w:val="批注框文本 Char1"/>
    <w:autoRedefine/>
    <w:semiHidden/>
    <w:qFormat/>
    <w:uiPriority w:val="0"/>
    <w:rPr>
      <w:sz w:val="20"/>
    </w:rPr>
  </w:style>
  <w:style w:type="paragraph" w:customStyle="1" w:styleId="222">
    <w:name w:val="列出段落2"/>
    <w:basedOn w:val="1"/>
    <w:next w:val="223"/>
    <w:autoRedefine/>
    <w:qFormat/>
    <w:uiPriority w:val="0"/>
    <w:pPr>
      <w:ind w:firstLine="420"/>
    </w:pPr>
    <w:rPr>
      <w:rFonts w:hAnsi="Calibri"/>
      <w:kern w:val="0"/>
      <w:szCs w:val="20"/>
    </w:rPr>
  </w:style>
  <w:style w:type="paragraph" w:customStyle="1" w:styleId="223">
    <w:name w:val="toc 814"/>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224">
    <w:name w:val="toc 62"/>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225">
    <w:name w:val="toc 414"/>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226">
    <w:name w:val="toc 411"/>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227">
    <w:name w:val="xl86"/>
    <w:basedOn w:val="1"/>
    <w:next w:val="228"/>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228">
    <w:name w:val="toc 515"/>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229">
    <w:name w:val="TOC Heading4"/>
    <w:next w:val="1"/>
    <w:autoRedefine/>
    <w:qFormat/>
    <w:uiPriority w:val="0"/>
    <w:pPr>
      <w:wordWrap w:val="0"/>
    </w:pPr>
    <w:rPr>
      <w:rFonts w:ascii="Calibri" w:hAnsi="Calibri" w:eastAsia="宋体" w:cs="Times New Roman"/>
      <w:sz w:val="32"/>
      <w:lang w:val="en-US" w:eastAsia="zh-CN" w:bidi="ar-SA"/>
    </w:rPr>
  </w:style>
  <w:style w:type="paragraph" w:customStyle="1" w:styleId="230">
    <w:name w:val="toc 15"/>
    <w:next w:val="1"/>
    <w:autoRedefine/>
    <w:qFormat/>
    <w:uiPriority w:val="0"/>
    <w:pPr>
      <w:wordWrap w:val="0"/>
      <w:jc w:val="both"/>
    </w:pPr>
    <w:rPr>
      <w:rFonts w:ascii="Calibri" w:hAnsi="Calibri" w:eastAsia="宋体" w:cs="Times New Roman"/>
      <w:sz w:val="21"/>
      <w:lang w:val="en-US" w:eastAsia="zh-CN" w:bidi="ar-SA"/>
    </w:rPr>
  </w:style>
  <w:style w:type="paragraph" w:customStyle="1" w:styleId="231">
    <w:name w:val="TOC Heading2"/>
    <w:next w:val="1"/>
    <w:autoRedefine/>
    <w:qFormat/>
    <w:uiPriority w:val="0"/>
    <w:pPr>
      <w:wordWrap w:val="0"/>
    </w:pPr>
    <w:rPr>
      <w:rFonts w:ascii="Calibri" w:hAnsi="Calibri" w:eastAsia="宋体" w:cs="Times New Roman"/>
      <w:sz w:val="32"/>
      <w:lang w:val="en-US" w:eastAsia="zh-CN" w:bidi="ar-SA"/>
    </w:rPr>
  </w:style>
  <w:style w:type="paragraph" w:customStyle="1" w:styleId="232">
    <w:name w:val="TOC Heading1"/>
    <w:next w:val="1"/>
    <w:autoRedefine/>
    <w:qFormat/>
    <w:uiPriority w:val="0"/>
    <w:pPr>
      <w:wordWrap w:val="0"/>
    </w:pPr>
    <w:rPr>
      <w:rFonts w:ascii="Calibri" w:hAnsi="Calibri" w:eastAsia="宋体" w:cs="Times New Roman"/>
      <w:sz w:val="32"/>
      <w:lang w:val="en-US" w:eastAsia="zh-CN" w:bidi="ar-SA"/>
    </w:rPr>
  </w:style>
  <w:style w:type="paragraph" w:customStyle="1" w:styleId="233">
    <w:name w:val="toc 73"/>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234">
    <w:name w:val="font7"/>
    <w:basedOn w:val="1"/>
    <w:next w:val="235"/>
    <w:autoRedefine/>
    <w:qFormat/>
    <w:uiPriority w:val="0"/>
    <w:pPr>
      <w:widowControl/>
      <w:spacing w:before="280" w:after="280"/>
    </w:pPr>
    <w:rPr>
      <w:rFonts w:ascii="Arial" w:hAnsi="Calibri"/>
      <w:kern w:val="0"/>
      <w:sz w:val="18"/>
      <w:szCs w:val="20"/>
    </w:rPr>
  </w:style>
  <w:style w:type="paragraph" w:customStyle="1" w:styleId="235">
    <w:name w:val="toc 810"/>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236">
    <w:name w:val="xl113"/>
    <w:basedOn w:val="1"/>
    <w:next w:val="237"/>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237">
    <w:name w:val="TOC Heading10"/>
    <w:next w:val="1"/>
    <w:autoRedefine/>
    <w:qFormat/>
    <w:uiPriority w:val="0"/>
    <w:pPr>
      <w:wordWrap w:val="0"/>
    </w:pPr>
    <w:rPr>
      <w:rFonts w:ascii="Calibri" w:hAnsi="Calibri" w:eastAsia="宋体" w:cs="Times New Roman"/>
      <w:sz w:val="32"/>
      <w:lang w:val="en-US" w:eastAsia="zh-CN" w:bidi="ar-SA"/>
    </w:rPr>
  </w:style>
  <w:style w:type="paragraph" w:customStyle="1" w:styleId="238">
    <w:name w:val="toc 89"/>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239">
    <w:name w:val="xl73"/>
    <w:basedOn w:val="1"/>
    <w:next w:val="240"/>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240">
    <w:name w:val="toc 613"/>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241">
    <w:name w:val="xl79"/>
    <w:basedOn w:val="1"/>
    <w:next w:val="242"/>
    <w:autoRedefine/>
    <w:qFormat/>
    <w:uiPriority w:val="0"/>
    <w:pPr>
      <w:widowControl/>
      <w:shd w:val="clear" w:color="000000" w:fill="FFFFFF"/>
      <w:spacing w:before="280" w:after="280"/>
    </w:pPr>
    <w:rPr>
      <w:rFonts w:ascii="宋体" w:hAnsi="Calibri"/>
      <w:b/>
      <w:kern w:val="0"/>
      <w:sz w:val="20"/>
      <w:szCs w:val="20"/>
    </w:rPr>
  </w:style>
  <w:style w:type="paragraph" w:customStyle="1" w:styleId="242">
    <w:name w:val="toc 87"/>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243">
    <w:name w:val="toc 11"/>
    <w:next w:val="1"/>
    <w:autoRedefine/>
    <w:qFormat/>
    <w:uiPriority w:val="0"/>
    <w:pPr>
      <w:wordWrap w:val="0"/>
      <w:jc w:val="both"/>
    </w:pPr>
    <w:rPr>
      <w:rFonts w:ascii="Calibri" w:hAnsi="Calibri" w:eastAsia="宋体" w:cs="Times New Roman"/>
      <w:sz w:val="21"/>
      <w:lang w:val="en-US" w:eastAsia="zh-CN" w:bidi="ar-SA"/>
    </w:rPr>
  </w:style>
  <w:style w:type="paragraph" w:customStyle="1" w:styleId="244">
    <w:name w:val="toc 410"/>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245">
    <w:name w:val="toc 611"/>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246">
    <w:name w:val="xl112"/>
    <w:basedOn w:val="1"/>
    <w:next w:val="245"/>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247">
    <w:name w:val="toc 514"/>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248">
    <w:name w:val="toc 44"/>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249">
    <w:name w:val="toc 412"/>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250">
    <w:name w:val="xl74"/>
    <w:basedOn w:val="1"/>
    <w:next w:val="251"/>
    <w:autoRedefine/>
    <w:qFormat/>
    <w:uiPriority w:val="0"/>
    <w:pPr>
      <w:widowControl/>
      <w:shd w:val="clear" w:color="000000" w:fill="FFFFFF"/>
      <w:spacing w:before="280" w:after="280"/>
    </w:pPr>
    <w:rPr>
      <w:rFonts w:ascii="宋体" w:hAnsi="Calibri"/>
      <w:kern w:val="0"/>
      <w:sz w:val="20"/>
      <w:szCs w:val="20"/>
    </w:rPr>
  </w:style>
  <w:style w:type="paragraph" w:customStyle="1" w:styleId="251">
    <w:name w:val="toc 57"/>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252">
    <w:name w:val="toc 912"/>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253">
    <w:name w:val="toc 91"/>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254">
    <w:name w:val="toc 38"/>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255">
    <w:name w:val="toc 95"/>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256">
    <w:name w:val="列出段落5"/>
    <w:basedOn w:val="1"/>
    <w:next w:val="257"/>
    <w:autoRedefine/>
    <w:qFormat/>
    <w:uiPriority w:val="0"/>
    <w:pPr>
      <w:ind w:firstLine="420"/>
    </w:pPr>
    <w:rPr>
      <w:rFonts w:hAnsi="Calibri"/>
      <w:kern w:val="0"/>
      <w:szCs w:val="20"/>
    </w:rPr>
  </w:style>
  <w:style w:type="paragraph" w:customStyle="1" w:styleId="257">
    <w:name w:val="toc 312"/>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258">
    <w:name w:val="xl66"/>
    <w:basedOn w:val="1"/>
    <w:next w:val="259"/>
    <w:autoRedefine/>
    <w:qFormat/>
    <w:uiPriority w:val="0"/>
    <w:pPr>
      <w:widowControl/>
      <w:shd w:val="clear" w:color="000000" w:fill="FFFFFF"/>
      <w:spacing w:before="280" w:after="280"/>
    </w:pPr>
    <w:rPr>
      <w:rFonts w:ascii="宋体" w:hAnsi="Calibri"/>
      <w:kern w:val="0"/>
      <w:sz w:val="20"/>
      <w:szCs w:val="20"/>
    </w:rPr>
  </w:style>
  <w:style w:type="paragraph" w:customStyle="1" w:styleId="259">
    <w:name w:val="toc 56"/>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260">
    <w:name w:val="TOC Heading3"/>
    <w:next w:val="1"/>
    <w:autoRedefine/>
    <w:qFormat/>
    <w:uiPriority w:val="0"/>
    <w:pPr>
      <w:wordWrap w:val="0"/>
    </w:pPr>
    <w:rPr>
      <w:rFonts w:ascii="Calibri" w:hAnsi="Calibri" w:eastAsia="宋体" w:cs="Times New Roman"/>
      <w:sz w:val="32"/>
      <w:lang w:val="en-US" w:eastAsia="zh-CN" w:bidi="ar-SA"/>
    </w:rPr>
  </w:style>
  <w:style w:type="paragraph" w:customStyle="1" w:styleId="261">
    <w:name w:val="toc 65"/>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262">
    <w:name w:val="toc 25"/>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263">
    <w:name w:val="xl84"/>
    <w:basedOn w:val="1"/>
    <w:next w:val="264"/>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264">
    <w:name w:val="toc 99"/>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265">
    <w:name w:val="xl81"/>
    <w:basedOn w:val="1"/>
    <w:next w:val="266"/>
    <w:autoRedefine/>
    <w:qFormat/>
    <w:uiPriority w:val="0"/>
    <w:pPr>
      <w:widowControl/>
      <w:shd w:val="clear" w:color="000000" w:fill="FFFFFF"/>
      <w:spacing w:before="280" w:after="280"/>
    </w:pPr>
    <w:rPr>
      <w:rFonts w:ascii="宋体" w:hAnsi="Calibri"/>
      <w:kern w:val="0"/>
      <w:sz w:val="20"/>
      <w:szCs w:val="20"/>
    </w:rPr>
  </w:style>
  <w:style w:type="paragraph" w:customStyle="1" w:styleId="266">
    <w:name w:val="toc 59"/>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267">
    <w:name w:val="目录 11"/>
    <w:next w:val="1"/>
    <w:autoRedefine/>
    <w:qFormat/>
    <w:uiPriority w:val="0"/>
    <w:pPr>
      <w:wordWrap w:val="0"/>
      <w:jc w:val="both"/>
    </w:pPr>
    <w:rPr>
      <w:rFonts w:ascii="Calibri" w:hAnsi="Calibri" w:eastAsia="宋体" w:cs="Times New Roman"/>
      <w:sz w:val="21"/>
      <w:lang w:val="en-US" w:eastAsia="zh-CN" w:bidi="ar-SA"/>
    </w:rPr>
  </w:style>
  <w:style w:type="paragraph" w:customStyle="1" w:styleId="268">
    <w:name w:val="toc 513"/>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269">
    <w:name w:val="TOC Heading12"/>
    <w:next w:val="1"/>
    <w:autoRedefine/>
    <w:qFormat/>
    <w:uiPriority w:val="0"/>
    <w:pPr>
      <w:wordWrap w:val="0"/>
    </w:pPr>
    <w:rPr>
      <w:rFonts w:ascii="Calibri" w:hAnsi="Calibri" w:eastAsia="宋体" w:cs="Times New Roman"/>
      <w:sz w:val="32"/>
      <w:lang w:val="en-US" w:eastAsia="zh-CN" w:bidi="ar-SA"/>
    </w:rPr>
  </w:style>
  <w:style w:type="paragraph" w:customStyle="1" w:styleId="270">
    <w:name w:val="TOC Heading8"/>
    <w:next w:val="1"/>
    <w:autoRedefine/>
    <w:qFormat/>
    <w:uiPriority w:val="0"/>
    <w:pPr>
      <w:wordWrap w:val="0"/>
    </w:pPr>
    <w:rPr>
      <w:rFonts w:ascii="Calibri" w:hAnsi="Calibri" w:eastAsia="宋体" w:cs="Times New Roman"/>
      <w:sz w:val="32"/>
      <w:lang w:val="en-US" w:eastAsia="zh-CN" w:bidi="ar-SA"/>
    </w:rPr>
  </w:style>
  <w:style w:type="paragraph" w:customStyle="1" w:styleId="271">
    <w:name w:val="toc 711"/>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272">
    <w:name w:val="toc 212"/>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273">
    <w:name w:val="目录 21"/>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274">
    <w:name w:val="toc 45"/>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275">
    <w:name w:val="xl116"/>
    <w:basedOn w:val="1"/>
    <w:next w:val="276"/>
    <w:autoRedefine/>
    <w:qFormat/>
    <w:uiPriority w:val="0"/>
    <w:pPr>
      <w:widowControl/>
      <w:shd w:val="clear" w:color="000000" w:fill="FFFFFF"/>
      <w:spacing w:before="280" w:after="280"/>
      <w:jc w:val="center"/>
    </w:pPr>
    <w:rPr>
      <w:rFonts w:ascii="Arial Narrow" w:hAnsi="Calibri"/>
      <w:kern w:val="0"/>
      <w:sz w:val="20"/>
      <w:szCs w:val="20"/>
    </w:rPr>
  </w:style>
  <w:style w:type="paragraph" w:customStyle="1" w:styleId="276">
    <w:name w:val="toc 78"/>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277">
    <w:name w:val="font8"/>
    <w:basedOn w:val="1"/>
    <w:next w:val="278"/>
    <w:autoRedefine/>
    <w:qFormat/>
    <w:uiPriority w:val="0"/>
    <w:pPr>
      <w:widowControl/>
      <w:spacing w:before="280" w:after="280"/>
    </w:pPr>
    <w:rPr>
      <w:rFonts w:ascii="Arial" w:hAnsi="Calibri"/>
      <w:kern w:val="0"/>
      <w:sz w:val="20"/>
      <w:szCs w:val="20"/>
    </w:rPr>
  </w:style>
  <w:style w:type="paragraph" w:customStyle="1" w:styleId="278">
    <w:name w:val="TOC Heading11"/>
    <w:next w:val="1"/>
    <w:autoRedefine/>
    <w:qFormat/>
    <w:uiPriority w:val="0"/>
    <w:pPr>
      <w:wordWrap w:val="0"/>
    </w:pPr>
    <w:rPr>
      <w:rFonts w:ascii="Calibri" w:hAnsi="Calibri" w:eastAsia="宋体" w:cs="Times New Roman"/>
      <w:sz w:val="32"/>
      <w:lang w:val="en-US" w:eastAsia="zh-CN" w:bidi="ar-SA"/>
    </w:rPr>
  </w:style>
  <w:style w:type="paragraph" w:customStyle="1" w:styleId="279">
    <w:name w:val="xl69"/>
    <w:basedOn w:val="1"/>
    <w:next w:val="280"/>
    <w:autoRedefine/>
    <w:qFormat/>
    <w:uiPriority w:val="0"/>
    <w:pPr>
      <w:widowControl/>
      <w:shd w:val="clear" w:color="000000" w:fill="FFFFFF"/>
      <w:spacing w:before="280" w:after="280"/>
    </w:pPr>
    <w:rPr>
      <w:rFonts w:ascii="宋体" w:hAnsi="Calibri"/>
      <w:b/>
      <w:kern w:val="0"/>
      <w:sz w:val="20"/>
      <w:szCs w:val="20"/>
    </w:rPr>
  </w:style>
  <w:style w:type="paragraph" w:customStyle="1" w:styleId="280">
    <w:name w:val="toc 48"/>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281">
    <w:name w:val="toc 813"/>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282">
    <w:name w:val="目录 91"/>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283">
    <w:name w:val="列出段落3"/>
    <w:basedOn w:val="1"/>
    <w:next w:val="284"/>
    <w:autoRedefine/>
    <w:qFormat/>
    <w:uiPriority w:val="0"/>
    <w:pPr>
      <w:ind w:firstLine="420"/>
    </w:pPr>
    <w:rPr>
      <w:rFonts w:hAnsi="Calibri"/>
      <w:kern w:val="0"/>
      <w:szCs w:val="20"/>
    </w:rPr>
  </w:style>
  <w:style w:type="paragraph" w:customStyle="1" w:styleId="284">
    <w:name w:val="toc 213"/>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285">
    <w:name w:val="TOC 标题1"/>
    <w:next w:val="1"/>
    <w:autoRedefine/>
    <w:qFormat/>
    <w:uiPriority w:val="0"/>
    <w:pPr>
      <w:wordWrap w:val="0"/>
    </w:pPr>
    <w:rPr>
      <w:rFonts w:ascii="Calibri" w:hAnsi="Calibri" w:eastAsia="宋体" w:cs="Times New Roman"/>
      <w:sz w:val="32"/>
      <w:lang w:val="en-US" w:eastAsia="zh-CN" w:bidi="ar-SA"/>
    </w:rPr>
  </w:style>
  <w:style w:type="paragraph" w:customStyle="1" w:styleId="286">
    <w:name w:val="TOC Heading5"/>
    <w:next w:val="1"/>
    <w:autoRedefine/>
    <w:qFormat/>
    <w:uiPriority w:val="0"/>
    <w:pPr>
      <w:wordWrap w:val="0"/>
    </w:pPr>
    <w:rPr>
      <w:rFonts w:ascii="Calibri" w:hAnsi="Calibri" w:eastAsia="宋体" w:cs="Times New Roman"/>
      <w:sz w:val="32"/>
      <w:lang w:val="en-US" w:eastAsia="zh-CN" w:bidi="ar-SA"/>
    </w:rPr>
  </w:style>
  <w:style w:type="paragraph" w:customStyle="1" w:styleId="287">
    <w:name w:val="toc 313"/>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288">
    <w:name w:val="toc 716"/>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289">
    <w:name w:val="xl115"/>
    <w:basedOn w:val="1"/>
    <w:next w:val="290"/>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290">
    <w:name w:val="toc 712"/>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291">
    <w:name w:val="toc 64"/>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292">
    <w:name w:val="toc 24"/>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293">
    <w:name w:val="toc 54"/>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294">
    <w:name w:val="xl93"/>
    <w:basedOn w:val="1"/>
    <w:next w:val="295"/>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295">
    <w:name w:val="toc 112"/>
    <w:next w:val="1"/>
    <w:autoRedefine/>
    <w:qFormat/>
    <w:uiPriority w:val="0"/>
    <w:pPr>
      <w:wordWrap w:val="0"/>
      <w:jc w:val="both"/>
    </w:pPr>
    <w:rPr>
      <w:rFonts w:ascii="Calibri" w:hAnsi="Calibri" w:eastAsia="宋体" w:cs="Times New Roman"/>
      <w:sz w:val="21"/>
      <w:lang w:val="en-US" w:eastAsia="zh-CN" w:bidi="ar-SA"/>
    </w:rPr>
  </w:style>
  <w:style w:type="paragraph" w:customStyle="1" w:styleId="296">
    <w:name w:val="xl96"/>
    <w:basedOn w:val="1"/>
    <w:next w:val="247"/>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297">
    <w:name w:val="xl106"/>
    <w:basedOn w:val="1"/>
    <w:next w:val="281"/>
    <w:autoRedefine/>
    <w:qFormat/>
    <w:uiPriority w:val="0"/>
    <w:pPr>
      <w:widowControl/>
      <w:shd w:val="clear" w:color="000000" w:fill="FFFFFF"/>
      <w:spacing w:before="280" w:after="280"/>
    </w:pPr>
    <w:rPr>
      <w:rFonts w:ascii="宋体" w:hAnsi="Calibri"/>
      <w:kern w:val="0"/>
      <w:sz w:val="20"/>
      <w:szCs w:val="20"/>
    </w:rPr>
  </w:style>
  <w:style w:type="paragraph" w:customStyle="1" w:styleId="298">
    <w:name w:val="toc 35"/>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299">
    <w:name w:val="TOC Heading14"/>
    <w:next w:val="1"/>
    <w:autoRedefine/>
    <w:qFormat/>
    <w:uiPriority w:val="0"/>
    <w:pPr>
      <w:wordWrap w:val="0"/>
    </w:pPr>
    <w:rPr>
      <w:rFonts w:ascii="Calibri" w:hAnsi="Calibri" w:eastAsia="宋体" w:cs="Times New Roman"/>
      <w:sz w:val="32"/>
      <w:lang w:val="en-US" w:eastAsia="zh-CN" w:bidi="ar-SA"/>
    </w:rPr>
  </w:style>
  <w:style w:type="paragraph" w:customStyle="1" w:styleId="300">
    <w:name w:val="Char Char Char Char Char Char Char1"/>
    <w:basedOn w:val="1"/>
    <w:next w:val="301"/>
    <w:autoRedefine/>
    <w:qFormat/>
    <w:uiPriority w:val="0"/>
    <w:pPr>
      <w:widowControl/>
      <w:spacing w:after="160" w:line="240" w:lineRule="exact"/>
    </w:pPr>
    <w:rPr>
      <w:rFonts w:hAnsi="Calibri"/>
      <w:kern w:val="0"/>
      <w:szCs w:val="20"/>
    </w:rPr>
  </w:style>
  <w:style w:type="paragraph" w:customStyle="1" w:styleId="301">
    <w:name w:val="toc 67"/>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302">
    <w:name w:val="列出段落4"/>
    <w:basedOn w:val="1"/>
    <w:next w:val="303"/>
    <w:autoRedefine/>
    <w:qFormat/>
    <w:uiPriority w:val="0"/>
    <w:pPr>
      <w:ind w:firstLine="420"/>
    </w:pPr>
    <w:rPr>
      <w:rFonts w:hAnsi="Calibri"/>
      <w:kern w:val="0"/>
      <w:szCs w:val="20"/>
    </w:rPr>
  </w:style>
  <w:style w:type="paragraph" w:customStyle="1" w:styleId="303">
    <w:name w:val="TOC Heading9"/>
    <w:next w:val="1"/>
    <w:autoRedefine/>
    <w:qFormat/>
    <w:uiPriority w:val="0"/>
    <w:pPr>
      <w:wordWrap w:val="0"/>
    </w:pPr>
    <w:rPr>
      <w:rFonts w:ascii="Calibri" w:hAnsi="Calibri" w:eastAsia="宋体" w:cs="Times New Roman"/>
      <w:sz w:val="32"/>
      <w:lang w:val="en-US" w:eastAsia="zh-CN" w:bidi="ar-SA"/>
    </w:rPr>
  </w:style>
  <w:style w:type="paragraph" w:customStyle="1" w:styleId="304">
    <w:name w:val="xl71"/>
    <w:basedOn w:val="1"/>
    <w:next w:val="305"/>
    <w:autoRedefine/>
    <w:qFormat/>
    <w:uiPriority w:val="0"/>
    <w:pPr>
      <w:widowControl/>
      <w:shd w:val="clear" w:color="000000" w:fill="FFFFFF"/>
      <w:spacing w:before="280" w:after="280"/>
    </w:pPr>
    <w:rPr>
      <w:rFonts w:ascii="宋体" w:hAnsi="Calibri"/>
      <w:kern w:val="0"/>
      <w:sz w:val="24"/>
      <w:szCs w:val="20"/>
    </w:rPr>
  </w:style>
  <w:style w:type="paragraph" w:customStyle="1" w:styleId="305">
    <w:name w:val="toc 115"/>
    <w:next w:val="1"/>
    <w:autoRedefine/>
    <w:qFormat/>
    <w:uiPriority w:val="0"/>
    <w:pPr>
      <w:wordWrap w:val="0"/>
      <w:jc w:val="both"/>
    </w:pPr>
    <w:rPr>
      <w:rFonts w:ascii="Calibri" w:hAnsi="Calibri" w:eastAsia="宋体" w:cs="Times New Roman"/>
      <w:sz w:val="21"/>
      <w:lang w:val="en-US" w:eastAsia="zh-CN" w:bidi="ar-SA"/>
    </w:rPr>
  </w:style>
  <w:style w:type="paragraph" w:customStyle="1" w:styleId="306">
    <w:name w:val="toc 51"/>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307">
    <w:name w:val="toc 47"/>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308">
    <w:name w:val="xl108"/>
    <w:basedOn w:val="1"/>
    <w:next w:val="309"/>
    <w:autoRedefine/>
    <w:qFormat/>
    <w:uiPriority w:val="0"/>
    <w:pPr>
      <w:widowControl/>
      <w:shd w:val="clear" w:color="000000" w:fill="FFFFFF"/>
      <w:spacing w:before="280" w:after="280"/>
    </w:pPr>
    <w:rPr>
      <w:rFonts w:ascii="宋体" w:hAnsi="Calibri"/>
      <w:kern w:val="0"/>
      <w:sz w:val="18"/>
      <w:szCs w:val="20"/>
    </w:rPr>
  </w:style>
  <w:style w:type="paragraph" w:customStyle="1" w:styleId="309">
    <w:name w:val="toc 18"/>
    <w:next w:val="1"/>
    <w:autoRedefine/>
    <w:qFormat/>
    <w:uiPriority w:val="0"/>
    <w:pPr>
      <w:wordWrap w:val="0"/>
      <w:jc w:val="both"/>
    </w:pPr>
    <w:rPr>
      <w:rFonts w:ascii="Calibri" w:hAnsi="Calibri" w:eastAsia="宋体" w:cs="Times New Roman"/>
      <w:sz w:val="21"/>
      <w:lang w:val="en-US" w:eastAsia="zh-CN" w:bidi="ar-SA"/>
    </w:rPr>
  </w:style>
  <w:style w:type="paragraph" w:customStyle="1" w:styleId="310">
    <w:name w:val="TOC Heading7"/>
    <w:next w:val="1"/>
    <w:autoRedefine/>
    <w:qFormat/>
    <w:uiPriority w:val="0"/>
    <w:pPr>
      <w:wordWrap w:val="0"/>
    </w:pPr>
    <w:rPr>
      <w:rFonts w:ascii="Calibri" w:hAnsi="Calibri" w:eastAsia="宋体" w:cs="Times New Roman"/>
      <w:sz w:val="32"/>
      <w:lang w:val="en-US" w:eastAsia="zh-CN" w:bidi="ar-SA"/>
    </w:rPr>
  </w:style>
  <w:style w:type="character" w:customStyle="1" w:styleId="311">
    <w:name w:val="副标题 字符"/>
    <w:basedOn w:val="48"/>
    <w:link w:val="33"/>
    <w:autoRedefine/>
    <w:qFormat/>
    <w:uiPriority w:val="0"/>
    <w:rPr>
      <w:rFonts w:ascii="Calibri" w:hAnsi="Calibri"/>
      <w:sz w:val="24"/>
    </w:rPr>
  </w:style>
  <w:style w:type="paragraph" w:customStyle="1" w:styleId="312">
    <w:name w:val="目录 71"/>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313">
    <w:name w:val="toc 413"/>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314">
    <w:name w:val="toc 85"/>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15">
    <w:name w:val="列出段落6"/>
    <w:basedOn w:val="1"/>
    <w:next w:val="316"/>
    <w:autoRedefine/>
    <w:qFormat/>
    <w:uiPriority w:val="0"/>
    <w:pPr>
      <w:ind w:firstLine="420"/>
    </w:pPr>
    <w:rPr>
      <w:rFonts w:hAnsi="Calibri"/>
      <w:kern w:val="0"/>
      <w:szCs w:val="20"/>
    </w:rPr>
  </w:style>
  <w:style w:type="paragraph" w:customStyle="1" w:styleId="316">
    <w:name w:val="toc 86"/>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17">
    <w:name w:val="xl80"/>
    <w:basedOn w:val="1"/>
    <w:next w:val="318"/>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318">
    <w:name w:val="toc 49"/>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319">
    <w:name w:val="Char Char Char Char1"/>
    <w:basedOn w:val="1"/>
    <w:next w:val="320"/>
    <w:autoRedefine/>
    <w:qFormat/>
    <w:uiPriority w:val="0"/>
    <w:pPr>
      <w:widowControl/>
      <w:spacing w:after="160" w:line="240" w:lineRule="exact"/>
    </w:pPr>
    <w:rPr>
      <w:rFonts w:ascii="Verdana" w:hAnsi="Calibri" w:eastAsia="仿宋_GB2312"/>
      <w:kern w:val="0"/>
      <w:sz w:val="24"/>
      <w:szCs w:val="20"/>
    </w:rPr>
  </w:style>
  <w:style w:type="paragraph" w:customStyle="1" w:styleId="320">
    <w:name w:val="toc 713"/>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321">
    <w:name w:val="xl102"/>
    <w:basedOn w:val="1"/>
    <w:next w:val="322"/>
    <w:autoRedefine/>
    <w:qFormat/>
    <w:uiPriority w:val="0"/>
    <w:pPr>
      <w:widowControl/>
      <w:shd w:val="clear" w:color="000000" w:fill="FFFFFF"/>
      <w:spacing w:before="280" w:after="280"/>
      <w:jc w:val="right"/>
    </w:pPr>
    <w:rPr>
      <w:rFonts w:ascii="宋体" w:hAnsi="Calibri"/>
      <w:kern w:val="0"/>
      <w:sz w:val="20"/>
      <w:szCs w:val="20"/>
    </w:rPr>
  </w:style>
  <w:style w:type="paragraph" w:customStyle="1" w:styleId="322">
    <w:name w:val="toc 17"/>
    <w:next w:val="1"/>
    <w:autoRedefine/>
    <w:qFormat/>
    <w:uiPriority w:val="0"/>
    <w:pPr>
      <w:wordWrap w:val="0"/>
      <w:jc w:val="both"/>
    </w:pPr>
    <w:rPr>
      <w:rFonts w:ascii="Calibri" w:hAnsi="Calibri" w:eastAsia="宋体" w:cs="Times New Roman"/>
      <w:sz w:val="21"/>
      <w:lang w:val="en-US" w:eastAsia="zh-CN" w:bidi="ar-SA"/>
    </w:rPr>
  </w:style>
  <w:style w:type="paragraph" w:customStyle="1" w:styleId="323">
    <w:name w:val="toc 46"/>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324">
    <w:name w:val="toc 311"/>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325">
    <w:name w:val="xl65"/>
    <w:basedOn w:val="1"/>
    <w:next w:val="226"/>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326">
    <w:name w:val="toc 94"/>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327">
    <w:name w:val="toc 55"/>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328">
    <w:name w:val="toc 812"/>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29">
    <w:name w:val="xl75"/>
    <w:basedOn w:val="1"/>
    <w:next w:val="330"/>
    <w:autoRedefine/>
    <w:qFormat/>
    <w:uiPriority w:val="0"/>
    <w:pPr>
      <w:widowControl/>
      <w:shd w:val="clear" w:color="000000" w:fill="FFFFFF"/>
      <w:spacing w:before="280" w:after="280"/>
    </w:pPr>
    <w:rPr>
      <w:rFonts w:ascii="宋体" w:hAnsi="Calibri"/>
      <w:kern w:val="0"/>
      <w:sz w:val="20"/>
      <w:szCs w:val="20"/>
    </w:rPr>
  </w:style>
  <w:style w:type="paragraph" w:customStyle="1" w:styleId="330">
    <w:name w:val="toc 914"/>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331">
    <w:name w:val="toc 19"/>
    <w:next w:val="1"/>
    <w:autoRedefine/>
    <w:qFormat/>
    <w:uiPriority w:val="0"/>
    <w:pPr>
      <w:wordWrap w:val="0"/>
      <w:jc w:val="both"/>
    </w:pPr>
    <w:rPr>
      <w:rFonts w:ascii="Calibri" w:hAnsi="Calibri" w:eastAsia="宋体" w:cs="Times New Roman"/>
      <w:sz w:val="21"/>
      <w:lang w:val="en-US" w:eastAsia="zh-CN" w:bidi="ar-SA"/>
    </w:rPr>
  </w:style>
  <w:style w:type="paragraph" w:customStyle="1" w:styleId="332">
    <w:name w:val="TOC Heading6"/>
    <w:next w:val="1"/>
    <w:autoRedefine/>
    <w:qFormat/>
    <w:uiPriority w:val="0"/>
    <w:pPr>
      <w:wordWrap w:val="0"/>
    </w:pPr>
    <w:rPr>
      <w:rFonts w:ascii="Calibri" w:hAnsi="Calibri" w:eastAsia="宋体" w:cs="Times New Roman"/>
      <w:sz w:val="32"/>
      <w:lang w:val="en-US" w:eastAsia="zh-CN" w:bidi="ar-SA"/>
    </w:rPr>
  </w:style>
  <w:style w:type="paragraph" w:customStyle="1" w:styleId="333">
    <w:name w:val="toc 52"/>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334">
    <w:name w:val="toc 36"/>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335">
    <w:name w:val="toc 82"/>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36">
    <w:name w:val="xl104"/>
    <w:basedOn w:val="1"/>
    <w:next w:val="337"/>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337">
    <w:name w:val="toc 210"/>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338">
    <w:name w:val="toc 110"/>
    <w:next w:val="1"/>
    <w:autoRedefine/>
    <w:qFormat/>
    <w:uiPriority w:val="0"/>
    <w:pPr>
      <w:wordWrap w:val="0"/>
      <w:jc w:val="both"/>
    </w:pPr>
    <w:rPr>
      <w:rFonts w:ascii="Calibri" w:hAnsi="Calibri" w:eastAsia="宋体" w:cs="Times New Roman"/>
      <w:sz w:val="21"/>
      <w:lang w:val="en-US" w:eastAsia="zh-CN" w:bidi="ar-SA"/>
    </w:rPr>
  </w:style>
  <w:style w:type="paragraph" w:customStyle="1" w:styleId="339">
    <w:name w:val="toc 66"/>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340">
    <w:name w:val="toc 31"/>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341">
    <w:name w:val="toc 93"/>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342">
    <w:name w:val="toc 614"/>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343">
    <w:name w:val="无间隔1"/>
    <w:next w:val="338"/>
    <w:autoRedefine/>
    <w:qFormat/>
    <w:uiPriority w:val="0"/>
    <w:pPr>
      <w:widowControl w:val="0"/>
      <w:jc w:val="both"/>
    </w:pPr>
    <w:rPr>
      <w:rFonts w:ascii="Calibri" w:hAnsi="Calibri" w:eastAsia="宋体" w:cs="Times New Roman"/>
      <w:sz w:val="22"/>
      <w:lang w:val="en-US" w:eastAsia="zh-CN" w:bidi="ar-SA"/>
    </w:rPr>
  </w:style>
  <w:style w:type="paragraph" w:customStyle="1" w:styleId="344">
    <w:name w:val="目录 41"/>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345">
    <w:name w:val="xl105"/>
    <w:basedOn w:val="1"/>
    <w:next w:val="346"/>
    <w:autoRedefine/>
    <w:qFormat/>
    <w:uiPriority w:val="0"/>
    <w:pPr>
      <w:widowControl/>
      <w:shd w:val="clear" w:color="000000" w:fill="FFFFFF"/>
      <w:spacing w:before="280" w:after="280"/>
    </w:pPr>
    <w:rPr>
      <w:rFonts w:ascii="宋体" w:hAnsi="Calibri"/>
      <w:kern w:val="0"/>
      <w:sz w:val="18"/>
      <w:szCs w:val="20"/>
    </w:rPr>
  </w:style>
  <w:style w:type="paragraph" w:customStyle="1" w:styleId="346">
    <w:name w:val="toc 615"/>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347">
    <w:name w:val="toc 41"/>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348">
    <w:name w:val="toc 81"/>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49">
    <w:name w:val="xl111"/>
    <w:basedOn w:val="1"/>
    <w:next w:val="350"/>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350">
    <w:name w:val="toc 88"/>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51">
    <w:name w:val="toc 84"/>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52">
    <w:name w:val="p0"/>
    <w:basedOn w:val="1"/>
    <w:next w:val="353"/>
    <w:autoRedefine/>
    <w:qFormat/>
    <w:uiPriority w:val="0"/>
    <w:pPr>
      <w:widowControl/>
      <w:spacing w:before="280" w:after="280"/>
    </w:pPr>
    <w:rPr>
      <w:rFonts w:ascii="宋体" w:hAnsi="Calibri"/>
      <w:kern w:val="0"/>
      <w:sz w:val="24"/>
      <w:szCs w:val="20"/>
    </w:rPr>
  </w:style>
  <w:style w:type="paragraph" w:customStyle="1" w:styleId="353">
    <w:name w:val="toc 69"/>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354">
    <w:name w:val="列出段落11"/>
    <w:basedOn w:val="1"/>
    <w:next w:val="355"/>
    <w:autoRedefine/>
    <w:qFormat/>
    <w:uiPriority w:val="0"/>
    <w:pPr>
      <w:widowControl/>
      <w:spacing w:line="360" w:lineRule="auto"/>
      <w:ind w:firstLine="420"/>
    </w:pPr>
    <w:rPr>
      <w:rFonts w:hAnsi="Calibri" w:eastAsia="微软雅黑"/>
      <w:kern w:val="0"/>
      <w:sz w:val="24"/>
      <w:szCs w:val="20"/>
    </w:rPr>
  </w:style>
  <w:style w:type="paragraph" w:customStyle="1" w:styleId="355">
    <w:name w:val="toc 214"/>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356">
    <w:name w:val="toc 63"/>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357">
    <w:name w:val="xl91"/>
    <w:basedOn w:val="1"/>
    <w:next w:val="254"/>
    <w:autoRedefine/>
    <w:qFormat/>
    <w:uiPriority w:val="0"/>
    <w:pPr>
      <w:widowControl/>
      <w:shd w:val="clear" w:color="000000" w:fill="FFFFFF"/>
      <w:spacing w:before="280" w:after="280"/>
    </w:pPr>
    <w:rPr>
      <w:rFonts w:ascii="宋体" w:hAnsi="Calibri"/>
      <w:kern w:val="0"/>
      <w:sz w:val="20"/>
      <w:szCs w:val="20"/>
    </w:rPr>
  </w:style>
  <w:style w:type="paragraph" w:customStyle="1" w:styleId="358">
    <w:name w:val="toc 316"/>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359">
    <w:name w:val="_Style 1"/>
    <w:basedOn w:val="1"/>
    <w:next w:val="360"/>
    <w:autoRedefine/>
    <w:qFormat/>
    <w:uiPriority w:val="0"/>
    <w:pPr>
      <w:ind w:firstLine="420"/>
    </w:pPr>
    <w:rPr>
      <w:rFonts w:hAnsi="Calibri"/>
      <w:kern w:val="0"/>
      <w:szCs w:val="20"/>
    </w:rPr>
  </w:style>
  <w:style w:type="paragraph" w:customStyle="1" w:styleId="360">
    <w:name w:val="TOC Heading13"/>
    <w:next w:val="1"/>
    <w:autoRedefine/>
    <w:qFormat/>
    <w:uiPriority w:val="0"/>
    <w:pPr>
      <w:wordWrap w:val="0"/>
    </w:pPr>
    <w:rPr>
      <w:rFonts w:ascii="Calibri" w:hAnsi="Calibri" w:eastAsia="宋体" w:cs="Times New Roman"/>
      <w:sz w:val="32"/>
      <w:lang w:val="en-US" w:eastAsia="zh-CN" w:bidi="ar-SA"/>
    </w:rPr>
  </w:style>
  <w:style w:type="paragraph" w:customStyle="1" w:styleId="361">
    <w:name w:val="toc 116"/>
    <w:next w:val="1"/>
    <w:autoRedefine/>
    <w:qFormat/>
    <w:uiPriority w:val="0"/>
    <w:pPr>
      <w:wordWrap w:val="0"/>
      <w:jc w:val="both"/>
    </w:pPr>
    <w:rPr>
      <w:rFonts w:ascii="Calibri" w:hAnsi="Calibri" w:eastAsia="宋体" w:cs="Times New Roman"/>
      <w:sz w:val="21"/>
      <w:lang w:val="en-US" w:eastAsia="zh-CN" w:bidi="ar-SA"/>
    </w:rPr>
  </w:style>
  <w:style w:type="paragraph" w:customStyle="1" w:styleId="362">
    <w:name w:val="toc 72"/>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363">
    <w:name w:val="x_msonormal"/>
    <w:basedOn w:val="1"/>
    <w:next w:val="313"/>
    <w:autoRedefine/>
    <w:qFormat/>
    <w:uiPriority w:val="0"/>
    <w:pPr>
      <w:widowControl/>
      <w:spacing w:before="280" w:after="280"/>
    </w:pPr>
    <w:rPr>
      <w:rFonts w:ascii="PMingLiU" w:hAnsi="Calibri" w:eastAsia="PMingLiU"/>
      <w:kern w:val="0"/>
      <w:sz w:val="24"/>
      <w:szCs w:val="20"/>
    </w:rPr>
  </w:style>
  <w:style w:type="paragraph" w:customStyle="1" w:styleId="364">
    <w:name w:val="toc 310"/>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365">
    <w:name w:val="toc 83"/>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66">
    <w:name w:val="TOC Heading17"/>
    <w:next w:val="1"/>
    <w:autoRedefine/>
    <w:qFormat/>
    <w:uiPriority w:val="0"/>
    <w:pPr>
      <w:wordWrap w:val="0"/>
    </w:pPr>
    <w:rPr>
      <w:rFonts w:ascii="Calibri" w:hAnsi="Calibri" w:eastAsia="宋体" w:cs="Times New Roman"/>
      <w:sz w:val="32"/>
      <w:lang w:val="en-US" w:eastAsia="zh-CN" w:bidi="ar-SA"/>
    </w:rPr>
  </w:style>
  <w:style w:type="paragraph" w:customStyle="1" w:styleId="367">
    <w:name w:val="toc 911"/>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368">
    <w:name w:val="toc 811"/>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69">
    <w:name w:val="目录 31"/>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370">
    <w:name w:val="xl118"/>
    <w:basedOn w:val="1"/>
    <w:next w:val="244"/>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371">
    <w:name w:val="xl83"/>
    <w:basedOn w:val="1"/>
    <w:next w:val="299"/>
    <w:autoRedefine/>
    <w:qFormat/>
    <w:uiPriority w:val="0"/>
    <w:pPr>
      <w:widowControl/>
      <w:shd w:val="clear" w:color="000000" w:fill="FFFFFF"/>
      <w:spacing w:before="280" w:after="280"/>
    </w:pPr>
    <w:rPr>
      <w:rFonts w:ascii="宋体" w:hAnsi="Calibri"/>
      <w:kern w:val="0"/>
      <w:sz w:val="20"/>
      <w:szCs w:val="20"/>
    </w:rPr>
  </w:style>
  <w:style w:type="paragraph" w:customStyle="1" w:styleId="372">
    <w:name w:val="xl103"/>
    <w:basedOn w:val="1"/>
    <w:next w:val="373"/>
    <w:autoRedefine/>
    <w:qFormat/>
    <w:uiPriority w:val="0"/>
    <w:pPr>
      <w:widowControl/>
      <w:shd w:val="clear" w:color="000000" w:fill="FFFFFF"/>
      <w:spacing w:before="280" w:after="280"/>
    </w:pPr>
    <w:rPr>
      <w:rFonts w:ascii="宋体" w:hAnsi="Calibri"/>
      <w:kern w:val="0"/>
      <w:sz w:val="20"/>
      <w:szCs w:val="20"/>
    </w:rPr>
  </w:style>
  <w:style w:type="paragraph" w:customStyle="1" w:styleId="373">
    <w:name w:val="toc 111"/>
    <w:next w:val="1"/>
    <w:autoRedefine/>
    <w:qFormat/>
    <w:uiPriority w:val="0"/>
    <w:pPr>
      <w:wordWrap w:val="0"/>
      <w:jc w:val="both"/>
    </w:pPr>
    <w:rPr>
      <w:rFonts w:ascii="Calibri" w:hAnsi="Calibri" w:eastAsia="宋体" w:cs="Times New Roman"/>
      <w:sz w:val="21"/>
      <w:lang w:val="en-US" w:eastAsia="zh-CN" w:bidi="ar-SA"/>
    </w:rPr>
  </w:style>
  <w:style w:type="paragraph" w:customStyle="1" w:styleId="374">
    <w:name w:val="xl68"/>
    <w:basedOn w:val="1"/>
    <w:next w:val="375"/>
    <w:autoRedefine/>
    <w:qFormat/>
    <w:uiPriority w:val="0"/>
    <w:pPr>
      <w:widowControl/>
      <w:shd w:val="clear" w:color="000000" w:fill="FFFFFF"/>
      <w:spacing w:before="280" w:after="280"/>
    </w:pPr>
    <w:rPr>
      <w:rFonts w:ascii="宋体" w:hAnsi="Calibri"/>
      <w:b/>
      <w:kern w:val="0"/>
      <w:sz w:val="20"/>
      <w:szCs w:val="20"/>
    </w:rPr>
  </w:style>
  <w:style w:type="paragraph" w:customStyle="1" w:styleId="375">
    <w:name w:val="TOC Heading16"/>
    <w:next w:val="1"/>
    <w:autoRedefine/>
    <w:qFormat/>
    <w:uiPriority w:val="0"/>
    <w:pPr>
      <w:wordWrap w:val="0"/>
    </w:pPr>
    <w:rPr>
      <w:rFonts w:ascii="Calibri" w:hAnsi="Calibri" w:eastAsia="宋体" w:cs="Times New Roman"/>
      <w:sz w:val="32"/>
      <w:lang w:val="en-US" w:eastAsia="zh-CN" w:bidi="ar-SA"/>
    </w:rPr>
  </w:style>
  <w:style w:type="paragraph" w:customStyle="1" w:styleId="376">
    <w:name w:val="toc 113"/>
    <w:next w:val="1"/>
    <w:autoRedefine/>
    <w:qFormat/>
    <w:uiPriority w:val="0"/>
    <w:pPr>
      <w:wordWrap w:val="0"/>
      <w:jc w:val="both"/>
    </w:pPr>
    <w:rPr>
      <w:rFonts w:ascii="Calibri" w:hAnsi="Calibri" w:eastAsia="宋体" w:cs="Times New Roman"/>
      <w:sz w:val="21"/>
      <w:lang w:val="en-US" w:eastAsia="zh-CN" w:bidi="ar-SA"/>
    </w:rPr>
  </w:style>
  <w:style w:type="paragraph" w:customStyle="1" w:styleId="377">
    <w:name w:val="xl94"/>
    <w:basedOn w:val="1"/>
    <w:next w:val="268"/>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378">
    <w:name w:val="toc 53"/>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379">
    <w:name w:val="xl92"/>
    <w:basedOn w:val="1"/>
    <w:next w:val="380"/>
    <w:autoRedefine/>
    <w:qFormat/>
    <w:uiPriority w:val="0"/>
    <w:pPr>
      <w:widowControl/>
      <w:shd w:val="clear" w:color="000000" w:fill="FFFFFF"/>
      <w:spacing w:before="280" w:after="280"/>
    </w:pPr>
    <w:rPr>
      <w:rFonts w:ascii="宋体" w:hAnsi="Calibri"/>
      <w:kern w:val="0"/>
      <w:sz w:val="20"/>
      <w:szCs w:val="20"/>
    </w:rPr>
  </w:style>
  <w:style w:type="paragraph" w:customStyle="1" w:styleId="380">
    <w:name w:val="toc 913"/>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381">
    <w:name w:val="toc 512"/>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382">
    <w:name w:val="目录 81"/>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83">
    <w:name w:val="正文表标题"/>
    <w:next w:val="1"/>
    <w:autoRedefine/>
    <w:qFormat/>
    <w:uiPriority w:val="0"/>
    <w:pPr>
      <w:ind w:left="630"/>
      <w:jc w:val="center"/>
    </w:pPr>
    <w:rPr>
      <w:rFonts w:ascii="黑体" w:hAnsi="Calibri" w:eastAsia="黑体" w:cs="Times New Roman"/>
      <w:sz w:val="21"/>
      <w:lang w:val="en-US" w:eastAsia="zh-CN" w:bidi="ar-SA"/>
    </w:rPr>
  </w:style>
  <w:style w:type="paragraph" w:customStyle="1" w:styleId="384">
    <w:name w:val="toc 28"/>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385">
    <w:name w:val="toc 79"/>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386">
    <w:name w:val="xl110"/>
    <w:basedOn w:val="1"/>
    <w:next w:val="342"/>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387">
    <w:name w:val="toc 511"/>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388">
    <w:name w:val="toc 416"/>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389">
    <w:name w:val="xl85"/>
    <w:basedOn w:val="1"/>
    <w:next w:val="390"/>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390">
    <w:name w:val="toc 76"/>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391">
    <w:name w:val="toc 27"/>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392">
    <w:name w:val="toc 916"/>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393">
    <w:name w:val="toc 77"/>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394">
    <w:name w:val="toc 211"/>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395">
    <w:name w:val="toc 815"/>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396">
    <w:name w:val="xl99"/>
    <w:basedOn w:val="1"/>
    <w:next w:val="381"/>
    <w:autoRedefine/>
    <w:qFormat/>
    <w:uiPriority w:val="0"/>
    <w:pPr>
      <w:widowControl/>
      <w:shd w:val="clear" w:color="000000" w:fill="FFFFFF"/>
      <w:spacing w:before="280" w:after="280"/>
    </w:pPr>
    <w:rPr>
      <w:rFonts w:ascii="宋体" w:hAnsi="Calibri"/>
      <w:kern w:val="0"/>
      <w:sz w:val="18"/>
      <w:szCs w:val="20"/>
    </w:rPr>
  </w:style>
  <w:style w:type="paragraph" w:customStyle="1" w:styleId="397">
    <w:name w:val="xl97"/>
    <w:basedOn w:val="1"/>
    <w:next w:val="269"/>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398">
    <w:name w:val="toc 612"/>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399">
    <w:name w:val="toc 315"/>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400">
    <w:name w:val="TOC Heading15"/>
    <w:next w:val="1"/>
    <w:autoRedefine/>
    <w:qFormat/>
    <w:uiPriority w:val="0"/>
    <w:pPr>
      <w:wordWrap w:val="0"/>
    </w:pPr>
    <w:rPr>
      <w:rFonts w:ascii="Calibri" w:hAnsi="Calibri" w:eastAsia="宋体" w:cs="Times New Roman"/>
      <w:sz w:val="32"/>
      <w:lang w:val="en-US" w:eastAsia="zh-CN" w:bidi="ar-SA"/>
    </w:rPr>
  </w:style>
  <w:style w:type="paragraph" w:customStyle="1" w:styleId="401">
    <w:name w:val="toc 915"/>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402">
    <w:name w:val="toc 39"/>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403">
    <w:name w:val="toc 710"/>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404">
    <w:name w:val="toc 12"/>
    <w:next w:val="1"/>
    <w:autoRedefine/>
    <w:qFormat/>
    <w:uiPriority w:val="0"/>
    <w:pPr>
      <w:wordWrap w:val="0"/>
      <w:jc w:val="both"/>
    </w:pPr>
    <w:rPr>
      <w:rFonts w:ascii="Calibri" w:hAnsi="Calibri" w:eastAsia="宋体" w:cs="Times New Roman"/>
      <w:sz w:val="21"/>
      <w:lang w:val="en-US" w:eastAsia="zh-CN" w:bidi="ar-SA"/>
    </w:rPr>
  </w:style>
  <w:style w:type="paragraph" w:customStyle="1" w:styleId="405">
    <w:name w:val="xl95"/>
    <w:basedOn w:val="1"/>
    <w:next w:val="406"/>
    <w:autoRedefine/>
    <w:qFormat/>
    <w:uiPriority w:val="0"/>
    <w:pPr>
      <w:widowControl/>
      <w:shd w:val="clear" w:color="000000" w:fill="FFFFFF"/>
      <w:spacing w:before="280" w:after="280"/>
    </w:pPr>
    <w:rPr>
      <w:rFonts w:ascii="宋体" w:hAnsi="Calibri"/>
      <w:kern w:val="0"/>
      <w:sz w:val="20"/>
      <w:szCs w:val="20"/>
    </w:rPr>
  </w:style>
  <w:style w:type="paragraph" w:customStyle="1" w:styleId="406">
    <w:name w:val="toc 415"/>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407">
    <w:name w:val="toc 29"/>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408">
    <w:name w:val="xl67"/>
    <w:basedOn w:val="1"/>
    <w:next w:val="409"/>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409">
    <w:name w:val="toc 714"/>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410">
    <w:name w:val="toc 21"/>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411">
    <w:name w:val="正文 A"/>
    <w:next w:val="328"/>
    <w:autoRedefine/>
    <w:qFormat/>
    <w:uiPriority w:val="0"/>
    <w:rPr>
      <w:rFonts w:ascii="Arial" w:hAnsi="Calibri" w:eastAsia="Arial Unicode MS" w:cs="Times New Roman"/>
      <w:color w:val="000000"/>
      <w:sz w:val="21"/>
      <w:lang w:val="en-US" w:eastAsia="zh-CN" w:bidi="ar-SA"/>
    </w:rPr>
  </w:style>
  <w:style w:type="paragraph" w:customStyle="1" w:styleId="412">
    <w:name w:val="toc 68"/>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413">
    <w:name w:val="toc 58"/>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414">
    <w:name w:val="xl88"/>
    <w:basedOn w:val="1"/>
    <w:next w:val="400"/>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415">
    <w:name w:val="toc 71"/>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416">
    <w:name w:val="xl100"/>
    <w:basedOn w:val="1"/>
    <w:next w:val="417"/>
    <w:autoRedefine/>
    <w:qFormat/>
    <w:uiPriority w:val="0"/>
    <w:pPr>
      <w:widowControl/>
      <w:shd w:val="clear" w:color="000000" w:fill="FFFFFF"/>
      <w:spacing w:before="280" w:after="280"/>
    </w:pPr>
    <w:rPr>
      <w:rFonts w:ascii="宋体" w:hAnsi="Calibri"/>
      <w:kern w:val="0"/>
      <w:sz w:val="20"/>
      <w:szCs w:val="20"/>
    </w:rPr>
  </w:style>
  <w:style w:type="paragraph" w:customStyle="1" w:styleId="417">
    <w:name w:val="toc 510"/>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418">
    <w:name w:val="toc 314"/>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419">
    <w:name w:val="xl114"/>
    <w:basedOn w:val="1"/>
    <w:next w:val="271"/>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420">
    <w:name w:val="xl107"/>
    <w:basedOn w:val="1"/>
    <w:next w:val="421"/>
    <w:autoRedefine/>
    <w:qFormat/>
    <w:uiPriority w:val="0"/>
    <w:pPr>
      <w:widowControl/>
      <w:shd w:val="clear" w:color="000000" w:fill="FFFFFF"/>
      <w:spacing w:before="280" w:after="280"/>
    </w:pPr>
    <w:rPr>
      <w:rFonts w:ascii="宋体" w:hAnsi="Calibri"/>
      <w:kern w:val="0"/>
      <w:sz w:val="20"/>
      <w:szCs w:val="20"/>
    </w:rPr>
  </w:style>
  <w:style w:type="paragraph" w:customStyle="1" w:styleId="421">
    <w:name w:val="toc 610"/>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422">
    <w:name w:val="toc 22"/>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423">
    <w:name w:val="xl90"/>
    <w:basedOn w:val="1"/>
    <w:next w:val="225"/>
    <w:autoRedefine/>
    <w:qFormat/>
    <w:uiPriority w:val="0"/>
    <w:pPr>
      <w:widowControl/>
      <w:shd w:val="clear" w:color="000000" w:fill="FFFFFF"/>
      <w:spacing w:before="280" w:after="280"/>
    </w:pPr>
    <w:rPr>
      <w:rFonts w:ascii="宋体" w:hAnsi="Calibri"/>
      <w:kern w:val="0"/>
      <w:sz w:val="18"/>
      <w:szCs w:val="20"/>
    </w:rPr>
  </w:style>
  <w:style w:type="paragraph" w:customStyle="1" w:styleId="424">
    <w:name w:val="toc 616"/>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425">
    <w:name w:val="toc 96"/>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426">
    <w:name w:val="toc 42"/>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427">
    <w:name w:val="xl117"/>
    <w:basedOn w:val="1"/>
    <w:next w:val="324"/>
    <w:autoRedefine/>
    <w:qFormat/>
    <w:uiPriority w:val="0"/>
    <w:pPr>
      <w:widowControl/>
      <w:shd w:val="clear" w:color="000000" w:fill="FFFFFF"/>
      <w:spacing w:before="280" w:after="280"/>
      <w:jc w:val="center"/>
    </w:pPr>
    <w:rPr>
      <w:rFonts w:ascii="Arial Narrow" w:hAnsi="Calibri"/>
      <w:kern w:val="0"/>
      <w:sz w:val="24"/>
      <w:szCs w:val="20"/>
    </w:rPr>
  </w:style>
  <w:style w:type="paragraph" w:customStyle="1" w:styleId="428">
    <w:name w:val="p15"/>
    <w:basedOn w:val="1"/>
    <w:next w:val="249"/>
    <w:autoRedefine/>
    <w:qFormat/>
    <w:uiPriority w:val="0"/>
    <w:pPr>
      <w:widowControl/>
      <w:ind w:firstLine="420"/>
    </w:pPr>
    <w:rPr>
      <w:rFonts w:hAnsi="Calibri"/>
      <w:kern w:val="0"/>
      <w:szCs w:val="20"/>
    </w:rPr>
  </w:style>
  <w:style w:type="paragraph" w:customStyle="1" w:styleId="429">
    <w:name w:val="xl87"/>
    <w:basedOn w:val="1"/>
    <w:next w:val="430"/>
    <w:autoRedefine/>
    <w:qFormat/>
    <w:uiPriority w:val="0"/>
    <w:pPr>
      <w:widowControl/>
      <w:shd w:val="clear" w:color="000000" w:fill="FFFFFF"/>
      <w:spacing w:before="280" w:after="280"/>
    </w:pPr>
    <w:rPr>
      <w:rFonts w:ascii="Arial" w:hAnsi="Calibri"/>
      <w:kern w:val="0"/>
      <w:sz w:val="18"/>
      <w:szCs w:val="20"/>
    </w:rPr>
  </w:style>
  <w:style w:type="paragraph" w:customStyle="1" w:styleId="430">
    <w:name w:val="toc 98"/>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431">
    <w:name w:val="列出段落7"/>
    <w:basedOn w:val="1"/>
    <w:next w:val="413"/>
    <w:autoRedefine/>
    <w:qFormat/>
    <w:uiPriority w:val="0"/>
    <w:pPr>
      <w:ind w:firstLine="420"/>
    </w:pPr>
    <w:rPr>
      <w:rFonts w:hAnsi="Calibri"/>
      <w:kern w:val="0"/>
      <w:szCs w:val="20"/>
    </w:rPr>
  </w:style>
  <w:style w:type="paragraph" w:customStyle="1" w:styleId="432">
    <w:name w:val="xl78"/>
    <w:basedOn w:val="1"/>
    <w:next w:val="403"/>
    <w:autoRedefine/>
    <w:qFormat/>
    <w:uiPriority w:val="0"/>
    <w:pPr>
      <w:widowControl/>
      <w:shd w:val="clear" w:color="000000" w:fill="FFFFFF"/>
      <w:spacing w:before="280" w:after="280"/>
    </w:pPr>
    <w:rPr>
      <w:rFonts w:ascii="宋体" w:hAnsi="Calibri"/>
      <w:b/>
      <w:kern w:val="0"/>
      <w:sz w:val="20"/>
      <w:szCs w:val="20"/>
    </w:rPr>
  </w:style>
  <w:style w:type="paragraph" w:customStyle="1" w:styleId="433">
    <w:name w:val="toc 516"/>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434">
    <w:name w:val="xl89"/>
    <w:basedOn w:val="1"/>
    <w:next w:val="368"/>
    <w:autoRedefine/>
    <w:qFormat/>
    <w:uiPriority w:val="0"/>
    <w:pPr>
      <w:widowControl/>
      <w:shd w:val="clear" w:color="000000" w:fill="FFFFFF"/>
      <w:spacing w:before="280" w:after="280"/>
    </w:pPr>
    <w:rPr>
      <w:rFonts w:ascii="宋体" w:hAnsi="Calibri"/>
      <w:kern w:val="0"/>
      <w:sz w:val="20"/>
      <w:szCs w:val="20"/>
    </w:rPr>
  </w:style>
  <w:style w:type="paragraph" w:customStyle="1" w:styleId="435">
    <w:name w:val="toc 910"/>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436">
    <w:name w:val="toc 34"/>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437">
    <w:name w:val="toc 816"/>
    <w:next w:val="1"/>
    <w:autoRedefine/>
    <w:qFormat/>
    <w:uiPriority w:val="0"/>
    <w:pPr>
      <w:wordWrap w:val="0"/>
      <w:ind w:left="2975"/>
      <w:jc w:val="both"/>
    </w:pPr>
    <w:rPr>
      <w:rFonts w:ascii="Calibri" w:hAnsi="Calibri" w:eastAsia="宋体" w:cs="Times New Roman"/>
      <w:sz w:val="21"/>
      <w:lang w:val="en-US" w:eastAsia="zh-CN" w:bidi="ar-SA"/>
    </w:rPr>
  </w:style>
  <w:style w:type="paragraph" w:customStyle="1" w:styleId="438">
    <w:name w:val="toc 43"/>
    <w:next w:val="1"/>
    <w:autoRedefine/>
    <w:qFormat/>
    <w:uiPriority w:val="0"/>
    <w:pPr>
      <w:wordWrap w:val="0"/>
      <w:ind w:left="1275"/>
      <w:jc w:val="both"/>
    </w:pPr>
    <w:rPr>
      <w:rFonts w:ascii="Calibri" w:hAnsi="Calibri" w:eastAsia="宋体" w:cs="Times New Roman"/>
      <w:sz w:val="21"/>
      <w:lang w:val="en-US" w:eastAsia="zh-CN" w:bidi="ar-SA"/>
    </w:rPr>
  </w:style>
  <w:style w:type="paragraph" w:customStyle="1" w:styleId="439">
    <w:name w:val="toc 16"/>
    <w:next w:val="1"/>
    <w:autoRedefine/>
    <w:qFormat/>
    <w:uiPriority w:val="0"/>
    <w:pPr>
      <w:wordWrap w:val="0"/>
      <w:jc w:val="both"/>
    </w:pPr>
    <w:rPr>
      <w:rFonts w:ascii="Calibri" w:hAnsi="Calibri" w:eastAsia="宋体" w:cs="Times New Roman"/>
      <w:sz w:val="21"/>
      <w:lang w:val="en-US" w:eastAsia="zh-CN" w:bidi="ar-SA"/>
    </w:rPr>
  </w:style>
  <w:style w:type="paragraph" w:styleId="440">
    <w:name w:val="Quote"/>
    <w:next w:val="1"/>
    <w:link w:val="441"/>
    <w:autoRedefine/>
    <w:qFormat/>
    <w:uiPriority w:val="0"/>
    <w:pPr>
      <w:wordWrap w:val="0"/>
      <w:spacing w:before="200" w:after="160"/>
      <w:ind w:left="864" w:right="864"/>
      <w:jc w:val="center"/>
    </w:pPr>
    <w:rPr>
      <w:rFonts w:ascii="Calibri" w:hAnsi="Calibri" w:eastAsia="宋体" w:cs="Times New Roman"/>
      <w:i/>
      <w:sz w:val="21"/>
      <w:lang w:val="en-US" w:eastAsia="zh-CN" w:bidi="ar-SA"/>
    </w:rPr>
  </w:style>
  <w:style w:type="character" w:customStyle="1" w:styleId="441">
    <w:name w:val="引用 字符"/>
    <w:basedOn w:val="48"/>
    <w:link w:val="440"/>
    <w:autoRedefine/>
    <w:qFormat/>
    <w:uiPriority w:val="0"/>
    <w:rPr>
      <w:rFonts w:ascii="Calibri" w:hAnsi="Calibri"/>
      <w:i/>
      <w:sz w:val="21"/>
    </w:rPr>
  </w:style>
  <w:style w:type="paragraph" w:customStyle="1" w:styleId="442">
    <w:name w:val="toc 114"/>
    <w:next w:val="1"/>
    <w:autoRedefine/>
    <w:qFormat/>
    <w:uiPriority w:val="0"/>
    <w:pPr>
      <w:wordWrap w:val="0"/>
      <w:jc w:val="both"/>
    </w:pPr>
    <w:rPr>
      <w:rFonts w:ascii="Calibri" w:hAnsi="Calibri" w:eastAsia="宋体" w:cs="Times New Roman"/>
      <w:sz w:val="21"/>
      <w:lang w:val="en-US" w:eastAsia="zh-CN" w:bidi="ar-SA"/>
    </w:rPr>
  </w:style>
  <w:style w:type="paragraph" w:customStyle="1" w:styleId="443">
    <w:name w:val="xl119"/>
    <w:basedOn w:val="1"/>
    <w:next w:val="418"/>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444">
    <w:name w:val="toc 37"/>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445">
    <w:name w:val="xl109"/>
    <w:basedOn w:val="1"/>
    <w:next w:val="391"/>
    <w:autoRedefine/>
    <w:qFormat/>
    <w:uiPriority w:val="0"/>
    <w:pPr>
      <w:widowControl/>
      <w:shd w:val="clear" w:color="000000" w:fill="FFFFFF"/>
      <w:spacing w:before="280" w:after="280"/>
    </w:pPr>
    <w:rPr>
      <w:rFonts w:ascii="宋体" w:hAnsi="Calibri"/>
      <w:kern w:val="0"/>
      <w:sz w:val="20"/>
      <w:szCs w:val="20"/>
    </w:rPr>
  </w:style>
  <w:style w:type="paragraph" w:customStyle="1" w:styleId="446">
    <w:name w:val="toc 215"/>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447">
    <w:name w:val="xl76"/>
    <w:basedOn w:val="1"/>
    <w:next w:val="399"/>
    <w:autoRedefine/>
    <w:qFormat/>
    <w:uiPriority w:val="0"/>
    <w:pPr>
      <w:widowControl/>
      <w:shd w:val="clear" w:color="000000" w:fill="FFFFFF"/>
      <w:spacing w:before="280" w:after="280"/>
      <w:jc w:val="center"/>
    </w:pPr>
    <w:rPr>
      <w:rFonts w:ascii="宋体" w:hAnsi="Calibri"/>
      <w:b/>
      <w:kern w:val="0"/>
      <w:sz w:val="20"/>
      <w:szCs w:val="20"/>
    </w:rPr>
  </w:style>
  <w:style w:type="paragraph" w:customStyle="1" w:styleId="448">
    <w:name w:val="toc 92"/>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449">
    <w:name w:val="toc 216"/>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450">
    <w:name w:val="xl70"/>
    <w:basedOn w:val="1"/>
    <w:next w:val="376"/>
    <w:autoRedefine/>
    <w:qFormat/>
    <w:uiPriority w:val="0"/>
    <w:pPr>
      <w:widowControl/>
      <w:shd w:val="clear" w:color="000000" w:fill="FFFFFF"/>
      <w:spacing w:before="280" w:after="280"/>
    </w:pPr>
    <w:rPr>
      <w:rFonts w:ascii="宋体" w:hAnsi="Calibri"/>
      <w:kern w:val="0"/>
      <w:sz w:val="20"/>
      <w:szCs w:val="20"/>
    </w:rPr>
  </w:style>
  <w:style w:type="paragraph" w:customStyle="1" w:styleId="451">
    <w:name w:val="toc 33"/>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452">
    <w:name w:val="toc 61"/>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453">
    <w:name w:val="xl98"/>
    <w:basedOn w:val="1"/>
    <w:next w:val="394"/>
    <w:autoRedefine/>
    <w:qFormat/>
    <w:uiPriority w:val="0"/>
    <w:pPr>
      <w:widowControl/>
      <w:shd w:val="clear" w:color="000000" w:fill="FFFFFF"/>
      <w:spacing w:before="280" w:after="280"/>
      <w:jc w:val="center"/>
    </w:pPr>
    <w:rPr>
      <w:rFonts w:ascii="宋体" w:hAnsi="Calibri"/>
      <w:kern w:val="0"/>
      <w:sz w:val="20"/>
      <w:szCs w:val="20"/>
    </w:rPr>
  </w:style>
  <w:style w:type="paragraph" w:customStyle="1" w:styleId="454">
    <w:name w:val="toc 26"/>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455">
    <w:name w:val="toc 13"/>
    <w:next w:val="1"/>
    <w:autoRedefine/>
    <w:qFormat/>
    <w:uiPriority w:val="0"/>
    <w:pPr>
      <w:wordWrap w:val="0"/>
      <w:jc w:val="both"/>
    </w:pPr>
    <w:rPr>
      <w:rFonts w:ascii="Calibri" w:hAnsi="Calibri" w:eastAsia="宋体" w:cs="Times New Roman"/>
      <w:sz w:val="21"/>
      <w:lang w:val="en-US" w:eastAsia="zh-CN" w:bidi="ar-SA"/>
    </w:rPr>
  </w:style>
  <w:style w:type="paragraph" w:customStyle="1" w:styleId="456">
    <w:name w:val="目录 51"/>
    <w:next w:val="1"/>
    <w:autoRedefine/>
    <w:qFormat/>
    <w:uiPriority w:val="0"/>
    <w:pPr>
      <w:wordWrap w:val="0"/>
      <w:ind w:left="1700"/>
      <w:jc w:val="both"/>
    </w:pPr>
    <w:rPr>
      <w:rFonts w:ascii="Calibri" w:hAnsi="Calibri" w:eastAsia="宋体" w:cs="Times New Roman"/>
      <w:sz w:val="21"/>
      <w:lang w:val="en-US" w:eastAsia="zh-CN" w:bidi="ar-SA"/>
    </w:rPr>
  </w:style>
  <w:style w:type="paragraph" w:customStyle="1" w:styleId="457">
    <w:name w:val="xl101"/>
    <w:basedOn w:val="1"/>
    <w:next w:val="425"/>
    <w:autoRedefine/>
    <w:qFormat/>
    <w:uiPriority w:val="0"/>
    <w:pPr>
      <w:widowControl/>
      <w:spacing w:before="280" w:after="280"/>
    </w:pPr>
    <w:rPr>
      <w:rFonts w:ascii="宋体" w:hAnsi="Calibri"/>
      <w:kern w:val="0"/>
      <w:sz w:val="20"/>
      <w:szCs w:val="20"/>
    </w:rPr>
  </w:style>
  <w:style w:type="paragraph" w:customStyle="1" w:styleId="458">
    <w:name w:val="toc 75"/>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459">
    <w:name w:val="toc 715"/>
    <w:next w:val="1"/>
    <w:autoRedefine/>
    <w:qFormat/>
    <w:uiPriority w:val="0"/>
    <w:pPr>
      <w:wordWrap w:val="0"/>
      <w:ind w:left="2550"/>
      <w:jc w:val="both"/>
    </w:pPr>
    <w:rPr>
      <w:rFonts w:ascii="Calibri" w:hAnsi="Calibri" w:eastAsia="宋体" w:cs="Times New Roman"/>
      <w:sz w:val="21"/>
      <w:lang w:val="en-US" w:eastAsia="zh-CN" w:bidi="ar-SA"/>
    </w:rPr>
  </w:style>
  <w:style w:type="paragraph" w:styleId="460">
    <w:name w:val="Intense Quote"/>
    <w:next w:val="1"/>
    <w:link w:val="461"/>
    <w:autoRedefine/>
    <w:qFormat/>
    <w:uiPriority w:val="0"/>
    <w:pPr>
      <w:wordWrap w:val="0"/>
      <w:spacing w:before="360" w:after="360"/>
      <w:ind w:left="950" w:right="950"/>
      <w:jc w:val="center"/>
    </w:pPr>
    <w:rPr>
      <w:rFonts w:ascii="Calibri" w:hAnsi="Calibri" w:eastAsia="宋体" w:cs="Times New Roman"/>
      <w:i/>
      <w:sz w:val="21"/>
      <w:lang w:val="en-US" w:eastAsia="zh-CN" w:bidi="ar-SA"/>
    </w:rPr>
  </w:style>
  <w:style w:type="character" w:customStyle="1" w:styleId="461">
    <w:name w:val="明显引用 字符"/>
    <w:basedOn w:val="48"/>
    <w:link w:val="460"/>
    <w:autoRedefine/>
    <w:qFormat/>
    <w:uiPriority w:val="0"/>
    <w:rPr>
      <w:rFonts w:ascii="Calibri" w:hAnsi="Calibri"/>
      <w:i/>
      <w:sz w:val="21"/>
    </w:rPr>
  </w:style>
  <w:style w:type="paragraph" w:customStyle="1" w:styleId="462">
    <w:name w:val="Char Char Char Char Char Char Char"/>
    <w:basedOn w:val="1"/>
    <w:next w:val="446"/>
    <w:autoRedefine/>
    <w:qFormat/>
    <w:uiPriority w:val="0"/>
    <w:pPr>
      <w:widowControl/>
      <w:spacing w:after="160" w:line="240" w:lineRule="exact"/>
    </w:pPr>
    <w:rPr>
      <w:rFonts w:hAnsi="Calibri"/>
      <w:kern w:val="0"/>
      <w:szCs w:val="20"/>
    </w:rPr>
  </w:style>
  <w:style w:type="paragraph" w:customStyle="1" w:styleId="463">
    <w:name w:val="toc 23"/>
    <w:next w:val="1"/>
    <w:autoRedefine/>
    <w:qFormat/>
    <w:uiPriority w:val="0"/>
    <w:pPr>
      <w:wordWrap w:val="0"/>
      <w:ind w:left="425"/>
      <w:jc w:val="both"/>
    </w:pPr>
    <w:rPr>
      <w:rFonts w:ascii="Calibri" w:hAnsi="Calibri" w:eastAsia="宋体" w:cs="Times New Roman"/>
      <w:sz w:val="21"/>
      <w:lang w:val="en-US" w:eastAsia="zh-CN" w:bidi="ar-SA"/>
    </w:rPr>
  </w:style>
  <w:style w:type="paragraph" w:customStyle="1" w:styleId="464">
    <w:name w:val="目录 61"/>
    <w:next w:val="1"/>
    <w:autoRedefine/>
    <w:qFormat/>
    <w:uiPriority w:val="0"/>
    <w:pPr>
      <w:wordWrap w:val="0"/>
      <w:ind w:left="2125"/>
      <w:jc w:val="both"/>
    </w:pPr>
    <w:rPr>
      <w:rFonts w:ascii="Calibri" w:hAnsi="Calibri" w:eastAsia="宋体" w:cs="Times New Roman"/>
      <w:sz w:val="21"/>
      <w:lang w:val="en-US" w:eastAsia="zh-CN" w:bidi="ar-SA"/>
    </w:rPr>
  </w:style>
  <w:style w:type="paragraph" w:customStyle="1" w:styleId="465">
    <w:name w:val="toc 97"/>
    <w:next w:val="1"/>
    <w:autoRedefine/>
    <w:qFormat/>
    <w:uiPriority w:val="0"/>
    <w:pPr>
      <w:wordWrap w:val="0"/>
      <w:ind w:left="3400"/>
      <w:jc w:val="both"/>
    </w:pPr>
    <w:rPr>
      <w:rFonts w:ascii="Calibri" w:hAnsi="Calibri" w:eastAsia="宋体" w:cs="Times New Roman"/>
      <w:sz w:val="21"/>
      <w:lang w:val="en-US" w:eastAsia="zh-CN" w:bidi="ar-SA"/>
    </w:rPr>
  </w:style>
  <w:style w:type="paragraph" w:customStyle="1" w:styleId="466">
    <w:name w:val="toc 74"/>
    <w:next w:val="1"/>
    <w:autoRedefine/>
    <w:qFormat/>
    <w:uiPriority w:val="0"/>
    <w:pPr>
      <w:wordWrap w:val="0"/>
      <w:ind w:left="2550"/>
      <w:jc w:val="both"/>
    </w:pPr>
    <w:rPr>
      <w:rFonts w:ascii="Calibri" w:hAnsi="Calibri" w:eastAsia="宋体" w:cs="Times New Roman"/>
      <w:sz w:val="21"/>
      <w:lang w:val="en-US" w:eastAsia="zh-CN" w:bidi="ar-SA"/>
    </w:rPr>
  </w:style>
  <w:style w:type="paragraph" w:customStyle="1" w:styleId="467">
    <w:name w:val="xl64"/>
    <w:basedOn w:val="1"/>
    <w:next w:val="442"/>
    <w:autoRedefine/>
    <w:qFormat/>
    <w:uiPriority w:val="0"/>
    <w:pPr>
      <w:widowControl/>
      <w:shd w:val="clear" w:color="000000" w:fill="FFFFFF"/>
      <w:spacing w:before="280" w:after="280"/>
    </w:pPr>
    <w:rPr>
      <w:rFonts w:ascii="宋体" w:hAnsi="Calibri"/>
      <w:kern w:val="0"/>
      <w:sz w:val="20"/>
      <w:szCs w:val="20"/>
    </w:rPr>
  </w:style>
  <w:style w:type="paragraph" w:customStyle="1" w:styleId="468">
    <w:name w:val="xl82"/>
    <w:basedOn w:val="1"/>
    <w:next w:val="287"/>
    <w:autoRedefine/>
    <w:qFormat/>
    <w:uiPriority w:val="0"/>
    <w:pPr>
      <w:widowControl/>
      <w:shd w:val="clear" w:color="000000" w:fill="FFFFFF"/>
      <w:spacing w:before="280" w:after="280"/>
    </w:pPr>
    <w:rPr>
      <w:rFonts w:ascii="宋体" w:hAnsi="Calibri"/>
      <w:kern w:val="0"/>
      <w:sz w:val="20"/>
      <w:szCs w:val="20"/>
    </w:rPr>
  </w:style>
  <w:style w:type="paragraph" w:customStyle="1" w:styleId="469">
    <w:name w:val="toc 32"/>
    <w:next w:val="1"/>
    <w:autoRedefine/>
    <w:qFormat/>
    <w:uiPriority w:val="0"/>
    <w:pPr>
      <w:wordWrap w:val="0"/>
      <w:ind w:left="850"/>
      <w:jc w:val="both"/>
    </w:pPr>
    <w:rPr>
      <w:rFonts w:ascii="Calibri" w:hAnsi="Calibri" w:eastAsia="宋体" w:cs="Times New Roman"/>
      <w:sz w:val="21"/>
      <w:lang w:val="en-US" w:eastAsia="zh-CN" w:bidi="ar-SA"/>
    </w:rPr>
  </w:style>
  <w:style w:type="paragraph" w:customStyle="1" w:styleId="470">
    <w:name w:val="xl77"/>
    <w:basedOn w:val="1"/>
    <w:next w:val="435"/>
    <w:autoRedefine/>
    <w:qFormat/>
    <w:uiPriority w:val="0"/>
    <w:pPr>
      <w:widowControl/>
      <w:shd w:val="clear" w:color="000000" w:fill="FFFFFF"/>
      <w:spacing w:before="280" w:after="280"/>
      <w:jc w:val="center"/>
    </w:pPr>
    <w:rPr>
      <w:rFonts w:ascii="宋体" w:hAnsi="Calibri"/>
      <w:kern w:val="0"/>
      <w:sz w:val="20"/>
      <w:szCs w:val="20"/>
    </w:rPr>
  </w:style>
  <w:style w:type="character" w:customStyle="1" w:styleId="471">
    <w:name w:val="正文缩进 Char1"/>
    <w:autoRedefine/>
    <w:qFormat/>
    <w:uiPriority w:val="0"/>
    <w:rPr>
      <w:rFonts w:eastAsia="宋体"/>
      <w:kern w:val="2"/>
      <w:sz w:val="21"/>
      <w:lang w:val="en-US" w:eastAsia="zh-CN" w:bidi="ar-SA"/>
    </w:rPr>
  </w:style>
  <w:style w:type="character" w:customStyle="1" w:styleId="472">
    <w:name w:val="fielderror"/>
    <w:basedOn w:val="48"/>
    <w:autoRedefine/>
    <w:qFormat/>
    <w:uiPriority w:val="0"/>
    <w:rPr>
      <w:color w:val="800000"/>
    </w:rPr>
  </w:style>
  <w:style w:type="character" w:customStyle="1" w:styleId="473">
    <w:name w:val="hilite6"/>
    <w:basedOn w:val="48"/>
    <w:autoRedefine/>
    <w:qFormat/>
    <w:uiPriority w:val="0"/>
    <w:rPr>
      <w:color w:val="000000"/>
    </w:rPr>
  </w:style>
  <w:style w:type="character" w:customStyle="1" w:styleId="474">
    <w:name w:val="active6"/>
    <w:basedOn w:val="48"/>
    <w:autoRedefine/>
    <w:qFormat/>
    <w:uiPriority w:val="0"/>
    <w:rPr>
      <w:color w:val="FFFFFF"/>
    </w:rPr>
  </w:style>
  <w:style w:type="character" w:customStyle="1" w:styleId="475">
    <w:name w:val="inline-help"/>
    <w:basedOn w:val="48"/>
    <w:autoRedefine/>
    <w:qFormat/>
    <w:uiPriority w:val="0"/>
  </w:style>
  <w:style w:type="character" w:customStyle="1" w:styleId="476">
    <w:name w:val="active"/>
    <w:basedOn w:val="48"/>
    <w:autoRedefine/>
    <w:qFormat/>
    <w:uiPriority w:val="0"/>
    <w:rPr>
      <w:color w:val="FFFFFF"/>
    </w:rPr>
  </w:style>
  <w:style w:type="character" w:customStyle="1" w:styleId="477">
    <w:name w:val="未处理的提及1"/>
    <w:basedOn w:val="48"/>
    <w:autoRedefine/>
    <w:semiHidden/>
    <w:unhideWhenUsed/>
    <w:qFormat/>
    <w:uiPriority w:val="99"/>
    <w:rPr>
      <w:color w:val="605E5C"/>
      <w:shd w:val="clear" w:color="auto" w:fill="E1DFDD"/>
    </w:rPr>
  </w:style>
  <w:style w:type="paragraph" w:customStyle="1" w:styleId="478">
    <w:name w:val="修订2"/>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479">
    <w:name w:val="pf0"/>
    <w:basedOn w:val="1"/>
    <w:autoRedefine/>
    <w:qFormat/>
    <w:uiPriority w:val="0"/>
    <w:pPr>
      <w:spacing w:before="100" w:beforeAutospacing="1" w:after="100" w:afterAutospacing="1"/>
    </w:pPr>
    <w:rPr>
      <w:rFonts w:ascii="宋体" w:hAnsi="宋体"/>
      <w:kern w:val="0"/>
      <w:sz w:val="24"/>
    </w:rPr>
  </w:style>
  <w:style w:type="paragraph" w:customStyle="1" w:styleId="480">
    <w:name w:val="Table Paragraph"/>
    <w:basedOn w:val="1"/>
    <w:autoRedefine/>
    <w:qFormat/>
    <w:uiPriority w:val="1"/>
    <w:rPr>
      <w:rFonts w:ascii="宋体" w:hAnsi="宋体" w:cs="宋体"/>
    </w:rPr>
  </w:style>
  <w:style w:type="paragraph" w:customStyle="1" w:styleId="48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104</Pages>
  <Words>461</Words>
  <Characters>471</Characters>
  <Lines>400</Lines>
  <Paragraphs>112</Paragraphs>
  <TotalTime>43</TotalTime>
  <ScaleCrop>false</ScaleCrop>
  <LinksUpToDate>false</LinksUpToDate>
  <CharactersWithSpaces>472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2022-04-25T08:36:00Z</dcterms:created>
  <dc:creator>thsware</dc:creator>
  <cp:lastModifiedBy>吕静</cp:lastModifiedBy>
  <cp:lastPrinted>2021-05-16T11:04:00Z</cp:lastPrinted>
  <dcterms:modified xsi:type="dcterms:W3CDTF">2025-04-25T03:08:41Z</dcterms:modified>
  <dc:title>招  标　文　件</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094910080BF34B2486FA8DF7CF2E0705_13</vt:lpwstr>
  </property>
  <property fmtid="{D5CDD505-2E9C-101B-9397-08002B2CF9AE}" pid="4" name="KSOTemplateDocerSaveRecord">
    <vt:lpwstr>eyJoZGlkIjoiNGQ5MDFkMTRmMzJiMWZhYmMwMWQ3MGJmYTFiYmZiOWEiLCJ1c2VySWQiOiIxMjAwOTcxNzk2In0=</vt:lpwstr>
  </property>
</Properties>
</file>