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data1.xml" ContentType="application/vnd.openxmlformats-officedocument.drawingml.diagramData+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D06E51">
      <w:pPr>
        <w:pStyle w:val="74"/>
        <w:outlineLvl w:val="0"/>
        <w:rPr>
          <w:rFonts w:ascii="宋体" w:hAnsi="宋体"/>
          <w:b/>
          <w:sz w:val="32"/>
          <w:szCs w:val="28"/>
        </w:rPr>
      </w:pPr>
      <w:bookmarkStart w:id="3" w:name="_GoBack"/>
      <w:bookmarkEnd w:id="3"/>
      <w:r>
        <w:rPr>
          <w:rFonts w:hint="eastAsia" w:ascii="宋体" w:hAnsi="宋体"/>
          <w:sz w:val="32"/>
          <w:szCs w:val="32"/>
        </w:rPr>
        <w:t>★</w:t>
      </w:r>
      <w:r>
        <w:rPr>
          <w:rFonts w:hint="eastAsia" w:ascii="宋体" w:hAnsi="宋体"/>
          <w:b/>
          <w:sz w:val="32"/>
          <w:szCs w:val="28"/>
        </w:rPr>
        <w:t>附件2 技术规范</w:t>
      </w:r>
    </w:p>
    <w:p w14:paraId="09D16A03">
      <w:pPr>
        <w:pStyle w:val="75"/>
        <w:outlineLvl w:val="1"/>
      </w:pPr>
      <w:r>
        <w:rPr>
          <w:rFonts w:hint="eastAsia"/>
        </w:rPr>
        <w:t>项目概况</w:t>
      </w:r>
    </w:p>
    <w:p w14:paraId="286B2C31">
      <w:pPr>
        <w:ind w:firstLine="420" w:firstLineChars="200"/>
        <w:rPr>
          <w:rFonts w:ascii="宋体" w:hAnsi="宋体"/>
        </w:rPr>
      </w:pPr>
      <w:r>
        <w:rPr>
          <w:rFonts w:hint="eastAsia" w:ascii="宋体" w:hAnsi="宋体"/>
        </w:rPr>
        <w:t>本项目计划采购的科研平台配套设施计划部署于某科研楼2层，项目内设有4个机房，共10个微模块，采用封闭冷通道。总机柜数307个，其中有126架功率 为15kW机柜，181架功率为10kW机柜。机柜尺寸：47U机柜（W*D*H）：600mm*1200mm*2200mm，9个微模块，共有276个机柜；机柜尺寸：47U机柜（W*D*H）：600mm*1400mm*2200mm，1个微模块，共有31个机柜。二层内设有2个电力室，每个电力室内设2组2500kVA变压器及其高低压馈线柜。</w:t>
      </w:r>
    </w:p>
    <w:p w14:paraId="1BF1FB49">
      <w:pPr>
        <w:ind w:firstLine="420" w:firstLineChars="200"/>
      </w:pPr>
      <w:r>
        <w:rPr>
          <w:rFonts w:hint="eastAsia"/>
        </w:rPr>
        <w:t>该科研楼BM层设置了高压配电房、低压配电房、板换机房等辅助用房，部署了冷水机组、水泵、板式换热器、冷却塔、1</w:t>
      </w:r>
      <w:r>
        <w:t>0</w:t>
      </w:r>
      <w:r>
        <w:rPr>
          <w:rFonts w:hint="eastAsia"/>
        </w:rPr>
        <w:t>kV中压配电柜等设备。</w:t>
      </w:r>
    </w:p>
    <w:p w14:paraId="2E56F26F">
      <w:pPr>
        <w:ind w:firstLine="420" w:firstLineChars="200"/>
        <w:rPr>
          <w:rFonts w:ascii="宋体" w:hAnsi="宋体"/>
        </w:rPr>
      </w:pPr>
      <w:r>
        <w:rPr>
          <w:rFonts w:hint="eastAsia"/>
        </w:rPr>
        <w:t>本项目集成服务的工作界面，包含本次采购设备的安装、调测，也包含与各个系统（配电、暖通、弱电、消防、装修等）已有设备的对接，调测。</w:t>
      </w:r>
    </w:p>
    <w:p w14:paraId="39DB9124">
      <w:pPr>
        <w:pStyle w:val="75"/>
        <w:outlineLvl w:val="1"/>
      </w:pPr>
      <w:r>
        <w:rPr>
          <w:rFonts w:hint="eastAsia"/>
        </w:rPr>
        <w:t>装饰装修</w:t>
      </w:r>
    </w:p>
    <w:p w14:paraId="67181A14">
      <w:pPr>
        <w:pStyle w:val="76"/>
        <w:outlineLvl w:val="2"/>
      </w:pPr>
      <w:r>
        <w:rPr>
          <w:rFonts w:hint="eastAsia"/>
        </w:rPr>
        <w:t>室内装修</w:t>
      </w:r>
    </w:p>
    <w:p w14:paraId="446065E9">
      <w:pPr>
        <w:rPr>
          <w:rFonts w:ascii="宋体" w:hAnsi="宋体"/>
        </w:rPr>
      </w:pPr>
      <w:r>
        <w:rPr>
          <w:rFonts w:hint="eastAsia" w:ascii="宋体" w:hAnsi="宋体"/>
        </w:rPr>
        <w:t>●装修效果：舒适、明快、简洁。装修选用绿色环保以及吸音效果好、不易变色、变形、易清洁、防静电、防磁干扰、防火性能强的材料。</w:t>
      </w:r>
    </w:p>
    <w:p w14:paraId="263D2E4E">
      <w:pPr>
        <w:rPr>
          <w:rFonts w:ascii="宋体" w:hAnsi="宋体"/>
        </w:rPr>
      </w:pPr>
      <w:r>
        <w:rPr>
          <w:rFonts w:hint="eastAsia" w:ascii="宋体" w:hAnsi="宋体"/>
        </w:rPr>
        <w:t>●机房区域的装饰装修部分主要内容包括：抗静电活动地板、彩钢板墙柱面、无机涂料顶棚喷黑、玻璃隔断、门窗的设计安装等整体规划。</w:t>
      </w:r>
    </w:p>
    <w:p w14:paraId="09546634">
      <w:pPr>
        <w:rPr>
          <w:rFonts w:ascii="宋体" w:hAnsi="宋体"/>
        </w:rPr>
      </w:pPr>
      <w:r>
        <w:rPr>
          <w:rFonts w:hint="eastAsia" w:ascii="宋体" w:hAnsi="宋体"/>
        </w:rPr>
        <w:t>●设备用房区域的装饰装修部分主要内容包括：密封固化剂地面、无机涂料墙柱面、门窗的设计安装等整体规划。</w:t>
      </w:r>
    </w:p>
    <w:p w14:paraId="49807A08">
      <w:pPr>
        <w:rPr>
          <w:rFonts w:ascii="宋体" w:hAnsi="宋体"/>
        </w:rPr>
      </w:pPr>
      <w:r>
        <w:rPr>
          <w:rFonts w:hint="eastAsia" w:ascii="宋体" w:hAnsi="宋体"/>
        </w:rPr>
        <w:t>●屏蔽机房区域的装饰装修部分主要内容包括：微孔铝板吊顶、钢板地面、彩钢板墙柱面、门窗的设计安装等整体规划，屏蔽壳体、屏蔽钢板、屏蔽门、通风波导窗、各种滤波器均由专业厂家深化设计安装施工。</w:t>
      </w:r>
    </w:p>
    <w:p w14:paraId="6A4E6071">
      <w:pPr>
        <w:ind w:firstLine="420" w:firstLineChars="200"/>
        <w:rPr>
          <w:rFonts w:ascii="宋体" w:hAnsi="宋体"/>
        </w:rPr>
      </w:pPr>
      <w:r>
        <w:rPr>
          <w:rFonts w:hint="eastAsia" w:ascii="宋体" w:hAnsi="宋体"/>
        </w:rPr>
        <w:t>(1) 顶面</w:t>
      </w:r>
    </w:p>
    <w:p w14:paraId="4881031C">
      <w:pPr>
        <w:rPr>
          <w:rFonts w:ascii="宋体" w:hAnsi="宋体"/>
        </w:rPr>
      </w:pPr>
      <w:r>
        <w:rPr>
          <w:rFonts w:hint="eastAsia" w:ascii="宋体" w:hAnsi="宋体"/>
        </w:rPr>
        <w:t>●数据机房内吊顶采用无机涂料顶棚喷黑，其它设备用房采用白色无机涂料顶棚。</w:t>
      </w:r>
    </w:p>
    <w:p w14:paraId="1D90DC79">
      <w:pPr>
        <w:rPr>
          <w:rFonts w:ascii="宋体" w:hAnsi="宋体"/>
        </w:rPr>
      </w:pPr>
      <w:r>
        <w:rPr>
          <w:rFonts w:hint="eastAsia" w:ascii="宋体" w:hAnsi="宋体"/>
        </w:rPr>
        <w:t>●资料室、ECC及配套设备间吊顶为石膏板涂料吊顶（利旧）如有增设灯具管线等需破坏原吊的施工完闭后恢复原样。</w:t>
      </w:r>
    </w:p>
    <w:p w14:paraId="6B7604ED">
      <w:pPr>
        <w:rPr>
          <w:rFonts w:ascii="宋体" w:hAnsi="宋体"/>
        </w:rPr>
      </w:pPr>
      <w:r>
        <w:rPr>
          <w:rFonts w:hint="eastAsia" w:ascii="宋体" w:hAnsi="宋体"/>
        </w:rPr>
        <w:t>●屏蔽机房吊顶材料采用600x600x0.8mm 微孔铝质吊顶板。</w:t>
      </w:r>
    </w:p>
    <w:p w14:paraId="4204A830">
      <w:pPr>
        <w:rPr>
          <w:rFonts w:ascii="宋体" w:hAnsi="宋体"/>
        </w:rPr>
      </w:pPr>
      <w:r>
        <w:rPr>
          <w:rFonts w:hint="eastAsia" w:ascii="宋体" w:hAnsi="宋体"/>
        </w:rPr>
        <w:t>●吊顶内除主次龙骨外，尚应根据工程情况适当布置附加龙骨、吊杆、斜撑、剪刀撑，以保证吊顶的刚度、稳定性符合质量要求。</w:t>
      </w:r>
    </w:p>
    <w:p w14:paraId="57812833">
      <w:pPr>
        <w:rPr>
          <w:rFonts w:ascii="宋体" w:hAnsi="宋体"/>
        </w:rPr>
      </w:pPr>
      <w:r>
        <w:rPr>
          <w:rFonts w:hint="eastAsia" w:ascii="宋体" w:hAnsi="宋体"/>
        </w:rPr>
        <w:t>●维修猫道、空调器等应自成承重体系，与吊顶承重体系分开。轻型灯具应吊在主龙骨或附加龙骨上，重型灯具应另设吊钩。轻钢龙骨吊顶的施工可配合国家标准图集《内装修室内吊顶》进行，并按《建筑装饰装修工程质量验收标准》GB 50210-2018进行验收。</w:t>
      </w:r>
    </w:p>
    <w:p w14:paraId="44CB76E1">
      <w:pPr>
        <w:ind w:firstLine="420" w:firstLineChars="200"/>
        <w:rPr>
          <w:rFonts w:ascii="宋体" w:hAnsi="宋体"/>
        </w:rPr>
      </w:pPr>
      <w:r>
        <w:rPr>
          <w:rFonts w:hint="eastAsia" w:ascii="宋体" w:hAnsi="宋体"/>
        </w:rPr>
        <w:t>(2) 地面</w:t>
      </w:r>
    </w:p>
    <w:p w14:paraId="1DC0B826">
      <w:pPr>
        <w:rPr>
          <w:rFonts w:ascii="宋体" w:hAnsi="宋体"/>
        </w:rPr>
      </w:pPr>
      <w:r>
        <w:rPr>
          <w:rFonts w:hint="eastAsia" w:ascii="宋体" w:hAnsi="宋体"/>
        </w:rPr>
        <w:t>●数据机房地面采用 600x600x35mm 硫酸钙防静电活动地板，地板铺设高度为 0.6（具体详机房工程图纸）。</w:t>
      </w:r>
    </w:p>
    <w:p w14:paraId="35E992D7">
      <w:pPr>
        <w:rPr>
          <w:rFonts w:ascii="宋体" w:hAnsi="宋体"/>
        </w:rPr>
      </w:pPr>
      <w:r>
        <w:rPr>
          <w:rFonts w:hint="eastAsia" w:ascii="宋体" w:hAnsi="宋体"/>
        </w:rPr>
        <w:t>●地板铺设前需对地板下楼板面进行防尘处理。使用精密空调的机房，需对地面做保温处理。配电柜、UPS 主机、电池柜、精密空调、小型机设备放置区域，设计采用角钢做承重安装支架，架高与地板上表面高度一致。</w:t>
      </w:r>
    </w:p>
    <w:p w14:paraId="6EE12612">
      <w:pPr>
        <w:rPr>
          <w:rFonts w:ascii="宋体" w:hAnsi="宋体"/>
        </w:rPr>
      </w:pPr>
      <w:r>
        <w:rPr>
          <w:rFonts w:hint="eastAsia" w:ascii="宋体" w:hAnsi="宋体"/>
        </w:rPr>
        <w:t>●机房出入口：机房出入口采用抗静电地板平铺，并做二次台阶或一次台阶处理；收口处均采用 0.8mm 发纹不锈钢板装饰条。</w:t>
      </w:r>
    </w:p>
    <w:p w14:paraId="1107A4D5">
      <w:pPr>
        <w:rPr>
          <w:rFonts w:ascii="宋体" w:hAnsi="宋体"/>
        </w:rPr>
      </w:pPr>
      <w:r>
        <w:rPr>
          <w:rFonts w:hint="eastAsia" w:ascii="宋体" w:hAnsi="宋体"/>
        </w:rPr>
        <w:t>●通风地板：下送风精密空调区安装一定量的可调节通风地板，与机房空调送风量相配套大。</w:t>
      </w:r>
    </w:p>
    <w:p w14:paraId="2024DADC">
      <w:pPr>
        <w:rPr>
          <w:rFonts w:ascii="宋体" w:hAnsi="宋体"/>
        </w:rPr>
      </w:pPr>
      <w:r>
        <w:rPr>
          <w:rFonts w:hint="eastAsia" w:ascii="宋体" w:hAnsi="宋体"/>
        </w:rPr>
        <w:t>●设备用房地面采用密封固化剂地面，有水房间增加地面防水层。</w:t>
      </w:r>
    </w:p>
    <w:p w14:paraId="10A053E0">
      <w:pPr>
        <w:rPr>
          <w:rFonts w:ascii="宋体" w:hAnsi="宋体"/>
        </w:rPr>
      </w:pPr>
      <w:r>
        <w:rPr>
          <w:rFonts w:hint="eastAsia" w:ascii="宋体" w:hAnsi="宋体"/>
        </w:rPr>
        <w:t>●资料室、地面采用地毯（利旧），ECC配套设备间地毯拆除。</w:t>
      </w:r>
    </w:p>
    <w:p w14:paraId="11107774">
      <w:pPr>
        <w:rPr>
          <w:rFonts w:ascii="宋体" w:hAnsi="宋体"/>
        </w:rPr>
      </w:pPr>
      <w:r>
        <w:rPr>
          <w:rFonts w:hint="eastAsia" w:ascii="宋体" w:hAnsi="宋体"/>
        </w:rPr>
        <w:t>●屏蔽机房地面采用3mm厚冷轧钢板，双面防腐防锈处理地板，地板铺设高度为 0.3（具体详机房工程图纸）。</w:t>
      </w:r>
    </w:p>
    <w:p w14:paraId="7E6CAF84">
      <w:pPr>
        <w:rPr>
          <w:rFonts w:ascii="宋体" w:hAnsi="宋体"/>
        </w:rPr>
      </w:pPr>
      <w:r>
        <w:rPr>
          <w:rFonts w:hint="eastAsia" w:ascii="宋体" w:hAnsi="宋体"/>
        </w:rPr>
        <w:t>●凡设有地漏的房间均应做防水层，防水层采用涂膜防水材料。防水层在墙、柱处翻起高度应不应小于500（厕所等受水或非腐蚀性液体经常浸湿的房间墙面防水高度应不小于吊顶高度）。卫生间等有水房间除注明者外，均比相邻地面低 20mm（无障碍房间为15mm,45度找坡）。无障碍间门口做缓坡过度。室外台阶、平台等做1%坡坡向室外。</w:t>
      </w:r>
    </w:p>
    <w:p w14:paraId="12A1E270">
      <w:pPr>
        <w:rPr>
          <w:rFonts w:ascii="宋体" w:hAnsi="宋体"/>
        </w:rPr>
      </w:pPr>
      <w:r>
        <w:rPr>
          <w:rFonts w:hint="eastAsia" w:ascii="宋体" w:hAnsi="宋体"/>
        </w:rPr>
        <w:t>●楼地面在地漏周围半径1m范围内做1%坡坡向地漏；有围堰的房间地面面层之下做2厚聚氨酯防水涂料，涂料上翻至围堰顶。</w:t>
      </w:r>
    </w:p>
    <w:p w14:paraId="5E793CD4">
      <w:pPr>
        <w:ind w:firstLine="420" w:firstLineChars="200"/>
        <w:rPr>
          <w:rFonts w:ascii="宋体" w:hAnsi="宋体"/>
        </w:rPr>
      </w:pPr>
      <w:r>
        <w:rPr>
          <w:rFonts w:hint="eastAsia" w:ascii="宋体" w:hAnsi="宋体"/>
        </w:rPr>
        <w:t>(3) 墙面、柱面</w:t>
      </w:r>
    </w:p>
    <w:p w14:paraId="3DBB347B">
      <w:pPr>
        <w:rPr>
          <w:rFonts w:ascii="宋体" w:hAnsi="宋体"/>
        </w:rPr>
      </w:pPr>
      <w:r>
        <w:rPr>
          <w:rFonts w:hint="eastAsia" w:ascii="宋体" w:hAnsi="宋体"/>
        </w:rPr>
        <w:t>●数据机房墙面设计采用 C100 型轻钢龙骨架空安装、彩钢石膏复合板饰面。</w:t>
      </w:r>
    </w:p>
    <w:p w14:paraId="7E9A501B">
      <w:pPr>
        <w:rPr>
          <w:rFonts w:ascii="宋体" w:hAnsi="宋体"/>
        </w:rPr>
      </w:pPr>
      <w:r>
        <w:rPr>
          <w:rFonts w:hint="eastAsia" w:ascii="宋体" w:hAnsi="宋体"/>
        </w:rPr>
        <w:t>●彩钢板面层为 0.6mm 热溶镀锌钢板，内衬双层 12mm 防火石膏板，钢板表面烤漆为进口硬化多元聚酯涂料，防火等级：A 级，拐角以及柱子采用工厂量身定做的定尺彩钢板，其余收边（阴角、门头板、门框等）等部位采用同色同材质专业收边。</w:t>
      </w:r>
    </w:p>
    <w:p w14:paraId="60F22074">
      <w:pPr>
        <w:rPr>
          <w:rFonts w:ascii="宋体" w:hAnsi="宋体"/>
        </w:rPr>
      </w:pPr>
      <w:r>
        <w:rPr>
          <w:rFonts w:hint="eastAsia" w:ascii="宋体" w:hAnsi="宋体"/>
        </w:rPr>
        <w:t>●空调机房墙面设计采用 C100 型轻钢龙骨架空安装双层防火石膏板无机涂料饰面，防火等级：A 级，收边（阴角、门头板、门框等）等部位采用同色同材质专业收边。</w:t>
      </w:r>
    </w:p>
    <w:p w14:paraId="543E318F">
      <w:pPr>
        <w:rPr>
          <w:rFonts w:ascii="宋体" w:hAnsi="宋体"/>
        </w:rPr>
      </w:pPr>
      <w:r>
        <w:rPr>
          <w:rFonts w:hint="eastAsia" w:ascii="宋体" w:hAnsi="宋体"/>
        </w:rPr>
        <w:t>●其余设备用房墙面、柱面采用白色无机涂料饰面。</w:t>
      </w:r>
    </w:p>
    <w:p w14:paraId="319ADE92">
      <w:pPr>
        <w:rPr>
          <w:rFonts w:ascii="宋体" w:hAnsi="宋体"/>
        </w:rPr>
      </w:pPr>
      <w:r>
        <w:rPr>
          <w:rFonts w:hint="eastAsia" w:ascii="宋体" w:hAnsi="宋体"/>
        </w:rPr>
        <w:t>●踢脚线：机房区域内踢脚线采用 1.0mm 厚不锈钢板贴面，基层采用高密度板。</w:t>
      </w:r>
    </w:p>
    <w:p w14:paraId="4EB0826F">
      <w:pPr>
        <w:ind w:firstLine="420" w:firstLineChars="200"/>
        <w:rPr>
          <w:rFonts w:ascii="宋体" w:hAnsi="宋体"/>
        </w:rPr>
      </w:pPr>
      <w:r>
        <w:rPr>
          <w:rFonts w:hint="eastAsia" w:ascii="宋体" w:hAnsi="宋体"/>
        </w:rPr>
        <w:t>(4)门、窗</w:t>
      </w:r>
    </w:p>
    <w:p w14:paraId="0D7E9BCD">
      <w:pPr>
        <w:rPr>
          <w:rFonts w:ascii="宋体" w:hAnsi="宋体"/>
        </w:rPr>
      </w:pPr>
      <w:r>
        <w:rPr>
          <w:rFonts w:hint="eastAsia" w:ascii="宋体" w:hAnsi="宋体"/>
        </w:rPr>
        <w:t>●数据机房、空调机房及配套的设备用房门采用2300高甲级防火门。一层走道区域设置1樘FM乙2123乙级防火门， 1樘FM乙1523乙级防火门，空调区6 与数据机房4，数据机房5之间设备2樘甲FC6020，甲级防火窗，门窗详见工程图纸。</w:t>
      </w:r>
    </w:p>
    <w:p w14:paraId="5E7050DA">
      <w:pPr>
        <w:ind w:firstLine="420" w:firstLineChars="200"/>
        <w:rPr>
          <w:rFonts w:ascii="宋体" w:hAnsi="宋体"/>
        </w:rPr>
      </w:pPr>
      <w:r>
        <w:rPr>
          <w:rFonts w:hint="eastAsia" w:ascii="宋体" w:hAnsi="宋体"/>
        </w:rPr>
        <w:t>(5) 保温节能及防尘</w:t>
      </w:r>
    </w:p>
    <w:p w14:paraId="2043C60E">
      <w:pPr>
        <w:rPr>
          <w:rFonts w:ascii="宋体" w:hAnsi="宋体"/>
        </w:rPr>
      </w:pPr>
      <w:r>
        <w:rPr>
          <w:rFonts w:hint="eastAsia" w:ascii="宋体" w:hAnsi="宋体"/>
        </w:rPr>
        <w:t>●在机房下送风空调区域的内墙面与 100 轻钢龙骨之间，由楼地面至楼顶面的饰面墙内均填充 100mm 厚岩棉做保温处理；密空调区域的地板下在做清洁防尘处理后，在地面采用 20mm 厚橡塑保温板+0.6厚镀锌钢板作保温处理。</w:t>
      </w:r>
    </w:p>
    <w:p w14:paraId="332DEEDB">
      <w:pPr>
        <w:rPr>
          <w:rFonts w:ascii="宋体" w:hAnsi="宋体"/>
        </w:rPr>
      </w:pPr>
      <w:r>
        <w:rPr>
          <w:rFonts w:hint="eastAsia" w:ascii="宋体" w:hAnsi="宋体"/>
        </w:rPr>
        <w:t>●要求本工程所选保温板具有很好的阻燃性、平整度好、保温性能强、无毒不起尘。</w:t>
      </w:r>
    </w:p>
    <w:p w14:paraId="1A9CDF0F">
      <w:pPr>
        <w:ind w:firstLine="420" w:firstLineChars="200"/>
        <w:rPr>
          <w:rFonts w:ascii="宋体" w:hAnsi="宋体"/>
        </w:rPr>
      </w:pPr>
      <w:r>
        <w:rPr>
          <w:rFonts w:hint="eastAsia" w:ascii="宋体" w:hAnsi="宋体"/>
        </w:rPr>
        <w:t>(6) 隐蔽部分处理</w:t>
      </w:r>
    </w:p>
    <w:p w14:paraId="7F5FC8BD">
      <w:pPr>
        <w:rPr>
          <w:rFonts w:ascii="宋体" w:hAnsi="宋体"/>
        </w:rPr>
      </w:pPr>
      <w:r>
        <w:rPr>
          <w:rFonts w:hint="eastAsia" w:ascii="宋体" w:hAnsi="宋体"/>
        </w:rPr>
        <w:t>●对于本装饰工程中的隐蔽工程，需严格按照国家标准对隐蔽部分材料的要求进行设计施工，需采取如下措施：</w:t>
      </w:r>
    </w:p>
    <w:p w14:paraId="55260080">
      <w:pPr>
        <w:rPr>
          <w:rFonts w:ascii="宋体" w:hAnsi="宋体"/>
        </w:rPr>
      </w:pPr>
      <w:r>
        <w:rPr>
          <w:rFonts w:hint="eastAsia" w:ascii="宋体" w:hAnsi="宋体"/>
        </w:rPr>
        <w:t>●墙体部分作防潮、防火及保温处理；</w:t>
      </w:r>
    </w:p>
    <w:p w14:paraId="19CDCB73">
      <w:pPr>
        <w:rPr>
          <w:rFonts w:ascii="宋体" w:hAnsi="宋体"/>
        </w:rPr>
      </w:pPr>
      <w:r>
        <w:rPr>
          <w:rFonts w:hint="eastAsia" w:ascii="宋体" w:hAnsi="宋体"/>
        </w:rPr>
        <w:t>●部分非阻燃材料必须涂刷防火涂料；</w:t>
      </w:r>
    </w:p>
    <w:p w14:paraId="256C062A">
      <w:pPr>
        <w:rPr>
          <w:rFonts w:ascii="宋体" w:hAnsi="宋体"/>
        </w:rPr>
      </w:pPr>
      <w:r>
        <w:rPr>
          <w:rFonts w:hint="eastAsia" w:ascii="宋体" w:hAnsi="宋体"/>
        </w:rPr>
        <w:t>●所有隐蔽用材必须符合机房用材性能指标，做到不起尘、阻燃、绝燃、不会产生静电、牢固耐用并无病虫害发生；</w:t>
      </w:r>
    </w:p>
    <w:p w14:paraId="7A8F8E8F">
      <w:pPr>
        <w:rPr>
          <w:rFonts w:ascii="宋体" w:hAnsi="宋体"/>
        </w:rPr>
      </w:pPr>
      <w:r>
        <w:rPr>
          <w:rFonts w:hint="eastAsia" w:ascii="宋体" w:hAnsi="宋体"/>
        </w:rPr>
        <w:t>●各种涂料须符合环保要求；</w:t>
      </w:r>
    </w:p>
    <w:p w14:paraId="66D9E656">
      <w:pPr>
        <w:rPr>
          <w:rFonts w:ascii="宋体" w:hAnsi="宋体"/>
        </w:rPr>
      </w:pPr>
      <w:r>
        <w:rPr>
          <w:rFonts w:hint="eastAsia" w:ascii="宋体" w:hAnsi="宋体"/>
        </w:rPr>
        <w:t>●静电地板下的走线线槽、管路、桥架和插座应悬空地面保温层上 5～8cm，不应贴地面；</w:t>
      </w:r>
    </w:p>
    <w:p w14:paraId="23AA8E59">
      <w:pPr>
        <w:rPr>
          <w:rFonts w:ascii="宋体" w:hAnsi="宋体"/>
        </w:rPr>
      </w:pPr>
      <w:r>
        <w:rPr>
          <w:rFonts w:hint="eastAsia" w:ascii="宋体" w:hAnsi="宋体"/>
        </w:rPr>
        <w:t>●在与机房外部相通部分做好防鼠设施。</w:t>
      </w:r>
    </w:p>
    <w:p w14:paraId="4CB33A22">
      <w:pPr>
        <w:ind w:firstLine="420" w:firstLineChars="200"/>
        <w:rPr>
          <w:rFonts w:ascii="宋体" w:hAnsi="宋体"/>
        </w:rPr>
      </w:pPr>
      <w:r>
        <w:rPr>
          <w:rFonts w:hint="eastAsia" w:ascii="宋体" w:hAnsi="宋体"/>
        </w:rPr>
        <w:t>(7) 静电防护</w:t>
      </w:r>
    </w:p>
    <w:p w14:paraId="14E38CFE">
      <w:pPr>
        <w:rPr>
          <w:rFonts w:ascii="宋体" w:hAnsi="宋体"/>
        </w:rPr>
      </w:pPr>
      <w:r>
        <w:rPr>
          <w:rFonts w:hint="eastAsia" w:ascii="宋体" w:hAnsi="宋体"/>
        </w:rPr>
        <w:t>●机房内采用的抗静电活动地板是由不燃性材料制成。活动地板表面是导静电的耐磨层，严禁暴露金属部分。主机房内的导体与大地作可靠的联接，不得有对接地绝缘的孤立导体。</w:t>
      </w:r>
    </w:p>
    <w:p w14:paraId="7E8863C3">
      <w:pPr>
        <w:ind w:firstLine="360" w:firstLineChars="200"/>
        <w:rPr>
          <w:rFonts w:ascii="宋体" w:hAnsi="宋体"/>
          <w:sz w:val="18"/>
          <w:szCs w:val="18"/>
        </w:rPr>
      </w:pPr>
      <w:r>
        <w:rPr>
          <w:rFonts w:hint="eastAsia" w:ascii="宋体" w:hAnsi="宋体"/>
          <w:sz w:val="18"/>
          <w:szCs w:val="18"/>
        </w:rPr>
        <w:t>(8)标识标志</w:t>
      </w:r>
    </w:p>
    <w:p w14:paraId="2A013C11">
      <w:pPr>
        <w:rPr>
          <w:rFonts w:ascii="宋体" w:hAnsi="宋体"/>
        </w:rPr>
      </w:pPr>
      <w:r>
        <w:rPr>
          <w:rFonts w:hint="eastAsia" w:ascii="宋体" w:hAnsi="宋体"/>
        </w:rPr>
        <w:t>标识系统设计须严格遵循《数据中心基础设施标识标志》（T/CCUA 014-2021）团体标准，覆盖建筑类、设备类、管线类及安全管理类4大类99种标识，并符合GB 50174、GB 2894等国家标准的安全色、图形样式及编码规则要求。</w:t>
      </w:r>
    </w:p>
    <w:p w14:paraId="3176B292">
      <w:pPr>
        <w:pStyle w:val="32"/>
        <w:numPr>
          <w:ilvl w:val="0"/>
          <w:numId w:val="3"/>
        </w:numPr>
        <w:ind w:firstLineChars="0"/>
        <w:rPr>
          <w:rFonts w:ascii="宋体" w:hAnsi="宋体"/>
        </w:rPr>
      </w:pPr>
      <w:r>
        <w:rPr>
          <w:rFonts w:hint="eastAsia" w:ascii="宋体" w:hAnsi="宋体"/>
        </w:rPr>
        <w:t>设备类：配电、暖通、给排水等设备标识需包含唯一编码（如“园区码-楼体码-设备码”层级结构）及功能状态信息。</w:t>
      </w:r>
    </w:p>
    <w:p w14:paraId="2CCED0E0">
      <w:pPr>
        <w:pStyle w:val="32"/>
        <w:numPr>
          <w:ilvl w:val="0"/>
          <w:numId w:val="3"/>
        </w:numPr>
        <w:ind w:firstLineChars="0"/>
        <w:rPr>
          <w:rFonts w:ascii="宋体" w:hAnsi="宋体"/>
        </w:rPr>
      </w:pPr>
      <w:r>
        <w:rPr>
          <w:rFonts w:hint="eastAsia" w:ascii="宋体" w:hAnsi="宋体"/>
        </w:rPr>
        <w:t xml:space="preserve">管线类：线缆、桥架、管道标识应标注起止位置、流向及规格参数，采用耐磨材质。  </w:t>
      </w:r>
    </w:p>
    <w:p w14:paraId="425F541E">
      <w:pPr>
        <w:pStyle w:val="32"/>
        <w:numPr>
          <w:ilvl w:val="0"/>
          <w:numId w:val="3"/>
        </w:numPr>
        <w:ind w:firstLineChars="0"/>
        <w:rPr>
          <w:rFonts w:ascii="宋体" w:hAnsi="宋体"/>
        </w:rPr>
      </w:pPr>
      <w:r>
        <w:rPr>
          <w:rFonts w:hint="eastAsia" w:ascii="宋体" w:hAnsi="宋体"/>
        </w:rPr>
        <w:t>安全类：禁止（红）、警告（黄）、指令（蓝）、提示（绿）四色分区，疏散标识需符合GB 50016防火规范。</w:t>
      </w:r>
    </w:p>
    <w:p w14:paraId="5CEBEE7B">
      <w:pPr>
        <w:pStyle w:val="32"/>
        <w:numPr>
          <w:ilvl w:val="0"/>
          <w:numId w:val="3"/>
        </w:numPr>
        <w:ind w:firstLineChars="0"/>
        <w:rPr>
          <w:rFonts w:ascii="宋体" w:hAnsi="宋体"/>
        </w:rPr>
      </w:pPr>
      <w:r>
        <w:rPr>
          <w:rFonts w:hint="eastAsia" w:ascii="宋体" w:hAnsi="宋体"/>
        </w:rPr>
        <w:t>材质：标识需通过UL969认证，具备防水、防油、耐高温（如柴发设备标识耐120℃）特性，室内寿命≥10年。</w:t>
      </w:r>
    </w:p>
    <w:p w14:paraId="63459B3D">
      <w:pPr>
        <w:pStyle w:val="32"/>
        <w:numPr>
          <w:ilvl w:val="0"/>
          <w:numId w:val="3"/>
        </w:numPr>
        <w:ind w:firstLineChars="0"/>
        <w:rPr>
          <w:rFonts w:ascii="宋体" w:hAnsi="宋体"/>
        </w:rPr>
      </w:pPr>
      <w:r>
        <w:rPr>
          <w:rFonts w:hint="eastAsia" w:ascii="宋体" w:hAnsi="宋体"/>
        </w:rPr>
        <w:t>安装：与施工同步部署，观察角α≥75°，偏移角θ≤15°，确保醒目可视。</w:t>
      </w:r>
    </w:p>
    <w:p w14:paraId="21330422">
      <w:pPr>
        <w:pStyle w:val="32"/>
        <w:numPr>
          <w:ilvl w:val="0"/>
          <w:numId w:val="3"/>
        </w:numPr>
        <w:ind w:firstLineChars="0"/>
        <w:rPr>
          <w:rFonts w:ascii="宋体" w:hAnsi="宋体"/>
        </w:rPr>
      </w:pPr>
      <w:r>
        <w:rPr>
          <w:rFonts w:hint="eastAsia" w:ascii="宋体" w:hAnsi="宋体"/>
        </w:rPr>
        <w:t>智能管理：支持交互式标识（RFID/二维码），与基础设施管理系统集成，实现数字化运维。</w:t>
      </w:r>
    </w:p>
    <w:p w14:paraId="4C51CC73">
      <w:pPr>
        <w:pStyle w:val="32"/>
        <w:numPr>
          <w:ilvl w:val="0"/>
          <w:numId w:val="3"/>
        </w:numPr>
        <w:ind w:firstLineChars="0"/>
        <w:rPr>
          <w:rFonts w:ascii="宋体" w:hAnsi="宋体"/>
        </w:rPr>
      </w:pPr>
      <w:r>
        <w:rPr>
          <w:rFonts w:hint="eastAsia" w:ascii="宋体" w:hAnsi="宋体"/>
        </w:rPr>
        <w:t>环保与维护：油墨VOCs限值符合GB 38507，定期检查标识完整性，改建时需同步更新标识系统。</w:t>
      </w:r>
    </w:p>
    <w:p w14:paraId="2CF8A55C">
      <w:pPr>
        <w:pStyle w:val="32"/>
        <w:ind w:left="420" w:firstLine="0" w:firstLineChars="0"/>
        <w:rPr>
          <w:rFonts w:ascii="宋体" w:hAnsi="宋体"/>
        </w:rPr>
      </w:pPr>
      <w:r>
        <w:rPr>
          <w:rFonts w:hint="eastAsia" w:ascii="宋体" w:hAnsi="宋体"/>
        </w:rPr>
        <w:t>(9)参观导览</w:t>
      </w:r>
    </w:p>
    <w:p w14:paraId="1FB4CC5C">
      <w:pPr>
        <w:ind w:firstLine="420" w:firstLineChars="200"/>
        <w:rPr>
          <w:rFonts w:ascii="宋体" w:hAnsi="宋体"/>
        </w:rPr>
      </w:pPr>
      <w:r>
        <w:rPr>
          <w:rFonts w:hint="eastAsia" w:ascii="宋体" w:hAnsi="宋体"/>
        </w:rPr>
        <w:t>根据设计方案，完成参观导览路线的深化设计，方案需要通过招标方审核。根据深化设计方案完成参观导览路线的布置，包含但不限于灯光、标识、固定式展板、活动式展板、视频、设备模型、沙盘模型等。</w:t>
      </w:r>
    </w:p>
    <w:p w14:paraId="26566A6F">
      <w:pPr>
        <w:pStyle w:val="76"/>
        <w:outlineLvl w:val="2"/>
      </w:pPr>
      <w:r>
        <w:rPr>
          <w:rFonts w:hint="eastAsia"/>
        </w:rPr>
        <w:t>其它还需配置物品清单</w:t>
      </w:r>
    </w:p>
    <w:tbl>
      <w:tblPr>
        <w:tblStyle w:val="22"/>
        <w:tblW w:w="9229" w:type="dxa"/>
        <w:tblInd w:w="93" w:type="dxa"/>
        <w:tblLayout w:type="fixed"/>
        <w:tblCellMar>
          <w:top w:w="0" w:type="dxa"/>
          <w:left w:w="108" w:type="dxa"/>
          <w:bottom w:w="0" w:type="dxa"/>
          <w:right w:w="108" w:type="dxa"/>
        </w:tblCellMar>
      </w:tblPr>
      <w:tblGrid>
        <w:gridCol w:w="724"/>
        <w:gridCol w:w="1559"/>
        <w:gridCol w:w="6946"/>
      </w:tblGrid>
      <w:tr w14:paraId="16B6EFC3">
        <w:tblPrEx>
          <w:tblCellMar>
            <w:top w:w="0" w:type="dxa"/>
            <w:left w:w="108" w:type="dxa"/>
            <w:bottom w:w="0" w:type="dxa"/>
            <w:right w:w="108" w:type="dxa"/>
          </w:tblCellMar>
        </w:tblPrEx>
        <w:trPr>
          <w:trHeight w:val="444" w:hRule="atLeast"/>
        </w:trPr>
        <w:tc>
          <w:tcPr>
            <w:tcW w:w="724" w:type="dxa"/>
            <w:tcBorders>
              <w:top w:val="single" w:color="auto" w:sz="4" w:space="0"/>
              <w:left w:val="single" w:color="auto" w:sz="4" w:space="0"/>
              <w:bottom w:val="single" w:color="auto" w:sz="4" w:space="0"/>
              <w:right w:val="single" w:color="auto" w:sz="4" w:space="0"/>
            </w:tcBorders>
            <w:shd w:val="clear" w:color="auto" w:fill="000000" w:themeFill="text1"/>
            <w:vAlign w:val="center"/>
          </w:tcPr>
          <w:p w14:paraId="74F5C8A2">
            <w:pPr>
              <w:pStyle w:val="74"/>
              <w:rPr>
                <w:rFonts w:ascii="宋体" w:hAnsi="宋体"/>
              </w:rPr>
            </w:pPr>
            <w:r>
              <w:rPr>
                <w:rFonts w:hint="eastAsia" w:ascii="宋体" w:hAnsi="宋体"/>
              </w:rPr>
              <w:t>序号</w:t>
            </w:r>
          </w:p>
        </w:tc>
        <w:tc>
          <w:tcPr>
            <w:tcW w:w="1559" w:type="dxa"/>
            <w:tcBorders>
              <w:top w:val="single" w:color="auto" w:sz="4" w:space="0"/>
              <w:left w:val="nil"/>
              <w:bottom w:val="single" w:color="auto" w:sz="4" w:space="0"/>
              <w:right w:val="single" w:color="auto" w:sz="4" w:space="0"/>
            </w:tcBorders>
            <w:shd w:val="clear" w:color="auto" w:fill="000000" w:themeFill="text1"/>
            <w:vAlign w:val="center"/>
          </w:tcPr>
          <w:p w14:paraId="07F67EF4">
            <w:pPr>
              <w:pStyle w:val="74"/>
              <w:rPr>
                <w:rFonts w:ascii="宋体" w:hAnsi="宋体"/>
              </w:rPr>
            </w:pPr>
            <w:r>
              <w:rPr>
                <w:rFonts w:hint="eastAsia" w:ascii="宋体" w:hAnsi="宋体"/>
              </w:rPr>
              <w:t>分类</w:t>
            </w:r>
          </w:p>
        </w:tc>
        <w:tc>
          <w:tcPr>
            <w:tcW w:w="6946" w:type="dxa"/>
            <w:tcBorders>
              <w:top w:val="single" w:color="auto" w:sz="4" w:space="0"/>
              <w:left w:val="nil"/>
              <w:bottom w:val="single" w:color="auto" w:sz="4" w:space="0"/>
              <w:right w:val="single" w:color="auto" w:sz="4" w:space="0"/>
            </w:tcBorders>
            <w:shd w:val="clear" w:color="auto" w:fill="000000" w:themeFill="text1"/>
            <w:vAlign w:val="center"/>
          </w:tcPr>
          <w:p w14:paraId="0A96397B">
            <w:pPr>
              <w:pStyle w:val="74"/>
              <w:rPr>
                <w:rFonts w:ascii="宋体" w:hAnsi="宋体"/>
              </w:rPr>
            </w:pPr>
            <w:r>
              <w:rPr>
                <w:rFonts w:hint="eastAsia" w:ascii="宋体" w:hAnsi="宋体"/>
              </w:rPr>
              <w:t xml:space="preserve"> 要求</w:t>
            </w:r>
          </w:p>
        </w:tc>
      </w:tr>
      <w:tr w14:paraId="2B2B526E">
        <w:tblPrEx>
          <w:tblCellMar>
            <w:top w:w="0" w:type="dxa"/>
            <w:left w:w="108" w:type="dxa"/>
            <w:bottom w:w="0" w:type="dxa"/>
            <w:right w:w="108" w:type="dxa"/>
          </w:tblCellMar>
        </w:tblPrEx>
        <w:trPr>
          <w:trHeight w:val="482" w:hRule="atLeast"/>
        </w:trPr>
        <w:tc>
          <w:tcPr>
            <w:tcW w:w="724" w:type="dxa"/>
            <w:tcBorders>
              <w:top w:val="nil"/>
              <w:left w:val="single" w:color="auto" w:sz="4" w:space="0"/>
              <w:bottom w:val="single" w:color="auto" w:sz="4" w:space="0"/>
              <w:right w:val="single" w:color="auto" w:sz="4" w:space="0"/>
            </w:tcBorders>
            <w:shd w:val="clear" w:color="000000" w:fill="FFFFFF"/>
            <w:vAlign w:val="center"/>
          </w:tcPr>
          <w:p w14:paraId="0F1B5DA1">
            <w:pPr>
              <w:pStyle w:val="74"/>
              <w:rPr>
                <w:rFonts w:ascii="宋体" w:hAnsi="宋体"/>
              </w:rPr>
            </w:pPr>
            <w:r>
              <w:rPr>
                <w:rFonts w:hint="eastAsia" w:ascii="宋体" w:hAnsi="宋体"/>
              </w:rPr>
              <w:t>1</w:t>
            </w:r>
          </w:p>
        </w:tc>
        <w:tc>
          <w:tcPr>
            <w:tcW w:w="1559" w:type="dxa"/>
            <w:tcBorders>
              <w:top w:val="nil"/>
              <w:left w:val="nil"/>
              <w:bottom w:val="single" w:color="auto" w:sz="4" w:space="0"/>
              <w:right w:val="single" w:color="auto" w:sz="4" w:space="0"/>
            </w:tcBorders>
            <w:shd w:val="clear" w:color="000000" w:fill="FFFFFF"/>
            <w:vAlign w:val="center"/>
          </w:tcPr>
          <w:p w14:paraId="04DEBB70">
            <w:pPr>
              <w:pStyle w:val="74"/>
              <w:rPr>
                <w:rFonts w:ascii="宋体" w:hAnsi="宋体"/>
              </w:rPr>
            </w:pPr>
            <w:r>
              <w:rPr>
                <w:rFonts w:hint="eastAsia" w:ascii="宋体" w:hAnsi="宋体"/>
              </w:rPr>
              <w:t>工具柜</w:t>
            </w:r>
          </w:p>
        </w:tc>
        <w:tc>
          <w:tcPr>
            <w:tcW w:w="6946" w:type="dxa"/>
            <w:tcBorders>
              <w:top w:val="nil"/>
              <w:left w:val="nil"/>
              <w:bottom w:val="single" w:color="auto" w:sz="4" w:space="0"/>
              <w:right w:val="single" w:color="auto" w:sz="4" w:space="0"/>
            </w:tcBorders>
            <w:shd w:val="clear" w:color="000000" w:fill="FFFFFF"/>
            <w:vAlign w:val="center"/>
          </w:tcPr>
          <w:p w14:paraId="4B6E0C5A">
            <w:pPr>
              <w:pStyle w:val="74"/>
              <w:rPr>
                <w:rFonts w:ascii="宋体" w:hAnsi="宋体"/>
              </w:rPr>
            </w:pPr>
            <w:r>
              <w:rPr>
                <w:rFonts w:hint="eastAsia" w:ascii="宋体" w:hAnsi="宋体"/>
              </w:rPr>
              <w:t>至少需要配置1个带锁的铁皮工具柜；</w:t>
            </w:r>
          </w:p>
        </w:tc>
      </w:tr>
      <w:tr w14:paraId="538CB957">
        <w:tblPrEx>
          <w:tblCellMar>
            <w:top w:w="0" w:type="dxa"/>
            <w:left w:w="108" w:type="dxa"/>
            <w:bottom w:w="0" w:type="dxa"/>
            <w:right w:w="108" w:type="dxa"/>
          </w:tblCellMar>
        </w:tblPrEx>
        <w:trPr>
          <w:trHeight w:val="420" w:hRule="atLeast"/>
        </w:trPr>
        <w:tc>
          <w:tcPr>
            <w:tcW w:w="724" w:type="dxa"/>
            <w:tcBorders>
              <w:top w:val="nil"/>
              <w:left w:val="single" w:color="auto" w:sz="4" w:space="0"/>
              <w:bottom w:val="single" w:color="auto" w:sz="4" w:space="0"/>
              <w:right w:val="single" w:color="auto" w:sz="4" w:space="0"/>
            </w:tcBorders>
            <w:shd w:val="clear" w:color="000000" w:fill="FFFFFF"/>
            <w:vAlign w:val="center"/>
          </w:tcPr>
          <w:p w14:paraId="13215CB8">
            <w:pPr>
              <w:pStyle w:val="74"/>
              <w:rPr>
                <w:rFonts w:ascii="宋体" w:hAnsi="宋体"/>
              </w:rPr>
            </w:pPr>
            <w:r>
              <w:rPr>
                <w:rFonts w:hint="eastAsia" w:ascii="宋体" w:hAnsi="宋体"/>
              </w:rPr>
              <w:t>2</w:t>
            </w:r>
          </w:p>
        </w:tc>
        <w:tc>
          <w:tcPr>
            <w:tcW w:w="1559" w:type="dxa"/>
            <w:tcBorders>
              <w:top w:val="nil"/>
              <w:left w:val="nil"/>
              <w:bottom w:val="single" w:color="auto" w:sz="4" w:space="0"/>
              <w:right w:val="single" w:color="auto" w:sz="4" w:space="0"/>
            </w:tcBorders>
            <w:shd w:val="clear" w:color="000000" w:fill="FFFFFF"/>
            <w:vAlign w:val="center"/>
          </w:tcPr>
          <w:p w14:paraId="3F1F5FE9">
            <w:pPr>
              <w:pStyle w:val="74"/>
              <w:rPr>
                <w:rFonts w:ascii="宋体" w:hAnsi="宋体"/>
              </w:rPr>
            </w:pPr>
            <w:r>
              <w:rPr>
                <w:rFonts w:hint="eastAsia" w:ascii="宋体" w:hAnsi="宋体"/>
              </w:rPr>
              <w:t>钥匙箱</w:t>
            </w:r>
          </w:p>
        </w:tc>
        <w:tc>
          <w:tcPr>
            <w:tcW w:w="6946" w:type="dxa"/>
            <w:tcBorders>
              <w:top w:val="nil"/>
              <w:left w:val="nil"/>
              <w:bottom w:val="single" w:color="auto" w:sz="4" w:space="0"/>
              <w:right w:val="single" w:color="auto" w:sz="4" w:space="0"/>
            </w:tcBorders>
            <w:shd w:val="clear" w:color="000000" w:fill="FFFFFF"/>
            <w:vAlign w:val="center"/>
          </w:tcPr>
          <w:p w14:paraId="791852AB">
            <w:pPr>
              <w:pStyle w:val="74"/>
              <w:rPr>
                <w:rFonts w:ascii="宋体" w:hAnsi="宋体"/>
              </w:rPr>
            </w:pPr>
            <w:r>
              <w:rPr>
                <w:rFonts w:hint="eastAsia" w:ascii="宋体" w:hAnsi="宋体"/>
              </w:rPr>
              <w:t>至少需要配置2个带锁的钥匙箱，每个钥匙箱至少有100个挂点；</w:t>
            </w:r>
          </w:p>
        </w:tc>
      </w:tr>
      <w:tr w14:paraId="31D37B3A">
        <w:tblPrEx>
          <w:tblCellMar>
            <w:top w:w="0" w:type="dxa"/>
            <w:left w:w="108" w:type="dxa"/>
            <w:bottom w:w="0" w:type="dxa"/>
            <w:right w:w="108" w:type="dxa"/>
          </w:tblCellMar>
        </w:tblPrEx>
        <w:trPr>
          <w:trHeight w:val="481" w:hRule="atLeast"/>
        </w:trPr>
        <w:tc>
          <w:tcPr>
            <w:tcW w:w="724" w:type="dxa"/>
            <w:tcBorders>
              <w:top w:val="nil"/>
              <w:left w:val="single" w:color="auto" w:sz="4" w:space="0"/>
              <w:bottom w:val="single" w:color="auto" w:sz="4" w:space="0"/>
              <w:right w:val="single" w:color="auto" w:sz="4" w:space="0"/>
            </w:tcBorders>
            <w:shd w:val="clear" w:color="000000" w:fill="FFFFFF"/>
            <w:vAlign w:val="center"/>
          </w:tcPr>
          <w:p w14:paraId="3A5CEB4F">
            <w:pPr>
              <w:pStyle w:val="74"/>
              <w:rPr>
                <w:rFonts w:ascii="宋体" w:hAnsi="宋体"/>
              </w:rPr>
            </w:pPr>
            <w:r>
              <w:rPr>
                <w:rFonts w:hint="eastAsia" w:ascii="宋体" w:hAnsi="宋体"/>
              </w:rPr>
              <w:t>3</w:t>
            </w:r>
          </w:p>
        </w:tc>
        <w:tc>
          <w:tcPr>
            <w:tcW w:w="1559" w:type="dxa"/>
            <w:tcBorders>
              <w:top w:val="nil"/>
              <w:left w:val="nil"/>
              <w:bottom w:val="single" w:color="auto" w:sz="4" w:space="0"/>
              <w:right w:val="single" w:color="auto" w:sz="4" w:space="0"/>
            </w:tcBorders>
            <w:shd w:val="clear" w:color="000000" w:fill="FFFFFF"/>
            <w:vAlign w:val="center"/>
          </w:tcPr>
          <w:p w14:paraId="7E15DE87">
            <w:pPr>
              <w:pStyle w:val="74"/>
              <w:rPr>
                <w:rFonts w:ascii="宋体" w:hAnsi="宋体"/>
              </w:rPr>
            </w:pPr>
            <w:r>
              <w:rPr>
                <w:rFonts w:hint="eastAsia" w:ascii="宋体" w:hAnsi="宋体"/>
              </w:rPr>
              <w:t>显示器配套</w:t>
            </w:r>
          </w:p>
        </w:tc>
        <w:tc>
          <w:tcPr>
            <w:tcW w:w="6946" w:type="dxa"/>
            <w:tcBorders>
              <w:top w:val="nil"/>
              <w:left w:val="nil"/>
              <w:bottom w:val="single" w:color="auto" w:sz="4" w:space="0"/>
              <w:right w:val="single" w:color="auto" w:sz="4" w:space="0"/>
            </w:tcBorders>
            <w:shd w:val="clear" w:color="000000" w:fill="FFFFFF"/>
            <w:vAlign w:val="center"/>
          </w:tcPr>
          <w:p w14:paraId="23A82AA3">
            <w:pPr>
              <w:pStyle w:val="74"/>
              <w:rPr>
                <w:rFonts w:ascii="宋体" w:hAnsi="宋体"/>
              </w:rPr>
            </w:pPr>
            <w:r>
              <w:rPr>
                <w:rFonts w:hint="eastAsia" w:ascii="宋体" w:hAnsi="宋体"/>
              </w:rPr>
              <w:t xml:space="preserve">每个机房包间配置1个独立的液晶显示器、1个放显示器的推车、1套键盘鼠标套装（USB接口）； </w:t>
            </w:r>
          </w:p>
        </w:tc>
      </w:tr>
      <w:tr w14:paraId="74367578">
        <w:tblPrEx>
          <w:tblCellMar>
            <w:top w:w="0" w:type="dxa"/>
            <w:left w:w="108" w:type="dxa"/>
            <w:bottom w:w="0" w:type="dxa"/>
            <w:right w:w="108" w:type="dxa"/>
          </w:tblCellMar>
        </w:tblPrEx>
        <w:trPr>
          <w:trHeight w:val="481" w:hRule="atLeast"/>
        </w:trPr>
        <w:tc>
          <w:tcPr>
            <w:tcW w:w="724" w:type="dxa"/>
            <w:tcBorders>
              <w:top w:val="nil"/>
              <w:left w:val="single" w:color="auto" w:sz="4" w:space="0"/>
              <w:bottom w:val="single" w:color="auto" w:sz="4" w:space="0"/>
              <w:right w:val="single" w:color="auto" w:sz="4" w:space="0"/>
            </w:tcBorders>
            <w:shd w:val="clear" w:color="000000" w:fill="FFFFFF"/>
            <w:vAlign w:val="center"/>
          </w:tcPr>
          <w:p w14:paraId="14ADF655">
            <w:pPr>
              <w:pStyle w:val="74"/>
              <w:rPr>
                <w:rFonts w:ascii="宋体" w:hAnsi="宋体"/>
              </w:rPr>
            </w:pPr>
            <w:r>
              <w:rPr>
                <w:rFonts w:hint="eastAsia" w:ascii="宋体" w:hAnsi="宋体"/>
              </w:rPr>
              <w:t>4</w:t>
            </w:r>
          </w:p>
        </w:tc>
        <w:tc>
          <w:tcPr>
            <w:tcW w:w="1559" w:type="dxa"/>
            <w:tcBorders>
              <w:top w:val="nil"/>
              <w:left w:val="nil"/>
              <w:bottom w:val="single" w:color="auto" w:sz="4" w:space="0"/>
              <w:right w:val="single" w:color="auto" w:sz="4" w:space="0"/>
            </w:tcBorders>
            <w:shd w:val="clear" w:color="000000" w:fill="FFFFFF"/>
            <w:vAlign w:val="center"/>
          </w:tcPr>
          <w:p w14:paraId="19C6594D">
            <w:pPr>
              <w:pStyle w:val="74"/>
              <w:rPr>
                <w:rFonts w:ascii="宋体" w:hAnsi="宋体"/>
              </w:rPr>
            </w:pPr>
            <w:r>
              <w:rPr>
                <w:rFonts w:hint="eastAsia" w:ascii="宋体" w:hAnsi="宋体"/>
              </w:rPr>
              <w:t>运货小推车</w:t>
            </w:r>
          </w:p>
        </w:tc>
        <w:tc>
          <w:tcPr>
            <w:tcW w:w="6946" w:type="dxa"/>
            <w:tcBorders>
              <w:top w:val="nil"/>
              <w:left w:val="nil"/>
              <w:bottom w:val="single" w:color="auto" w:sz="4" w:space="0"/>
              <w:right w:val="single" w:color="auto" w:sz="4" w:space="0"/>
            </w:tcBorders>
            <w:shd w:val="clear" w:color="000000" w:fill="FFFFFF"/>
            <w:vAlign w:val="center"/>
          </w:tcPr>
          <w:p w14:paraId="5D11A405">
            <w:pPr>
              <w:pStyle w:val="74"/>
              <w:rPr>
                <w:rFonts w:ascii="宋体" w:hAnsi="宋体"/>
              </w:rPr>
            </w:pPr>
            <w:r>
              <w:rPr>
                <w:rFonts w:hint="eastAsia" w:ascii="宋体" w:hAnsi="宋体"/>
              </w:rPr>
              <w:t xml:space="preserve">需每个IT机房各配备1个，推车承重需满足500Kg以上； </w:t>
            </w:r>
          </w:p>
        </w:tc>
      </w:tr>
      <w:tr w14:paraId="633D92C8">
        <w:tblPrEx>
          <w:tblCellMar>
            <w:top w:w="0" w:type="dxa"/>
            <w:left w:w="108" w:type="dxa"/>
            <w:bottom w:w="0" w:type="dxa"/>
            <w:right w:w="108" w:type="dxa"/>
          </w:tblCellMar>
        </w:tblPrEx>
        <w:trPr>
          <w:trHeight w:val="255" w:hRule="atLeast"/>
        </w:trPr>
        <w:tc>
          <w:tcPr>
            <w:tcW w:w="724" w:type="dxa"/>
            <w:tcBorders>
              <w:top w:val="nil"/>
              <w:left w:val="single" w:color="auto" w:sz="4" w:space="0"/>
              <w:bottom w:val="single" w:color="auto" w:sz="4" w:space="0"/>
              <w:right w:val="single" w:color="auto" w:sz="4" w:space="0"/>
            </w:tcBorders>
            <w:shd w:val="clear" w:color="000000" w:fill="FFFFFF"/>
            <w:vAlign w:val="center"/>
          </w:tcPr>
          <w:p w14:paraId="5031026C">
            <w:pPr>
              <w:pStyle w:val="74"/>
              <w:rPr>
                <w:rFonts w:ascii="宋体" w:hAnsi="宋体"/>
              </w:rPr>
            </w:pPr>
            <w:r>
              <w:rPr>
                <w:rFonts w:hint="eastAsia" w:ascii="宋体" w:hAnsi="宋体"/>
              </w:rPr>
              <w:t>5</w:t>
            </w:r>
          </w:p>
        </w:tc>
        <w:tc>
          <w:tcPr>
            <w:tcW w:w="1559" w:type="dxa"/>
            <w:tcBorders>
              <w:top w:val="nil"/>
              <w:left w:val="nil"/>
              <w:bottom w:val="single" w:color="auto" w:sz="4" w:space="0"/>
              <w:right w:val="single" w:color="auto" w:sz="4" w:space="0"/>
            </w:tcBorders>
            <w:shd w:val="clear" w:color="000000" w:fill="FFFFFF"/>
            <w:vAlign w:val="center"/>
          </w:tcPr>
          <w:p w14:paraId="01DBC302">
            <w:pPr>
              <w:pStyle w:val="74"/>
              <w:rPr>
                <w:rFonts w:ascii="宋体" w:hAnsi="宋体"/>
              </w:rPr>
            </w:pPr>
            <w:r>
              <w:rPr>
                <w:rFonts w:hint="eastAsia" w:ascii="宋体" w:hAnsi="宋体"/>
              </w:rPr>
              <w:t>卷盘插座</w:t>
            </w:r>
          </w:p>
        </w:tc>
        <w:tc>
          <w:tcPr>
            <w:tcW w:w="6946" w:type="dxa"/>
            <w:tcBorders>
              <w:top w:val="nil"/>
              <w:left w:val="nil"/>
              <w:bottom w:val="single" w:color="auto" w:sz="4" w:space="0"/>
              <w:right w:val="single" w:color="auto" w:sz="4" w:space="0"/>
            </w:tcBorders>
            <w:shd w:val="clear" w:color="000000" w:fill="FFFFFF"/>
            <w:vAlign w:val="center"/>
          </w:tcPr>
          <w:p w14:paraId="74F86A8A">
            <w:pPr>
              <w:pStyle w:val="74"/>
              <w:rPr>
                <w:rFonts w:ascii="宋体" w:hAnsi="宋体"/>
              </w:rPr>
            </w:pPr>
            <w:r>
              <w:rPr>
                <w:rFonts w:hint="eastAsia" w:ascii="宋体" w:hAnsi="宋体"/>
              </w:rPr>
              <w:t>每个IT机房各配备1个；</w:t>
            </w:r>
          </w:p>
        </w:tc>
      </w:tr>
      <w:tr w14:paraId="20E2714D">
        <w:tblPrEx>
          <w:tblCellMar>
            <w:top w:w="0" w:type="dxa"/>
            <w:left w:w="108" w:type="dxa"/>
            <w:bottom w:w="0" w:type="dxa"/>
            <w:right w:w="108" w:type="dxa"/>
          </w:tblCellMar>
        </w:tblPrEx>
        <w:trPr>
          <w:trHeight w:val="481" w:hRule="atLeast"/>
        </w:trPr>
        <w:tc>
          <w:tcPr>
            <w:tcW w:w="724" w:type="dxa"/>
            <w:tcBorders>
              <w:top w:val="nil"/>
              <w:left w:val="single" w:color="auto" w:sz="4" w:space="0"/>
              <w:bottom w:val="single" w:color="auto" w:sz="4" w:space="0"/>
              <w:right w:val="single" w:color="auto" w:sz="4" w:space="0"/>
            </w:tcBorders>
            <w:shd w:val="clear" w:color="000000" w:fill="FFFFFF"/>
            <w:vAlign w:val="center"/>
          </w:tcPr>
          <w:p w14:paraId="536040A0">
            <w:pPr>
              <w:pStyle w:val="74"/>
              <w:rPr>
                <w:rFonts w:ascii="宋体" w:hAnsi="宋体"/>
              </w:rPr>
            </w:pPr>
            <w:r>
              <w:rPr>
                <w:rFonts w:hint="eastAsia" w:ascii="宋体" w:hAnsi="宋体"/>
              </w:rPr>
              <w:t>6</w:t>
            </w:r>
          </w:p>
        </w:tc>
        <w:tc>
          <w:tcPr>
            <w:tcW w:w="1559" w:type="dxa"/>
            <w:tcBorders>
              <w:top w:val="nil"/>
              <w:left w:val="nil"/>
              <w:bottom w:val="single" w:color="auto" w:sz="4" w:space="0"/>
              <w:right w:val="single" w:color="auto" w:sz="4" w:space="0"/>
            </w:tcBorders>
            <w:shd w:val="clear" w:color="000000" w:fill="FFFFFF"/>
            <w:vAlign w:val="center"/>
          </w:tcPr>
          <w:p w14:paraId="4EA69D7B">
            <w:pPr>
              <w:pStyle w:val="74"/>
              <w:rPr>
                <w:rFonts w:ascii="宋体" w:hAnsi="宋体"/>
              </w:rPr>
            </w:pPr>
            <w:r>
              <w:rPr>
                <w:rFonts w:hint="eastAsia" w:ascii="宋体" w:hAnsi="宋体"/>
              </w:rPr>
              <w:t>轴流风机</w:t>
            </w:r>
          </w:p>
        </w:tc>
        <w:tc>
          <w:tcPr>
            <w:tcW w:w="6946" w:type="dxa"/>
            <w:tcBorders>
              <w:top w:val="nil"/>
              <w:left w:val="nil"/>
              <w:bottom w:val="single" w:color="auto" w:sz="4" w:space="0"/>
              <w:right w:val="single" w:color="auto" w:sz="4" w:space="0"/>
            </w:tcBorders>
            <w:shd w:val="clear" w:color="000000" w:fill="FFFFFF"/>
            <w:vAlign w:val="center"/>
          </w:tcPr>
          <w:p w14:paraId="643D7C03">
            <w:pPr>
              <w:pStyle w:val="74"/>
              <w:rPr>
                <w:rFonts w:ascii="宋体" w:hAnsi="宋体"/>
              </w:rPr>
            </w:pPr>
            <w:r>
              <w:rPr>
                <w:rFonts w:hint="eastAsia" w:ascii="宋体" w:hAnsi="宋体"/>
              </w:rPr>
              <w:t>每个IT房间至少需要配置2台轴流风机，每个轴流风机可调节风向角度（单台电机功率不低于0.75KW），且轴流风机4脚是采用带刹车功能的滑轮；</w:t>
            </w:r>
          </w:p>
        </w:tc>
      </w:tr>
      <w:tr w14:paraId="46283BB7">
        <w:tblPrEx>
          <w:tblCellMar>
            <w:top w:w="0" w:type="dxa"/>
            <w:left w:w="108" w:type="dxa"/>
            <w:bottom w:w="0" w:type="dxa"/>
            <w:right w:w="108" w:type="dxa"/>
          </w:tblCellMar>
        </w:tblPrEx>
        <w:trPr>
          <w:trHeight w:val="481" w:hRule="atLeast"/>
        </w:trPr>
        <w:tc>
          <w:tcPr>
            <w:tcW w:w="724" w:type="dxa"/>
            <w:tcBorders>
              <w:top w:val="nil"/>
              <w:left w:val="single" w:color="auto" w:sz="4" w:space="0"/>
              <w:bottom w:val="single" w:color="auto" w:sz="4" w:space="0"/>
              <w:right w:val="single" w:color="auto" w:sz="4" w:space="0"/>
            </w:tcBorders>
            <w:shd w:val="clear" w:color="000000" w:fill="FFFFFF"/>
            <w:vAlign w:val="center"/>
          </w:tcPr>
          <w:p w14:paraId="48D52561">
            <w:pPr>
              <w:pStyle w:val="74"/>
              <w:rPr>
                <w:rFonts w:ascii="宋体" w:hAnsi="宋体"/>
              </w:rPr>
            </w:pPr>
            <w:r>
              <w:rPr>
                <w:rFonts w:hint="eastAsia" w:ascii="宋体" w:hAnsi="宋体"/>
              </w:rPr>
              <w:t>7</w:t>
            </w:r>
          </w:p>
        </w:tc>
        <w:tc>
          <w:tcPr>
            <w:tcW w:w="1559" w:type="dxa"/>
            <w:tcBorders>
              <w:top w:val="nil"/>
              <w:left w:val="nil"/>
              <w:bottom w:val="single" w:color="auto" w:sz="4" w:space="0"/>
              <w:right w:val="single" w:color="auto" w:sz="4" w:space="0"/>
            </w:tcBorders>
            <w:shd w:val="clear" w:color="000000" w:fill="FFFFFF"/>
            <w:vAlign w:val="center"/>
          </w:tcPr>
          <w:p w14:paraId="2473D902">
            <w:pPr>
              <w:pStyle w:val="74"/>
              <w:rPr>
                <w:rFonts w:ascii="宋体" w:hAnsi="宋体"/>
              </w:rPr>
            </w:pPr>
            <w:r>
              <w:rPr>
                <w:rFonts w:hint="eastAsia" w:ascii="宋体" w:hAnsi="宋体"/>
              </w:rPr>
              <w:t>折叠人字梯</w:t>
            </w:r>
          </w:p>
        </w:tc>
        <w:tc>
          <w:tcPr>
            <w:tcW w:w="6946" w:type="dxa"/>
            <w:tcBorders>
              <w:top w:val="nil"/>
              <w:left w:val="nil"/>
              <w:bottom w:val="single" w:color="auto" w:sz="4" w:space="0"/>
              <w:right w:val="single" w:color="auto" w:sz="4" w:space="0"/>
            </w:tcBorders>
            <w:shd w:val="clear" w:color="000000" w:fill="FFFFFF"/>
            <w:vAlign w:val="center"/>
          </w:tcPr>
          <w:p w14:paraId="38E9553A">
            <w:pPr>
              <w:pStyle w:val="74"/>
              <w:rPr>
                <w:rFonts w:ascii="宋体" w:hAnsi="宋体"/>
              </w:rPr>
            </w:pPr>
            <w:r>
              <w:rPr>
                <w:rFonts w:hint="eastAsia" w:ascii="宋体" w:hAnsi="宋体"/>
              </w:rPr>
              <w:t>每1个IT房间需要配置1台，带防滑功能的铝合金人字梯，梯子需满足登高2.4米以上，承重需满足400Kg以上；</w:t>
            </w:r>
          </w:p>
        </w:tc>
      </w:tr>
      <w:tr w14:paraId="06184F14">
        <w:tblPrEx>
          <w:tblCellMar>
            <w:top w:w="0" w:type="dxa"/>
            <w:left w:w="108" w:type="dxa"/>
            <w:bottom w:w="0" w:type="dxa"/>
            <w:right w:w="108" w:type="dxa"/>
          </w:tblCellMar>
        </w:tblPrEx>
        <w:trPr>
          <w:trHeight w:val="371" w:hRule="atLeast"/>
        </w:trPr>
        <w:tc>
          <w:tcPr>
            <w:tcW w:w="724" w:type="dxa"/>
            <w:tcBorders>
              <w:top w:val="nil"/>
              <w:left w:val="single" w:color="auto" w:sz="4" w:space="0"/>
              <w:bottom w:val="single" w:color="auto" w:sz="4" w:space="0"/>
              <w:right w:val="single" w:color="auto" w:sz="4" w:space="0"/>
            </w:tcBorders>
            <w:shd w:val="clear" w:color="000000" w:fill="FFFFFF"/>
            <w:vAlign w:val="center"/>
          </w:tcPr>
          <w:p w14:paraId="2C0058BE">
            <w:pPr>
              <w:pStyle w:val="74"/>
              <w:rPr>
                <w:rFonts w:ascii="宋体" w:hAnsi="宋体"/>
              </w:rPr>
            </w:pPr>
            <w:r>
              <w:rPr>
                <w:rFonts w:hint="eastAsia" w:ascii="宋体" w:hAnsi="宋体"/>
              </w:rPr>
              <w:t>8</w:t>
            </w:r>
          </w:p>
        </w:tc>
        <w:tc>
          <w:tcPr>
            <w:tcW w:w="1559" w:type="dxa"/>
            <w:tcBorders>
              <w:top w:val="nil"/>
              <w:left w:val="nil"/>
              <w:bottom w:val="single" w:color="auto" w:sz="4" w:space="0"/>
              <w:right w:val="single" w:color="auto" w:sz="4" w:space="0"/>
            </w:tcBorders>
            <w:shd w:val="clear" w:color="000000" w:fill="FFFFFF"/>
            <w:vAlign w:val="center"/>
          </w:tcPr>
          <w:p w14:paraId="1EEAFDDE">
            <w:pPr>
              <w:pStyle w:val="74"/>
              <w:rPr>
                <w:rFonts w:ascii="宋体" w:hAnsi="宋体"/>
              </w:rPr>
            </w:pPr>
            <w:r>
              <w:rPr>
                <w:rFonts w:hint="eastAsia" w:ascii="宋体" w:hAnsi="宋体"/>
              </w:rPr>
              <w:t>台阶式绝缘凳</w:t>
            </w:r>
          </w:p>
        </w:tc>
        <w:tc>
          <w:tcPr>
            <w:tcW w:w="6946" w:type="dxa"/>
            <w:tcBorders>
              <w:top w:val="nil"/>
              <w:left w:val="nil"/>
              <w:bottom w:val="single" w:color="auto" w:sz="4" w:space="0"/>
              <w:right w:val="single" w:color="auto" w:sz="4" w:space="0"/>
            </w:tcBorders>
            <w:shd w:val="clear" w:color="000000" w:fill="FFFFFF"/>
            <w:vAlign w:val="center"/>
          </w:tcPr>
          <w:p w14:paraId="09ACB6D1">
            <w:pPr>
              <w:pStyle w:val="74"/>
              <w:rPr>
                <w:rFonts w:ascii="宋体" w:hAnsi="宋体"/>
              </w:rPr>
            </w:pPr>
            <w:r>
              <w:rPr>
                <w:rFonts w:hint="eastAsia" w:ascii="宋体" w:hAnsi="宋体"/>
              </w:rPr>
              <w:t xml:space="preserve">每1个IT房间需配置2个； </w:t>
            </w:r>
          </w:p>
        </w:tc>
      </w:tr>
      <w:tr w14:paraId="00B092DF">
        <w:tblPrEx>
          <w:tblCellMar>
            <w:top w:w="0" w:type="dxa"/>
            <w:left w:w="108" w:type="dxa"/>
            <w:bottom w:w="0" w:type="dxa"/>
            <w:right w:w="108" w:type="dxa"/>
          </w:tblCellMar>
        </w:tblPrEx>
        <w:trPr>
          <w:trHeight w:val="292" w:hRule="atLeast"/>
        </w:trPr>
        <w:tc>
          <w:tcPr>
            <w:tcW w:w="724" w:type="dxa"/>
            <w:tcBorders>
              <w:top w:val="nil"/>
              <w:left w:val="single" w:color="auto" w:sz="4" w:space="0"/>
              <w:bottom w:val="single" w:color="auto" w:sz="4" w:space="0"/>
              <w:right w:val="single" w:color="auto" w:sz="4" w:space="0"/>
            </w:tcBorders>
            <w:shd w:val="clear" w:color="000000" w:fill="FFFFFF"/>
            <w:vAlign w:val="center"/>
          </w:tcPr>
          <w:p w14:paraId="3901440B">
            <w:pPr>
              <w:pStyle w:val="74"/>
              <w:rPr>
                <w:rFonts w:ascii="宋体" w:hAnsi="宋体"/>
              </w:rPr>
            </w:pPr>
            <w:r>
              <w:rPr>
                <w:rFonts w:hint="eastAsia" w:ascii="宋体" w:hAnsi="宋体"/>
              </w:rPr>
              <w:t>9</w:t>
            </w:r>
          </w:p>
        </w:tc>
        <w:tc>
          <w:tcPr>
            <w:tcW w:w="1559" w:type="dxa"/>
            <w:tcBorders>
              <w:top w:val="nil"/>
              <w:left w:val="nil"/>
              <w:bottom w:val="single" w:color="auto" w:sz="4" w:space="0"/>
              <w:right w:val="single" w:color="auto" w:sz="4" w:space="0"/>
            </w:tcBorders>
            <w:shd w:val="clear" w:color="000000" w:fill="FFFFFF"/>
            <w:vAlign w:val="center"/>
          </w:tcPr>
          <w:p w14:paraId="1954457B">
            <w:pPr>
              <w:pStyle w:val="74"/>
              <w:rPr>
                <w:rFonts w:ascii="宋体" w:hAnsi="宋体"/>
              </w:rPr>
            </w:pPr>
            <w:r>
              <w:rPr>
                <w:rFonts w:hint="eastAsia" w:ascii="宋体" w:hAnsi="宋体"/>
              </w:rPr>
              <w:t>地板吸盘</w:t>
            </w:r>
          </w:p>
        </w:tc>
        <w:tc>
          <w:tcPr>
            <w:tcW w:w="6946" w:type="dxa"/>
            <w:tcBorders>
              <w:top w:val="nil"/>
              <w:left w:val="nil"/>
              <w:bottom w:val="single" w:color="auto" w:sz="4" w:space="0"/>
              <w:right w:val="single" w:color="auto" w:sz="4" w:space="0"/>
            </w:tcBorders>
            <w:shd w:val="clear" w:color="000000" w:fill="FFFFFF"/>
            <w:vAlign w:val="center"/>
          </w:tcPr>
          <w:p w14:paraId="788A79AC">
            <w:pPr>
              <w:pStyle w:val="74"/>
              <w:rPr>
                <w:rFonts w:ascii="宋体" w:hAnsi="宋体"/>
              </w:rPr>
            </w:pPr>
            <w:r>
              <w:rPr>
                <w:rFonts w:hint="eastAsia" w:ascii="宋体" w:hAnsi="宋体"/>
              </w:rPr>
              <w:t xml:space="preserve">防静电地板吸盘，至少每个IT机房配置2个，并放置到IT机房对角处； </w:t>
            </w:r>
          </w:p>
        </w:tc>
      </w:tr>
      <w:tr w14:paraId="05DFF120">
        <w:tblPrEx>
          <w:tblCellMar>
            <w:top w:w="0" w:type="dxa"/>
            <w:left w:w="108" w:type="dxa"/>
            <w:bottom w:w="0" w:type="dxa"/>
            <w:right w:w="108" w:type="dxa"/>
          </w:tblCellMar>
        </w:tblPrEx>
        <w:trPr>
          <w:trHeight w:val="385" w:hRule="atLeast"/>
        </w:trPr>
        <w:tc>
          <w:tcPr>
            <w:tcW w:w="724" w:type="dxa"/>
            <w:tcBorders>
              <w:top w:val="nil"/>
              <w:left w:val="single" w:color="auto" w:sz="4" w:space="0"/>
              <w:bottom w:val="single" w:color="auto" w:sz="4" w:space="0"/>
              <w:right w:val="single" w:color="auto" w:sz="4" w:space="0"/>
            </w:tcBorders>
            <w:shd w:val="clear" w:color="000000" w:fill="FFFFFF"/>
            <w:vAlign w:val="center"/>
          </w:tcPr>
          <w:p w14:paraId="42361108">
            <w:pPr>
              <w:pStyle w:val="74"/>
              <w:rPr>
                <w:rFonts w:ascii="宋体" w:hAnsi="宋体"/>
              </w:rPr>
            </w:pPr>
            <w:r>
              <w:rPr>
                <w:rFonts w:hint="eastAsia" w:ascii="宋体" w:hAnsi="宋体"/>
              </w:rPr>
              <w:t>10</w:t>
            </w:r>
          </w:p>
        </w:tc>
        <w:tc>
          <w:tcPr>
            <w:tcW w:w="1559" w:type="dxa"/>
            <w:tcBorders>
              <w:top w:val="nil"/>
              <w:left w:val="nil"/>
              <w:bottom w:val="single" w:color="auto" w:sz="4" w:space="0"/>
              <w:right w:val="single" w:color="auto" w:sz="4" w:space="0"/>
            </w:tcBorders>
            <w:shd w:val="clear" w:color="000000" w:fill="FFFFFF"/>
            <w:vAlign w:val="center"/>
          </w:tcPr>
          <w:p w14:paraId="76F01F99">
            <w:pPr>
              <w:pStyle w:val="74"/>
              <w:rPr>
                <w:rFonts w:ascii="宋体" w:hAnsi="宋体"/>
              </w:rPr>
            </w:pPr>
            <w:r>
              <w:rPr>
                <w:rFonts w:hint="eastAsia" w:ascii="宋体" w:hAnsi="宋体"/>
              </w:rPr>
              <w:t>除尘垫、鞋套机</w:t>
            </w:r>
          </w:p>
        </w:tc>
        <w:tc>
          <w:tcPr>
            <w:tcW w:w="6946" w:type="dxa"/>
            <w:tcBorders>
              <w:top w:val="nil"/>
              <w:left w:val="nil"/>
              <w:bottom w:val="single" w:color="auto" w:sz="4" w:space="0"/>
              <w:right w:val="single" w:color="auto" w:sz="4" w:space="0"/>
            </w:tcBorders>
            <w:shd w:val="clear" w:color="000000" w:fill="FFFFFF"/>
            <w:vAlign w:val="center"/>
          </w:tcPr>
          <w:p w14:paraId="1839BBCB">
            <w:pPr>
              <w:pStyle w:val="74"/>
              <w:rPr>
                <w:rFonts w:ascii="宋体" w:hAnsi="宋体"/>
              </w:rPr>
            </w:pPr>
            <w:r>
              <w:rPr>
                <w:rFonts w:hint="eastAsia" w:ascii="宋体" w:hAnsi="宋体"/>
              </w:rPr>
              <w:t>每个机房均需要配置；</w:t>
            </w:r>
          </w:p>
        </w:tc>
      </w:tr>
    </w:tbl>
    <w:p w14:paraId="0B6D78A3">
      <w:pPr>
        <w:pStyle w:val="75"/>
        <w:outlineLvl w:val="1"/>
      </w:pPr>
      <w:r>
        <w:rPr>
          <w:rFonts w:hint="eastAsia"/>
        </w:rPr>
        <w:t>屏蔽机房</w:t>
      </w:r>
    </w:p>
    <w:p w14:paraId="06271D5E">
      <w:pPr>
        <w:pStyle w:val="76"/>
        <w:outlineLvl w:val="2"/>
      </w:pPr>
      <w:r>
        <w:rPr>
          <w:rFonts w:hint="eastAsia"/>
        </w:rPr>
        <w:t>屏蔽壳体</w:t>
      </w:r>
    </w:p>
    <w:p w14:paraId="7271E933">
      <w:pPr>
        <w:ind w:firstLine="420" w:firstLineChars="200"/>
        <w:rPr>
          <w:rFonts w:ascii="宋体" w:hAnsi="宋体"/>
        </w:rPr>
      </w:pPr>
      <w:r>
        <w:rPr>
          <w:rFonts w:hint="eastAsia" w:ascii="宋体" w:hAnsi="宋体"/>
        </w:rPr>
        <w:t>高度≥3.5m；六面屏蔽壳体及龙骨架，设置电动屏蔽门，并提供电源、烟感温感、消防、电话、环控、直流电源、空调、电话、光纤等信号滤波器及波导管；</w:t>
      </w:r>
    </w:p>
    <w:p w14:paraId="63990902">
      <w:pPr>
        <w:pStyle w:val="76"/>
        <w:outlineLvl w:val="2"/>
      </w:pPr>
      <w:r>
        <w:rPr>
          <w:rFonts w:hint="eastAsia"/>
        </w:rPr>
        <w:t>项目要求</w:t>
      </w:r>
    </w:p>
    <w:p w14:paraId="1A479571">
      <w:pPr>
        <w:ind w:firstLine="420" w:firstLineChars="200"/>
        <w:rPr>
          <w:rFonts w:ascii="宋体" w:hAnsi="宋体"/>
        </w:rPr>
      </w:pPr>
      <w:r>
        <w:rPr>
          <w:rFonts w:hint="eastAsia" w:ascii="宋体" w:hAnsi="宋体"/>
        </w:rPr>
        <w:t>1、承建单位必须在建设过程中配合采购人完成分保测评及检查工作。</w:t>
      </w:r>
    </w:p>
    <w:p w14:paraId="1EC6C6D4">
      <w:pPr>
        <w:ind w:firstLine="420" w:firstLineChars="200"/>
        <w:rPr>
          <w:rFonts w:ascii="宋体" w:hAnsi="宋体"/>
        </w:rPr>
      </w:pPr>
      <w:r>
        <w:rPr>
          <w:rFonts w:hint="eastAsia" w:ascii="宋体" w:hAnsi="宋体"/>
        </w:rPr>
        <w:t>2、相关机构进行现场测评时，不应在安全屏蔽基础设施部分出现不符合项；</w:t>
      </w:r>
    </w:p>
    <w:p w14:paraId="6F55B16B">
      <w:pPr>
        <w:pStyle w:val="76"/>
        <w:outlineLvl w:val="2"/>
      </w:pPr>
      <w:r>
        <w:rPr>
          <w:rFonts w:hint="eastAsia"/>
        </w:rPr>
        <w:t>屏蔽壳体产品供应商的要求</w:t>
      </w:r>
    </w:p>
    <w:p w14:paraId="2C7AAD7B">
      <w:pPr>
        <w:pStyle w:val="77"/>
        <w:numPr>
          <w:ilvl w:val="0"/>
          <w:numId w:val="0"/>
        </w:numPr>
        <w:ind w:left="0" w:firstLine="422" w:firstLineChars="200"/>
      </w:pPr>
      <w:r>
        <w:rPr>
          <w:rFonts w:hint="eastAsia"/>
        </w:rPr>
        <w:t>一、技术团队要求</w:t>
      </w:r>
    </w:p>
    <w:p w14:paraId="26D4A15E">
      <w:pPr>
        <w:ind w:firstLine="420" w:firstLineChars="200"/>
        <w:rPr>
          <w:rFonts w:ascii="宋体" w:hAnsi="宋体"/>
        </w:rPr>
      </w:pPr>
      <w:r>
        <w:rPr>
          <w:rFonts w:hint="eastAsia" w:ascii="宋体" w:hAnsi="宋体"/>
        </w:rPr>
        <w:t>屏蔽壳体产品供应商的专家团队需要具备：项目经理、高级工程师、高级系统集成项目管理师、电气专业贰级或以上注册建造师证书且具备安全生产考核合格证书、备案的安全管理人员、安全员等方面的人才，可以为采购人提供完善的信息安全整套解决方案、及技术咨询、技术服务。</w:t>
      </w:r>
    </w:p>
    <w:p w14:paraId="5DBC7771">
      <w:pPr>
        <w:pStyle w:val="77"/>
        <w:numPr>
          <w:ilvl w:val="0"/>
          <w:numId w:val="0"/>
        </w:numPr>
        <w:ind w:firstLine="422" w:firstLineChars="200"/>
        <w:rPr>
          <w:rFonts w:ascii="宋体" w:hAnsi="宋体"/>
          <w:kern w:val="0"/>
          <w:sz w:val="24"/>
          <w:szCs w:val="24"/>
        </w:rPr>
      </w:pPr>
      <w:r>
        <w:rPr>
          <w:rFonts w:hint="eastAsia"/>
        </w:rPr>
        <w:t>二、</w:t>
      </w:r>
      <w:r>
        <w:rPr>
          <w:rFonts w:hint="eastAsia" w:ascii="宋体" w:hAnsi="宋体"/>
          <w:kern w:val="0"/>
          <w:sz w:val="24"/>
          <w:szCs w:val="24"/>
        </w:rPr>
        <w:t>业检测设备要求</w:t>
      </w:r>
    </w:p>
    <w:p w14:paraId="223F1FFD">
      <w:pPr>
        <w:ind w:right="36" w:rightChars="17" w:firstLine="480" w:firstLineChars="200"/>
        <w:rPr>
          <w:rFonts w:ascii="宋体" w:hAnsi="宋体"/>
          <w:kern w:val="0"/>
          <w:sz w:val="24"/>
          <w:szCs w:val="24"/>
        </w:rPr>
      </w:pPr>
      <w:r>
        <w:rPr>
          <w:rFonts w:hint="eastAsia" w:ascii="宋体" w:hAnsi="宋体"/>
          <w:kern w:val="0"/>
          <w:sz w:val="24"/>
          <w:szCs w:val="24"/>
        </w:rPr>
        <w:t>屏蔽壳体建设完成后，屏蔽壳体承建单位需具备自我检查的能力，能够开展电磁泄漏和传导泄漏检查分析以及屏蔽室的屏蔽效能的检测。</w:t>
      </w:r>
    </w:p>
    <w:p w14:paraId="0E7C5A1F">
      <w:pPr>
        <w:pStyle w:val="77"/>
        <w:numPr>
          <w:ilvl w:val="0"/>
          <w:numId w:val="0"/>
        </w:numPr>
        <w:ind w:firstLine="422" w:firstLineChars="200"/>
      </w:pPr>
      <w:r>
        <w:rPr>
          <w:rFonts w:hint="eastAsia"/>
        </w:rPr>
        <w:t>三、服务网点及团队要求</w:t>
      </w:r>
    </w:p>
    <w:p w14:paraId="620928C0">
      <w:pPr>
        <w:ind w:right="36" w:rightChars="17" w:firstLine="480" w:firstLineChars="200"/>
        <w:rPr>
          <w:rFonts w:hint="eastAsia" w:ascii="宋体" w:hAnsi="宋体"/>
          <w:kern w:val="0"/>
          <w:sz w:val="24"/>
          <w:szCs w:val="24"/>
        </w:rPr>
      </w:pPr>
      <w:r>
        <w:rPr>
          <w:rFonts w:hint="eastAsia" w:ascii="宋体" w:hAnsi="宋体"/>
          <w:kern w:val="0"/>
          <w:sz w:val="24"/>
          <w:szCs w:val="24"/>
          <w:lang w:val="en-US" w:eastAsia="zh-CN"/>
        </w:rPr>
        <w:t>中标后，</w:t>
      </w:r>
      <w:r>
        <w:rPr>
          <w:rFonts w:hint="eastAsia" w:ascii="宋体" w:hAnsi="宋体"/>
          <w:kern w:val="0"/>
          <w:sz w:val="24"/>
          <w:szCs w:val="24"/>
        </w:rPr>
        <w:t>屏蔽机房承建单位应</w:t>
      </w:r>
      <w:r>
        <w:rPr>
          <w:rFonts w:hint="eastAsia" w:ascii="宋体" w:hAnsi="宋体"/>
          <w:kern w:val="0"/>
          <w:sz w:val="24"/>
          <w:szCs w:val="24"/>
          <w:lang w:val="en-US" w:eastAsia="zh-CN"/>
        </w:rPr>
        <w:t>设</w:t>
      </w:r>
      <w:r>
        <w:rPr>
          <w:rFonts w:hint="eastAsia" w:ascii="宋体" w:hAnsi="宋体"/>
          <w:kern w:val="0"/>
          <w:sz w:val="24"/>
          <w:szCs w:val="24"/>
        </w:rPr>
        <w:t>有</w:t>
      </w:r>
      <w:r>
        <w:rPr>
          <w:rFonts w:hint="eastAsia" w:ascii="宋体" w:hAnsi="宋体"/>
          <w:b w:val="0"/>
          <w:kern w:val="0"/>
          <w:sz w:val="24"/>
          <w:szCs w:val="24"/>
        </w:rPr>
        <w:t>本地经营（服务）网点，</w:t>
      </w:r>
      <w:r>
        <w:rPr>
          <w:rFonts w:hint="eastAsia" w:ascii="宋体" w:hAnsi="宋体"/>
          <w:kern w:val="0"/>
          <w:sz w:val="24"/>
          <w:szCs w:val="24"/>
        </w:rPr>
        <w:t>同时本地拥有</w:t>
      </w:r>
      <w:r>
        <w:rPr>
          <w:rFonts w:hint="eastAsia" w:ascii="宋体" w:hAnsi="宋体"/>
          <w:b w:val="0"/>
          <w:kern w:val="0"/>
          <w:sz w:val="24"/>
          <w:szCs w:val="24"/>
        </w:rPr>
        <w:t>不少于10</w:t>
      </w:r>
      <w:r>
        <w:rPr>
          <w:rFonts w:hint="eastAsia" w:ascii="宋体" w:hAnsi="宋体"/>
          <w:kern w:val="0"/>
          <w:sz w:val="24"/>
          <w:szCs w:val="24"/>
        </w:rPr>
        <w:t>人团队</w:t>
      </w:r>
      <w:r>
        <w:rPr>
          <w:rFonts w:hint="eastAsia" w:ascii="宋体" w:hAnsi="宋体"/>
          <w:b w:val="0"/>
          <w:kern w:val="0"/>
          <w:sz w:val="24"/>
          <w:szCs w:val="24"/>
        </w:rPr>
        <w:t>。</w:t>
      </w:r>
    </w:p>
    <w:p w14:paraId="787089ED">
      <w:pPr>
        <w:pStyle w:val="76"/>
        <w:outlineLvl w:val="2"/>
      </w:pPr>
      <w:r>
        <w:rPr>
          <w:rFonts w:hint="eastAsia"/>
        </w:rPr>
        <w:t>屏蔽壳体技术要求</w:t>
      </w:r>
    </w:p>
    <w:p w14:paraId="224C02D1">
      <w:pPr>
        <w:rPr>
          <w:rFonts w:ascii="宋体" w:hAnsi="宋体"/>
        </w:rPr>
      </w:pPr>
      <w:r>
        <w:rPr>
          <w:rFonts w:hint="eastAsia" w:ascii="宋体" w:hAnsi="宋体"/>
        </w:rPr>
        <w:t>●屏蔽壳体≥97.5㎡，柱子区域需包柱处理。屏蔽效能须满足BMB3-2024中的C级要求，屏蔽壳体为主体骨架与钢板焊接式多面体，支撑主体采用刚性骨架与顶部吊装相结合的结构形式。整体进行防潮防湿防腐处理。屏蔽系统包括屏蔽壳体、电动屏蔽门、屏蔽电源滤波器、信号接口、通风波导、空调电源、信号、水、汽、液屏蔽接口、消防信号屏蔽处理等部分。</w:t>
      </w:r>
    </w:p>
    <w:p w14:paraId="07E1821F">
      <w:pPr>
        <w:rPr>
          <w:rFonts w:ascii="宋体" w:hAnsi="宋体"/>
        </w:rPr>
      </w:pPr>
      <w:r>
        <w:rPr>
          <w:rFonts w:hint="eastAsia" w:ascii="宋体" w:hAnsi="宋体"/>
        </w:rPr>
        <w:t>●本次设计采用单层钢板焊接式工艺。屏蔽室设置滤波维修间，所有进线应集中在滤波维修间进行滤波处理，维修间设计和施工应便于机房线路的维护，同时满足实用性和可参观性要求。</w:t>
      </w:r>
    </w:p>
    <w:p w14:paraId="73B56300">
      <w:pPr>
        <w:pStyle w:val="77"/>
      </w:pPr>
      <w:r>
        <w:rPr>
          <w:rFonts w:hint="eastAsia"/>
        </w:rPr>
        <w:t>屏蔽室壳体</w:t>
      </w:r>
    </w:p>
    <w:p w14:paraId="7FDE9FF2">
      <w:pPr>
        <w:rPr>
          <w:rFonts w:ascii="宋体" w:hAnsi="宋体"/>
        </w:rPr>
      </w:pPr>
      <w:r>
        <w:rPr>
          <w:rFonts w:hint="eastAsia" w:ascii="宋体" w:hAnsi="宋体"/>
        </w:rPr>
        <w:t>●本次屏蔽设计综合考虑使用、性能和可扩展性等因素进行了优化的结构设计，采用了结构稳定的单层钢板焊接式屏蔽室，采用CO2保护焊焊接工艺。</w:t>
      </w:r>
    </w:p>
    <w:p w14:paraId="2A40DBF0">
      <w:pPr>
        <w:rPr>
          <w:rFonts w:ascii="宋体" w:hAnsi="宋体"/>
        </w:rPr>
      </w:pPr>
      <w:r>
        <w:rPr>
          <w:rFonts w:hint="eastAsia" w:ascii="宋体" w:hAnsi="宋体"/>
        </w:rPr>
        <w:t>●屏蔽板体采用具有良好导电性和导磁性的优质冷轧钢板，经剪切成型，形成单元标准尺寸模块拼接。由各种型钢、异形龙骨焊接组成龙门框架，形成桁架式的刚性支撑结构，通过对龙骨构件的强度、刚度计算，以及主、副梁的抗弯强度计算，决定各类钢结构件的剖面形状和尺寸。（所有钢质材料进行表面防锈涂刷处理）。</w:t>
      </w:r>
    </w:p>
    <w:p w14:paraId="12CD89BE">
      <w:pPr>
        <w:rPr>
          <w:rFonts w:ascii="宋体" w:hAnsi="宋体"/>
        </w:rPr>
      </w:pPr>
      <w:r>
        <w:rPr>
          <w:rFonts w:hint="eastAsia" w:ascii="宋体" w:hAnsi="宋体"/>
        </w:rPr>
        <w:t>●屏蔽单元板体铺设和焊接时应充分考虑减小焊接变形，保证钢板平面的平整性。</w:t>
      </w:r>
    </w:p>
    <w:p w14:paraId="61E4EE2F">
      <w:pPr>
        <w:rPr>
          <w:rFonts w:ascii="宋体" w:hAnsi="宋体"/>
        </w:rPr>
      </w:pPr>
      <w:r>
        <w:rPr>
          <w:rFonts w:hint="eastAsia" w:ascii="宋体" w:hAnsi="宋体"/>
        </w:rPr>
        <w:t>●屏蔽地板地梁架平面的不平面度控制在5‰内。屏蔽结构的设计应尽可能地保证最终屏蔽完成后的内净空间，屏蔽地梁及四周龙骨架尽量贴墙壁或者地面制作。</w:t>
      </w:r>
    </w:p>
    <w:p w14:paraId="2AAD6BB6">
      <w:pPr>
        <w:rPr>
          <w:rFonts w:ascii="宋体" w:hAnsi="宋体"/>
        </w:rPr>
      </w:pPr>
      <w:r>
        <w:rPr>
          <w:rFonts w:hint="eastAsia" w:ascii="宋体" w:hAnsi="宋体"/>
        </w:rPr>
        <w:t>●屏蔽室与基建地面间应进行绝缘处理。</w:t>
      </w:r>
    </w:p>
    <w:p w14:paraId="03488CA0">
      <w:pPr>
        <w:rPr>
          <w:rFonts w:ascii="宋体" w:hAnsi="宋体"/>
        </w:rPr>
      </w:pPr>
      <w:r>
        <w:rPr>
          <w:rFonts w:hint="eastAsia" w:ascii="宋体" w:hAnsi="宋体"/>
        </w:rPr>
        <w:t>●每块屏蔽钢板、立柱、大梁、地梁、结构副梁在加工后均应刷涂防锈漆，在安装现场焊接完成后，所有焊缝处再补刷防锈漆。</w:t>
      </w:r>
    </w:p>
    <w:p w14:paraId="4DA78A4D">
      <w:pPr>
        <w:pStyle w:val="77"/>
      </w:pPr>
      <w:r>
        <w:rPr>
          <w:rFonts w:hint="eastAsia"/>
        </w:rPr>
        <w:t>屏蔽门</w:t>
      </w:r>
    </w:p>
    <w:p w14:paraId="12D385E1">
      <w:pPr>
        <w:rPr>
          <w:rFonts w:ascii="宋体" w:hAnsi="宋体"/>
        </w:rPr>
      </w:pPr>
      <w:r>
        <w:rPr>
          <w:rFonts w:hint="eastAsia" w:ascii="宋体" w:hAnsi="宋体"/>
        </w:rPr>
        <w:t>●建议选用1套电动插刀式屏蔽门。</w:t>
      </w:r>
    </w:p>
    <w:p w14:paraId="14958E9C">
      <w:pPr>
        <w:pStyle w:val="77"/>
      </w:pPr>
      <w:r>
        <w:rPr>
          <w:rFonts w:hint="eastAsia"/>
        </w:rPr>
        <w:t>通风波导窗</w:t>
      </w:r>
    </w:p>
    <w:p w14:paraId="4AC0529A">
      <w:pPr>
        <w:rPr>
          <w:rFonts w:ascii="宋体" w:hAnsi="宋体"/>
        </w:rPr>
      </w:pPr>
      <w:r>
        <w:rPr>
          <w:rFonts w:hint="eastAsia" w:ascii="宋体" w:hAnsi="宋体"/>
        </w:rPr>
        <w:t>●屏蔽室的通风窗做成截止波导形式，其插入衰减应与屏蔽室指标一致；波导窗由若干个小波导组成波导束，小波导截面形状为六角形。波导窗的波导片采用波峰焊接工艺组成整件，并需保证良好的电连接，避免产生漏焊及虚焊的情况。</w:t>
      </w:r>
    </w:p>
    <w:p w14:paraId="431613EE">
      <w:pPr>
        <w:rPr>
          <w:rFonts w:ascii="宋体" w:hAnsi="宋体"/>
        </w:rPr>
      </w:pPr>
      <w:r>
        <w:rPr>
          <w:rFonts w:hint="eastAsia" w:ascii="宋体" w:hAnsi="宋体"/>
        </w:rPr>
        <w:t>●波导窗的选择应根据通风系统的风量来确定，施工时必须要做好与屏蔽钢板的焊接。</w:t>
      </w:r>
    </w:p>
    <w:p w14:paraId="05A482E5">
      <w:pPr>
        <w:pStyle w:val="77"/>
      </w:pPr>
      <w:r>
        <w:rPr>
          <w:rFonts w:hint="eastAsia"/>
        </w:rPr>
        <w:t>电源滤波器</w:t>
      </w:r>
    </w:p>
    <w:p w14:paraId="071F4A32">
      <w:pPr>
        <w:rPr>
          <w:rFonts w:ascii="宋体" w:hAnsi="宋体"/>
        </w:rPr>
      </w:pPr>
      <w:r>
        <w:rPr>
          <w:rFonts w:hint="eastAsia" w:ascii="宋体" w:hAnsi="宋体"/>
        </w:rPr>
        <w:t>●所有的电源滤波器的选择应以从屏蔽室外引入屏蔽室内的所有电源线路为依据，所有电源滤波器集中到滤波间内安装。</w:t>
      </w:r>
    </w:p>
    <w:p w14:paraId="27C4BBD0">
      <w:pPr>
        <w:rPr>
          <w:rFonts w:ascii="宋体" w:hAnsi="宋体"/>
        </w:rPr>
      </w:pPr>
      <w:r>
        <w:rPr>
          <w:rFonts w:hint="eastAsia" w:ascii="宋体" w:hAnsi="宋体"/>
        </w:rPr>
        <w:t>●电源滤波器的安装位置应与屏蔽门、窗、信号接口等其它屏蔽接口保持足够的距离，以免电源的工作脉冲影响干扰其它弱电线路的正常工作。</w:t>
      </w:r>
    </w:p>
    <w:p w14:paraId="56BD3A8D">
      <w:pPr>
        <w:pStyle w:val="77"/>
      </w:pPr>
      <w:r>
        <w:rPr>
          <w:rFonts w:hint="eastAsia"/>
        </w:rPr>
        <w:t>屏蔽过壁处理</w:t>
      </w:r>
    </w:p>
    <w:p w14:paraId="3E6E8888">
      <w:pPr>
        <w:ind w:firstLine="420" w:firstLineChars="200"/>
        <w:rPr>
          <w:rFonts w:ascii="宋体" w:hAnsi="宋体"/>
        </w:rPr>
      </w:pPr>
      <w:r>
        <w:rPr>
          <w:rFonts w:hint="eastAsia" w:ascii="宋体" w:hAnsi="宋体"/>
        </w:rPr>
        <w:t xml:space="preserve"> 1）弱电信号</w:t>
      </w:r>
    </w:p>
    <w:p w14:paraId="38E03EE8">
      <w:pPr>
        <w:ind w:firstLine="420" w:firstLineChars="200"/>
        <w:rPr>
          <w:rFonts w:ascii="宋体" w:hAnsi="宋体"/>
        </w:rPr>
      </w:pPr>
      <w:r>
        <w:rPr>
          <w:rFonts w:hint="eastAsia" w:ascii="宋体" w:hAnsi="宋体"/>
        </w:rPr>
        <w:t>（1）屏蔽室内外通讯</w:t>
      </w:r>
    </w:p>
    <w:p w14:paraId="13376FB8">
      <w:pPr>
        <w:rPr>
          <w:rFonts w:ascii="宋体" w:hAnsi="宋体"/>
        </w:rPr>
      </w:pPr>
      <w:r>
        <w:rPr>
          <w:rFonts w:hint="eastAsia" w:ascii="宋体" w:hAnsi="宋体"/>
        </w:rPr>
        <w:t>●通讯光缆在确认无其它影响屏蔽性能的因素（如带金属加强芯和金属铠装保护层）存在后可由光纤波导管进入屏蔽室。</w:t>
      </w:r>
    </w:p>
    <w:p w14:paraId="3BCB6D44">
      <w:pPr>
        <w:pStyle w:val="32"/>
        <w:numPr>
          <w:ilvl w:val="0"/>
          <w:numId w:val="4"/>
        </w:numPr>
        <w:ind w:firstLineChars="0"/>
        <w:rPr>
          <w:rFonts w:ascii="宋体" w:hAnsi="宋体"/>
        </w:rPr>
      </w:pPr>
      <w:r>
        <w:rPr>
          <w:rFonts w:hint="eastAsia" w:ascii="宋体" w:hAnsi="宋体"/>
        </w:rPr>
        <w:t>各种弱电信号</w:t>
      </w:r>
    </w:p>
    <w:p w14:paraId="0010A640">
      <w:pPr>
        <w:rPr>
          <w:rFonts w:ascii="宋体" w:hAnsi="宋体"/>
        </w:rPr>
      </w:pPr>
      <w:r>
        <w:rPr>
          <w:rFonts w:hint="eastAsia" w:ascii="宋体" w:hAnsi="宋体"/>
        </w:rPr>
        <w:t>●常规线缆包括烟感、温感、弱电控制信号灯，采用信号滤波器进行屏蔽过壁处的转接，根据实际需求配置信号滤波装置。</w:t>
      </w:r>
    </w:p>
    <w:p w14:paraId="2B602342">
      <w:pPr>
        <w:pStyle w:val="32"/>
        <w:numPr>
          <w:ilvl w:val="0"/>
          <w:numId w:val="4"/>
        </w:numPr>
        <w:ind w:firstLineChars="0"/>
        <w:rPr>
          <w:rFonts w:ascii="宋体" w:hAnsi="宋体"/>
        </w:rPr>
      </w:pPr>
      <w:r>
        <w:rPr>
          <w:rFonts w:hint="eastAsia" w:ascii="宋体" w:hAnsi="宋体"/>
        </w:rPr>
        <w:t>光纤信号</w:t>
      </w:r>
    </w:p>
    <w:p w14:paraId="28EDBBD3">
      <w:pPr>
        <w:rPr>
          <w:rFonts w:ascii="宋体" w:hAnsi="宋体"/>
        </w:rPr>
      </w:pPr>
      <w:r>
        <w:rPr>
          <w:rFonts w:hint="eastAsia" w:ascii="宋体" w:hAnsi="宋体"/>
        </w:rPr>
        <w:t>●光纤进入屏蔽室的屏蔽处理采用光纤波导处理，光纤波导的通孔直径按屏蔽室的屏蔽性能要求进行设计，通过光纤波导管进入屏蔽室的光纤直径不得大于设计的光纤波导管直径内径。</w:t>
      </w:r>
    </w:p>
    <w:p w14:paraId="27E1F2E3">
      <w:pPr>
        <w:pStyle w:val="32"/>
        <w:numPr>
          <w:ilvl w:val="0"/>
          <w:numId w:val="5"/>
        </w:numPr>
        <w:ind w:firstLineChars="0"/>
        <w:rPr>
          <w:rFonts w:ascii="宋体" w:hAnsi="宋体"/>
        </w:rPr>
      </w:pPr>
      <w:r>
        <w:rPr>
          <w:rFonts w:hint="eastAsia" w:ascii="宋体" w:hAnsi="宋体"/>
        </w:rPr>
        <w:t>空调管线</w:t>
      </w:r>
    </w:p>
    <w:p w14:paraId="4BE2F5C2">
      <w:pPr>
        <w:ind w:firstLine="420" w:firstLineChars="200"/>
        <w:rPr>
          <w:rFonts w:ascii="宋体" w:hAnsi="宋体"/>
        </w:rPr>
      </w:pPr>
      <w:r>
        <w:rPr>
          <w:rFonts w:hint="eastAsia" w:ascii="宋体" w:hAnsi="宋体"/>
        </w:rPr>
        <w:t>本项目中屏蔽机房采用了专用精密空调，此类专用机房空调的屏蔽过壁处理包括：室内外机的电源、信号屏蔽处理及室内外机水液管波导屏蔽处理。</w:t>
      </w:r>
    </w:p>
    <w:p w14:paraId="5B33F5C0">
      <w:pPr>
        <w:rPr>
          <w:rFonts w:ascii="宋体" w:hAnsi="宋体"/>
        </w:rPr>
      </w:pPr>
      <w:r>
        <w:rPr>
          <w:rFonts w:hint="eastAsia" w:ascii="宋体" w:hAnsi="宋体"/>
        </w:rPr>
        <w:t>●空调室内外的电源线、信号线通过相应电源滤波器、信号滤波器转接。信号、电源滤波器的数量和电性能应与甲方提供的空调电气参数相匹配。</w:t>
      </w:r>
    </w:p>
    <w:p w14:paraId="51C95733">
      <w:pPr>
        <w:rPr>
          <w:rFonts w:ascii="宋体" w:hAnsi="宋体"/>
        </w:rPr>
      </w:pPr>
      <w:r>
        <w:rPr>
          <w:rFonts w:hint="eastAsia" w:ascii="宋体" w:hAnsi="宋体"/>
        </w:rPr>
        <w:t>●冷媒管、加湿水管应采用波导管进行滤波处理。其中波导管与板体及波导管与冷媒管均需密封，保证屏蔽效果又不破坏冷媒管。</w:t>
      </w:r>
    </w:p>
    <w:p w14:paraId="447BD507">
      <w:pPr>
        <w:rPr>
          <w:rFonts w:ascii="宋体" w:hAnsi="宋体"/>
        </w:rPr>
      </w:pPr>
      <w:r>
        <w:rPr>
          <w:rFonts w:hint="eastAsia" w:ascii="宋体" w:hAnsi="宋体"/>
        </w:rPr>
        <w:t>●原则上空调滤波器及水液波导的安装在空调附近可维修的地方，但需考虑安装后的外观的美观性。</w:t>
      </w:r>
    </w:p>
    <w:p w14:paraId="1E0B6137">
      <w:pPr>
        <w:pStyle w:val="32"/>
        <w:numPr>
          <w:ilvl w:val="0"/>
          <w:numId w:val="5"/>
        </w:numPr>
        <w:ind w:firstLineChars="0"/>
        <w:rPr>
          <w:rFonts w:ascii="宋体" w:hAnsi="宋体"/>
        </w:rPr>
      </w:pPr>
      <w:r>
        <w:rPr>
          <w:rFonts w:hint="eastAsia" w:ascii="宋体" w:hAnsi="宋体"/>
        </w:rPr>
        <w:t xml:space="preserve">消防系统 </w:t>
      </w:r>
    </w:p>
    <w:p w14:paraId="28FA984E">
      <w:pPr>
        <w:ind w:firstLine="420" w:firstLineChars="200"/>
        <w:rPr>
          <w:rFonts w:ascii="宋体" w:hAnsi="宋体"/>
        </w:rPr>
      </w:pPr>
      <w:r>
        <w:rPr>
          <w:rFonts w:hint="eastAsia" w:ascii="宋体" w:hAnsi="宋体"/>
        </w:rPr>
        <w:t xml:space="preserve">消防的屏蔽处理包括：消防各类信号控制线、消防气体管路的屏蔽处理。  </w:t>
      </w:r>
    </w:p>
    <w:p w14:paraId="645943CA">
      <w:pPr>
        <w:rPr>
          <w:rFonts w:ascii="宋体" w:hAnsi="宋体"/>
        </w:rPr>
      </w:pPr>
      <w:r>
        <w:rPr>
          <w:rFonts w:hint="eastAsia" w:ascii="宋体" w:hAnsi="宋体"/>
        </w:rPr>
        <w:t>●自动报警信号线的处理参照弱电屏蔽处理。</w:t>
      </w:r>
    </w:p>
    <w:p w14:paraId="069596B4">
      <w:pPr>
        <w:rPr>
          <w:rFonts w:ascii="宋体" w:hAnsi="宋体"/>
        </w:rPr>
      </w:pPr>
      <w:r>
        <w:rPr>
          <w:rFonts w:hint="eastAsia" w:ascii="宋体" w:hAnsi="宋体"/>
        </w:rPr>
        <w:t xml:space="preserve">●消防波导管的屏蔽处理应能满足消防管路的安装需求，并且确保焊接的密封性。消防波导管两边与消防管分别连接（连接由消防安装负责）。 </w:t>
      </w:r>
    </w:p>
    <w:p w14:paraId="1DF81C36">
      <w:pPr>
        <w:rPr>
          <w:rFonts w:ascii="宋体" w:hAnsi="宋体"/>
        </w:rPr>
      </w:pPr>
      <w:r>
        <w:rPr>
          <w:rFonts w:hint="eastAsia" w:ascii="宋体" w:hAnsi="宋体"/>
        </w:rPr>
        <w:t>●消防烟道及消防化学泄压口处理：均采用通风波导窗的形式。</w:t>
      </w:r>
    </w:p>
    <w:p w14:paraId="0102F18A">
      <w:pPr>
        <w:pStyle w:val="77"/>
      </w:pPr>
      <w:r>
        <w:rPr>
          <w:rFonts w:hint="eastAsia"/>
        </w:rPr>
        <w:t>焊接处理</w:t>
      </w:r>
    </w:p>
    <w:p w14:paraId="13037AE3">
      <w:pPr>
        <w:rPr>
          <w:rFonts w:ascii="宋体" w:hAnsi="宋体"/>
        </w:rPr>
      </w:pPr>
      <w:r>
        <w:rPr>
          <w:rFonts w:hint="eastAsia" w:ascii="宋体" w:hAnsi="宋体"/>
        </w:rPr>
        <w:t>●屏蔽机房内墙面和顶面的装饰材料安装时龙骨架必须与屏蔽钢板通过专用的屏蔽转接结构件焊接固定，焊接屏蔽转接结构件时需要由专业屏蔽人员进行指导，避免焊接时破坏屏蔽体，影响整体屏蔽性能。</w:t>
      </w:r>
    </w:p>
    <w:p w14:paraId="014FA621">
      <w:pPr>
        <w:pStyle w:val="77"/>
      </w:pPr>
      <w:r>
        <w:rPr>
          <w:rFonts w:hint="eastAsia"/>
        </w:rPr>
        <w:t>屏蔽壳体对接地系统要求</w:t>
      </w:r>
    </w:p>
    <w:p w14:paraId="4750C8E2">
      <w:pPr>
        <w:rPr>
          <w:rFonts w:ascii="宋体" w:hAnsi="宋体"/>
        </w:rPr>
      </w:pPr>
      <w:r>
        <w:rPr>
          <w:rFonts w:hint="eastAsia" w:ascii="宋体" w:hAnsi="宋体"/>
        </w:rPr>
        <w:t>●屏蔽壳体应独立接地，接地电阻≤1Ω，零地电位差≤2V。独立接地与大楼接地分开，且间距应不小于20米。验收时应提供检测报告。</w:t>
      </w:r>
    </w:p>
    <w:p w14:paraId="2F0E3202">
      <w:pPr>
        <w:pStyle w:val="75"/>
        <w:outlineLvl w:val="1"/>
      </w:pPr>
      <w:r>
        <w:rPr>
          <w:rFonts w:hint="eastAsia"/>
        </w:rPr>
        <w:t>供配电系统</w:t>
      </w:r>
    </w:p>
    <w:p w14:paraId="43E2C679">
      <w:pPr>
        <w:pStyle w:val="76"/>
        <w:outlineLvl w:val="2"/>
      </w:pPr>
      <w:r>
        <w:rPr>
          <w:rFonts w:hint="eastAsia"/>
        </w:rPr>
        <w:t>不间断电源系统和市电系统</w:t>
      </w:r>
    </w:p>
    <w:p w14:paraId="248EFF4E">
      <w:pPr>
        <w:ind w:firstLine="420" w:firstLineChars="200"/>
        <w:rPr>
          <w:rFonts w:ascii="宋体" w:hAnsi="宋体"/>
        </w:rPr>
      </w:pPr>
      <w:r>
        <w:rPr>
          <w:rFonts w:hint="eastAsia" w:ascii="宋体" w:hAnsi="宋体"/>
        </w:rPr>
        <w:t>按照技术要求，机房供电系统分为两部分：不间断电源系统和市电系统。</w:t>
      </w:r>
    </w:p>
    <w:p w14:paraId="1BD64178">
      <w:pPr>
        <w:ind w:firstLine="420" w:firstLineChars="200"/>
        <w:rPr>
          <w:rFonts w:ascii="宋体" w:hAnsi="宋体"/>
        </w:rPr>
      </w:pPr>
      <w:r>
        <w:rPr>
          <w:rFonts w:hint="eastAsia" w:ascii="宋体" w:hAnsi="宋体"/>
        </w:rPr>
        <w:t>UPS 回路：机房 UPS 供电电源经 UPS 稳频、稳压、调整电压波形后为计算机设备、网络设备、安防设备等供电，同时也为 UPS 后备电池充电；当遇到市电供电线路断电时，UPS后备电池立即放电，经 UPS 逆变后给计算机设备不间断供电。</w:t>
      </w:r>
    </w:p>
    <w:p w14:paraId="6AEE7165">
      <w:pPr>
        <w:rPr>
          <w:rFonts w:ascii="宋体" w:hAnsi="宋体"/>
        </w:rPr>
      </w:pPr>
      <w:r>
        <w:rPr>
          <w:rFonts w:hint="eastAsia" w:ascii="宋体" w:hAnsi="宋体"/>
        </w:rPr>
        <w:t>市电回路：插座、空调、照明、新风、排烟及其他具有电冲击性及感性和容性的设备使用，对不同相位分配均衡负载。</w:t>
      </w:r>
    </w:p>
    <w:p w14:paraId="6AA4C01B">
      <w:pPr>
        <w:ind w:firstLine="420" w:firstLineChars="200"/>
        <w:rPr>
          <w:rFonts w:ascii="宋体" w:hAnsi="宋体"/>
        </w:rPr>
      </w:pPr>
      <w:r>
        <w:rPr>
          <w:rFonts w:hint="eastAsia" w:ascii="宋体" w:hAnsi="宋体"/>
        </w:rPr>
        <w:t>本次供电在二层内设有2个电力室，每个电力室内设有2台2500kVA变压器，现场每组变压器的高压进线柜，变压器，总出线柜，低压联络柜及一个馈线柜均已安装完成，本次在以上基础上增设电力模块，每个电力模块内设UPS及其出线柜。具体配置详见设计图纸。</w:t>
      </w:r>
    </w:p>
    <w:p w14:paraId="101BA7A4">
      <w:pPr>
        <w:ind w:firstLine="420" w:firstLineChars="200"/>
        <w:rPr>
          <w:rFonts w:ascii="宋体" w:hAnsi="宋体"/>
        </w:rPr>
      </w:pPr>
      <w:r>
        <w:rPr>
          <w:rFonts w:hint="eastAsia" w:ascii="宋体" w:hAnsi="宋体"/>
        </w:rPr>
        <w:t>(1)配电系统</w:t>
      </w:r>
    </w:p>
    <w:p w14:paraId="18C0C806">
      <w:pPr>
        <w:ind w:firstLine="420" w:firstLineChars="200"/>
        <w:rPr>
          <w:rFonts w:ascii="宋体" w:hAnsi="宋体"/>
        </w:rPr>
      </w:pPr>
      <w:r>
        <w:rPr>
          <w:rFonts w:hint="eastAsia" w:ascii="宋体" w:hAnsi="宋体"/>
        </w:rPr>
        <w:t>机柜配电系统频率：50Hz；电压：380V/220V；采用TN系统，线制：三相五线制/单相三线制。</w:t>
      </w:r>
    </w:p>
    <w:p w14:paraId="72EEEE1F">
      <w:pPr>
        <w:ind w:firstLine="420" w:firstLineChars="200"/>
        <w:rPr>
          <w:rFonts w:ascii="宋体" w:hAnsi="宋体"/>
        </w:rPr>
      </w:pPr>
      <w:r>
        <w:rPr>
          <w:rFonts w:hint="eastAsia" w:ascii="宋体" w:hAnsi="宋体"/>
        </w:rPr>
        <w:t>(2) 配电设备</w:t>
      </w:r>
    </w:p>
    <w:p w14:paraId="54724745">
      <w:pPr>
        <w:ind w:firstLine="420" w:firstLineChars="200"/>
        <w:rPr>
          <w:rFonts w:ascii="宋体" w:hAnsi="宋体"/>
        </w:rPr>
      </w:pPr>
      <w:r>
        <w:rPr>
          <w:rFonts w:hint="eastAsia" w:ascii="宋体" w:hAnsi="宋体"/>
        </w:rPr>
        <w:t>机房设置市电配电柜、UPS 配电柜，市电配电柜具备消防联动的脱扣功能，满足机房区域市电照明、插座、空调、等使用要求。UPS 配电柜满足机房内计算机设备、网络设备的使用要求。</w:t>
      </w:r>
    </w:p>
    <w:p w14:paraId="18FEAD88">
      <w:pPr>
        <w:rPr>
          <w:rFonts w:ascii="宋体" w:hAnsi="宋体"/>
        </w:rPr>
      </w:pPr>
      <w:r>
        <w:rPr>
          <w:rFonts w:hint="eastAsia" w:ascii="宋体" w:hAnsi="宋体"/>
        </w:rPr>
        <w:t>配电柜/箱均采用自动空气开关控制，设置过负荷及短路、防雷保护，主机房配电柜设有电压、电流的检测指示，并有相关的指示报警等功能，同时具有独立的零、地汇流排。</w:t>
      </w:r>
    </w:p>
    <w:p w14:paraId="78D343FA">
      <w:pPr>
        <w:ind w:firstLine="420" w:firstLineChars="200"/>
        <w:rPr>
          <w:rFonts w:ascii="宋体" w:hAnsi="宋体"/>
        </w:rPr>
      </w:pPr>
      <w:r>
        <w:rPr>
          <w:rFonts w:hint="eastAsia" w:ascii="宋体" w:hAnsi="宋体"/>
        </w:rPr>
        <w:t>配电柜/箱中的引入引出线均编上号，表明线路的去向、功用，方便控制、设备管理及检修。</w:t>
      </w:r>
    </w:p>
    <w:p w14:paraId="6706E53B">
      <w:pPr>
        <w:ind w:firstLine="420" w:firstLineChars="200"/>
        <w:rPr>
          <w:rFonts w:ascii="宋体" w:hAnsi="宋体"/>
        </w:rPr>
      </w:pPr>
      <w:r>
        <w:rPr>
          <w:rFonts w:hint="eastAsia" w:ascii="宋体" w:hAnsi="宋体"/>
        </w:rPr>
        <w:t>配电柜作为供配电系统的核心，是保证各设备安全、可靠运行的前提，考虑今后的扩展要求，配电柜均留出一定的备用容量。</w:t>
      </w:r>
    </w:p>
    <w:p w14:paraId="61DBD631">
      <w:pPr>
        <w:ind w:firstLine="420" w:firstLineChars="200"/>
        <w:rPr>
          <w:rFonts w:ascii="宋体" w:hAnsi="宋体"/>
        </w:rPr>
      </w:pPr>
      <w:r>
        <w:rPr>
          <w:rFonts w:hint="eastAsia" w:ascii="宋体" w:hAnsi="宋体"/>
        </w:rPr>
        <w:t>配电柜内需有应急开关。当机房内出现严重事故或者意外火灾时，应能立刻切断空调电源等，且市电总空开能与机房消防系统联动。</w:t>
      </w:r>
    </w:p>
    <w:p w14:paraId="20967A74">
      <w:pPr>
        <w:ind w:firstLine="420" w:firstLineChars="200"/>
        <w:rPr>
          <w:rFonts w:ascii="宋体" w:hAnsi="宋体"/>
        </w:rPr>
      </w:pPr>
      <w:r>
        <w:rPr>
          <w:rFonts w:hint="eastAsia" w:ascii="宋体" w:hAnsi="宋体"/>
        </w:rPr>
        <w:t>（3）配电线路</w:t>
      </w:r>
    </w:p>
    <w:p w14:paraId="1765336A">
      <w:pPr>
        <w:ind w:firstLine="420" w:firstLineChars="200"/>
        <w:rPr>
          <w:rFonts w:ascii="宋体" w:hAnsi="宋体"/>
        </w:rPr>
      </w:pPr>
      <w:r>
        <w:rPr>
          <w:rFonts w:hint="eastAsia" w:ascii="宋体" w:hAnsi="宋体"/>
        </w:rPr>
        <w:t>电力室通过电缆穿桥架敷设至机柜上端的小母线，小母线通过电缆中转箱后，小母线馈线至各个机柜配电，机房区供电线路采用放射式配电方式，分类后直接配至各用电设备，不同类别分路控制。网络中心机房的电力电缆均采用线管机房顶部铺设，并与弱电桥架分开铺设，保持间距，避免交叉。管道采取分层架空布置互不交叉，每个回路采用独立的电管安装。</w:t>
      </w:r>
    </w:p>
    <w:p w14:paraId="528B5EC0">
      <w:pPr>
        <w:pStyle w:val="32"/>
        <w:numPr>
          <w:ilvl w:val="0"/>
          <w:numId w:val="6"/>
        </w:numPr>
        <w:ind w:firstLineChars="0"/>
        <w:rPr>
          <w:rFonts w:ascii="宋体" w:hAnsi="宋体"/>
        </w:rPr>
      </w:pPr>
      <w:r>
        <w:rPr>
          <w:rFonts w:hint="eastAsia" w:ascii="宋体" w:hAnsi="宋体"/>
        </w:rPr>
        <w:t>照明、市电维修插座线缆采用阻燃电线电缆（ZB-BYJ）；</w:t>
      </w:r>
    </w:p>
    <w:p w14:paraId="0CB17135">
      <w:pPr>
        <w:pStyle w:val="32"/>
        <w:numPr>
          <w:ilvl w:val="0"/>
          <w:numId w:val="6"/>
        </w:numPr>
        <w:ind w:firstLineChars="0"/>
        <w:rPr>
          <w:rFonts w:ascii="宋体" w:hAnsi="宋体"/>
        </w:rPr>
      </w:pPr>
      <w:r>
        <w:rPr>
          <w:rFonts w:hint="eastAsia" w:ascii="宋体" w:hAnsi="宋体"/>
        </w:rPr>
        <w:t>消防线缆采用阻燃耐火电线电缆（ZAN-BYJ）；</w:t>
      </w:r>
    </w:p>
    <w:p w14:paraId="75C45992">
      <w:pPr>
        <w:pStyle w:val="32"/>
        <w:numPr>
          <w:ilvl w:val="0"/>
          <w:numId w:val="6"/>
        </w:numPr>
        <w:ind w:firstLineChars="0"/>
        <w:rPr>
          <w:rFonts w:ascii="宋体" w:hAnsi="宋体"/>
        </w:rPr>
      </w:pPr>
      <w:r>
        <w:rPr>
          <w:rFonts w:hint="eastAsia" w:ascii="宋体" w:hAnsi="宋体"/>
        </w:rPr>
        <w:t>普通空调线缆采用阻燃电线电缆（ZB-BYJ）；</w:t>
      </w:r>
    </w:p>
    <w:p w14:paraId="31145765">
      <w:pPr>
        <w:pStyle w:val="32"/>
        <w:numPr>
          <w:ilvl w:val="0"/>
          <w:numId w:val="6"/>
        </w:numPr>
        <w:ind w:firstLineChars="0"/>
        <w:rPr>
          <w:rFonts w:ascii="宋体" w:hAnsi="宋体"/>
        </w:rPr>
      </w:pPr>
      <w:r>
        <w:rPr>
          <w:rFonts w:hint="eastAsia" w:ascii="宋体" w:hAnsi="宋体"/>
        </w:rPr>
        <w:t>计算机、网络设备机柜线缆采用阻燃电线电缆（ZA-YJV）；</w:t>
      </w:r>
    </w:p>
    <w:p w14:paraId="01BA35A0">
      <w:pPr>
        <w:pStyle w:val="32"/>
        <w:numPr>
          <w:ilvl w:val="0"/>
          <w:numId w:val="6"/>
        </w:numPr>
        <w:ind w:firstLineChars="0"/>
        <w:rPr>
          <w:rFonts w:ascii="宋体" w:hAnsi="宋体"/>
        </w:rPr>
      </w:pPr>
      <w:r>
        <w:rPr>
          <w:rFonts w:hint="eastAsia" w:ascii="宋体" w:hAnsi="宋体"/>
        </w:rPr>
        <w:t>UPS、精密空调设备线缆采用阻燃电线电缆（ZA-YJV）；</w:t>
      </w:r>
    </w:p>
    <w:p w14:paraId="5B1A143C">
      <w:pPr>
        <w:pStyle w:val="32"/>
        <w:numPr>
          <w:ilvl w:val="0"/>
          <w:numId w:val="6"/>
        </w:numPr>
        <w:ind w:firstLineChars="0"/>
        <w:rPr>
          <w:rFonts w:ascii="宋体" w:hAnsi="宋体"/>
        </w:rPr>
      </w:pPr>
      <w:r>
        <w:rPr>
          <w:rFonts w:hint="eastAsia" w:ascii="宋体" w:hAnsi="宋体"/>
        </w:rPr>
        <w:t>市电动力、照明线路穿（SC）电管暗敷或在吊顶内穿管明敷。</w:t>
      </w:r>
    </w:p>
    <w:p w14:paraId="1D600399">
      <w:pPr>
        <w:pStyle w:val="32"/>
        <w:numPr>
          <w:ilvl w:val="0"/>
          <w:numId w:val="6"/>
        </w:numPr>
        <w:ind w:firstLineChars="0"/>
        <w:rPr>
          <w:rFonts w:ascii="宋体" w:hAnsi="宋体"/>
        </w:rPr>
      </w:pPr>
      <w:r>
        <w:rPr>
          <w:rFonts w:hint="eastAsia" w:ascii="宋体" w:hAnsi="宋体"/>
        </w:rPr>
        <w:t>以上线缆及管网具体详设计图纸。</w:t>
      </w:r>
    </w:p>
    <w:p w14:paraId="17E69C4E">
      <w:pPr>
        <w:ind w:firstLine="420" w:firstLineChars="200"/>
        <w:rPr>
          <w:rFonts w:ascii="宋体" w:hAnsi="宋体"/>
        </w:rPr>
      </w:pPr>
      <w:r>
        <w:rPr>
          <w:rFonts w:hint="eastAsia" w:ascii="宋体" w:hAnsi="宋体"/>
        </w:rPr>
        <w:t>(4)插座安装</w:t>
      </w:r>
    </w:p>
    <w:p w14:paraId="212C5E3F">
      <w:pPr>
        <w:ind w:firstLine="420" w:firstLineChars="200"/>
        <w:rPr>
          <w:rFonts w:ascii="宋体" w:hAnsi="宋体"/>
        </w:rPr>
      </w:pPr>
      <w:r>
        <w:rPr>
          <w:rFonts w:hint="eastAsia" w:ascii="宋体" w:hAnsi="宋体"/>
        </w:rPr>
        <w:t>本工程中计算机负载配电线路按国标并留有余量。</w:t>
      </w:r>
    </w:p>
    <w:p w14:paraId="0DE24BF3">
      <w:pPr>
        <w:ind w:firstLine="420" w:firstLineChars="200"/>
        <w:rPr>
          <w:rFonts w:ascii="宋体" w:hAnsi="宋体"/>
        </w:rPr>
      </w:pPr>
      <w:r>
        <w:rPr>
          <w:rFonts w:hint="eastAsia" w:ascii="宋体" w:hAnsi="宋体"/>
        </w:rPr>
        <w:t>(1)普通插座：机房市电维修插座采用 10A 五孔插座，市电维修插座安装在高于地板面0.3 米的墙壁上。监控中心电视墙各设置 16A 三孔插座，由 UPS供电，UPS 供电插座采用有色面板。</w:t>
      </w:r>
    </w:p>
    <w:p w14:paraId="0A6C4E9B">
      <w:pPr>
        <w:rPr>
          <w:rFonts w:ascii="宋体" w:hAnsi="宋体"/>
        </w:rPr>
      </w:pPr>
      <w:r>
        <w:rPr>
          <w:rFonts w:hint="eastAsia" w:ascii="宋体" w:hAnsi="宋体"/>
        </w:rPr>
        <w:t>监控中心及监控值班室工作台按每工位两个 16A 三孔带接地插座设计，由 UPS 供电，UPS 供电插座采用有色面板。</w:t>
      </w:r>
    </w:p>
    <w:p w14:paraId="0DFBDBBF">
      <w:pPr>
        <w:ind w:firstLine="420" w:firstLineChars="200"/>
        <w:rPr>
          <w:rFonts w:ascii="宋体" w:hAnsi="宋体"/>
        </w:rPr>
      </w:pPr>
      <w:r>
        <w:rPr>
          <w:rFonts w:hint="eastAsia" w:ascii="宋体" w:hAnsi="宋体"/>
        </w:rPr>
        <w:t>(2)工业连接器插座：机房内各机柜均采用双回路 UPS 供电模式，主机房 2 路供电电源均采用工业连接器与机柜内的 PDU 连接，每台机柜配置 2 台 PDU。</w:t>
      </w:r>
    </w:p>
    <w:p w14:paraId="6CF245B3">
      <w:pPr>
        <w:ind w:firstLine="420" w:firstLineChars="200"/>
        <w:rPr>
          <w:rFonts w:ascii="宋体" w:hAnsi="宋体"/>
        </w:rPr>
      </w:pPr>
      <w:r>
        <w:rPr>
          <w:rFonts w:hint="eastAsia" w:ascii="宋体" w:hAnsi="宋体"/>
        </w:rPr>
        <w:t>(5) 机房照明</w:t>
      </w:r>
    </w:p>
    <w:p w14:paraId="2ECCCAAA">
      <w:pPr>
        <w:ind w:firstLine="420" w:firstLineChars="200"/>
        <w:rPr>
          <w:rFonts w:ascii="宋体" w:hAnsi="宋体"/>
        </w:rPr>
      </w:pPr>
      <w:r>
        <w:rPr>
          <w:rFonts w:hint="eastAsia" w:ascii="宋体" w:hAnsi="宋体"/>
        </w:rPr>
        <w:t>本工程机房市电照明照度值为300LX,电池间等设备用房为300LX，灯具采用LED平板灯。</w:t>
      </w:r>
    </w:p>
    <w:p w14:paraId="300B6484">
      <w:pPr>
        <w:ind w:firstLine="420" w:firstLineChars="200"/>
        <w:rPr>
          <w:rFonts w:ascii="宋体" w:hAnsi="宋体"/>
        </w:rPr>
      </w:pPr>
      <w:r>
        <w:rPr>
          <w:rFonts w:hint="eastAsia" w:ascii="宋体" w:hAnsi="宋体"/>
        </w:rPr>
        <w:t>机房设置消防应急疏散照明及安全出口指示灯，应急照明系统沿用原有系统，本次仅根据隔间做末端点位调整，系统灯具电压等级≤36V，由市电直接供电。</w:t>
      </w:r>
    </w:p>
    <w:p w14:paraId="13B41F69">
      <w:pPr>
        <w:ind w:firstLine="420" w:firstLineChars="200"/>
        <w:rPr>
          <w:rFonts w:ascii="宋体" w:hAnsi="宋体"/>
        </w:rPr>
      </w:pPr>
      <w:r>
        <w:rPr>
          <w:rFonts w:hint="eastAsia" w:ascii="宋体" w:hAnsi="宋体"/>
        </w:rPr>
        <w:t>（6） UPS 不间断电源系统</w:t>
      </w:r>
    </w:p>
    <w:p w14:paraId="6AEF3682">
      <w:pPr>
        <w:ind w:firstLine="420" w:firstLineChars="200"/>
        <w:rPr>
          <w:ins w:id="0" w:author="chenhy" w:date="2025-04-21T10:05:00Z"/>
          <w:rFonts w:ascii="宋体" w:hAnsi="宋体"/>
        </w:rPr>
      </w:pPr>
      <w:r>
        <w:rPr>
          <w:rFonts w:hint="eastAsia" w:ascii="宋体" w:hAnsi="宋体"/>
        </w:rPr>
        <w:t>信息网络机房每组变压器配置三套 600KVA 模块化 UPS 主机，主要用于机房内各服务器、存储、交换机等设备集中供电，并设有1套 600KVA 模块化 UPS 主机，给精密空调等动力设备供电；</w:t>
      </w:r>
    </w:p>
    <w:p w14:paraId="2C36776A">
      <w:pPr>
        <w:ind w:firstLine="420" w:firstLineChars="200"/>
        <w:rPr>
          <w:rFonts w:ascii="宋体" w:hAnsi="宋体"/>
        </w:rPr>
      </w:pPr>
      <w:r>
        <w:rPr>
          <w:rFonts w:hint="eastAsia" w:ascii="宋体" w:hAnsi="宋体"/>
        </w:rPr>
        <w:t>UPS应为高频模块化UPS，单功率模块的额定输出功率应大于60kVA，并支持热插拔，当功率模块故障时，应及时退出系统而不能影响其他模块正常工作，不允许输出中断。</w:t>
      </w:r>
    </w:p>
    <w:p w14:paraId="6FA0A1FC">
      <w:pPr>
        <w:pStyle w:val="76"/>
        <w:outlineLvl w:val="2"/>
      </w:pPr>
      <w:r>
        <w:rPr>
          <w:rFonts w:hint="eastAsia"/>
        </w:rPr>
        <w:t>2.4MW机房配电柜系统</w:t>
      </w:r>
    </w:p>
    <w:p w14:paraId="0073366A">
      <w:pPr>
        <w:ind w:left="-248" w:leftChars="-118" w:firstLine="480"/>
      </w:pPr>
      <w:r>
        <w:rPr>
          <w:rFonts w:hint="eastAsia"/>
        </w:rPr>
        <w:t>本项目2</w:t>
      </w:r>
      <w:r>
        <w:t>.4</w:t>
      </w:r>
      <w:r>
        <w:rPr>
          <w:rFonts w:hint="eastAsia"/>
        </w:rPr>
        <w:t>MW机房配电柜系统应与上述要求的UPS进行一体化设计，系统部件在工厂预制提前进行测试，各部件现场通过母排连接安装，保证产品质量。</w:t>
      </w:r>
    </w:p>
    <w:p w14:paraId="5EFB2958">
      <w:pPr>
        <w:ind w:left="-248" w:leftChars="-118" w:firstLine="480"/>
      </w:pPr>
      <w:r>
        <w:rPr>
          <w:rFonts w:hint="eastAsia"/>
        </w:rPr>
        <w:t>配电柜防护等级IP</w:t>
      </w:r>
      <w:r>
        <w:t>30</w:t>
      </w:r>
      <w:r>
        <w:rPr>
          <w:rFonts w:hint="eastAsia"/>
        </w:rPr>
        <w:t>，在所有位置（接通、试验、断开）均可保持低压开关柜原有的防护等级。</w:t>
      </w:r>
    </w:p>
    <w:p w14:paraId="646DEE95">
      <w:pPr>
        <w:ind w:left="-248" w:leftChars="-118" w:firstLine="480"/>
      </w:pPr>
      <w:r>
        <w:rPr>
          <w:rFonts w:hint="eastAsia"/>
        </w:rPr>
        <w:t>柜体的主要结构：</w:t>
      </w:r>
      <w:bookmarkStart w:id="0" w:name="_Hlk117755741"/>
      <w:r>
        <w:rPr>
          <w:rFonts w:hint="eastAsia"/>
        </w:rPr>
        <w:t>柜内应主要分隔为相互隔离的母线室、功能单元室等几个部分。</w:t>
      </w:r>
      <w:bookmarkEnd w:id="0"/>
    </w:p>
    <w:p w14:paraId="6866B8B9">
      <w:pPr>
        <w:ind w:left="-248" w:leftChars="-118" w:firstLine="480"/>
      </w:pPr>
      <w:r>
        <w:rPr>
          <w:rFonts w:hint="eastAsia"/>
        </w:rPr>
        <w:t>开关柜应为由钢板外壳封闭的刚性、自承式独立结构，并应能承受所安装元件和短路时产生的动、热稳定。框架、门板和元件安装板均采用厚度大于等于1.5mm的冷轧钢板。</w:t>
      </w:r>
    </w:p>
    <w:p w14:paraId="47C96EF1">
      <w:pPr>
        <w:ind w:left="-248" w:leftChars="-118" w:firstLine="480"/>
      </w:pPr>
      <w:r>
        <w:rPr>
          <w:rFonts w:hint="eastAsia"/>
        </w:rPr>
        <w:t>开关柜应具有内部燃弧故障耐受能力，当出现内部燃弧故障时，</w:t>
      </w:r>
      <w:r>
        <w:t>开关柜隔室的结构应能承受三相短路产生的电弧或游离气体所产生的压力而不造成损坏</w:t>
      </w:r>
      <w:r>
        <w:rPr>
          <w:rFonts w:hint="eastAsia"/>
        </w:rPr>
        <w:t>，并且防止电弧对操作人员造成伤害。</w:t>
      </w:r>
    </w:p>
    <w:p w14:paraId="15B1F64F">
      <w:pPr>
        <w:ind w:left="-248" w:leftChars="-118" w:firstLine="480"/>
      </w:pPr>
      <w:r>
        <w:rPr>
          <w:rFonts w:hint="eastAsia"/>
        </w:rPr>
        <w:t>预制母排</w:t>
      </w:r>
      <w:r>
        <w:t>采用三相五线制</w:t>
      </w:r>
      <w:r>
        <w:rPr>
          <w:rFonts w:hint="eastAsia"/>
        </w:rPr>
        <w:t>，选用国标T2电解铜材制造，铜排纯度在</w:t>
      </w:r>
      <w:r>
        <w:t>99.95%</w:t>
      </w:r>
      <w:r>
        <w:rPr>
          <w:rFonts w:hint="eastAsia"/>
        </w:rPr>
        <w:t>以上。母排表面光洁并进行防氧化处理。屏内</w:t>
      </w:r>
      <w:r>
        <w:t>N</w:t>
      </w:r>
      <w:r>
        <w:rPr>
          <w:rFonts w:hint="eastAsia"/>
        </w:rPr>
        <w:t>排的截面积规格和相排一致，选用的铜母线截面满足国家规定的额定短时耐受电流和额定峰值所产生的热应力和电动力要求。预制电力模块内母</w:t>
      </w:r>
      <w:r>
        <w:t>排</w:t>
      </w:r>
      <w:r>
        <w:rPr>
          <w:rFonts w:hint="eastAsia"/>
        </w:rPr>
        <w:t>须出厂时</w:t>
      </w:r>
      <w:r>
        <w:t>预制</w:t>
      </w:r>
      <w:r>
        <w:rPr>
          <w:rFonts w:hint="eastAsia"/>
        </w:rPr>
        <w:t>完成</w:t>
      </w:r>
      <w:r>
        <w:t>，便</w:t>
      </w:r>
      <w:r>
        <w:rPr>
          <w:rFonts w:hint="eastAsia"/>
        </w:rPr>
        <w:t>于</w:t>
      </w:r>
      <w:r>
        <w:t>现场</w:t>
      </w:r>
      <w:r>
        <w:rPr>
          <w:rFonts w:hint="eastAsia"/>
        </w:rPr>
        <w:t>安装。</w:t>
      </w:r>
    </w:p>
    <w:p w14:paraId="6742F79C">
      <w:pPr>
        <w:ind w:left="-248" w:leftChars="-118" w:firstLine="480"/>
      </w:pPr>
      <w:r>
        <w:rPr>
          <w:rFonts w:hint="eastAsia"/>
        </w:rPr>
        <w:t>柜内应有相应的等电位连接措施。</w:t>
      </w:r>
    </w:p>
    <w:p w14:paraId="0F21FD62">
      <w:pPr>
        <w:ind w:left="-248" w:leftChars="-118" w:firstLine="480"/>
      </w:pPr>
      <w:r>
        <w:rPr>
          <w:rFonts w:hint="eastAsia"/>
        </w:rPr>
        <w:t>低压开关柜内使用的低压交流框架式断路器应采用国际</w:t>
      </w:r>
      <w:r>
        <w:t>知名品牌</w:t>
      </w:r>
      <w:r>
        <w:rPr>
          <w:rFonts w:hint="eastAsia"/>
        </w:rPr>
        <w:t>合资/独资高质量、高性能产品，如ABB Emax</w:t>
      </w:r>
      <w:r>
        <w:t>2</w:t>
      </w:r>
      <w:r>
        <w:rPr>
          <w:rFonts w:hint="eastAsia"/>
        </w:rPr>
        <w:t xml:space="preserve"> 系列、施耐德 MT系列、西门子 3W</w:t>
      </w:r>
      <w:r>
        <w:t>L</w:t>
      </w:r>
      <w:r>
        <w:rPr>
          <w:rFonts w:hint="eastAsia"/>
        </w:rPr>
        <w:t>系列或其它同等档次的断路器。</w:t>
      </w:r>
    </w:p>
    <w:p w14:paraId="260246AF">
      <w:pPr>
        <w:ind w:left="-248" w:leftChars="-118" w:firstLine="480"/>
      </w:pPr>
      <w:r>
        <w:rPr>
          <w:rFonts w:hint="eastAsia"/>
        </w:rPr>
        <w:t>框架式断路器开关智能控制单元功能包括：</w:t>
      </w:r>
    </w:p>
    <w:p w14:paraId="405E7640">
      <w:pPr>
        <w:pStyle w:val="32"/>
        <w:numPr>
          <w:ilvl w:val="0"/>
          <w:numId w:val="7"/>
        </w:numPr>
        <w:ind w:firstLineChars="0"/>
      </w:pPr>
      <w:r>
        <w:rPr>
          <w:rFonts w:hint="eastAsia"/>
        </w:rPr>
        <w:t>可调整长延时保护、可调整短延时保护、可调整瞬时脱扣保护。</w:t>
      </w:r>
    </w:p>
    <w:p w14:paraId="02EB4474">
      <w:pPr>
        <w:pStyle w:val="32"/>
        <w:numPr>
          <w:ilvl w:val="0"/>
          <w:numId w:val="7"/>
        </w:numPr>
        <w:ind w:firstLineChars="0"/>
      </w:pPr>
      <w:r>
        <w:t>断路器三段保护、四段保护需根据图纸要求选择</w:t>
      </w:r>
      <w:r>
        <w:rPr>
          <w:rFonts w:hint="eastAsia"/>
        </w:rPr>
        <w:t>即可</w:t>
      </w:r>
      <w:r>
        <w:t>。</w:t>
      </w:r>
    </w:p>
    <w:p w14:paraId="16ADC965">
      <w:pPr>
        <w:pStyle w:val="32"/>
        <w:numPr>
          <w:ilvl w:val="0"/>
          <w:numId w:val="7"/>
        </w:numPr>
        <w:ind w:firstLineChars="0"/>
      </w:pPr>
      <w:r>
        <w:rPr>
          <w:rFonts w:hint="eastAsia"/>
        </w:rPr>
        <w:t>控制单元需具备显示界面及设置按键，方便设置参数，支持后续功能扩充。</w:t>
      </w:r>
    </w:p>
    <w:p w14:paraId="2413E476">
      <w:pPr>
        <w:ind w:left="-248" w:leftChars="-118" w:firstLine="480"/>
      </w:pPr>
      <w:r>
        <w:rPr>
          <w:rFonts w:hint="eastAsia"/>
        </w:rPr>
        <w:t>断路器应为模块化结构设计、方便断路器功能的扩充而无需改变断路器结构和低压开关柜的结构。</w:t>
      </w:r>
    </w:p>
    <w:p w14:paraId="2A305943">
      <w:pPr>
        <w:ind w:left="-248" w:leftChars="-118" w:firstLine="480"/>
      </w:pPr>
      <w:r>
        <w:rPr>
          <w:rFonts w:hint="eastAsia"/>
        </w:rPr>
        <w:t>断路器应选择额定极限短路分断能力Icu≥50kA的型号，以保障故障发生时能可靠分断隔离故障。</w:t>
      </w:r>
      <w:bookmarkStart w:id="1" w:name="_Toc128498012"/>
    </w:p>
    <w:p w14:paraId="1BDD2361">
      <w:pPr>
        <w:ind w:left="-248" w:leftChars="-118" w:firstLine="480"/>
      </w:pPr>
      <w:r>
        <w:rPr>
          <w:rFonts w:hint="eastAsia"/>
        </w:rPr>
        <w:t>低压开关柜内使用的</w:t>
      </w:r>
      <w:r>
        <w:rPr>
          <w:rFonts w:hint="eastAsia"/>
          <w:bCs/>
        </w:rPr>
        <w:t>浪涌保护器</w:t>
      </w:r>
      <w:bookmarkEnd w:id="1"/>
      <w:r>
        <w:rPr>
          <w:rFonts w:hint="eastAsia"/>
          <w:bCs/>
        </w:rPr>
        <w:t>：</w:t>
      </w:r>
    </w:p>
    <w:p w14:paraId="0DA2F105">
      <w:pPr>
        <w:ind w:left="-248" w:leftChars="-118" w:firstLine="480"/>
        <w:rPr>
          <w:lang w:val="zh-CN"/>
        </w:rPr>
      </w:pPr>
      <w:r>
        <w:rPr>
          <w:rFonts w:hint="eastAsia"/>
          <w:lang w:val="zh-CN"/>
        </w:rPr>
        <w:t>1)</w:t>
      </w:r>
      <w:r>
        <w:rPr>
          <w:rFonts w:hint="eastAsia"/>
          <w:lang w:val="zh-CN"/>
        </w:rPr>
        <w:tab/>
      </w:r>
      <w:r>
        <w:rPr>
          <w:rFonts w:hint="eastAsia"/>
          <w:lang w:val="zh-CN"/>
        </w:rPr>
        <w:t>浪涌保护器应采用国内知名品牌，其各项参数不得低于图纸中设计参数。</w:t>
      </w:r>
    </w:p>
    <w:p w14:paraId="3F0509CF">
      <w:pPr>
        <w:ind w:left="-248" w:leftChars="-118" w:firstLine="480"/>
        <w:rPr>
          <w:lang w:val="zh-CN"/>
        </w:rPr>
      </w:pPr>
      <w:r>
        <w:rPr>
          <w:rFonts w:hint="eastAsia"/>
          <w:lang w:val="zh-CN"/>
        </w:rPr>
        <w:t>2)</w:t>
      </w:r>
      <w:r>
        <w:rPr>
          <w:rFonts w:hint="eastAsia"/>
          <w:lang w:val="zh-CN"/>
        </w:rPr>
        <w:tab/>
      </w:r>
      <w:r>
        <w:rPr>
          <w:rFonts w:hint="eastAsia"/>
          <w:lang w:val="zh-CN"/>
        </w:rPr>
        <w:t>类型、容量：三相四线，设备容量等同或高于图纸要求。</w:t>
      </w:r>
    </w:p>
    <w:p w14:paraId="3F561E7E">
      <w:pPr>
        <w:ind w:left="-248" w:leftChars="-118" w:firstLine="480"/>
        <w:rPr>
          <w:lang w:val="zh-CN"/>
        </w:rPr>
      </w:pPr>
      <w:r>
        <w:rPr>
          <w:rFonts w:hint="eastAsia"/>
          <w:lang w:val="zh-CN"/>
        </w:rPr>
        <w:t>3)</w:t>
      </w:r>
      <w:r>
        <w:rPr>
          <w:rFonts w:hint="eastAsia"/>
          <w:lang w:val="zh-CN"/>
        </w:rPr>
        <w:tab/>
      </w:r>
      <w:r>
        <w:rPr>
          <w:rFonts w:hint="eastAsia"/>
          <w:lang w:val="zh-CN"/>
        </w:rPr>
        <w:t>状态指示：提供设备状态指示，具有输出接点。</w:t>
      </w:r>
    </w:p>
    <w:p w14:paraId="65DCAEDF">
      <w:pPr>
        <w:ind w:left="-248" w:leftChars="-118" w:firstLine="480"/>
        <w:rPr>
          <w:lang w:val="zh-CN"/>
        </w:rPr>
      </w:pPr>
      <w:r>
        <w:rPr>
          <w:rFonts w:hint="eastAsia"/>
          <w:lang w:val="zh-CN"/>
        </w:rPr>
        <w:t>4)</w:t>
      </w:r>
      <w:r>
        <w:rPr>
          <w:rFonts w:hint="eastAsia"/>
          <w:lang w:val="zh-CN"/>
        </w:rPr>
        <w:tab/>
      </w:r>
      <w:r>
        <w:rPr>
          <w:rFonts w:hint="eastAsia"/>
          <w:lang w:val="zh-CN"/>
        </w:rPr>
        <w:t>电压浪涌保护器采用3+1或四线对地模式。</w:t>
      </w:r>
    </w:p>
    <w:p w14:paraId="5E2D9ED1">
      <w:pPr>
        <w:ind w:left="-248" w:leftChars="-118" w:firstLine="480"/>
        <w:rPr>
          <w:lang w:val="zh-CN"/>
        </w:rPr>
      </w:pPr>
      <w:r>
        <w:rPr>
          <w:rFonts w:hint="eastAsia"/>
          <w:lang w:val="zh-CN"/>
        </w:rPr>
        <w:t>5)</w:t>
      </w:r>
      <w:r>
        <w:rPr>
          <w:rFonts w:hint="eastAsia"/>
          <w:lang w:val="zh-CN"/>
        </w:rPr>
        <w:tab/>
      </w:r>
      <w:r>
        <w:rPr>
          <w:rFonts w:hint="eastAsia"/>
          <w:lang w:val="zh-CN"/>
        </w:rPr>
        <w:t>浪涌抑制器的设计、测试、制作及安装须符合国际电工委员会(IEC) 有关标准及YDT_1235.1-2002-《低压配电系统用电涌保护器技术要求》的要求。</w:t>
      </w:r>
    </w:p>
    <w:p w14:paraId="173290CB">
      <w:pPr>
        <w:ind w:left="-248" w:leftChars="-118" w:firstLine="480"/>
        <w:rPr>
          <w:lang w:val="zh-CN"/>
        </w:rPr>
      </w:pPr>
      <w:r>
        <w:rPr>
          <w:rFonts w:hint="eastAsia"/>
          <w:lang w:val="zh-CN"/>
        </w:rPr>
        <w:t>6)</w:t>
      </w:r>
      <w:r>
        <w:rPr>
          <w:rFonts w:hint="eastAsia"/>
          <w:lang w:val="zh-CN"/>
        </w:rPr>
        <w:tab/>
      </w:r>
      <w:r>
        <w:rPr>
          <w:rFonts w:hint="eastAsia"/>
          <w:lang w:val="zh-CN"/>
        </w:rPr>
        <w:t>浪涌抑制器应有短路保护功能，防止因自身短路引起电源系统的短路，但不能影响浪涌抑制器的正常泄流。</w:t>
      </w:r>
    </w:p>
    <w:p w14:paraId="09E97F8F">
      <w:pPr>
        <w:pStyle w:val="2"/>
        <w:spacing w:line="360" w:lineRule="auto"/>
        <w:ind w:firstLine="420"/>
        <w:rPr>
          <w:rFonts w:ascii="Times New Roman" w:hAnsi="Times New Roman" w:eastAsia="宋体" w:cs="宋体"/>
          <w:sz w:val="21"/>
          <w:szCs w:val="22"/>
          <w:lang w:val="zh-CN"/>
        </w:rPr>
      </w:pPr>
      <w:r>
        <w:rPr>
          <w:rFonts w:hint="eastAsia" w:ascii="Times New Roman" w:hAnsi="Times New Roman" w:eastAsia="宋体" w:cs="宋体"/>
          <w:sz w:val="21"/>
          <w:szCs w:val="22"/>
          <w:lang w:val="zh-CN"/>
        </w:rPr>
        <w:t>机房配电柜系统监控管理系统：</w:t>
      </w:r>
    </w:p>
    <w:p w14:paraId="5DCF532F">
      <w:pPr>
        <w:pStyle w:val="2"/>
        <w:spacing w:line="360" w:lineRule="auto"/>
        <w:ind w:firstLine="420"/>
        <w:rPr>
          <w:rFonts w:ascii="Times New Roman" w:hAnsi="Times New Roman" w:eastAsia="宋体" w:cs="宋体"/>
          <w:sz w:val="21"/>
          <w:szCs w:val="22"/>
          <w:lang w:val="zh-CN"/>
        </w:rPr>
      </w:pPr>
      <w:r>
        <w:rPr>
          <w:rFonts w:hint="eastAsia" w:ascii="Times New Roman" w:hAnsi="Times New Roman" w:eastAsia="宋体" w:cs="宋体"/>
          <w:sz w:val="21"/>
          <w:szCs w:val="22"/>
          <w:lang w:val="zh-CN"/>
        </w:rPr>
        <w:t>1）应有统一的管理界面，具备实时监测和故障告警功能。</w:t>
      </w:r>
    </w:p>
    <w:p w14:paraId="75B721CA">
      <w:pPr>
        <w:pStyle w:val="2"/>
        <w:spacing w:line="360" w:lineRule="auto"/>
        <w:ind w:firstLine="420"/>
        <w:rPr>
          <w:rFonts w:ascii="Times New Roman" w:hAnsi="Times New Roman" w:eastAsia="宋体" w:cs="宋体"/>
          <w:sz w:val="21"/>
          <w:szCs w:val="22"/>
          <w:lang w:val="zh-CN"/>
        </w:rPr>
      </w:pPr>
      <w:r>
        <w:rPr>
          <w:rFonts w:hint="eastAsia" w:ascii="Times New Roman" w:hAnsi="Times New Roman" w:eastAsia="宋体" w:cs="宋体"/>
          <w:sz w:val="21"/>
          <w:szCs w:val="22"/>
          <w:lang w:val="zh-CN"/>
        </w:rPr>
        <w:t>2）应能实时监控链路中各个开关的电压、电流、电能，精度1%，并能支持检测3～11次谐波，支持告警阈值可设置。</w:t>
      </w:r>
    </w:p>
    <w:p w14:paraId="0D983BEB">
      <w:pPr>
        <w:pStyle w:val="2"/>
        <w:spacing w:line="360" w:lineRule="auto"/>
        <w:ind w:firstLine="420"/>
        <w:rPr>
          <w:rFonts w:ascii="Times New Roman" w:hAnsi="Times New Roman" w:eastAsia="宋体" w:cs="宋体"/>
          <w:sz w:val="21"/>
          <w:szCs w:val="22"/>
          <w:lang w:val="zh-CN"/>
        </w:rPr>
      </w:pPr>
      <w:r>
        <w:rPr>
          <w:rFonts w:hint="eastAsia" w:ascii="Times New Roman" w:hAnsi="Times New Roman" w:eastAsia="宋体" w:cs="宋体"/>
          <w:sz w:val="21"/>
          <w:szCs w:val="22"/>
          <w:lang w:val="zh-CN"/>
        </w:rPr>
        <w:t>3）应在水平主母排与各垂直母排搭接点、馈线柜各输出开关支路对外接线端子附近布置温度传感器，以支持集中监控管理系统实时监测各节点温度，保障电力模块系统长期可靠稳定运行。</w:t>
      </w:r>
    </w:p>
    <w:p w14:paraId="243F71D3">
      <w:pPr>
        <w:pStyle w:val="2"/>
        <w:spacing w:line="360" w:lineRule="auto"/>
        <w:ind w:firstLine="420"/>
        <w:rPr>
          <w:rFonts w:ascii="Times New Roman" w:hAnsi="Times New Roman" w:eastAsia="宋体" w:cs="宋体"/>
          <w:sz w:val="21"/>
          <w:szCs w:val="22"/>
          <w:lang w:val="zh-CN"/>
        </w:rPr>
      </w:pPr>
      <w:r>
        <w:rPr>
          <w:rFonts w:hint="eastAsia" w:ascii="Times New Roman" w:hAnsi="Times New Roman" w:eastAsia="宋体" w:cs="宋体"/>
          <w:sz w:val="21"/>
          <w:szCs w:val="22"/>
          <w:lang w:val="zh-CN"/>
        </w:rPr>
        <w:t>4）为保障集中监控管理系统与各机柜的通信与检测能独立不互相影响，应在每台设备设置一个独立的监控单元，该监控单元能独立运行自行监控柜内的电压、电流、温度及柜内部件和模块的运行状态</w:t>
      </w:r>
    </w:p>
    <w:p w14:paraId="30FE821F">
      <w:pPr>
        <w:pStyle w:val="2"/>
        <w:spacing w:line="360" w:lineRule="auto"/>
        <w:ind w:firstLine="420"/>
        <w:rPr>
          <w:rFonts w:ascii="Times New Roman" w:hAnsi="Times New Roman" w:eastAsia="宋体" w:cs="宋体"/>
          <w:sz w:val="21"/>
          <w:szCs w:val="22"/>
          <w:lang w:val="zh-CN"/>
        </w:rPr>
      </w:pPr>
      <w:r>
        <w:rPr>
          <w:rFonts w:hint="eastAsia" w:ascii="Times New Roman" w:hAnsi="Times New Roman" w:eastAsia="宋体" w:cs="宋体"/>
          <w:sz w:val="21"/>
          <w:szCs w:val="22"/>
          <w:lang w:val="zh-CN"/>
        </w:rPr>
        <w:t>5）在日常巡检以及运维过程中，监控界面可视化，方便运维人员与实物对照查看和设置。</w:t>
      </w:r>
    </w:p>
    <w:p w14:paraId="2ED2AA44">
      <w:pPr>
        <w:pStyle w:val="76"/>
        <w:outlineLvl w:val="2"/>
      </w:pPr>
      <w:r>
        <w:rPr>
          <w:rFonts w:hint="eastAsia"/>
        </w:rPr>
        <w:t>小母线</w:t>
      </w:r>
    </w:p>
    <w:p w14:paraId="62DAC5B9">
      <w:pPr>
        <w:ind w:left="-248" w:leftChars="-118" w:firstLine="480"/>
      </w:pPr>
      <w:r>
        <w:rPr>
          <w:rFonts w:hint="eastAsia"/>
        </w:rPr>
        <w:t>本项目采用的配电母线需要满足去工程化设计要求，便于安装，缩短安装时间，同时节省微模块内部柜位空间。母线槽安装在机柜上方，按机柜用电需求配置开关，向对应配电排供电。</w:t>
      </w:r>
    </w:p>
    <w:p w14:paraId="7DE02DEF">
      <w:pPr>
        <w:ind w:left="-248" w:leftChars="-118" w:firstLine="480"/>
      </w:pPr>
      <w:r>
        <w:rPr>
          <w:rFonts w:hint="eastAsia"/>
        </w:rPr>
        <w:t>设备工作环境条件：</w:t>
      </w:r>
    </w:p>
    <w:p w14:paraId="1C4F20F6">
      <w:pPr>
        <w:ind w:left="-248" w:leftChars="-118" w:firstLine="480"/>
      </w:pPr>
      <w:r>
        <w:rPr>
          <w:rFonts w:hint="eastAsia"/>
        </w:rPr>
        <w:t>海拔高度：</w:t>
      </w:r>
      <w:r>
        <w:t>1000m</w:t>
      </w:r>
      <w:r>
        <w:rPr>
          <w:rFonts w:hint="eastAsia"/>
        </w:rPr>
        <w:t>（</w:t>
      </w:r>
      <w:r>
        <w:t xml:space="preserve">1000m </w:t>
      </w:r>
      <w:r>
        <w:rPr>
          <w:rFonts w:hint="eastAsia"/>
        </w:rPr>
        <w:t>以上时，设备应按</w:t>
      </w:r>
      <w:r>
        <w:t xml:space="preserve">GB/T3859.2-93 </w:t>
      </w:r>
      <w:r>
        <w:rPr>
          <w:rFonts w:hint="eastAsia"/>
        </w:rPr>
        <w:t>规定降额使用，最高</w:t>
      </w:r>
      <w:r>
        <w:t>4000m</w:t>
      </w:r>
      <w:r>
        <w:rPr>
          <w:rFonts w:hint="eastAsia"/>
        </w:rPr>
        <w:t>）</w:t>
      </w:r>
    </w:p>
    <w:p w14:paraId="22B05004">
      <w:pPr>
        <w:ind w:left="-248" w:leftChars="-118" w:firstLine="480"/>
      </w:pPr>
      <w:r>
        <w:rPr>
          <w:rFonts w:hint="eastAsia"/>
        </w:rPr>
        <w:t>最高环境温度：﹢</w:t>
      </w:r>
      <w:r>
        <w:t>40</w:t>
      </w:r>
      <w:r>
        <w:rPr>
          <w:rFonts w:hint="eastAsia"/>
        </w:rPr>
        <w:t>℃</w:t>
      </w:r>
    </w:p>
    <w:p w14:paraId="60FA6A57">
      <w:pPr>
        <w:ind w:left="-248" w:leftChars="-118" w:firstLine="480"/>
      </w:pPr>
      <w:r>
        <w:rPr>
          <w:rFonts w:hint="eastAsia"/>
        </w:rPr>
        <w:t>最低环境温度：</w:t>
      </w:r>
      <w:r>
        <w:t>-5</w:t>
      </w:r>
      <w:r>
        <w:rPr>
          <w:rFonts w:hint="eastAsia"/>
        </w:rPr>
        <w:t>℃</w:t>
      </w:r>
    </w:p>
    <w:p w14:paraId="01CE70FD">
      <w:pPr>
        <w:ind w:left="-248" w:leftChars="-118" w:firstLine="480"/>
      </w:pPr>
      <w:r>
        <w:rPr>
          <w:rFonts w:hint="eastAsia"/>
        </w:rPr>
        <w:t>相对湿度：</w:t>
      </w:r>
      <w:r>
        <w:t>5%~95%RH</w:t>
      </w:r>
    </w:p>
    <w:p w14:paraId="67D1442B">
      <w:pPr>
        <w:ind w:left="-248" w:leftChars="-118" w:firstLine="480"/>
      </w:pPr>
      <w:r>
        <w:rPr>
          <w:rFonts w:hint="eastAsia"/>
        </w:rPr>
        <w:t xml:space="preserve">配电系统型式：TN-S，满足三相五线输入，配置独立的中线铜排和接地铜排 </w:t>
      </w:r>
    </w:p>
    <w:p w14:paraId="6231108B">
      <w:pPr>
        <w:ind w:left="-248" w:leftChars="-118" w:firstLine="480"/>
      </w:pPr>
      <w:r>
        <w:rPr>
          <w:rFonts w:hint="eastAsia"/>
        </w:rPr>
        <w:t>额定工作电压：380V AC/400V AC/415V AC</w:t>
      </w:r>
    </w:p>
    <w:p w14:paraId="0F549D0F">
      <w:pPr>
        <w:ind w:left="-248" w:leftChars="-118" w:firstLine="480"/>
      </w:pPr>
      <w:r>
        <w:rPr>
          <w:rFonts w:hint="eastAsia"/>
        </w:rPr>
        <w:t>额定绝缘电压：690V AC</w:t>
      </w:r>
    </w:p>
    <w:p w14:paraId="3C1A05E4">
      <w:pPr>
        <w:ind w:left="-248" w:leftChars="-118" w:firstLine="480"/>
      </w:pPr>
      <w:r>
        <w:rPr>
          <w:rFonts w:hint="eastAsia"/>
        </w:rPr>
        <w:t>额定频率：50/60Hz</w:t>
      </w:r>
    </w:p>
    <w:p w14:paraId="4D60D392">
      <w:pPr>
        <w:ind w:left="-248" w:leftChars="-118" w:firstLine="480"/>
      </w:pPr>
      <w:r>
        <w:rPr>
          <w:rFonts w:hint="eastAsia"/>
        </w:rPr>
        <w:t>防护等级：IP30</w:t>
      </w:r>
    </w:p>
    <w:p w14:paraId="16A1566B">
      <w:pPr>
        <w:ind w:left="-248" w:leftChars="-118" w:firstLine="480"/>
      </w:pPr>
      <w:r>
        <w:rPr>
          <w:rFonts w:hint="eastAsia"/>
        </w:rPr>
        <w:t>额定短时耐受电流：2</w:t>
      </w:r>
      <w:r>
        <w:t>50</w:t>
      </w:r>
      <w:r>
        <w:rPr>
          <w:rFonts w:hint="eastAsia"/>
        </w:rPr>
        <w:t>A小母线耐受电流15KA，4</w:t>
      </w:r>
      <w:r>
        <w:t>00</w:t>
      </w:r>
      <w:r>
        <w:rPr>
          <w:rFonts w:hint="eastAsia"/>
        </w:rPr>
        <w:t>A小母线耐受电流21.5KA</w:t>
      </w:r>
    </w:p>
    <w:p w14:paraId="467CFA32">
      <w:pPr>
        <w:ind w:left="-248" w:leftChars="-118" w:firstLine="480"/>
      </w:pPr>
      <w:r>
        <w:rPr>
          <w:rFonts w:hint="eastAsia"/>
        </w:rPr>
        <w:t>单个插接箱应具备6个单P支路空开输出或2个3P支路空开输出，支持单相或三相rPDU接入。</w:t>
      </w:r>
    </w:p>
    <w:p w14:paraId="43973A43">
      <w:pPr>
        <w:ind w:left="-248" w:leftChars="-118" w:firstLine="480"/>
      </w:pPr>
      <w:r>
        <w:rPr>
          <w:rFonts w:hint="eastAsia"/>
        </w:rPr>
        <w:t xml:space="preserve">相导体：L1/L2/L3/N/PE，内部母线为三相五线制，有单独的保护地排。 </w:t>
      </w:r>
    </w:p>
    <w:p w14:paraId="1BA2FDF9">
      <w:pPr>
        <w:ind w:left="-248" w:leftChars="-118" w:firstLine="480"/>
      </w:pPr>
      <w:r>
        <w:rPr>
          <w:rFonts w:hint="eastAsia"/>
        </w:rPr>
        <w:t>导体规格：满足强度、载流等要求，匹配插接箱插接件的兼容性设计。</w:t>
      </w:r>
    </w:p>
    <w:p w14:paraId="56F606EF">
      <w:pPr>
        <w:ind w:left="-248" w:leftChars="-118" w:firstLine="480"/>
      </w:pPr>
      <w:r>
        <w:rPr>
          <w:rFonts w:hint="eastAsia"/>
        </w:rPr>
        <w:t xml:space="preserve">母线应采用金属材质外壳，壳体表面外表颜色为黑色，壳体厚度不低于1.2mm； </w:t>
      </w:r>
    </w:p>
    <w:p w14:paraId="3774D19F">
      <w:pPr>
        <w:ind w:left="-248" w:leftChars="-118" w:firstLine="480"/>
      </w:pPr>
      <w:r>
        <w:rPr>
          <w:rFonts w:hint="eastAsia"/>
        </w:rPr>
        <w:t xml:space="preserve">导体采用优质铜排，铜+银含量大于99.95%； </w:t>
      </w:r>
    </w:p>
    <w:p w14:paraId="179A8F97">
      <w:pPr>
        <w:ind w:left="-248" w:leftChars="-118" w:firstLine="480"/>
      </w:pPr>
      <w:r>
        <w:rPr>
          <w:rFonts w:hint="eastAsia"/>
        </w:rPr>
        <w:t xml:space="preserve">母线槽支持多种安装方式，可吊装、柜顶安装，接插箱单元支持水平安装方式； </w:t>
      </w:r>
    </w:p>
    <w:p w14:paraId="1F834AA1">
      <w:pPr>
        <w:ind w:left="-248" w:leftChars="-118" w:firstLine="480"/>
      </w:pPr>
      <w:r>
        <w:rPr>
          <w:rFonts w:hint="eastAsia"/>
        </w:rPr>
        <w:t>母线槽应满足后期扩容需求，支持平滑扩容；</w:t>
      </w:r>
    </w:p>
    <w:p w14:paraId="0AD2D3DD">
      <w:pPr>
        <w:ind w:left="-248" w:leftChars="-118" w:firstLine="480"/>
      </w:pPr>
      <w:r>
        <w:rPr>
          <w:rFonts w:hint="eastAsia"/>
        </w:rPr>
        <w:t>母线槽应具备智能监测功能，实现供配电系统的智能化。支持北向FE接口(Modbus-MAC协议)和RS485(Modbus-RTU协议)，物理接口RJ45，支持远程查看运行参数和运行状态，设置告警阀值和告警级别</w:t>
      </w:r>
    </w:p>
    <w:p w14:paraId="551682CD">
      <w:pPr>
        <w:ind w:left="-248" w:leftChars="-118" w:firstLine="480"/>
      </w:pPr>
      <w:r>
        <w:rPr>
          <w:rFonts w:hint="eastAsia"/>
        </w:rPr>
        <w:t>插接箱支路开关16A/1P、40A/1P、63A/1P、40A/3P、63A/3P微断开关可选，插接箱与直线段水平插接。</w:t>
      </w:r>
    </w:p>
    <w:p w14:paraId="2A2D9178">
      <w:pPr>
        <w:pStyle w:val="2"/>
        <w:rPr>
          <w:rFonts w:ascii="宋体" w:hAnsi="宋体"/>
        </w:rPr>
      </w:pPr>
    </w:p>
    <w:p w14:paraId="0D797A80">
      <w:pPr>
        <w:pStyle w:val="76"/>
        <w:outlineLvl w:val="2"/>
      </w:pPr>
      <w:r>
        <w:rPr>
          <w:rFonts w:hint="eastAsia"/>
        </w:rPr>
        <w:t>电缆桥架要求</w:t>
      </w:r>
    </w:p>
    <w:p w14:paraId="6B704A5D">
      <w:pPr>
        <w:pStyle w:val="32"/>
        <w:rPr>
          <w:rFonts w:ascii="宋体" w:hAnsi="宋体"/>
        </w:rPr>
      </w:pPr>
      <w:r>
        <w:rPr>
          <w:rFonts w:hint="eastAsia" w:ascii="宋体" w:hAnsi="宋体"/>
        </w:rPr>
        <w:t>本项目中和电缆敷设内容范围匹配的所有桥架，桥架结构形式包含梯式和槽式。</w:t>
      </w:r>
    </w:p>
    <w:p w14:paraId="4AFD0C63">
      <w:pPr>
        <w:pStyle w:val="32"/>
        <w:rPr>
          <w:rFonts w:ascii="宋体" w:hAnsi="宋体"/>
        </w:rPr>
      </w:pPr>
      <w:r>
        <w:rPr>
          <w:rFonts w:hint="eastAsia" w:ascii="宋体" w:hAnsi="宋体"/>
        </w:rPr>
        <w:t>室外所有电力和控制桥架采用SUS304不锈钢桥架，室内高压桥架采用钢制热浸锌桥架，室内低压和控制桥架采用钢制喷塑桥架。</w:t>
      </w:r>
    </w:p>
    <w:p w14:paraId="2C6A7931">
      <w:pPr>
        <w:pStyle w:val="32"/>
        <w:rPr>
          <w:rFonts w:ascii="宋体" w:hAnsi="宋体"/>
        </w:rPr>
      </w:pPr>
      <w:r>
        <w:rPr>
          <w:rFonts w:hint="eastAsia" w:ascii="宋体" w:hAnsi="宋体"/>
        </w:rPr>
        <w:t>总体要求</w:t>
      </w:r>
    </w:p>
    <w:p w14:paraId="5476AC75">
      <w:pPr>
        <w:pStyle w:val="32"/>
        <w:numPr>
          <w:ilvl w:val="0"/>
          <w:numId w:val="8"/>
        </w:numPr>
        <w:ind w:firstLineChars="0"/>
        <w:rPr>
          <w:rFonts w:ascii="宋体" w:hAnsi="宋体"/>
        </w:rPr>
      </w:pPr>
      <w:r>
        <w:rPr>
          <w:rFonts w:hint="eastAsia" w:ascii="宋体" w:hAnsi="宋体"/>
        </w:rPr>
        <w:t>本项目所需的桥架必须强度大，结构轻，配线灵活，安装标准，维护检修方便、安全，造型美观，线形流畅，表面平整光洁，无毛刺，过烧，挂灰等，色彩协调。30年内满足不变形、不锈蚀、不褪色、不霉变的要求。</w:t>
      </w:r>
    </w:p>
    <w:p w14:paraId="15555D55">
      <w:pPr>
        <w:pStyle w:val="32"/>
        <w:numPr>
          <w:ilvl w:val="0"/>
          <w:numId w:val="8"/>
        </w:numPr>
        <w:ind w:firstLineChars="0"/>
        <w:rPr>
          <w:rFonts w:ascii="宋体" w:hAnsi="宋体"/>
        </w:rPr>
      </w:pPr>
      <w:r>
        <w:rPr>
          <w:rFonts w:hint="eastAsia" w:ascii="宋体" w:hAnsi="宋体"/>
        </w:rPr>
        <w:t>桥架焊缝应光滑平整，无气孔，夹渣，虚焊等缺陷。桥架断面应平整，无损伤电缆的尖角和突起。</w:t>
      </w:r>
    </w:p>
    <w:p w14:paraId="44DBE18D">
      <w:pPr>
        <w:pStyle w:val="32"/>
        <w:numPr>
          <w:ilvl w:val="0"/>
          <w:numId w:val="8"/>
        </w:numPr>
        <w:ind w:firstLineChars="0"/>
        <w:rPr>
          <w:rFonts w:ascii="宋体" w:hAnsi="宋体"/>
        </w:rPr>
      </w:pPr>
      <w:r>
        <w:rPr>
          <w:rFonts w:hint="eastAsia" w:ascii="宋体" w:hAnsi="宋体"/>
        </w:rPr>
        <w:t>相同桥架和相同部件的结构、性能参数、尺寸和公差配合，应完全相同，保证互换性。</w:t>
      </w:r>
    </w:p>
    <w:p w14:paraId="5C54F34F">
      <w:pPr>
        <w:pStyle w:val="32"/>
        <w:numPr>
          <w:ilvl w:val="0"/>
          <w:numId w:val="8"/>
        </w:numPr>
        <w:ind w:firstLineChars="0"/>
        <w:rPr>
          <w:rFonts w:ascii="宋体" w:hAnsi="宋体"/>
        </w:rPr>
      </w:pPr>
      <w:r>
        <w:rPr>
          <w:rFonts w:hint="eastAsia" w:ascii="宋体" w:hAnsi="宋体"/>
        </w:rPr>
        <w:t>用于制造桥架的所有材料（包括焊接材料）必须符合国家标准，并提供主要材料的材质报告和出厂合格证。材质应符合GB/T700和GB/T11253中的有关规定。</w:t>
      </w:r>
    </w:p>
    <w:p w14:paraId="73757A17">
      <w:pPr>
        <w:pStyle w:val="32"/>
        <w:numPr>
          <w:ilvl w:val="0"/>
          <w:numId w:val="8"/>
        </w:numPr>
        <w:ind w:firstLineChars="0"/>
        <w:rPr>
          <w:rFonts w:ascii="宋体" w:hAnsi="宋体"/>
        </w:rPr>
      </w:pPr>
      <w:r>
        <w:rPr>
          <w:rFonts w:hint="eastAsia" w:ascii="宋体" w:hAnsi="宋体"/>
        </w:rPr>
        <w:t>制造桥架及其附件的钢板均为冷轧钢板和不锈钢板SUS304，户外桥架采用不锈钢桥架，户内地下室等潮湿环境采用热镀锌冷轧钢制桥架，户内干燥区域采用喷塑冷轧钢制桥架。</w:t>
      </w:r>
    </w:p>
    <w:p w14:paraId="683EE7D8">
      <w:pPr>
        <w:pStyle w:val="32"/>
        <w:numPr>
          <w:ilvl w:val="0"/>
          <w:numId w:val="8"/>
        </w:numPr>
        <w:ind w:firstLineChars="0"/>
        <w:rPr>
          <w:rFonts w:ascii="宋体" w:hAnsi="宋体"/>
        </w:rPr>
      </w:pPr>
      <w:r>
        <w:rPr>
          <w:rFonts w:hint="eastAsia" w:ascii="宋体" w:hAnsi="宋体"/>
        </w:rPr>
        <w:t>钢板厚度要求具体如下：</w:t>
      </w:r>
    </w:p>
    <w:p w14:paraId="41EDE59F">
      <w:pPr>
        <w:pStyle w:val="32"/>
        <w:rPr>
          <w:rFonts w:ascii="宋体" w:hAnsi="宋体"/>
        </w:rPr>
      </w:pPr>
      <w:r>
        <w:rPr>
          <w:rFonts w:hint="eastAsia" w:ascii="宋体" w:hAnsi="宋体"/>
        </w:rPr>
        <w:t>电缆桥架宽度≤200mm及以下时，厚度不得小于1.5mm;</w:t>
      </w:r>
    </w:p>
    <w:p w14:paraId="386F85A0">
      <w:pPr>
        <w:pStyle w:val="32"/>
        <w:rPr>
          <w:rFonts w:ascii="宋体" w:hAnsi="宋体"/>
        </w:rPr>
      </w:pPr>
      <w:r>
        <w:rPr>
          <w:rFonts w:hint="eastAsia" w:ascii="宋体" w:hAnsi="宋体"/>
        </w:rPr>
        <w:t>200mm&lt;电缆桥架宽度&lt;500mm时，厚度不得小于2mm;</w:t>
      </w:r>
    </w:p>
    <w:p w14:paraId="0A0D0C85">
      <w:pPr>
        <w:pStyle w:val="32"/>
        <w:rPr>
          <w:rFonts w:ascii="宋体" w:hAnsi="宋体"/>
        </w:rPr>
      </w:pPr>
      <w:r>
        <w:rPr>
          <w:rFonts w:hint="eastAsia" w:ascii="宋体" w:hAnsi="宋体"/>
        </w:rPr>
        <w:t>500mm&lt;电缆桥架宽度&lt;800mm时，厚度不得小于2.5mm;</w:t>
      </w:r>
    </w:p>
    <w:p w14:paraId="7E1D3A22">
      <w:pPr>
        <w:pStyle w:val="32"/>
        <w:rPr>
          <w:rFonts w:ascii="宋体" w:hAnsi="宋体"/>
        </w:rPr>
      </w:pPr>
      <w:r>
        <w:rPr>
          <w:rFonts w:hint="eastAsia" w:ascii="宋体" w:hAnsi="宋体"/>
        </w:rPr>
        <w:t>电缆桥架宽度≥800mm时，厚度不得小于3mm；</w:t>
      </w:r>
    </w:p>
    <w:p w14:paraId="5B4B4303">
      <w:pPr>
        <w:pStyle w:val="32"/>
        <w:numPr>
          <w:ilvl w:val="0"/>
          <w:numId w:val="8"/>
        </w:numPr>
        <w:ind w:firstLineChars="0"/>
        <w:rPr>
          <w:rFonts w:ascii="宋体" w:hAnsi="宋体"/>
        </w:rPr>
      </w:pPr>
      <w:r>
        <w:rPr>
          <w:rFonts w:hint="eastAsia" w:ascii="宋体" w:hAnsi="宋体"/>
        </w:rPr>
        <w:t>梯式桥架的托臂的厚度与对应的桥架厚度选择同一个等级;</w:t>
      </w:r>
    </w:p>
    <w:p w14:paraId="26E19A38">
      <w:pPr>
        <w:pStyle w:val="32"/>
        <w:numPr>
          <w:ilvl w:val="0"/>
          <w:numId w:val="8"/>
        </w:numPr>
        <w:ind w:firstLineChars="0"/>
        <w:rPr>
          <w:rFonts w:ascii="宋体" w:hAnsi="宋体"/>
        </w:rPr>
      </w:pPr>
      <w:r>
        <w:rPr>
          <w:rFonts w:hint="eastAsia" w:ascii="宋体" w:hAnsi="宋体"/>
        </w:rPr>
        <w:t>所有桥架都需要安装盖板，盖板的厚度与对应的桥架厚度可以降低一个等级。</w:t>
      </w:r>
    </w:p>
    <w:p w14:paraId="327D2CF0">
      <w:pPr>
        <w:pStyle w:val="32"/>
        <w:numPr>
          <w:ilvl w:val="0"/>
          <w:numId w:val="8"/>
        </w:numPr>
        <w:ind w:firstLineChars="0"/>
        <w:rPr>
          <w:rFonts w:ascii="宋体" w:hAnsi="宋体"/>
        </w:rPr>
      </w:pPr>
      <w:r>
        <w:rPr>
          <w:rFonts w:hint="eastAsia" w:ascii="宋体" w:hAnsi="宋体"/>
        </w:rPr>
        <w:t>冷轧钢板桥架表面处理方式为热镀锌和喷塑，桥架需在加工，焊接等全部完成以后进行整体热镀锌和喷塑，热镀锌层厚度不小于65微米。</w:t>
      </w:r>
    </w:p>
    <w:p w14:paraId="0308D452">
      <w:pPr>
        <w:pStyle w:val="32"/>
        <w:numPr>
          <w:ilvl w:val="0"/>
          <w:numId w:val="8"/>
        </w:numPr>
        <w:ind w:firstLineChars="0"/>
        <w:rPr>
          <w:rFonts w:ascii="宋体" w:hAnsi="宋体"/>
        </w:rPr>
      </w:pPr>
      <w:r>
        <w:rPr>
          <w:rFonts w:hint="eastAsia" w:ascii="宋体" w:hAnsi="宋体"/>
        </w:rPr>
        <w:t>梯式桥架对于现场桥架跨距大于6米的情况，需采用大跨距加强型桥架，槽式桥架不得采用大跨距。</w:t>
      </w:r>
    </w:p>
    <w:p w14:paraId="0893EF6B">
      <w:pPr>
        <w:pStyle w:val="32"/>
        <w:numPr>
          <w:ilvl w:val="0"/>
          <w:numId w:val="8"/>
        </w:numPr>
        <w:ind w:firstLineChars="0"/>
        <w:rPr>
          <w:rFonts w:ascii="宋体" w:hAnsi="宋体"/>
        </w:rPr>
      </w:pPr>
      <w:r>
        <w:rPr>
          <w:rFonts w:hint="eastAsia" w:ascii="宋体" w:hAnsi="宋体"/>
        </w:rPr>
        <w:t>桥架的附件（弯头三通等）采用成品，不得现场制作，附件材质颜色和表面处理方式和直线段一致。</w:t>
      </w:r>
    </w:p>
    <w:p w14:paraId="264BA9AE">
      <w:pPr>
        <w:pStyle w:val="32"/>
        <w:numPr>
          <w:ilvl w:val="0"/>
          <w:numId w:val="8"/>
        </w:numPr>
        <w:ind w:firstLineChars="0"/>
        <w:rPr>
          <w:rFonts w:ascii="宋体" w:hAnsi="宋体"/>
        </w:rPr>
      </w:pPr>
      <w:r>
        <w:rPr>
          <w:rFonts w:hint="eastAsia" w:ascii="宋体" w:hAnsi="宋体"/>
        </w:rPr>
        <w:t>桥架盖板（如有），严禁使用自攻螺丝固定方式，外挂扣严禁入侵桥架内部。</w:t>
      </w:r>
    </w:p>
    <w:p w14:paraId="7C4D610D">
      <w:pPr>
        <w:pStyle w:val="32"/>
        <w:numPr>
          <w:ilvl w:val="0"/>
          <w:numId w:val="8"/>
        </w:numPr>
        <w:ind w:firstLineChars="0"/>
        <w:rPr>
          <w:rFonts w:ascii="宋体" w:hAnsi="宋体"/>
        </w:rPr>
      </w:pPr>
      <w:r>
        <w:rPr>
          <w:rFonts w:hint="eastAsia" w:ascii="宋体" w:hAnsi="宋体"/>
        </w:rPr>
        <w:t>连接片，桥架采用连接片固定两侧，连接片材质厚度和桥架本体一致，需提供足够的连接片，螺栓，螺母，铜编织跨接线等附件。</w:t>
      </w:r>
    </w:p>
    <w:p w14:paraId="08F6AF46">
      <w:pPr>
        <w:pStyle w:val="32"/>
        <w:numPr>
          <w:ilvl w:val="0"/>
          <w:numId w:val="8"/>
        </w:numPr>
        <w:ind w:firstLineChars="0"/>
        <w:rPr>
          <w:rFonts w:ascii="宋体" w:hAnsi="宋体"/>
        </w:rPr>
      </w:pPr>
      <w:r>
        <w:rPr>
          <w:rFonts w:hint="eastAsia" w:ascii="宋体" w:hAnsi="宋体"/>
        </w:rPr>
        <w:t>电缆桥架的强度、承载能力等应满足在可能的受力荷载（包括电缆及其附件自重、敷设的电缆以及安装荷载）下不产生永久变形等受力要求。具体为:</w:t>
      </w:r>
    </w:p>
    <w:p w14:paraId="2934A5A5">
      <w:pPr>
        <w:pStyle w:val="32"/>
        <w:numPr>
          <w:ilvl w:val="0"/>
          <w:numId w:val="8"/>
        </w:numPr>
        <w:ind w:firstLineChars="0"/>
        <w:rPr>
          <w:rFonts w:ascii="宋体" w:hAnsi="宋体"/>
        </w:rPr>
      </w:pPr>
      <w:r>
        <w:rPr>
          <w:rFonts w:hint="eastAsia" w:ascii="宋体" w:hAnsi="宋体"/>
        </w:rPr>
        <w:t>短暂上人的附加集中荷载为900N;</w:t>
      </w:r>
    </w:p>
    <w:p w14:paraId="2B6041DC">
      <w:pPr>
        <w:pStyle w:val="32"/>
        <w:numPr>
          <w:ilvl w:val="0"/>
          <w:numId w:val="8"/>
        </w:numPr>
        <w:ind w:firstLineChars="0"/>
        <w:rPr>
          <w:rFonts w:ascii="宋体" w:hAnsi="宋体"/>
        </w:rPr>
      </w:pPr>
      <w:r>
        <w:rPr>
          <w:rFonts w:hint="eastAsia" w:ascii="宋体" w:hAnsi="宋体"/>
        </w:rPr>
        <w:t>安全系数应大于1.5；</w:t>
      </w:r>
    </w:p>
    <w:p w14:paraId="4CD260D9">
      <w:pPr>
        <w:pStyle w:val="32"/>
        <w:numPr>
          <w:ilvl w:val="0"/>
          <w:numId w:val="8"/>
        </w:numPr>
        <w:ind w:firstLineChars="0"/>
        <w:rPr>
          <w:rFonts w:ascii="宋体" w:hAnsi="宋体"/>
        </w:rPr>
      </w:pPr>
      <w:r>
        <w:rPr>
          <w:rFonts w:hint="eastAsia" w:ascii="宋体" w:hAnsi="宋体"/>
        </w:rPr>
        <w:t>允许均布承载作用下的相对挠度值不大于1/200。</w:t>
      </w:r>
    </w:p>
    <w:p w14:paraId="537279A6">
      <w:pPr>
        <w:pStyle w:val="32"/>
        <w:numPr>
          <w:ilvl w:val="0"/>
          <w:numId w:val="8"/>
        </w:numPr>
        <w:ind w:firstLineChars="0"/>
        <w:rPr>
          <w:rFonts w:ascii="宋体" w:hAnsi="宋体"/>
        </w:rPr>
      </w:pPr>
      <w:r>
        <w:rPr>
          <w:rFonts w:hint="eastAsia" w:ascii="宋体" w:hAnsi="宋体"/>
        </w:rPr>
        <w:t>桥架施工要求</w:t>
      </w:r>
    </w:p>
    <w:p w14:paraId="7353446B">
      <w:pPr>
        <w:pStyle w:val="32"/>
        <w:numPr>
          <w:ilvl w:val="0"/>
          <w:numId w:val="8"/>
        </w:numPr>
        <w:ind w:firstLineChars="0"/>
        <w:rPr>
          <w:rFonts w:ascii="宋体" w:hAnsi="宋体"/>
        </w:rPr>
      </w:pPr>
      <w:r>
        <w:rPr>
          <w:rFonts w:hint="eastAsia" w:ascii="宋体" w:hAnsi="宋体"/>
        </w:rPr>
        <w:t>桥架施工前在平面图上绘出桥架的路由，要注明桥架起点、终点、拐弯点、分支点及升降点的定位尺寸、标高，如能绘制桥架敷设轴测图，则对材料统计将更精确。直线段：注明全长、桥架层数、标高、型号及规格。拐弯点和分支点：注明所用转弯接板的型号及规格。升降段：注明标高变化。施工前需确认好支架安装位置和支架的规格尺寸。</w:t>
      </w:r>
    </w:p>
    <w:p w14:paraId="76E12134">
      <w:pPr>
        <w:pStyle w:val="32"/>
        <w:numPr>
          <w:ilvl w:val="0"/>
          <w:numId w:val="8"/>
        </w:numPr>
        <w:ind w:firstLineChars="0"/>
        <w:rPr>
          <w:rFonts w:ascii="宋体" w:hAnsi="宋体"/>
        </w:rPr>
      </w:pPr>
      <w:r>
        <w:rPr>
          <w:rFonts w:hint="eastAsia" w:ascii="宋体" w:hAnsi="宋体"/>
        </w:rPr>
        <w:t>桥架支架和安装附件全部采用热镀锌件，如有焊接，需进行防锈防腐处理。</w:t>
      </w:r>
    </w:p>
    <w:p w14:paraId="3B2FF271">
      <w:pPr>
        <w:pStyle w:val="32"/>
        <w:numPr>
          <w:ilvl w:val="0"/>
          <w:numId w:val="8"/>
        </w:numPr>
        <w:ind w:firstLineChars="0"/>
        <w:rPr>
          <w:rFonts w:ascii="宋体" w:hAnsi="宋体"/>
        </w:rPr>
      </w:pPr>
      <w:r>
        <w:rPr>
          <w:rFonts w:hint="eastAsia" w:ascii="宋体" w:hAnsi="宋体"/>
        </w:rPr>
        <w:t>电缆桥架安装应保持水平和垂直，每个支架受力均匀。</w:t>
      </w:r>
    </w:p>
    <w:p w14:paraId="792BF85C">
      <w:pPr>
        <w:pStyle w:val="32"/>
        <w:numPr>
          <w:ilvl w:val="0"/>
          <w:numId w:val="8"/>
        </w:numPr>
        <w:ind w:firstLineChars="0"/>
        <w:rPr>
          <w:rFonts w:ascii="宋体" w:hAnsi="宋体"/>
        </w:rPr>
      </w:pPr>
      <w:r>
        <w:rPr>
          <w:rFonts w:hint="eastAsia" w:ascii="宋体" w:hAnsi="宋体"/>
        </w:rPr>
        <w:t>电缆桥架每隔30米必须有一处接地。</w:t>
      </w:r>
    </w:p>
    <w:p w14:paraId="1866A804">
      <w:pPr>
        <w:pStyle w:val="32"/>
        <w:numPr>
          <w:ilvl w:val="0"/>
          <w:numId w:val="8"/>
        </w:numPr>
        <w:ind w:firstLineChars="0"/>
        <w:rPr>
          <w:rFonts w:ascii="宋体" w:hAnsi="宋体"/>
        </w:rPr>
      </w:pPr>
      <w:r>
        <w:rPr>
          <w:rFonts w:hint="eastAsia" w:ascii="宋体" w:hAnsi="宋体"/>
        </w:rPr>
        <w:t>两组电缆桥架在同一高度平行敷设时，其间净距不小于0.6m。</w:t>
      </w:r>
    </w:p>
    <w:p w14:paraId="36AE6220">
      <w:pPr>
        <w:pStyle w:val="32"/>
        <w:numPr>
          <w:ilvl w:val="0"/>
          <w:numId w:val="8"/>
        </w:numPr>
        <w:ind w:firstLineChars="0"/>
        <w:rPr>
          <w:rFonts w:ascii="宋体" w:hAnsi="宋体"/>
        </w:rPr>
      </w:pPr>
      <w:r>
        <w:rPr>
          <w:rFonts w:hint="eastAsia" w:ascii="宋体" w:hAnsi="宋体"/>
        </w:rPr>
        <w:t>桥架水平敷设时，支撑间距一般为1.5-3米，垂直敷设时固定在建筑物构体上的间距宜小于2米。</w:t>
      </w:r>
    </w:p>
    <w:p w14:paraId="2BF66607">
      <w:pPr>
        <w:pStyle w:val="32"/>
        <w:numPr>
          <w:ilvl w:val="0"/>
          <w:numId w:val="8"/>
        </w:numPr>
        <w:ind w:firstLineChars="0"/>
        <w:rPr>
          <w:rFonts w:ascii="宋体" w:hAnsi="宋体"/>
        </w:rPr>
      </w:pPr>
      <w:r>
        <w:rPr>
          <w:rFonts w:hint="eastAsia" w:ascii="宋体" w:hAnsi="宋体"/>
        </w:rPr>
        <w:t>电缆引下点位置及引下方式，大批电缆引下需用垂直弯接板和垂直引上架，不得用直线段直接引下。</w:t>
      </w:r>
    </w:p>
    <w:p w14:paraId="11747069">
      <w:pPr>
        <w:pStyle w:val="32"/>
        <w:numPr>
          <w:ilvl w:val="0"/>
          <w:numId w:val="8"/>
        </w:numPr>
        <w:ind w:firstLineChars="0"/>
        <w:rPr>
          <w:rFonts w:ascii="宋体" w:hAnsi="宋体"/>
        </w:rPr>
      </w:pPr>
      <w:r>
        <w:rPr>
          <w:rFonts w:hint="eastAsia" w:ascii="宋体" w:hAnsi="宋体"/>
        </w:rPr>
        <w:t>电缆桥架需高出地面2.2米以上，桥架顶部距顶棚或其他障碍物不应小于0.3米，桥架宽度不宜小于0.1米，桥架内横断面的填充率不应超过40%。</w:t>
      </w:r>
    </w:p>
    <w:p w14:paraId="56A8FE6D">
      <w:pPr>
        <w:pStyle w:val="32"/>
        <w:numPr>
          <w:ilvl w:val="0"/>
          <w:numId w:val="8"/>
        </w:numPr>
        <w:ind w:firstLineChars="0"/>
        <w:rPr>
          <w:rFonts w:ascii="宋体" w:hAnsi="宋体"/>
        </w:rPr>
      </w:pPr>
      <w:r>
        <w:rPr>
          <w:rFonts w:hint="eastAsia" w:ascii="宋体" w:hAnsi="宋体"/>
        </w:rPr>
        <w:t>电缆桥架内缆线垂直敷设时，在缆线的上端和每间隔1.5米处应固定桥架的支架上，水平敷设时在缆线的首、尾、转弯及每间隔3-5米处进行固定。</w:t>
      </w:r>
    </w:p>
    <w:p w14:paraId="352A9866">
      <w:pPr>
        <w:pStyle w:val="32"/>
        <w:numPr>
          <w:ilvl w:val="0"/>
          <w:numId w:val="8"/>
        </w:numPr>
        <w:ind w:firstLineChars="0"/>
        <w:rPr>
          <w:rFonts w:ascii="宋体" w:hAnsi="宋体"/>
        </w:rPr>
      </w:pPr>
      <w:r>
        <w:rPr>
          <w:rFonts w:hint="eastAsia" w:ascii="宋体" w:hAnsi="宋体"/>
        </w:rPr>
        <w:t>布放在水平槽式桥架内的缆线可以不绑扎，槽内缆线应顺直尽量不交叉。缆线不应溢出线槽，在缆线进出线槽部位转弯处应绑扎固定。垂直线槽布放缆线应每间隔1.5米固定在支架上。</w:t>
      </w:r>
    </w:p>
    <w:p w14:paraId="5DE57C42">
      <w:pPr>
        <w:pStyle w:val="76"/>
        <w:outlineLvl w:val="2"/>
      </w:pPr>
      <w:r>
        <w:rPr>
          <w:rFonts w:hint="eastAsia"/>
        </w:rPr>
        <w:t>电缆要求</w:t>
      </w:r>
    </w:p>
    <w:p w14:paraId="6CBFC796">
      <w:pPr>
        <w:pStyle w:val="32"/>
        <w:numPr>
          <w:ilvl w:val="0"/>
          <w:numId w:val="8"/>
        </w:numPr>
        <w:ind w:firstLineChars="0"/>
        <w:rPr>
          <w:rFonts w:ascii="宋体" w:hAnsi="宋体"/>
        </w:rPr>
      </w:pPr>
      <w:r>
        <w:rPr>
          <w:rFonts w:hint="eastAsia" w:ascii="宋体" w:hAnsi="宋体"/>
        </w:rPr>
        <w:t>对导体的要求：全部使用铜导体，导体结构和性能参数应符合现行国家标准《电工铜圆线&gt;&gt;GB/T3953、《电缆的导体&gt;&gt;GB/T3956。铜纯度不小于99.95%。导体表面应光洁、无油污、无损伤绝缘的毛刺、锐边，无凸起或断裂。</w:t>
      </w:r>
    </w:p>
    <w:p w14:paraId="5BD8958D">
      <w:pPr>
        <w:pStyle w:val="32"/>
        <w:numPr>
          <w:ilvl w:val="0"/>
          <w:numId w:val="8"/>
        </w:numPr>
        <w:ind w:firstLineChars="0"/>
        <w:rPr>
          <w:rFonts w:ascii="宋体" w:hAnsi="宋体"/>
        </w:rPr>
      </w:pPr>
      <w:r>
        <w:rPr>
          <w:rFonts w:hint="eastAsia" w:ascii="宋体" w:hAnsi="宋体"/>
        </w:rPr>
        <w:t>内衬层与填充要求：内衬层可以挤包或绕包：除五芯以上电缆外，圆形绝缘线芯电缆只有在绝缘线芯间的间隙被密实填充时，才可采用绕包内衬层，用于内衬层和填充物的材料应适合电缆的运行温度并和电缆绝缘材料相容。</w:t>
      </w:r>
    </w:p>
    <w:p w14:paraId="76773656">
      <w:pPr>
        <w:pStyle w:val="32"/>
        <w:numPr>
          <w:ilvl w:val="0"/>
          <w:numId w:val="8"/>
        </w:numPr>
        <w:ind w:firstLineChars="0"/>
        <w:rPr>
          <w:rFonts w:ascii="宋体" w:hAnsi="宋体"/>
        </w:rPr>
      </w:pPr>
      <w:r>
        <w:rPr>
          <w:rFonts w:hint="eastAsia" w:ascii="宋体" w:hAnsi="宋体"/>
        </w:rPr>
        <w:t>绝缘要求：绝缘材料采用交联聚乙烯材质，绝缘标称厚度应符合GB/T12706.1-2008、GB/T12527-2008，绝缘表面应光滑，色泽均匀：绝缘层的横断面上应无目力可见的气泡和沙眼等缺陷，禁止使用重新（二次）处理过的绝缘材料。</w:t>
      </w:r>
    </w:p>
    <w:p w14:paraId="08141781">
      <w:pPr>
        <w:pStyle w:val="32"/>
        <w:numPr>
          <w:ilvl w:val="0"/>
          <w:numId w:val="8"/>
        </w:numPr>
        <w:ind w:firstLineChars="0"/>
        <w:rPr>
          <w:rFonts w:ascii="宋体" w:hAnsi="宋体"/>
        </w:rPr>
      </w:pPr>
      <w:r>
        <w:rPr>
          <w:rFonts w:hint="eastAsia" w:ascii="宋体" w:hAnsi="宋体"/>
        </w:rPr>
        <w:t>护套要求：所有低压电缆应有外护套，护套材料使用交联聚乙烯，应有良好的防腐蚀、防蚁、防潮和阻燃性能。外护套通常为黑色，应与规定的电缆运行温度相适应。外护套应经受规定的火花试验。</w:t>
      </w:r>
    </w:p>
    <w:p w14:paraId="269773EC">
      <w:pPr>
        <w:pStyle w:val="32"/>
        <w:numPr>
          <w:ilvl w:val="0"/>
          <w:numId w:val="8"/>
        </w:numPr>
        <w:ind w:firstLineChars="0"/>
        <w:rPr>
          <w:rFonts w:ascii="宋体" w:hAnsi="宋体"/>
        </w:rPr>
      </w:pPr>
      <w:r>
        <w:rPr>
          <w:rFonts w:hint="eastAsia" w:ascii="宋体" w:hAnsi="宋体"/>
        </w:rPr>
        <w:t>铠装要求：所有直埋敷设和有机械外力的电缆，采用铠装电缆，铠装类型为双金属带铠装。单芯电力电缆，当需要采用铠装时，应选用非磁性金属铠装层，不得选用未经非磁性有效处理的钢制铠装。</w:t>
      </w:r>
    </w:p>
    <w:p w14:paraId="0477B91B">
      <w:pPr>
        <w:pStyle w:val="32"/>
        <w:numPr>
          <w:ilvl w:val="0"/>
          <w:numId w:val="8"/>
        </w:numPr>
        <w:ind w:firstLineChars="0"/>
        <w:rPr>
          <w:rFonts w:ascii="宋体" w:hAnsi="宋体"/>
        </w:rPr>
      </w:pPr>
      <w:r>
        <w:rPr>
          <w:rFonts w:hint="eastAsia" w:ascii="宋体" w:hAnsi="宋体"/>
        </w:rPr>
        <w:t>阻燃要求：本工程所有电缆需采用阻燃A级电缆。</w:t>
      </w:r>
    </w:p>
    <w:p w14:paraId="6268F027">
      <w:pPr>
        <w:pStyle w:val="32"/>
        <w:numPr>
          <w:ilvl w:val="0"/>
          <w:numId w:val="8"/>
        </w:numPr>
        <w:ind w:firstLineChars="0"/>
        <w:rPr>
          <w:rFonts w:ascii="宋体" w:hAnsi="宋体"/>
        </w:rPr>
      </w:pPr>
      <w:r>
        <w:rPr>
          <w:rFonts w:hint="eastAsia" w:ascii="宋体" w:hAnsi="宋体"/>
        </w:rPr>
        <w:t>耐火要求：本工程所有消防设施和重要应急设施的电缆需采用耐火电缆，耐火电缆符合现行行业标准《阻燃及耐火电缆塑料绝缘阻燃及耐火电缆分级及要求第2部分:耐火电缆》GA306.2规定的A类耐火电缆。</w:t>
      </w:r>
    </w:p>
    <w:p w14:paraId="4276725B">
      <w:pPr>
        <w:pStyle w:val="32"/>
        <w:numPr>
          <w:ilvl w:val="0"/>
          <w:numId w:val="8"/>
        </w:numPr>
        <w:ind w:firstLineChars="0"/>
        <w:rPr>
          <w:rFonts w:ascii="宋体" w:hAnsi="宋体"/>
        </w:rPr>
      </w:pPr>
      <w:r>
        <w:rPr>
          <w:rFonts w:hint="eastAsia" w:ascii="宋体" w:hAnsi="宋体"/>
        </w:rPr>
        <w:t>电缆盘要求：电缆盘应用铁木结构电缆盘，并应能承受所有在运输、现场搬运或在任何气象条件下户外至少储存3年期间可能遭受的外力作用。电缆盘应承受在施工或处理电缆时可能遭受的外作用力不会损伤电缆及盘本身，电缆盘简体最小直径应符合电缆最小弯曲半径。</w:t>
      </w:r>
    </w:p>
    <w:p w14:paraId="62170D98">
      <w:pPr>
        <w:pStyle w:val="32"/>
        <w:numPr>
          <w:ilvl w:val="0"/>
          <w:numId w:val="8"/>
        </w:numPr>
        <w:ind w:firstLineChars="0"/>
        <w:rPr>
          <w:rFonts w:ascii="宋体" w:hAnsi="宋体"/>
        </w:rPr>
      </w:pPr>
      <w:r>
        <w:rPr>
          <w:rFonts w:hint="eastAsia" w:ascii="宋体" w:hAnsi="宋体"/>
        </w:rPr>
        <w:t>电缆施工要求</w:t>
      </w:r>
    </w:p>
    <w:p w14:paraId="5FA9F5C3">
      <w:pPr>
        <w:pStyle w:val="32"/>
        <w:numPr>
          <w:ilvl w:val="0"/>
          <w:numId w:val="8"/>
        </w:numPr>
        <w:ind w:firstLineChars="0"/>
        <w:rPr>
          <w:rFonts w:ascii="宋体" w:hAnsi="宋体"/>
        </w:rPr>
      </w:pPr>
      <w:r>
        <w:rPr>
          <w:rFonts w:hint="eastAsia" w:ascii="宋体" w:hAnsi="宋体"/>
        </w:rPr>
        <w:t>电缆敷设前，需要做好详细的施工方案和应急预案，需对现场环境进行有效的查看，桥架路径中，如发现有突出物，应当做好防护，对电缆外观进行检查，如发现破损，不得施工。</w:t>
      </w:r>
    </w:p>
    <w:p w14:paraId="38E2D04D">
      <w:pPr>
        <w:pStyle w:val="32"/>
        <w:numPr>
          <w:ilvl w:val="0"/>
          <w:numId w:val="8"/>
        </w:numPr>
        <w:ind w:firstLineChars="0"/>
        <w:rPr>
          <w:rFonts w:ascii="宋体" w:hAnsi="宋体"/>
        </w:rPr>
      </w:pPr>
      <w:r>
        <w:rPr>
          <w:rFonts w:hint="eastAsia" w:ascii="宋体" w:hAnsi="宋体"/>
        </w:rPr>
        <w:t>电缆在桥架中布置合理，整齐，走向清楚，方便辨认路径。</w:t>
      </w:r>
    </w:p>
    <w:p w14:paraId="19DE9F46">
      <w:pPr>
        <w:pStyle w:val="32"/>
        <w:numPr>
          <w:ilvl w:val="0"/>
          <w:numId w:val="8"/>
        </w:numPr>
        <w:ind w:firstLineChars="0"/>
        <w:rPr>
          <w:rFonts w:ascii="宋体" w:hAnsi="宋体"/>
        </w:rPr>
      </w:pPr>
      <w:r>
        <w:rPr>
          <w:rFonts w:hint="eastAsia" w:ascii="宋体" w:hAnsi="宋体"/>
        </w:rPr>
        <w:t>电缆敷设需固定可靠，电缆无折叠、扭绞、死弯和磨损的线段。</w:t>
      </w:r>
    </w:p>
    <w:p w14:paraId="27F6EAEF">
      <w:pPr>
        <w:pStyle w:val="32"/>
        <w:numPr>
          <w:ilvl w:val="0"/>
          <w:numId w:val="8"/>
        </w:numPr>
        <w:ind w:firstLineChars="0"/>
        <w:rPr>
          <w:rFonts w:ascii="宋体" w:hAnsi="宋体"/>
        </w:rPr>
      </w:pPr>
      <w:r>
        <w:rPr>
          <w:rFonts w:hint="eastAsia" w:ascii="宋体" w:hAnsi="宋体"/>
        </w:rPr>
        <w:t>电缆敷设时，电缆的弯曲半径大于20D，极端情况不得小于15D。</w:t>
      </w:r>
    </w:p>
    <w:p w14:paraId="0DDCA87E">
      <w:pPr>
        <w:pStyle w:val="32"/>
        <w:numPr>
          <w:ilvl w:val="0"/>
          <w:numId w:val="8"/>
        </w:numPr>
        <w:ind w:firstLineChars="0"/>
        <w:rPr>
          <w:rFonts w:ascii="宋体" w:hAnsi="宋体"/>
        </w:rPr>
      </w:pPr>
      <w:r>
        <w:rPr>
          <w:rFonts w:hint="eastAsia" w:ascii="宋体" w:hAnsi="宋体"/>
        </w:rPr>
        <w:t>电缆敷设在桥架内，不超过两层，且双层敷设时，电缆载流量需按规范要求折减。</w:t>
      </w:r>
    </w:p>
    <w:p w14:paraId="6C217A80">
      <w:pPr>
        <w:pStyle w:val="32"/>
        <w:numPr>
          <w:ilvl w:val="0"/>
          <w:numId w:val="8"/>
        </w:numPr>
        <w:ind w:firstLineChars="0"/>
        <w:rPr>
          <w:rFonts w:ascii="宋体" w:hAnsi="宋体"/>
        </w:rPr>
      </w:pPr>
      <w:r>
        <w:rPr>
          <w:rFonts w:hint="eastAsia" w:ascii="宋体" w:hAnsi="宋体"/>
        </w:rPr>
        <w:t>屋外直埋敷设的主电缆需采用铠装电缆，敷设的电缆沟深度不小于700mm，沟底无杂物，无硬物，铺100mm厚细沙层，电缆敷设后，再铺100mm厚细沙层，然后覆盖混凝土保护板，保护板超过电缆两侧各50mm并有明显标识，覆土后应在地面设置电缆走向标识。</w:t>
      </w:r>
    </w:p>
    <w:p w14:paraId="5E8C1441">
      <w:pPr>
        <w:pStyle w:val="32"/>
        <w:numPr>
          <w:ilvl w:val="0"/>
          <w:numId w:val="8"/>
        </w:numPr>
        <w:ind w:firstLineChars="0"/>
        <w:rPr>
          <w:rFonts w:ascii="宋体" w:hAnsi="宋体"/>
        </w:rPr>
      </w:pPr>
      <w:r>
        <w:rPr>
          <w:rFonts w:hint="eastAsia" w:ascii="宋体" w:hAnsi="宋体"/>
        </w:rPr>
        <w:t>直埋电缆过厂区道路需穿镀锌钢管，单芯电缆不得单根穿过钢管。</w:t>
      </w:r>
    </w:p>
    <w:p w14:paraId="1BADD2E8">
      <w:pPr>
        <w:pStyle w:val="32"/>
        <w:numPr>
          <w:ilvl w:val="0"/>
          <w:numId w:val="8"/>
        </w:numPr>
        <w:ind w:firstLineChars="0"/>
        <w:rPr>
          <w:rFonts w:ascii="宋体" w:hAnsi="宋体"/>
        </w:rPr>
      </w:pPr>
      <w:r>
        <w:rPr>
          <w:rFonts w:hint="eastAsia" w:ascii="宋体" w:hAnsi="宋体"/>
        </w:rPr>
        <w:t>电缆头在盘柜内压接不得使盘柜内铜排有应力，必须把电缆弯到位置后才可用螺栓连接。</w:t>
      </w:r>
    </w:p>
    <w:p w14:paraId="0015184F">
      <w:pPr>
        <w:pStyle w:val="32"/>
        <w:numPr>
          <w:ilvl w:val="0"/>
          <w:numId w:val="8"/>
        </w:numPr>
        <w:ind w:firstLineChars="0"/>
        <w:rPr>
          <w:rFonts w:ascii="宋体" w:hAnsi="宋体"/>
        </w:rPr>
      </w:pPr>
      <w:r>
        <w:rPr>
          <w:rFonts w:hint="eastAsia" w:ascii="宋体" w:hAnsi="宋体"/>
        </w:rPr>
        <w:t>电缆与其他管线交叉或者平行时的间距按照GB50217-2018《电力工程电缆设计标准》中的要求执行。</w:t>
      </w:r>
    </w:p>
    <w:p w14:paraId="1022E22F">
      <w:pPr>
        <w:pStyle w:val="76"/>
        <w:outlineLvl w:val="2"/>
      </w:pPr>
      <w:r>
        <w:rPr>
          <w:rFonts w:hint="eastAsia"/>
        </w:rPr>
        <w:t>防雷和接地要求</w:t>
      </w:r>
    </w:p>
    <w:p w14:paraId="2CDC7464">
      <w:pPr>
        <w:pStyle w:val="32"/>
        <w:numPr>
          <w:ilvl w:val="0"/>
          <w:numId w:val="8"/>
        </w:numPr>
        <w:ind w:firstLineChars="0"/>
        <w:rPr>
          <w:rFonts w:ascii="宋体" w:hAnsi="宋体"/>
        </w:rPr>
      </w:pPr>
      <w:r>
        <w:rPr>
          <w:rFonts w:hint="eastAsia" w:ascii="宋体" w:hAnsi="宋体"/>
        </w:rPr>
        <w:t>本工程防雷和接地系统工程包含机房和新增电池室，空调间等的接地系统、所有等电位联接、接地端子箱等材料采购、安装和测试。</w:t>
      </w:r>
    </w:p>
    <w:p w14:paraId="7ECF2F31">
      <w:pPr>
        <w:pStyle w:val="32"/>
        <w:numPr>
          <w:ilvl w:val="0"/>
          <w:numId w:val="8"/>
        </w:numPr>
        <w:ind w:firstLineChars="0"/>
        <w:rPr>
          <w:rFonts w:ascii="宋体" w:hAnsi="宋体"/>
        </w:rPr>
      </w:pPr>
      <w:r>
        <w:rPr>
          <w:rFonts w:hint="eastAsia" w:ascii="宋体" w:hAnsi="宋体"/>
        </w:rPr>
        <w:t>等电位端子箱内采用紫铜排镀锡，配置专用的连接端子。</w:t>
      </w:r>
    </w:p>
    <w:p w14:paraId="5BF9ECA7">
      <w:pPr>
        <w:pStyle w:val="32"/>
        <w:numPr>
          <w:ilvl w:val="0"/>
          <w:numId w:val="8"/>
        </w:numPr>
        <w:ind w:firstLineChars="0"/>
        <w:rPr>
          <w:rFonts w:ascii="宋体" w:hAnsi="宋体"/>
        </w:rPr>
      </w:pPr>
      <w:r>
        <w:rPr>
          <w:rFonts w:hint="eastAsia" w:ascii="宋体" w:hAnsi="宋体"/>
        </w:rPr>
        <w:t>机房接地：采用接地铜箔将机房内各个机柜和LEB等电位接地端子箱链接。</w:t>
      </w:r>
    </w:p>
    <w:p w14:paraId="0E34CD0C">
      <w:pPr>
        <w:pStyle w:val="32"/>
        <w:numPr>
          <w:ilvl w:val="0"/>
          <w:numId w:val="8"/>
        </w:numPr>
        <w:ind w:firstLineChars="0"/>
        <w:rPr>
          <w:rFonts w:ascii="宋体" w:hAnsi="宋体"/>
        </w:rPr>
      </w:pPr>
      <w:r>
        <w:rPr>
          <w:rFonts w:hint="eastAsia" w:ascii="宋体" w:hAnsi="宋体"/>
        </w:rPr>
        <w:t>电池间和空调间接地：房间内设LEB接线端子箱，采用铜线与本大楼原有接地系统做可靠链接。</w:t>
      </w:r>
    </w:p>
    <w:p w14:paraId="6AFC3306">
      <w:pPr>
        <w:pStyle w:val="32"/>
        <w:numPr>
          <w:ilvl w:val="0"/>
          <w:numId w:val="8"/>
        </w:numPr>
        <w:ind w:firstLineChars="0"/>
        <w:rPr>
          <w:rFonts w:ascii="宋体" w:hAnsi="宋体"/>
        </w:rPr>
      </w:pPr>
      <w:r>
        <w:rPr>
          <w:rFonts w:hint="eastAsia" w:ascii="宋体" w:hAnsi="宋体"/>
        </w:rPr>
        <w:t>变配电室明敷接地干线安装：当沿建筑物墙壁水平敷设时，距地面高度250～300mm,且高度均匀一致；与建筑物墙壁间距10～15mm，且间距均匀一致，颜色为黄绿双色。</w:t>
      </w:r>
    </w:p>
    <w:p w14:paraId="697C2101">
      <w:pPr>
        <w:pStyle w:val="32"/>
        <w:numPr>
          <w:ilvl w:val="0"/>
          <w:numId w:val="8"/>
        </w:numPr>
        <w:ind w:firstLineChars="0"/>
        <w:rPr>
          <w:rFonts w:ascii="宋体" w:hAnsi="宋体"/>
        </w:rPr>
      </w:pPr>
      <w:r>
        <w:rPr>
          <w:rFonts w:hint="eastAsia" w:ascii="宋体" w:hAnsi="宋体"/>
        </w:rPr>
        <w:t>变配电室暗敷接地扁钢安装：变电站内所有设备基础槽钢需要和接地干线可靠连接，利用扁钢暗敷至四周接地干线。完成后对地面的开槽进行修复。</w:t>
      </w:r>
    </w:p>
    <w:p w14:paraId="241691B5">
      <w:pPr>
        <w:pStyle w:val="32"/>
        <w:numPr>
          <w:ilvl w:val="0"/>
          <w:numId w:val="8"/>
        </w:numPr>
        <w:ind w:firstLineChars="0"/>
        <w:rPr>
          <w:rFonts w:ascii="宋体" w:hAnsi="宋体"/>
        </w:rPr>
      </w:pPr>
      <w:r>
        <w:rPr>
          <w:rFonts w:hint="eastAsia" w:ascii="宋体" w:hAnsi="宋体"/>
        </w:rPr>
        <w:t>测试要求</w:t>
      </w:r>
    </w:p>
    <w:p w14:paraId="73ECA0C4">
      <w:pPr>
        <w:pStyle w:val="32"/>
        <w:numPr>
          <w:ilvl w:val="0"/>
          <w:numId w:val="8"/>
        </w:numPr>
        <w:ind w:firstLineChars="0"/>
        <w:rPr>
          <w:rFonts w:ascii="宋体" w:hAnsi="宋体"/>
        </w:rPr>
      </w:pPr>
      <w:r>
        <w:rPr>
          <w:rFonts w:hint="eastAsia" w:ascii="宋体" w:hAnsi="宋体"/>
        </w:rPr>
        <w:t>共用接地系统的接地网及接地极上任一点接地电阻不得超过1欧姆。</w:t>
      </w:r>
    </w:p>
    <w:p w14:paraId="0FAECC0C">
      <w:pPr>
        <w:pStyle w:val="32"/>
        <w:numPr>
          <w:ilvl w:val="0"/>
          <w:numId w:val="8"/>
        </w:numPr>
        <w:ind w:firstLineChars="0"/>
        <w:rPr>
          <w:rFonts w:ascii="宋体" w:hAnsi="宋体"/>
        </w:rPr>
      </w:pPr>
      <w:r>
        <w:rPr>
          <w:rFonts w:hint="eastAsia" w:ascii="宋体" w:hAnsi="宋体"/>
        </w:rPr>
        <w:t>防雷系统工程的避雷网任一点的接地电阻不得超过4欧姆。</w:t>
      </w:r>
    </w:p>
    <w:p w14:paraId="55A82C16">
      <w:pPr>
        <w:pStyle w:val="32"/>
        <w:numPr>
          <w:ilvl w:val="0"/>
          <w:numId w:val="8"/>
        </w:numPr>
        <w:ind w:firstLineChars="0"/>
        <w:rPr>
          <w:rFonts w:ascii="宋体" w:hAnsi="宋体"/>
        </w:rPr>
      </w:pPr>
      <w:r>
        <w:rPr>
          <w:rFonts w:hint="eastAsia" w:ascii="宋体" w:hAnsi="宋体"/>
        </w:rPr>
        <w:t>每一接地网安装完成后应依照认可的测试程序测试接地电阻。</w:t>
      </w:r>
    </w:p>
    <w:p w14:paraId="2B1FBBD6">
      <w:pPr>
        <w:pStyle w:val="32"/>
        <w:numPr>
          <w:ilvl w:val="0"/>
          <w:numId w:val="8"/>
        </w:numPr>
        <w:ind w:firstLineChars="0"/>
        <w:rPr>
          <w:rFonts w:ascii="宋体" w:hAnsi="宋体"/>
        </w:rPr>
      </w:pPr>
      <w:r>
        <w:rPr>
          <w:rFonts w:hint="eastAsia" w:ascii="宋体" w:hAnsi="宋体"/>
        </w:rPr>
        <w:t>本工程施工若测试值未达标准，应加设人工接地极或增加接地网尺寸以符合所需接地电阻要求，且不得要求追加。</w:t>
      </w:r>
    </w:p>
    <w:p w14:paraId="49806E02">
      <w:pPr>
        <w:pStyle w:val="32"/>
        <w:numPr>
          <w:ilvl w:val="0"/>
          <w:numId w:val="8"/>
        </w:numPr>
        <w:ind w:firstLineChars="0"/>
        <w:rPr>
          <w:rFonts w:ascii="宋体" w:hAnsi="宋体"/>
        </w:rPr>
      </w:pPr>
      <w:r>
        <w:rPr>
          <w:rFonts w:hint="eastAsia" w:ascii="宋体" w:hAnsi="宋体"/>
        </w:rPr>
        <w:t>测试前需送审测试方案，并且业主和设计单位在场方可进行。</w:t>
      </w:r>
    </w:p>
    <w:p w14:paraId="3A511BB8">
      <w:pPr>
        <w:pStyle w:val="75"/>
        <w:outlineLvl w:val="1"/>
      </w:pPr>
      <w:r>
        <w:rPr>
          <w:rFonts w:hint="eastAsia"/>
        </w:rPr>
        <w:t>暖通系统</w:t>
      </w:r>
    </w:p>
    <w:p w14:paraId="1A146857">
      <w:pPr>
        <w:pStyle w:val="76"/>
        <w:outlineLvl w:val="2"/>
      </w:pPr>
      <w:r>
        <w:rPr>
          <w:rFonts w:hint="eastAsia"/>
        </w:rPr>
        <w:t>空调水管系统</w:t>
      </w:r>
    </w:p>
    <w:p w14:paraId="12760075">
      <w:pPr>
        <w:pStyle w:val="77"/>
      </w:pPr>
      <w:r>
        <w:rPr>
          <w:rFonts w:hint="eastAsia"/>
        </w:rPr>
        <w:t>空调水管系统工作内容如下：</w:t>
      </w:r>
    </w:p>
    <w:p w14:paraId="71F018E3">
      <w:pPr>
        <w:ind w:firstLine="420" w:firstLineChars="200"/>
        <w:rPr>
          <w:rFonts w:ascii="宋体" w:hAnsi="宋体"/>
        </w:rPr>
      </w:pPr>
      <w:r>
        <w:rPr>
          <w:rFonts w:hint="eastAsia" w:ascii="宋体" w:hAnsi="宋体"/>
        </w:rPr>
        <w:t>工作范围内的</w:t>
      </w:r>
    </w:p>
    <w:p w14:paraId="186EB41F">
      <w:pPr>
        <w:rPr>
          <w:rFonts w:ascii="宋体" w:hAnsi="宋体"/>
        </w:rPr>
      </w:pPr>
      <w:r>
        <w:rPr>
          <w:rFonts w:hint="eastAsia" w:ascii="宋体" w:hAnsi="宋体"/>
        </w:rPr>
        <w:t>• 冷冻水管道</w:t>
      </w:r>
    </w:p>
    <w:p w14:paraId="1F6EC949">
      <w:pPr>
        <w:rPr>
          <w:rFonts w:ascii="宋体" w:hAnsi="宋体"/>
        </w:rPr>
      </w:pPr>
      <w:r>
        <w:rPr>
          <w:rFonts w:hint="eastAsia" w:ascii="宋体" w:hAnsi="宋体"/>
        </w:rPr>
        <w:t>• 冷热水共用管道</w:t>
      </w:r>
    </w:p>
    <w:p w14:paraId="031AF29B">
      <w:pPr>
        <w:rPr>
          <w:rFonts w:ascii="宋体" w:hAnsi="宋体"/>
        </w:rPr>
      </w:pPr>
      <w:r>
        <w:rPr>
          <w:rFonts w:hint="eastAsia" w:ascii="宋体" w:hAnsi="宋体"/>
        </w:rPr>
        <w:t>• 冷凝水管道</w:t>
      </w:r>
    </w:p>
    <w:p w14:paraId="5AFF2C17">
      <w:pPr>
        <w:rPr>
          <w:rFonts w:ascii="宋体" w:hAnsi="宋体"/>
        </w:rPr>
      </w:pPr>
      <w:r>
        <w:rPr>
          <w:rFonts w:hint="eastAsia" w:ascii="宋体" w:hAnsi="宋体"/>
        </w:rPr>
        <w:t>• 各类管道穿土建墙体及安装好后的所有墙洞的防火封堵。</w:t>
      </w:r>
    </w:p>
    <w:p w14:paraId="2671985B">
      <w:pPr>
        <w:rPr>
          <w:rFonts w:ascii="宋体" w:hAnsi="宋体"/>
        </w:rPr>
      </w:pPr>
      <w:r>
        <w:rPr>
          <w:rFonts w:hint="eastAsia" w:ascii="宋体" w:hAnsi="宋体"/>
        </w:rPr>
        <w:t>• 设备基础及环氧</w:t>
      </w:r>
    </w:p>
    <w:p w14:paraId="352331DF">
      <w:pPr>
        <w:rPr>
          <w:rFonts w:ascii="宋体" w:hAnsi="宋体"/>
        </w:rPr>
      </w:pPr>
      <w:r>
        <w:rPr>
          <w:rFonts w:hint="eastAsia" w:ascii="宋体" w:hAnsi="宋体"/>
        </w:rPr>
        <w:t>• 安装完成后的调试测试。</w:t>
      </w:r>
    </w:p>
    <w:p w14:paraId="10FEA128">
      <w:pPr>
        <w:rPr>
          <w:rFonts w:ascii="宋体" w:hAnsi="宋体"/>
        </w:rPr>
      </w:pPr>
      <w:r>
        <w:rPr>
          <w:rFonts w:hint="eastAsia" w:ascii="宋体" w:hAnsi="宋体"/>
        </w:rPr>
        <w:t>• 所有设备及管道安装均要考虑防震减振措施，包括但不限于水泵的惯性基础，减震弹簧，管道的减震措施等。</w:t>
      </w:r>
    </w:p>
    <w:p w14:paraId="2D071D30">
      <w:pPr>
        <w:rPr>
          <w:rFonts w:ascii="宋体" w:hAnsi="宋体"/>
        </w:rPr>
      </w:pPr>
      <w:r>
        <w:rPr>
          <w:rFonts w:hint="eastAsia" w:ascii="宋体" w:hAnsi="宋体"/>
        </w:rPr>
        <w:t>• 设备及管道抗震支架，公共管架</w:t>
      </w:r>
    </w:p>
    <w:p w14:paraId="6127E855">
      <w:pPr>
        <w:pStyle w:val="77"/>
      </w:pPr>
      <w:r>
        <w:rPr>
          <w:rFonts w:hint="eastAsia"/>
        </w:rPr>
        <w:t>工作范围及技术要求</w:t>
      </w:r>
    </w:p>
    <w:p w14:paraId="5CF4C75A">
      <w:pPr>
        <w:rPr>
          <w:rFonts w:ascii="宋体" w:hAnsi="宋体"/>
        </w:rPr>
      </w:pPr>
      <w:r>
        <w:rPr>
          <w:rFonts w:hint="eastAsia" w:ascii="宋体" w:hAnsi="宋体"/>
        </w:rPr>
        <w:t>• 从大楼原预留空调水管接至各空调末端设备</w:t>
      </w:r>
    </w:p>
    <w:p w14:paraId="7F363C27">
      <w:pPr>
        <w:rPr>
          <w:rFonts w:ascii="宋体" w:hAnsi="宋体"/>
        </w:rPr>
      </w:pPr>
      <w:r>
        <w:rPr>
          <w:rFonts w:hint="eastAsia" w:ascii="宋体" w:hAnsi="宋体"/>
        </w:rPr>
        <w:t>• 空调水管道主支管均需安装切断阀门，可分区切断冷热水</w:t>
      </w:r>
    </w:p>
    <w:p w14:paraId="7431444E">
      <w:pPr>
        <w:rPr>
          <w:rFonts w:ascii="宋体" w:hAnsi="宋体"/>
        </w:rPr>
      </w:pPr>
      <w:r>
        <w:rPr>
          <w:rFonts w:hint="eastAsia" w:ascii="宋体" w:hAnsi="宋体"/>
        </w:rPr>
        <w:t>• 需要在回水管道上设置静态平衡阀。其余支路上根据水力平衡计算结果设置必要的平衡阀。不可使用静态平衡阀作为切断阀。</w:t>
      </w:r>
    </w:p>
    <w:p w14:paraId="12C3A38E">
      <w:pPr>
        <w:rPr>
          <w:rFonts w:ascii="宋体" w:hAnsi="宋体"/>
        </w:rPr>
      </w:pPr>
      <w:r>
        <w:rPr>
          <w:rFonts w:hint="eastAsia" w:ascii="宋体" w:hAnsi="宋体"/>
        </w:rPr>
        <w:t>• 空调水管道安装足量的低点排污及高点排气，排气阀前均需安装切断阀，高点排气通过排水硬管就近间接接入地漏。</w:t>
      </w:r>
    </w:p>
    <w:p w14:paraId="182C5BBA">
      <w:pPr>
        <w:rPr>
          <w:rFonts w:ascii="宋体" w:hAnsi="宋体"/>
        </w:rPr>
      </w:pPr>
      <w:r>
        <w:rPr>
          <w:rFonts w:hint="eastAsia" w:ascii="宋体" w:hAnsi="宋体"/>
        </w:rPr>
        <w:t>• 空调水管道在使用前需做好管道的冲洗、钝化、加药，冲洗方案需单独送审，批准后方可实施，冲洗后的排水需满足当地环保要求，不可随便排放</w:t>
      </w:r>
    </w:p>
    <w:p w14:paraId="4C1BE192">
      <w:pPr>
        <w:rPr>
          <w:rFonts w:ascii="宋体" w:hAnsi="宋体"/>
        </w:rPr>
      </w:pPr>
      <w:r>
        <w:rPr>
          <w:rFonts w:hint="eastAsia" w:ascii="宋体" w:hAnsi="宋体"/>
        </w:rPr>
        <w:t>• 管道需张贴标签，阀门需挂牌</w:t>
      </w:r>
    </w:p>
    <w:p w14:paraId="57841C8B">
      <w:pPr>
        <w:pStyle w:val="77"/>
      </w:pPr>
      <w:r>
        <w:rPr>
          <w:rFonts w:hint="eastAsia"/>
        </w:rPr>
        <w:t>材料技术要求</w:t>
      </w:r>
    </w:p>
    <w:p w14:paraId="55E74A60">
      <w:pPr>
        <w:ind w:firstLine="420" w:firstLineChars="200"/>
        <w:rPr>
          <w:rFonts w:ascii="宋体" w:hAnsi="宋体"/>
        </w:rPr>
      </w:pPr>
      <w:r>
        <w:rPr>
          <w:rFonts w:hint="eastAsia" w:ascii="宋体" w:hAnsi="宋体"/>
        </w:rPr>
        <w:t>1） 管道及阀门</w:t>
      </w:r>
    </w:p>
    <w:p w14:paraId="5F552C8A">
      <w:pPr>
        <w:rPr>
          <w:rFonts w:ascii="宋体" w:hAnsi="宋体"/>
        </w:rPr>
      </w:pPr>
      <w:r>
        <w:rPr>
          <w:rFonts w:hint="eastAsia" w:ascii="宋体" w:hAnsi="宋体"/>
        </w:rPr>
        <w:t>• 空调水管管径≤DN50，采用镀锌钢管螺纹连接，规格厚度按系统的承压要求选取；DN50&lt;管径≤DN250，采用无缝钢管焊接。</w:t>
      </w:r>
    </w:p>
    <w:p w14:paraId="7900A9B3">
      <w:pPr>
        <w:rPr>
          <w:rFonts w:ascii="宋体" w:hAnsi="宋体"/>
        </w:rPr>
      </w:pPr>
      <w:r>
        <w:rPr>
          <w:rFonts w:hint="eastAsia" w:ascii="宋体" w:hAnsi="宋体"/>
        </w:rPr>
        <w:t>• 空调冷凝水管采用镀锌钢管，管径≤DN50，采用螺纹连接；管径＞DN50采用焊接连接。</w:t>
      </w:r>
    </w:p>
    <w:p w14:paraId="327A9E00">
      <w:pPr>
        <w:rPr>
          <w:rFonts w:ascii="宋体" w:hAnsi="宋体"/>
        </w:rPr>
      </w:pPr>
      <w:r>
        <w:rPr>
          <w:rFonts w:hint="eastAsia" w:ascii="宋体" w:hAnsi="宋体"/>
        </w:rPr>
        <w:t>• 管道系统的变径、变向需采用成品异径管、三通、弯头实现，不允许在主管道上开孔。</w:t>
      </w:r>
    </w:p>
    <w:p w14:paraId="5B2D22AB">
      <w:pPr>
        <w:rPr>
          <w:rFonts w:ascii="宋体" w:hAnsi="宋体"/>
        </w:rPr>
      </w:pPr>
      <w:r>
        <w:rPr>
          <w:rFonts w:hint="eastAsia" w:ascii="宋体" w:hAnsi="宋体"/>
        </w:rPr>
        <w:t>• 空调水管道使用成品聚氨酯管托，厚度及密度需满足规范及管道重量要求</w:t>
      </w:r>
    </w:p>
    <w:p w14:paraId="4DC4F7C8">
      <w:pPr>
        <w:rPr>
          <w:rFonts w:ascii="宋体" w:hAnsi="宋体"/>
        </w:rPr>
      </w:pPr>
      <w:r>
        <w:rPr>
          <w:rFonts w:hint="eastAsia" w:ascii="宋体" w:hAnsi="宋体"/>
        </w:rPr>
        <w:t>• 所有管道与配件尺寸与壁厚不得使用负公差。壁厚见设计图材料说明。</w:t>
      </w:r>
    </w:p>
    <w:p w14:paraId="51B3068E">
      <w:pPr>
        <w:rPr>
          <w:rFonts w:ascii="宋体" w:hAnsi="宋体"/>
        </w:rPr>
      </w:pPr>
      <w:r>
        <w:rPr>
          <w:rFonts w:hint="eastAsia" w:ascii="宋体" w:hAnsi="宋体"/>
        </w:rPr>
        <w:t>• 焊接方式：氩弧焊打底，手工电弧焊盖面。</w:t>
      </w:r>
    </w:p>
    <w:p w14:paraId="4FF7F92E">
      <w:pPr>
        <w:rPr>
          <w:rFonts w:ascii="宋体" w:hAnsi="宋体"/>
        </w:rPr>
      </w:pPr>
      <w:r>
        <w:rPr>
          <w:rFonts w:hint="eastAsia" w:ascii="宋体" w:hAnsi="宋体"/>
        </w:rPr>
        <w:t>• 所有管道、阀门的紧固件（包括螺栓、螺帽、卡箍、管卡等）必须为标准品。</w:t>
      </w:r>
    </w:p>
    <w:p w14:paraId="32C678AA">
      <w:pPr>
        <w:rPr>
          <w:rFonts w:ascii="宋体" w:hAnsi="宋体"/>
        </w:rPr>
      </w:pPr>
      <w:r>
        <w:rPr>
          <w:rFonts w:hint="eastAsia" w:ascii="宋体" w:hAnsi="宋体"/>
        </w:rPr>
        <w:t>• 法兰采用带颈平焊法兰，压力标准符合系统要求。</w:t>
      </w:r>
    </w:p>
    <w:p w14:paraId="1216DD7C">
      <w:pPr>
        <w:rPr>
          <w:rFonts w:ascii="宋体" w:hAnsi="宋体"/>
        </w:rPr>
      </w:pPr>
      <w:r>
        <w:rPr>
          <w:rFonts w:hint="eastAsia" w:ascii="宋体" w:hAnsi="宋体"/>
        </w:rPr>
        <w:t>• 阀门形式：管径≤DN50采用铜截止阀，螺纹接口,其余采用蝶阀，法兰接口,DN65≤管径&lt;DN200，采用手柄蝶阀；管径≥DN200，采用涡轮蝶阀。</w:t>
      </w:r>
    </w:p>
    <w:p w14:paraId="765453A1">
      <w:pPr>
        <w:rPr>
          <w:rFonts w:ascii="宋体" w:hAnsi="宋体"/>
        </w:rPr>
      </w:pPr>
      <w:r>
        <w:rPr>
          <w:rFonts w:hint="eastAsia" w:ascii="宋体" w:hAnsi="宋体"/>
        </w:rPr>
        <w:t>• 管道系统最高点及其他所有可能集气处要设置自动放气阀，并安装手动旁通阀。手动旁通阀置于人员方便操作处，排水接入排水主管。</w:t>
      </w:r>
    </w:p>
    <w:p w14:paraId="3A8713DF">
      <w:pPr>
        <w:rPr>
          <w:rFonts w:ascii="宋体" w:hAnsi="宋体"/>
        </w:rPr>
      </w:pPr>
      <w:r>
        <w:rPr>
          <w:rFonts w:hint="eastAsia" w:ascii="宋体" w:hAnsi="宋体"/>
        </w:rPr>
        <w:t>•空调水系统管道、设备及其附件工作压力为1.6MPa，试验压力为2.1MPa。</w:t>
      </w:r>
    </w:p>
    <w:p w14:paraId="6FE35F99">
      <w:pPr>
        <w:rPr>
          <w:rFonts w:ascii="宋体" w:hAnsi="宋体"/>
        </w:rPr>
      </w:pPr>
      <w:r>
        <w:rPr>
          <w:rFonts w:hint="eastAsia" w:ascii="宋体" w:hAnsi="宋体"/>
        </w:rPr>
        <w:t>• 水过滤器按40目规格，压力表按0~1.0MPa量程选用；温度计为双金属型，最小分度值0.5℃，冷水管按0~50℃量程选用，热水管按0~100℃量程选用，尾长的选用和安装见01R406。</w:t>
      </w:r>
    </w:p>
    <w:p w14:paraId="50D21136">
      <w:pPr>
        <w:pStyle w:val="32"/>
        <w:numPr>
          <w:ilvl w:val="0"/>
          <w:numId w:val="9"/>
        </w:numPr>
        <w:ind w:firstLineChars="0"/>
        <w:rPr>
          <w:rFonts w:ascii="宋体" w:hAnsi="宋体"/>
        </w:rPr>
      </w:pPr>
      <w:r>
        <w:rPr>
          <w:rFonts w:hint="eastAsia" w:ascii="宋体" w:hAnsi="宋体"/>
        </w:rPr>
        <w:t>静态平衡阀</w:t>
      </w:r>
    </w:p>
    <w:p w14:paraId="2B137906">
      <w:pPr>
        <w:rPr>
          <w:rFonts w:ascii="宋体" w:hAnsi="宋体"/>
        </w:rPr>
      </w:pPr>
      <w:r>
        <w:rPr>
          <w:rFonts w:hint="eastAsia" w:ascii="宋体" w:hAnsi="宋体"/>
        </w:rPr>
        <w:t>a、调节特性和精度：平衡阀应该在0-100%调节范围内具备等百分比或线性调节特性；流量误差小于+/-10%。平衡阀上可读取开度的刻度精确到基本圈数的0.1圈。</w:t>
      </w:r>
    </w:p>
    <w:p w14:paraId="22751D2C">
      <w:pPr>
        <w:rPr>
          <w:rFonts w:ascii="宋体" w:hAnsi="宋体"/>
        </w:rPr>
      </w:pPr>
      <w:r>
        <w:rPr>
          <w:rFonts w:hint="eastAsia" w:ascii="宋体" w:hAnsi="宋体"/>
        </w:rPr>
        <w:t>b、具有测量和平衡调试和手轮锁定功能：具有两个测量口，用于流量、压差和温度测量和平衡调试， 手轮具有平衡位置锁定功能。</w:t>
      </w:r>
    </w:p>
    <w:p w14:paraId="7EBE6F70">
      <w:pPr>
        <w:rPr>
          <w:rFonts w:ascii="宋体" w:hAnsi="宋体"/>
        </w:rPr>
      </w:pPr>
      <w:r>
        <w:rPr>
          <w:rFonts w:hint="eastAsia" w:ascii="宋体" w:hAnsi="宋体"/>
        </w:rPr>
        <w:t>c、实测压差与流量关系不会随着手轮开度变化，能够快速地获得实际流量。</w:t>
      </w:r>
    </w:p>
    <w:p w14:paraId="3A16B9D7">
      <w:pPr>
        <w:rPr>
          <w:rFonts w:ascii="宋体" w:hAnsi="宋体"/>
        </w:rPr>
      </w:pPr>
      <w:r>
        <w:rPr>
          <w:rFonts w:hint="eastAsia" w:ascii="宋体" w:hAnsi="宋体"/>
        </w:rPr>
        <w:t>d、供应厂家应提供阀门各开度下的KV数据对照表，并能保证在出厂前均对每一个阀门进行过性能检测。</w:t>
      </w:r>
    </w:p>
    <w:p w14:paraId="35BC592F">
      <w:pPr>
        <w:rPr>
          <w:rFonts w:ascii="宋体" w:hAnsi="宋体"/>
        </w:rPr>
      </w:pPr>
      <w:r>
        <w:rPr>
          <w:rFonts w:hint="eastAsia" w:ascii="宋体" w:hAnsi="宋体"/>
        </w:rPr>
        <w:t>e、制造商需有调试能力，项目安装完成后，配合甲方调试。</w:t>
      </w:r>
    </w:p>
    <w:p w14:paraId="671BD362">
      <w:pPr>
        <w:rPr>
          <w:rFonts w:ascii="宋体" w:hAnsi="宋体"/>
        </w:rPr>
      </w:pPr>
      <w:r>
        <w:rPr>
          <w:rFonts w:hint="eastAsia" w:ascii="宋体" w:hAnsi="宋体"/>
        </w:rPr>
        <w:t>f、材质要求：</w:t>
      </w:r>
    </w:p>
    <w:p w14:paraId="7F96FF59">
      <w:pPr>
        <w:rPr>
          <w:rFonts w:ascii="宋体" w:hAnsi="宋体"/>
        </w:rPr>
      </w:pPr>
      <w:r>
        <w:rPr>
          <w:rFonts w:hint="eastAsia" w:ascii="宋体" w:hAnsi="宋体"/>
        </w:rPr>
        <w:t>1)DN50以下（含DN50）阀体和阀芯为青铜或铜合金材料；</w:t>
      </w:r>
    </w:p>
    <w:p w14:paraId="7DE5F7C0">
      <w:pPr>
        <w:rPr>
          <w:rFonts w:ascii="宋体" w:hAnsi="宋体"/>
        </w:rPr>
      </w:pPr>
      <w:r>
        <w:rPr>
          <w:rFonts w:hint="eastAsia" w:ascii="宋体" w:hAnsi="宋体"/>
        </w:rPr>
        <w:t>2)DN65-DN600阀体为球墨铸铁；阀帽，阀芯，阀轴为不锈钢、球墨铸铁或铜合金。</w:t>
      </w:r>
    </w:p>
    <w:p w14:paraId="583670A9">
      <w:pPr>
        <w:rPr>
          <w:rFonts w:ascii="宋体" w:hAnsi="宋体"/>
        </w:rPr>
      </w:pPr>
      <w:r>
        <w:rPr>
          <w:rFonts w:hint="eastAsia" w:ascii="宋体" w:hAnsi="宋体"/>
        </w:rPr>
        <w:t>g、具有开度锁定功能：阀门开度锁定后，可以关小，但开大时最大只能开至锁定开度。</w:t>
      </w:r>
    </w:p>
    <w:p w14:paraId="67067B74">
      <w:pPr>
        <w:rPr>
          <w:rFonts w:ascii="宋体" w:hAnsi="宋体"/>
        </w:rPr>
      </w:pPr>
      <w:r>
        <w:rPr>
          <w:rFonts w:hint="eastAsia" w:ascii="宋体" w:hAnsi="宋体"/>
        </w:rPr>
        <w:t>h、门调节手柄应采用内升降式结构，在调试的过程中阀门手柄的高度保持不变，以便于安装。</w:t>
      </w:r>
    </w:p>
    <w:p w14:paraId="03A4CFCD">
      <w:pPr>
        <w:rPr>
          <w:rFonts w:ascii="宋体" w:hAnsi="宋体"/>
        </w:rPr>
      </w:pPr>
      <w:r>
        <w:rPr>
          <w:rFonts w:hint="eastAsia" w:ascii="宋体" w:hAnsi="宋体"/>
        </w:rPr>
        <w:t>i、阀门的测压口应在阀门手柄的两侧，以便于测量、保温。</w:t>
      </w:r>
    </w:p>
    <w:p w14:paraId="00782AAC">
      <w:pPr>
        <w:rPr>
          <w:rFonts w:ascii="宋体" w:hAnsi="宋体"/>
        </w:rPr>
      </w:pPr>
      <w:r>
        <w:rPr>
          <w:rFonts w:hint="eastAsia" w:ascii="宋体" w:hAnsi="宋体"/>
        </w:rPr>
        <w:t>j、阀门开度的数值显示在手轮正上端，方便查看、后期系统调试调节等。</w:t>
      </w:r>
    </w:p>
    <w:p w14:paraId="6E186654">
      <w:pPr>
        <w:rPr>
          <w:rFonts w:ascii="宋体" w:hAnsi="宋体"/>
        </w:rPr>
      </w:pPr>
      <w:r>
        <w:rPr>
          <w:rFonts w:hint="eastAsia" w:ascii="宋体" w:hAnsi="宋体"/>
        </w:rPr>
        <w:t>k、手轮刻度DN≤50不小于80个刻度，DN≥65不小于160个刻度。</w:t>
      </w:r>
    </w:p>
    <w:p w14:paraId="55E3E99A">
      <w:pPr>
        <w:rPr>
          <w:rFonts w:ascii="宋体" w:hAnsi="宋体"/>
        </w:rPr>
      </w:pPr>
      <w:r>
        <w:rPr>
          <w:rFonts w:hint="eastAsia" w:ascii="宋体" w:hAnsi="宋体"/>
        </w:rPr>
        <w:t>l、DN≤50螺纹连接，DN≥65法兰连接。</w:t>
      </w:r>
    </w:p>
    <w:p w14:paraId="2B168CA0">
      <w:pPr>
        <w:rPr>
          <w:rFonts w:ascii="宋体" w:hAnsi="宋体"/>
        </w:rPr>
      </w:pPr>
      <w:r>
        <w:rPr>
          <w:rFonts w:hint="eastAsia" w:ascii="宋体" w:hAnsi="宋体"/>
        </w:rPr>
        <w:t>m、DN≥65法兰连接，静态平衡阀阀芯必须是平衡式阀芯, 阀芯材质为不锈钢或者球墨铸铁。无需克服来水压力（即阀门关闭不受水系统压力影响），更易于阀门的调节，确保在高压差环境下也能顺利将阀门调出更精确的节点。。</w:t>
      </w:r>
    </w:p>
    <w:p w14:paraId="7D4A77E7">
      <w:pPr>
        <w:rPr>
          <w:rFonts w:ascii="宋体" w:hAnsi="宋体"/>
        </w:rPr>
      </w:pPr>
      <w:r>
        <w:rPr>
          <w:rFonts w:hint="eastAsia" w:ascii="宋体" w:hAnsi="宋体"/>
        </w:rPr>
        <w:t>n、平衡阀在最不利回路的附加压降不得大于5KPa。</w:t>
      </w:r>
    </w:p>
    <w:p w14:paraId="61A2E324">
      <w:pPr>
        <w:rPr>
          <w:rFonts w:ascii="宋体" w:hAnsi="宋体"/>
        </w:rPr>
      </w:pPr>
      <w:r>
        <w:rPr>
          <w:rFonts w:hint="eastAsia" w:ascii="宋体" w:hAnsi="宋体"/>
        </w:rPr>
        <w:t>p 、工作温度：-10℃～120℃，工作压力：≥PN16。</w:t>
      </w:r>
    </w:p>
    <w:p w14:paraId="4FE1B228">
      <w:pPr>
        <w:rPr>
          <w:rFonts w:ascii="宋体" w:hAnsi="宋体"/>
        </w:rPr>
      </w:pPr>
      <w:r>
        <w:rPr>
          <w:rFonts w:hint="eastAsia" w:ascii="宋体" w:hAnsi="宋体"/>
        </w:rPr>
        <w:t>q、制造商应提供不少于2份经用户正式认可(业主签字盖章)的数据中心平衡调试报告，调试报告应包括实测流量、设计流量、阀门开度、流量偏差等内容。</w:t>
      </w:r>
    </w:p>
    <w:p w14:paraId="4A982AD8">
      <w:pPr>
        <w:rPr>
          <w:rFonts w:ascii="宋体" w:hAnsi="宋体"/>
        </w:rPr>
      </w:pPr>
      <w:r>
        <w:rPr>
          <w:rFonts w:hint="eastAsia" w:ascii="宋体" w:hAnsi="宋体"/>
        </w:rPr>
        <w:t>3）蝶阀</w:t>
      </w:r>
    </w:p>
    <w:p w14:paraId="1B956E30">
      <w:pPr>
        <w:pStyle w:val="14"/>
        <w:rPr>
          <w:rFonts w:ascii="宋体" w:hAnsi="宋体" w:cs="宋体"/>
        </w:rPr>
      </w:pPr>
      <w:r>
        <w:rPr>
          <w:rFonts w:hint="eastAsia" w:ascii="宋体" w:hAnsi="宋体" w:cs="宋体"/>
        </w:rPr>
        <w:t>a、蝶阀采用双法兰连接，可实现双面封水的要求，安装中无需考虑水流方向，≥DN200采用涡轮式，＜DN100采用手柄式</w:t>
      </w:r>
    </w:p>
    <w:p w14:paraId="2178E087">
      <w:pPr>
        <w:rPr>
          <w:rFonts w:ascii="宋体" w:hAnsi="宋体"/>
        </w:rPr>
      </w:pPr>
      <w:r>
        <w:rPr>
          <w:rFonts w:hint="eastAsia" w:ascii="宋体" w:hAnsi="宋体"/>
        </w:rPr>
        <w:t>b、手动蝶阀阀轴杆顶部和底部的一对轴承可防止轴杆窜动，以保证轻松和稳定的操作扭力高强度的阀杆穿过阀板，并用紧密配合的花键或双扁式来驱动阀板，阀杆和阀板采用无销式连接，便于安装和维护。</w:t>
      </w:r>
    </w:p>
    <w:p w14:paraId="3C192A1D">
      <w:pPr>
        <w:rPr>
          <w:rFonts w:ascii="宋体" w:hAnsi="宋体"/>
        </w:rPr>
      </w:pPr>
      <w:r>
        <w:rPr>
          <w:rFonts w:hint="eastAsia" w:ascii="宋体" w:hAnsi="宋体"/>
        </w:rPr>
        <w:t>c、中线蝶阀须采用高品质EPDM橡胶作为密封阀座，EPDM阀座应凸起于法兰面，可以作为法兰密封垫使用，在安装中无需加装垫片，需具有优质的抗老化和弹性记忆性能，确保每个阀门不低于50000次的启闭寿命。</w:t>
      </w:r>
    </w:p>
    <w:p w14:paraId="61A20781">
      <w:pPr>
        <w:rPr>
          <w:rFonts w:ascii="宋体" w:hAnsi="宋体"/>
        </w:rPr>
      </w:pPr>
      <w:r>
        <w:rPr>
          <w:rFonts w:hint="eastAsia" w:ascii="宋体" w:hAnsi="宋体"/>
        </w:rPr>
        <w:t>d、连接方式：双法兰连接</w:t>
      </w:r>
    </w:p>
    <w:p w14:paraId="21FE627C">
      <w:pPr>
        <w:rPr>
          <w:rFonts w:ascii="宋体" w:hAnsi="宋体"/>
        </w:rPr>
      </w:pPr>
      <w:r>
        <w:rPr>
          <w:rFonts w:hint="eastAsia" w:ascii="宋体" w:hAnsi="宋体"/>
        </w:rPr>
        <w:t>e、阀体材质：不低于QT450球墨铸铁</w:t>
      </w:r>
    </w:p>
    <w:p w14:paraId="18F6A6E3">
      <w:pPr>
        <w:rPr>
          <w:rFonts w:ascii="宋体" w:hAnsi="宋体"/>
        </w:rPr>
      </w:pPr>
      <w:r>
        <w:rPr>
          <w:rFonts w:hint="eastAsia" w:ascii="宋体" w:hAnsi="宋体"/>
        </w:rPr>
        <w:t>f、密封材料：EPDM（三元乙丙橡胶）</w:t>
      </w:r>
    </w:p>
    <w:p w14:paraId="17A1CF35">
      <w:pPr>
        <w:rPr>
          <w:rFonts w:ascii="宋体" w:hAnsi="宋体"/>
        </w:rPr>
      </w:pPr>
      <w:r>
        <w:rPr>
          <w:rFonts w:hint="eastAsia" w:ascii="宋体" w:hAnsi="宋体"/>
        </w:rPr>
        <w:t>g、阀板材质：304不锈钢</w:t>
      </w:r>
    </w:p>
    <w:p w14:paraId="46304958">
      <w:pPr>
        <w:rPr>
          <w:rFonts w:ascii="宋体" w:hAnsi="宋体"/>
        </w:rPr>
      </w:pPr>
      <w:r>
        <w:rPr>
          <w:rFonts w:hint="eastAsia" w:ascii="宋体" w:hAnsi="宋体"/>
        </w:rPr>
        <w:t>h、阀杆材质：416不锈钢或2Cr13不锈钢</w:t>
      </w:r>
    </w:p>
    <w:p w14:paraId="0437D0BF">
      <w:pPr>
        <w:rPr>
          <w:rFonts w:ascii="宋体" w:hAnsi="宋体"/>
        </w:rPr>
      </w:pPr>
      <w:r>
        <w:rPr>
          <w:rFonts w:hint="eastAsia" w:ascii="宋体" w:hAnsi="宋体"/>
        </w:rPr>
        <w:t>k、蜗轮箱要求：涡轮箱防护等级不低于IP67，需提供权威第三方检验报告</w:t>
      </w:r>
    </w:p>
    <w:p w14:paraId="1E9768F4">
      <w:pPr>
        <w:rPr>
          <w:rFonts w:ascii="宋体" w:hAnsi="宋体"/>
        </w:rPr>
      </w:pPr>
      <w:r>
        <w:rPr>
          <w:rFonts w:hint="eastAsia" w:ascii="宋体" w:hAnsi="宋体"/>
        </w:rPr>
        <w:t>4）截止阀</w:t>
      </w:r>
    </w:p>
    <w:p w14:paraId="22F279D4">
      <w:pPr>
        <w:rPr>
          <w:rFonts w:ascii="宋体" w:hAnsi="宋体"/>
        </w:rPr>
      </w:pPr>
      <w:r>
        <w:rPr>
          <w:rFonts w:hint="eastAsia" w:ascii="宋体" w:hAnsi="宋体"/>
        </w:rPr>
        <w:t>a、≤50毫米及以下：整体式锻造青铜/黄铜阀体，丝扣连接。须符合相关GB/ EN标准的要求；</w:t>
      </w:r>
    </w:p>
    <w:p w14:paraId="587A0665">
      <w:pPr>
        <w:rPr>
          <w:rFonts w:ascii="宋体" w:hAnsi="宋体"/>
        </w:rPr>
      </w:pPr>
      <w:r>
        <w:rPr>
          <w:rFonts w:hint="eastAsia" w:ascii="宋体" w:hAnsi="宋体"/>
        </w:rPr>
        <w:t>b、≥65毫米及以：采用铸铁QT450/碳钢阀体，阀杆：不锈钢；须符合相关GB/ EN标准的要求；表面应采取喷涂环氧树脂等防腐及耐磨处理措施。</w:t>
      </w:r>
    </w:p>
    <w:p w14:paraId="5A289EA1">
      <w:pPr>
        <w:rPr>
          <w:rFonts w:ascii="宋体" w:hAnsi="宋体"/>
        </w:rPr>
      </w:pPr>
      <w:r>
        <w:rPr>
          <w:rFonts w:hint="eastAsia" w:ascii="宋体" w:hAnsi="宋体"/>
        </w:rPr>
        <w:t>5）Y型过滤器</w:t>
      </w:r>
    </w:p>
    <w:p w14:paraId="5F6CED67">
      <w:pPr>
        <w:rPr>
          <w:rFonts w:ascii="宋体" w:hAnsi="宋体"/>
        </w:rPr>
      </w:pPr>
      <w:r>
        <w:rPr>
          <w:rFonts w:hint="eastAsia" w:ascii="宋体" w:hAnsi="宋体"/>
        </w:rPr>
        <w:t>a、DN≤50毫米的管道，采用整体式锻造青铜/黄铜阀体；DN≥65毫米的管道，采用铸铁QT450/碳钢阀体。</w:t>
      </w:r>
    </w:p>
    <w:p w14:paraId="582F6F25">
      <w:pPr>
        <w:rPr>
          <w:rFonts w:ascii="宋体" w:hAnsi="宋体"/>
        </w:rPr>
      </w:pPr>
      <w:r>
        <w:rPr>
          <w:rFonts w:hint="eastAsia" w:ascii="宋体" w:hAnsi="宋体"/>
        </w:rPr>
        <w:t>b、表面处理：应采取喷涂环氧树脂等防腐及耐磨处理措施。</w:t>
      </w:r>
    </w:p>
    <w:p w14:paraId="27097D11">
      <w:pPr>
        <w:rPr>
          <w:rFonts w:ascii="宋体" w:hAnsi="宋体"/>
        </w:rPr>
      </w:pPr>
      <w:r>
        <w:rPr>
          <w:rFonts w:hint="eastAsia" w:ascii="宋体" w:hAnsi="宋体"/>
        </w:rPr>
        <w:t>c、滤网：为304不锈钢板一次冲压成型，滤网总面积至少为管道内面积的三倍。</w:t>
      </w:r>
    </w:p>
    <w:p w14:paraId="69DB057C">
      <w:pPr>
        <w:rPr>
          <w:rFonts w:ascii="宋体" w:hAnsi="宋体"/>
        </w:rPr>
      </w:pPr>
      <w:r>
        <w:rPr>
          <w:rFonts w:hint="eastAsia" w:ascii="宋体" w:hAnsi="宋体"/>
        </w:rPr>
        <w:t>6）不锈钢金属软接</w:t>
      </w:r>
    </w:p>
    <w:p w14:paraId="78EFF441">
      <w:pPr>
        <w:rPr>
          <w:rFonts w:ascii="宋体" w:hAnsi="宋体"/>
        </w:rPr>
      </w:pPr>
      <w:r>
        <w:rPr>
          <w:rFonts w:hint="eastAsia" w:ascii="宋体" w:hAnsi="宋体"/>
        </w:rPr>
        <w:t>a、口径≤50毫米及以下外螺纹连接，口径＞50毫米及以上法兰连接。</w:t>
      </w:r>
    </w:p>
    <w:p w14:paraId="0B421304">
      <w:pPr>
        <w:rPr>
          <w:rFonts w:ascii="宋体" w:hAnsi="宋体"/>
        </w:rPr>
      </w:pPr>
      <w:r>
        <w:rPr>
          <w:rFonts w:hint="eastAsia" w:ascii="宋体" w:hAnsi="宋体"/>
        </w:rPr>
        <w:t>b、不锈钢金属软接的承压均不得低于1.6MPa。</w:t>
      </w:r>
    </w:p>
    <w:p w14:paraId="6E76EA5A">
      <w:pPr>
        <w:pStyle w:val="76"/>
        <w:outlineLvl w:val="2"/>
      </w:pPr>
      <w:r>
        <w:rPr>
          <w:rFonts w:hint="eastAsia"/>
        </w:rPr>
        <w:t>保温工程</w:t>
      </w:r>
    </w:p>
    <w:p w14:paraId="35522FA0">
      <w:pPr>
        <w:ind w:firstLine="420" w:firstLineChars="200"/>
        <w:rPr>
          <w:rFonts w:ascii="宋体" w:hAnsi="宋体"/>
        </w:rPr>
      </w:pPr>
      <w:r>
        <w:rPr>
          <w:rFonts w:hint="eastAsia" w:ascii="宋体" w:hAnsi="宋体"/>
        </w:rPr>
        <w:t>作业内容及技术要求</w:t>
      </w:r>
    </w:p>
    <w:p w14:paraId="4581F3A1">
      <w:pPr>
        <w:ind w:firstLine="420" w:firstLineChars="200"/>
        <w:rPr>
          <w:rFonts w:ascii="宋体" w:hAnsi="宋体"/>
        </w:rPr>
      </w:pPr>
      <w:r>
        <w:rPr>
          <w:rFonts w:hint="eastAsia" w:ascii="宋体" w:hAnsi="宋体"/>
        </w:rPr>
        <w:t>• 冷冻水管道、冷热共用管道、空调冷凝水、空调送风管、回风管、新风管采用采用难燃B1级橡塑保温,保温厚度和材质要求参照图纸和相应技术规范，室外部分要求保温外敷设铝皮，铝皮厚度不小于0.5mm.保温材料需有消防法规认可的相关证书和检验报告.</w:t>
      </w:r>
    </w:p>
    <w:p w14:paraId="4D56CF28">
      <w:pPr>
        <w:rPr>
          <w:rFonts w:ascii="宋体" w:hAnsi="宋体"/>
        </w:rPr>
      </w:pPr>
      <w:r>
        <w:rPr>
          <w:rFonts w:hint="eastAsia" w:ascii="宋体" w:hAnsi="宋体"/>
        </w:rPr>
        <w:t>• 冷水管、不大于60°C的热水管道、冷凝水管采用难燃B1级复合橡塑保温材料，不燃A级铝箔贴面，湿阻因子≥10000，符合国家“GB8624-2012”中的管状绝热材料B级标准。导热系数：λ(w/m°C)：≤0.032(0°C时)，≤0.034(20°C时)，≤0.037(40°C时)；保温厚度要求参见设计图纸。</w:t>
      </w:r>
    </w:p>
    <w:p w14:paraId="3BD37D39">
      <w:pPr>
        <w:ind w:firstLine="420" w:firstLineChars="200"/>
        <w:rPr>
          <w:rFonts w:ascii="宋体" w:hAnsi="宋体"/>
        </w:rPr>
      </w:pPr>
      <w:r>
        <w:rPr>
          <w:rFonts w:hint="eastAsia" w:ascii="宋体" w:hAnsi="宋体"/>
        </w:rPr>
        <w:t>• 空调风管保温采用：带加强型贴面的离心玻璃棉，并符合下列要求：</w:t>
      </w:r>
    </w:p>
    <w:p w14:paraId="6E64AA43">
      <w:pPr>
        <w:pStyle w:val="32"/>
        <w:numPr>
          <w:ilvl w:val="0"/>
          <w:numId w:val="10"/>
        </w:numPr>
        <w:ind w:firstLineChars="0"/>
        <w:rPr>
          <w:rFonts w:ascii="宋体" w:hAnsi="宋体"/>
        </w:rPr>
      </w:pPr>
      <w:r>
        <w:rPr>
          <w:rFonts w:hint="eastAsia" w:ascii="宋体" w:hAnsi="宋体"/>
        </w:rPr>
        <w:t>带加强型贴面的离心玻璃棉应符合GB/T5464-2010A级不燃性标准，导热系数 ≤ 0.034W/m.K(20°C时)，容重为32kg/m3，厚度为30mm，吸湿性≤3%(在温度49°C，相对湿度95%条件下)，湿气透过率最大不超过9.75X10-5g/24.m2，防潮贴面为4层复合结构，内含金属化聚丙烯膜防潮、防腐贴面，厚度不小于0.0254mm，并且有良好的机械性和抗冲击性能。</w:t>
      </w:r>
    </w:p>
    <w:p w14:paraId="5EFAB44F">
      <w:pPr>
        <w:pStyle w:val="32"/>
        <w:numPr>
          <w:ilvl w:val="0"/>
          <w:numId w:val="10"/>
        </w:numPr>
        <w:ind w:firstLineChars="0"/>
        <w:rPr>
          <w:rFonts w:ascii="宋体" w:hAnsi="宋体"/>
        </w:rPr>
      </w:pPr>
      <w:r>
        <w:rPr>
          <w:rFonts w:hint="eastAsia" w:ascii="宋体" w:hAnsi="宋体"/>
        </w:rPr>
        <w:t>所有胶带为原厂配置的不燃性环保铝箔粘胶，宽度为50mm。</w:t>
      </w:r>
    </w:p>
    <w:p w14:paraId="5AFB313F">
      <w:pPr>
        <w:pStyle w:val="32"/>
        <w:numPr>
          <w:ilvl w:val="0"/>
          <w:numId w:val="10"/>
        </w:numPr>
        <w:ind w:firstLineChars="0"/>
        <w:rPr>
          <w:rFonts w:ascii="宋体" w:hAnsi="宋体"/>
        </w:rPr>
      </w:pPr>
      <w:r>
        <w:rPr>
          <w:rFonts w:hint="eastAsia" w:ascii="宋体" w:hAnsi="宋体"/>
        </w:rPr>
        <w:t>符合设计要求及有关规范、标准要求。</w:t>
      </w:r>
    </w:p>
    <w:p w14:paraId="260F73E4">
      <w:pPr>
        <w:numPr>
          <w:ilvl w:val="0"/>
          <w:numId w:val="11"/>
        </w:numPr>
        <w:rPr>
          <w:rFonts w:ascii="宋体" w:hAnsi="宋体"/>
        </w:rPr>
      </w:pPr>
      <w:r>
        <w:rPr>
          <w:rFonts w:hint="eastAsia" w:ascii="宋体" w:hAnsi="宋体"/>
        </w:rPr>
        <w:t>保温安装应于管路清洗试压经业主、监理会同审核合格后进行。</w:t>
      </w:r>
    </w:p>
    <w:p w14:paraId="289C34AD">
      <w:pPr>
        <w:numPr>
          <w:ilvl w:val="0"/>
          <w:numId w:val="11"/>
        </w:numPr>
        <w:rPr>
          <w:rFonts w:ascii="宋体" w:hAnsi="宋体"/>
        </w:rPr>
      </w:pPr>
      <w:r>
        <w:rPr>
          <w:rFonts w:hint="eastAsia" w:ascii="宋体" w:hAnsi="宋体"/>
        </w:rPr>
        <w:t>依照厂商说明书安装保温材料。</w:t>
      </w:r>
    </w:p>
    <w:p w14:paraId="7DD36DD9">
      <w:pPr>
        <w:numPr>
          <w:ilvl w:val="0"/>
          <w:numId w:val="11"/>
        </w:numPr>
        <w:rPr>
          <w:rFonts w:ascii="宋体" w:hAnsi="宋体"/>
        </w:rPr>
      </w:pPr>
      <w:r>
        <w:rPr>
          <w:rFonts w:hint="eastAsia" w:ascii="宋体" w:hAnsi="宋体"/>
        </w:rPr>
        <w:t>穿越墙壁、梁等结构物时，保温及其防水气护层须连续施工不得中断。</w:t>
      </w:r>
    </w:p>
    <w:p w14:paraId="0CFB6FA3">
      <w:pPr>
        <w:numPr>
          <w:ilvl w:val="0"/>
          <w:numId w:val="11"/>
        </w:numPr>
        <w:rPr>
          <w:rFonts w:ascii="宋体" w:hAnsi="宋体"/>
        </w:rPr>
      </w:pPr>
      <w:r>
        <w:rPr>
          <w:rFonts w:hint="eastAsia" w:ascii="宋体" w:hAnsi="宋体"/>
        </w:rPr>
        <w:t>露明之管线，须将保温材料及护层之接缝置于不明显处。</w:t>
      </w:r>
    </w:p>
    <w:p w14:paraId="7F583DD1">
      <w:pPr>
        <w:numPr>
          <w:ilvl w:val="0"/>
          <w:numId w:val="11"/>
        </w:numPr>
        <w:rPr>
          <w:rFonts w:ascii="宋体" w:hAnsi="宋体"/>
        </w:rPr>
      </w:pPr>
      <w:r>
        <w:rPr>
          <w:rFonts w:hint="eastAsia" w:ascii="宋体" w:hAnsi="宋体"/>
        </w:rPr>
        <w:t>安装防水气护层之保温管，所有管配件、阀类、由令、法兰、过滤器、弹性接头及伸缩接头等处均须加以保温。</w:t>
      </w:r>
    </w:p>
    <w:p w14:paraId="16932EE9">
      <w:pPr>
        <w:pStyle w:val="76"/>
        <w:outlineLvl w:val="2"/>
        <w:rPr>
          <w:sz w:val="24"/>
        </w:rPr>
      </w:pPr>
      <w:r>
        <w:rPr>
          <w:rFonts w:hint="eastAsia"/>
        </w:rPr>
        <w:t>防腐</w:t>
      </w:r>
    </w:p>
    <w:p w14:paraId="4EA54581">
      <w:pPr>
        <w:numPr>
          <w:ilvl w:val="0"/>
          <w:numId w:val="11"/>
        </w:numPr>
        <w:rPr>
          <w:rFonts w:ascii="宋体" w:hAnsi="宋体"/>
        </w:rPr>
      </w:pPr>
      <w:r>
        <w:rPr>
          <w:rFonts w:hint="eastAsia" w:ascii="宋体" w:hAnsi="宋体"/>
        </w:rPr>
        <w:t>工作范围：包括以上系统内的配管，支架等。</w:t>
      </w:r>
    </w:p>
    <w:p w14:paraId="073F8091">
      <w:pPr>
        <w:numPr>
          <w:ilvl w:val="0"/>
          <w:numId w:val="11"/>
        </w:numPr>
        <w:rPr>
          <w:rFonts w:ascii="宋体" w:hAnsi="宋体"/>
        </w:rPr>
      </w:pPr>
      <w:r>
        <w:rPr>
          <w:rFonts w:hint="eastAsia" w:ascii="宋体" w:hAnsi="宋体"/>
        </w:rPr>
        <w:t>喷砂除锈，其除锈度应符合Sa 2.5级，以电动钢刷除锈应符合St 3级，经除锈后之钢材其表面均应有金属光泽之出现。</w:t>
      </w:r>
    </w:p>
    <w:p w14:paraId="1F32DD17">
      <w:pPr>
        <w:numPr>
          <w:ilvl w:val="0"/>
          <w:numId w:val="11"/>
        </w:numPr>
        <w:rPr>
          <w:rFonts w:ascii="宋体" w:hAnsi="宋体"/>
        </w:rPr>
      </w:pPr>
      <w:r>
        <w:rPr>
          <w:rFonts w:hint="eastAsia" w:ascii="宋体" w:hAnsi="宋体"/>
        </w:rPr>
        <w:t>镀锌构件镀锌层厚度不小于80um。</w:t>
      </w:r>
    </w:p>
    <w:p w14:paraId="350643B6">
      <w:pPr>
        <w:numPr>
          <w:ilvl w:val="0"/>
          <w:numId w:val="11"/>
        </w:numPr>
        <w:rPr>
          <w:rFonts w:ascii="宋体" w:hAnsi="宋体"/>
        </w:rPr>
      </w:pPr>
      <w:r>
        <w:rPr>
          <w:rFonts w:hint="eastAsia" w:ascii="宋体" w:hAnsi="宋体"/>
        </w:rPr>
        <w:t>室外支架全部使用热镀锌型材，镀锌厚度不小于80um</w:t>
      </w:r>
    </w:p>
    <w:p w14:paraId="57F82B44">
      <w:pPr>
        <w:pStyle w:val="75"/>
        <w:outlineLvl w:val="1"/>
      </w:pPr>
      <w:r>
        <w:rPr>
          <w:rFonts w:hint="eastAsia"/>
        </w:rPr>
        <w:t>给排水系统</w:t>
      </w:r>
    </w:p>
    <w:p w14:paraId="7845F028">
      <w:pPr>
        <w:pStyle w:val="76"/>
        <w:outlineLvl w:val="2"/>
      </w:pPr>
      <w:r>
        <w:rPr>
          <w:rFonts w:hint="eastAsia"/>
        </w:rPr>
        <w:t>给水系统</w:t>
      </w:r>
    </w:p>
    <w:p w14:paraId="6FA5976B">
      <w:pPr>
        <w:pStyle w:val="77"/>
      </w:pPr>
      <w:r>
        <w:rPr>
          <w:rFonts w:hint="eastAsia"/>
        </w:rPr>
        <w:t>工作范围及技术要求</w:t>
      </w:r>
    </w:p>
    <w:p w14:paraId="5C13113C">
      <w:pPr>
        <w:ind w:firstLine="420"/>
        <w:rPr>
          <w:rFonts w:ascii="宋体" w:hAnsi="宋体"/>
        </w:rPr>
      </w:pPr>
      <w:r>
        <w:rPr>
          <w:rFonts w:hint="eastAsia" w:ascii="宋体" w:hAnsi="宋体"/>
        </w:rPr>
        <w:t>●二层给水管接自原有给水立管J1yL-2C、J1yL-1C。九层给水管接自原有给水立管J2yL-2C、J2yL-1C。管段需安装切断及水表。</w:t>
      </w:r>
    </w:p>
    <w:p w14:paraId="2390E75F">
      <w:pPr>
        <w:ind w:firstLine="420"/>
        <w:rPr>
          <w:rFonts w:ascii="宋体" w:hAnsi="宋体"/>
        </w:rPr>
      </w:pPr>
      <w:r>
        <w:rPr>
          <w:rFonts w:hint="eastAsia" w:ascii="宋体" w:hAnsi="宋体"/>
        </w:rPr>
        <w:t>●给水管进入主机房等区域安装阀门并接到每个用水点。</w:t>
      </w:r>
    </w:p>
    <w:p w14:paraId="5AF5FD2E">
      <w:pPr>
        <w:ind w:firstLine="420"/>
        <w:rPr>
          <w:rFonts w:ascii="宋体" w:hAnsi="宋体"/>
        </w:rPr>
      </w:pPr>
      <w:r>
        <w:rPr>
          <w:rFonts w:hint="eastAsia" w:ascii="宋体" w:hAnsi="宋体"/>
        </w:rPr>
        <w:t>●给水管道、阀门、设备等需有卫生许可证，满足国家法规要求。</w:t>
      </w:r>
    </w:p>
    <w:p w14:paraId="7902119D">
      <w:pPr>
        <w:ind w:firstLine="420"/>
        <w:rPr>
          <w:rFonts w:ascii="宋体" w:hAnsi="宋体"/>
        </w:rPr>
      </w:pPr>
      <w:r>
        <w:rPr>
          <w:rFonts w:hint="eastAsia" w:ascii="宋体" w:hAnsi="宋体"/>
        </w:rPr>
        <w:t>●安装水表前必须的阀门、真空破坏器、过滤器、压力表等；</w:t>
      </w:r>
    </w:p>
    <w:p w14:paraId="6C407525">
      <w:pPr>
        <w:ind w:firstLine="420"/>
        <w:rPr>
          <w:rFonts w:ascii="宋体" w:hAnsi="宋体"/>
        </w:rPr>
      </w:pPr>
      <w:r>
        <w:rPr>
          <w:rFonts w:hint="eastAsia" w:ascii="宋体" w:hAnsi="宋体"/>
        </w:rPr>
        <w:t>●减压阀以及减压阀前后必须的压力表和阀门等，压力表应根据设计要求压力选用。</w:t>
      </w:r>
    </w:p>
    <w:p w14:paraId="0A109537">
      <w:pPr>
        <w:ind w:firstLine="420"/>
        <w:rPr>
          <w:rFonts w:ascii="宋体" w:hAnsi="宋体"/>
        </w:rPr>
      </w:pPr>
      <w:r>
        <w:rPr>
          <w:rFonts w:hint="eastAsia" w:ascii="宋体" w:hAnsi="宋体"/>
        </w:rPr>
        <w:t>●各类管道穿土建墙体且土建未预留的开洞，及安装好后的所有墙洞的防火封堵。</w:t>
      </w:r>
    </w:p>
    <w:p w14:paraId="4266ABB3">
      <w:pPr>
        <w:ind w:firstLine="420"/>
        <w:rPr>
          <w:rFonts w:ascii="宋体" w:hAnsi="宋体"/>
        </w:rPr>
      </w:pPr>
      <w:r>
        <w:rPr>
          <w:rFonts w:hint="eastAsia" w:ascii="宋体" w:hAnsi="宋体"/>
        </w:rPr>
        <w:t>●设备基础及环氧（建筑未预留的部分）</w:t>
      </w:r>
    </w:p>
    <w:p w14:paraId="67DBB25E">
      <w:pPr>
        <w:ind w:firstLine="420"/>
        <w:rPr>
          <w:rFonts w:ascii="宋体" w:hAnsi="宋体"/>
        </w:rPr>
      </w:pPr>
      <w:r>
        <w:rPr>
          <w:rFonts w:hint="eastAsia" w:ascii="宋体" w:hAnsi="宋体"/>
        </w:rPr>
        <w:t>●设备及管道抗震支架</w:t>
      </w:r>
    </w:p>
    <w:p w14:paraId="68F44AD9">
      <w:pPr>
        <w:ind w:firstLine="420"/>
        <w:rPr>
          <w:rFonts w:ascii="宋体" w:hAnsi="宋体"/>
        </w:rPr>
      </w:pPr>
      <w:r>
        <w:rPr>
          <w:rFonts w:hint="eastAsia" w:ascii="宋体" w:hAnsi="宋体"/>
        </w:rPr>
        <w:t xml:space="preserve">●给水需配置智能化水表，水表等智能仪表预留监控接口,以接入智能化系统 </w:t>
      </w:r>
    </w:p>
    <w:p w14:paraId="5DD6865E">
      <w:pPr>
        <w:ind w:firstLine="420"/>
        <w:rPr>
          <w:rFonts w:ascii="宋体" w:hAnsi="宋体"/>
        </w:rPr>
      </w:pPr>
      <w:r>
        <w:rPr>
          <w:rFonts w:hint="eastAsia" w:ascii="宋体" w:hAnsi="宋体"/>
        </w:rPr>
        <w:t>●负责管道的冲洗和试压，冲洗试压用水由包商负责。包括冲洗试压的排水工作。</w:t>
      </w:r>
    </w:p>
    <w:p w14:paraId="4DCA7796">
      <w:pPr>
        <w:pStyle w:val="77"/>
      </w:pPr>
      <w:r>
        <w:rPr>
          <w:rFonts w:hint="eastAsia"/>
        </w:rPr>
        <w:t>设备及材料技术要求</w:t>
      </w:r>
    </w:p>
    <w:p w14:paraId="41335AF8">
      <w:pPr>
        <w:ind w:firstLine="420"/>
        <w:rPr>
          <w:rFonts w:ascii="宋体" w:hAnsi="宋体"/>
        </w:rPr>
      </w:pPr>
      <w:r>
        <w:rPr>
          <w:rFonts w:hint="eastAsia" w:ascii="宋体" w:hAnsi="宋体"/>
        </w:rPr>
        <w:t>●本工程生活给水系统中室内给水干管、立管、冷水支管（明敷）采用S31603不锈钢，当管径大于DN100时，采用沟槽或承插压合；管径小于等于DN100时，采用双卡压。冷水支管（暗埋墙）采用S31603不锈钢（覆塑）管径小于DN100时，采用双卡压。所采用的管材均应符合现行国家及地方现行产品标准的要求。</w:t>
      </w:r>
    </w:p>
    <w:p w14:paraId="0D37FB3E">
      <w:pPr>
        <w:ind w:firstLine="420"/>
        <w:rPr>
          <w:rFonts w:ascii="宋体" w:hAnsi="宋体"/>
        </w:rPr>
      </w:pPr>
      <w:r>
        <w:rPr>
          <w:rFonts w:hint="eastAsia" w:ascii="宋体" w:hAnsi="宋体"/>
        </w:rPr>
        <w:t>●给水系统均设置计量水表，按不同使用单元、不同使用功能、用途分别计量;</w:t>
      </w:r>
    </w:p>
    <w:p w14:paraId="5CDFED89">
      <w:pPr>
        <w:ind w:firstLine="420"/>
        <w:rPr>
          <w:rFonts w:ascii="宋体" w:hAnsi="宋体"/>
        </w:rPr>
      </w:pPr>
      <w:r>
        <w:rPr>
          <w:rFonts w:hint="eastAsia" w:ascii="宋体" w:hAnsi="宋体"/>
        </w:rPr>
        <w:t>●给水管道上的球阀采用不锈钢球阀。阀门口径＜DN50采用不锈钢球阀，阀门口径≥DN50采用铸钢闸阀或蝶阀；不锈钢阀芯，止回阀采用缓闭止回阀。所有阀门工作压力均与系统相匹配。选用性能高、零泄漏的阀门。</w:t>
      </w:r>
    </w:p>
    <w:p w14:paraId="4A9DA20E">
      <w:pPr>
        <w:ind w:firstLine="420"/>
        <w:rPr>
          <w:rFonts w:ascii="宋体" w:hAnsi="宋体"/>
        </w:rPr>
      </w:pPr>
      <w:r>
        <w:rPr>
          <w:rFonts w:hint="eastAsia" w:ascii="宋体" w:hAnsi="宋体"/>
        </w:rPr>
        <w:t>●给水系统中，各层给水压力超过0.20MPa处设置有支管减压阀减压，使用水点供水压力不大于0.20MPa。</w:t>
      </w:r>
    </w:p>
    <w:p w14:paraId="15302A8D">
      <w:pPr>
        <w:pStyle w:val="76"/>
        <w:outlineLvl w:val="2"/>
      </w:pPr>
      <w:r>
        <w:rPr>
          <w:rFonts w:hint="eastAsia"/>
        </w:rPr>
        <w:t>排水系统</w:t>
      </w:r>
    </w:p>
    <w:p w14:paraId="034E0811">
      <w:pPr>
        <w:pStyle w:val="77"/>
      </w:pPr>
      <w:r>
        <w:rPr>
          <w:rFonts w:hint="eastAsia"/>
        </w:rPr>
        <w:t>工作范围及技术要求</w:t>
      </w:r>
    </w:p>
    <w:p w14:paraId="04CFA5F9">
      <w:pPr>
        <w:ind w:firstLine="420"/>
        <w:rPr>
          <w:rFonts w:ascii="宋体" w:hAnsi="宋体"/>
        </w:rPr>
      </w:pPr>
      <w:r>
        <w:rPr>
          <w:rFonts w:hint="eastAsia" w:ascii="宋体" w:hAnsi="宋体"/>
        </w:rPr>
        <w:t>●室内排水管道及相应附件</w:t>
      </w:r>
    </w:p>
    <w:p w14:paraId="1373F85C">
      <w:pPr>
        <w:ind w:firstLine="420"/>
        <w:rPr>
          <w:rFonts w:ascii="宋体" w:hAnsi="宋体"/>
        </w:rPr>
      </w:pPr>
      <w:r>
        <w:rPr>
          <w:rFonts w:hint="eastAsia" w:ascii="宋体" w:hAnsi="宋体"/>
        </w:rPr>
        <w:t>●各类管道穿土建墙体且土建未预留的开洞，及安装好后的所有墙洞的防火封堵。</w:t>
      </w:r>
    </w:p>
    <w:p w14:paraId="1548F91E">
      <w:pPr>
        <w:ind w:firstLine="420"/>
        <w:rPr>
          <w:rFonts w:ascii="宋体" w:hAnsi="宋体"/>
        </w:rPr>
      </w:pPr>
      <w:r>
        <w:rPr>
          <w:rFonts w:hint="eastAsia" w:ascii="宋体" w:hAnsi="宋体"/>
        </w:rPr>
        <w:t>●安装完成后的调试测试。</w:t>
      </w:r>
    </w:p>
    <w:p w14:paraId="5591F9A2">
      <w:pPr>
        <w:pStyle w:val="77"/>
      </w:pPr>
      <w:r>
        <w:rPr>
          <w:rFonts w:hint="eastAsia"/>
        </w:rPr>
        <w:t>设备及材料技术要求</w:t>
      </w:r>
    </w:p>
    <w:p w14:paraId="7DBF5F49">
      <w:pPr>
        <w:ind w:firstLine="420"/>
        <w:rPr>
          <w:rFonts w:ascii="宋体" w:hAnsi="宋体"/>
        </w:rPr>
      </w:pPr>
      <w:r>
        <w:rPr>
          <w:rFonts w:hint="eastAsia" w:ascii="宋体" w:hAnsi="宋体"/>
        </w:rPr>
        <w:t>●排水管道尺寸见相关图纸。</w:t>
      </w:r>
    </w:p>
    <w:p w14:paraId="7C371783">
      <w:pPr>
        <w:ind w:firstLine="420"/>
        <w:rPr>
          <w:rFonts w:ascii="宋体" w:hAnsi="宋体"/>
        </w:rPr>
      </w:pPr>
      <w:r>
        <w:rPr>
          <w:rFonts w:hint="eastAsia" w:ascii="宋体" w:hAnsi="宋体"/>
        </w:rPr>
        <w:t>●管件包括接头、弯头、三通、Y型过滤器、检查口、清扫口、阻火圈、存水弯和地漏等。</w:t>
      </w:r>
    </w:p>
    <w:p w14:paraId="542F544E">
      <w:pPr>
        <w:ind w:firstLine="420"/>
        <w:rPr>
          <w:rFonts w:ascii="宋体" w:hAnsi="宋体"/>
        </w:rPr>
      </w:pPr>
      <w:r>
        <w:rPr>
          <w:rFonts w:hint="eastAsia" w:ascii="宋体" w:hAnsi="宋体"/>
        </w:rPr>
        <w:t>●根据厂家建议的方法进行管道连接。</w:t>
      </w:r>
    </w:p>
    <w:p w14:paraId="4E35C40C">
      <w:pPr>
        <w:ind w:firstLine="420"/>
        <w:rPr>
          <w:rFonts w:ascii="宋体" w:hAnsi="宋体"/>
        </w:rPr>
      </w:pPr>
      <w:r>
        <w:rPr>
          <w:rFonts w:hint="eastAsia" w:ascii="宋体" w:hAnsi="宋体"/>
        </w:rPr>
        <w:t>●所有管件应是成品。</w:t>
      </w:r>
    </w:p>
    <w:p w14:paraId="1A7CB07D">
      <w:pPr>
        <w:ind w:firstLine="420"/>
        <w:rPr>
          <w:rFonts w:ascii="宋体" w:hAnsi="宋体"/>
        </w:rPr>
      </w:pPr>
      <w:r>
        <w:rPr>
          <w:rFonts w:hint="eastAsia" w:ascii="宋体" w:hAnsi="宋体"/>
        </w:rPr>
        <w:t>●排水管均需设置通气管到屋面，屋面通气管高出屋面不得低于规范要求。</w:t>
      </w:r>
    </w:p>
    <w:p w14:paraId="350650E6">
      <w:pPr>
        <w:ind w:firstLine="420"/>
        <w:rPr>
          <w:rFonts w:ascii="宋体" w:hAnsi="宋体"/>
        </w:rPr>
      </w:pPr>
      <w:r>
        <w:rPr>
          <w:rFonts w:hint="eastAsia" w:ascii="宋体" w:hAnsi="宋体"/>
        </w:rPr>
        <w:t>●排水水平管不得使用塑料吊卡，需使用成品金属吊卡。</w:t>
      </w:r>
    </w:p>
    <w:p w14:paraId="44AA7106">
      <w:pPr>
        <w:ind w:firstLine="420"/>
        <w:rPr>
          <w:rFonts w:ascii="宋体" w:hAnsi="宋体"/>
        </w:rPr>
      </w:pPr>
      <w:r>
        <w:rPr>
          <w:rFonts w:hint="eastAsia" w:ascii="宋体" w:hAnsi="宋体"/>
        </w:rPr>
        <w:t>●地漏采用磁性密封防干涸地漏。根据GB要求提供地漏、地漏存水弯应有100mm的盖板，盖板为不锈钢盖板。水封深度不小于50mm。</w:t>
      </w:r>
    </w:p>
    <w:p w14:paraId="3DA93880">
      <w:pPr>
        <w:ind w:firstLine="420"/>
        <w:rPr>
          <w:rFonts w:ascii="宋体" w:hAnsi="宋体"/>
        </w:rPr>
      </w:pPr>
      <w:r>
        <w:rPr>
          <w:rFonts w:hint="eastAsia" w:ascii="宋体" w:hAnsi="宋体"/>
        </w:rPr>
        <w:t>●PVC-U管道和管件应符合现行国标要求，即《建筑排水PVC-U管道技术规程》(CJJ/T29-98)、《建筑排水用PVC-U管材及管件》(GB/T5836)</w:t>
      </w:r>
    </w:p>
    <w:p w14:paraId="065011A7">
      <w:pPr>
        <w:pStyle w:val="76"/>
        <w:outlineLvl w:val="2"/>
      </w:pPr>
      <w:r>
        <w:rPr>
          <w:rFonts w:hint="eastAsia"/>
        </w:rPr>
        <w:t xml:space="preserve">室内消火栓系统及灭火器系统 </w:t>
      </w:r>
    </w:p>
    <w:p w14:paraId="790F285F">
      <w:pPr>
        <w:pStyle w:val="77"/>
      </w:pPr>
      <w:r>
        <w:rPr>
          <w:rFonts w:hint="eastAsia"/>
        </w:rPr>
        <w:t xml:space="preserve">工作范围及技术要求 </w:t>
      </w:r>
    </w:p>
    <w:p w14:paraId="06A6D4AE">
      <w:pPr>
        <w:ind w:firstLine="420"/>
        <w:rPr>
          <w:rFonts w:ascii="宋体" w:hAnsi="宋体"/>
        </w:rPr>
      </w:pPr>
      <w:r>
        <w:rPr>
          <w:rFonts w:hint="eastAsia" w:ascii="宋体" w:hAnsi="宋体"/>
        </w:rPr>
        <w:t>●室内消火栓管道、消火栓箱及相应附件</w:t>
      </w:r>
    </w:p>
    <w:p w14:paraId="206F2A52">
      <w:pPr>
        <w:ind w:firstLine="420"/>
        <w:rPr>
          <w:rFonts w:ascii="宋体" w:hAnsi="宋体"/>
        </w:rPr>
      </w:pPr>
      <w:r>
        <w:rPr>
          <w:rFonts w:hint="eastAsia" w:ascii="宋体" w:hAnsi="宋体"/>
        </w:rPr>
        <w:t>●各类管道穿土建墙体且土建未预留的开洞，及安装好后的所有墙洞的防火封堵。</w:t>
      </w:r>
    </w:p>
    <w:p w14:paraId="3928822C">
      <w:pPr>
        <w:ind w:firstLine="420"/>
        <w:rPr>
          <w:rFonts w:ascii="宋体" w:hAnsi="宋体"/>
        </w:rPr>
      </w:pPr>
      <w:r>
        <w:rPr>
          <w:rFonts w:hint="eastAsia" w:ascii="宋体" w:hAnsi="宋体"/>
        </w:rPr>
        <w:t>●安装完成后的调试测试。</w:t>
      </w:r>
    </w:p>
    <w:p w14:paraId="4821D0F7">
      <w:pPr>
        <w:pStyle w:val="77"/>
      </w:pPr>
      <w:r>
        <w:rPr>
          <w:rFonts w:hint="eastAsia"/>
        </w:rPr>
        <w:t>设备材料及技术要求</w:t>
      </w:r>
    </w:p>
    <w:p w14:paraId="1F91EF9C">
      <w:pPr>
        <w:ind w:firstLine="420"/>
        <w:rPr>
          <w:rFonts w:ascii="宋体" w:hAnsi="宋体"/>
        </w:rPr>
      </w:pPr>
      <w:r>
        <w:rPr>
          <w:rFonts w:hint="eastAsia" w:ascii="宋体" w:hAnsi="宋体"/>
        </w:rPr>
        <w:t xml:space="preserve">1）室内消火栓分为明装和暗装两种形式： </w:t>
      </w:r>
    </w:p>
    <w:p w14:paraId="2DD94A89">
      <w:pPr>
        <w:ind w:firstLine="420"/>
        <w:rPr>
          <w:rFonts w:ascii="宋体" w:hAnsi="宋体"/>
        </w:rPr>
      </w:pPr>
      <w:r>
        <w:rPr>
          <w:rFonts w:hint="eastAsia" w:ascii="宋体" w:hAnsi="宋体"/>
        </w:rPr>
        <w:t xml:space="preserve">明装消火栓采用组合式，整体材质为304不锈钢（原色）并红漆印字，钢板壁厚不低于1.2mm； </w:t>
      </w:r>
    </w:p>
    <w:p w14:paraId="21D3D0DB">
      <w:pPr>
        <w:ind w:firstLine="420"/>
        <w:rPr>
          <w:rFonts w:ascii="宋体" w:hAnsi="宋体"/>
        </w:rPr>
      </w:pPr>
      <w:r>
        <w:rPr>
          <w:rFonts w:hint="eastAsia" w:ascii="宋体" w:hAnsi="宋体"/>
        </w:rPr>
        <w:t>暗装消火栓嵌入墙体，整体材质为304不锈钢（原色）并红漆印字，钢板壁厚不低于1.2mm 消火栓嵌与实体墙上时，其背面应设置100厚的衬墙以满足耐火极限要求。</w:t>
      </w:r>
    </w:p>
    <w:p w14:paraId="10538E76">
      <w:pPr>
        <w:ind w:firstLine="420"/>
        <w:rPr>
          <w:rFonts w:ascii="宋体" w:hAnsi="宋体"/>
        </w:rPr>
      </w:pPr>
      <w:r>
        <w:rPr>
          <w:rFonts w:hint="eastAsia" w:ascii="宋体" w:hAnsi="宋体"/>
        </w:rPr>
        <w:t>2）按照规范设置消火栓及灭火器，灭火器总数（按图纸设计要求）要比按规范要求的数量增加20%。</w:t>
      </w:r>
    </w:p>
    <w:p w14:paraId="61E85FE7">
      <w:pPr>
        <w:ind w:firstLine="420"/>
        <w:rPr>
          <w:rFonts w:ascii="宋体" w:hAnsi="宋体"/>
        </w:rPr>
      </w:pPr>
      <w:r>
        <w:rPr>
          <w:rFonts w:hint="eastAsia" w:ascii="宋体" w:hAnsi="宋体"/>
        </w:rPr>
        <w:t xml:space="preserve">3)压力表选用不锈钢压力表，粘贴量程标签； </w:t>
      </w:r>
    </w:p>
    <w:p w14:paraId="5BCA1E66">
      <w:pPr>
        <w:ind w:firstLine="420"/>
        <w:rPr>
          <w:rFonts w:ascii="宋体" w:hAnsi="宋体"/>
        </w:rPr>
      </w:pPr>
      <w:r>
        <w:rPr>
          <w:rFonts w:hint="eastAsia" w:ascii="宋体" w:hAnsi="宋体"/>
        </w:rPr>
        <w:t xml:space="preserve">4）消火栓箱内设置消火栓报警按钮，按钮报警信号接入消防主机； </w:t>
      </w:r>
    </w:p>
    <w:p w14:paraId="20AA9957">
      <w:pPr>
        <w:ind w:firstLine="420"/>
        <w:rPr>
          <w:rFonts w:ascii="宋体" w:hAnsi="宋体"/>
        </w:rPr>
      </w:pPr>
      <w:r>
        <w:rPr>
          <w:rFonts w:hint="eastAsia" w:ascii="宋体" w:hAnsi="宋体"/>
        </w:rPr>
        <w:t>5）室内消火栓选用双层消火栓箱，上层设置1个消火栓、1支直径19mm直流水枪、1条宽65mm、长25m的水带和1组消防火灾报警按钮，下层设置2具灭火器。消火栓面板采用不锈钢面板（原色）并红漆印字；消防水带材质使用内衬为聚氨酯，外衬为涤纶长丝，承重不小于1.3MPa。</w:t>
      </w:r>
    </w:p>
    <w:p w14:paraId="1C984300">
      <w:pPr>
        <w:ind w:firstLine="420"/>
        <w:rPr>
          <w:rFonts w:ascii="宋体" w:hAnsi="宋体"/>
        </w:rPr>
      </w:pPr>
      <w:r>
        <w:rPr>
          <w:rFonts w:hint="eastAsia" w:ascii="宋体" w:hAnsi="宋体"/>
        </w:rPr>
        <w:t>6）机房及电池室配置推车式灭火器</w:t>
      </w:r>
    </w:p>
    <w:p w14:paraId="3578FC08">
      <w:pPr>
        <w:ind w:firstLine="420"/>
        <w:rPr>
          <w:rFonts w:ascii="宋体" w:hAnsi="宋体"/>
        </w:rPr>
      </w:pPr>
      <w:r>
        <w:rPr>
          <w:rFonts w:hint="eastAsia" w:ascii="宋体" w:hAnsi="宋体"/>
        </w:rPr>
        <w:t>7）室内消火栓管道采用内外热镀锌无缝钢管（无缝钢管做防腐措施），上述所有管道耐压16Kgf/cm2，*→壁厚符合国家规定的标准值。除与水泵、阀门采用法兰连接外，当管径小于或等于DN50时，应采用螺纹和卡压连接；当管径大于DN50时，应采用沟槽连接件连接、法兰连接；管径DN&gt;65还需增设防晃抗震支架。</w:t>
      </w:r>
    </w:p>
    <w:p w14:paraId="325E872B">
      <w:pPr>
        <w:ind w:firstLine="420"/>
        <w:rPr>
          <w:rFonts w:ascii="宋体" w:hAnsi="宋体"/>
        </w:rPr>
      </w:pPr>
      <w:r>
        <w:rPr>
          <w:rFonts w:hint="eastAsia" w:ascii="宋体" w:hAnsi="宋体"/>
        </w:rPr>
        <w:t>8)消防管道外应刷红色油漆或涂红色环圈标志，并应注明管道名称和水流方向标识。红色环圈标志，宽度不应小于20mm ，间隔不宜大于4m ，在一个独立的单元内环圈不宜少于2处。</w:t>
      </w:r>
    </w:p>
    <w:p w14:paraId="39358314">
      <w:pPr>
        <w:pStyle w:val="76"/>
        <w:outlineLvl w:val="2"/>
      </w:pPr>
      <w:r>
        <w:rPr>
          <w:rFonts w:hint="eastAsia"/>
        </w:rPr>
        <w:t>自动喷水灭火系统</w:t>
      </w:r>
    </w:p>
    <w:p w14:paraId="24B76DC8">
      <w:pPr>
        <w:pStyle w:val="77"/>
      </w:pPr>
      <w:r>
        <w:rPr>
          <w:rFonts w:hint="eastAsia"/>
        </w:rPr>
        <w:t xml:space="preserve">工作范围及技术要求 </w:t>
      </w:r>
    </w:p>
    <w:p w14:paraId="178586CF">
      <w:pPr>
        <w:ind w:firstLine="420"/>
        <w:rPr>
          <w:rFonts w:ascii="宋体" w:hAnsi="宋体"/>
        </w:rPr>
      </w:pPr>
      <w:r>
        <w:rPr>
          <w:rFonts w:hint="eastAsia" w:ascii="宋体" w:hAnsi="宋体"/>
        </w:rPr>
        <w:t>●喷淋管道、喷头及相应附件</w:t>
      </w:r>
    </w:p>
    <w:p w14:paraId="597AF4FF">
      <w:pPr>
        <w:ind w:firstLine="420"/>
        <w:rPr>
          <w:rFonts w:ascii="宋体" w:hAnsi="宋体"/>
        </w:rPr>
      </w:pPr>
      <w:r>
        <w:rPr>
          <w:rFonts w:hint="eastAsia" w:ascii="宋体" w:hAnsi="宋体"/>
        </w:rPr>
        <w:t>●各类管道穿土建墙体且土建未预留的开洞，及安装好后的所有墙洞的防火封堵。</w:t>
      </w:r>
    </w:p>
    <w:p w14:paraId="4E121474">
      <w:pPr>
        <w:ind w:firstLine="420"/>
        <w:rPr>
          <w:rFonts w:ascii="宋体" w:hAnsi="宋体"/>
        </w:rPr>
      </w:pPr>
      <w:r>
        <w:rPr>
          <w:rFonts w:hint="eastAsia" w:ascii="宋体" w:hAnsi="宋体"/>
        </w:rPr>
        <w:t>●安装完成后的调试测试。</w:t>
      </w:r>
    </w:p>
    <w:p w14:paraId="4473C5D1">
      <w:pPr>
        <w:pStyle w:val="77"/>
      </w:pPr>
      <w:r>
        <w:rPr>
          <w:rFonts w:hint="eastAsia"/>
        </w:rPr>
        <w:t>设备材料及技术要求</w:t>
      </w:r>
    </w:p>
    <w:p w14:paraId="1E36F403">
      <w:pPr>
        <w:ind w:firstLine="420"/>
        <w:rPr>
          <w:rFonts w:ascii="宋体" w:hAnsi="宋体"/>
        </w:rPr>
      </w:pPr>
      <w:r>
        <w:rPr>
          <w:rFonts w:hint="eastAsia" w:ascii="宋体" w:hAnsi="宋体"/>
        </w:rPr>
        <w:t xml:space="preserve">(1)DN65（含）以上的配管除采用支架固定外，还需增设防晃抗震支架；  </w:t>
      </w:r>
    </w:p>
    <w:p w14:paraId="580FF8FD">
      <w:pPr>
        <w:ind w:firstLine="420"/>
        <w:rPr>
          <w:rFonts w:ascii="宋体" w:hAnsi="宋体"/>
        </w:rPr>
      </w:pPr>
      <w:r>
        <w:rPr>
          <w:rFonts w:hint="eastAsia" w:ascii="宋体" w:hAnsi="宋体"/>
        </w:rPr>
        <w:t xml:space="preserve">(2)当安装高度小于3m，且在风管、电缆桥架管架及其他障碍物下安装喷头时，应有防护网保护措施； </w:t>
      </w:r>
    </w:p>
    <w:p w14:paraId="44F419DF">
      <w:pPr>
        <w:ind w:firstLine="420"/>
        <w:rPr>
          <w:rFonts w:ascii="宋体" w:hAnsi="宋体"/>
        </w:rPr>
      </w:pPr>
      <w:r>
        <w:rPr>
          <w:rFonts w:hint="eastAsia" w:ascii="宋体" w:hAnsi="宋体"/>
        </w:rPr>
        <w:t xml:space="preserve">(3)超过1.2m宽的风管、桥架组和等下方增设喷头，并按规范相关要求增加设集热罩，数量根据暖通风管参考图估算； </w:t>
      </w:r>
    </w:p>
    <w:p w14:paraId="15129AC5">
      <w:pPr>
        <w:ind w:firstLine="420"/>
        <w:rPr>
          <w:rFonts w:ascii="宋体" w:hAnsi="宋体"/>
        </w:rPr>
      </w:pPr>
      <w:r>
        <w:rPr>
          <w:rFonts w:hint="eastAsia" w:ascii="宋体" w:hAnsi="宋体"/>
        </w:rPr>
        <w:t>(4)阀组应是组装完全体，现场一体化安装，不再进行配管和切割。</w:t>
      </w:r>
    </w:p>
    <w:p w14:paraId="4E0FC9A5">
      <w:pPr>
        <w:ind w:firstLine="420"/>
        <w:rPr>
          <w:rFonts w:ascii="宋体" w:hAnsi="宋体"/>
        </w:rPr>
      </w:pPr>
      <w:r>
        <w:rPr>
          <w:rFonts w:hint="eastAsia" w:ascii="宋体" w:hAnsi="宋体"/>
        </w:rPr>
        <w:t>(5)阀组的压力表需要选用合适的量程，并粘贴量程标签。</w:t>
      </w:r>
    </w:p>
    <w:p w14:paraId="3A9BCE57">
      <w:pPr>
        <w:ind w:firstLine="420"/>
        <w:rPr>
          <w:rFonts w:ascii="宋体" w:hAnsi="宋体"/>
        </w:rPr>
      </w:pPr>
      <w:r>
        <w:rPr>
          <w:rFonts w:hint="eastAsia" w:ascii="宋体" w:hAnsi="宋体"/>
        </w:rPr>
        <w:t>(6)喷淋给水管道采用内外热镀锌无缝钢管（无缝钢管做防腐措施），上述所有管道耐压16Kgf/cm2，*→壁厚符合国家规定的标准值。当管径小于或等于DN50时，应采用螺纹和卡压连接；当管径大于DN50时，应采用沟槽连接件连接、法兰连接；管径DN&gt;65还需增设防晃抗震支架。</w:t>
      </w:r>
    </w:p>
    <w:p w14:paraId="761F8CEB">
      <w:pPr>
        <w:ind w:firstLine="420"/>
        <w:rPr>
          <w:rFonts w:ascii="宋体" w:hAnsi="宋体"/>
        </w:rPr>
      </w:pPr>
      <w:r>
        <w:rPr>
          <w:rFonts w:hint="eastAsia" w:ascii="宋体" w:hAnsi="宋体"/>
        </w:rPr>
        <w:t>(7)消防管道外应刷红色油漆或涂红色环圈标志，并应注明管道名称和水流方向标识。红色环圈标志，宽度不应小于20mm ，间隔不宜大于4m ，在一个独立的单元内环圈不宜少于2处。</w:t>
      </w:r>
    </w:p>
    <w:p w14:paraId="538B924E">
      <w:pPr>
        <w:pStyle w:val="76"/>
        <w:outlineLvl w:val="2"/>
      </w:pPr>
      <w:r>
        <w:rPr>
          <w:rFonts w:hint="eastAsia"/>
        </w:rPr>
        <w:t>气体灭火系统</w:t>
      </w:r>
    </w:p>
    <w:p w14:paraId="3148ADEF">
      <w:pPr>
        <w:pStyle w:val="77"/>
      </w:pPr>
      <w:r>
        <w:rPr>
          <w:rFonts w:hint="eastAsia"/>
        </w:rPr>
        <w:t>工作范围及技术要求</w:t>
      </w:r>
    </w:p>
    <w:p w14:paraId="51FF2312">
      <w:pPr>
        <w:ind w:firstLine="420" w:firstLineChars="200"/>
        <w:rPr>
          <w:rFonts w:ascii="宋体" w:hAnsi="宋体"/>
        </w:rPr>
      </w:pPr>
      <w:r>
        <w:rPr>
          <w:rFonts w:hint="eastAsia" w:ascii="宋体" w:hAnsi="宋体"/>
        </w:rPr>
        <w:t xml:space="preserve">（1）以下区域设置气体灭火系统： </w:t>
      </w:r>
    </w:p>
    <w:p w14:paraId="75C8FC28">
      <w:pPr>
        <w:ind w:firstLine="420"/>
        <w:rPr>
          <w:rFonts w:ascii="宋体" w:hAnsi="宋体"/>
        </w:rPr>
      </w:pPr>
      <w:r>
        <w:rPr>
          <w:rFonts w:hint="eastAsia" w:ascii="宋体" w:hAnsi="宋体"/>
        </w:rPr>
        <w:t>●二层主机房、电池室采用有管网七氟丙烷气体灭火系统</w:t>
      </w:r>
    </w:p>
    <w:p w14:paraId="179524F8">
      <w:pPr>
        <w:ind w:firstLine="420"/>
        <w:rPr>
          <w:rFonts w:ascii="宋体" w:hAnsi="宋体"/>
        </w:rPr>
      </w:pPr>
      <w:r>
        <w:rPr>
          <w:rFonts w:hint="eastAsia" w:ascii="宋体" w:hAnsi="宋体"/>
        </w:rPr>
        <w:t>●二层电池室、九层机房采用无管网七氟丙烷气体灭火系统</w:t>
      </w:r>
    </w:p>
    <w:p w14:paraId="61E1DE39">
      <w:pPr>
        <w:ind w:firstLine="420"/>
        <w:rPr>
          <w:rFonts w:ascii="宋体" w:hAnsi="宋体"/>
        </w:rPr>
      </w:pPr>
      <w:r>
        <w:rPr>
          <w:rFonts w:hint="eastAsia" w:ascii="宋体" w:hAnsi="宋体"/>
        </w:rPr>
        <w:t>●本次设计有管网系统均接自原有主系统，施工前需与原设计施工单位（复核，确保可以接入并正常投入使用，满足消防验收要求。</w:t>
      </w:r>
    </w:p>
    <w:p w14:paraId="6B588DA0">
      <w:pPr>
        <w:ind w:firstLine="420"/>
        <w:rPr>
          <w:rFonts w:ascii="宋体" w:hAnsi="宋体"/>
        </w:rPr>
      </w:pPr>
      <w:r>
        <w:rPr>
          <w:rFonts w:hint="eastAsia" w:ascii="宋体" w:hAnsi="宋体"/>
        </w:rPr>
        <w:t xml:space="preserve">（2）上述区域的气体灭火系统若是组合分配设计的，系统的选择阀应具备气动启动功能； </w:t>
      </w:r>
    </w:p>
    <w:p w14:paraId="087DD1B9">
      <w:pPr>
        <w:ind w:firstLine="420"/>
        <w:rPr>
          <w:rFonts w:ascii="宋体" w:hAnsi="宋体"/>
        </w:rPr>
      </w:pPr>
      <w:r>
        <w:rPr>
          <w:rFonts w:hint="eastAsia" w:ascii="宋体" w:hAnsi="宋体"/>
        </w:rPr>
        <w:t xml:space="preserve">（3）存储灭火剂的瓶头阀应具有内置减压功能； </w:t>
      </w:r>
    </w:p>
    <w:p w14:paraId="635CD27C">
      <w:pPr>
        <w:ind w:firstLine="420"/>
        <w:rPr>
          <w:rFonts w:ascii="宋体" w:hAnsi="宋体"/>
        </w:rPr>
      </w:pPr>
      <w:r>
        <w:rPr>
          <w:rFonts w:hint="eastAsia" w:ascii="宋体" w:hAnsi="宋体"/>
        </w:rPr>
        <w:t xml:space="preserve">（4）喷放前有至少30秒语音提示，便于人员快速撤离； </w:t>
      </w:r>
    </w:p>
    <w:p w14:paraId="3D68867F">
      <w:pPr>
        <w:ind w:firstLine="420"/>
        <w:rPr>
          <w:rFonts w:ascii="宋体" w:hAnsi="宋体"/>
        </w:rPr>
      </w:pPr>
      <w:r>
        <w:rPr>
          <w:rFonts w:hint="eastAsia" w:ascii="宋体" w:hAnsi="宋体"/>
        </w:rPr>
        <w:t xml:space="preserve">（5）DN65（含）以上的配管除采用支架固定外，需增设防晃支架，配管固定需采用防晃抗震支架，钢瓶需采用支架固定； </w:t>
      </w:r>
    </w:p>
    <w:p w14:paraId="61BD6B3C">
      <w:pPr>
        <w:ind w:firstLine="420"/>
        <w:rPr>
          <w:rFonts w:ascii="宋体" w:hAnsi="宋体"/>
        </w:rPr>
      </w:pPr>
      <w:r>
        <w:rPr>
          <w:rFonts w:hint="eastAsia" w:ascii="宋体" w:hAnsi="宋体"/>
        </w:rPr>
        <w:t xml:space="preserve">（6）系统应同时具备以下三种开启方式： </w:t>
      </w:r>
    </w:p>
    <w:p w14:paraId="5F1095D6">
      <w:pPr>
        <w:ind w:firstLine="420"/>
        <w:rPr>
          <w:rFonts w:ascii="宋体" w:hAnsi="宋体"/>
          <w:b/>
          <w:bCs/>
        </w:rPr>
      </w:pPr>
      <w:r>
        <w:rPr>
          <w:rFonts w:hint="eastAsia" w:ascii="宋体" w:hAnsi="宋体"/>
          <w:b/>
          <w:bCs/>
        </w:rPr>
        <w:t>自动启动：</w:t>
      </w:r>
    </w:p>
    <w:p w14:paraId="1AD42B60">
      <w:pPr>
        <w:ind w:firstLine="420"/>
        <w:rPr>
          <w:rFonts w:ascii="宋体" w:hAnsi="宋体"/>
        </w:rPr>
      </w:pPr>
      <w:r>
        <w:rPr>
          <w:rFonts w:hint="eastAsia" w:ascii="宋体" w:hAnsi="宋体"/>
        </w:rPr>
        <w:t>由同一保护区域内任意两个不同类型的火灾报警信号（烟感、温感、火焰探测器、手报按钮等）作为氮气（无氮气灭火）灭火开启的触发信号；联动信号包括但不限于：</w:t>
      </w:r>
    </w:p>
    <w:p w14:paraId="5C92D07D">
      <w:pPr>
        <w:ind w:firstLine="420"/>
        <w:rPr>
          <w:rFonts w:ascii="宋体" w:hAnsi="宋体"/>
        </w:rPr>
      </w:pPr>
      <w:r>
        <w:rPr>
          <w:rFonts w:hint="eastAsia" w:ascii="宋体" w:hAnsi="宋体"/>
        </w:rPr>
        <w:t>1)防护区内声光警报器；</w:t>
      </w:r>
    </w:p>
    <w:p w14:paraId="275749BB">
      <w:pPr>
        <w:ind w:firstLine="420"/>
        <w:rPr>
          <w:rFonts w:ascii="宋体" w:hAnsi="宋体"/>
        </w:rPr>
      </w:pPr>
      <w:r>
        <w:rPr>
          <w:rFonts w:hint="eastAsia" w:ascii="宋体" w:hAnsi="宋体"/>
        </w:rPr>
        <w:t>2)关闭防护区内部的送排风机及送排风阀；</w:t>
      </w:r>
    </w:p>
    <w:p w14:paraId="71D87B2B">
      <w:pPr>
        <w:ind w:firstLine="420"/>
        <w:rPr>
          <w:rFonts w:ascii="宋体" w:hAnsi="宋体"/>
        </w:rPr>
      </w:pPr>
      <w:r>
        <w:rPr>
          <w:rFonts w:hint="eastAsia" w:ascii="宋体" w:hAnsi="宋体"/>
        </w:rPr>
        <w:t xml:space="preserve">3)停止通风和空调系统机关闭设置在防护区的电动防火阀； </w:t>
      </w:r>
    </w:p>
    <w:p w14:paraId="6AD43015">
      <w:pPr>
        <w:ind w:firstLine="420"/>
        <w:rPr>
          <w:rFonts w:ascii="宋体" w:hAnsi="宋体"/>
        </w:rPr>
      </w:pPr>
      <w:r>
        <w:rPr>
          <w:rFonts w:hint="eastAsia" w:ascii="宋体" w:hAnsi="宋体"/>
        </w:rPr>
        <w:t>4)联动控制防护区域开口封闭装置的启动，包括关闭防护区域门、窗；</w:t>
      </w:r>
    </w:p>
    <w:p w14:paraId="5D8198E7">
      <w:pPr>
        <w:ind w:firstLine="420"/>
        <w:rPr>
          <w:rFonts w:ascii="宋体" w:hAnsi="宋体"/>
        </w:rPr>
      </w:pPr>
      <w:r>
        <w:rPr>
          <w:rFonts w:hint="eastAsia" w:ascii="宋体" w:hAnsi="宋体"/>
        </w:rPr>
        <w:t xml:space="preserve">5)启动气灭装置的同时，应启动设置在防护区入口处表示气体喷洒的火灾声光警报器； </w:t>
      </w:r>
    </w:p>
    <w:p w14:paraId="776D4CB1">
      <w:pPr>
        <w:ind w:firstLine="420"/>
        <w:rPr>
          <w:rFonts w:ascii="宋体" w:hAnsi="宋体"/>
          <w:b/>
          <w:bCs/>
        </w:rPr>
      </w:pPr>
      <w:r>
        <w:rPr>
          <w:rFonts w:hint="eastAsia" w:ascii="宋体" w:hAnsi="宋体"/>
          <w:b/>
          <w:bCs/>
        </w:rPr>
        <w:t>手动启动:</w:t>
      </w:r>
    </w:p>
    <w:p w14:paraId="3F2DCA57">
      <w:pPr>
        <w:ind w:firstLine="420"/>
        <w:rPr>
          <w:rFonts w:ascii="宋体" w:hAnsi="宋体"/>
        </w:rPr>
      </w:pPr>
      <w:r>
        <w:rPr>
          <w:rFonts w:hint="eastAsia" w:ascii="宋体" w:hAnsi="宋体"/>
        </w:rPr>
        <w:t>当火灾发生时，经人员观察确认火灾已经发生，无论报警系统是否发出警报，无论控制器上的控制方式选择锁在“自动”或“手动”位置，都可按下保护区外或控制器操作面板上的“紧急启动按钮”启动灭火装置实施灭火。</w:t>
      </w:r>
    </w:p>
    <w:p w14:paraId="1FCB1613">
      <w:pPr>
        <w:ind w:firstLine="420"/>
        <w:rPr>
          <w:rFonts w:ascii="宋体" w:hAnsi="宋体"/>
          <w:b/>
          <w:bCs/>
        </w:rPr>
      </w:pPr>
      <w:r>
        <w:rPr>
          <w:rFonts w:hint="eastAsia" w:ascii="宋体" w:hAnsi="宋体"/>
          <w:b/>
          <w:bCs/>
        </w:rPr>
        <w:t>机械式应急启动:</w:t>
      </w:r>
    </w:p>
    <w:p w14:paraId="4F60D95C">
      <w:pPr>
        <w:ind w:firstLine="420"/>
        <w:rPr>
          <w:rFonts w:ascii="宋体" w:hAnsi="宋体"/>
        </w:rPr>
      </w:pPr>
      <w:r>
        <w:rPr>
          <w:rFonts w:hint="eastAsia" w:ascii="宋体" w:hAnsi="宋体"/>
        </w:rPr>
        <w:t>用于控制器失效时，当职守人员判断为火灾时，应立即通知现场所有人员撤离现场，并关闭风机、防火阀等联动设备，再按以下步骤实施应急机械启动：拔掉对应区域驱动气体瓶上电磁阀的安全插销，操作手柄即可打开电磁阀，释放启动气体，启动气体开启选择阀、充压气体瓶头阀，充压气体进入灭火剂储瓶，压力升至系统工作压力时，压力控制阀和灭火剂瓶头阀开启，释放灭火剂，实施灭火。</w:t>
      </w:r>
    </w:p>
    <w:p w14:paraId="0F3AC6C5">
      <w:pPr>
        <w:ind w:firstLine="420"/>
        <w:rPr>
          <w:rFonts w:ascii="宋体" w:hAnsi="宋体"/>
        </w:rPr>
      </w:pPr>
      <w:r>
        <w:rPr>
          <w:rFonts w:hint="eastAsia" w:ascii="宋体" w:hAnsi="宋体"/>
        </w:rPr>
        <w:t>（7）钢瓶间及气体灭火保护区域需安装通风排气设施。</w:t>
      </w:r>
    </w:p>
    <w:p w14:paraId="41031292">
      <w:pPr>
        <w:ind w:firstLine="420"/>
        <w:rPr>
          <w:rFonts w:ascii="宋体" w:hAnsi="宋体"/>
        </w:rPr>
      </w:pPr>
      <w:r>
        <w:rPr>
          <w:rFonts w:hint="eastAsia" w:ascii="宋体" w:hAnsi="宋体"/>
        </w:rPr>
        <w:t>（8）气体灭火区域应设置物理防误喷装置。</w:t>
      </w:r>
    </w:p>
    <w:p w14:paraId="19705EB7">
      <w:pPr>
        <w:pStyle w:val="77"/>
      </w:pPr>
      <w:r>
        <w:rPr>
          <w:rFonts w:hint="eastAsia"/>
        </w:rPr>
        <w:t>设备材料及技术要求</w:t>
      </w:r>
    </w:p>
    <w:p w14:paraId="63593E7E">
      <w:pPr>
        <w:ind w:firstLine="420"/>
        <w:rPr>
          <w:rFonts w:ascii="宋体" w:hAnsi="宋体"/>
        </w:rPr>
      </w:pPr>
      <w:r>
        <w:rPr>
          <w:rFonts w:hint="eastAsia" w:ascii="宋体" w:hAnsi="宋体"/>
        </w:rPr>
        <w:t>（1）管道采用无缝热镀锌钢管，管壁厚度符合国家规定的标准值。无缝钢管内外及其管件应进行热侵镀锌防腐处理。</w:t>
      </w:r>
    </w:p>
    <w:p w14:paraId="36047635">
      <w:pPr>
        <w:ind w:firstLine="420"/>
        <w:rPr>
          <w:rFonts w:ascii="宋体" w:hAnsi="宋体"/>
        </w:rPr>
      </w:pPr>
      <w:r>
        <w:rPr>
          <w:rFonts w:hint="eastAsia" w:ascii="宋体" w:hAnsi="宋体"/>
        </w:rPr>
        <w:t>（2）消防管道外应刷红色油漆或涂红色环圈标志，并应注明管道名称和水流方向标识。红色环圈标志，宽度不应小于20mm ，间隔不宜大于4m ，在一个独立的单元内环圈不宜少于2处。</w:t>
      </w:r>
    </w:p>
    <w:p w14:paraId="1870C01A">
      <w:pPr>
        <w:ind w:firstLine="420"/>
        <w:rPr>
          <w:rFonts w:ascii="宋体" w:hAnsi="宋体"/>
        </w:rPr>
      </w:pPr>
      <w:r>
        <w:rPr>
          <w:rFonts w:hint="eastAsia" w:ascii="宋体" w:hAnsi="宋体"/>
        </w:rPr>
        <w:t>（3）气体灭火喷头材质采用黄铜材质，内螺纹连接。喷嘴装饰罩（不锈钢）。</w:t>
      </w:r>
    </w:p>
    <w:p w14:paraId="5B9BEB3D">
      <w:pPr>
        <w:pStyle w:val="75"/>
        <w:outlineLvl w:val="1"/>
      </w:pPr>
      <w:r>
        <w:rPr>
          <w:rFonts w:hint="eastAsia"/>
        </w:rPr>
        <w:t>综合布线</w:t>
      </w:r>
    </w:p>
    <w:p w14:paraId="611CC1C4">
      <w:pPr>
        <w:pStyle w:val="76"/>
        <w:outlineLvl w:val="2"/>
      </w:pPr>
      <w:r>
        <w:rPr>
          <w:rFonts w:hint="eastAsia"/>
        </w:rPr>
        <w:t>系统功能要求</w:t>
      </w:r>
    </w:p>
    <w:p w14:paraId="0F2C4FDD">
      <w:pPr>
        <w:ind w:firstLine="420" w:firstLineChars="200"/>
        <w:rPr>
          <w:rFonts w:ascii="宋体" w:hAnsi="宋体"/>
        </w:rPr>
      </w:pPr>
      <w:r>
        <w:rPr>
          <w:rFonts w:hint="eastAsia" w:ascii="宋体" w:hAnsi="宋体"/>
        </w:rPr>
        <w:t>综合布线系统由下列的各子系统组成：工作区子系统、水平区子系统、管理间子系统、干线区子系统、建筑群子系统。</w:t>
      </w:r>
    </w:p>
    <w:p w14:paraId="305DF0F4">
      <w:pPr>
        <w:pStyle w:val="76"/>
        <w:outlineLvl w:val="2"/>
      </w:pPr>
      <w:r>
        <w:rPr>
          <w:rFonts w:hint="eastAsia"/>
        </w:rPr>
        <w:t>工作区子系统</w:t>
      </w:r>
    </w:p>
    <w:p w14:paraId="1410DE7E">
      <w:pPr>
        <w:ind w:firstLine="420" w:firstLineChars="200"/>
        <w:rPr>
          <w:rFonts w:ascii="宋体" w:hAnsi="宋体"/>
        </w:rPr>
      </w:pPr>
      <w:r>
        <w:rPr>
          <w:rFonts w:hint="eastAsia" w:ascii="宋体" w:hAnsi="宋体"/>
        </w:rPr>
        <w:t>为满足本项目对网络应用和发展的需求，综合布线系统采用六类非屏蔽布线产品，语音信息点和数据信息点均采用六类 RJ45 插口模块，便于后期语音与数据点的互换使用，根据信息点位置不同可选用分为墙面 86 型单/双孔/三孔或地面型地插。综合布线系统依据楼层、房间功能和面积确定信息点数量。</w:t>
      </w:r>
    </w:p>
    <w:p w14:paraId="701C0DCE">
      <w:pPr>
        <w:pStyle w:val="76"/>
        <w:outlineLvl w:val="2"/>
      </w:pPr>
      <w:r>
        <w:rPr>
          <w:rFonts w:hint="eastAsia"/>
        </w:rPr>
        <w:t>水平区子系统</w:t>
      </w:r>
    </w:p>
    <w:p w14:paraId="3F3FB935">
      <w:pPr>
        <w:ind w:firstLine="420" w:firstLineChars="200"/>
        <w:rPr>
          <w:rFonts w:ascii="宋体" w:hAnsi="宋体"/>
        </w:rPr>
      </w:pPr>
      <w:r>
        <w:rPr>
          <w:rFonts w:hint="eastAsia" w:ascii="宋体" w:hAnsi="宋体"/>
        </w:rPr>
        <w:t>综合布线系统的所有线缆在敷设过程中必须一根线缆敷设到位，中间不得有断点。所有机架/机柜内各配线架的摆放及线缆的走向必须合理，接插件、模块及跳线的标志齐全，线缆终端必须有编号和颜色标签，以标明线号、线位、区号和房号。</w:t>
      </w:r>
    </w:p>
    <w:p w14:paraId="129B9B89">
      <w:pPr>
        <w:ind w:firstLine="420" w:firstLineChars="200"/>
        <w:rPr>
          <w:rFonts w:ascii="宋体" w:hAnsi="宋体"/>
        </w:rPr>
      </w:pPr>
      <w:r>
        <w:rPr>
          <w:rFonts w:hint="eastAsia" w:ascii="宋体" w:hAnsi="宋体"/>
        </w:rPr>
        <w:t>配线间内接线端子与信息插座之间均为点到点端接，任何改变布线系统的操作（如增减用户、用户地址改变等）都不影响整个系统的运行，增减用户只需在楼层配线间做必要的跳线即可，使系统具有灵活性，可扩展性，为系统线路故障检修提供了方便。</w:t>
      </w:r>
    </w:p>
    <w:p w14:paraId="6E71B029">
      <w:pPr>
        <w:ind w:firstLine="420" w:firstLineChars="200"/>
        <w:rPr>
          <w:rFonts w:ascii="宋体" w:hAnsi="宋体"/>
        </w:rPr>
      </w:pPr>
      <w:r>
        <w:rPr>
          <w:rFonts w:hint="eastAsia" w:ascii="宋体" w:hAnsi="宋体"/>
        </w:rPr>
        <w:t>水平子系统指从楼层配线间至工作区用户信息插座，由用户信息插座、水平电缆、配线设备等组成。墙面信息插座内的线缆缆通过 86 型接线盒、穿预埋在墙内的钢管，经吊顶延伸到安装在楼层走道的水平金属桥架，钢管与水平桥架用金属软管连接。</w:t>
      </w:r>
    </w:p>
    <w:p w14:paraId="1070B38E">
      <w:pPr>
        <w:ind w:firstLine="420" w:firstLineChars="200"/>
        <w:rPr>
          <w:rFonts w:ascii="宋体" w:hAnsi="宋体"/>
        </w:rPr>
      </w:pPr>
      <w:r>
        <w:rPr>
          <w:rFonts w:hint="eastAsia" w:ascii="宋体" w:hAnsi="宋体"/>
        </w:rPr>
        <w:t>外网、内网、语音网及智能化专网部分的水平铜缆均采用 4 对非屏蔽双绞线，十字骨架支撑结构，以防机械外力对传输带宽的影响。支持 1000Mbps 的传输速率，水平子系统电缆长度应为 100 米以内。</w:t>
      </w:r>
    </w:p>
    <w:p w14:paraId="0A76A2C2">
      <w:pPr>
        <w:ind w:firstLine="420" w:firstLineChars="200"/>
        <w:rPr>
          <w:rFonts w:ascii="宋体" w:hAnsi="宋体"/>
        </w:rPr>
      </w:pPr>
      <w:r>
        <w:rPr>
          <w:rFonts w:hint="eastAsia" w:ascii="宋体" w:hAnsi="宋体"/>
        </w:rPr>
        <w:t>所选用的线缆，必须具有的电缆燃烧性能的检测报告，检测的产品型号与投标产品型号相一致。</w:t>
      </w:r>
    </w:p>
    <w:p w14:paraId="28017853">
      <w:pPr>
        <w:pStyle w:val="76"/>
        <w:outlineLvl w:val="2"/>
      </w:pPr>
      <w:r>
        <w:rPr>
          <w:rFonts w:hint="eastAsia"/>
        </w:rPr>
        <w:t>干线区子系统</w:t>
      </w:r>
    </w:p>
    <w:p w14:paraId="553CB842">
      <w:pPr>
        <w:ind w:firstLine="420" w:firstLineChars="200"/>
        <w:rPr>
          <w:rFonts w:ascii="宋体" w:hAnsi="宋体"/>
        </w:rPr>
      </w:pPr>
      <w:r>
        <w:rPr>
          <w:rFonts w:hint="eastAsia" w:ascii="宋体" w:hAnsi="宋体"/>
        </w:rPr>
        <w:t>干线区子系统作为系统的主要连接，包括大对数电话电缆及光纤，通过园区现有网络，接入一层汇聚机房的机柜，再通过机柜敷设至机房内各个微模块的网络柜，通过网络柜连接至各个机房进行通信。</w:t>
      </w:r>
    </w:p>
    <w:p w14:paraId="4F5A085F">
      <w:pPr>
        <w:ind w:firstLine="420" w:firstLineChars="200"/>
        <w:rPr>
          <w:rFonts w:ascii="宋体" w:hAnsi="宋体"/>
        </w:rPr>
      </w:pPr>
      <w:r>
        <w:rPr>
          <w:rFonts w:hint="eastAsia" w:ascii="宋体" w:hAnsi="宋体"/>
        </w:rPr>
        <w:t>为了保证语音通讯、数据传输带宽和扩展需要，外网和内网采用光缆主干，各网配置如下：</w:t>
      </w:r>
    </w:p>
    <w:p w14:paraId="5E997F87">
      <w:pPr>
        <w:pStyle w:val="32"/>
        <w:numPr>
          <w:ilvl w:val="0"/>
          <w:numId w:val="12"/>
        </w:numPr>
        <w:ind w:firstLineChars="0"/>
        <w:rPr>
          <w:rFonts w:ascii="宋体" w:hAnsi="宋体"/>
        </w:rPr>
      </w:pPr>
      <w:r>
        <w:rPr>
          <w:rFonts w:hint="eastAsia" w:ascii="宋体" w:hAnsi="宋体"/>
        </w:rPr>
        <w:t>内网中办公网部分：汇聚间至楼层配线间分别布置1x12 芯万兆单模OM4光纤，满足内网汇聚交换机到接入交换机双万兆链路需要，并提供足够的光纤冗余，为后期扩展做适当的预留。</w:t>
      </w:r>
    </w:p>
    <w:p w14:paraId="7E4013AF">
      <w:pPr>
        <w:pStyle w:val="32"/>
        <w:numPr>
          <w:ilvl w:val="0"/>
          <w:numId w:val="12"/>
        </w:numPr>
        <w:ind w:firstLineChars="0"/>
        <w:rPr>
          <w:rFonts w:ascii="宋体" w:hAnsi="宋体"/>
        </w:rPr>
      </w:pPr>
      <w:r>
        <w:rPr>
          <w:rFonts w:hint="eastAsia" w:ascii="宋体" w:hAnsi="宋体"/>
        </w:rPr>
        <w:t>内网中生产网部分：一层汇聚间至二层各个微模块机柜的网络柜内分别布置2x12 芯万兆单模OM4光纤，满足汇聚至网络柜的链路需要，并提供足够的光纤冗余，为后期扩展做适当的预留。</w:t>
      </w:r>
    </w:p>
    <w:p w14:paraId="45409910">
      <w:pPr>
        <w:pStyle w:val="32"/>
        <w:numPr>
          <w:ilvl w:val="0"/>
          <w:numId w:val="12"/>
        </w:numPr>
        <w:ind w:firstLineChars="0"/>
        <w:rPr>
          <w:rFonts w:ascii="宋体" w:hAnsi="宋体"/>
        </w:rPr>
      </w:pPr>
      <w:r>
        <w:rPr>
          <w:rFonts w:hint="eastAsia" w:ascii="宋体" w:hAnsi="宋体"/>
        </w:rPr>
        <w:t>外网部分：园区接入间至一层汇聚间 2x12 芯万兆单模光纤，满足外网汇聚交换机到接入交换机双万兆链路需要，并提供足够的光纤冗余，为后期扩展做适当的预留。</w:t>
      </w:r>
    </w:p>
    <w:p w14:paraId="0404489D">
      <w:pPr>
        <w:ind w:firstLine="420" w:firstLineChars="200"/>
        <w:rPr>
          <w:rFonts w:ascii="宋体" w:hAnsi="宋体"/>
        </w:rPr>
      </w:pPr>
      <w:r>
        <w:rPr>
          <w:rFonts w:hint="eastAsia" w:ascii="宋体" w:hAnsi="宋体"/>
        </w:rPr>
        <w:t>4）语音部分：根据管理间管理的语音信息点总数布置50 对 3 类大对数电缆，并提供足够冗余。</w:t>
      </w:r>
    </w:p>
    <w:p w14:paraId="3E04C234">
      <w:pPr>
        <w:pStyle w:val="76"/>
        <w:outlineLvl w:val="2"/>
      </w:pPr>
      <w:r>
        <w:rPr>
          <w:rFonts w:hint="eastAsia"/>
        </w:rPr>
        <w:t>管理间子系统</w:t>
      </w:r>
    </w:p>
    <w:p w14:paraId="7FA526A0">
      <w:pPr>
        <w:ind w:firstLine="420" w:firstLineChars="200"/>
        <w:rPr>
          <w:rFonts w:ascii="宋体" w:hAnsi="宋体"/>
        </w:rPr>
      </w:pPr>
      <w:r>
        <w:rPr>
          <w:rFonts w:hint="eastAsia" w:ascii="宋体" w:hAnsi="宋体"/>
        </w:rPr>
        <w:t>管理子系统由分配线间构成，主要设备包括配线架、跳线、机柜等组成。管理子系统提供了与其它子系统连接的手段，使整个综合布线及连接的应用系统设备、器件等构成一个有机的应用系统。管理人员只要在配线连接硬件区域调整交接方式，就可以管理整个应用系统终端设备，从而实现综合布线的灵活性、开放性和可扩展性。管理间位于楼层弱电井，管理相应区域的水平线缆及主干线缆。本次在各楼层分区域设置弱电间。</w:t>
      </w:r>
    </w:p>
    <w:p w14:paraId="129F68FD">
      <w:pPr>
        <w:ind w:firstLine="420" w:firstLineChars="200"/>
        <w:rPr>
          <w:rFonts w:ascii="宋体" w:hAnsi="宋体"/>
        </w:rPr>
      </w:pPr>
      <w:r>
        <w:rPr>
          <w:rFonts w:hint="eastAsia" w:ascii="宋体" w:hAnsi="宋体"/>
        </w:rPr>
        <w:t>数据网络配线采用普通 24 口或 48 六类非屏蔽配线架，语音主干部分采用 110 型卡接式配线架，楼层数据主干部分采用 19 英寸光纤配线架。所有普通配线架、光纤配线架110 型配线架需以整洁而且安全的方式安装并集成在独立的 19”标准机柜内。</w:t>
      </w:r>
    </w:p>
    <w:p w14:paraId="53A56BCC">
      <w:pPr>
        <w:ind w:firstLine="420" w:firstLineChars="200"/>
        <w:rPr>
          <w:rFonts w:ascii="宋体" w:hAnsi="宋体"/>
        </w:rPr>
      </w:pPr>
      <w:r>
        <w:rPr>
          <w:rFonts w:hint="eastAsia" w:ascii="宋体" w:hAnsi="宋体"/>
        </w:rPr>
        <w:t>管理间内光纤通过机架式光纤配线架管理，光纤接头及相应的耦合器采用 LC 型，至网络设备的跳线采取 LC-LC 的光纤跳线。每个管理间内，配备成品跳线用于接入层网络交换机的跳接，同时配备 LC-LC 光纤跳线，用于上联核心层网络设备。</w:t>
      </w:r>
    </w:p>
    <w:p w14:paraId="452D93EF">
      <w:pPr>
        <w:ind w:firstLine="420" w:firstLineChars="200"/>
        <w:rPr>
          <w:rFonts w:ascii="宋体" w:hAnsi="宋体"/>
        </w:rPr>
      </w:pPr>
      <w:r>
        <w:rPr>
          <w:rFonts w:hint="eastAsia" w:ascii="宋体" w:hAnsi="宋体"/>
        </w:rPr>
        <w:t>在相应楼层弱电间内设有综合布线配线机柜，内设有光纤配线架、接入层网络交换机、数据网络配线架、110 语音配线架等设备，分别管理楼层的信息点，在配线架上通过跳线可实现网络信息点与电话信息点的互换。</w:t>
      </w:r>
    </w:p>
    <w:p w14:paraId="0F376E89">
      <w:pPr>
        <w:pStyle w:val="76"/>
        <w:outlineLvl w:val="2"/>
      </w:pPr>
      <w:r>
        <w:rPr>
          <w:rFonts w:hint="eastAsia"/>
        </w:rPr>
        <w:t>设备间子系统</w:t>
      </w:r>
    </w:p>
    <w:p w14:paraId="0B9493A6">
      <w:pPr>
        <w:ind w:firstLine="420" w:firstLineChars="200"/>
        <w:rPr>
          <w:rFonts w:ascii="宋体" w:hAnsi="宋体"/>
        </w:rPr>
      </w:pPr>
      <w:r>
        <w:rPr>
          <w:rFonts w:hint="eastAsia" w:ascii="宋体" w:hAnsi="宋体"/>
        </w:rPr>
        <w:t>管理子系统由分配线间构成，主要设备包括配线架、跳线等。管理子系统提供了与其它子系统连接的手段，使整个综合布线及连接的应用系统设备、器件等构成一个有机的应用系统。管理人员只要在配线连接硬件区域调整交接方式，就可以管理整个应用系统终端设备，从而实现综合布线的灵活性、开放性和可扩展性。</w:t>
      </w:r>
    </w:p>
    <w:p w14:paraId="5556DE12">
      <w:pPr>
        <w:ind w:firstLine="420" w:firstLineChars="200"/>
        <w:rPr>
          <w:rFonts w:ascii="宋体" w:hAnsi="宋体"/>
        </w:rPr>
      </w:pPr>
      <w:r>
        <w:rPr>
          <w:rFonts w:hint="eastAsia" w:ascii="宋体" w:hAnsi="宋体"/>
        </w:rPr>
        <w:t>管理间位于楼层弱电井，管理相应区域的水平线缆及主干线缆。外网、内网、语音网、智能化专网等共用大楼内的楼层弱电井。</w:t>
      </w:r>
    </w:p>
    <w:p w14:paraId="1EAA4F41">
      <w:pPr>
        <w:ind w:firstLine="420" w:firstLineChars="200"/>
        <w:rPr>
          <w:rFonts w:ascii="宋体" w:hAnsi="宋体"/>
        </w:rPr>
      </w:pPr>
      <w:r>
        <w:rPr>
          <w:rFonts w:hint="eastAsia" w:ascii="宋体" w:hAnsi="宋体"/>
        </w:rPr>
        <w:t>数据网络配线采用普通 24 口或 48 六类非屏蔽配线架，语音主干部分采用 110 型卡接式配线架，楼层数据主干部分采用 19 英寸光纤配线架。所有普通配线架、光纤配线架及110 型配线架需以整洁而且安全的方式安装并集成在独立的 19”标准机柜内。</w:t>
      </w:r>
    </w:p>
    <w:p w14:paraId="6DE7FACD">
      <w:pPr>
        <w:ind w:firstLine="420" w:firstLineChars="200"/>
        <w:rPr>
          <w:rFonts w:ascii="宋体" w:hAnsi="宋体"/>
        </w:rPr>
      </w:pPr>
      <w:r>
        <w:rPr>
          <w:rFonts w:hint="eastAsia" w:ascii="宋体" w:hAnsi="宋体"/>
        </w:rPr>
        <w:t>管理间内光纤通过机架式光纤配线架管理，光纤接头及相应的耦合器采用 LC 型，至网络设备的跳线采取 LC-LC 的光纤跳线。每个管理间内，配备成品跳线用于接入层网络交换机的跳接，同时配备 LC-LC 光纤跳线，用于上联汇聚网络设备。所有的信息点要求一定的编号规则（该规则要根据布线标准）和颜色规则，以方便使用。</w:t>
      </w:r>
    </w:p>
    <w:p w14:paraId="6B569461">
      <w:pPr>
        <w:ind w:firstLine="420" w:firstLineChars="200"/>
        <w:rPr>
          <w:rFonts w:ascii="宋体" w:hAnsi="宋体"/>
        </w:rPr>
      </w:pPr>
      <w:r>
        <w:rPr>
          <w:rFonts w:hint="eastAsia" w:ascii="宋体" w:hAnsi="宋体"/>
        </w:rPr>
        <w:t>在楼层弱电间内设有综合布线配线机柜，内设有光纤配线架、接入层网络交换机、数据网络配线架、110 语音配线架等设备，分别管理楼层的信息点，在配线架上通过跳线可实现网络信息点与电话信息点的互换。</w:t>
      </w:r>
    </w:p>
    <w:p w14:paraId="3BD351B9">
      <w:pPr>
        <w:pStyle w:val="76"/>
        <w:outlineLvl w:val="2"/>
      </w:pPr>
      <w:r>
        <w:rPr>
          <w:rFonts w:hint="eastAsia"/>
        </w:rPr>
        <w:t>主要设备选型要求</w:t>
      </w:r>
    </w:p>
    <w:p w14:paraId="520D7973">
      <w:pPr>
        <w:ind w:firstLine="420" w:firstLineChars="200"/>
        <w:rPr>
          <w:rFonts w:ascii="宋体" w:hAnsi="宋体"/>
        </w:rPr>
      </w:pPr>
      <w:r>
        <w:rPr>
          <w:rFonts w:hint="eastAsia" w:ascii="宋体" w:hAnsi="宋体"/>
        </w:rPr>
        <w:t>综合布线系统铜缆部分（面板、模块、铜缆、跳线和配线架、连接件）所有元件及光纤传输部分（光缆、耦合器、光纤跳线、配线架、连接件）所有元件，必须是同一布线厂商同一品牌原厂产品。</w:t>
      </w:r>
    </w:p>
    <w:p w14:paraId="1AB8F336">
      <w:pPr>
        <w:ind w:firstLine="420" w:firstLineChars="200"/>
        <w:rPr>
          <w:rFonts w:ascii="宋体" w:hAnsi="宋体"/>
        </w:rPr>
      </w:pPr>
      <w:r>
        <w:rPr>
          <w:rFonts w:hint="eastAsia" w:ascii="宋体" w:hAnsi="宋体"/>
        </w:rPr>
        <w:t>综合布线系统产品必须选用技术成熟、质量可靠的 6 类综合布线产品。系统必须充分考虑将来网络结构改变、扩容及配合新技术发展的需要而具备平滑过度的可行性，整个布线系统在工程验收后由厂家提供不低于 20 年的系统质量及应用保证证书。</w:t>
      </w:r>
    </w:p>
    <w:p w14:paraId="69B5FDBC">
      <w:pPr>
        <w:pStyle w:val="76"/>
        <w:outlineLvl w:val="2"/>
      </w:pPr>
      <w:r>
        <w:rPr>
          <w:rFonts w:hint="eastAsia"/>
        </w:rPr>
        <w:t>主要设备技术参数</w:t>
      </w:r>
    </w:p>
    <w:p w14:paraId="07ADD086">
      <w:pPr>
        <w:rPr>
          <w:rFonts w:ascii="宋体" w:hAnsi="宋体"/>
        </w:rPr>
      </w:pPr>
      <w:r>
        <w:rPr>
          <w:rFonts w:hint="eastAsia" w:ascii="宋体" w:hAnsi="宋体"/>
        </w:rPr>
        <w:t>(本表所推荐的参数仅供参考，不排斥符合要求其它参数的品牌)</w:t>
      </w:r>
    </w:p>
    <w:tbl>
      <w:tblPr>
        <w:tblStyle w:val="22"/>
        <w:tblW w:w="9379" w:type="dxa"/>
        <w:tblInd w:w="0" w:type="dxa"/>
        <w:tblLayout w:type="fixed"/>
        <w:tblCellMar>
          <w:top w:w="0" w:type="dxa"/>
          <w:left w:w="108" w:type="dxa"/>
          <w:bottom w:w="0" w:type="dxa"/>
          <w:right w:w="108" w:type="dxa"/>
        </w:tblCellMar>
      </w:tblPr>
      <w:tblGrid>
        <w:gridCol w:w="675"/>
        <w:gridCol w:w="1844"/>
        <w:gridCol w:w="6860"/>
      </w:tblGrid>
      <w:tr w14:paraId="31F546A3">
        <w:tblPrEx>
          <w:tblCellMar>
            <w:top w:w="0" w:type="dxa"/>
            <w:left w:w="108" w:type="dxa"/>
            <w:bottom w:w="0" w:type="dxa"/>
            <w:right w:w="108" w:type="dxa"/>
          </w:tblCellMar>
        </w:tblPrEx>
        <w:trPr>
          <w:trHeight w:val="20" w:hRule="atLeast"/>
          <w:tblHeader/>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1C1F87B8">
            <w:pPr>
              <w:pStyle w:val="74"/>
              <w:rPr>
                <w:rFonts w:ascii="宋体" w:hAnsi="宋体"/>
              </w:rPr>
            </w:pPr>
            <w:r>
              <w:rPr>
                <w:rFonts w:hint="eastAsia" w:ascii="宋体" w:hAnsi="宋体"/>
              </w:rPr>
              <w:t>序号</w:t>
            </w:r>
          </w:p>
        </w:tc>
        <w:tc>
          <w:tcPr>
            <w:tcW w:w="1844" w:type="dxa"/>
            <w:tcBorders>
              <w:top w:val="single" w:color="auto" w:sz="4" w:space="0"/>
              <w:left w:val="nil"/>
              <w:bottom w:val="single" w:color="auto" w:sz="4" w:space="0"/>
              <w:right w:val="single" w:color="auto" w:sz="4" w:space="0"/>
            </w:tcBorders>
            <w:shd w:val="clear" w:color="auto" w:fill="auto"/>
            <w:vAlign w:val="center"/>
          </w:tcPr>
          <w:p w14:paraId="06FEF387">
            <w:pPr>
              <w:pStyle w:val="74"/>
              <w:rPr>
                <w:rFonts w:ascii="宋体" w:hAnsi="宋体"/>
              </w:rPr>
            </w:pPr>
            <w:r>
              <w:rPr>
                <w:rFonts w:hint="eastAsia" w:ascii="宋体" w:hAnsi="宋体"/>
              </w:rPr>
              <w:t>设备名称</w:t>
            </w:r>
          </w:p>
        </w:tc>
        <w:tc>
          <w:tcPr>
            <w:tcW w:w="6860" w:type="dxa"/>
            <w:tcBorders>
              <w:top w:val="single" w:color="auto" w:sz="4" w:space="0"/>
              <w:left w:val="nil"/>
              <w:bottom w:val="single" w:color="auto" w:sz="4" w:space="0"/>
              <w:right w:val="single" w:color="auto" w:sz="4" w:space="0"/>
            </w:tcBorders>
            <w:shd w:val="clear" w:color="auto" w:fill="auto"/>
            <w:vAlign w:val="center"/>
          </w:tcPr>
          <w:p w14:paraId="2AA77500">
            <w:pPr>
              <w:pStyle w:val="74"/>
              <w:rPr>
                <w:rFonts w:ascii="宋体" w:hAnsi="宋体"/>
              </w:rPr>
            </w:pPr>
            <w:r>
              <w:rPr>
                <w:rFonts w:hint="eastAsia" w:ascii="宋体" w:hAnsi="宋体"/>
              </w:rPr>
              <w:t>技术要求</w:t>
            </w:r>
          </w:p>
        </w:tc>
      </w:tr>
      <w:tr w14:paraId="77F89364">
        <w:tblPrEx>
          <w:tblCellMar>
            <w:top w:w="0" w:type="dxa"/>
            <w:left w:w="108" w:type="dxa"/>
            <w:bottom w:w="0" w:type="dxa"/>
            <w:right w:w="108" w:type="dxa"/>
          </w:tblCellMar>
        </w:tblPrEx>
        <w:trPr>
          <w:trHeight w:val="20" w:hRule="atLeast"/>
        </w:trPr>
        <w:tc>
          <w:tcPr>
            <w:tcW w:w="9379" w:type="dxa"/>
            <w:gridSpan w:val="3"/>
            <w:tcBorders>
              <w:top w:val="nil"/>
              <w:left w:val="single" w:color="auto" w:sz="4" w:space="0"/>
              <w:bottom w:val="single" w:color="auto" w:sz="4" w:space="0"/>
              <w:right w:val="single" w:color="auto" w:sz="4" w:space="0"/>
            </w:tcBorders>
            <w:shd w:val="clear" w:color="auto" w:fill="auto"/>
            <w:vAlign w:val="center"/>
          </w:tcPr>
          <w:p w14:paraId="4F30C8D3">
            <w:pPr>
              <w:pStyle w:val="74"/>
              <w:rPr>
                <w:rFonts w:ascii="宋体" w:hAnsi="宋体"/>
              </w:rPr>
            </w:pPr>
            <w:r>
              <w:rPr>
                <w:rFonts w:hint="eastAsia" w:ascii="宋体" w:hAnsi="宋体"/>
              </w:rPr>
              <w:t>一、综合布线系统</w:t>
            </w:r>
          </w:p>
        </w:tc>
      </w:tr>
      <w:tr w14:paraId="3D20CBBC">
        <w:tblPrEx>
          <w:tblCellMar>
            <w:top w:w="0" w:type="dxa"/>
            <w:left w:w="108" w:type="dxa"/>
            <w:bottom w:w="0" w:type="dxa"/>
            <w:right w:w="108" w:type="dxa"/>
          </w:tblCellMar>
        </w:tblPrEx>
        <w:trPr>
          <w:trHeight w:val="20" w:hRule="atLeast"/>
        </w:trPr>
        <w:tc>
          <w:tcPr>
            <w:tcW w:w="9379" w:type="dxa"/>
            <w:gridSpan w:val="3"/>
            <w:tcBorders>
              <w:top w:val="nil"/>
              <w:left w:val="single" w:color="auto" w:sz="4" w:space="0"/>
              <w:bottom w:val="single" w:color="auto" w:sz="4" w:space="0"/>
              <w:right w:val="single" w:color="auto" w:sz="4" w:space="0"/>
            </w:tcBorders>
            <w:shd w:val="clear" w:color="auto" w:fill="auto"/>
            <w:vAlign w:val="center"/>
          </w:tcPr>
          <w:p w14:paraId="60F60517">
            <w:pPr>
              <w:pStyle w:val="74"/>
              <w:rPr>
                <w:rFonts w:ascii="宋体" w:hAnsi="宋体"/>
              </w:rPr>
            </w:pPr>
            <w:r>
              <w:rPr>
                <w:rFonts w:hint="eastAsia" w:ascii="宋体" w:hAnsi="宋体"/>
              </w:rPr>
              <w:t>（一）工作区子系统</w:t>
            </w:r>
          </w:p>
        </w:tc>
      </w:tr>
      <w:tr w14:paraId="2C860695">
        <w:tblPrEx>
          <w:tblCellMar>
            <w:top w:w="0" w:type="dxa"/>
            <w:left w:w="108" w:type="dxa"/>
            <w:bottom w:w="0" w:type="dxa"/>
            <w:right w:w="108" w:type="dxa"/>
          </w:tblCellMar>
        </w:tblPrEx>
        <w:trPr>
          <w:trHeight w:val="20" w:hRule="atLeast"/>
        </w:trPr>
        <w:tc>
          <w:tcPr>
            <w:tcW w:w="675" w:type="dxa"/>
            <w:tcBorders>
              <w:top w:val="nil"/>
              <w:left w:val="single" w:color="auto" w:sz="4" w:space="0"/>
              <w:bottom w:val="single" w:color="auto" w:sz="4" w:space="0"/>
              <w:right w:val="single" w:color="auto" w:sz="4" w:space="0"/>
            </w:tcBorders>
            <w:shd w:val="clear" w:color="auto" w:fill="auto"/>
            <w:vAlign w:val="center"/>
          </w:tcPr>
          <w:p w14:paraId="5BB76E79">
            <w:pPr>
              <w:pStyle w:val="74"/>
              <w:rPr>
                <w:rFonts w:ascii="宋体" w:hAnsi="宋体"/>
              </w:rPr>
            </w:pPr>
            <w:r>
              <w:rPr>
                <w:rFonts w:hint="eastAsia" w:ascii="宋体" w:hAnsi="宋体"/>
              </w:rPr>
              <w:t>1</w:t>
            </w:r>
          </w:p>
        </w:tc>
        <w:tc>
          <w:tcPr>
            <w:tcW w:w="1844" w:type="dxa"/>
            <w:tcBorders>
              <w:top w:val="nil"/>
              <w:left w:val="nil"/>
              <w:bottom w:val="single" w:color="auto" w:sz="4" w:space="0"/>
              <w:right w:val="single" w:color="auto" w:sz="4" w:space="0"/>
            </w:tcBorders>
            <w:shd w:val="clear" w:color="auto" w:fill="auto"/>
            <w:vAlign w:val="center"/>
          </w:tcPr>
          <w:p w14:paraId="552E41D4">
            <w:pPr>
              <w:pStyle w:val="74"/>
              <w:rPr>
                <w:rFonts w:ascii="宋体" w:hAnsi="宋体"/>
              </w:rPr>
            </w:pPr>
            <w:r>
              <w:rPr>
                <w:rFonts w:hint="eastAsia" w:ascii="宋体" w:hAnsi="宋体"/>
              </w:rPr>
              <w:t>单口信息面板</w:t>
            </w:r>
          </w:p>
        </w:tc>
        <w:tc>
          <w:tcPr>
            <w:tcW w:w="6860" w:type="dxa"/>
            <w:tcBorders>
              <w:top w:val="nil"/>
              <w:left w:val="nil"/>
              <w:bottom w:val="single" w:color="auto" w:sz="4" w:space="0"/>
              <w:right w:val="single" w:color="auto" w:sz="4" w:space="0"/>
            </w:tcBorders>
            <w:shd w:val="clear" w:color="auto" w:fill="auto"/>
            <w:vAlign w:val="center"/>
          </w:tcPr>
          <w:p w14:paraId="183C7696">
            <w:pPr>
              <w:pStyle w:val="74"/>
              <w:rPr>
                <w:rFonts w:ascii="宋体" w:hAnsi="宋体"/>
              </w:rPr>
            </w:pPr>
            <w:r>
              <w:rPr>
                <w:rFonts w:hint="eastAsia" w:ascii="宋体" w:hAnsi="宋体"/>
              </w:rPr>
              <w:t>1).方形 86 式双层面板结构单孔面板，安装螺丝孔不得外露；</w:t>
            </w:r>
          </w:p>
          <w:p w14:paraId="11C89FE9">
            <w:pPr>
              <w:pStyle w:val="74"/>
              <w:rPr>
                <w:rFonts w:ascii="宋体" w:hAnsi="宋体"/>
              </w:rPr>
            </w:pPr>
            <w:r>
              <w:rPr>
                <w:rFonts w:hint="eastAsia" w:ascii="宋体" w:hAnsi="宋体"/>
              </w:rPr>
              <w:t>2).白色,自带可更换式标签；布线原厂产品。</w:t>
            </w:r>
          </w:p>
        </w:tc>
      </w:tr>
      <w:tr w14:paraId="760E7D04">
        <w:tblPrEx>
          <w:tblCellMar>
            <w:top w:w="0" w:type="dxa"/>
            <w:left w:w="108" w:type="dxa"/>
            <w:bottom w:w="0" w:type="dxa"/>
            <w:right w:w="108" w:type="dxa"/>
          </w:tblCellMar>
        </w:tblPrEx>
        <w:trPr>
          <w:trHeight w:val="20" w:hRule="atLeast"/>
        </w:trPr>
        <w:tc>
          <w:tcPr>
            <w:tcW w:w="675" w:type="dxa"/>
            <w:tcBorders>
              <w:top w:val="nil"/>
              <w:left w:val="single" w:color="auto" w:sz="4" w:space="0"/>
              <w:bottom w:val="single" w:color="auto" w:sz="4" w:space="0"/>
              <w:right w:val="single" w:color="auto" w:sz="4" w:space="0"/>
            </w:tcBorders>
            <w:shd w:val="clear" w:color="auto" w:fill="auto"/>
            <w:vAlign w:val="center"/>
          </w:tcPr>
          <w:p w14:paraId="23DBE2FC">
            <w:pPr>
              <w:pStyle w:val="74"/>
              <w:rPr>
                <w:rFonts w:ascii="宋体" w:hAnsi="宋体"/>
              </w:rPr>
            </w:pPr>
            <w:r>
              <w:rPr>
                <w:rFonts w:hint="eastAsia" w:ascii="宋体" w:hAnsi="宋体"/>
              </w:rPr>
              <w:t>2</w:t>
            </w:r>
          </w:p>
        </w:tc>
        <w:tc>
          <w:tcPr>
            <w:tcW w:w="1844" w:type="dxa"/>
            <w:tcBorders>
              <w:top w:val="nil"/>
              <w:left w:val="nil"/>
              <w:bottom w:val="single" w:color="auto" w:sz="4" w:space="0"/>
              <w:right w:val="single" w:color="auto" w:sz="4" w:space="0"/>
            </w:tcBorders>
            <w:shd w:val="clear" w:color="auto" w:fill="auto"/>
            <w:vAlign w:val="center"/>
          </w:tcPr>
          <w:p w14:paraId="6F9997F3">
            <w:pPr>
              <w:pStyle w:val="74"/>
              <w:rPr>
                <w:rFonts w:ascii="宋体" w:hAnsi="宋体"/>
              </w:rPr>
            </w:pPr>
            <w:r>
              <w:rPr>
                <w:rFonts w:hint="eastAsia" w:ascii="宋体" w:hAnsi="宋体"/>
              </w:rPr>
              <w:t>双口信息面板</w:t>
            </w:r>
          </w:p>
        </w:tc>
        <w:tc>
          <w:tcPr>
            <w:tcW w:w="6860" w:type="dxa"/>
            <w:tcBorders>
              <w:top w:val="nil"/>
              <w:left w:val="nil"/>
              <w:bottom w:val="single" w:color="auto" w:sz="4" w:space="0"/>
              <w:right w:val="single" w:color="auto" w:sz="4" w:space="0"/>
            </w:tcBorders>
            <w:shd w:val="clear" w:color="auto" w:fill="auto"/>
            <w:vAlign w:val="center"/>
          </w:tcPr>
          <w:p w14:paraId="0C522388">
            <w:pPr>
              <w:pStyle w:val="74"/>
              <w:rPr>
                <w:rFonts w:ascii="宋体" w:hAnsi="宋体"/>
                <w:lang w:bidi="ar"/>
              </w:rPr>
            </w:pPr>
            <w:r>
              <w:rPr>
                <w:rFonts w:hint="eastAsia" w:ascii="宋体" w:hAnsi="宋体"/>
                <w:lang w:bidi="ar"/>
              </w:rPr>
              <w:t>1).方形 86 式双层面板结构双孔面板，安装螺丝孔不得外露；</w:t>
            </w:r>
          </w:p>
          <w:p w14:paraId="1EDB4999">
            <w:pPr>
              <w:pStyle w:val="74"/>
              <w:rPr>
                <w:rFonts w:ascii="宋体" w:hAnsi="宋体"/>
                <w:lang w:bidi="ar"/>
              </w:rPr>
            </w:pPr>
            <w:r>
              <w:rPr>
                <w:rFonts w:hint="eastAsia" w:ascii="宋体" w:hAnsi="宋体"/>
                <w:lang w:bidi="ar"/>
              </w:rPr>
              <w:t>2).白色,自带可更换式标签；布线原厂产品。</w:t>
            </w:r>
          </w:p>
        </w:tc>
      </w:tr>
      <w:tr w14:paraId="273027E0">
        <w:tblPrEx>
          <w:tblCellMar>
            <w:top w:w="0" w:type="dxa"/>
            <w:left w:w="108" w:type="dxa"/>
            <w:bottom w:w="0" w:type="dxa"/>
            <w:right w:w="108" w:type="dxa"/>
          </w:tblCellMar>
        </w:tblPrEx>
        <w:trPr>
          <w:trHeight w:val="20" w:hRule="atLeast"/>
        </w:trPr>
        <w:tc>
          <w:tcPr>
            <w:tcW w:w="675" w:type="dxa"/>
            <w:tcBorders>
              <w:top w:val="nil"/>
              <w:left w:val="single" w:color="auto" w:sz="4" w:space="0"/>
              <w:bottom w:val="single" w:color="auto" w:sz="4" w:space="0"/>
              <w:right w:val="single" w:color="auto" w:sz="4" w:space="0"/>
            </w:tcBorders>
            <w:shd w:val="clear" w:color="auto" w:fill="auto"/>
            <w:vAlign w:val="center"/>
          </w:tcPr>
          <w:p w14:paraId="5044803A">
            <w:pPr>
              <w:pStyle w:val="74"/>
              <w:rPr>
                <w:rFonts w:ascii="宋体" w:hAnsi="宋体"/>
              </w:rPr>
            </w:pPr>
            <w:r>
              <w:rPr>
                <w:rFonts w:hint="eastAsia" w:ascii="宋体" w:hAnsi="宋体"/>
              </w:rPr>
              <w:t>3</w:t>
            </w:r>
          </w:p>
        </w:tc>
        <w:tc>
          <w:tcPr>
            <w:tcW w:w="1844" w:type="dxa"/>
            <w:tcBorders>
              <w:top w:val="nil"/>
              <w:left w:val="nil"/>
              <w:bottom w:val="single" w:color="auto" w:sz="4" w:space="0"/>
              <w:right w:val="single" w:color="auto" w:sz="4" w:space="0"/>
            </w:tcBorders>
            <w:shd w:val="clear" w:color="auto" w:fill="auto"/>
            <w:vAlign w:val="center"/>
          </w:tcPr>
          <w:p w14:paraId="7E28856C">
            <w:pPr>
              <w:pStyle w:val="74"/>
              <w:rPr>
                <w:rFonts w:ascii="宋体" w:hAnsi="宋体"/>
              </w:rPr>
            </w:pPr>
            <w:r>
              <w:rPr>
                <w:rFonts w:hint="eastAsia" w:ascii="宋体" w:hAnsi="宋体"/>
              </w:rPr>
              <w:t>光纤信息面板</w:t>
            </w:r>
          </w:p>
        </w:tc>
        <w:tc>
          <w:tcPr>
            <w:tcW w:w="6860" w:type="dxa"/>
            <w:tcBorders>
              <w:top w:val="nil"/>
              <w:left w:val="nil"/>
              <w:bottom w:val="single" w:color="auto" w:sz="4" w:space="0"/>
              <w:right w:val="single" w:color="auto" w:sz="4" w:space="0"/>
            </w:tcBorders>
            <w:shd w:val="clear" w:color="auto" w:fill="auto"/>
            <w:vAlign w:val="center"/>
          </w:tcPr>
          <w:p w14:paraId="78DF1B0D">
            <w:pPr>
              <w:pStyle w:val="74"/>
              <w:rPr>
                <w:rFonts w:ascii="宋体" w:hAnsi="宋体"/>
              </w:rPr>
            </w:pPr>
            <w:r>
              <w:rPr>
                <w:rFonts w:hint="eastAsia" w:ascii="宋体" w:hAnsi="宋体"/>
              </w:rPr>
              <w:t>86 型光纤面板，含四芯 LC 耦合器。</w:t>
            </w:r>
          </w:p>
        </w:tc>
      </w:tr>
      <w:tr w14:paraId="3E723B43">
        <w:tblPrEx>
          <w:tblCellMar>
            <w:top w:w="0" w:type="dxa"/>
            <w:left w:w="108" w:type="dxa"/>
            <w:bottom w:w="0" w:type="dxa"/>
            <w:right w:w="108" w:type="dxa"/>
          </w:tblCellMar>
        </w:tblPrEx>
        <w:trPr>
          <w:trHeight w:val="20" w:hRule="atLeast"/>
        </w:trPr>
        <w:tc>
          <w:tcPr>
            <w:tcW w:w="675" w:type="dxa"/>
            <w:tcBorders>
              <w:top w:val="nil"/>
              <w:left w:val="single" w:color="auto" w:sz="4" w:space="0"/>
              <w:bottom w:val="single" w:color="auto" w:sz="4" w:space="0"/>
              <w:right w:val="single" w:color="auto" w:sz="4" w:space="0"/>
            </w:tcBorders>
            <w:shd w:val="clear" w:color="auto" w:fill="auto"/>
            <w:vAlign w:val="center"/>
          </w:tcPr>
          <w:p w14:paraId="4838F4E2">
            <w:pPr>
              <w:pStyle w:val="74"/>
              <w:rPr>
                <w:rFonts w:ascii="宋体" w:hAnsi="宋体"/>
              </w:rPr>
            </w:pPr>
            <w:r>
              <w:rPr>
                <w:rFonts w:hint="eastAsia" w:ascii="宋体" w:hAnsi="宋体"/>
              </w:rPr>
              <w:t>4</w:t>
            </w:r>
          </w:p>
        </w:tc>
        <w:tc>
          <w:tcPr>
            <w:tcW w:w="1844" w:type="dxa"/>
            <w:tcBorders>
              <w:top w:val="nil"/>
              <w:left w:val="nil"/>
              <w:bottom w:val="single" w:color="auto" w:sz="4" w:space="0"/>
              <w:right w:val="single" w:color="auto" w:sz="4" w:space="0"/>
            </w:tcBorders>
            <w:shd w:val="clear" w:color="auto" w:fill="auto"/>
            <w:vAlign w:val="center"/>
          </w:tcPr>
          <w:p w14:paraId="78C1AFF5">
            <w:pPr>
              <w:pStyle w:val="74"/>
              <w:rPr>
                <w:rFonts w:ascii="宋体" w:hAnsi="宋体"/>
              </w:rPr>
            </w:pPr>
            <w:r>
              <w:rPr>
                <w:rFonts w:hint="eastAsia" w:ascii="宋体" w:hAnsi="宋体"/>
              </w:rPr>
              <w:t>六类非屏蔽模块</w:t>
            </w:r>
          </w:p>
        </w:tc>
        <w:tc>
          <w:tcPr>
            <w:tcW w:w="6860" w:type="dxa"/>
            <w:tcBorders>
              <w:top w:val="nil"/>
              <w:left w:val="nil"/>
              <w:bottom w:val="single" w:color="auto" w:sz="4" w:space="0"/>
              <w:right w:val="single" w:color="auto" w:sz="4" w:space="0"/>
            </w:tcBorders>
            <w:shd w:val="clear" w:color="auto" w:fill="auto"/>
            <w:vAlign w:val="center"/>
          </w:tcPr>
          <w:p w14:paraId="1F2052EE">
            <w:pPr>
              <w:pStyle w:val="74"/>
              <w:rPr>
                <w:rFonts w:ascii="宋体" w:hAnsi="宋体"/>
              </w:rPr>
            </w:pPr>
            <w:r>
              <w:rPr>
                <w:rFonts w:hint="eastAsia" w:ascii="宋体" w:hAnsi="宋体"/>
              </w:rPr>
              <w:t>1).匹配线规 22－24AWG，T568A 或 B 打线方式；</w:t>
            </w:r>
          </w:p>
          <w:p w14:paraId="72981218">
            <w:pPr>
              <w:pStyle w:val="74"/>
              <w:rPr>
                <w:rFonts w:ascii="宋体" w:hAnsi="宋体"/>
              </w:rPr>
            </w:pPr>
            <w:r>
              <w:rPr>
                <w:rFonts w:hint="eastAsia" w:ascii="宋体" w:hAnsi="宋体"/>
              </w:rPr>
              <w:t>2).自带明显数据或语音标签；耐抗击强冲击；</w:t>
            </w:r>
          </w:p>
          <w:p w14:paraId="2979BAB8">
            <w:pPr>
              <w:pStyle w:val="74"/>
              <w:rPr>
                <w:rFonts w:ascii="宋体" w:hAnsi="宋体"/>
              </w:rPr>
            </w:pPr>
            <w:r>
              <w:rPr>
                <w:rFonts w:hint="eastAsia" w:ascii="宋体" w:hAnsi="宋体"/>
              </w:rPr>
              <w:t>3).45 度斜插安装、自带防尘门，采用金字塔型设计 IDC 连接块；</w:t>
            </w:r>
          </w:p>
          <w:p w14:paraId="4F388517">
            <w:pPr>
              <w:pStyle w:val="74"/>
              <w:rPr>
                <w:rFonts w:ascii="宋体" w:hAnsi="宋体"/>
              </w:rPr>
            </w:pPr>
            <w:r>
              <w:rPr>
                <w:rFonts w:hint="eastAsia" w:ascii="宋体" w:hAnsi="宋体"/>
              </w:rPr>
              <w:t>4).须提供 4 种以上颜色区分不同信息点类型。</w:t>
            </w:r>
          </w:p>
        </w:tc>
      </w:tr>
      <w:tr w14:paraId="062CB71A">
        <w:tblPrEx>
          <w:tblCellMar>
            <w:top w:w="0" w:type="dxa"/>
            <w:left w:w="108" w:type="dxa"/>
            <w:bottom w:w="0" w:type="dxa"/>
            <w:right w:w="108" w:type="dxa"/>
          </w:tblCellMar>
        </w:tblPrEx>
        <w:trPr>
          <w:trHeight w:val="20"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3794BD03">
            <w:pPr>
              <w:pStyle w:val="74"/>
              <w:rPr>
                <w:rFonts w:ascii="宋体" w:hAnsi="宋体"/>
              </w:rPr>
            </w:pPr>
            <w:r>
              <w:rPr>
                <w:rFonts w:hint="eastAsia" w:ascii="宋体" w:hAnsi="宋体"/>
              </w:rPr>
              <w:t>5</w:t>
            </w:r>
          </w:p>
        </w:tc>
        <w:tc>
          <w:tcPr>
            <w:tcW w:w="1844" w:type="dxa"/>
            <w:tcBorders>
              <w:top w:val="single" w:color="auto" w:sz="4" w:space="0"/>
              <w:left w:val="single" w:color="auto" w:sz="4" w:space="0"/>
              <w:bottom w:val="single" w:color="auto" w:sz="4" w:space="0"/>
              <w:right w:val="single" w:color="auto" w:sz="4" w:space="0"/>
            </w:tcBorders>
            <w:shd w:val="clear" w:color="auto" w:fill="auto"/>
            <w:vAlign w:val="center"/>
          </w:tcPr>
          <w:p w14:paraId="232583FC">
            <w:pPr>
              <w:pStyle w:val="74"/>
              <w:rPr>
                <w:rFonts w:ascii="宋体" w:hAnsi="宋体"/>
              </w:rPr>
            </w:pPr>
            <w:r>
              <w:rPr>
                <w:rFonts w:hint="eastAsia" w:ascii="宋体" w:hAnsi="宋体"/>
              </w:rPr>
              <w:t>3 米六类非屏蔽数据跳线</w:t>
            </w:r>
          </w:p>
        </w:tc>
        <w:tc>
          <w:tcPr>
            <w:tcW w:w="6860" w:type="dxa"/>
            <w:tcBorders>
              <w:top w:val="single" w:color="auto" w:sz="4" w:space="0"/>
              <w:left w:val="single" w:color="auto" w:sz="4" w:space="0"/>
              <w:bottom w:val="single" w:color="auto" w:sz="4" w:space="0"/>
              <w:right w:val="single" w:color="auto" w:sz="4" w:space="0"/>
            </w:tcBorders>
            <w:shd w:val="clear" w:color="auto" w:fill="auto"/>
            <w:vAlign w:val="center"/>
          </w:tcPr>
          <w:p w14:paraId="78B89998">
            <w:pPr>
              <w:pStyle w:val="74"/>
              <w:rPr>
                <w:rFonts w:ascii="宋体" w:hAnsi="宋体"/>
              </w:rPr>
            </w:pPr>
            <w:r>
              <w:rPr>
                <w:rFonts w:hint="eastAsia" w:ascii="宋体" w:hAnsi="宋体"/>
              </w:rPr>
              <w:t>1).3 米原厂正品六类 4 对 RJ45 至 RJ45 跳线，采用 24 线规多股软线，插头内部带有金属隔离片以保证传输性能；</w:t>
            </w:r>
          </w:p>
          <w:p w14:paraId="78AB3F6D">
            <w:pPr>
              <w:pStyle w:val="74"/>
              <w:rPr>
                <w:rFonts w:ascii="宋体" w:hAnsi="宋体"/>
              </w:rPr>
            </w:pPr>
            <w:r>
              <w:rPr>
                <w:rFonts w:hint="eastAsia" w:ascii="宋体" w:hAnsi="宋体"/>
              </w:rPr>
              <w:t>2).满足 TIA-568-C.2 六类和 ISO/IEC11801 和 IEC61156-6 信道性能要求；</w:t>
            </w:r>
            <w:r>
              <w:rPr>
                <w:rFonts w:hint="eastAsia" w:ascii="宋体" w:hAnsi="宋体"/>
              </w:rPr>
              <w:tab/>
            </w:r>
            <w:r>
              <w:rPr>
                <w:rFonts w:hint="eastAsia" w:ascii="宋体" w:hAnsi="宋体"/>
              </w:rPr>
              <w:tab/>
            </w:r>
          </w:p>
          <w:p w14:paraId="5BEDF828">
            <w:pPr>
              <w:pStyle w:val="74"/>
              <w:rPr>
                <w:rFonts w:ascii="宋体" w:hAnsi="宋体"/>
              </w:rPr>
            </w:pPr>
            <w:r>
              <w:rPr>
                <w:rFonts w:hint="eastAsia" w:ascii="宋体" w:hAnsi="宋体"/>
              </w:rPr>
              <w:t>3).线缆护套应同时满足 LSOH 阻燃等级，连接次数≧1000 次；</w:t>
            </w:r>
          </w:p>
          <w:p w14:paraId="459FEA0D">
            <w:pPr>
              <w:pStyle w:val="74"/>
              <w:rPr>
                <w:rFonts w:ascii="宋体" w:hAnsi="宋体"/>
              </w:rPr>
            </w:pPr>
            <w:r>
              <w:rPr>
                <w:rFonts w:hint="eastAsia" w:ascii="宋体" w:hAnsi="宋体"/>
              </w:rPr>
              <w:t>4).外皮颜色须提供 4 种以上颜色。</w:t>
            </w:r>
          </w:p>
        </w:tc>
      </w:tr>
      <w:tr w14:paraId="7FE25531">
        <w:tblPrEx>
          <w:tblCellMar>
            <w:top w:w="0" w:type="dxa"/>
            <w:left w:w="108" w:type="dxa"/>
            <w:bottom w:w="0" w:type="dxa"/>
            <w:right w:w="108" w:type="dxa"/>
          </w:tblCellMar>
        </w:tblPrEx>
        <w:trPr>
          <w:trHeight w:val="20" w:hRule="atLeast"/>
        </w:trPr>
        <w:tc>
          <w:tcPr>
            <w:tcW w:w="937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A36209F">
            <w:pPr>
              <w:pStyle w:val="74"/>
              <w:rPr>
                <w:rFonts w:ascii="宋体" w:hAnsi="宋体"/>
              </w:rPr>
            </w:pPr>
            <w:r>
              <w:rPr>
                <w:rFonts w:hint="eastAsia" w:ascii="宋体" w:hAnsi="宋体"/>
              </w:rPr>
              <w:t>（二）水平子系统</w:t>
            </w:r>
          </w:p>
        </w:tc>
      </w:tr>
      <w:tr w14:paraId="0DFAD0E2">
        <w:tblPrEx>
          <w:tblCellMar>
            <w:top w:w="0" w:type="dxa"/>
            <w:left w:w="108" w:type="dxa"/>
            <w:bottom w:w="0" w:type="dxa"/>
            <w:right w:w="108" w:type="dxa"/>
          </w:tblCellMar>
        </w:tblPrEx>
        <w:trPr>
          <w:trHeight w:val="20"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34DFE12B">
            <w:pPr>
              <w:pStyle w:val="74"/>
              <w:rPr>
                <w:rFonts w:ascii="宋体" w:hAnsi="宋体"/>
              </w:rPr>
            </w:pPr>
            <w:r>
              <w:rPr>
                <w:rFonts w:hint="eastAsia" w:ascii="宋体" w:hAnsi="宋体"/>
              </w:rPr>
              <w:t>1</w:t>
            </w:r>
          </w:p>
        </w:tc>
        <w:tc>
          <w:tcPr>
            <w:tcW w:w="1844" w:type="dxa"/>
            <w:tcBorders>
              <w:top w:val="single" w:color="auto" w:sz="4" w:space="0"/>
              <w:left w:val="single" w:color="auto" w:sz="4" w:space="0"/>
              <w:bottom w:val="single" w:color="auto" w:sz="4" w:space="0"/>
              <w:right w:val="single" w:color="auto" w:sz="4" w:space="0"/>
            </w:tcBorders>
            <w:shd w:val="clear" w:color="auto" w:fill="auto"/>
            <w:vAlign w:val="center"/>
          </w:tcPr>
          <w:p w14:paraId="7BF82332">
            <w:pPr>
              <w:pStyle w:val="74"/>
              <w:rPr>
                <w:rFonts w:ascii="宋体" w:hAnsi="宋体"/>
              </w:rPr>
            </w:pPr>
            <w:r>
              <w:rPr>
                <w:rFonts w:hint="eastAsia" w:ascii="宋体" w:hAnsi="宋体"/>
              </w:rPr>
              <w:t>六类非屏蔽双绞线</w:t>
            </w:r>
          </w:p>
        </w:tc>
        <w:tc>
          <w:tcPr>
            <w:tcW w:w="6860" w:type="dxa"/>
            <w:tcBorders>
              <w:top w:val="single" w:color="auto" w:sz="4" w:space="0"/>
              <w:left w:val="single" w:color="auto" w:sz="4" w:space="0"/>
              <w:bottom w:val="single" w:color="auto" w:sz="4" w:space="0"/>
              <w:right w:val="single" w:color="auto" w:sz="4" w:space="0"/>
            </w:tcBorders>
            <w:shd w:val="clear" w:color="auto" w:fill="auto"/>
            <w:vAlign w:val="center"/>
          </w:tcPr>
          <w:p w14:paraId="2B6BE56D">
            <w:pPr>
              <w:pStyle w:val="74"/>
              <w:rPr>
                <w:rFonts w:ascii="宋体" w:hAnsi="宋体"/>
              </w:rPr>
            </w:pPr>
            <w:r>
              <w:rPr>
                <w:rFonts w:hint="eastAsia" w:ascii="宋体" w:hAnsi="宋体"/>
              </w:rPr>
              <w:t>1).23AWG(0.57mm)实芯裸铜导线，4 对/每芯带有彩色护套、十字结构骨架隔离；</w:t>
            </w:r>
            <w:r>
              <w:rPr>
                <w:rFonts w:hint="eastAsia" w:ascii="宋体" w:hAnsi="宋体"/>
              </w:rPr>
              <w:tab/>
            </w:r>
          </w:p>
          <w:p w14:paraId="36D3517C">
            <w:pPr>
              <w:pStyle w:val="74"/>
              <w:rPr>
                <w:rFonts w:ascii="宋体" w:hAnsi="宋体"/>
              </w:rPr>
            </w:pPr>
            <w:r>
              <w:rPr>
                <w:rFonts w:hint="eastAsia" w:ascii="宋体" w:hAnsi="宋体"/>
              </w:rPr>
              <w:t>2).符合 ISO/IEC 11801:2002 Ed2.0 标准，带宽≥250MHz；</w:t>
            </w:r>
          </w:p>
          <w:p w14:paraId="531CFB2C">
            <w:pPr>
              <w:pStyle w:val="74"/>
              <w:rPr>
                <w:rFonts w:ascii="宋体" w:hAnsi="宋体"/>
              </w:rPr>
            </w:pPr>
            <w:r>
              <w:rPr>
                <w:rFonts w:hint="eastAsia" w:ascii="宋体" w:hAnsi="宋体"/>
              </w:rPr>
              <w:t>3).低烟无卤护套，满足 IEC60332-3 阻燃级别。</w:t>
            </w:r>
          </w:p>
        </w:tc>
      </w:tr>
      <w:tr w14:paraId="39309A3F">
        <w:tblPrEx>
          <w:tblCellMar>
            <w:top w:w="0" w:type="dxa"/>
            <w:left w:w="108" w:type="dxa"/>
            <w:bottom w:w="0" w:type="dxa"/>
            <w:right w:w="108" w:type="dxa"/>
          </w:tblCellMar>
        </w:tblPrEx>
        <w:trPr>
          <w:trHeight w:val="20"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4B92D0B4">
            <w:pPr>
              <w:pStyle w:val="74"/>
              <w:rPr>
                <w:rFonts w:ascii="宋体" w:hAnsi="宋体"/>
              </w:rPr>
            </w:pPr>
            <w:r>
              <w:rPr>
                <w:rFonts w:hint="eastAsia" w:ascii="宋体" w:hAnsi="宋体"/>
              </w:rPr>
              <w:t>2</w:t>
            </w:r>
          </w:p>
        </w:tc>
        <w:tc>
          <w:tcPr>
            <w:tcW w:w="1844" w:type="dxa"/>
            <w:tcBorders>
              <w:top w:val="single" w:color="auto" w:sz="4" w:space="0"/>
              <w:left w:val="single" w:color="auto" w:sz="4" w:space="0"/>
              <w:bottom w:val="single" w:color="auto" w:sz="4" w:space="0"/>
              <w:right w:val="single" w:color="auto" w:sz="4" w:space="0"/>
            </w:tcBorders>
            <w:shd w:val="clear" w:color="auto" w:fill="auto"/>
            <w:vAlign w:val="center"/>
          </w:tcPr>
          <w:p w14:paraId="0BEB8AA5">
            <w:pPr>
              <w:pStyle w:val="74"/>
              <w:rPr>
                <w:rFonts w:ascii="宋体" w:hAnsi="宋体"/>
              </w:rPr>
            </w:pPr>
            <w:r>
              <w:rPr>
                <w:rFonts w:hint="eastAsia" w:ascii="宋体" w:hAnsi="宋体"/>
              </w:rPr>
              <w:t>8 芯万兆单模光纤</w:t>
            </w:r>
          </w:p>
        </w:tc>
        <w:tc>
          <w:tcPr>
            <w:tcW w:w="6860" w:type="dxa"/>
            <w:tcBorders>
              <w:top w:val="single" w:color="auto" w:sz="4" w:space="0"/>
              <w:left w:val="single" w:color="auto" w:sz="4" w:space="0"/>
              <w:bottom w:val="single" w:color="auto" w:sz="4" w:space="0"/>
              <w:right w:val="single" w:color="auto" w:sz="4" w:space="0"/>
            </w:tcBorders>
            <w:shd w:val="clear" w:color="auto" w:fill="auto"/>
            <w:vAlign w:val="center"/>
          </w:tcPr>
          <w:p w14:paraId="3F301F24">
            <w:pPr>
              <w:pStyle w:val="74"/>
              <w:rPr>
                <w:rFonts w:ascii="宋体" w:hAnsi="宋体"/>
              </w:rPr>
            </w:pPr>
            <w:r>
              <w:rPr>
                <w:rFonts w:hint="eastAsia" w:ascii="宋体" w:hAnsi="宋体"/>
              </w:rPr>
              <w:t>1).室内 8 芯 9/125μm 单模零水峰光纤 OS2 光缆，带有彩色护套；</w:t>
            </w:r>
          </w:p>
          <w:p w14:paraId="79306892">
            <w:pPr>
              <w:pStyle w:val="74"/>
              <w:rPr>
                <w:rFonts w:ascii="宋体" w:hAnsi="宋体"/>
              </w:rPr>
            </w:pPr>
            <w:r>
              <w:rPr>
                <w:rFonts w:hint="eastAsia" w:ascii="宋体" w:hAnsi="宋体"/>
              </w:rPr>
              <w:t>2).符合 ISO/IEC 11801:2002 Ed2.0 标准,最大衰减≤0.34dB/K（1310nm）, ≤0.34dB/KM（1550nm）；</w:t>
            </w:r>
          </w:p>
          <w:p w14:paraId="0BCB80B7">
            <w:pPr>
              <w:pStyle w:val="74"/>
              <w:rPr>
                <w:rFonts w:ascii="宋体" w:hAnsi="宋体"/>
              </w:rPr>
            </w:pPr>
            <w:r>
              <w:rPr>
                <w:rFonts w:hint="eastAsia" w:ascii="宋体" w:hAnsi="宋体"/>
              </w:rPr>
              <w:t>3).LSZH 低烟无卤外护套。满足 IEEE802.3ae 标准，支持 10GBASE-LX 万兆以太网达 8000 米以上距离及 1000Base-LX 千兆以太网达 10000 米以上距离。</w:t>
            </w:r>
            <w:r>
              <w:rPr>
                <w:rFonts w:hint="eastAsia" w:ascii="宋体" w:hAnsi="宋体"/>
              </w:rPr>
              <w:tab/>
            </w:r>
          </w:p>
        </w:tc>
      </w:tr>
      <w:tr w14:paraId="5CE692C0">
        <w:tblPrEx>
          <w:tblCellMar>
            <w:top w:w="0" w:type="dxa"/>
            <w:left w:w="108" w:type="dxa"/>
            <w:bottom w:w="0" w:type="dxa"/>
            <w:right w:w="108" w:type="dxa"/>
          </w:tblCellMar>
        </w:tblPrEx>
        <w:trPr>
          <w:trHeight w:val="20" w:hRule="atLeast"/>
        </w:trPr>
        <w:tc>
          <w:tcPr>
            <w:tcW w:w="937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7F900A6">
            <w:pPr>
              <w:pStyle w:val="74"/>
              <w:rPr>
                <w:rFonts w:ascii="宋体" w:hAnsi="宋体"/>
              </w:rPr>
            </w:pPr>
            <w:r>
              <w:rPr>
                <w:rFonts w:hint="eastAsia" w:ascii="宋体" w:hAnsi="宋体"/>
              </w:rPr>
              <w:t>（三）垂直子系统</w:t>
            </w:r>
          </w:p>
        </w:tc>
      </w:tr>
      <w:tr w14:paraId="2F587B5C">
        <w:tblPrEx>
          <w:tblCellMar>
            <w:top w:w="0" w:type="dxa"/>
            <w:left w:w="108" w:type="dxa"/>
            <w:bottom w:w="0" w:type="dxa"/>
            <w:right w:w="108" w:type="dxa"/>
          </w:tblCellMar>
        </w:tblPrEx>
        <w:trPr>
          <w:trHeight w:val="20"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694A09B3">
            <w:pPr>
              <w:pStyle w:val="74"/>
              <w:rPr>
                <w:rFonts w:ascii="宋体" w:hAnsi="宋体"/>
              </w:rPr>
            </w:pPr>
            <w:r>
              <w:rPr>
                <w:rFonts w:hint="eastAsia" w:ascii="宋体" w:hAnsi="宋体"/>
              </w:rPr>
              <w:t>1</w:t>
            </w:r>
          </w:p>
        </w:tc>
        <w:tc>
          <w:tcPr>
            <w:tcW w:w="1844" w:type="dxa"/>
            <w:tcBorders>
              <w:top w:val="single" w:color="auto" w:sz="4" w:space="0"/>
              <w:left w:val="single" w:color="auto" w:sz="4" w:space="0"/>
              <w:bottom w:val="single" w:color="auto" w:sz="4" w:space="0"/>
              <w:right w:val="single" w:color="auto" w:sz="4" w:space="0"/>
            </w:tcBorders>
            <w:shd w:val="clear" w:color="auto" w:fill="auto"/>
            <w:vAlign w:val="center"/>
          </w:tcPr>
          <w:p w14:paraId="0597AD5D">
            <w:pPr>
              <w:pStyle w:val="74"/>
              <w:rPr>
                <w:rFonts w:ascii="宋体" w:hAnsi="宋体"/>
              </w:rPr>
            </w:pPr>
            <w:r>
              <w:rPr>
                <w:rFonts w:hint="eastAsia" w:ascii="宋体" w:hAnsi="宋体"/>
              </w:rPr>
              <w:t>3类25对大对数</w:t>
            </w:r>
          </w:p>
        </w:tc>
        <w:tc>
          <w:tcPr>
            <w:tcW w:w="6860" w:type="dxa"/>
            <w:tcBorders>
              <w:top w:val="single" w:color="auto" w:sz="4" w:space="0"/>
              <w:left w:val="single" w:color="auto" w:sz="4" w:space="0"/>
              <w:bottom w:val="single" w:color="auto" w:sz="4" w:space="0"/>
              <w:right w:val="single" w:color="auto" w:sz="4" w:space="0"/>
            </w:tcBorders>
            <w:shd w:val="clear" w:color="auto" w:fill="auto"/>
            <w:vAlign w:val="center"/>
          </w:tcPr>
          <w:p w14:paraId="4FD6B3E3">
            <w:pPr>
              <w:pStyle w:val="74"/>
              <w:rPr>
                <w:rFonts w:ascii="宋体" w:hAnsi="宋体"/>
              </w:rPr>
            </w:pPr>
            <w:r>
              <w:rPr>
                <w:rFonts w:hint="eastAsia" w:ascii="宋体" w:hAnsi="宋体"/>
              </w:rPr>
              <w:t>1).3 类 25 对大对数 24AWG UTP 电缆，每芯带有彩色护套；</w:t>
            </w:r>
          </w:p>
          <w:p w14:paraId="36EEDDC1">
            <w:pPr>
              <w:pStyle w:val="74"/>
              <w:rPr>
                <w:rFonts w:ascii="宋体" w:hAnsi="宋体"/>
              </w:rPr>
            </w:pPr>
            <w:r>
              <w:rPr>
                <w:rFonts w:hint="eastAsia" w:ascii="宋体" w:hAnsi="宋体"/>
              </w:rPr>
              <w:t>2).符合 ISO/IEC 11801:2002 Ed2.0 标准，带宽≥16MHz、特性阻抗 100</w:t>
            </w:r>
          </w:p>
          <w:p w14:paraId="3E666D50">
            <w:pPr>
              <w:pStyle w:val="74"/>
              <w:rPr>
                <w:rFonts w:ascii="宋体" w:hAnsi="宋体"/>
              </w:rPr>
            </w:pPr>
            <w:r>
              <w:rPr>
                <w:rFonts w:hint="eastAsia" w:ascii="宋体" w:hAnsi="宋体"/>
              </w:rPr>
              <w:t>欧；</w:t>
            </w:r>
          </w:p>
          <w:p w14:paraId="1D707168">
            <w:pPr>
              <w:pStyle w:val="74"/>
              <w:rPr>
                <w:rFonts w:ascii="宋体" w:hAnsi="宋体"/>
              </w:rPr>
            </w:pPr>
            <w:r>
              <w:rPr>
                <w:rFonts w:hint="eastAsia" w:ascii="宋体" w:hAnsi="宋体"/>
              </w:rPr>
              <w:t>3).低烟无卤外护套。</w:t>
            </w:r>
          </w:p>
        </w:tc>
      </w:tr>
      <w:tr w14:paraId="058ACB3A">
        <w:tblPrEx>
          <w:tblCellMar>
            <w:top w:w="0" w:type="dxa"/>
            <w:left w:w="108" w:type="dxa"/>
            <w:bottom w:w="0" w:type="dxa"/>
            <w:right w:w="108" w:type="dxa"/>
          </w:tblCellMar>
        </w:tblPrEx>
        <w:trPr>
          <w:trHeight w:val="20"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4D985B3B">
            <w:pPr>
              <w:pStyle w:val="74"/>
              <w:rPr>
                <w:rFonts w:ascii="宋体" w:hAnsi="宋体"/>
              </w:rPr>
            </w:pPr>
            <w:r>
              <w:rPr>
                <w:rFonts w:hint="eastAsia" w:ascii="宋体" w:hAnsi="宋体"/>
              </w:rPr>
              <w:t>2</w:t>
            </w:r>
          </w:p>
        </w:tc>
        <w:tc>
          <w:tcPr>
            <w:tcW w:w="1844" w:type="dxa"/>
            <w:tcBorders>
              <w:top w:val="single" w:color="auto" w:sz="4" w:space="0"/>
              <w:left w:val="single" w:color="auto" w:sz="4" w:space="0"/>
              <w:bottom w:val="single" w:color="auto" w:sz="4" w:space="0"/>
              <w:right w:val="single" w:color="auto" w:sz="4" w:space="0"/>
            </w:tcBorders>
            <w:shd w:val="clear" w:color="auto" w:fill="auto"/>
            <w:vAlign w:val="center"/>
          </w:tcPr>
          <w:p w14:paraId="63814DFF">
            <w:pPr>
              <w:pStyle w:val="74"/>
              <w:rPr>
                <w:rFonts w:ascii="宋体" w:hAnsi="宋体"/>
              </w:rPr>
            </w:pPr>
            <w:r>
              <w:rPr>
                <w:rFonts w:hint="eastAsia" w:ascii="宋体" w:hAnsi="宋体"/>
              </w:rPr>
              <w:t>3类50 对大对数</w:t>
            </w:r>
          </w:p>
        </w:tc>
        <w:tc>
          <w:tcPr>
            <w:tcW w:w="6860" w:type="dxa"/>
            <w:tcBorders>
              <w:top w:val="single" w:color="auto" w:sz="4" w:space="0"/>
              <w:left w:val="single" w:color="auto" w:sz="4" w:space="0"/>
              <w:bottom w:val="single" w:color="auto" w:sz="4" w:space="0"/>
              <w:right w:val="single" w:color="auto" w:sz="4" w:space="0"/>
            </w:tcBorders>
            <w:shd w:val="clear" w:color="auto" w:fill="auto"/>
            <w:vAlign w:val="center"/>
          </w:tcPr>
          <w:p w14:paraId="60DC8773">
            <w:pPr>
              <w:pStyle w:val="74"/>
              <w:rPr>
                <w:rFonts w:ascii="宋体" w:hAnsi="宋体"/>
              </w:rPr>
            </w:pPr>
            <w:r>
              <w:rPr>
                <w:rFonts w:hint="eastAsia" w:ascii="宋体" w:hAnsi="宋体"/>
              </w:rPr>
              <w:t>1).3 类 50 对大对数 24AWG UTP 电缆，每芯带有彩色护套；</w:t>
            </w:r>
          </w:p>
          <w:p w14:paraId="1D80DFE0">
            <w:pPr>
              <w:pStyle w:val="74"/>
              <w:rPr>
                <w:rFonts w:ascii="宋体" w:hAnsi="宋体"/>
              </w:rPr>
            </w:pPr>
            <w:r>
              <w:rPr>
                <w:rFonts w:hint="eastAsia" w:ascii="宋体" w:hAnsi="宋体"/>
              </w:rPr>
              <w:t>2).符合 ISO/IEC 11801:2002 Ed2.0 标准，带宽≥16MHz、特性阻抗 100</w:t>
            </w:r>
          </w:p>
          <w:p w14:paraId="12F11947">
            <w:pPr>
              <w:pStyle w:val="74"/>
              <w:rPr>
                <w:rFonts w:ascii="宋体" w:hAnsi="宋体"/>
              </w:rPr>
            </w:pPr>
            <w:r>
              <w:rPr>
                <w:rFonts w:hint="eastAsia" w:ascii="宋体" w:hAnsi="宋体"/>
              </w:rPr>
              <w:t>欧；</w:t>
            </w:r>
            <w:r>
              <w:rPr>
                <w:rFonts w:hint="eastAsia" w:ascii="宋体" w:hAnsi="宋体"/>
              </w:rPr>
              <w:tab/>
            </w:r>
          </w:p>
          <w:p w14:paraId="14630650">
            <w:pPr>
              <w:pStyle w:val="74"/>
              <w:rPr>
                <w:rFonts w:ascii="宋体" w:hAnsi="宋体"/>
              </w:rPr>
            </w:pPr>
            <w:r>
              <w:rPr>
                <w:rFonts w:hint="eastAsia" w:ascii="宋体" w:hAnsi="宋体"/>
              </w:rPr>
              <w:t>3).低烟无卤外护套。</w:t>
            </w:r>
            <w:r>
              <w:rPr>
                <w:rFonts w:hint="eastAsia" w:ascii="宋体" w:hAnsi="宋体"/>
              </w:rPr>
              <w:tab/>
            </w:r>
          </w:p>
        </w:tc>
      </w:tr>
      <w:tr w14:paraId="0E2867F0">
        <w:tblPrEx>
          <w:tblCellMar>
            <w:top w:w="0" w:type="dxa"/>
            <w:left w:w="108" w:type="dxa"/>
            <w:bottom w:w="0" w:type="dxa"/>
            <w:right w:w="108" w:type="dxa"/>
          </w:tblCellMar>
        </w:tblPrEx>
        <w:trPr>
          <w:trHeight w:val="20"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00A3C7EF">
            <w:pPr>
              <w:pStyle w:val="74"/>
              <w:rPr>
                <w:rFonts w:ascii="宋体" w:hAnsi="宋体"/>
              </w:rPr>
            </w:pPr>
            <w:r>
              <w:rPr>
                <w:rFonts w:hint="eastAsia" w:ascii="宋体" w:hAnsi="宋体"/>
              </w:rPr>
              <w:t>3</w:t>
            </w:r>
          </w:p>
        </w:tc>
        <w:tc>
          <w:tcPr>
            <w:tcW w:w="1844" w:type="dxa"/>
            <w:tcBorders>
              <w:top w:val="single" w:color="auto" w:sz="4" w:space="0"/>
              <w:left w:val="single" w:color="auto" w:sz="4" w:space="0"/>
              <w:bottom w:val="single" w:color="auto" w:sz="4" w:space="0"/>
              <w:right w:val="single" w:color="auto" w:sz="4" w:space="0"/>
            </w:tcBorders>
            <w:shd w:val="clear" w:color="auto" w:fill="auto"/>
            <w:vAlign w:val="center"/>
          </w:tcPr>
          <w:p w14:paraId="5C8CF4A1">
            <w:pPr>
              <w:pStyle w:val="74"/>
              <w:rPr>
                <w:rFonts w:ascii="宋体" w:hAnsi="宋体"/>
              </w:rPr>
            </w:pPr>
            <w:r>
              <w:rPr>
                <w:rFonts w:hint="eastAsia" w:ascii="宋体" w:hAnsi="宋体"/>
              </w:rPr>
              <w:t>3类100 对大对数</w:t>
            </w:r>
          </w:p>
        </w:tc>
        <w:tc>
          <w:tcPr>
            <w:tcW w:w="6860" w:type="dxa"/>
            <w:tcBorders>
              <w:top w:val="single" w:color="auto" w:sz="4" w:space="0"/>
              <w:left w:val="single" w:color="auto" w:sz="4" w:space="0"/>
              <w:bottom w:val="single" w:color="auto" w:sz="4" w:space="0"/>
              <w:right w:val="single" w:color="auto" w:sz="4" w:space="0"/>
            </w:tcBorders>
            <w:shd w:val="clear" w:color="auto" w:fill="auto"/>
            <w:vAlign w:val="center"/>
          </w:tcPr>
          <w:p w14:paraId="28541230">
            <w:pPr>
              <w:pStyle w:val="74"/>
              <w:rPr>
                <w:rFonts w:ascii="宋体" w:hAnsi="宋体"/>
              </w:rPr>
            </w:pPr>
            <w:r>
              <w:rPr>
                <w:rFonts w:hint="eastAsia" w:ascii="宋体" w:hAnsi="宋体"/>
              </w:rPr>
              <w:t>1).3 类 100 对大对数 24AWG</w:t>
            </w:r>
            <w:r>
              <w:rPr>
                <w:rFonts w:hint="eastAsia" w:ascii="宋体" w:hAnsi="宋体"/>
              </w:rPr>
              <w:tab/>
            </w:r>
            <w:r>
              <w:rPr>
                <w:rFonts w:hint="eastAsia" w:ascii="宋体" w:hAnsi="宋体"/>
              </w:rPr>
              <w:t>UTP 电缆，每芯带有彩色护套；</w:t>
            </w:r>
          </w:p>
          <w:p w14:paraId="373D1ECB">
            <w:pPr>
              <w:pStyle w:val="74"/>
              <w:rPr>
                <w:rFonts w:ascii="宋体" w:hAnsi="宋体"/>
              </w:rPr>
            </w:pPr>
            <w:r>
              <w:rPr>
                <w:rFonts w:hint="eastAsia" w:ascii="宋体" w:hAnsi="宋体"/>
              </w:rPr>
              <w:t>2).符合 ISO/IEC 11801:2002 Ed2.0 标准，带宽≥16MHz、特性阻抗 100</w:t>
            </w:r>
          </w:p>
          <w:p w14:paraId="7E59ADC7">
            <w:pPr>
              <w:pStyle w:val="74"/>
              <w:rPr>
                <w:rFonts w:ascii="宋体" w:hAnsi="宋体"/>
              </w:rPr>
            </w:pPr>
            <w:r>
              <w:rPr>
                <w:rFonts w:hint="eastAsia" w:ascii="宋体" w:hAnsi="宋体"/>
              </w:rPr>
              <w:t>欧；</w:t>
            </w:r>
            <w:r>
              <w:rPr>
                <w:rFonts w:hint="eastAsia" w:ascii="宋体" w:hAnsi="宋体"/>
              </w:rPr>
              <w:tab/>
            </w:r>
          </w:p>
          <w:p w14:paraId="484A8D9E">
            <w:pPr>
              <w:pStyle w:val="74"/>
              <w:rPr>
                <w:rFonts w:ascii="宋体" w:hAnsi="宋体"/>
              </w:rPr>
            </w:pPr>
            <w:r>
              <w:rPr>
                <w:rFonts w:hint="eastAsia" w:ascii="宋体" w:hAnsi="宋体"/>
              </w:rPr>
              <w:t>3).低烟无卤外护套。</w:t>
            </w:r>
            <w:r>
              <w:rPr>
                <w:rFonts w:hint="eastAsia" w:ascii="宋体" w:hAnsi="宋体"/>
              </w:rPr>
              <w:tab/>
            </w:r>
          </w:p>
        </w:tc>
      </w:tr>
      <w:tr w14:paraId="7F17DC05">
        <w:tblPrEx>
          <w:tblCellMar>
            <w:top w:w="0" w:type="dxa"/>
            <w:left w:w="108" w:type="dxa"/>
            <w:bottom w:w="0" w:type="dxa"/>
            <w:right w:w="108" w:type="dxa"/>
          </w:tblCellMar>
        </w:tblPrEx>
        <w:trPr>
          <w:trHeight w:val="20"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4D0D03E1">
            <w:pPr>
              <w:pStyle w:val="74"/>
              <w:rPr>
                <w:rFonts w:ascii="宋体" w:hAnsi="宋体"/>
              </w:rPr>
            </w:pPr>
            <w:r>
              <w:rPr>
                <w:rFonts w:hint="eastAsia" w:ascii="宋体" w:hAnsi="宋体"/>
              </w:rPr>
              <w:t>4</w:t>
            </w:r>
          </w:p>
        </w:tc>
        <w:tc>
          <w:tcPr>
            <w:tcW w:w="1844" w:type="dxa"/>
            <w:tcBorders>
              <w:top w:val="single" w:color="auto" w:sz="4" w:space="0"/>
              <w:left w:val="single" w:color="auto" w:sz="4" w:space="0"/>
              <w:bottom w:val="single" w:color="auto" w:sz="4" w:space="0"/>
              <w:right w:val="single" w:color="auto" w:sz="4" w:space="0"/>
            </w:tcBorders>
            <w:shd w:val="clear" w:color="auto" w:fill="auto"/>
            <w:vAlign w:val="center"/>
          </w:tcPr>
          <w:p w14:paraId="076784A3">
            <w:pPr>
              <w:pStyle w:val="74"/>
              <w:rPr>
                <w:rFonts w:ascii="宋体" w:hAnsi="宋体"/>
              </w:rPr>
            </w:pPr>
            <w:r>
              <w:rPr>
                <w:rFonts w:hint="eastAsia" w:ascii="宋体" w:hAnsi="宋体"/>
              </w:rPr>
              <w:t>12 芯万兆单模光纤</w:t>
            </w:r>
          </w:p>
        </w:tc>
        <w:tc>
          <w:tcPr>
            <w:tcW w:w="6860" w:type="dxa"/>
            <w:tcBorders>
              <w:top w:val="single" w:color="auto" w:sz="4" w:space="0"/>
              <w:left w:val="single" w:color="auto" w:sz="4" w:space="0"/>
              <w:bottom w:val="single" w:color="auto" w:sz="4" w:space="0"/>
              <w:right w:val="single" w:color="auto" w:sz="4" w:space="0"/>
            </w:tcBorders>
            <w:shd w:val="clear" w:color="auto" w:fill="auto"/>
            <w:vAlign w:val="center"/>
          </w:tcPr>
          <w:p w14:paraId="1D5D15D3">
            <w:pPr>
              <w:pStyle w:val="74"/>
              <w:rPr>
                <w:rFonts w:ascii="宋体" w:hAnsi="宋体"/>
              </w:rPr>
            </w:pPr>
            <w:r>
              <w:rPr>
                <w:rFonts w:hint="eastAsia" w:ascii="宋体" w:hAnsi="宋体"/>
              </w:rPr>
              <w:t>1).室内 12 芯 9/125μm 单模零水峰光纤 OS2 光缆，带有彩色护套；</w:t>
            </w:r>
          </w:p>
          <w:p w14:paraId="543352EF">
            <w:pPr>
              <w:pStyle w:val="74"/>
              <w:rPr>
                <w:rFonts w:ascii="宋体" w:hAnsi="宋体"/>
              </w:rPr>
            </w:pPr>
            <w:r>
              <w:rPr>
                <w:rFonts w:hint="eastAsia" w:ascii="宋体" w:hAnsi="宋体"/>
              </w:rPr>
              <w:t>2).符合 ISO/IEC 11801:2002 Ed2.0 标准,最大衰减≤0.34dB/K（1310nm）, ≤0.34dB/KM（1550nm）；</w:t>
            </w:r>
          </w:p>
          <w:p w14:paraId="14CBA1AC">
            <w:pPr>
              <w:pStyle w:val="74"/>
              <w:rPr>
                <w:rFonts w:ascii="宋体" w:hAnsi="宋体"/>
              </w:rPr>
            </w:pPr>
            <w:r>
              <w:rPr>
                <w:rFonts w:hint="eastAsia" w:ascii="宋体" w:hAnsi="宋体"/>
              </w:rPr>
              <w:t>3).LSZH 低烟无卤外护套。满足 IEEE802.3ae 标准，支持 10GBASE-LX 万兆以太网达 8000 米以上距离及 1000Base-LX 千兆以太网达 10000 米以上距离。</w:t>
            </w:r>
            <w:r>
              <w:rPr>
                <w:rFonts w:hint="eastAsia" w:ascii="宋体" w:hAnsi="宋体"/>
              </w:rPr>
              <w:tab/>
            </w:r>
          </w:p>
        </w:tc>
      </w:tr>
      <w:tr w14:paraId="4EDD1130">
        <w:tblPrEx>
          <w:tblCellMar>
            <w:top w:w="0" w:type="dxa"/>
            <w:left w:w="108" w:type="dxa"/>
            <w:bottom w:w="0" w:type="dxa"/>
            <w:right w:w="108" w:type="dxa"/>
          </w:tblCellMar>
        </w:tblPrEx>
        <w:trPr>
          <w:trHeight w:val="20" w:hRule="atLeast"/>
        </w:trPr>
        <w:tc>
          <w:tcPr>
            <w:tcW w:w="937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CB05449">
            <w:pPr>
              <w:pStyle w:val="74"/>
              <w:rPr>
                <w:rFonts w:ascii="宋体" w:hAnsi="宋体"/>
              </w:rPr>
            </w:pPr>
            <w:r>
              <w:rPr>
                <w:rFonts w:hint="eastAsia" w:ascii="宋体" w:hAnsi="宋体"/>
              </w:rPr>
              <w:t>（四）管理间子系统</w:t>
            </w:r>
          </w:p>
        </w:tc>
      </w:tr>
      <w:tr w14:paraId="6FF36473">
        <w:tblPrEx>
          <w:tblCellMar>
            <w:top w:w="0" w:type="dxa"/>
            <w:left w:w="108" w:type="dxa"/>
            <w:bottom w:w="0" w:type="dxa"/>
            <w:right w:w="108" w:type="dxa"/>
          </w:tblCellMar>
        </w:tblPrEx>
        <w:trPr>
          <w:trHeight w:val="20"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42FFF7B9">
            <w:pPr>
              <w:pStyle w:val="74"/>
              <w:rPr>
                <w:rFonts w:ascii="宋体" w:hAnsi="宋体"/>
              </w:rPr>
            </w:pPr>
            <w:r>
              <w:rPr>
                <w:rFonts w:hint="eastAsia" w:ascii="宋体" w:hAnsi="宋体"/>
              </w:rPr>
              <w:t>1</w:t>
            </w:r>
          </w:p>
        </w:tc>
        <w:tc>
          <w:tcPr>
            <w:tcW w:w="1844" w:type="dxa"/>
            <w:tcBorders>
              <w:top w:val="single" w:color="auto" w:sz="4" w:space="0"/>
              <w:left w:val="single" w:color="auto" w:sz="4" w:space="0"/>
              <w:bottom w:val="single" w:color="auto" w:sz="4" w:space="0"/>
              <w:right w:val="single" w:color="auto" w:sz="4" w:space="0"/>
            </w:tcBorders>
            <w:shd w:val="clear" w:color="auto" w:fill="auto"/>
            <w:vAlign w:val="center"/>
          </w:tcPr>
          <w:p w14:paraId="68A3474E">
            <w:pPr>
              <w:pStyle w:val="74"/>
              <w:rPr>
                <w:rFonts w:ascii="宋体" w:hAnsi="宋体"/>
              </w:rPr>
            </w:pPr>
            <w:r>
              <w:rPr>
                <w:rFonts w:hint="eastAsia" w:ascii="宋体" w:hAnsi="宋体"/>
              </w:rPr>
              <w:t>48 口六类非屏蔽配线架</w:t>
            </w:r>
          </w:p>
        </w:tc>
        <w:tc>
          <w:tcPr>
            <w:tcW w:w="6860" w:type="dxa"/>
            <w:tcBorders>
              <w:top w:val="single" w:color="auto" w:sz="4" w:space="0"/>
              <w:left w:val="single" w:color="auto" w:sz="4" w:space="0"/>
              <w:bottom w:val="single" w:color="auto" w:sz="4" w:space="0"/>
              <w:right w:val="single" w:color="auto" w:sz="4" w:space="0"/>
            </w:tcBorders>
            <w:shd w:val="clear" w:color="auto" w:fill="auto"/>
            <w:vAlign w:val="center"/>
          </w:tcPr>
          <w:p w14:paraId="3F34BA1C">
            <w:pPr>
              <w:pStyle w:val="74"/>
              <w:rPr>
                <w:rFonts w:ascii="宋体" w:hAnsi="宋体"/>
              </w:rPr>
            </w:pPr>
            <w:r>
              <w:rPr>
                <w:rFonts w:hint="eastAsia" w:ascii="宋体" w:hAnsi="宋体"/>
              </w:rPr>
              <w:t>1).1U 六类 24 口模块化配线架(配置 24 个六类非屏蔽模块),符合</w:t>
            </w:r>
          </w:p>
          <w:p w14:paraId="15FE1E35">
            <w:pPr>
              <w:pStyle w:val="74"/>
              <w:rPr>
                <w:rFonts w:ascii="宋体" w:hAnsi="宋体"/>
              </w:rPr>
            </w:pPr>
            <w:r>
              <w:rPr>
                <w:rFonts w:hint="eastAsia" w:ascii="宋体" w:hAnsi="宋体"/>
              </w:rPr>
              <w:t>ANSI/TIA-568-C，ISO/IEC 11801:2002 Ed2.0 标准，带宽≧250MHz；</w:t>
            </w:r>
          </w:p>
          <w:p w14:paraId="10A893E1">
            <w:pPr>
              <w:pStyle w:val="74"/>
              <w:rPr>
                <w:rFonts w:ascii="宋体" w:hAnsi="宋体"/>
              </w:rPr>
            </w:pPr>
            <w:r>
              <w:rPr>
                <w:rFonts w:hint="eastAsia" w:ascii="宋体" w:hAnsi="宋体"/>
              </w:rPr>
              <w:t>2).至少可任意选择至少 4 种不同颜色的六类模块组合安装，模块颜色与</w:t>
            </w:r>
          </w:p>
          <w:p w14:paraId="16066BB7">
            <w:pPr>
              <w:pStyle w:val="74"/>
              <w:rPr>
                <w:rFonts w:ascii="宋体" w:hAnsi="宋体"/>
              </w:rPr>
            </w:pPr>
            <w:r>
              <w:rPr>
                <w:rFonts w:hint="eastAsia" w:ascii="宋体" w:hAnsi="宋体"/>
              </w:rPr>
              <w:t>工作区模块和跳线颜色一致；</w:t>
            </w:r>
            <w:r>
              <w:rPr>
                <w:rFonts w:hint="eastAsia" w:ascii="宋体" w:hAnsi="宋体"/>
              </w:rPr>
              <w:tab/>
            </w:r>
          </w:p>
          <w:p w14:paraId="26E67237">
            <w:pPr>
              <w:pStyle w:val="74"/>
              <w:rPr>
                <w:rFonts w:ascii="宋体" w:hAnsi="宋体"/>
              </w:rPr>
            </w:pPr>
            <w:r>
              <w:rPr>
                <w:rFonts w:hint="eastAsia" w:ascii="宋体" w:hAnsi="宋体"/>
              </w:rPr>
              <w:t>3).19”机柜/机架式安装，配有后置线缆管理器、标签槽、标签纸、扎线</w:t>
            </w:r>
          </w:p>
          <w:p w14:paraId="0848122D">
            <w:pPr>
              <w:pStyle w:val="74"/>
              <w:rPr>
                <w:rFonts w:ascii="宋体" w:hAnsi="宋体"/>
              </w:rPr>
            </w:pPr>
            <w:r>
              <w:rPr>
                <w:rFonts w:hint="eastAsia" w:ascii="宋体" w:hAnsi="宋体"/>
              </w:rPr>
              <w:t>带和固定螺丝。</w:t>
            </w:r>
            <w:r>
              <w:rPr>
                <w:rFonts w:hint="eastAsia" w:ascii="宋体" w:hAnsi="宋体"/>
              </w:rPr>
              <w:tab/>
            </w:r>
          </w:p>
        </w:tc>
      </w:tr>
      <w:tr w14:paraId="750AB45E">
        <w:tblPrEx>
          <w:tblCellMar>
            <w:top w:w="0" w:type="dxa"/>
            <w:left w:w="108" w:type="dxa"/>
            <w:bottom w:w="0" w:type="dxa"/>
            <w:right w:w="108" w:type="dxa"/>
          </w:tblCellMar>
        </w:tblPrEx>
        <w:trPr>
          <w:trHeight w:val="20"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37BA017E">
            <w:pPr>
              <w:pStyle w:val="74"/>
              <w:rPr>
                <w:rFonts w:ascii="宋体" w:hAnsi="宋体"/>
              </w:rPr>
            </w:pPr>
            <w:r>
              <w:rPr>
                <w:rFonts w:hint="eastAsia" w:ascii="宋体" w:hAnsi="宋体"/>
              </w:rPr>
              <w:t>2</w:t>
            </w:r>
          </w:p>
        </w:tc>
        <w:tc>
          <w:tcPr>
            <w:tcW w:w="1844" w:type="dxa"/>
            <w:tcBorders>
              <w:top w:val="single" w:color="auto" w:sz="4" w:space="0"/>
              <w:left w:val="single" w:color="auto" w:sz="4" w:space="0"/>
              <w:bottom w:val="single" w:color="auto" w:sz="4" w:space="0"/>
              <w:right w:val="single" w:color="auto" w:sz="4" w:space="0"/>
            </w:tcBorders>
            <w:shd w:val="clear" w:color="auto" w:fill="auto"/>
            <w:vAlign w:val="center"/>
          </w:tcPr>
          <w:p w14:paraId="05CA8EA2">
            <w:pPr>
              <w:pStyle w:val="74"/>
              <w:rPr>
                <w:rFonts w:ascii="宋体" w:hAnsi="宋体"/>
              </w:rPr>
            </w:pPr>
            <w:r>
              <w:rPr>
                <w:rFonts w:hint="eastAsia" w:ascii="宋体" w:hAnsi="宋体"/>
              </w:rPr>
              <w:t>2 米六类非屏蔽数据跳线</w:t>
            </w:r>
          </w:p>
        </w:tc>
        <w:tc>
          <w:tcPr>
            <w:tcW w:w="6860" w:type="dxa"/>
            <w:tcBorders>
              <w:top w:val="single" w:color="auto" w:sz="4" w:space="0"/>
              <w:left w:val="single" w:color="auto" w:sz="4" w:space="0"/>
              <w:bottom w:val="single" w:color="auto" w:sz="4" w:space="0"/>
              <w:right w:val="single" w:color="auto" w:sz="4" w:space="0"/>
            </w:tcBorders>
            <w:shd w:val="clear" w:color="auto" w:fill="auto"/>
            <w:vAlign w:val="center"/>
          </w:tcPr>
          <w:p w14:paraId="67F91AD9">
            <w:pPr>
              <w:pStyle w:val="74"/>
              <w:rPr>
                <w:rFonts w:ascii="宋体" w:hAnsi="宋体"/>
              </w:rPr>
            </w:pPr>
            <w:r>
              <w:rPr>
                <w:rFonts w:hint="eastAsia" w:ascii="宋体" w:hAnsi="宋体"/>
              </w:rPr>
              <w:t>1).2 米原厂正品六类 4 对 RJ45 至 RJ45 跳线，采用 26 线规多股软线，插头内部带有金属隔离片以保证传输性能；</w:t>
            </w:r>
          </w:p>
          <w:p w14:paraId="26F7A201">
            <w:pPr>
              <w:pStyle w:val="74"/>
              <w:rPr>
                <w:rFonts w:ascii="宋体" w:hAnsi="宋体"/>
              </w:rPr>
            </w:pPr>
            <w:r>
              <w:rPr>
                <w:rFonts w:hint="eastAsia" w:ascii="宋体" w:hAnsi="宋体"/>
              </w:rPr>
              <w:t>2).满足 TIA-568-C.2 六类和 ISO/IEC11801 和 IEC61156-6 信道性能要求；</w:t>
            </w:r>
            <w:r>
              <w:rPr>
                <w:rFonts w:hint="eastAsia" w:ascii="宋体" w:hAnsi="宋体"/>
              </w:rPr>
              <w:tab/>
            </w:r>
          </w:p>
          <w:p w14:paraId="360ACE7D">
            <w:pPr>
              <w:pStyle w:val="74"/>
              <w:rPr>
                <w:rFonts w:ascii="宋体" w:hAnsi="宋体"/>
              </w:rPr>
            </w:pPr>
            <w:r>
              <w:rPr>
                <w:rFonts w:hint="eastAsia" w:ascii="宋体" w:hAnsi="宋体"/>
              </w:rPr>
              <w:t>3).线缆护套应同时满足 CM 和 LSOH 阻燃等级，连接次数≧1000 次；</w:t>
            </w:r>
          </w:p>
          <w:p w14:paraId="5011CA58">
            <w:pPr>
              <w:pStyle w:val="74"/>
              <w:rPr>
                <w:rFonts w:ascii="宋体" w:hAnsi="宋体"/>
              </w:rPr>
            </w:pPr>
            <w:r>
              <w:rPr>
                <w:rFonts w:hint="eastAsia" w:ascii="宋体" w:hAnsi="宋体"/>
              </w:rPr>
              <w:t>4).外皮颜色须提供 4 种以上颜色。</w:t>
            </w:r>
            <w:r>
              <w:rPr>
                <w:rFonts w:hint="eastAsia" w:ascii="宋体" w:hAnsi="宋体"/>
              </w:rPr>
              <w:tab/>
            </w:r>
          </w:p>
        </w:tc>
      </w:tr>
      <w:tr w14:paraId="6199C251">
        <w:tblPrEx>
          <w:tblCellMar>
            <w:top w:w="0" w:type="dxa"/>
            <w:left w:w="108" w:type="dxa"/>
            <w:bottom w:w="0" w:type="dxa"/>
            <w:right w:w="108" w:type="dxa"/>
          </w:tblCellMar>
        </w:tblPrEx>
        <w:trPr>
          <w:trHeight w:val="20"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0479548B">
            <w:pPr>
              <w:pStyle w:val="74"/>
              <w:rPr>
                <w:rFonts w:ascii="宋体" w:hAnsi="宋体"/>
              </w:rPr>
            </w:pPr>
            <w:r>
              <w:rPr>
                <w:rFonts w:hint="eastAsia" w:ascii="宋体" w:hAnsi="宋体"/>
              </w:rPr>
              <w:t>3</w:t>
            </w:r>
          </w:p>
        </w:tc>
        <w:tc>
          <w:tcPr>
            <w:tcW w:w="1844" w:type="dxa"/>
            <w:tcBorders>
              <w:top w:val="single" w:color="auto" w:sz="4" w:space="0"/>
              <w:left w:val="single" w:color="auto" w:sz="4" w:space="0"/>
              <w:bottom w:val="single" w:color="auto" w:sz="4" w:space="0"/>
              <w:right w:val="single" w:color="auto" w:sz="4" w:space="0"/>
            </w:tcBorders>
            <w:shd w:val="clear" w:color="auto" w:fill="auto"/>
            <w:vAlign w:val="center"/>
          </w:tcPr>
          <w:p w14:paraId="5C3B21DC">
            <w:pPr>
              <w:pStyle w:val="74"/>
              <w:rPr>
                <w:rFonts w:ascii="宋体" w:hAnsi="宋体"/>
              </w:rPr>
            </w:pPr>
            <w:r>
              <w:rPr>
                <w:rFonts w:hint="eastAsia" w:ascii="宋体" w:hAnsi="宋体"/>
              </w:rPr>
              <w:t>1.2 米六类非屏蔽数据跳线</w:t>
            </w:r>
          </w:p>
        </w:tc>
        <w:tc>
          <w:tcPr>
            <w:tcW w:w="6860" w:type="dxa"/>
            <w:tcBorders>
              <w:top w:val="single" w:color="auto" w:sz="4" w:space="0"/>
              <w:left w:val="single" w:color="auto" w:sz="4" w:space="0"/>
              <w:bottom w:val="single" w:color="auto" w:sz="4" w:space="0"/>
              <w:right w:val="single" w:color="auto" w:sz="4" w:space="0"/>
            </w:tcBorders>
            <w:shd w:val="clear" w:color="auto" w:fill="auto"/>
            <w:vAlign w:val="center"/>
          </w:tcPr>
          <w:p w14:paraId="6BBDAC61">
            <w:pPr>
              <w:pStyle w:val="74"/>
              <w:rPr>
                <w:rFonts w:ascii="宋体" w:hAnsi="宋体"/>
              </w:rPr>
            </w:pPr>
            <w:r>
              <w:rPr>
                <w:rFonts w:hint="eastAsia" w:ascii="宋体" w:hAnsi="宋体"/>
              </w:rPr>
              <w:t>1).1.2 米原厂正品六类 4 对 RJ45 至 RJ45 跳线，采用 26 线规多股软线，插头内部带有金属隔离片以保证传输性能；</w:t>
            </w:r>
          </w:p>
          <w:p w14:paraId="6C87D253">
            <w:pPr>
              <w:pStyle w:val="74"/>
              <w:rPr>
                <w:rFonts w:ascii="宋体" w:hAnsi="宋体"/>
              </w:rPr>
            </w:pPr>
            <w:r>
              <w:rPr>
                <w:rFonts w:hint="eastAsia" w:ascii="宋体" w:hAnsi="宋体"/>
              </w:rPr>
              <w:t>2).满足 TIA-568-C.2 六类和 ISO/IEC11801 和 IEC61156-6 信道性能要求；3.线缆护套应同时满足 CM 和 LSOH 阻燃等级，连接次数≧1000 次；4.外皮颜色须提供 4 种以上颜色。</w:t>
            </w:r>
            <w:r>
              <w:rPr>
                <w:rFonts w:hint="eastAsia" w:ascii="宋体" w:hAnsi="宋体"/>
              </w:rPr>
              <w:tab/>
            </w:r>
          </w:p>
        </w:tc>
      </w:tr>
      <w:tr w14:paraId="2CDD3679">
        <w:tblPrEx>
          <w:tblCellMar>
            <w:top w:w="0" w:type="dxa"/>
            <w:left w:w="108" w:type="dxa"/>
            <w:bottom w:w="0" w:type="dxa"/>
            <w:right w:w="108" w:type="dxa"/>
          </w:tblCellMar>
        </w:tblPrEx>
        <w:trPr>
          <w:trHeight w:val="20"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16849DF4">
            <w:pPr>
              <w:pStyle w:val="74"/>
              <w:rPr>
                <w:rFonts w:ascii="宋体" w:hAnsi="宋体"/>
              </w:rPr>
            </w:pPr>
            <w:r>
              <w:rPr>
                <w:rFonts w:hint="eastAsia" w:ascii="宋体" w:hAnsi="宋体"/>
              </w:rPr>
              <w:t>4</w:t>
            </w:r>
          </w:p>
        </w:tc>
        <w:tc>
          <w:tcPr>
            <w:tcW w:w="1844" w:type="dxa"/>
            <w:tcBorders>
              <w:top w:val="single" w:color="auto" w:sz="4" w:space="0"/>
              <w:left w:val="single" w:color="auto" w:sz="4" w:space="0"/>
              <w:bottom w:val="single" w:color="auto" w:sz="4" w:space="0"/>
              <w:right w:val="single" w:color="auto" w:sz="4" w:space="0"/>
            </w:tcBorders>
            <w:shd w:val="clear" w:color="auto" w:fill="auto"/>
            <w:vAlign w:val="center"/>
          </w:tcPr>
          <w:p w14:paraId="7286A7BA">
            <w:pPr>
              <w:pStyle w:val="74"/>
              <w:rPr>
                <w:rFonts w:ascii="宋体" w:hAnsi="宋体"/>
              </w:rPr>
            </w:pPr>
            <w:r>
              <w:rPr>
                <w:rFonts w:hint="eastAsia" w:ascii="宋体" w:hAnsi="宋体"/>
              </w:rPr>
              <w:t>1U 理线架</w:t>
            </w:r>
          </w:p>
        </w:tc>
        <w:tc>
          <w:tcPr>
            <w:tcW w:w="6860" w:type="dxa"/>
            <w:tcBorders>
              <w:top w:val="single" w:color="auto" w:sz="4" w:space="0"/>
              <w:left w:val="single" w:color="auto" w:sz="4" w:space="0"/>
              <w:bottom w:val="single" w:color="auto" w:sz="4" w:space="0"/>
              <w:right w:val="single" w:color="auto" w:sz="4" w:space="0"/>
            </w:tcBorders>
            <w:shd w:val="clear" w:color="auto" w:fill="auto"/>
            <w:vAlign w:val="center"/>
          </w:tcPr>
          <w:p w14:paraId="3496846B">
            <w:pPr>
              <w:pStyle w:val="74"/>
              <w:rPr>
                <w:rFonts w:ascii="宋体" w:hAnsi="宋体"/>
              </w:rPr>
            </w:pPr>
            <w:r>
              <w:rPr>
                <w:rFonts w:hint="eastAsia" w:ascii="宋体" w:hAnsi="宋体"/>
              </w:rPr>
              <w:t>1U 带有可双向开启盖板,机架式配置，支持标准 19 英寸机柜安装。</w:t>
            </w:r>
          </w:p>
        </w:tc>
      </w:tr>
      <w:tr w14:paraId="5351FBC7">
        <w:tblPrEx>
          <w:tblCellMar>
            <w:top w:w="0" w:type="dxa"/>
            <w:left w:w="108" w:type="dxa"/>
            <w:bottom w:w="0" w:type="dxa"/>
            <w:right w:w="108" w:type="dxa"/>
          </w:tblCellMar>
        </w:tblPrEx>
        <w:trPr>
          <w:trHeight w:val="20"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7F603A77">
            <w:pPr>
              <w:pStyle w:val="74"/>
              <w:rPr>
                <w:rFonts w:ascii="宋体" w:hAnsi="宋体"/>
              </w:rPr>
            </w:pPr>
            <w:r>
              <w:rPr>
                <w:rFonts w:hint="eastAsia" w:ascii="宋体" w:hAnsi="宋体"/>
              </w:rPr>
              <w:t>5</w:t>
            </w:r>
          </w:p>
        </w:tc>
        <w:tc>
          <w:tcPr>
            <w:tcW w:w="1844" w:type="dxa"/>
            <w:tcBorders>
              <w:top w:val="single" w:color="auto" w:sz="4" w:space="0"/>
              <w:left w:val="single" w:color="auto" w:sz="4" w:space="0"/>
              <w:bottom w:val="single" w:color="auto" w:sz="4" w:space="0"/>
              <w:right w:val="single" w:color="auto" w:sz="4" w:space="0"/>
            </w:tcBorders>
            <w:shd w:val="clear" w:color="auto" w:fill="auto"/>
            <w:vAlign w:val="center"/>
          </w:tcPr>
          <w:p w14:paraId="48FA8619">
            <w:pPr>
              <w:pStyle w:val="74"/>
              <w:rPr>
                <w:rFonts w:ascii="宋体" w:hAnsi="宋体"/>
              </w:rPr>
            </w:pPr>
            <w:r>
              <w:rPr>
                <w:rFonts w:hint="eastAsia" w:ascii="宋体" w:hAnsi="宋体"/>
              </w:rPr>
              <w:t>50 对 110 配线架</w:t>
            </w:r>
          </w:p>
        </w:tc>
        <w:tc>
          <w:tcPr>
            <w:tcW w:w="6860" w:type="dxa"/>
            <w:tcBorders>
              <w:top w:val="single" w:color="auto" w:sz="4" w:space="0"/>
              <w:left w:val="single" w:color="auto" w:sz="4" w:space="0"/>
              <w:bottom w:val="single" w:color="auto" w:sz="4" w:space="0"/>
              <w:right w:val="single" w:color="auto" w:sz="4" w:space="0"/>
            </w:tcBorders>
            <w:shd w:val="clear" w:color="auto" w:fill="auto"/>
            <w:vAlign w:val="center"/>
          </w:tcPr>
          <w:p w14:paraId="23FC3013">
            <w:pPr>
              <w:pStyle w:val="74"/>
              <w:rPr>
                <w:rFonts w:ascii="宋体" w:hAnsi="宋体"/>
              </w:rPr>
            </w:pPr>
            <w:r>
              <w:rPr>
                <w:rFonts w:hint="eastAsia" w:ascii="宋体" w:hAnsi="宋体"/>
              </w:rPr>
              <w:t>1).50 对 110 型语音配线架；采用基座过线孔技术，使得电缆极其方便的从背后引到端接点；</w:t>
            </w:r>
            <w:r>
              <w:rPr>
                <w:rFonts w:hint="eastAsia" w:ascii="宋体" w:hAnsi="宋体"/>
              </w:rPr>
              <w:tab/>
            </w:r>
          </w:p>
          <w:p w14:paraId="178999A9">
            <w:pPr>
              <w:pStyle w:val="74"/>
              <w:rPr>
                <w:rFonts w:ascii="宋体" w:hAnsi="宋体"/>
              </w:rPr>
            </w:pPr>
            <w:r>
              <w:rPr>
                <w:rFonts w:hint="eastAsia" w:ascii="宋体" w:hAnsi="宋体"/>
              </w:rPr>
              <w:t>2).符合 ANSI/TIA-568-C，ISO/IEC</w:t>
            </w:r>
            <w:r>
              <w:rPr>
                <w:rFonts w:hint="eastAsia" w:ascii="宋体" w:hAnsi="宋体"/>
              </w:rPr>
              <w:tab/>
            </w:r>
            <w:r>
              <w:rPr>
                <w:rFonts w:hint="eastAsia" w:ascii="宋体" w:hAnsi="宋体"/>
              </w:rPr>
              <w:t>11801:2002 Ed2.0，满足超五类性能</w:t>
            </w:r>
          </w:p>
          <w:p w14:paraId="13DCB800">
            <w:pPr>
              <w:pStyle w:val="74"/>
              <w:rPr>
                <w:rFonts w:ascii="宋体" w:hAnsi="宋体"/>
              </w:rPr>
            </w:pPr>
            <w:r>
              <w:rPr>
                <w:rFonts w:hint="eastAsia" w:ascii="宋体" w:hAnsi="宋体"/>
              </w:rPr>
              <w:t>要求；</w:t>
            </w:r>
            <w:r>
              <w:rPr>
                <w:rFonts w:hint="eastAsia" w:ascii="宋体" w:hAnsi="宋体"/>
              </w:rPr>
              <w:tab/>
            </w:r>
            <w:r>
              <w:rPr>
                <w:rFonts w:hint="eastAsia" w:ascii="宋体" w:hAnsi="宋体"/>
              </w:rPr>
              <w:tab/>
            </w:r>
          </w:p>
          <w:p w14:paraId="5161EBC4">
            <w:pPr>
              <w:pStyle w:val="74"/>
              <w:rPr>
                <w:rFonts w:ascii="宋体" w:hAnsi="宋体"/>
              </w:rPr>
            </w:pPr>
            <w:r>
              <w:rPr>
                <w:rFonts w:hint="eastAsia" w:ascii="宋体" w:hAnsi="宋体"/>
              </w:rPr>
              <w:t>3).19”机柜/机架式安装，配 10 个 5 对连接块和背板等；</w:t>
            </w:r>
          </w:p>
          <w:p w14:paraId="2EE04614">
            <w:pPr>
              <w:pStyle w:val="74"/>
              <w:rPr>
                <w:rFonts w:ascii="宋体" w:hAnsi="宋体"/>
              </w:rPr>
            </w:pPr>
            <w:r>
              <w:rPr>
                <w:rFonts w:hint="eastAsia" w:ascii="宋体" w:hAnsi="宋体"/>
              </w:rPr>
              <w:t>4).含背板、标签条、5 对连接块等接插件。</w:t>
            </w:r>
          </w:p>
        </w:tc>
      </w:tr>
      <w:tr w14:paraId="57B855D4">
        <w:tblPrEx>
          <w:tblCellMar>
            <w:top w:w="0" w:type="dxa"/>
            <w:left w:w="108" w:type="dxa"/>
            <w:bottom w:w="0" w:type="dxa"/>
            <w:right w:w="108" w:type="dxa"/>
          </w:tblCellMar>
        </w:tblPrEx>
        <w:trPr>
          <w:trHeight w:val="20"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79B6B435">
            <w:pPr>
              <w:pStyle w:val="74"/>
              <w:rPr>
                <w:rFonts w:ascii="宋体" w:hAnsi="宋体"/>
              </w:rPr>
            </w:pPr>
            <w:r>
              <w:rPr>
                <w:rFonts w:hint="eastAsia" w:ascii="宋体" w:hAnsi="宋体"/>
              </w:rPr>
              <w:t>6</w:t>
            </w:r>
          </w:p>
        </w:tc>
        <w:tc>
          <w:tcPr>
            <w:tcW w:w="1844" w:type="dxa"/>
            <w:tcBorders>
              <w:top w:val="single" w:color="auto" w:sz="4" w:space="0"/>
              <w:left w:val="single" w:color="auto" w:sz="4" w:space="0"/>
              <w:bottom w:val="single" w:color="auto" w:sz="4" w:space="0"/>
              <w:right w:val="single" w:color="auto" w:sz="4" w:space="0"/>
            </w:tcBorders>
            <w:shd w:val="clear" w:color="auto" w:fill="auto"/>
            <w:vAlign w:val="center"/>
          </w:tcPr>
          <w:p w14:paraId="0AFD69FB">
            <w:pPr>
              <w:pStyle w:val="74"/>
              <w:rPr>
                <w:rFonts w:ascii="宋体" w:hAnsi="宋体"/>
              </w:rPr>
            </w:pPr>
            <w:r>
              <w:rPr>
                <w:rFonts w:hint="eastAsia" w:ascii="宋体" w:hAnsi="宋体"/>
              </w:rPr>
              <w:t>100 对 110 配线架</w:t>
            </w:r>
          </w:p>
        </w:tc>
        <w:tc>
          <w:tcPr>
            <w:tcW w:w="6860" w:type="dxa"/>
            <w:tcBorders>
              <w:top w:val="single" w:color="auto" w:sz="4" w:space="0"/>
              <w:left w:val="single" w:color="auto" w:sz="4" w:space="0"/>
              <w:bottom w:val="single" w:color="auto" w:sz="4" w:space="0"/>
              <w:right w:val="single" w:color="auto" w:sz="4" w:space="0"/>
            </w:tcBorders>
            <w:shd w:val="clear" w:color="auto" w:fill="auto"/>
            <w:vAlign w:val="center"/>
          </w:tcPr>
          <w:p w14:paraId="695151CF">
            <w:pPr>
              <w:pStyle w:val="74"/>
              <w:rPr>
                <w:rFonts w:ascii="宋体" w:hAnsi="宋体"/>
              </w:rPr>
            </w:pPr>
            <w:r>
              <w:rPr>
                <w:rFonts w:hint="eastAsia" w:ascii="宋体" w:hAnsi="宋体"/>
              </w:rPr>
              <w:t>1).100 对 110 型语音配线架；采用基座过线孔技术，使得电缆极其方便的从背后引到端接点；</w:t>
            </w:r>
            <w:r>
              <w:rPr>
                <w:rFonts w:hint="eastAsia" w:ascii="宋体" w:hAnsi="宋体"/>
              </w:rPr>
              <w:tab/>
            </w:r>
          </w:p>
          <w:p w14:paraId="781B128F">
            <w:pPr>
              <w:pStyle w:val="74"/>
              <w:rPr>
                <w:rFonts w:ascii="宋体" w:hAnsi="宋体"/>
              </w:rPr>
            </w:pPr>
            <w:r>
              <w:rPr>
                <w:rFonts w:hint="eastAsia" w:ascii="宋体" w:hAnsi="宋体"/>
              </w:rPr>
              <w:t>2).符合 ANSI/TIA-568-C，ISO/IEC</w:t>
            </w:r>
            <w:r>
              <w:rPr>
                <w:rFonts w:hint="eastAsia" w:ascii="宋体" w:hAnsi="宋体"/>
              </w:rPr>
              <w:tab/>
            </w:r>
            <w:r>
              <w:rPr>
                <w:rFonts w:hint="eastAsia" w:ascii="宋体" w:hAnsi="宋体"/>
              </w:rPr>
              <w:t>11801:2002 Ed2.0，满足超五类性能</w:t>
            </w:r>
          </w:p>
          <w:p w14:paraId="10B0D203">
            <w:pPr>
              <w:pStyle w:val="74"/>
              <w:rPr>
                <w:rFonts w:ascii="宋体" w:hAnsi="宋体"/>
              </w:rPr>
            </w:pPr>
            <w:r>
              <w:rPr>
                <w:rFonts w:hint="eastAsia" w:ascii="宋体" w:hAnsi="宋体"/>
              </w:rPr>
              <w:t>要求；</w:t>
            </w:r>
            <w:r>
              <w:rPr>
                <w:rFonts w:hint="eastAsia" w:ascii="宋体" w:hAnsi="宋体"/>
              </w:rPr>
              <w:tab/>
            </w:r>
            <w:r>
              <w:rPr>
                <w:rFonts w:hint="eastAsia" w:ascii="宋体" w:hAnsi="宋体"/>
              </w:rPr>
              <w:tab/>
            </w:r>
          </w:p>
          <w:p w14:paraId="0F6BE825">
            <w:pPr>
              <w:pStyle w:val="74"/>
              <w:rPr>
                <w:rFonts w:ascii="宋体" w:hAnsi="宋体"/>
              </w:rPr>
            </w:pPr>
            <w:r>
              <w:rPr>
                <w:rFonts w:hint="eastAsia" w:ascii="宋体" w:hAnsi="宋体"/>
              </w:rPr>
              <w:t>3).19”机柜/机架式安装，配 20 个 5 对连接块和背板等；</w:t>
            </w:r>
          </w:p>
          <w:p w14:paraId="0C7FC8F4">
            <w:pPr>
              <w:pStyle w:val="74"/>
              <w:rPr>
                <w:rFonts w:ascii="宋体" w:hAnsi="宋体"/>
              </w:rPr>
            </w:pPr>
            <w:r>
              <w:rPr>
                <w:rFonts w:hint="eastAsia" w:ascii="宋体" w:hAnsi="宋体"/>
              </w:rPr>
              <w:t>4).含背板、标签条、5 对连接块等接插件。</w:t>
            </w:r>
          </w:p>
        </w:tc>
      </w:tr>
      <w:tr w14:paraId="01C9F40B">
        <w:tblPrEx>
          <w:tblCellMar>
            <w:top w:w="0" w:type="dxa"/>
            <w:left w:w="108" w:type="dxa"/>
            <w:bottom w:w="0" w:type="dxa"/>
            <w:right w:w="108" w:type="dxa"/>
          </w:tblCellMar>
        </w:tblPrEx>
        <w:trPr>
          <w:trHeight w:val="20"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6147ECFA">
            <w:pPr>
              <w:pStyle w:val="74"/>
              <w:rPr>
                <w:rFonts w:ascii="宋体" w:hAnsi="宋体"/>
              </w:rPr>
            </w:pPr>
            <w:r>
              <w:rPr>
                <w:rFonts w:hint="eastAsia" w:ascii="宋体" w:hAnsi="宋体"/>
              </w:rPr>
              <w:t>7</w:t>
            </w:r>
          </w:p>
        </w:tc>
        <w:tc>
          <w:tcPr>
            <w:tcW w:w="1844" w:type="dxa"/>
            <w:tcBorders>
              <w:top w:val="single" w:color="auto" w:sz="4" w:space="0"/>
              <w:left w:val="single" w:color="auto" w:sz="4" w:space="0"/>
              <w:bottom w:val="single" w:color="auto" w:sz="4" w:space="0"/>
              <w:right w:val="single" w:color="auto" w:sz="4" w:space="0"/>
            </w:tcBorders>
            <w:shd w:val="clear" w:color="auto" w:fill="auto"/>
            <w:vAlign w:val="center"/>
          </w:tcPr>
          <w:p w14:paraId="5FDD3BC5">
            <w:pPr>
              <w:pStyle w:val="74"/>
              <w:rPr>
                <w:rFonts w:ascii="宋体" w:hAnsi="宋体"/>
              </w:rPr>
            </w:pPr>
            <w:r>
              <w:rPr>
                <w:rFonts w:hint="eastAsia" w:ascii="宋体" w:hAnsi="宋体"/>
              </w:rPr>
              <w:t>RJ45-110 语音跳线</w:t>
            </w:r>
          </w:p>
        </w:tc>
        <w:tc>
          <w:tcPr>
            <w:tcW w:w="6860" w:type="dxa"/>
            <w:tcBorders>
              <w:top w:val="single" w:color="auto" w:sz="4" w:space="0"/>
              <w:left w:val="single" w:color="auto" w:sz="4" w:space="0"/>
              <w:bottom w:val="single" w:color="auto" w:sz="4" w:space="0"/>
              <w:right w:val="single" w:color="auto" w:sz="4" w:space="0"/>
            </w:tcBorders>
            <w:shd w:val="clear" w:color="auto" w:fill="auto"/>
            <w:vAlign w:val="center"/>
          </w:tcPr>
          <w:p w14:paraId="09E7D283">
            <w:pPr>
              <w:pStyle w:val="74"/>
              <w:rPr>
                <w:rFonts w:ascii="宋体" w:hAnsi="宋体"/>
              </w:rPr>
            </w:pPr>
            <w:r>
              <w:rPr>
                <w:rFonts w:hint="eastAsia" w:ascii="宋体" w:hAnsi="宋体"/>
              </w:rPr>
              <w:t>1).2m 1 对 110 快接插头至 RJ45 原厂成品跳线；</w:t>
            </w:r>
          </w:p>
          <w:p w14:paraId="0339F241">
            <w:pPr>
              <w:pStyle w:val="74"/>
              <w:rPr>
                <w:rFonts w:ascii="宋体" w:hAnsi="宋体"/>
              </w:rPr>
            </w:pPr>
            <w:r>
              <w:rPr>
                <w:rFonts w:hint="eastAsia" w:ascii="宋体" w:hAnsi="宋体"/>
              </w:rPr>
              <w:t>2).符合 ANSI/TIA-568-C，ISO/IEC</w:t>
            </w:r>
            <w:r>
              <w:rPr>
                <w:rFonts w:hint="eastAsia" w:ascii="宋体" w:hAnsi="宋体"/>
              </w:rPr>
              <w:tab/>
            </w:r>
            <w:r>
              <w:rPr>
                <w:rFonts w:hint="eastAsia" w:ascii="宋体" w:hAnsi="宋体"/>
              </w:rPr>
              <w:t>11801:2002 Ed2.0 标准。</w:t>
            </w:r>
          </w:p>
        </w:tc>
      </w:tr>
      <w:tr w14:paraId="4F1D5DC8">
        <w:tblPrEx>
          <w:tblCellMar>
            <w:top w:w="0" w:type="dxa"/>
            <w:left w:w="108" w:type="dxa"/>
            <w:bottom w:w="0" w:type="dxa"/>
            <w:right w:w="108" w:type="dxa"/>
          </w:tblCellMar>
        </w:tblPrEx>
        <w:trPr>
          <w:trHeight w:val="20"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661F7C68">
            <w:pPr>
              <w:pStyle w:val="74"/>
              <w:rPr>
                <w:rFonts w:ascii="宋体" w:hAnsi="宋体"/>
              </w:rPr>
            </w:pPr>
            <w:r>
              <w:rPr>
                <w:rFonts w:hint="eastAsia" w:ascii="宋体" w:hAnsi="宋体"/>
              </w:rPr>
              <w:t>8</w:t>
            </w:r>
          </w:p>
        </w:tc>
        <w:tc>
          <w:tcPr>
            <w:tcW w:w="1844" w:type="dxa"/>
            <w:tcBorders>
              <w:top w:val="single" w:color="auto" w:sz="4" w:space="0"/>
              <w:left w:val="single" w:color="auto" w:sz="4" w:space="0"/>
              <w:bottom w:val="single" w:color="auto" w:sz="4" w:space="0"/>
              <w:right w:val="single" w:color="auto" w:sz="4" w:space="0"/>
            </w:tcBorders>
            <w:shd w:val="clear" w:color="auto" w:fill="auto"/>
            <w:vAlign w:val="center"/>
          </w:tcPr>
          <w:p w14:paraId="0FB62B45">
            <w:pPr>
              <w:pStyle w:val="74"/>
              <w:rPr>
                <w:rFonts w:ascii="宋体" w:hAnsi="宋体"/>
              </w:rPr>
            </w:pPr>
            <w:r>
              <w:rPr>
                <w:rFonts w:hint="eastAsia" w:ascii="宋体" w:hAnsi="宋体"/>
              </w:rPr>
              <w:t>12 口光纤配线架</w:t>
            </w:r>
          </w:p>
        </w:tc>
        <w:tc>
          <w:tcPr>
            <w:tcW w:w="6860" w:type="dxa"/>
            <w:tcBorders>
              <w:top w:val="single" w:color="auto" w:sz="4" w:space="0"/>
              <w:left w:val="single" w:color="auto" w:sz="4" w:space="0"/>
              <w:bottom w:val="single" w:color="auto" w:sz="4" w:space="0"/>
              <w:right w:val="single" w:color="auto" w:sz="4" w:space="0"/>
            </w:tcBorders>
            <w:shd w:val="clear" w:color="auto" w:fill="auto"/>
            <w:vAlign w:val="center"/>
          </w:tcPr>
          <w:p w14:paraId="6F57DC01">
            <w:pPr>
              <w:rPr>
                <w:rFonts w:ascii="宋体" w:hAnsi="宋体"/>
              </w:rPr>
            </w:pPr>
            <w:r>
              <w:rPr>
                <w:rFonts w:hint="eastAsia" w:ascii="宋体" w:hAnsi="宋体"/>
              </w:rPr>
              <w:t>1).1U 模块化结构，可支持铜缆模块和光纤适配器（SC、LC）的混合安装，单个配线架须至少端接24芯SC/48芯LC，内置尼龙光纤盘绕环保护光纤的弯曲半径。</w:t>
            </w:r>
            <w:r>
              <w:rPr>
                <w:rFonts w:hint="eastAsia" w:ascii="宋体" w:hAnsi="宋体"/>
              </w:rPr>
              <w:tab/>
            </w:r>
          </w:p>
          <w:p w14:paraId="0565DF85">
            <w:pPr>
              <w:widowControl/>
              <w:rPr>
                <w:rFonts w:ascii="宋体" w:hAnsi="宋体"/>
              </w:rPr>
            </w:pPr>
            <w:r>
              <w:rPr>
                <w:rFonts w:hint="eastAsia" w:ascii="宋体" w:hAnsi="宋体"/>
              </w:rPr>
              <w:t>2).支持 62.5/125 普通多模光纤，50/125 万兆多模光纤和零水峰单模光纤连接；</w:t>
            </w:r>
          </w:p>
          <w:p w14:paraId="17607425">
            <w:pPr>
              <w:widowControl/>
              <w:rPr>
                <w:rFonts w:ascii="宋体" w:hAnsi="宋体"/>
              </w:rPr>
            </w:pPr>
            <w:r>
              <w:rPr>
                <w:rFonts w:hint="eastAsia" w:ascii="宋体" w:hAnsi="宋体"/>
              </w:rPr>
              <w:t>3).自带可外翻180度的跳线导线架；</w:t>
            </w:r>
          </w:p>
          <w:p w14:paraId="1C71F69D">
            <w:pPr>
              <w:pStyle w:val="74"/>
              <w:rPr>
                <w:rFonts w:ascii="宋体" w:hAnsi="宋体"/>
              </w:rPr>
            </w:pPr>
            <w:r>
              <w:rPr>
                <w:rFonts w:hint="eastAsia" w:ascii="宋体" w:hAnsi="宋体"/>
              </w:rPr>
              <w:t>4).19”机柜式安装，可前端管理。</w:t>
            </w:r>
          </w:p>
          <w:p w14:paraId="0D35B8BA">
            <w:pPr>
              <w:pStyle w:val="74"/>
              <w:rPr>
                <w:rFonts w:ascii="宋体" w:hAnsi="宋体"/>
              </w:rPr>
            </w:pPr>
            <w:r>
              <w:rPr>
                <w:rFonts w:hint="eastAsia" w:ascii="宋体" w:hAnsi="宋体"/>
              </w:rPr>
              <w:t>5).自带标签条，标签可集成到前面板。</w:t>
            </w:r>
            <w:r>
              <w:rPr>
                <w:rFonts w:hint="eastAsia" w:ascii="宋体" w:hAnsi="宋体"/>
              </w:rPr>
              <w:tab/>
            </w:r>
          </w:p>
        </w:tc>
      </w:tr>
      <w:tr w14:paraId="6F744E10">
        <w:tblPrEx>
          <w:tblCellMar>
            <w:top w:w="0" w:type="dxa"/>
            <w:left w:w="108" w:type="dxa"/>
            <w:bottom w:w="0" w:type="dxa"/>
            <w:right w:w="108" w:type="dxa"/>
          </w:tblCellMar>
        </w:tblPrEx>
        <w:trPr>
          <w:trHeight w:val="20"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3C227064">
            <w:pPr>
              <w:pStyle w:val="74"/>
              <w:rPr>
                <w:rFonts w:ascii="宋体" w:hAnsi="宋体"/>
              </w:rPr>
            </w:pPr>
            <w:r>
              <w:rPr>
                <w:rFonts w:hint="eastAsia" w:ascii="宋体" w:hAnsi="宋体"/>
              </w:rPr>
              <w:t>9</w:t>
            </w:r>
          </w:p>
        </w:tc>
        <w:tc>
          <w:tcPr>
            <w:tcW w:w="1844" w:type="dxa"/>
            <w:tcBorders>
              <w:top w:val="single" w:color="auto" w:sz="4" w:space="0"/>
              <w:left w:val="single" w:color="auto" w:sz="4" w:space="0"/>
              <w:bottom w:val="single" w:color="auto" w:sz="4" w:space="0"/>
              <w:right w:val="single" w:color="auto" w:sz="4" w:space="0"/>
            </w:tcBorders>
            <w:shd w:val="clear" w:color="auto" w:fill="auto"/>
            <w:vAlign w:val="center"/>
          </w:tcPr>
          <w:p w14:paraId="37169E67">
            <w:pPr>
              <w:pStyle w:val="74"/>
              <w:rPr>
                <w:rFonts w:ascii="宋体" w:hAnsi="宋体"/>
              </w:rPr>
            </w:pPr>
            <w:r>
              <w:rPr>
                <w:rFonts w:hint="eastAsia" w:ascii="宋体" w:hAnsi="宋体"/>
              </w:rPr>
              <w:t>24 口光纤配线架</w:t>
            </w:r>
          </w:p>
        </w:tc>
        <w:tc>
          <w:tcPr>
            <w:tcW w:w="6860" w:type="dxa"/>
            <w:tcBorders>
              <w:top w:val="single" w:color="auto" w:sz="4" w:space="0"/>
              <w:left w:val="single" w:color="auto" w:sz="4" w:space="0"/>
              <w:bottom w:val="single" w:color="auto" w:sz="4" w:space="0"/>
              <w:right w:val="single" w:color="auto" w:sz="4" w:space="0"/>
            </w:tcBorders>
            <w:shd w:val="clear" w:color="auto" w:fill="auto"/>
            <w:vAlign w:val="center"/>
          </w:tcPr>
          <w:p w14:paraId="68D8BC40">
            <w:pPr>
              <w:rPr>
                <w:rFonts w:ascii="宋体" w:hAnsi="宋体"/>
              </w:rPr>
            </w:pPr>
            <w:r>
              <w:rPr>
                <w:rFonts w:hint="eastAsia" w:ascii="宋体" w:hAnsi="宋体"/>
              </w:rPr>
              <w:t>1).1U 模块化结构，可支持铜缆模块和光纤适配器（SC、LC）的混合安装，单个配线架须至少端接24芯SC/48芯LC，内置尼龙光纤盘绕环保护光纤的弯曲半径。</w:t>
            </w:r>
            <w:r>
              <w:rPr>
                <w:rFonts w:hint="eastAsia" w:ascii="宋体" w:hAnsi="宋体"/>
              </w:rPr>
              <w:tab/>
            </w:r>
          </w:p>
          <w:p w14:paraId="0AF84D35">
            <w:pPr>
              <w:widowControl/>
              <w:rPr>
                <w:rFonts w:ascii="宋体" w:hAnsi="宋体"/>
              </w:rPr>
            </w:pPr>
            <w:r>
              <w:rPr>
                <w:rFonts w:hint="eastAsia" w:ascii="宋体" w:hAnsi="宋体"/>
              </w:rPr>
              <w:t>2).支持 62.5/125 普通多模光纤，50/125 万兆多模光纤和零水峰单模光纤连接；</w:t>
            </w:r>
          </w:p>
          <w:p w14:paraId="4D09D6A3">
            <w:pPr>
              <w:widowControl/>
              <w:rPr>
                <w:rFonts w:ascii="宋体" w:hAnsi="宋体"/>
              </w:rPr>
            </w:pPr>
            <w:r>
              <w:rPr>
                <w:rFonts w:hint="eastAsia" w:ascii="宋体" w:hAnsi="宋体"/>
              </w:rPr>
              <w:t>3).自带可外翻180度的跳线导线架；</w:t>
            </w:r>
          </w:p>
          <w:p w14:paraId="04D762A9">
            <w:pPr>
              <w:pStyle w:val="74"/>
              <w:rPr>
                <w:rFonts w:ascii="宋体" w:hAnsi="宋体"/>
              </w:rPr>
            </w:pPr>
            <w:r>
              <w:rPr>
                <w:rFonts w:hint="eastAsia" w:ascii="宋体" w:hAnsi="宋体"/>
              </w:rPr>
              <w:t>4).19”机柜式安装，可前端管理。</w:t>
            </w:r>
          </w:p>
          <w:p w14:paraId="2F3444A8">
            <w:pPr>
              <w:pStyle w:val="74"/>
              <w:rPr>
                <w:rFonts w:ascii="宋体" w:hAnsi="宋体"/>
              </w:rPr>
            </w:pPr>
            <w:r>
              <w:rPr>
                <w:rFonts w:hint="eastAsia" w:ascii="宋体" w:hAnsi="宋体"/>
              </w:rPr>
              <w:t>5).自带标签条，标签可集成到前面板。</w:t>
            </w:r>
            <w:r>
              <w:rPr>
                <w:rFonts w:hint="eastAsia" w:ascii="宋体" w:hAnsi="宋体"/>
              </w:rPr>
              <w:tab/>
            </w:r>
          </w:p>
        </w:tc>
      </w:tr>
      <w:tr w14:paraId="57DC7F68">
        <w:tblPrEx>
          <w:tblCellMar>
            <w:top w:w="0" w:type="dxa"/>
            <w:left w:w="108" w:type="dxa"/>
            <w:bottom w:w="0" w:type="dxa"/>
            <w:right w:w="108" w:type="dxa"/>
          </w:tblCellMar>
        </w:tblPrEx>
        <w:trPr>
          <w:trHeight w:val="20"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459F53CC">
            <w:pPr>
              <w:pStyle w:val="74"/>
              <w:rPr>
                <w:rFonts w:ascii="宋体" w:hAnsi="宋体"/>
              </w:rPr>
            </w:pPr>
            <w:r>
              <w:rPr>
                <w:rFonts w:hint="eastAsia" w:ascii="宋体" w:hAnsi="宋体"/>
              </w:rPr>
              <w:t>10</w:t>
            </w:r>
          </w:p>
        </w:tc>
        <w:tc>
          <w:tcPr>
            <w:tcW w:w="1844" w:type="dxa"/>
            <w:tcBorders>
              <w:top w:val="single" w:color="auto" w:sz="4" w:space="0"/>
              <w:left w:val="single" w:color="auto" w:sz="4" w:space="0"/>
              <w:bottom w:val="single" w:color="auto" w:sz="4" w:space="0"/>
              <w:right w:val="single" w:color="auto" w:sz="4" w:space="0"/>
            </w:tcBorders>
            <w:shd w:val="clear" w:color="auto" w:fill="auto"/>
            <w:vAlign w:val="center"/>
          </w:tcPr>
          <w:p w14:paraId="0CB2772A">
            <w:pPr>
              <w:pStyle w:val="74"/>
              <w:rPr>
                <w:rFonts w:ascii="宋体" w:hAnsi="宋体"/>
              </w:rPr>
            </w:pPr>
            <w:r>
              <w:rPr>
                <w:rFonts w:hint="eastAsia" w:ascii="宋体" w:hAnsi="宋体"/>
              </w:rPr>
              <w:t>12 芯 LC 适配器面板</w:t>
            </w:r>
          </w:p>
        </w:tc>
        <w:tc>
          <w:tcPr>
            <w:tcW w:w="6860" w:type="dxa"/>
            <w:tcBorders>
              <w:top w:val="single" w:color="auto" w:sz="4" w:space="0"/>
              <w:left w:val="single" w:color="auto" w:sz="4" w:space="0"/>
              <w:bottom w:val="single" w:color="auto" w:sz="4" w:space="0"/>
              <w:right w:val="single" w:color="auto" w:sz="4" w:space="0"/>
            </w:tcBorders>
            <w:shd w:val="clear" w:color="auto" w:fill="auto"/>
            <w:vAlign w:val="center"/>
          </w:tcPr>
          <w:p w14:paraId="6E693416">
            <w:pPr>
              <w:pStyle w:val="74"/>
              <w:rPr>
                <w:rFonts w:ascii="宋体" w:hAnsi="宋体"/>
              </w:rPr>
            </w:pPr>
            <w:r>
              <w:rPr>
                <w:rFonts w:hint="eastAsia" w:ascii="宋体" w:hAnsi="宋体"/>
              </w:rPr>
              <w:t>1).单个适配器器板含 6 个 LC 双工耦合器可支持 12 芯光纤；</w:t>
            </w:r>
          </w:p>
          <w:p w14:paraId="273944F9">
            <w:pPr>
              <w:pStyle w:val="74"/>
              <w:rPr>
                <w:rFonts w:ascii="宋体" w:hAnsi="宋体"/>
              </w:rPr>
            </w:pPr>
            <w:r>
              <w:rPr>
                <w:rFonts w:hint="eastAsia" w:ascii="宋体" w:hAnsi="宋体"/>
              </w:rPr>
              <w:t>2).符合 ANSI/TIA-568-C，ISO/IEC</w:t>
            </w:r>
            <w:r>
              <w:rPr>
                <w:rFonts w:hint="eastAsia" w:ascii="宋体" w:hAnsi="宋体"/>
              </w:rPr>
              <w:tab/>
            </w:r>
            <w:r>
              <w:rPr>
                <w:rFonts w:hint="eastAsia" w:ascii="宋体" w:hAnsi="宋体"/>
              </w:rPr>
              <w:t>11801:2002 Ed2.0 标准。</w:t>
            </w:r>
          </w:p>
        </w:tc>
      </w:tr>
      <w:tr w14:paraId="62427FEE">
        <w:tblPrEx>
          <w:tblCellMar>
            <w:top w:w="0" w:type="dxa"/>
            <w:left w:w="108" w:type="dxa"/>
            <w:bottom w:w="0" w:type="dxa"/>
            <w:right w:w="108" w:type="dxa"/>
          </w:tblCellMar>
        </w:tblPrEx>
        <w:trPr>
          <w:trHeight w:val="20"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5A8F168A">
            <w:pPr>
              <w:pStyle w:val="74"/>
              <w:rPr>
                <w:rFonts w:ascii="宋体" w:hAnsi="宋体"/>
              </w:rPr>
            </w:pPr>
            <w:r>
              <w:rPr>
                <w:rFonts w:hint="eastAsia" w:ascii="宋体" w:hAnsi="宋体"/>
              </w:rPr>
              <w:t>11</w:t>
            </w:r>
          </w:p>
        </w:tc>
        <w:tc>
          <w:tcPr>
            <w:tcW w:w="1844" w:type="dxa"/>
            <w:tcBorders>
              <w:top w:val="single" w:color="auto" w:sz="4" w:space="0"/>
              <w:left w:val="single" w:color="auto" w:sz="4" w:space="0"/>
              <w:bottom w:val="single" w:color="auto" w:sz="4" w:space="0"/>
              <w:right w:val="single" w:color="auto" w:sz="4" w:space="0"/>
            </w:tcBorders>
            <w:shd w:val="clear" w:color="auto" w:fill="auto"/>
            <w:vAlign w:val="center"/>
          </w:tcPr>
          <w:p w14:paraId="5E961566">
            <w:pPr>
              <w:pStyle w:val="74"/>
              <w:rPr>
                <w:rFonts w:ascii="宋体" w:hAnsi="宋体"/>
              </w:rPr>
            </w:pPr>
            <w:r>
              <w:rPr>
                <w:rFonts w:hint="eastAsia" w:ascii="宋体" w:hAnsi="宋体"/>
              </w:rPr>
              <w:t>1.0 米万兆单模 LC 尾纤</w:t>
            </w:r>
          </w:p>
        </w:tc>
        <w:tc>
          <w:tcPr>
            <w:tcW w:w="6860" w:type="dxa"/>
            <w:tcBorders>
              <w:top w:val="single" w:color="auto" w:sz="4" w:space="0"/>
              <w:left w:val="single" w:color="auto" w:sz="4" w:space="0"/>
              <w:bottom w:val="single" w:color="auto" w:sz="4" w:space="0"/>
              <w:right w:val="single" w:color="auto" w:sz="4" w:space="0"/>
            </w:tcBorders>
            <w:shd w:val="clear" w:color="auto" w:fill="auto"/>
            <w:vAlign w:val="center"/>
          </w:tcPr>
          <w:p w14:paraId="54B5C594">
            <w:pPr>
              <w:pStyle w:val="74"/>
              <w:rPr>
                <w:rFonts w:ascii="宋体" w:hAnsi="宋体"/>
              </w:rPr>
            </w:pPr>
            <w:r>
              <w:rPr>
                <w:rFonts w:hint="eastAsia" w:ascii="宋体" w:hAnsi="宋体"/>
              </w:rPr>
              <w:t>1).1 米 OS2 单模 9/125μm 双工尾纤、支持 10G 以太网，采用 LC 接口；</w:t>
            </w:r>
          </w:p>
          <w:p w14:paraId="081048BA">
            <w:pPr>
              <w:pStyle w:val="74"/>
              <w:rPr>
                <w:rFonts w:ascii="宋体" w:hAnsi="宋体"/>
              </w:rPr>
            </w:pPr>
            <w:r>
              <w:rPr>
                <w:rFonts w:hint="eastAsia" w:ascii="宋体" w:hAnsi="宋体"/>
              </w:rPr>
              <w:t>2).符合 ANSI/TIA-568-C，ISO/IEC</w:t>
            </w:r>
            <w:r>
              <w:rPr>
                <w:rFonts w:hint="eastAsia" w:ascii="宋体" w:hAnsi="宋体"/>
              </w:rPr>
              <w:tab/>
            </w:r>
            <w:r>
              <w:rPr>
                <w:rFonts w:hint="eastAsia" w:ascii="宋体" w:hAnsi="宋体"/>
              </w:rPr>
              <w:t>11801:2002 Ed2.0 标准；最大损耗≤0.4dB。</w:t>
            </w:r>
            <w:r>
              <w:rPr>
                <w:rFonts w:hint="eastAsia" w:ascii="宋体" w:hAnsi="宋体"/>
              </w:rPr>
              <w:tab/>
            </w:r>
          </w:p>
        </w:tc>
      </w:tr>
      <w:tr w14:paraId="5184E1A6">
        <w:tblPrEx>
          <w:tblCellMar>
            <w:top w:w="0" w:type="dxa"/>
            <w:left w:w="108" w:type="dxa"/>
            <w:bottom w:w="0" w:type="dxa"/>
            <w:right w:w="108" w:type="dxa"/>
          </w:tblCellMar>
        </w:tblPrEx>
        <w:trPr>
          <w:trHeight w:val="20"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230B981C">
            <w:pPr>
              <w:pStyle w:val="74"/>
              <w:rPr>
                <w:rFonts w:ascii="宋体" w:hAnsi="宋体"/>
              </w:rPr>
            </w:pPr>
            <w:r>
              <w:rPr>
                <w:rFonts w:hint="eastAsia" w:ascii="宋体" w:hAnsi="宋体"/>
              </w:rPr>
              <w:t>12</w:t>
            </w:r>
          </w:p>
        </w:tc>
        <w:tc>
          <w:tcPr>
            <w:tcW w:w="1844" w:type="dxa"/>
            <w:tcBorders>
              <w:top w:val="single" w:color="auto" w:sz="4" w:space="0"/>
              <w:left w:val="single" w:color="auto" w:sz="4" w:space="0"/>
              <w:bottom w:val="single" w:color="auto" w:sz="4" w:space="0"/>
              <w:right w:val="single" w:color="auto" w:sz="4" w:space="0"/>
            </w:tcBorders>
            <w:shd w:val="clear" w:color="auto" w:fill="auto"/>
            <w:vAlign w:val="center"/>
          </w:tcPr>
          <w:p w14:paraId="52FEF671">
            <w:pPr>
              <w:pStyle w:val="74"/>
              <w:rPr>
                <w:rFonts w:ascii="宋体" w:hAnsi="宋体"/>
              </w:rPr>
            </w:pPr>
            <w:r>
              <w:rPr>
                <w:rFonts w:hint="eastAsia" w:ascii="宋体" w:hAnsi="宋体"/>
              </w:rPr>
              <w:t>3 米万兆单模LC-LC 跳线</w:t>
            </w:r>
          </w:p>
        </w:tc>
        <w:tc>
          <w:tcPr>
            <w:tcW w:w="6860" w:type="dxa"/>
            <w:tcBorders>
              <w:top w:val="single" w:color="auto" w:sz="4" w:space="0"/>
              <w:left w:val="single" w:color="auto" w:sz="4" w:space="0"/>
              <w:bottom w:val="single" w:color="auto" w:sz="4" w:space="0"/>
              <w:right w:val="single" w:color="auto" w:sz="4" w:space="0"/>
            </w:tcBorders>
            <w:shd w:val="clear" w:color="auto" w:fill="auto"/>
            <w:vAlign w:val="center"/>
          </w:tcPr>
          <w:p w14:paraId="6D50959B">
            <w:pPr>
              <w:pStyle w:val="74"/>
              <w:rPr>
                <w:rFonts w:ascii="宋体" w:hAnsi="宋体"/>
              </w:rPr>
            </w:pPr>
            <w:r>
              <w:rPr>
                <w:rFonts w:hint="eastAsia" w:ascii="宋体" w:hAnsi="宋体"/>
              </w:rPr>
              <w:t>1).3 米 OS2 单模 9/125μm 双工光纤跳线、支持 10G 以太网，采用 LC 接口；</w:t>
            </w:r>
            <w:r>
              <w:rPr>
                <w:rFonts w:hint="eastAsia" w:ascii="宋体" w:hAnsi="宋体"/>
              </w:rPr>
              <w:tab/>
            </w:r>
          </w:p>
          <w:p w14:paraId="0163D252">
            <w:pPr>
              <w:pStyle w:val="74"/>
              <w:rPr>
                <w:rFonts w:ascii="宋体" w:hAnsi="宋体"/>
              </w:rPr>
            </w:pPr>
            <w:r>
              <w:rPr>
                <w:rFonts w:hint="eastAsia" w:ascii="宋体" w:hAnsi="宋体"/>
              </w:rPr>
              <w:t>2).符合 ANSI/TIA-568-C，ISO/IEC</w:t>
            </w:r>
            <w:r>
              <w:rPr>
                <w:rFonts w:hint="eastAsia" w:ascii="宋体" w:hAnsi="宋体"/>
              </w:rPr>
              <w:tab/>
            </w:r>
            <w:r>
              <w:rPr>
                <w:rFonts w:hint="eastAsia" w:ascii="宋体" w:hAnsi="宋体"/>
              </w:rPr>
              <w:t>11801:2002 Ed2.0 标准；最大损耗≤0.4dB。</w:t>
            </w:r>
            <w:r>
              <w:rPr>
                <w:rFonts w:hint="eastAsia" w:ascii="宋体" w:hAnsi="宋体"/>
              </w:rPr>
              <w:tab/>
            </w:r>
          </w:p>
        </w:tc>
      </w:tr>
      <w:tr w14:paraId="7AD5DE6B">
        <w:tblPrEx>
          <w:tblCellMar>
            <w:top w:w="0" w:type="dxa"/>
            <w:left w:w="108" w:type="dxa"/>
            <w:bottom w:w="0" w:type="dxa"/>
            <w:right w:w="108" w:type="dxa"/>
          </w:tblCellMar>
        </w:tblPrEx>
        <w:trPr>
          <w:trHeight w:val="20"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6AA85B6E">
            <w:pPr>
              <w:pStyle w:val="74"/>
              <w:rPr>
                <w:rFonts w:ascii="宋体" w:hAnsi="宋体"/>
              </w:rPr>
            </w:pPr>
            <w:r>
              <w:rPr>
                <w:rFonts w:hint="eastAsia" w:ascii="宋体" w:hAnsi="宋体"/>
              </w:rPr>
              <w:t>13</w:t>
            </w:r>
          </w:p>
        </w:tc>
        <w:tc>
          <w:tcPr>
            <w:tcW w:w="1844" w:type="dxa"/>
            <w:tcBorders>
              <w:top w:val="single" w:color="auto" w:sz="4" w:space="0"/>
              <w:left w:val="single" w:color="auto" w:sz="4" w:space="0"/>
              <w:bottom w:val="single" w:color="auto" w:sz="4" w:space="0"/>
              <w:right w:val="single" w:color="auto" w:sz="4" w:space="0"/>
            </w:tcBorders>
            <w:shd w:val="clear" w:color="auto" w:fill="auto"/>
            <w:vAlign w:val="center"/>
          </w:tcPr>
          <w:p w14:paraId="53A45C46">
            <w:pPr>
              <w:pStyle w:val="74"/>
              <w:rPr>
                <w:rFonts w:ascii="宋体" w:hAnsi="宋体"/>
              </w:rPr>
            </w:pPr>
            <w:r>
              <w:rPr>
                <w:rFonts w:hint="eastAsia" w:ascii="宋体" w:hAnsi="宋体"/>
              </w:rPr>
              <w:t>42U 网络机柜</w:t>
            </w:r>
          </w:p>
        </w:tc>
        <w:tc>
          <w:tcPr>
            <w:tcW w:w="6860" w:type="dxa"/>
            <w:tcBorders>
              <w:top w:val="single" w:color="auto" w:sz="4" w:space="0"/>
              <w:left w:val="single" w:color="auto" w:sz="4" w:space="0"/>
              <w:bottom w:val="single" w:color="auto" w:sz="4" w:space="0"/>
              <w:right w:val="single" w:color="auto" w:sz="4" w:space="0"/>
            </w:tcBorders>
            <w:shd w:val="clear" w:color="auto" w:fill="auto"/>
            <w:vAlign w:val="center"/>
          </w:tcPr>
          <w:p w14:paraId="483ACFC0">
            <w:pPr>
              <w:pStyle w:val="74"/>
              <w:rPr>
                <w:rFonts w:ascii="宋体" w:hAnsi="宋体"/>
              </w:rPr>
            </w:pPr>
            <w:r>
              <w:rPr>
                <w:rFonts w:hint="eastAsia" w:ascii="宋体" w:hAnsi="宋体"/>
              </w:rPr>
              <w:t>1).42U 600*600 采用优质钢板，19 英寸安装条厚度 2.0mm、整体框架厚度1.5mm、门厚 1.2mm;承重不低于 800Kg，自带两块侧板及两块层板；</w:t>
            </w:r>
          </w:p>
          <w:p w14:paraId="563CC116">
            <w:pPr>
              <w:pStyle w:val="74"/>
              <w:rPr>
                <w:rFonts w:ascii="宋体" w:hAnsi="宋体"/>
              </w:rPr>
            </w:pPr>
            <w:r>
              <w:rPr>
                <w:rFonts w:hint="eastAsia" w:ascii="宋体" w:hAnsi="宋体"/>
              </w:rPr>
              <w:t>2).表面脱脂、防锈磷化、喷塑处理，外观简洁，密集散热孔设计，分布</w:t>
            </w:r>
          </w:p>
          <w:p w14:paraId="6A736B32">
            <w:pPr>
              <w:pStyle w:val="74"/>
              <w:rPr>
                <w:rFonts w:ascii="宋体" w:hAnsi="宋体"/>
              </w:rPr>
            </w:pPr>
            <w:r>
              <w:rPr>
                <w:rFonts w:hint="eastAsia" w:ascii="宋体" w:hAnsi="宋体"/>
              </w:rPr>
              <w:t>合理，提供安全有效的设备保障，提供所需的安装固定支撑件；</w:t>
            </w:r>
          </w:p>
          <w:p w14:paraId="089AF176">
            <w:pPr>
              <w:pStyle w:val="74"/>
              <w:rPr>
                <w:rFonts w:ascii="宋体" w:hAnsi="宋体"/>
              </w:rPr>
            </w:pPr>
            <w:r>
              <w:rPr>
                <w:rFonts w:hint="eastAsia" w:ascii="宋体" w:hAnsi="宋体"/>
              </w:rPr>
              <w:t>3).标配两个 19”机架安装的 6 位 10A PDU 插排。</w:t>
            </w:r>
          </w:p>
        </w:tc>
      </w:tr>
      <w:tr w14:paraId="2446A615">
        <w:tblPrEx>
          <w:tblCellMar>
            <w:top w:w="0" w:type="dxa"/>
            <w:left w:w="108" w:type="dxa"/>
            <w:bottom w:w="0" w:type="dxa"/>
            <w:right w:w="108" w:type="dxa"/>
          </w:tblCellMar>
        </w:tblPrEx>
        <w:trPr>
          <w:trHeight w:val="20" w:hRule="atLeast"/>
        </w:trPr>
        <w:tc>
          <w:tcPr>
            <w:tcW w:w="937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21272E2">
            <w:pPr>
              <w:pStyle w:val="74"/>
              <w:rPr>
                <w:rFonts w:ascii="宋体" w:hAnsi="宋体"/>
              </w:rPr>
            </w:pPr>
            <w:r>
              <w:rPr>
                <w:rFonts w:hint="eastAsia" w:ascii="宋体" w:hAnsi="宋体"/>
              </w:rPr>
              <w:t>（五）设备间子系统</w:t>
            </w:r>
          </w:p>
        </w:tc>
      </w:tr>
      <w:tr w14:paraId="3DC8ABFB">
        <w:tblPrEx>
          <w:tblCellMar>
            <w:top w:w="0" w:type="dxa"/>
            <w:left w:w="108" w:type="dxa"/>
            <w:bottom w:w="0" w:type="dxa"/>
            <w:right w:w="108" w:type="dxa"/>
          </w:tblCellMar>
        </w:tblPrEx>
        <w:trPr>
          <w:trHeight w:val="20"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0B50D39A">
            <w:pPr>
              <w:pStyle w:val="74"/>
              <w:rPr>
                <w:rFonts w:ascii="宋体" w:hAnsi="宋体"/>
              </w:rPr>
            </w:pPr>
            <w:r>
              <w:rPr>
                <w:rFonts w:hint="eastAsia" w:ascii="宋体" w:hAnsi="宋体"/>
              </w:rPr>
              <w:t>1</w:t>
            </w:r>
          </w:p>
        </w:tc>
        <w:tc>
          <w:tcPr>
            <w:tcW w:w="1844" w:type="dxa"/>
            <w:tcBorders>
              <w:top w:val="single" w:color="auto" w:sz="4" w:space="0"/>
              <w:left w:val="single" w:color="auto" w:sz="4" w:space="0"/>
              <w:bottom w:val="single" w:color="auto" w:sz="4" w:space="0"/>
              <w:right w:val="single" w:color="auto" w:sz="4" w:space="0"/>
            </w:tcBorders>
            <w:shd w:val="clear" w:color="auto" w:fill="auto"/>
            <w:vAlign w:val="center"/>
          </w:tcPr>
          <w:p w14:paraId="78A19293">
            <w:pPr>
              <w:pStyle w:val="74"/>
              <w:rPr>
                <w:rFonts w:ascii="宋体" w:hAnsi="宋体"/>
              </w:rPr>
            </w:pPr>
            <w:r>
              <w:rPr>
                <w:rFonts w:hint="eastAsia" w:ascii="宋体" w:hAnsi="宋体"/>
              </w:rPr>
              <w:t>1U 理线架</w:t>
            </w:r>
          </w:p>
        </w:tc>
        <w:tc>
          <w:tcPr>
            <w:tcW w:w="6860" w:type="dxa"/>
            <w:tcBorders>
              <w:top w:val="single" w:color="auto" w:sz="4" w:space="0"/>
              <w:left w:val="single" w:color="auto" w:sz="4" w:space="0"/>
              <w:bottom w:val="single" w:color="auto" w:sz="4" w:space="0"/>
              <w:right w:val="single" w:color="auto" w:sz="4" w:space="0"/>
            </w:tcBorders>
            <w:shd w:val="clear" w:color="auto" w:fill="auto"/>
            <w:vAlign w:val="center"/>
          </w:tcPr>
          <w:p w14:paraId="318B2DA3">
            <w:pPr>
              <w:pStyle w:val="74"/>
              <w:rPr>
                <w:rFonts w:ascii="宋体" w:hAnsi="宋体"/>
              </w:rPr>
            </w:pPr>
            <w:r>
              <w:rPr>
                <w:rFonts w:hint="eastAsia" w:ascii="宋体" w:hAnsi="宋体"/>
              </w:rPr>
              <w:t>1U 带有可双向开启盖板,机架式配置，支持标准 19 英寸机柜安装。</w:t>
            </w:r>
          </w:p>
        </w:tc>
      </w:tr>
      <w:tr w14:paraId="71CBEBED">
        <w:tblPrEx>
          <w:tblCellMar>
            <w:top w:w="0" w:type="dxa"/>
            <w:left w:w="108" w:type="dxa"/>
            <w:bottom w:w="0" w:type="dxa"/>
            <w:right w:w="108" w:type="dxa"/>
          </w:tblCellMar>
        </w:tblPrEx>
        <w:trPr>
          <w:trHeight w:val="20"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026D011A">
            <w:pPr>
              <w:pStyle w:val="74"/>
              <w:rPr>
                <w:rFonts w:ascii="宋体" w:hAnsi="宋体"/>
              </w:rPr>
            </w:pPr>
            <w:r>
              <w:rPr>
                <w:rFonts w:hint="eastAsia" w:ascii="宋体" w:hAnsi="宋体"/>
              </w:rPr>
              <w:t>2</w:t>
            </w:r>
          </w:p>
        </w:tc>
        <w:tc>
          <w:tcPr>
            <w:tcW w:w="1844" w:type="dxa"/>
            <w:tcBorders>
              <w:top w:val="single" w:color="auto" w:sz="4" w:space="0"/>
              <w:left w:val="single" w:color="auto" w:sz="4" w:space="0"/>
              <w:bottom w:val="single" w:color="auto" w:sz="4" w:space="0"/>
              <w:right w:val="single" w:color="auto" w:sz="4" w:space="0"/>
            </w:tcBorders>
            <w:shd w:val="clear" w:color="auto" w:fill="auto"/>
            <w:vAlign w:val="center"/>
          </w:tcPr>
          <w:p w14:paraId="72F94776">
            <w:pPr>
              <w:pStyle w:val="74"/>
              <w:rPr>
                <w:rFonts w:ascii="宋体" w:hAnsi="宋体"/>
              </w:rPr>
            </w:pPr>
            <w:r>
              <w:rPr>
                <w:rFonts w:hint="eastAsia" w:ascii="宋体" w:hAnsi="宋体"/>
              </w:rPr>
              <w:t>48 口光纤配线架</w:t>
            </w:r>
          </w:p>
        </w:tc>
        <w:tc>
          <w:tcPr>
            <w:tcW w:w="6860" w:type="dxa"/>
            <w:tcBorders>
              <w:top w:val="single" w:color="auto" w:sz="4" w:space="0"/>
              <w:left w:val="single" w:color="auto" w:sz="4" w:space="0"/>
              <w:bottom w:val="single" w:color="auto" w:sz="4" w:space="0"/>
              <w:right w:val="single" w:color="auto" w:sz="4" w:space="0"/>
            </w:tcBorders>
            <w:shd w:val="clear" w:color="auto" w:fill="auto"/>
            <w:vAlign w:val="center"/>
          </w:tcPr>
          <w:p w14:paraId="5A855DF3">
            <w:pPr>
              <w:pStyle w:val="74"/>
              <w:rPr>
                <w:rFonts w:ascii="宋体" w:hAnsi="宋体"/>
              </w:rPr>
            </w:pPr>
            <w:r>
              <w:rPr>
                <w:rFonts w:hint="eastAsia" w:ascii="宋体" w:hAnsi="宋体"/>
              </w:rPr>
              <w:t>1).1U 模块化结构，可支持铜缆模块和光纤适配器（SC、LC）的混合安装，单个配线架须至少端接24芯SC/48芯LC，内置尼龙光纤盘绕环保护光纤的弯曲半径。</w:t>
            </w:r>
            <w:r>
              <w:rPr>
                <w:rFonts w:hint="eastAsia" w:ascii="宋体" w:hAnsi="宋体"/>
              </w:rPr>
              <w:tab/>
            </w:r>
          </w:p>
          <w:p w14:paraId="13B5AF48">
            <w:pPr>
              <w:pStyle w:val="74"/>
              <w:rPr>
                <w:rFonts w:ascii="宋体" w:hAnsi="宋体"/>
              </w:rPr>
            </w:pPr>
            <w:r>
              <w:rPr>
                <w:rFonts w:hint="eastAsia" w:ascii="宋体" w:hAnsi="宋体"/>
              </w:rPr>
              <w:t>2).支持 62.5/125 普通多模光纤，50/125 万兆多模光纤和零水峰单模光纤连接；</w:t>
            </w:r>
          </w:p>
          <w:p w14:paraId="45E2734E">
            <w:pPr>
              <w:pStyle w:val="74"/>
              <w:rPr>
                <w:rFonts w:ascii="宋体" w:hAnsi="宋体"/>
              </w:rPr>
            </w:pPr>
            <w:r>
              <w:rPr>
                <w:rFonts w:hint="eastAsia" w:ascii="宋体" w:hAnsi="宋体"/>
              </w:rPr>
              <w:t>3).自带可外翻180度的跳线导线架；</w:t>
            </w:r>
          </w:p>
          <w:p w14:paraId="1AC0F0C8">
            <w:pPr>
              <w:pStyle w:val="74"/>
              <w:rPr>
                <w:rFonts w:ascii="宋体" w:hAnsi="宋体"/>
              </w:rPr>
            </w:pPr>
            <w:r>
              <w:rPr>
                <w:rFonts w:hint="eastAsia" w:ascii="宋体" w:hAnsi="宋体"/>
              </w:rPr>
              <w:t>4).19”机柜式安装，可前端管理。</w:t>
            </w:r>
          </w:p>
        </w:tc>
      </w:tr>
      <w:tr w14:paraId="4DC5B164">
        <w:tblPrEx>
          <w:tblCellMar>
            <w:top w:w="0" w:type="dxa"/>
            <w:left w:w="108" w:type="dxa"/>
            <w:bottom w:w="0" w:type="dxa"/>
            <w:right w:w="108" w:type="dxa"/>
          </w:tblCellMar>
        </w:tblPrEx>
        <w:trPr>
          <w:trHeight w:val="20"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7BEC14E4">
            <w:pPr>
              <w:pStyle w:val="74"/>
              <w:rPr>
                <w:rFonts w:ascii="宋体" w:hAnsi="宋体"/>
              </w:rPr>
            </w:pPr>
            <w:r>
              <w:rPr>
                <w:rFonts w:hint="eastAsia" w:ascii="宋体" w:hAnsi="宋体"/>
              </w:rPr>
              <w:t>3</w:t>
            </w:r>
          </w:p>
        </w:tc>
        <w:tc>
          <w:tcPr>
            <w:tcW w:w="1844" w:type="dxa"/>
            <w:tcBorders>
              <w:top w:val="single" w:color="auto" w:sz="4" w:space="0"/>
              <w:left w:val="single" w:color="auto" w:sz="4" w:space="0"/>
              <w:bottom w:val="single" w:color="auto" w:sz="4" w:space="0"/>
              <w:right w:val="single" w:color="auto" w:sz="4" w:space="0"/>
            </w:tcBorders>
            <w:shd w:val="clear" w:color="auto" w:fill="auto"/>
            <w:vAlign w:val="center"/>
          </w:tcPr>
          <w:p w14:paraId="02DD9CD2">
            <w:pPr>
              <w:pStyle w:val="74"/>
              <w:rPr>
                <w:rFonts w:ascii="宋体" w:hAnsi="宋体"/>
              </w:rPr>
            </w:pPr>
            <w:r>
              <w:rPr>
                <w:rFonts w:hint="eastAsia" w:ascii="宋体" w:hAnsi="宋体"/>
              </w:rPr>
              <w:t>12 芯 LC 适配器面板</w:t>
            </w:r>
          </w:p>
        </w:tc>
        <w:tc>
          <w:tcPr>
            <w:tcW w:w="6860" w:type="dxa"/>
            <w:tcBorders>
              <w:top w:val="single" w:color="auto" w:sz="4" w:space="0"/>
              <w:left w:val="single" w:color="auto" w:sz="4" w:space="0"/>
              <w:bottom w:val="single" w:color="auto" w:sz="4" w:space="0"/>
              <w:right w:val="single" w:color="auto" w:sz="4" w:space="0"/>
            </w:tcBorders>
            <w:shd w:val="clear" w:color="auto" w:fill="auto"/>
            <w:vAlign w:val="center"/>
          </w:tcPr>
          <w:p w14:paraId="0E082A3B">
            <w:pPr>
              <w:pStyle w:val="74"/>
              <w:rPr>
                <w:rFonts w:ascii="宋体" w:hAnsi="宋体"/>
              </w:rPr>
            </w:pPr>
            <w:r>
              <w:rPr>
                <w:rFonts w:hint="eastAsia" w:ascii="宋体" w:hAnsi="宋体"/>
              </w:rPr>
              <w:t>1).单个适配器器板含 6 个 LC 双工耦合器可支持 12 芯光纤；</w:t>
            </w:r>
          </w:p>
          <w:p w14:paraId="3BB2E58D">
            <w:pPr>
              <w:pStyle w:val="74"/>
              <w:rPr>
                <w:rFonts w:ascii="宋体" w:hAnsi="宋体"/>
              </w:rPr>
            </w:pPr>
            <w:r>
              <w:rPr>
                <w:rFonts w:hint="eastAsia" w:ascii="宋体" w:hAnsi="宋体"/>
              </w:rPr>
              <w:t>2).符合 ANSI/TIA-568-C，ISO/IEC</w:t>
            </w:r>
            <w:r>
              <w:rPr>
                <w:rFonts w:hint="eastAsia" w:ascii="宋体" w:hAnsi="宋体"/>
              </w:rPr>
              <w:tab/>
            </w:r>
            <w:r>
              <w:rPr>
                <w:rFonts w:hint="eastAsia" w:ascii="宋体" w:hAnsi="宋体"/>
              </w:rPr>
              <w:t>11801:2002 Ed2.0 标准。</w:t>
            </w:r>
          </w:p>
        </w:tc>
      </w:tr>
      <w:tr w14:paraId="31939764">
        <w:tblPrEx>
          <w:tblCellMar>
            <w:top w:w="0" w:type="dxa"/>
            <w:left w:w="108" w:type="dxa"/>
            <w:bottom w:w="0" w:type="dxa"/>
            <w:right w:w="108" w:type="dxa"/>
          </w:tblCellMar>
        </w:tblPrEx>
        <w:trPr>
          <w:trHeight w:val="20"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402D5F98">
            <w:pPr>
              <w:pStyle w:val="74"/>
              <w:rPr>
                <w:rFonts w:ascii="宋体" w:hAnsi="宋体"/>
              </w:rPr>
            </w:pPr>
            <w:r>
              <w:rPr>
                <w:rFonts w:hint="eastAsia" w:ascii="宋体" w:hAnsi="宋体"/>
              </w:rPr>
              <w:t>4</w:t>
            </w:r>
          </w:p>
        </w:tc>
        <w:tc>
          <w:tcPr>
            <w:tcW w:w="1844" w:type="dxa"/>
            <w:tcBorders>
              <w:top w:val="single" w:color="auto" w:sz="4" w:space="0"/>
              <w:left w:val="single" w:color="auto" w:sz="4" w:space="0"/>
              <w:bottom w:val="single" w:color="auto" w:sz="4" w:space="0"/>
              <w:right w:val="single" w:color="auto" w:sz="4" w:space="0"/>
            </w:tcBorders>
            <w:shd w:val="clear" w:color="auto" w:fill="auto"/>
            <w:vAlign w:val="center"/>
          </w:tcPr>
          <w:p w14:paraId="549CDA99">
            <w:pPr>
              <w:pStyle w:val="74"/>
              <w:rPr>
                <w:rFonts w:ascii="宋体" w:hAnsi="宋体"/>
              </w:rPr>
            </w:pPr>
            <w:r>
              <w:rPr>
                <w:rFonts w:hint="eastAsia" w:ascii="宋体" w:hAnsi="宋体"/>
              </w:rPr>
              <w:t>1.0 米万兆单模 LC 尾纤</w:t>
            </w:r>
          </w:p>
        </w:tc>
        <w:tc>
          <w:tcPr>
            <w:tcW w:w="6860" w:type="dxa"/>
            <w:tcBorders>
              <w:top w:val="single" w:color="auto" w:sz="4" w:space="0"/>
              <w:left w:val="single" w:color="auto" w:sz="4" w:space="0"/>
              <w:bottom w:val="single" w:color="auto" w:sz="4" w:space="0"/>
              <w:right w:val="single" w:color="auto" w:sz="4" w:space="0"/>
            </w:tcBorders>
            <w:shd w:val="clear" w:color="auto" w:fill="auto"/>
            <w:vAlign w:val="center"/>
          </w:tcPr>
          <w:p w14:paraId="0E973304">
            <w:pPr>
              <w:pStyle w:val="74"/>
              <w:rPr>
                <w:rFonts w:ascii="宋体" w:hAnsi="宋体"/>
              </w:rPr>
            </w:pPr>
            <w:r>
              <w:rPr>
                <w:rFonts w:hint="eastAsia" w:ascii="宋体" w:hAnsi="宋体"/>
              </w:rPr>
              <w:t>1).1 米 OS2 单模 9/125μm 双工尾纤、支持 10G 以太网，采用 LC 接口；</w:t>
            </w:r>
          </w:p>
          <w:p w14:paraId="517BB748">
            <w:pPr>
              <w:pStyle w:val="74"/>
              <w:rPr>
                <w:rFonts w:ascii="宋体" w:hAnsi="宋体"/>
              </w:rPr>
            </w:pPr>
            <w:r>
              <w:rPr>
                <w:rFonts w:hint="eastAsia" w:ascii="宋体" w:hAnsi="宋体"/>
              </w:rPr>
              <w:t>2).符合 ANSI/TIA-568-C，ISO/IEC</w:t>
            </w:r>
            <w:r>
              <w:rPr>
                <w:rFonts w:hint="eastAsia" w:ascii="宋体" w:hAnsi="宋体"/>
              </w:rPr>
              <w:tab/>
            </w:r>
            <w:r>
              <w:rPr>
                <w:rFonts w:hint="eastAsia" w:ascii="宋体" w:hAnsi="宋体"/>
              </w:rPr>
              <w:t>11801:2002 Ed2.0 标准；最大损耗≤0.4dB。</w:t>
            </w:r>
            <w:r>
              <w:rPr>
                <w:rFonts w:hint="eastAsia" w:ascii="宋体" w:hAnsi="宋体"/>
              </w:rPr>
              <w:tab/>
            </w:r>
          </w:p>
        </w:tc>
      </w:tr>
      <w:tr w14:paraId="7FC6E7DC">
        <w:tblPrEx>
          <w:tblCellMar>
            <w:top w:w="0" w:type="dxa"/>
            <w:left w:w="108" w:type="dxa"/>
            <w:bottom w:w="0" w:type="dxa"/>
            <w:right w:w="108" w:type="dxa"/>
          </w:tblCellMar>
        </w:tblPrEx>
        <w:trPr>
          <w:trHeight w:val="20"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08B6B12E">
            <w:pPr>
              <w:pStyle w:val="74"/>
              <w:rPr>
                <w:rFonts w:ascii="宋体" w:hAnsi="宋体"/>
              </w:rPr>
            </w:pPr>
            <w:r>
              <w:rPr>
                <w:rFonts w:hint="eastAsia" w:ascii="宋体" w:hAnsi="宋体"/>
              </w:rPr>
              <w:t>5</w:t>
            </w:r>
          </w:p>
        </w:tc>
        <w:tc>
          <w:tcPr>
            <w:tcW w:w="1844" w:type="dxa"/>
            <w:tcBorders>
              <w:top w:val="single" w:color="auto" w:sz="4" w:space="0"/>
              <w:left w:val="single" w:color="auto" w:sz="4" w:space="0"/>
              <w:bottom w:val="single" w:color="auto" w:sz="4" w:space="0"/>
              <w:right w:val="single" w:color="auto" w:sz="4" w:space="0"/>
            </w:tcBorders>
            <w:shd w:val="clear" w:color="auto" w:fill="auto"/>
            <w:vAlign w:val="center"/>
          </w:tcPr>
          <w:p w14:paraId="25123C33">
            <w:pPr>
              <w:pStyle w:val="74"/>
              <w:rPr>
                <w:rFonts w:ascii="宋体" w:hAnsi="宋体"/>
              </w:rPr>
            </w:pPr>
            <w:r>
              <w:rPr>
                <w:rFonts w:hint="eastAsia" w:ascii="宋体" w:hAnsi="宋体"/>
              </w:rPr>
              <w:t>3 米万兆单模LC-LC 跳线</w:t>
            </w:r>
          </w:p>
        </w:tc>
        <w:tc>
          <w:tcPr>
            <w:tcW w:w="6860" w:type="dxa"/>
            <w:tcBorders>
              <w:top w:val="single" w:color="auto" w:sz="4" w:space="0"/>
              <w:left w:val="single" w:color="auto" w:sz="4" w:space="0"/>
              <w:bottom w:val="single" w:color="auto" w:sz="4" w:space="0"/>
              <w:right w:val="single" w:color="auto" w:sz="4" w:space="0"/>
            </w:tcBorders>
            <w:shd w:val="clear" w:color="auto" w:fill="auto"/>
            <w:vAlign w:val="center"/>
          </w:tcPr>
          <w:p w14:paraId="39C6202D">
            <w:pPr>
              <w:pStyle w:val="74"/>
              <w:rPr>
                <w:rFonts w:ascii="宋体" w:hAnsi="宋体"/>
              </w:rPr>
            </w:pPr>
            <w:r>
              <w:rPr>
                <w:rFonts w:hint="eastAsia" w:ascii="宋体" w:hAnsi="宋体"/>
              </w:rPr>
              <w:t>1).3 米 OS2 单模 9/125μm 双工光纤跳线、支持 10G 以太网，采用 LC 接口；</w:t>
            </w:r>
            <w:r>
              <w:rPr>
                <w:rFonts w:hint="eastAsia" w:ascii="宋体" w:hAnsi="宋体"/>
              </w:rPr>
              <w:tab/>
            </w:r>
          </w:p>
          <w:p w14:paraId="3B380E3E">
            <w:pPr>
              <w:pStyle w:val="74"/>
              <w:rPr>
                <w:rFonts w:ascii="宋体" w:hAnsi="宋体"/>
              </w:rPr>
            </w:pPr>
            <w:r>
              <w:rPr>
                <w:rFonts w:hint="eastAsia" w:ascii="宋体" w:hAnsi="宋体"/>
              </w:rPr>
              <w:t>2).符合 ANSI/TIA-568-C，ISO/IEC</w:t>
            </w:r>
            <w:r>
              <w:rPr>
                <w:rFonts w:hint="eastAsia" w:ascii="宋体" w:hAnsi="宋体"/>
              </w:rPr>
              <w:tab/>
            </w:r>
            <w:r>
              <w:rPr>
                <w:rFonts w:hint="eastAsia" w:ascii="宋体" w:hAnsi="宋体"/>
              </w:rPr>
              <w:t>11801:2002 Ed2.0 标准；最大损耗≤0.4dB。</w:t>
            </w:r>
            <w:r>
              <w:rPr>
                <w:rFonts w:hint="eastAsia" w:ascii="宋体" w:hAnsi="宋体"/>
              </w:rPr>
              <w:tab/>
            </w:r>
          </w:p>
        </w:tc>
      </w:tr>
      <w:tr w14:paraId="058CE97F">
        <w:tblPrEx>
          <w:tblCellMar>
            <w:top w:w="0" w:type="dxa"/>
            <w:left w:w="108" w:type="dxa"/>
            <w:bottom w:w="0" w:type="dxa"/>
            <w:right w:w="108" w:type="dxa"/>
          </w:tblCellMar>
        </w:tblPrEx>
        <w:trPr>
          <w:trHeight w:val="20"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587F25DD">
            <w:pPr>
              <w:pStyle w:val="74"/>
              <w:rPr>
                <w:rFonts w:ascii="宋体" w:hAnsi="宋体"/>
              </w:rPr>
            </w:pPr>
            <w:r>
              <w:rPr>
                <w:rFonts w:hint="eastAsia" w:ascii="宋体" w:hAnsi="宋体"/>
              </w:rPr>
              <w:t>6</w:t>
            </w:r>
          </w:p>
        </w:tc>
        <w:tc>
          <w:tcPr>
            <w:tcW w:w="1844" w:type="dxa"/>
            <w:tcBorders>
              <w:top w:val="single" w:color="auto" w:sz="4" w:space="0"/>
              <w:left w:val="single" w:color="auto" w:sz="4" w:space="0"/>
              <w:bottom w:val="single" w:color="auto" w:sz="4" w:space="0"/>
              <w:right w:val="single" w:color="auto" w:sz="4" w:space="0"/>
            </w:tcBorders>
            <w:shd w:val="clear" w:color="auto" w:fill="auto"/>
            <w:vAlign w:val="center"/>
          </w:tcPr>
          <w:p w14:paraId="39FDA8B3">
            <w:pPr>
              <w:pStyle w:val="74"/>
              <w:rPr>
                <w:rFonts w:ascii="宋体" w:hAnsi="宋体"/>
              </w:rPr>
            </w:pPr>
            <w:r>
              <w:rPr>
                <w:rFonts w:hint="eastAsia" w:ascii="宋体" w:hAnsi="宋体"/>
              </w:rPr>
              <w:t>3 米万兆多模</w:t>
            </w:r>
          </w:p>
          <w:p w14:paraId="6E3A542B">
            <w:pPr>
              <w:pStyle w:val="74"/>
              <w:rPr>
                <w:rFonts w:ascii="宋体" w:hAnsi="宋体"/>
              </w:rPr>
            </w:pPr>
            <w:r>
              <w:rPr>
                <w:rFonts w:hint="eastAsia" w:ascii="宋体" w:hAnsi="宋体"/>
              </w:rPr>
              <w:t>LC-LC 跳线</w:t>
            </w:r>
          </w:p>
        </w:tc>
        <w:tc>
          <w:tcPr>
            <w:tcW w:w="6860" w:type="dxa"/>
            <w:tcBorders>
              <w:top w:val="single" w:color="auto" w:sz="4" w:space="0"/>
              <w:left w:val="single" w:color="auto" w:sz="4" w:space="0"/>
              <w:bottom w:val="single" w:color="auto" w:sz="4" w:space="0"/>
              <w:right w:val="single" w:color="auto" w:sz="4" w:space="0"/>
            </w:tcBorders>
            <w:shd w:val="clear" w:color="auto" w:fill="auto"/>
            <w:vAlign w:val="center"/>
          </w:tcPr>
          <w:p w14:paraId="341FC6C5">
            <w:pPr>
              <w:pStyle w:val="74"/>
              <w:rPr>
                <w:rFonts w:ascii="宋体" w:hAnsi="宋体"/>
              </w:rPr>
            </w:pPr>
            <w:r>
              <w:rPr>
                <w:rFonts w:hint="eastAsia" w:ascii="宋体" w:hAnsi="宋体"/>
              </w:rPr>
              <w:t>1).3 米 OM3 多模 50/125μm 双工光纤跳线、支持 10G 以太网，采用 LC 接口；</w:t>
            </w:r>
            <w:r>
              <w:rPr>
                <w:rFonts w:hint="eastAsia" w:ascii="宋体" w:hAnsi="宋体"/>
              </w:rPr>
              <w:tab/>
            </w:r>
          </w:p>
          <w:p w14:paraId="227804EB">
            <w:pPr>
              <w:pStyle w:val="74"/>
              <w:rPr>
                <w:rFonts w:ascii="宋体" w:hAnsi="宋体"/>
              </w:rPr>
            </w:pPr>
            <w:r>
              <w:rPr>
                <w:rFonts w:hint="eastAsia" w:ascii="宋体" w:hAnsi="宋体"/>
              </w:rPr>
              <w:t>2).符合 ANSI/TIA-568-C，ISO/IEC</w:t>
            </w:r>
            <w:r>
              <w:rPr>
                <w:rFonts w:hint="eastAsia" w:ascii="宋体" w:hAnsi="宋体"/>
              </w:rPr>
              <w:tab/>
            </w:r>
            <w:r>
              <w:rPr>
                <w:rFonts w:hint="eastAsia" w:ascii="宋体" w:hAnsi="宋体"/>
              </w:rPr>
              <w:t>11801:2002 Ed2.0 标准；最大损耗≤0.25dB。</w:t>
            </w:r>
            <w:r>
              <w:rPr>
                <w:rFonts w:hint="eastAsia" w:ascii="宋体" w:hAnsi="宋体"/>
              </w:rPr>
              <w:tab/>
            </w:r>
          </w:p>
        </w:tc>
      </w:tr>
    </w:tbl>
    <w:p w14:paraId="699333AF">
      <w:pPr>
        <w:pStyle w:val="75"/>
        <w:outlineLvl w:val="1"/>
      </w:pPr>
      <w:r>
        <w:rPr>
          <w:rFonts w:hint="eastAsia"/>
        </w:rPr>
        <w:t>安防系统</w:t>
      </w:r>
    </w:p>
    <w:p w14:paraId="1B94C3EB">
      <w:pPr>
        <w:pStyle w:val="76"/>
        <w:outlineLvl w:val="2"/>
      </w:pPr>
      <w:r>
        <w:rPr>
          <w:rFonts w:hint="eastAsia"/>
        </w:rPr>
        <w:t>工作范围</w:t>
      </w:r>
    </w:p>
    <w:p w14:paraId="7080859A">
      <w:pPr>
        <w:pStyle w:val="32"/>
        <w:rPr>
          <w:rFonts w:ascii="宋体" w:hAnsi="宋体"/>
        </w:rPr>
      </w:pPr>
      <w:r>
        <w:rPr>
          <w:rFonts w:hint="eastAsia" w:ascii="宋体" w:hAnsi="宋体"/>
        </w:rPr>
        <w:t>安防系统包括门禁系统和视频监控系统。以上系统包括新增的电池间、空调间、走道区域和机房内及微模块机房的门禁、监控安装工程。</w:t>
      </w:r>
    </w:p>
    <w:p w14:paraId="7C5EA88B">
      <w:pPr>
        <w:pStyle w:val="32"/>
        <w:rPr>
          <w:rFonts w:ascii="宋体" w:hAnsi="宋体"/>
        </w:rPr>
      </w:pPr>
      <w:r>
        <w:rPr>
          <w:rFonts w:hint="eastAsia" w:ascii="宋体" w:hAnsi="宋体"/>
        </w:rPr>
        <w:t>本项目旨在建设一套智能化监控及门禁管理系统，要求新增部分接入现有系统，统一管理界面，支持实时监控、数据存储、权限分配及报警联动功能。包含摄像机、硬盘录像机（NVR）、门禁、大屏显示及相关配套设备。</w:t>
      </w:r>
    </w:p>
    <w:p w14:paraId="63CCFDBF">
      <w:pPr>
        <w:pStyle w:val="75"/>
        <w:outlineLvl w:val="1"/>
      </w:pPr>
      <w:r>
        <w:rPr>
          <w:rFonts w:hint="eastAsia"/>
        </w:rPr>
        <w:t>动环系统</w:t>
      </w:r>
    </w:p>
    <w:p w14:paraId="26CF7047">
      <w:pPr>
        <w:pStyle w:val="76"/>
        <w:outlineLvl w:val="2"/>
      </w:pPr>
      <w:r>
        <w:rPr>
          <w:rFonts w:hint="eastAsia"/>
        </w:rPr>
        <w:t>总体要求</w:t>
      </w:r>
    </w:p>
    <w:p w14:paraId="70218B56">
      <w:pPr>
        <w:ind w:firstLine="420" w:firstLineChars="200"/>
        <w:rPr>
          <w:rFonts w:ascii="宋体" w:hAnsi="宋体"/>
        </w:rPr>
      </w:pPr>
      <w:r>
        <w:rPr>
          <w:rFonts w:hint="eastAsia" w:ascii="宋体" w:hAnsi="宋体"/>
        </w:rPr>
        <w:t>本项目需采用先进、可靠的基础设施监控管理系统进行支撑。要求基础设施监控管理系统为本数据中心实现以下目标：</w:t>
      </w:r>
    </w:p>
    <w:p w14:paraId="4D00F4A1">
      <w:pPr>
        <w:ind w:firstLine="420" w:firstLineChars="200"/>
        <w:rPr>
          <w:rFonts w:ascii="宋体" w:hAnsi="宋体"/>
        </w:rPr>
      </w:pPr>
      <w:r>
        <w:rPr>
          <w:rFonts w:hint="eastAsia" w:ascii="宋体" w:hAnsi="宋体"/>
        </w:rPr>
        <w:t>1)系统应在原有平台基础上进行无缝扩容，充分利用现有系统平台，在虚拟机或物理机配置扩容、平台容量扩容及功能升级的基础上接入本期设备及数据；</w:t>
      </w:r>
    </w:p>
    <w:p w14:paraId="0FFBFB87">
      <w:pPr>
        <w:ind w:firstLine="420" w:firstLineChars="200"/>
        <w:rPr>
          <w:rFonts w:ascii="宋体" w:hAnsi="宋体"/>
        </w:rPr>
      </w:pPr>
      <w:r>
        <w:rPr>
          <w:rFonts w:hint="eastAsia" w:ascii="宋体" w:hAnsi="宋体"/>
        </w:rPr>
        <w:t>2)系统应具备高度稳定性及可靠性，保障系统不间断工作，为运维管理提供必要、完整的数据信息；</w:t>
      </w:r>
    </w:p>
    <w:p w14:paraId="1A31370D">
      <w:pPr>
        <w:ind w:firstLine="420" w:firstLineChars="200"/>
        <w:rPr>
          <w:rFonts w:ascii="宋体" w:hAnsi="宋体"/>
        </w:rPr>
      </w:pPr>
      <w:r>
        <w:rPr>
          <w:rFonts w:hint="eastAsia" w:ascii="宋体" w:hAnsi="宋体"/>
        </w:rPr>
        <w:t>3)系统监控范围需全面覆盖本数据中心，包括供配电系统、制冷环境系统、安防系统、消防系统等，实现系统间的互联互通及数据交互，避免出现信息孤岛；</w:t>
      </w:r>
    </w:p>
    <w:p w14:paraId="7BD76C24">
      <w:pPr>
        <w:ind w:firstLine="420" w:firstLineChars="200"/>
        <w:rPr>
          <w:rFonts w:ascii="宋体" w:hAnsi="宋体"/>
        </w:rPr>
      </w:pPr>
      <w:r>
        <w:rPr>
          <w:rFonts w:hint="eastAsia" w:ascii="宋体" w:hAnsi="宋体"/>
        </w:rPr>
        <w:t>4)系统应具备简单、灵活的操作模式，便于运维人员完成日常的管理工作，提高数据中心运维管理效率；</w:t>
      </w:r>
    </w:p>
    <w:p w14:paraId="2CA542C7">
      <w:pPr>
        <w:ind w:firstLine="420" w:firstLineChars="200"/>
        <w:rPr>
          <w:rFonts w:ascii="宋体" w:hAnsi="宋体"/>
        </w:rPr>
      </w:pPr>
      <w:r>
        <w:rPr>
          <w:rFonts w:hint="eastAsia" w:ascii="宋体" w:hAnsi="宋体"/>
        </w:rPr>
        <w:t>6)软/硬件均采用模块化结构设计，可适应业务的发展需要，平滑增加各项数据中心运维管理相关的功能模块。</w:t>
      </w:r>
    </w:p>
    <w:p w14:paraId="287065E2">
      <w:pPr>
        <w:pStyle w:val="76"/>
        <w:ind w:hanging="567"/>
        <w:outlineLvl w:val="2"/>
      </w:pPr>
      <w:r>
        <w:rPr>
          <w:rFonts w:hint="eastAsia"/>
        </w:rPr>
        <w:t>扩容子系统集成</w:t>
      </w:r>
    </w:p>
    <w:p w14:paraId="7B014532">
      <w:pPr>
        <w:pStyle w:val="74"/>
        <w:ind w:left="181" w:leftChars="86" w:firstLine="720" w:firstLineChars="300"/>
        <w:jc w:val="left"/>
        <w:rPr>
          <w:rFonts w:ascii="宋体" w:hAnsi="宋体"/>
          <w:sz w:val="24"/>
          <w:szCs w:val="24"/>
        </w:rPr>
      </w:pPr>
      <w:r>
        <w:rPr>
          <w:rFonts w:hint="eastAsia" w:ascii="宋体" w:hAnsi="宋体"/>
          <w:sz w:val="24"/>
          <w:szCs w:val="24"/>
        </w:rPr>
        <w:t>本项目需要在</w:t>
      </w:r>
      <w:r>
        <w:rPr>
          <w:rFonts w:hint="eastAsia" w:ascii="宋体" w:hAnsi="宋体"/>
          <w:b/>
          <w:sz w:val="24"/>
          <w:szCs w:val="24"/>
        </w:rPr>
        <w:t>原有系统平台</w:t>
      </w:r>
      <w:r>
        <w:rPr>
          <w:rFonts w:hint="eastAsia" w:ascii="宋体" w:hAnsi="宋体"/>
          <w:sz w:val="24"/>
          <w:szCs w:val="24"/>
        </w:rPr>
        <w:t>实现整个数据中心的集中管理，实现与各个监控子系统对接，获取各个监控子系统的实时监控数据和告警数据等。各监控子系统开放标准协议以供动环监控系统对接，接口界面应标准化、通用化、规范化。</w:t>
      </w:r>
      <w:bookmarkStart w:id="2" w:name="_Hlk124430548"/>
      <w:r>
        <w:rPr>
          <w:rFonts w:hint="eastAsia" w:ascii="宋体" w:hAnsi="宋体"/>
          <w:sz w:val="24"/>
          <w:szCs w:val="24"/>
        </w:rPr>
        <w:t>动环监控系统与各监控子系统的集成框图应参考如下所示。</w:t>
      </w:r>
    </w:p>
    <w:p w14:paraId="7AC894E8">
      <w:pPr>
        <w:pStyle w:val="74"/>
        <w:ind w:left="181" w:leftChars="86"/>
        <w:jc w:val="left"/>
        <w:rPr>
          <w:rFonts w:ascii="宋体" w:hAnsi="宋体"/>
          <w:sz w:val="24"/>
          <w:szCs w:val="24"/>
        </w:rPr>
      </w:pPr>
      <w:r>
        <w:rPr>
          <w:rFonts w:ascii="宋体" w:hAnsi="宋体"/>
          <w:sz w:val="24"/>
          <w:szCs w:val="24"/>
        </w:rPr>
        <w:drawing>
          <wp:inline distT="0" distB="0" distL="0" distR="0">
            <wp:extent cx="5486400" cy="1550035"/>
            <wp:effectExtent l="38100" t="0" r="19050" b="0"/>
            <wp:docPr id="5" name="图示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bookmarkEnd w:id="2"/>
    <w:p w14:paraId="7C059152">
      <w:pPr>
        <w:ind w:left="181" w:leftChars="86" w:firstLine="960" w:firstLineChars="400"/>
        <w:jc w:val="left"/>
        <w:rPr>
          <w:rFonts w:ascii="宋体" w:hAnsi="宋体"/>
          <w:sz w:val="24"/>
          <w:szCs w:val="24"/>
        </w:rPr>
      </w:pPr>
      <w:r>
        <w:rPr>
          <w:rFonts w:hint="eastAsia" w:ascii="宋体" w:hAnsi="宋体"/>
          <w:sz w:val="24"/>
          <w:szCs w:val="24"/>
        </w:rPr>
        <w:t>本次项目动环监控系统扩容需要对设备专项监控系统（微模块动环、蓄电池监控等）、电力监控系统、BA系统、消防系统等子系统进行集成监控管理，实现对机房变配电、暖通及消防系统的监控。具体对接要求及各子系统开放的协议如下。</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1843"/>
        <w:gridCol w:w="5387"/>
      </w:tblGrid>
      <w:tr w14:paraId="07FB7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96" w:type="dxa"/>
            <w:tcBorders>
              <w:top w:val="single" w:color="auto" w:sz="4" w:space="0"/>
              <w:left w:val="single" w:color="auto" w:sz="4" w:space="0"/>
              <w:bottom w:val="single" w:color="auto" w:sz="4" w:space="0"/>
              <w:right w:val="single" w:color="auto" w:sz="4" w:space="0"/>
            </w:tcBorders>
          </w:tcPr>
          <w:p w14:paraId="7CA4FF88">
            <w:pPr>
              <w:pStyle w:val="12"/>
              <w:spacing w:line="360" w:lineRule="auto"/>
              <w:ind w:left="181" w:leftChars="86" w:firstLine="0" w:firstLineChars="0"/>
              <w:rPr>
                <w:rFonts w:ascii="宋体" w:hAnsi="宋体"/>
                <w:b/>
                <w:sz w:val="24"/>
              </w:rPr>
            </w:pPr>
            <w:r>
              <w:rPr>
                <w:rFonts w:hint="eastAsia" w:ascii="宋体" w:hAnsi="宋体"/>
                <w:b/>
                <w:sz w:val="24"/>
              </w:rPr>
              <w:t>子系统</w:t>
            </w:r>
          </w:p>
        </w:tc>
        <w:tc>
          <w:tcPr>
            <w:tcW w:w="1843" w:type="dxa"/>
            <w:tcBorders>
              <w:top w:val="single" w:color="auto" w:sz="4" w:space="0"/>
              <w:left w:val="single" w:color="auto" w:sz="4" w:space="0"/>
              <w:bottom w:val="single" w:color="auto" w:sz="4" w:space="0"/>
              <w:right w:val="single" w:color="auto" w:sz="4" w:space="0"/>
            </w:tcBorders>
          </w:tcPr>
          <w:p w14:paraId="60EBF146">
            <w:pPr>
              <w:pStyle w:val="12"/>
              <w:spacing w:line="360" w:lineRule="auto"/>
              <w:ind w:left="181" w:leftChars="86" w:firstLine="0" w:firstLineChars="0"/>
              <w:rPr>
                <w:rFonts w:ascii="宋体" w:hAnsi="宋体"/>
                <w:b/>
                <w:sz w:val="24"/>
              </w:rPr>
            </w:pPr>
            <w:r>
              <w:rPr>
                <w:rFonts w:hint="eastAsia" w:ascii="宋体" w:hAnsi="宋体"/>
                <w:b/>
                <w:sz w:val="24"/>
              </w:rPr>
              <w:t>协议类型</w:t>
            </w:r>
          </w:p>
        </w:tc>
        <w:tc>
          <w:tcPr>
            <w:tcW w:w="5387" w:type="dxa"/>
            <w:tcBorders>
              <w:top w:val="single" w:color="auto" w:sz="4" w:space="0"/>
              <w:left w:val="single" w:color="auto" w:sz="4" w:space="0"/>
              <w:bottom w:val="single" w:color="auto" w:sz="4" w:space="0"/>
              <w:right w:val="single" w:color="auto" w:sz="4" w:space="0"/>
            </w:tcBorders>
          </w:tcPr>
          <w:p w14:paraId="569407C9">
            <w:pPr>
              <w:pStyle w:val="12"/>
              <w:spacing w:line="360" w:lineRule="auto"/>
              <w:ind w:left="181" w:leftChars="86" w:firstLine="0" w:firstLineChars="0"/>
              <w:rPr>
                <w:rFonts w:ascii="宋体" w:hAnsi="宋体"/>
                <w:b/>
                <w:sz w:val="24"/>
              </w:rPr>
            </w:pPr>
            <w:r>
              <w:rPr>
                <w:rFonts w:hint="eastAsia" w:ascii="宋体" w:hAnsi="宋体"/>
                <w:b/>
                <w:sz w:val="24"/>
              </w:rPr>
              <w:t>对接要求</w:t>
            </w:r>
          </w:p>
        </w:tc>
      </w:tr>
      <w:tr w14:paraId="5926D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Borders>
              <w:top w:val="single" w:color="auto" w:sz="4" w:space="0"/>
              <w:left w:val="single" w:color="auto" w:sz="4" w:space="0"/>
              <w:bottom w:val="single" w:color="auto" w:sz="4" w:space="0"/>
              <w:right w:val="single" w:color="auto" w:sz="4" w:space="0"/>
            </w:tcBorders>
          </w:tcPr>
          <w:p w14:paraId="5654C839">
            <w:pPr>
              <w:pStyle w:val="12"/>
              <w:widowControl w:val="0"/>
              <w:spacing w:line="360" w:lineRule="auto"/>
              <w:ind w:left="181" w:leftChars="86" w:firstLine="0" w:firstLineChars="0"/>
              <w:jc w:val="center"/>
              <w:rPr>
                <w:rFonts w:ascii="宋体" w:hAnsi="宋体"/>
                <w:sz w:val="24"/>
              </w:rPr>
            </w:pPr>
            <w:r>
              <w:rPr>
                <w:rFonts w:hint="eastAsia" w:ascii="宋体" w:hAnsi="宋体"/>
                <w:sz w:val="24"/>
              </w:rPr>
              <w:t>设备专项监控系统（微模块动环、蓄电池监控等）</w:t>
            </w:r>
          </w:p>
        </w:tc>
        <w:tc>
          <w:tcPr>
            <w:tcW w:w="1843" w:type="dxa"/>
            <w:tcBorders>
              <w:top w:val="single" w:color="auto" w:sz="4" w:space="0"/>
              <w:left w:val="single" w:color="auto" w:sz="4" w:space="0"/>
              <w:bottom w:val="single" w:color="auto" w:sz="4" w:space="0"/>
              <w:right w:val="single" w:color="auto" w:sz="4" w:space="0"/>
            </w:tcBorders>
          </w:tcPr>
          <w:p w14:paraId="0D921910">
            <w:pPr>
              <w:pStyle w:val="12"/>
              <w:spacing w:line="360" w:lineRule="auto"/>
              <w:ind w:left="181" w:leftChars="86" w:firstLine="0" w:firstLineChars="0"/>
              <w:jc w:val="center"/>
              <w:rPr>
                <w:rFonts w:ascii="宋体" w:hAnsi="宋体"/>
                <w:sz w:val="24"/>
              </w:rPr>
            </w:pPr>
            <w:r>
              <w:rPr>
                <w:rFonts w:hint="eastAsia" w:ascii="宋体" w:hAnsi="宋体"/>
                <w:sz w:val="24"/>
              </w:rPr>
              <w:t>SNMP/Modbus</w:t>
            </w:r>
          </w:p>
        </w:tc>
        <w:tc>
          <w:tcPr>
            <w:tcW w:w="5387" w:type="dxa"/>
            <w:tcBorders>
              <w:top w:val="single" w:color="auto" w:sz="4" w:space="0"/>
              <w:left w:val="single" w:color="auto" w:sz="4" w:space="0"/>
              <w:bottom w:val="single" w:color="auto" w:sz="4" w:space="0"/>
              <w:right w:val="single" w:color="auto" w:sz="4" w:space="0"/>
            </w:tcBorders>
          </w:tcPr>
          <w:p w14:paraId="38D832EF">
            <w:pPr>
              <w:pStyle w:val="12"/>
              <w:spacing w:line="360" w:lineRule="auto"/>
              <w:ind w:left="181" w:leftChars="86" w:firstLine="0" w:firstLineChars="0"/>
              <w:rPr>
                <w:rFonts w:ascii="宋体" w:hAnsi="宋体"/>
                <w:sz w:val="24"/>
              </w:rPr>
            </w:pPr>
            <w:r>
              <w:rPr>
                <w:rFonts w:hint="eastAsia" w:ascii="宋体" w:hAnsi="宋体"/>
                <w:sz w:val="24"/>
              </w:rPr>
              <w:t>实时监测微模块、蓄电池等设备运行参数、状态及报警情况。同时在原有动环监控系统上提供统一监控页面和集中告警处理等功能。</w:t>
            </w:r>
          </w:p>
        </w:tc>
      </w:tr>
      <w:tr w14:paraId="088D5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Borders>
              <w:top w:val="single" w:color="auto" w:sz="4" w:space="0"/>
              <w:left w:val="single" w:color="auto" w:sz="4" w:space="0"/>
              <w:bottom w:val="single" w:color="auto" w:sz="4" w:space="0"/>
              <w:right w:val="single" w:color="auto" w:sz="4" w:space="0"/>
            </w:tcBorders>
          </w:tcPr>
          <w:p w14:paraId="42012C32">
            <w:pPr>
              <w:pStyle w:val="12"/>
              <w:spacing w:line="360" w:lineRule="auto"/>
              <w:ind w:left="181" w:leftChars="86" w:firstLine="0" w:firstLineChars="0"/>
              <w:jc w:val="center"/>
              <w:rPr>
                <w:rFonts w:ascii="宋体" w:hAnsi="宋体"/>
                <w:sz w:val="24"/>
              </w:rPr>
            </w:pPr>
            <w:r>
              <w:rPr>
                <w:rFonts w:hint="eastAsia" w:ascii="宋体" w:hAnsi="宋体"/>
                <w:spacing w:val="4"/>
                <w:sz w:val="24"/>
              </w:rPr>
              <w:t>电力监控系统</w:t>
            </w:r>
          </w:p>
        </w:tc>
        <w:tc>
          <w:tcPr>
            <w:tcW w:w="1843" w:type="dxa"/>
            <w:tcBorders>
              <w:top w:val="single" w:color="auto" w:sz="4" w:space="0"/>
              <w:left w:val="single" w:color="auto" w:sz="4" w:space="0"/>
              <w:bottom w:val="single" w:color="auto" w:sz="4" w:space="0"/>
              <w:right w:val="single" w:color="auto" w:sz="4" w:space="0"/>
            </w:tcBorders>
          </w:tcPr>
          <w:p w14:paraId="42095F9E">
            <w:pPr>
              <w:pStyle w:val="12"/>
              <w:spacing w:line="360" w:lineRule="auto"/>
              <w:ind w:left="181" w:leftChars="86" w:firstLine="0" w:firstLineChars="0"/>
              <w:jc w:val="center"/>
              <w:rPr>
                <w:rFonts w:ascii="宋体" w:hAnsi="宋体"/>
                <w:sz w:val="24"/>
              </w:rPr>
            </w:pPr>
            <w:r>
              <w:rPr>
                <w:rFonts w:hint="eastAsia" w:ascii="宋体" w:hAnsi="宋体"/>
                <w:sz w:val="24"/>
              </w:rPr>
              <w:t>SNMP/Modbus</w:t>
            </w:r>
          </w:p>
        </w:tc>
        <w:tc>
          <w:tcPr>
            <w:tcW w:w="5387" w:type="dxa"/>
            <w:tcBorders>
              <w:top w:val="single" w:color="auto" w:sz="4" w:space="0"/>
              <w:left w:val="single" w:color="auto" w:sz="4" w:space="0"/>
              <w:bottom w:val="single" w:color="auto" w:sz="4" w:space="0"/>
              <w:right w:val="single" w:color="auto" w:sz="4" w:space="0"/>
            </w:tcBorders>
          </w:tcPr>
          <w:p w14:paraId="7CA607FC">
            <w:pPr>
              <w:pStyle w:val="12"/>
              <w:spacing w:line="360" w:lineRule="auto"/>
              <w:ind w:left="181" w:leftChars="86" w:firstLine="0" w:firstLineChars="0"/>
              <w:rPr>
                <w:rFonts w:ascii="宋体" w:hAnsi="宋体"/>
                <w:sz w:val="24"/>
              </w:rPr>
            </w:pPr>
            <w:r>
              <w:rPr>
                <w:rFonts w:hint="eastAsia" w:ascii="宋体" w:hAnsi="宋体"/>
                <w:sz w:val="24"/>
              </w:rPr>
              <w:t>本次项目要求将电力监控系统集成到原有动环监控系统，实现实时监测变配电系统所提供的运行参数、各部件状态及报警情况。同时记录存储告警事件，并以手机短信、邮件等形式推送告警信息。</w:t>
            </w:r>
          </w:p>
        </w:tc>
      </w:tr>
      <w:tr w14:paraId="76E6C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Borders>
              <w:top w:val="single" w:color="auto" w:sz="4" w:space="0"/>
              <w:left w:val="single" w:color="auto" w:sz="4" w:space="0"/>
              <w:bottom w:val="single" w:color="auto" w:sz="4" w:space="0"/>
              <w:right w:val="single" w:color="auto" w:sz="4" w:space="0"/>
            </w:tcBorders>
          </w:tcPr>
          <w:p w14:paraId="2FA8F6AD">
            <w:pPr>
              <w:pStyle w:val="12"/>
              <w:spacing w:line="360" w:lineRule="auto"/>
              <w:ind w:left="181" w:leftChars="86" w:firstLine="480"/>
              <w:rPr>
                <w:rFonts w:ascii="宋体" w:hAnsi="宋体"/>
                <w:sz w:val="24"/>
              </w:rPr>
            </w:pPr>
            <w:r>
              <w:rPr>
                <w:rFonts w:hint="eastAsia" w:ascii="宋体" w:hAnsi="宋体"/>
                <w:sz w:val="24"/>
              </w:rPr>
              <w:t>BA系统</w:t>
            </w:r>
          </w:p>
        </w:tc>
        <w:tc>
          <w:tcPr>
            <w:tcW w:w="1843" w:type="dxa"/>
            <w:tcBorders>
              <w:top w:val="single" w:color="auto" w:sz="4" w:space="0"/>
              <w:left w:val="single" w:color="auto" w:sz="4" w:space="0"/>
              <w:bottom w:val="single" w:color="auto" w:sz="4" w:space="0"/>
              <w:right w:val="single" w:color="auto" w:sz="4" w:space="0"/>
            </w:tcBorders>
          </w:tcPr>
          <w:p w14:paraId="000C14A8">
            <w:pPr>
              <w:pStyle w:val="12"/>
              <w:spacing w:line="360" w:lineRule="auto"/>
              <w:ind w:left="181" w:leftChars="86" w:firstLine="0" w:firstLineChars="0"/>
              <w:jc w:val="center"/>
              <w:rPr>
                <w:rFonts w:ascii="宋体" w:hAnsi="宋体"/>
                <w:sz w:val="24"/>
                <w:highlight w:val="red"/>
              </w:rPr>
            </w:pPr>
            <w:r>
              <w:rPr>
                <w:rFonts w:hint="eastAsia" w:ascii="宋体" w:hAnsi="宋体"/>
                <w:sz w:val="24"/>
              </w:rPr>
              <w:t>BACnet/ Modbus</w:t>
            </w:r>
          </w:p>
        </w:tc>
        <w:tc>
          <w:tcPr>
            <w:tcW w:w="5387" w:type="dxa"/>
            <w:tcBorders>
              <w:top w:val="single" w:color="auto" w:sz="4" w:space="0"/>
              <w:left w:val="single" w:color="auto" w:sz="4" w:space="0"/>
              <w:bottom w:val="single" w:color="auto" w:sz="4" w:space="0"/>
              <w:right w:val="single" w:color="auto" w:sz="4" w:space="0"/>
            </w:tcBorders>
          </w:tcPr>
          <w:p w14:paraId="6A812148">
            <w:pPr>
              <w:pStyle w:val="12"/>
              <w:spacing w:line="360" w:lineRule="auto"/>
              <w:ind w:left="181" w:leftChars="86" w:firstLine="0" w:firstLineChars="0"/>
              <w:rPr>
                <w:rFonts w:ascii="宋体" w:hAnsi="宋体"/>
                <w:sz w:val="24"/>
                <w:highlight w:val="red"/>
              </w:rPr>
            </w:pPr>
            <w:r>
              <w:rPr>
                <w:rFonts w:hint="eastAsia" w:ascii="宋体" w:hAnsi="宋体"/>
                <w:sz w:val="24"/>
              </w:rPr>
              <w:t>本次要求将冷机、板换、冷却塔、阀门等暖通系统设备监控系统集成到动环监控系统，实现实时监控设备运行参数、各部件状态及报警情况。</w:t>
            </w:r>
          </w:p>
        </w:tc>
      </w:tr>
      <w:tr w14:paraId="4F2A0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Borders>
              <w:top w:val="single" w:color="auto" w:sz="4" w:space="0"/>
              <w:left w:val="single" w:color="auto" w:sz="4" w:space="0"/>
              <w:bottom w:val="single" w:color="auto" w:sz="4" w:space="0"/>
              <w:right w:val="single" w:color="auto" w:sz="4" w:space="0"/>
            </w:tcBorders>
          </w:tcPr>
          <w:p w14:paraId="0E587549">
            <w:pPr>
              <w:pStyle w:val="12"/>
              <w:spacing w:line="360" w:lineRule="auto"/>
              <w:ind w:left="181" w:leftChars="86" w:firstLine="0" w:firstLineChars="0"/>
              <w:jc w:val="center"/>
              <w:rPr>
                <w:rFonts w:ascii="宋体" w:hAnsi="宋体"/>
                <w:sz w:val="24"/>
              </w:rPr>
            </w:pPr>
            <w:r>
              <w:rPr>
                <w:rFonts w:hint="eastAsia" w:ascii="宋体" w:hAnsi="宋体"/>
                <w:sz w:val="24"/>
              </w:rPr>
              <w:t>消防系统</w:t>
            </w:r>
          </w:p>
        </w:tc>
        <w:tc>
          <w:tcPr>
            <w:tcW w:w="1843" w:type="dxa"/>
            <w:tcBorders>
              <w:top w:val="single" w:color="auto" w:sz="4" w:space="0"/>
              <w:left w:val="single" w:color="auto" w:sz="4" w:space="0"/>
              <w:bottom w:val="single" w:color="auto" w:sz="4" w:space="0"/>
              <w:right w:val="single" w:color="auto" w:sz="4" w:space="0"/>
            </w:tcBorders>
          </w:tcPr>
          <w:p w14:paraId="729831E1">
            <w:pPr>
              <w:pStyle w:val="12"/>
              <w:spacing w:line="360" w:lineRule="auto"/>
              <w:ind w:left="181" w:leftChars="86" w:firstLine="0" w:firstLineChars="0"/>
              <w:jc w:val="center"/>
              <w:rPr>
                <w:rFonts w:ascii="宋体" w:hAnsi="宋体"/>
                <w:sz w:val="24"/>
              </w:rPr>
            </w:pPr>
            <w:r>
              <w:rPr>
                <w:rFonts w:hint="eastAsia" w:ascii="宋体" w:hAnsi="宋体"/>
                <w:sz w:val="24"/>
              </w:rPr>
              <w:t>干接点/ Modbus</w:t>
            </w:r>
          </w:p>
        </w:tc>
        <w:tc>
          <w:tcPr>
            <w:tcW w:w="5387" w:type="dxa"/>
            <w:tcBorders>
              <w:top w:val="single" w:color="auto" w:sz="4" w:space="0"/>
              <w:left w:val="single" w:color="auto" w:sz="4" w:space="0"/>
              <w:bottom w:val="single" w:color="auto" w:sz="4" w:space="0"/>
              <w:right w:val="single" w:color="auto" w:sz="4" w:space="0"/>
            </w:tcBorders>
          </w:tcPr>
          <w:p w14:paraId="53BE8610">
            <w:pPr>
              <w:pStyle w:val="12"/>
              <w:spacing w:line="360" w:lineRule="auto"/>
              <w:ind w:left="181" w:leftChars="86" w:firstLine="0" w:firstLineChars="0"/>
              <w:rPr>
                <w:rFonts w:ascii="宋体" w:hAnsi="宋体"/>
                <w:sz w:val="24"/>
              </w:rPr>
            </w:pPr>
            <w:r>
              <w:rPr>
                <w:rFonts w:hint="eastAsia" w:ascii="宋体" w:hAnsi="宋体"/>
                <w:sz w:val="24"/>
              </w:rPr>
              <w:t>本次要求将消防系统集成到原有动环监控系统，实现实时获取消防告警信息，并辅助发出报警信息。</w:t>
            </w:r>
          </w:p>
        </w:tc>
      </w:tr>
    </w:tbl>
    <w:p w14:paraId="0E38C7E8">
      <w:pPr>
        <w:pStyle w:val="76"/>
        <w:outlineLvl w:val="2"/>
      </w:pPr>
      <w:r>
        <w:rPr>
          <w:rFonts w:hint="eastAsia"/>
        </w:rPr>
        <w:t>设施监控</w:t>
      </w:r>
    </w:p>
    <w:p w14:paraId="34380F5C">
      <w:pPr>
        <w:ind w:firstLine="420" w:firstLineChars="200"/>
        <w:rPr>
          <w:rFonts w:ascii="宋体" w:hAnsi="宋体"/>
        </w:rPr>
      </w:pPr>
      <w:r>
        <w:rPr>
          <w:rFonts w:hint="eastAsia" w:ascii="宋体" w:hAnsi="宋体"/>
        </w:rPr>
        <w:t>设施监控是数据中心管理与控制的基础，监测得越全面，管理可以越精细、控制越有效。所以监测信息需要足够覆盖，以满足管理与控制的需要。为减少信息孤岛，避免重复建设，降低维护与分期建设及升级难度，除法规规定需要独立的或功能上比较独立与其它系统信息交互较少的子系统如消防系统、安防系统等外，应尽量减少独立监控子系统。</w:t>
      </w:r>
    </w:p>
    <w:p w14:paraId="637CD1EA">
      <w:pPr>
        <w:ind w:firstLine="420" w:firstLineChars="200"/>
        <w:rPr>
          <w:rFonts w:ascii="宋体" w:hAnsi="宋体"/>
        </w:rPr>
      </w:pPr>
      <w:r>
        <w:rPr>
          <w:rFonts w:hint="eastAsia" w:ascii="宋体" w:hAnsi="宋体"/>
        </w:rPr>
        <w:t>设施监控范围及主要检测内容包括但不限于：</w:t>
      </w:r>
    </w:p>
    <w:tbl>
      <w:tblPr>
        <w:tblStyle w:val="23"/>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8"/>
        <w:gridCol w:w="7516"/>
      </w:tblGrid>
      <w:tr w14:paraId="0368A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939" w:type="pct"/>
            <w:vAlign w:val="center"/>
          </w:tcPr>
          <w:p w14:paraId="468DFC56">
            <w:pPr>
              <w:pStyle w:val="74"/>
              <w:ind w:left="181" w:leftChars="86"/>
              <w:jc w:val="left"/>
              <w:rPr>
                <w:rFonts w:ascii="宋体" w:hAnsi="宋体"/>
                <w:sz w:val="24"/>
                <w:szCs w:val="24"/>
              </w:rPr>
            </w:pPr>
            <w:r>
              <w:rPr>
                <w:rFonts w:hint="eastAsia" w:ascii="宋体" w:hAnsi="宋体"/>
                <w:sz w:val="24"/>
                <w:szCs w:val="24"/>
              </w:rPr>
              <w:t>监控对象</w:t>
            </w:r>
          </w:p>
        </w:tc>
        <w:tc>
          <w:tcPr>
            <w:tcW w:w="4061" w:type="pct"/>
            <w:vAlign w:val="center"/>
          </w:tcPr>
          <w:p w14:paraId="50165286">
            <w:pPr>
              <w:pStyle w:val="74"/>
              <w:ind w:left="181" w:leftChars="86"/>
              <w:jc w:val="left"/>
              <w:rPr>
                <w:rFonts w:ascii="宋体" w:hAnsi="宋体"/>
                <w:sz w:val="24"/>
                <w:szCs w:val="24"/>
              </w:rPr>
            </w:pPr>
            <w:r>
              <w:rPr>
                <w:rFonts w:hint="eastAsia" w:ascii="宋体" w:hAnsi="宋体"/>
                <w:sz w:val="24"/>
                <w:szCs w:val="24"/>
              </w:rPr>
              <w:t>监控内容</w:t>
            </w:r>
          </w:p>
        </w:tc>
      </w:tr>
      <w:tr w14:paraId="0343F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pct"/>
            <w:vAlign w:val="center"/>
          </w:tcPr>
          <w:p w14:paraId="619B8D95">
            <w:pPr>
              <w:pStyle w:val="74"/>
              <w:ind w:left="181" w:leftChars="86"/>
              <w:jc w:val="left"/>
              <w:rPr>
                <w:rFonts w:ascii="宋体" w:hAnsi="宋体"/>
                <w:sz w:val="24"/>
                <w:szCs w:val="24"/>
              </w:rPr>
            </w:pPr>
            <w:r>
              <w:rPr>
                <w:rFonts w:hint="eastAsia" w:ascii="宋体" w:hAnsi="宋体"/>
                <w:sz w:val="24"/>
                <w:szCs w:val="24"/>
              </w:rPr>
              <w:t>配电柜</w:t>
            </w:r>
          </w:p>
        </w:tc>
        <w:tc>
          <w:tcPr>
            <w:tcW w:w="4061" w:type="pct"/>
            <w:vAlign w:val="center"/>
          </w:tcPr>
          <w:p w14:paraId="27938A90">
            <w:pPr>
              <w:pStyle w:val="74"/>
              <w:ind w:left="181" w:leftChars="86"/>
              <w:jc w:val="left"/>
              <w:rPr>
                <w:rFonts w:ascii="宋体" w:hAnsi="宋体"/>
                <w:sz w:val="24"/>
                <w:szCs w:val="24"/>
              </w:rPr>
            </w:pPr>
            <w:r>
              <w:rPr>
                <w:rFonts w:hint="eastAsia" w:ascii="宋体" w:hAnsi="宋体"/>
                <w:sz w:val="24"/>
                <w:szCs w:val="24"/>
              </w:rPr>
              <w:t>输入频率F（Hz）、相电压、线电压、电流、有功电度、无功电度，输出相电压、线电压、电流、无功电度、有功电度，有功功率、无功功率、功率因数、零序电压等参数</w:t>
            </w:r>
          </w:p>
          <w:p w14:paraId="62376C56">
            <w:pPr>
              <w:pStyle w:val="74"/>
              <w:ind w:left="181" w:leftChars="86"/>
              <w:jc w:val="left"/>
              <w:rPr>
                <w:rFonts w:ascii="宋体" w:hAnsi="宋体"/>
                <w:sz w:val="24"/>
                <w:szCs w:val="24"/>
              </w:rPr>
            </w:pPr>
            <w:r>
              <w:rPr>
                <w:rFonts w:hint="eastAsia" w:ascii="宋体" w:hAnsi="宋体"/>
                <w:sz w:val="24"/>
                <w:szCs w:val="24"/>
              </w:rPr>
              <w:t>断路器的分、合等状态</w:t>
            </w:r>
          </w:p>
        </w:tc>
      </w:tr>
      <w:tr w14:paraId="4EAC9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pct"/>
            <w:vAlign w:val="center"/>
          </w:tcPr>
          <w:p w14:paraId="6180CEC2">
            <w:pPr>
              <w:pStyle w:val="74"/>
              <w:ind w:left="181" w:leftChars="86"/>
              <w:jc w:val="left"/>
              <w:rPr>
                <w:rFonts w:ascii="宋体" w:hAnsi="宋体"/>
                <w:sz w:val="24"/>
                <w:szCs w:val="24"/>
              </w:rPr>
            </w:pPr>
            <w:r>
              <w:rPr>
                <w:rFonts w:hint="eastAsia" w:ascii="宋体" w:hAnsi="宋体"/>
                <w:sz w:val="24"/>
                <w:szCs w:val="24"/>
              </w:rPr>
              <w:t>UPS输入柜</w:t>
            </w:r>
          </w:p>
        </w:tc>
        <w:tc>
          <w:tcPr>
            <w:tcW w:w="4061" w:type="pct"/>
            <w:vAlign w:val="center"/>
          </w:tcPr>
          <w:p w14:paraId="2588C372">
            <w:pPr>
              <w:pStyle w:val="74"/>
              <w:ind w:left="181" w:leftChars="86"/>
              <w:jc w:val="left"/>
              <w:rPr>
                <w:rFonts w:ascii="宋体" w:hAnsi="宋体"/>
                <w:sz w:val="24"/>
                <w:szCs w:val="24"/>
              </w:rPr>
            </w:pPr>
            <w:r>
              <w:rPr>
                <w:rFonts w:hint="eastAsia" w:ascii="宋体" w:hAnsi="宋体"/>
                <w:sz w:val="24"/>
                <w:szCs w:val="24"/>
              </w:rPr>
              <w:t>相电压、线电压、电流、输出功率等参数</w:t>
            </w:r>
          </w:p>
          <w:p w14:paraId="0ABEA42A">
            <w:pPr>
              <w:pStyle w:val="74"/>
              <w:ind w:left="181" w:leftChars="86"/>
              <w:jc w:val="left"/>
              <w:rPr>
                <w:rFonts w:ascii="宋体" w:hAnsi="宋体"/>
                <w:sz w:val="24"/>
                <w:szCs w:val="24"/>
              </w:rPr>
            </w:pPr>
            <w:r>
              <w:rPr>
                <w:rFonts w:hint="eastAsia" w:ascii="宋体" w:hAnsi="宋体"/>
                <w:sz w:val="24"/>
                <w:szCs w:val="24"/>
              </w:rPr>
              <w:t>开关分合状态、开关脱扣状态、三相过流报警、三相缺相报警、三相过、欠压报警等状态</w:t>
            </w:r>
          </w:p>
        </w:tc>
      </w:tr>
      <w:tr w14:paraId="60998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pct"/>
            <w:vAlign w:val="center"/>
          </w:tcPr>
          <w:p w14:paraId="4E54FEA8">
            <w:pPr>
              <w:pStyle w:val="74"/>
              <w:ind w:left="181" w:leftChars="86"/>
              <w:jc w:val="left"/>
              <w:rPr>
                <w:rFonts w:ascii="宋体" w:hAnsi="宋体"/>
                <w:sz w:val="24"/>
                <w:szCs w:val="24"/>
              </w:rPr>
            </w:pPr>
            <w:r>
              <w:rPr>
                <w:rFonts w:hint="eastAsia" w:ascii="宋体" w:hAnsi="宋体"/>
                <w:sz w:val="24"/>
                <w:szCs w:val="24"/>
              </w:rPr>
              <w:t>UPS</w:t>
            </w:r>
          </w:p>
        </w:tc>
        <w:tc>
          <w:tcPr>
            <w:tcW w:w="4061" w:type="pct"/>
            <w:vAlign w:val="center"/>
          </w:tcPr>
          <w:p w14:paraId="2DBA569D">
            <w:pPr>
              <w:pStyle w:val="74"/>
              <w:ind w:left="181" w:leftChars="86"/>
              <w:jc w:val="left"/>
              <w:rPr>
                <w:rFonts w:ascii="宋体" w:hAnsi="宋体"/>
                <w:sz w:val="24"/>
                <w:szCs w:val="24"/>
              </w:rPr>
            </w:pPr>
            <w:r>
              <w:rPr>
                <w:rFonts w:hint="eastAsia" w:ascii="宋体" w:hAnsi="宋体"/>
                <w:sz w:val="24"/>
                <w:szCs w:val="24"/>
              </w:rPr>
              <w:t>监测UPS的输入相电压、输出相电压、旁路相电压、输入相电流、输出相电流、输入线电流、输出线电流、旁路相电流、输入线电压、输出线电压、输入功率、输出功率、负载率、功率因素、有功功率、峰值比等。</w:t>
            </w:r>
          </w:p>
        </w:tc>
      </w:tr>
      <w:tr w14:paraId="25CE9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pct"/>
            <w:vAlign w:val="center"/>
          </w:tcPr>
          <w:p w14:paraId="7CFE50BF">
            <w:pPr>
              <w:pStyle w:val="74"/>
              <w:ind w:left="181" w:leftChars="86"/>
              <w:jc w:val="left"/>
              <w:rPr>
                <w:rFonts w:ascii="宋体" w:hAnsi="宋体"/>
                <w:sz w:val="24"/>
                <w:szCs w:val="24"/>
              </w:rPr>
            </w:pPr>
            <w:r>
              <w:rPr>
                <w:rFonts w:hint="eastAsia" w:ascii="宋体" w:hAnsi="宋体"/>
                <w:sz w:val="24"/>
                <w:szCs w:val="24"/>
              </w:rPr>
              <w:t>UPS输出柜</w:t>
            </w:r>
          </w:p>
        </w:tc>
        <w:tc>
          <w:tcPr>
            <w:tcW w:w="4061" w:type="pct"/>
            <w:vAlign w:val="center"/>
          </w:tcPr>
          <w:p w14:paraId="436CAE51">
            <w:pPr>
              <w:pStyle w:val="74"/>
              <w:ind w:left="181" w:leftChars="86"/>
              <w:jc w:val="left"/>
              <w:rPr>
                <w:rFonts w:ascii="宋体" w:hAnsi="宋体"/>
                <w:sz w:val="24"/>
                <w:szCs w:val="24"/>
              </w:rPr>
            </w:pPr>
            <w:r>
              <w:rPr>
                <w:rFonts w:hint="eastAsia" w:ascii="宋体" w:hAnsi="宋体"/>
                <w:sz w:val="24"/>
                <w:szCs w:val="24"/>
              </w:rPr>
              <w:t>相电压、线电压、电流、输出功率等参数</w:t>
            </w:r>
          </w:p>
          <w:p w14:paraId="3B6827E0">
            <w:pPr>
              <w:pStyle w:val="74"/>
              <w:ind w:left="181" w:leftChars="86"/>
              <w:jc w:val="left"/>
              <w:rPr>
                <w:rFonts w:ascii="宋体" w:hAnsi="宋体"/>
                <w:sz w:val="24"/>
                <w:szCs w:val="24"/>
              </w:rPr>
            </w:pPr>
            <w:r>
              <w:rPr>
                <w:rFonts w:hint="eastAsia" w:ascii="宋体" w:hAnsi="宋体"/>
                <w:sz w:val="24"/>
                <w:szCs w:val="24"/>
              </w:rPr>
              <w:t>开关分合状态、开关脱扣状态、三相过流报警、三相缺相报警、三相过、欠压报警等状态</w:t>
            </w:r>
          </w:p>
        </w:tc>
      </w:tr>
      <w:tr w14:paraId="0806A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pct"/>
            <w:vAlign w:val="center"/>
          </w:tcPr>
          <w:p w14:paraId="026B21E3">
            <w:pPr>
              <w:pStyle w:val="74"/>
              <w:ind w:left="181" w:leftChars="86"/>
              <w:jc w:val="left"/>
              <w:rPr>
                <w:rFonts w:ascii="宋体" w:hAnsi="宋体"/>
                <w:sz w:val="24"/>
                <w:szCs w:val="24"/>
              </w:rPr>
            </w:pPr>
            <w:r>
              <w:rPr>
                <w:rFonts w:hint="eastAsia" w:ascii="宋体" w:hAnsi="宋体"/>
                <w:sz w:val="24"/>
                <w:szCs w:val="24"/>
              </w:rPr>
              <w:t>蓄电池组</w:t>
            </w:r>
          </w:p>
        </w:tc>
        <w:tc>
          <w:tcPr>
            <w:tcW w:w="4061" w:type="pct"/>
            <w:vAlign w:val="center"/>
          </w:tcPr>
          <w:p w14:paraId="62FFBD1B">
            <w:pPr>
              <w:pStyle w:val="74"/>
              <w:ind w:left="181" w:leftChars="86"/>
              <w:jc w:val="left"/>
              <w:rPr>
                <w:rFonts w:ascii="宋体" w:hAnsi="宋体"/>
                <w:sz w:val="24"/>
                <w:szCs w:val="24"/>
              </w:rPr>
            </w:pPr>
            <w:r>
              <w:rPr>
                <w:rFonts w:hint="eastAsia" w:ascii="宋体" w:hAnsi="宋体"/>
                <w:sz w:val="24"/>
                <w:szCs w:val="24"/>
              </w:rPr>
              <w:t>蓄电池组总电压、单体电压、采样温度、充放电电流等参数</w:t>
            </w:r>
          </w:p>
        </w:tc>
      </w:tr>
      <w:tr w14:paraId="41D43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pct"/>
            <w:vAlign w:val="center"/>
          </w:tcPr>
          <w:p w14:paraId="01F9B830">
            <w:pPr>
              <w:pStyle w:val="74"/>
              <w:ind w:left="181" w:leftChars="86"/>
              <w:jc w:val="left"/>
              <w:rPr>
                <w:rFonts w:ascii="宋体" w:hAnsi="宋体"/>
                <w:sz w:val="24"/>
                <w:szCs w:val="24"/>
              </w:rPr>
            </w:pPr>
            <w:r>
              <w:rPr>
                <w:rFonts w:hint="eastAsia" w:ascii="宋体" w:hAnsi="宋体"/>
                <w:sz w:val="24"/>
                <w:szCs w:val="24"/>
              </w:rPr>
              <w:t>精密配电柜</w:t>
            </w:r>
          </w:p>
        </w:tc>
        <w:tc>
          <w:tcPr>
            <w:tcW w:w="4061" w:type="pct"/>
            <w:vAlign w:val="center"/>
          </w:tcPr>
          <w:p w14:paraId="641BAAB4">
            <w:pPr>
              <w:pStyle w:val="74"/>
              <w:ind w:left="181" w:leftChars="86"/>
              <w:jc w:val="left"/>
              <w:rPr>
                <w:rFonts w:ascii="宋体" w:hAnsi="宋体"/>
                <w:sz w:val="24"/>
                <w:szCs w:val="24"/>
              </w:rPr>
            </w:pPr>
            <w:r>
              <w:rPr>
                <w:rFonts w:hint="eastAsia" w:ascii="宋体" w:hAnsi="宋体"/>
                <w:sz w:val="24"/>
                <w:szCs w:val="24"/>
              </w:rPr>
              <w:t>相电压、线电压、电流、输出功率等参数</w:t>
            </w:r>
          </w:p>
          <w:p w14:paraId="1470AE1C">
            <w:pPr>
              <w:pStyle w:val="74"/>
              <w:ind w:left="181" w:leftChars="86"/>
              <w:jc w:val="left"/>
              <w:rPr>
                <w:rFonts w:ascii="宋体" w:hAnsi="宋体"/>
                <w:sz w:val="24"/>
                <w:szCs w:val="24"/>
              </w:rPr>
            </w:pPr>
            <w:r>
              <w:rPr>
                <w:rFonts w:hint="eastAsia" w:ascii="宋体" w:hAnsi="宋体"/>
                <w:sz w:val="24"/>
                <w:szCs w:val="24"/>
              </w:rPr>
              <w:t>开关分合状态、开关脱扣状态、三相过流报警、三相缺相报警、三相过、欠压报警等状态</w:t>
            </w:r>
          </w:p>
        </w:tc>
      </w:tr>
      <w:tr w14:paraId="2149B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pct"/>
            <w:vAlign w:val="center"/>
          </w:tcPr>
          <w:p w14:paraId="052F1333">
            <w:pPr>
              <w:pStyle w:val="74"/>
              <w:ind w:left="181" w:leftChars="86"/>
              <w:jc w:val="left"/>
              <w:rPr>
                <w:rFonts w:ascii="宋体" w:hAnsi="宋体"/>
                <w:sz w:val="24"/>
                <w:szCs w:val="24"/>
              </w:rPr>
            </w:pPr>
            <w:r>
              <w:rPr>
                <w:rFonts w:hint="eastAsia" w:ascii="宋体" w:hAnsi="宋体"/>
                <w:sz w:val="24"/>
                <w:szCs w:val="24"/>
              </w:rPr>
              <w:t>精密空调</w:t>
            </w:r>
          </w:p>
        </w:tc>
        <w:tc>
          <w:tcPr>
            <w:tcW w:w="4061" w:type="pct"/>
            <w:vAlign w:val="center"/>
          </w:tcPr>
          <w:p w14:paraId="7A003D80">
            <w:pPr>
              <w:pStyle w:val="74"/>
              <w:ind w:left="181" w:leftChars="86"/>
              <w:jc w:val="left"/>
              <w:rPr>
                <w:rFonts w:ascii="宋体" w:hAnsi="宋体"/>
                <w:sz w:val="24"/>
                <w:szCs w:val="24"/>
              </w:rPr>
            </w:pPr>
            <w:r>
              <w:rPr>
                <w:rFonts w:hint="eastAsia" w:ascii="宋体" w:hAnsi="宋体"/>
                <w:sz w:val="24"/>
                <w:szCs w:val="24"/>
              </w:rPr>
              <w:t>送风温度湿度，回风温度湿度等参数</w:t>
            </w:r>
          </w:p>
          <w:p w14:paraId="76445D9E">
            <w:pPr>
              <w:pStyle w:val="74"/>
              <w:ind w:left="181" w:leftChars="86"/>
              <w:jc w:val="left"/>
              <w:rPr>
                <w:rFonts w:ascii="宋体" w:hAnsi="宋体"/>
                <w:sz w:val="24"/>
                <w:szCs w:val="24"/>
              </w:rPr>
            </w:pPr>
            <w:r>
              <w:rPr>
                <w:rFonts w:hint="eastAsia" w:ascii="宋体" w:hAnsi="宋体"/>
                <w:sz w:val="24"/>
                <w:szCs w:val="24"/>
              </w:rPr>
              <w:t>开/关状态、系统告警等状态</w:t>
            </w:r>
          </w:p>
          <w:p w14:paraId="37C87BFF">
            <w:pPr>
              <w:pStyle w:val="74"/>
              <w:ind w:left="181" w:leftChars="86"/>
              <w:jc w:val="left"/>
              <w:rPr>
                <w:rFonts w:ascii="宋体" w:hAnsi="宋体"/>
                <w:sz w:val="24"/>
                <w:szCs w:val="24"/>
              </w:rPr>
            </w:pPr>
            <w:r>
              <w:rPr>
                <w:rFonts w:hint="eastAsia" w:ascii="宋体" w:hAnsi="宋体"/>
                <w:sz w:val="24"/>
                <w:szCs w:val="24"/>
              </w:rPr>
              <w:t>远程控制</w:t>
            </w:r>
          </w:p>
        </w:tc>
      </w:tr>
      <w:tr w14:paraId="531A8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pct"/>
            <w:vAlign w:val="center"/>
          </w:tcPr>
          <w:p w14:paraId="248005CA">
            <w:pPr>
              <w:pStyle w:val="74"/>
              <w:ind w:left="181" w:leftChars="86"/>
              <w:jc w:val="left"/>
              <w:rPr>
                <w:rFonts w:ascii="宋体" w:hAnsi="宋体"/>
                <w:sz w:val="24"/>
                <w:szCs w:val="24"/>
              </w:rPr>
            </w:pPr>
            <w:r>
              <w:rPr>
                <w:rFonts w:hint="eastAsia" w:ascii="宋体" w:hAnsi="宋体"/>
                <w:sz w:val="24"/>
                <w:szCs w:val="24"/>
              </w:rPr>
              <w:t>漏水</w:t>
            </w:r>
          </w:p>
        </w:tc>
        <w:tc>
          <w:tcPr>
            <w:tcW w:w="4061" w:type="pct"/>
            <w:vAlign w:val="center"/>
          </w:tcPr>
          <w:p w14:paraId="5E6AD519">
            <w:pPr>
              <w:pStyle w:val="74"/>
              <w:ind w:left="181" w:leftChars="86"/>
              <w:jc w:val="left"/>
              <w:rPr>
                <w:rFonts w:ascii="宋体" w:hAnsi="宋体"/>
                <w:sz w:val="24"/>
                <w:szCs w:val="24"/>
              </w:rPr>
            </w:pPr>
            <w:r>
              <w:rPr>
                <w:rFonts w:hint="eastAsia" w:ascii="宋体" w:hAnsi="宋体"/>
                <w:sz w:val="24"/>
                <w:szCs w:val="24"/>
              </w:rPr>
              <w:t>漏水信号</w:t>
            </w:r>
          </w:p>
          <w:p w14:paraId="437DFB32">
            <w:pPr>
              <w:pStyle w:val="74"/>
              <w:ind w:left="181" w:leftChars="86"/>
              <w:jc w:val="left"/>
              <w:rPr>
                <w:rFonts w:ascii="宋体" w:hAnsi="宋体"/>
                <w:sz w:val="24"/>
                <w:szCs w:val="24"/>
              </w:rPr>
            </w:pPr>
            <w:r>
              <w:rPr>
                <w:rFonts w:hint="eastAsia" w:ascii="宋体" w:hAnsi="宋体"/>
                <w:sz w:val="24"/>
                <w:szCs w:val="24"/>
              </w:rPr>
              <w:t>漏水定位、非定位漏水</w:t>
            </w:r>
          </w:p>
        </w:tc>
      </w:tr>
      <w:tr w14:paraId="2DE99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pct"/>
            <w:vAlign w:val="center"/>
          </w:tcPr>
          <w:p w14:paraId="3B020B50">
            <w:pPr>
              <w:pStyle w:val="74"/>
              <w:ind w:left="181" w:leftChars="86"/>
              <w:jc w:val="left"/>
              <w:rPr>
                <w:rFonts w:ascii="宋体" w:hAnsi="宋体"/>
                <w:sz w:val="24"/>
                <w:szCs w:val="24"/>
              </w:rPr>
            </w:pPr>
            <w:r>
              <w:rPr>
                <w:rFonts w:hint="eastAsia" w:ascii="宋体" w:hAnsi="宋体"/>
                <w:sz w:val="24"/>
                <w:szCs w:val="24"/>
              </w:rPr>
              <w:t>机房温湿度</w:t>
            </w:r>
          </w:p>
        </w:tc>
        <w:tc>
          <w:tcPr>
            <w:tcW w:w="4061" w:type="pct"/>
            <w:vAlign w:val="center"/>
          </w:tcPr>
          <w:p w14:paraId="5878D0A8">
            <w:pPr>
              <w:pStyle w:val="74"/>
              <w:ind w:left="181" w:leftChars="86"/>
              <w:jc w:val="left"/>
              <w:rPr>
                <w:rFonts w:ascii="宋体" w:hAnsi="宋体"/>
                <w:sz w:val="24"/>
                <w:szCs w:val="24"/>
              </w:rPr>
            </w:pPr>
            <w:r>
              <w:rPr>
                <w:rFonts w:hint="eastAsia" w:ascii="宋体" w:hAnsi="宋体"/>
                <w:sz w:val="24"/>
                <w:szCs w:val="24"/>
              </w:rPr>
              <w:t>温度、湿度</w:t>
            </w:r>
          </w:p>
        </w:tc>
      </w:tr>
      <w:tr w14:paraId="016FF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pct"/>
            <w:vAlign w:val="center"/>
          </w:tcPr>
          <w:p w14:paraId="75B815E5">
            <w:pPr>
              <w:pStyle w:val="74"/>
              <w:ind w:left="181" w:leftChars="86"/>
              <w:jc w:val="left"/>
              <w:rPr>
                <w:rFonts w:ascii="宋体" w:hAnsi="宋体"/>
                <w:sz w:val="24"/>
                <w:szCs w:val="24"/>
              </w:rPr>
            </w:pPr>
            <w:r>
              <w:rPr>
                <w:rFonts w:hint="eastAsia" w:ascii="宋体" w:hAnsi="宋体"/>
                <w:sz w:val="24"/>
                <w:szCs w:val="24"/>
              </w:rPr>
              <w:t>低压配电柜</w:t>
            </w:r>
          </w:p>
        </w:tc>
        <w:tc>
          <w:tcPr>
            <w:tcW w:w="4061" w:type="pct"/>
            <w:vAlign w:val="center"/>
          </w:tcPr>
          <w:p w14:paraId="322CF2EB">
            <w:pPr>
              <w:pStyle w:val="74"/>
              <w:ind w:left="181" w:leftChars="86"/>
              <w:jc w:val="left"/>
              <w:rPr>
                <w:rFonts w:ascii="宋体" w:hAnsi="宋体"/>
                <w:sz w:val="24"/>
                <w:szCs w:val="24"/>
              </w:rPr>
            </w:pPr>
            <w:r>
              <w:rPr>
                <w:rFonts w:hint="eastAsia" w:ascii="宋体" w:hAnsi="宋体"/>
                <w:sz w:val="24"/>
                <w:szCs w:val="24"/>
              </w:rPr>
              <w:t>监测低压配电柜的：相电流、相电压、功率因数、开关状态、频率、线电压、有功电能、有功功率、总功率因数、总有功电能、总有功功率等。</w:t>
            </w:r>
          </w:p>
        </w:tc>
      </w:tr>
      <w:tr w14:paraId="58AB6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pct"/>
            <w:vAlign w:val="center"/>
          </w:tcPr>
          <w:p w14:paraId="40611427">
            <w:pPr>
              <w:pStyle w:val="74"/>
              <w:ind w:left="181" w:leftChars="86"/>
              <w:jc w:val="left"/>
              <w:rPr>
                <w:rFonts w:ascii="宋体" w:hAnsi="宋体"/>
                <w:sz w:val="24"/>
                <w:szCs w:val="24"/>
              </w:rPr>
            </w:pPr>
            <w:r>
              <w:rPr>
                <w:rFonts w:hint="eastAsia" w:ascii="宋体" w:hAnsi="宋体"/>
                <w:sz w:val="24"/>
                <w:szCs w:val="24"/>
              </w:rPr>
              <w:t>发电机</w:t>
            </w:r>
          </w:p>
        </w:tc>
        <w:tc>
          <w:tcPr>
            <w:tcW w:w="4061" w:type="pct"/>
            <w:vAlign w:val="center"/>
          </w:tcPr>
          <w:p w14:paraId="674EE4C6">
            <w:pPr>
              <w:pStyle w:val="74"/>
              <w:ind w:left="181" w:leftChars="86"/>
              <w:jc w:val="left"/>
              <w:rPr>
                <w:rFonts w:ascii="宋体" w:hAnsi="宋体"/>
                <w:sz w:val="24"/>
                <w:szCs w:val="24"/>
              </w:rPr>
            </w:pPr>
            <w:r>
              <w:rPr>
                <w:rFonts w:hint="eastAsia" w:ascii="宋体" w:hAnsi="宋体"/>
                <w:sz w:val="24"/>
                <w:szCs w:val="24"/>
              </w:rPr>
              <w:t>监视发电机的运行状态、转速、冷却液温度、冷却液液位、润滑油压力、发电频率、负载率、功率因数、输出相电流、输出相电压、输出无功功率、输出线电压、输出有功功率、正向有功电能、总功率因数、总有功功率等。</w:t>
            </w:r>
          </w:p>
        </w:tc>
      </w:tr>
      <w:tr w14:paraId="32206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pct"/>
            <w:vAlign w:val="center"/>
          </w:tcPr>
          <w:p w14:paraId="4265D7CE">
            <w:pPr>
              <w:pStyle w:val="74"/>
              <w:ind w:left="181" w:leftChars="86"/>
              <w:jc w:val="left"/>
              <w:rPr>
                <w:rFonts w:ascii="宋体" w:hAnsi="宋体"/>
                <w:sz w:val="24"/>
                <w:szCs w:val="24"/>
              </w:rPr>
            </w:pPr>
            <w:r>
              <w:rPr>
                <w:rFonts w:hint="eastAsia" w:ascii="宋体" w:hAnsi="宋体"/>
                <w:sz w:val="24"/>
                <w:szCs w:val="24"/>
              </w:rPr>
              <w:t>变压器</w:t>
            </w:r>
          </w:p>
        </w:tc>
        <w:tc>
          <w:tcPr>
            <w:tcW w:w="4061" w:type="pct"/>
            <w:vAlign w:val="center"/>
          </w:tcPr>
          <w:p w14:paraId="5814D446">
            <w:pPr>
              <w:pStyle w:val="74"/>
              <w:ind w:left="181" w:leftChars="86"/>
              <w:jc w:val="left"/>
              <w:rPr>
                <w:rFonts w:ascii="宋体" w:hAnsi="宋体"/>
                <w:sz w:val="24"/>
                <w:szCs w:val="24"/>
              </w:rPr>
            </w:pPr>
            <w:r>
              <w:rPr>
                <w:rFonts w:hint="eastAsia" w:ascii="宋体" w:hAnsi="宋体"/>
                <w:sz w:val="24"/>
                <w:szCs w:val="24"/>
              </w:rPr>
              <w:t>监测变压器的输出相电流、输出相电压、输出有功电能、输入相电流、输入相电压、输入功率因数、输入有功功率、温度、线电压、总输入功率因数、总输入有功电能、总输入有功功率、电流谐波畸变率、相电压谐波畸变率、电压总谐波畸变率、电流总谐波畸变率、负载率等。</w:t>
            </w:r>
          </w:p>
        </w:tc>
      </w:tr>
      <w:tr w14:paraId="23A67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pct"/>
            <w:vAlign w:val="center"/>
          </w:tcPr>
          <w:p w14:paraId="1FBBC7D5">
            <w:pPr>
              <w:pStyle w:val="74"/>
              <w:ind w:left="181" w:leftChars="86"/>
              <w:jc w:val="left"/>
              <w:rPr>
                <w:rFonts w:ascii="宋体" w:hAnsi="宋体"/>
                <w:sz w:val="24"/>
                <w:szCs w:val="24"/>
              </w:rPr>
            </w:pPr>
            <w:r>
              <w:rPr>
                <w:rFonts w:hint="eastAsia" w:ascii="宋体" w:hAnsi="宋体"/>
                <w:sz w:val="24"/>
                <w:szCs w:val="24"/>
              </w:rPr>
              <w:t>精密配电柜</w:t>
            </w:r>
          </w:p>
        </w:tc>
        <w:tc>
          <w:tcPr>
            <w:tcW w:w="4061" w:type="pct"/>
            <w:vAlign w:val="center"/>
          </w:tcPr>
          <w:p w14:paraId="01EE079B">
            <w:pPr>
              <w:pStyle w:val="74"/>
              <w:ind w:left="181" w:leftChars="86"/>
              <w:jc w:val="left"/>
              <w:rPr>
                <w:rFonts w:ascii="宋体" w:hAnsi="宋体"/>
                <w:sz w:val="24"/>
                <w:szCs w:val="24"/>
              </w:rPr>
            </w:pPr>
            <w:r>
              <w:rPr>
                <w:rFonts w:hint="eastAsia" w:ascii="宋体" w:hAnsi="宋体"/>
                <w:sz w:val="24"/>
                <w:szCs w:val="24"/>
              </w:rPr>
              <w:t>监测精密配电柜的电流谐波畸变率、相电压谐波畸变率、频率、输入电流、输入相电压、输入功率因数、输入线电压、输入有功功率、总输入功率因数、总输入有功电能、总输入有功功率、输入开关状态、支路输出电流、支路输出功率、支路输出开关状态等。</w:t>
            </w:r>
          </w:p>
        </w:tc>
      </w:tr>
      <w:tr w14:paraId="6867C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pct"/>
            <w:vAlign w:val="center"/>
          </w:tcPr>
          <w:p w14:paraId="43DF0F6B">
            <w:pPr>
              <w:pStyle w:val="74"/>
              <w:ind w:left="181" w:leftChars="86"/>
              <w:jc w:val="left"/>
              <w:rPr>
                <w:rFonts w:ascii="宋体" w:hAnsi="宋体"/>
                <w:sz w:val="24"/>
                <w:szCs w:val="24"/>
              </w:rPr>
            </w:pPr>
            <w:r>
              <w:rPr>
                <w:rFonts w:hint="eastAsia" w:ascii="宋体" w:hAnsi="宋体"/>
                <w:sz w:val="24"/>
                <w:szCs w:val="24"/>
              </w:rPr>
              <w:t>智能小母线</w:t>
            </w:r>
          </w:p>
        </w:tc>
        <w:tc>
          <w:tcPr>
            <w:tcW w:w="4061" w:type="pct"/>
            <w:vAlign w:val="center"/>
          </w:tcPr>
          <w:p w14:paraId="5F5F5C61">
            <w:pPr>
              <w:pStyle w:val="74"/>
              <w:ind w:left="181" w:leftChars="86"/>
              <w:jc w:val="left"/>
              <w:rPr>
                <w:rFonts w:ascii="宋体" w:hAnsi="宋体"/>
                <w:sz w:val="24"/>
                <w:szCs w:val="24"/>
              </w:rPr>
            </w:pPr>
            <w:r>
              <w:rPr>
                <w:rFonts w:hint="eastAsia" w:ascii="宋体" w:hAnsi="宋体"/>
                <w:sz w:val="24"/>
                <w:szCs w:val="24"/>
              </w:rPr>
              <w:t>监测智能小母线温度、输入电压、输入电流、输入有功功率、输入无功功率、输入功率因数、输入电能、输入负载率、输入频率、输入电流谐波、输入电压谐波、插接箱输出电流，插接箱输出功率等。</w:t>
            </w:r>
          </w:p>
        </w:tc>
      </w:tr>
      <w:tr w14:paraId="48506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pct"/>
            <w:vAlign w:val="center"/>
          </w:tcPr>
          <w:p w14:paraId="713B070A">
            <w:pPr>
              <w:pStyle w:val="74"/>
              <w:ind w:left="181" w:leftChars="86"/>
              <w:jc w:val="left"/>
              <w:rPr>
                <w:rFonts w:ascii="宋体" w:hAnsi="宋体"/>
                <w:sz w:val="24"/>
                <w:szCs w:val="24"/>
              </w:rPr>
            </w:pPr>
            <w:r>
              <w:rPr>
                <w:rFonts w:hint="eastAsia" w:ascii="宋体" w:hAnsi="宋体"/>
                <w:sz w:val="24"/>
                <w:szCs w:val="24"/>
              </w:rPr>
              <w:t>新风机</w:t>
            </w:r>
          </w:p>
        </w:tc>
        <w:tc>
          <w:tcPr>
            <w:tcW w:w="4061" w:type="pct"/>
            <w:vAlign w:val="center"/>
          </w:tcPr>
          <w:p w14:paraId="0089FA35">
            <w:pPr>
              <w:pStyle w:val="74"/>
              <w:ind w:left="181" w:leftChars="86"/>
              <w:jc w:val="left"/>
              <w:rPr>
                <w:rFonts w:ascii="宋体" w:hAnsi="宋体"/>
                <w:sz w:val="24"/>
                <w:szCs w:val="24"/>
              </w:rPr>
            </w:pPr>
            <w:r>
              <w:rPr>
                <w:rFonts w:hint="eastAsia" w:ascii="宋体" w:hAnsi="宋体"/>
                <w:sz w:val="24"/>
                <w:szCs w:val="24"/>
              </w:rPr>
              <w:t>监测新风机的开关机运行状态。</w:t>
            </w:r>
          </w:p>
        </w:tc>
      </w:tr>
      <w:tr w14:paraId="36AC9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pct"/>
            <w:vAlign w:val="center"/>
          </w:tcPr>
          <w:p w14:paraId="4ED4190B">
            <w:pPr>
              <w:pStyle w:val="74"/>
              <w:ind w:left="181" w:leftChars="86"/>
              <w:jc w:val="left"/>
              <w:rPr>
                <w:rFonts w:ascii="宋体" w:hAnsi="宋体"/>
                <w:sz w:val="24"/>
                <w:szCs w:val="24"/>
              </w:rPr>
            </w:pPr>
            <w:r>
              <w:rPr>
                <w:rFonts w:hint="eastAsia" w:ascii="宋体" w:hAnsi="宋体"/>
                <w:sz w:val="24"/>
                <w:szCs w:val="24"/>
              </w:rPr>
              <w:t>温湿度</w:t>
            </w:r>
          </w:p>
        </w:tc>
        <w:tc>
          <w:tcPr>
            <w:tcW w:w="4061" w:type="pct"/>
            <w:vAlign w:val="center"/>
          </w:tcPr>
          <w:p w14:paraId="39D18A1F">
            <w:pPr>
              <w:pStyle w:val="74"/>
              <w:ind w:left="181" w:leftChars="86"/>
              <w:jc w:val="left"/>
              <w:rPr>
                <w:rFonts w:ascii="宋体" w:hAnsi="宋体"/>
                <w:sz w:val="24"/>
                <w:szCs w:val="24"/>
              </w:rPr>
            </w:pPr>
            <w:r>
              <w:rPr>
                <w:rFonts w:hint="eastAsia" w:ascii="宋体" w:hAnsi="宋体"/>
                <w:sz w:val="24"/>
                <w:szCs w:val="24"/>
              </w:rPr>
              <w:t>监测温湿度的温度、湿度参数，并可直接监测或通过软件计算露点温度。</w:t>
            </w:r>
          </w:p>
        </w:tc>
      </w:tr>
      <w:tr w14:paraId="09389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pct"/>
            <w:vAlign w:val="center"/>
          </w:tcPr>
          <w:p w14:paraId="16994089">
            <w:pPr>
              <w:pStyle w:val="74"/>
              <w:ind w:left="181" w:leftChars="86"/>
              <w:jc w:val="left"/>
              <w:rPr>
                <w:rFonts w:ascii="宋体" w:hAnsi="宋体"/>
                <w:sz w:val="24"/>
                <w:szCs w:val="24"/>
              </w:rPr>
            </w:pPr>
            <w:r>
              <w:rPr>
                <w:rFonts w:hint="eastAsia" w:ascii="宋体" w:hAnsi="宋体"/>
                <w:sz w:val="24"/>
                <w:szCs w:val="24"/>
              </w:rPr>
              <w:t>漏水</w:t>
            </w:r>
          </w:p>
        </w:tc>
        <w:tc>
          <w:tcPr>
            <w:tcW w:w="4061" w:type="pct"/>
            <w:vAlign w:val="center"/>
          </w:tcPr>
          <w:p w14:paraId="104D86CA">
            <w:pPr>
              <w:pStyle w:val="74"/>
              <w:ind w:left="181" w:leftChars="86"/>
              <w:jc w:val="left"/>
              <w:rPr>
                <w:rFonts w:ascii="宋体" w:hAnsi="宋体"/>
                <w:sz w:val="24"/>
                <w:szCs w:val="24"/>
              </w:rPr>
            </w:pPr>
            <w:r>
              <w:rPr>
                <w:rFonts w:hint="eastAsia" w:ascii="宋体" w:hAnsi="宋体"/>
                <w:sz w:val="24"/>
                <w:szCs w:val="24"/>
              </w:rPr>
              <w:t>监测空调及水管四周的漏水状况。</w:t>
            </w:r>
          </w:p>
        </w:tc>
      </w:tr>
      <w:tr w14:paraId="084DD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pct"/>
            <w:vAlign w:val="center"/>
          </w:tcPr>
          <w:p w14:paraId="5C048780">
            <w:pPr>
              <w:pStyle w:val="74"/>
              <w:ind w:left="181" w:leftChars="86"/>
              <w:jc w:val="left"/>
              <w:rPr>
                <w:rFonts w:ascii="宋体" w:hAnsi="宋体"/>
                <w:sz w:val="24"/>
                <w:szCs w:val="24"/>
              </w:rPr>
            </w:pPr>
            <w:r>
              <w:rPr>
                <w:rFonts w:hint="eastAsia" w:ascii="宋体" w:hAnsi="宋体"/>
                <w:sz w:val="24"/>
                <w:szCs w:val="24"/>
              </w:rPr>
              <w:t>冷却塔</w:t>
            </w:r>
          </w:p>
        </w:tc>
        <w:tc>
          <w:tcPr>
            <w:tcW w:w="4061" w:type="pct"/>
            <w:vAlign w:val="center"/>
          </w:tcPr>
          <w:p w14:paraId="34CF1B0F">
            <w:pPr>
              <w:pStyle w:val="74"/>
              <w:ind w:left="181" w:leftChars="86"/>
              <w:jc w:val="left"/>
              <w:rPr>
                <w:rFonts w:ascii="宋体" w:hAnsi="宋体"/>
                <w:sz w:val="24"/>
                <w:szCs w:val="24"/>
              </w:rPr>
            </w:pPr>
            <w:r>
              <w:rPr>
                <w:rFonts w:hint="eastAsia" w:ascii="宋体" w:hAnsi="宋体"/>
                <w:sz w:val="24"/>
                <w:szCs w:val="24"/>
              </w:rPr>
              <w:t>冷却塔工作状态</w:t>
            </w:r>
          </w:p>
        </w:tc>
      </w:tr>
      <w:tr w14:paraId="7741C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pct"/>
            <w:vAlign w:val="center"/>
          </w:tcPr>
          <w:p w14:paraId="2CEF91EC">
            <w:pPr>
              <w:pStyle w:val="74"/>
              <w:ind w:left="181" w:leftChars="86"/>
              <w:jc w:val="left"/>
              <w:rPr>
                <w:rFonts w:ascii="宋体" w:hAnsi="宋体"/>
                <w:sz w:val="24"/>
                <w:szCs w:val="24"/>
              </w:rPr>
            </w:pPr>
            <w:r>
              <w:rPr>
                <w:rFonts w:hint="eastAsia" w:ascii="宋体" w:hAnsi="宋体"/>
                <w:sz w:val="24"/>
                <w:szCs w:val="24"/>
              </w:rPr>
              <w:t>水阀</w:t>
            </w:r>
          </w:p>
        </w:tc>
        <w:tc>
          <w:tcPr>
            <w:tcW w:w="4061" w:type="pct"/>
            <w:vAlign w:val="center"/>
          </w:tcPr>
          <w:p w14:paraId="7DBDD92E">
            <w:pPr>
              <w:pStyle w:val="74"/>
              <w:ind w:left="181" w:leftChars="86"/>
              <w:jc w:val="left"/>
              <w:rPr>
                <w:rFonts w:ascii="宋体" w:hAnsi="宋体"/>
                <w:sz w:val="24"/>
                <w:szCs w:val="24"/>
              </w:rPr>
            </w:pPr>
            <w:r>
              <w:rPr>
                <w:rFonts w:hint="eastAsia" w:ascii="宋体" w:hAnsi="宋体"/>
                <w:sz w:val="24"/>
                <w:szCs w:val="24"/>
              </w:rPr>
              <w:t>冷冻水阀工作状态</w:t>
            </w:r>
          </w:p>
        </w:tc>
      </w:tr>
      <w:tr w14:paraId="4042E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pct"/>
            <w:vAlign w:val="center"/>
          </w:tcPr>
          <w:p w14:paraId="308BAC10">
            <w:pPr>
              <w:pStyle w:val="74"/>
              <w:ind w:left="181" w:leftChars="86"/>
              <w:jc w:val="left"/>
              <w:rPr>
                <w:rFonts w:ascii="宋体" w:hAnsi="宋体"/>
                <w:sz w:val="24"/>
                <w:szCs w:val="24"/>
              </w:rPr>
            </w:pPr>
            <w:r>
              <w:rPr>
                <w:rFonts w:ascii="宋体" w:hAnsi="宋体"/>
                <w:sz w:val="24"/>
                <w:szCs w:val="24"/>
              </w:rPr>
              <w:t>水泵</w:t>
            </w:r>
          </w:p>
        </w:tc>
        <w:tc>
          <w:tcPr>
            <w:tcW w:w="4061" w:type="pct"/>
            <w:vAlign w:val="center"/>
          </w:tcPr>
          <w:p w14:paraId="7954AB77">
            <w:pPr>
              <w:pStyle w:val="74"/>
              <w:ind w:left="181" w:leftChars="86"/>
              <w:jc w:val="left"/>
              <w:rPr>
                <w:rFonts w:ascii="宋体" w:hAnsi="宋体"/>
                <w:sz w:val="24"/>
                <w:szCs w:val="24"/>
              </w:rPr>
            </w:pPr>
            <w:r>
              <w:rPr>
                <w:rFonts w:hint="eastAsia" w:ascii="宋体" w:hAnsi="宋体"/>
                <w:sz w:val="24"/>
                <w:szCs w:val="24"/>
              </w:rPr>
              <w:t>水泵工作状态</w:t>
            </w:r>
          </w:p>
        </w:tc>
      </w:tr>
      <w:tr w14:paraId="7B38C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pct"/>
            <w:vAlign w:val="center"/>
          </w:tcPr>
          <w:p w14:paraId="6115D5C3">
            <w:pPr>
              <w:pStyle w:val="74"/>
              <w:ind w:left="181" w:leftChars="86"/>
              <w:jc w:val="left"/>
              <w:rPr>
                <w:rFonts w:ascii="宋体" w:hAnsi="宋体"/>
                <w:sz w:val="24"/>
                <w:szCs w:val="24"/>
              </w:rPr>
            </w:pPr>
            <w:r>
              <w:rPr>
                <w:rFonts w:hint="eastAsia" w:ascii="宋体" w:hAnsi="宋体"/>
                <w:sz w:val="24"/>
                <w:szCs w:val="24"/>
              </w:rPr>
              <w:t>冷水机组</w:t>
            </w:r>
          </w:p>
        </w:tc>
        <w:tc>
          <w:tcPr>
            <w:tcW w:w="4061" w:type="pct"/>
            <w:vAlign w:val="center"/>
          </w:tcPr>
          <w:p w14:paraId="1DB671CF">
            <w:pPr>
              <w:pStyle w:val="74"/>
              <w:ind w:left="181" w:leftChars="86"/>
              <w:jc w:val="left"/>
              <w:rPr>
                <w:rFonts w:ascii="宋体" w:hAnsi="宋体"/>
                <w:sz w:val="24"/>
                <w:szCs w:val="24"/>
              </w:rPr>
            </w:pPr>
            <w:r>
              <w:rPr>
                <w:rFonts w:hint="eastAsia" w:ascii="宋体" w:hAnsi="宋体"/>
                <w:sz w:val="24"/>
                <w:szCs w:val="24"/>
              </w:rPr>
              <w:t>冷水机组工作状态</w:t>
            </w:r>
          </w:p>
        </w:tc>
      </w:tr>
    </w:tbl>
    <w:p w14:paraId="4D6E7F39">
      <w:pPr>
        <w:ind w:left="181" w:leftChars="86"/>
        <w:rPr>
          <w:rFonts w:ascii="宋体" w:hAnsi="宋体"/>
          <w:sz w:val="24"/>
          <w:szCs w:val="24"/>
        </w:rPr>
      </w:pPr>
    </w:p>
    <w:p w14:paraId="231398EE">
      <w:pPr>
        <w:pStyle w:val="76"/>
        <w:ind w:left="1172" w:leftChars="558"/>
        <w:jc w:val="left"/>
        <w:outlineLvl w:val="2"/>
        <w:rPr>
          <w:sz w:val="24"/>
          <w:szCs w:val="24"/>
        </w:rPr>
      </w:pPr>
      <w:r>
        <w:rPr>
          <w:rFonts w:hint="eastAsia"/>
          <w:sz w:val="24"/>
          <w:szCs w:val="24"/>
        </w:rPr>
        <w:t>主要设备技术参数要求</w:t>
      </w:r>
    </w:p>
    <w:p w14:paraId="41DEB987">
      <w:pPr>
        <w:pStyle w:val="77"/>
        <w:ind w:left="607" w:leftChars="289"/>
        <w:jc w:val="left"/>
        <w:rPr>
          <w:sz w:val="24"/>
          <w:szCs w:val="24"/>
        </w:rPr>
      </w:pPr>
      <w:r>
        <w:rPr>
          <w:rFonts w:hint="eastAsia"/>
          <w:sz w:val="24"/>
          <w:szCs w:val="24"/>
        </w:rPr>
        <w:t>温湿度传感器</w:t>
      </w:r>
    </w:p>
    <w:p w14:paraId="18804C6F">
      <w:pPr>
        <w:pStyle w:val="32"/>
        <w:numPr>
          <w:ilvl w:val="0"/>
          <w:numId w:val="13"/>
        </w:numPr>
        <w:ind w:left="605" w:leftChars="288" w:firstLineChars="0"/>
        <w:jc w:val="left"/>
        <w:rPr>
          <w:rFonts w:ascii="宋体" w:hAnsi="宋体"/>
          <w:sz w:val="24"/>
          <w:szCs w:val="24"/>
        </w:rPr>
      </w:pPr>
      <w:r>
        <w:rPr>
          <w:rFonts w:hint="eastAsia" w:ascii="宋体" w:hAnsi="宋体"/>
          <w:sz w:val="24"/>
          <w:szCs w:val="24"/>
        </w:rPr>
        <w:t>供电电源要求：</w:t>
      </w:r>
      <w:r>
        <w:rPr>
          <w:rFonts w:ascii="宋体" w:hAnsi="宋体"/>
          <w:sz w:val="24"/>
          <w:szCs w:val="24"/>
        </w:rPr>
        <w:t>DC 12V(9~16VDC)</w:t>
      </w:r>
      <w:r>
        <w:rPr>
          <w:rFonts w:hint="eastAsia" w:ascii="宋体" w:hAnsi="宋体"/>
          <w:sz w:val="24"/>
          <w:szCs w:val="24"/>
        </w:rPr>
        <w:t>；</w:t>
      </w:r>
    </w:p>
    <w:p w14:paraId="0D00F061">
      <w:pPr>
        <w:pStyle w:val="32"/>
        <w:numPr>
          <w:ilvl w:val="0"/>
          <w:numId w:val="13"/>
        </w:numPr>
        <w:ind w:left="605" w:leftChars="288" w:firstLineChars="0"/>
        <w:jc w:val="left"/>
        <w:rPr>
          <w:rFonts w:ascii="宋体" w:hAnsi="宋体"/>
          <w:sz w:val="24"/>
          <w:szCs w:val="24"/>
        </w:rPr>
      </w:pPr>
      <w:r>
        <w:rPr>
          <w:rFonts w:hint="eastAsia" w:ascii="宋体" w:hAnsi="宋体"/>
          <w:sz w:val="24"/>
          <w:szCs w:val="24"/>
        </w:rPr>
        <w:t>功耗要求：</w:t>
      </w:r>
      <w:r>
        <w:rPr>
          <w:rFonts w:ascii="宋体" w:hAnsi="宋体"/>
          <w:sz w:val="24"/>
          <w:szCs w:val="24"/>
        </w:rPr>
        <w:t>&lt;0.4W</w:t>
      </w:r>
      <w:r>
        <w:rPr>
          <w:rFonts w:hint="eastAsia" w:ascii="宋体" w:hAnsi="宋体"/>
          <w:sz w:val="24"/>
          <w:szCs w:val="24"/>
        </w:rPr>
        <w:t>；</w:t>
      </w:r>
    </w:p>
    <w:p w14:paraId="78127999">
      <w:pPr>
        <w:pStyle w:val="32"/>
        <w:numPr>
          <w:ilvl w:val="0"/>
          <w:numId w:val="13"/>
        </w:numPr>
        <w:ind w:left="605" w:leftChars="288" w:firstLineChars="0"/>
        <w:jc w:val="left"/>
        <w:rPr>
          <w:rFonts w:ascii="宋体" w:hAnsi="宋体"/>
          <w:sz w:val="24"/>
          <w:szCs w:val="24"/>
        </w:rPr>
      </w:pPr>
      <w:r>
        <w:rPr>
          <w:rFonts w:hint="eastAsia" w:ascii="宋体" w:hAnsi="宋体"/>
          <w:sz w:val="24"/>
          <w:szCs w:val="24"/>
        </w:rPr>
        <w:t>测量范围：温度</w:t>
      </w:r>
      <w:r>
        <w:rPr>
          <w:rFonts w:ascii="宋体" w:hAnsi="宋体"/>
          <w:sz w:val="24"/>
          <w:szCs w:val="24"/>
        </w:rPr>
        <w:t>-20</w:t>
      </w:r>
      <w:r>
        <w:rPr>
          <w:rFonts w:hint="eastAsia" w:ascii="宋体" w:hAnsi="宋体"/>
          <w:sz w:val="24"/>
          <w:szCs w:val="24"/>
        </w:rPr>
        <w:t>℃～</w:t>
      </w:r>
      <w:r>
        <w:rPr>
          <w:rFonts w:ascii="宋体" w:hAnsi="宋体"/>
          <w:sz w:val="24"/>
          <w:szCs w:val="24"/>
        </w:rPr>
        <w:t>70</w:t>
      </w:r>
      <w:r>
        <w:rPr>
          <w:rFonts w:hint="eastAsia" w:ascii="宋体" w:hAnsi="宋体"/>
          <w:sz w:val="24"/>
          <w:szCs w:val="24"/>
        </w:rPr>
        <w:t>℃；湿度</w:t>
      </w:r>
      <w:r>
        <w:rPr>
          <w:rFonts w:ascii="宋体" w:hAnsi="宋体"/>
          <w:sz w:val="24"/>
          <w:szCs w:val="24"/>
        </w:rPr>
        <w:t>0.1</w:t>
      </w:r>
      <w:r>
        <w:rPr>
          <w:rFonts w:hint="eastAsia" w:ascii="宋体" w:hAnsi="宋体"/>
          <w:sz w:val="24"/>
          <w:szCs w:val="24"/>
        </w:rPr>
        <w:t>～</w:t>
      </w:r>
      <w:r>
        <w:rPr>
          <w:rFonts w:ascii="宋体" w:hAnsi="宋体"/>
          <w:sz w:val="24"/>
          <w:szCs w:val="24"/>
        </w:rPr>
        <w:t>99.9</w:t>
      </w:r>
      <w:r>
        <w:rPr>
          <w:rFonts w:hint="eastAsia" w:ascii="宋体" w:hAnsi="宋体"/>
          <w:sz w:val="24"/>
          <w:szCs w:val="24"/>
        </w:rPr>
        <w:t>％</w:t>
      </w:r>
      <w:r>
        <w:rPr>
          <w:rFonts w:ascii="宋体" w:hAnsi="宋体"/>
          <w:sz w:val="24"/>
          <w:szCs w:val="24"/>
        </w:rPr>
        <w:t>RH</w:t>
      </w:r>
      <w:r>
        <w:rPr>
          <w:rFonts w:hint="eastAsia" w:ascii="宋体" w:hAnsi="宋体"/>
          <w:sz w:val="24"/>
          <w:szCs w:val="24"/>
        </w:rPr>
        <w:t>；</w:t>
      </w:r>
    </w:p>
    <w:p w14:paraId="77CFE3E8">
      <w:pPr>
        <w:pStyle w:val="32"/>
        <w:numPr>
          <w:ilvl w:val="0"/>
          <w:numId w:val="13"/>
        </w:numPr>
        <w:ind w:left="605" w:leftChars="288" w:firstLineChars="0"/>
        <w:jc w:val="left"/>
        <w:rPr>
          <w:rFonts w:ascii="宋体" w:hAnsi="宋体"/>
          <w:sz w:val="24"/>
          <w:szCs w:val="24"/>
        </w:rPr>
      </w:pPr>
      <w:r>
        <w:rPr>
          <w:rFonts w:hint="eastAsia" w:ascii="宋体" w:hAnsi="宋体"/>
          <w:sz w:val="24"/>
          <w:szCs w:val="24"/>
        </w:rPr>
        <w:t>精度要求：温度</w:t>
      </w:r>
      <w:r>
        <w:rPr>
          <w:rFonts w:ascii="宋体" w:hAnsi="宋体"/>
          <w:sz w:val="24"/>
          <w:szCs w:val="24"/>
        </w:rPr>
        <w:t>0.5</w:t>
      </w:r>
      <w:r>
        <w:rPr>
          <w:rFonts w:hint="eastAsia" w:ascii="宋体" w:hAnsi="宋体"/>
          <w:sz w:val="24"/>
          <w:szCs w:val="24"/>
        </w:rPr>
        <w:t>℃；湿度≤±</w:t>
      </w:r>
      <w:r>
        <w:rPr>
          <w:rFonts w:ascii="宋体" w:hAnsi="宋体"/>
          <w:sz w:val="24"/>
          <w:szCs w:val="24"/>
        </w:rPr>
        <w:t>5%RH</w:t>
      </w:r>
      <w:r>
        <w:rPr>
          <w:rFonts w:hint="eastAsia" w:ascii="宋体" w:hAnsi="宋体"/>
          <w:sz w:val="24"/>
          <w:szCs w:val="24"/>
        </w:rPr>
        <w:t>；</w:t>
      </w:r>
    </w:p>
    <w:p w14:paraId="7D6728E6">
      <w:pPr>
        <w:pStyle w:val="32"/>
        <w:numPr>
          <w:ilvl w:val="0"/>
          <w:numId w:val="13"/>
        </w:numPr>
        <w:ind w:left="605" w:leftChars="288" w:firstLineChars="0"/>
        <w:jc w:val="left"/>
        <w:rPr>
          <w:rFonts w:ascii="宋体" w:hAnsi="宋体"/>
          <w:sz w:val="24"/>
          <w:szCs w:val="24"/>
        </w:rPr>
      </w:pPr>
      <w:r>
        <w:rPr>
          <w:rFonts w:hint="eastAsia" w:ascii="宋体" w:hAnsi="宋体"/>
          <w:sz w:val="24"/>
          <w:szCs w:val="24"/>
        </w:rPr>
        <w:t>输出接口：</w:t>
      </w:r>
      <w:r>
        <w:rPr>
          <w:rFonts w:ascii="宋体" w:hAnsi="宋体"/>
          <w:sz w:val="24"/>
          <w:szCs w:val="24"/>
        </w:rPr>
        <w:t>RJ45</w:t>
      </w:r>
      <w:r>
        <w:rPr>
          <w:rFonts w:hint="eastAsia" w:ascii="宋体" w:hAnsi="宋体"/>
          <w:sz w:val="24"/>
          <w:szCs w:val="24"/>
        </w:rPr>
        <w:t>，要求带两个</w:t>
      </w:r>
      <w:r>
        <w:rPr>
          <w:rFonts w:ascii="宋体" w:hAnsi="宋体"/>
          <w:sz w:val="24"/>
          <w:szCs w:val="24"/>
        </w:rPr>
        <w:t>RJ45</w:t>
      </w:r>
      <w:r>
        <w:rPr>
          <w:rFonts w:hint="eastAsia" w:ascii="宋体" w:hAnsi="宋体"/>
          <w:sz w:val="24"/>
          <w:szCs w:val="24"/>
        </w:rPr>
        <w:t>口，一进一出，快速插拔，不压端子。</w:t>
      </w:r>
    </w:p>
    <w:p w14:paraId="7998F5DD">
      <w:pPr>
        <w:pStyle w:val="32"/>
        <w:ind w:left="601" w:leftChars="286" w:firstLine="0" w:firstLineChars="0"/>
        <w:jc w:val="left"/>
        <w:rPr>
          <w:rFonts w:ascii="宋体" w:hAnsi="宋体"/>
          <w:sz w:val="24"/>
          <w:szCs w:val="24"/>
        </w:rPr>
      </w:pPr>
    </w:p>
    <w:p w14:paraId="7C1D184A">
      <w:pPr>
        <w:pStyle w:val="77"/>
        <w:ind w:left="607" w:leftChars="289"/>
        <w:jc w:val="left"/>
        <w:rPr>
          <w:sz w:val="24"/>
          <w:szCs w:val="24"/>
        </w:rPr>
      </w:pPr>
      <w:r>
        <w:rPr>
          <w:rFonts w:hint="eastAsia"/>
          <w:sz w:val="24"/>
          <w:szCs w:val="24"/>
        </w:rPr>
        <w:t>漏水控制器</w:t>
      </w:r>
    </w:p>
    <w:p w14:paraId="0339DC94">
      <w:pPr>
        <w:pStyle w:val="32"/>
        <w:numPr>
          <w:ilvl w:val="0"/>
          <w:numId w:val="13"/>
        </w:numPr>
        <w:ind w:left="605" w:leftChars="288" w:firstLineChars="0"/>
        <w:rPr>
          <w:rFonts w:ascii="宋体" w:hAnsi="宋体"/>
          <w:sz w:val="24"/>
          <w:szCs w:val="24"/>
        </w:rPr>
      </w:pPr>
      <w:r>
        <w:rPr>
          <w:rFonts w:hint="eastAsia" w:ascii="宋体" w:hAnsi="宋体"/>
          <w:sz w:val="24"/>
          <w:szCs w:val="24"/>
        </w:rPr>
        <w:t>工作电源：</w:t>
      </w:r>
      <w:r>
        <w:rPr>
          <w:rFonts w:ascii="宋体" w:hAnsi="宋体"/>
          <w:sz w:val="24"/>
          <w:szCs w:val="24"/>
        </w:rPr>
        <w:t>12VDC</w:t>
      </w:r>
      <w:r>
        <w:rPr>
          <w:rFonts w:hint="eastAsia" w:ascii="宋体" w:hAnsi="宋体"/>
          <w:sz w:val="24"/>
          <w:szCs w:val="24"/>
        </w:rPr>
        <w:t>（</w:t>
      </w:r>
      <w:r>
        <w:rPr>
          <w:rFonts w:ascii="宋体" w:hAnsi="宋体"/>
          <w:sz w:val="24"/>
          <w:szCs w:val="24"/>
        </w:rPr>
        <w:t>9~16VDC</w:t>
      </w:r>
      <w:r>
        <w:rPr>
          <w:rFonts w:hint="eastAsia" w:ascii="宋体" w:hAnsi="宋体"/>
          <w:sz w:val="24"/>
          <w:szCs w:val="24"/>
        </w:rPr>
        <w:t>）</w:t>
      </w:r>
    </w:p>
    <w:p w14:paraId="5DCFB975">
      <w:pPr>
        <w:pStyle w:val="32"/>
        <w:numPr>
          <w:ilvl w:val="0"/>
          <w:numId w:val="13"/>
        </w:numPr>
        <w:ind w:left="605" w:leftChars="288" w:firstLineChars="0"/>
        <w:rPr>
          <w:rFonts w:ascii="宋体" w:hAnsi="宋体"/>
          <w:sz w:val="24"/>
          <w:szCs w:val="24"/>
        </w:rPr>
      </w:pPr>
      <w:r>
        <w:rPr>
          <w:rFonts w:hint="eastAsia" w:ascii="宋体" w:hAnsi="宋体"/>
          <w:sz w:val="24"/>
          <w:szCs w:val="24"/>
        </w:rPr>
        <w:t>静态电流：</w:t>
      </w:r>
      <w:r>
        <w:rPr>
          <w:rFonts w:ascii="宋体" w:hAnsi="宋体"/>
          <w:sz w:val="24"/>
          <w:szCs w:val="24"/>
        </w:rPr>
        <w:t>&lt;45mA</w:t>
      </w:r>
    </w:p>
    <w:p w14:paraId="050AB758">
      <w:pPr>
        <w:pStyle w:val="32"/>
        <w:numPr>
          <w:ilvl w:val="0"/>
          <w:numId w:val="13"/>
        </w:numPr>
        <w:ind w:left="605" w:leftChars="288" w:firstLineChars="0"/>
        <w:rPr>
          <w:rFonts w:ascii="宋体" w:hAnsi="宋体"/>
          <w:sz w:val="24"/>
          <w:szCs w:val="24"/>
        </w:rPr>
      </w:pPr>
      <w:r>
        <w:rPr>
          <w:rFonts w:hint="eastAsia" w:ascii="宋体" w:hAnsi="宋体"/>
          <w:sz w:val="24"/>
          <w:szCs w:val="24"/>
        </w:rPr>
        <w:t>报警电流：</w:t>
      </w:r>
      <w:r>
        <w:rPr>
          <w:rFonts w:ascii="宋体" w:hAnsi="宋体"/>
          <w:sz w:val="24"/>
          <w:szCs w:val="24"/>
        </w:rPr>
        <w:t>&lt;60mA</w:t>
      </w:r>
    </w:p>
    <w:p w14:paraId="07285C6D">
      <w:pPr>
        <w:pStyle w:val="32"/>
        <w:numPr>
          <w:ilvl w:val="0"/>
          <w:numId w:val="13"/>
        </w:numPr>
        <w:ind w:left="605" w:leftChars="288" w:firstLineChars="0"/>
        <w:rPr>
          <w:rFonts w:ascii="宋体" w:hAnsi="宋体"/>
          <w:sz w:val="24"/>
          <w:szCs w:val="24"/>
        </w:rPr>
      </w:pPr>
      <w:r>
        <w:rPr>
          <w:rFonts w:hint="eastAsia" w:ascii="宋体" w:hAnsi="宋体"/>
          <w:sz w:val="24"/>
          <w:szCs w:val="24"/>
        </w:rPr>
        <w:t>工作环境：</w:t>
      </w:r>
      <w:r>
        <w:rPr>
          <w:rFonts w:ascii="宋体" w:hAnsi="宋体"/>
          <w:sz w:val="24"/>
          <w:szCs w:val="24"/>
        </w:rPr>
        <w:t>- 2 0</w:t>
      </w:r>
      <w:r>
        <w:rPr>
          <w:rFonts w:hint="eastAsia" w:ascii="宋体" w:hAnsi="宋体"/>
          <w:sz w:val="24"/>
          <w:szCs w:val="24"/>
        </w:rPr>
        <w:t>～</w:t>
      </w:r>
      <w:r>
        <w:rPr>
          <w:rFonts w:ascii="宋体" w:hAnsi="宋体"/>
          <w:sz w:val="24"/>
          <w:szCs w:val="24"/>
        </w:rPr>
        <w:t>7 0</w:t>
      </w:r>
      <w:r>
        <w:rPr>
          <w:rFonts w:hint="eastAsia" w:ascii="宋体" w:hAnsi="宋体"/>
          <w:sz w:val="24"/>
          <w:szCs w:val="24"/>
        </w:rPr>
        <w:t>℃，</w:t>
      </w:r>
      <w:r>
        <w:rPr>
          <w:rFonts w:ascii="宋体" w:hAnsi="宋体"/>
          <w:sz w:val="24"/>
          <w:szCs w:val="24"/>
        </w:rPr>
        <w:t>1 0</w:t>
      </w:r>
      <w:r>
        <w:rPr>
          <w:rFonts w:hint="eastAsia" w:ascii="宋体" w:hAnsi="宋体"/>
          <w:sz w:val="24"/>
          <w:szCs w:val="24"/>
        </w:rPr>
        <w:t>～</w:t>
      </w:r>
      <w:r>
        <w:rPr>
          <w:rFonts w:ascii="宋体" w:hAnsi="宋体"/>
          <w:sz w:val="24"/>
          <w:szCs w:val="24"/>
        </w:rPr>
        <w:t>8 0 % R H (</w:t>
      </w:r>
      <w:r>
        <w:rPr>
          <w:rFonts w:hint="eastAsia" w:ascii="宋体" w:hAnsi="宋体"/>
          <w:sz w:val="24"/>
          <w:szCs w:val="24"/>
        </w:rPr>
        <w:t>无凝露</w:t>
      </w:r>
      <w:r>
        <w:rPr>
          <w:rFonts w:ascii="宋体" w:hAnsi="宋体"/>
          <w:sz w:val="24"/>
          <w:szCs w:val="24"/>
        </w:rPr>
        <w:t>)</w:t>
      </w:r>
    </w:p>
    <w:p w14:paraId="326E7094">
      <w:pPr>
        <w:pStyle w:val="32"/>
        <w:numPr>
          <w:ilvl w:val="0"/>
          <w:numId w:val="13"/>
        </w:numPr>
        <w:ind w:left="605" w:leftChars="288" w:firstLineChars="0"/>
        <w:rPr>
          <w:rFonts w:ascii="宋体" w:hAnsi="宋体"/>
          <w:sz w:val="24"/>
          <w:szCs w:val="24"/>
        </w:rPr>
      </w:pPr>
      <w:r>
        <w:rPr>
          <w:rFonts w:hint="eastAsia" w:ascii="宋体" w:hAnsi="宋体"/>
          <w:sz w:val="24"/>
          <w:szCs w:val="24"/>
        </w:rPr>
        <w:t xml:space="preserve">报警指示：继电器( 0.4A @ 125V AC / 2A @ 30V </w:t>
      </w:r>
      <w:r>
        <w:rPr>
          <w:rFonts w:ascii="宋体" w:hAnsi="宋体"/>
          <w:sz w:val="24"/>
          <w:szCs w:val="24"/>
        </w:rPr>
        <w:t>DC )</w:t>
      </w:r>
      <w:r>
        <w:rPr>
          <w:rFonts w:hint="eastAsia" w:ascii="宋体" w:hAnsi="宋体"/>
          <w:sz w:val="24"/>
          <w:szCs w:val="24"/>
        </w:rPr>
        <w:t>信号输出，同时有</w:t>
      </w:r>
      <w:r>
        <w:rPr>
          <w:rFonts w:ascii="宋体" w:hAnsi="宋体"/>
          <w:sz w:val="24"/>
          <w:szCs w:val="24"/>
        </w:rPr>
        <w:t xml:space="preserve"> L E D </w:t>
      </w:r>
      <w:r>
        <w:rPr>
          <w:rFonts w:hint="eastAsia" w:ascii="宋体" w:hAnsi="宋体"/>
          <w:sz w:val="24"/>
          <w:szCs w:val="24"/>
        </w:rPr>
        <w:t>灯及声音提示，</w:t>
      </w:r>
    </w:p>
    <w:p w14:paraId="51E1B355">
      <w:pPr>
        <w:pStyle w:val="32"/>
        <w:numPr>
          <w:ilvl w:val="0"/>
          <w:numId w:val="13"/>
        </w:numPr>
        <w:ind w:left="605" w:leftChars="288" w:firstLineChars="0"/>
        <w:rPr>
          <w:rFonts w:ascii="宋体" w:hAnsi="宋体"/>
          <w:sz w:val="24"/>
          <w:szCs w:val="24"/>
        </w:rPr>
      </w:pPr>
      <w:r>
        <w:rPr>
          <w:rFonts w:hint="eastAsia" w:ascii="宋体" w:hAnsi="宋体"/>
          <w:sz w:val="24"/>
          <w:szCs w:val="24"/>
        </w:rPr>
        <w:t>可按键清除报警声音</w:t>
      </w:r>
    </w:p>
    <w:p w14:paraId="5AA9AE5A">
      <w:pPr>
        <w:pStyle w:val="32"/>
        <w:numPr>
          <w:ilvl w:val="0"/>
          <w:numId w:val="13"/>
        </w:numPr>
        <w:ind w:left="605" w:leftChars="288" w:firstLineChars="0"/>
        <w:rPr>
          <w:rFonts w:ascii="宋体" w:hAnsi="宋体"/>
          <w:sz w:val="24"/>
          <w:szCs w:val="24"/>
        </w:rPr>
      </w:pPr>
      <w:r>
        <w:rPr>
          <w:rFonts w:hint="eastAsia" w:ascii="宋体" w:hAnsi="宋体"/>
          <w:sz w:val="24"/>
          <w:szCs w:val="24"/>
        </w:rPr>
        <w:t>信号输出：有被测液体时，继电器触点打开；无被测液体时，继电器触点闭合</w:t>
      </w:r>
    </w:p>
    <w:p w14:paraId="3A9290CE">
      <w:pPr>
        <w:pStyle w:val="32"/>
        <w:numPr>
          <w:ilvl w:val="0"/>
          <w:numId w:val="13"/>
        </w:numPr>
        <w:ind w:left="605" w:leftChars="288" w:firstLineChars="0"/>
        <w:rPr>
          <w:rFonts w:ascii="宋体" w:hAnsi="宋体"/>
          <w:sz w:val="24"/>
          <w:szCs w:val="24"/>
        </w:rPr>
      </w:pPr>
      <w:r>
        <w:rPr>
          <w:rFonts w:hint="eastAsia" w:ascii="宋体" w:hAnsi="宋体"/>
          <w:sz w:val="24"/>
          <w:szCs w:val="24"/>
        </w:rPr>
        <w:t>线缆连接：带</w:t>
      </w:r>
      <w:r>
        <w:rPr>
          <w:rFonts w:ascii="宋体" w:hAnsi="宋体"/>
          <w:sz w:val="24"/>
          <w:szCs w:val="24"/>
        </w:rPr>
        <w:t xml:space="preserve"> 1m </w:t>
      </w:r>
      <w:r>
        <w:rPr>
          <w:rFonts w:hint="eastAsia" w:ascii="宋体" w:hAnsi="宋体"/>
          <w:sz w:val="24"/>
          <w:szCs w:val="24"/>
        </w:rPr>
        <w:t>引线用于连接水浸检测绳</w:t>
      </w:r>
      <w:r>
        <w:rPr>
          <w:rFonts w:ascii="宋体" w:hAnsi="宋体"/>
          <w:sz w:val="24"/>
          <w:szCs w:val="24"/>
        </w:rPr>
        <w:t>(</w:t>
      </w:r>
      <w:r>
        <w:rPr>
          <w:rFonts w:hint="eastAsia" w:ascii="宋体" w:hAnsi="宋体"/>
          <w:sz w:val="24"/>
          <w:szCs w:val="24"/>
        </w:rPr>
        <w:t>水浸检测绳支持快接端子连接，可灵活延长，自带</w:t>
      </w:r>
      <w:r>
        <w:rPr>
          <w:rFonts w:ascii="宋体" w:hAnsi="宋体"/>
          <w:sz w:val="24"/>
          <w:szCs w:val="24"/>
        </w:rPr>
        <w:t>5m</w:t>
      </w:r>
      <w:r>
        <w:rPr>
          <w:rFonts w:hint="eastAsia" w:ascii="宋体" w:hAnsi="宋体"/>
          <w:sz w:val="24"/>
          <w:szCs w:val="24"/>
        </w:rPr>
        <w:t>检测绳</w:t>
      </w:r>
      <w:r>
        <w:rPr>
          <w:rFonts w:ascii="宋体" w:hAnsi="宋体"/>
          <w:sz w:val="24"/>
          <w:szCs w:val="24"/>
        </w:rPr>
        <w:t>)</w:t>
      </w:r>
    </w:p>
    <w:p w14:paraId="23CA0E12">
      <w:pPr>
        <w:pStyle w:val="32"/>
        <w:numPr>
          <w:ilvl w:val="0"/>
          <w:numId w:val="13"/>
        </w:numPr>
        <w:ind w:left="605" w:leftChars="288" w:firstLineChars="0"/>
        <w:rPr>
          <w:rFonts w:ascii="宋体" w:hAnsi="宋体"/>
          <w:sz w:val="24"/>
          <w:szCs w:val="24"/>
        </w:rPr>
      </w:pPr>
      <w:r>
        <w:rPr>
          <w:rFonts w:hint="eastAsia" w:ascii="宋体" w:hAnsi="宋体"/>
          <w:sz w:val="24"/>
          <w:szCs w:val="24"/>
        </w:rPr>
        <w:t>安装方式：符合</w:t>
      </w:r>
      <w:r>
        <w:rPr>
          <w:rFonts w:ascii="宋体" w:hAnsi="宋体"/>
          <w:sz w:val="24"/>
          <w:szCs w:val="24"/>
        </w:rPr>
        <w:t>86</w:t>
      </w:r>
      <w:r>
        <w:rPr>
          <w:rFonts w:hint="eastAsia" w:ascii="宋体" w:hAnsi="宋体"/>
          <w:sz w:val="24"/>
          <w:szCs w:val="24"/>
        </w:rPr>
        <w:t>盒式安装尺寸，支持挂墙及底板安装。</w:t>
      </w:r>
    </w:p>
    <w:p w14:paraId="198A9D36">
      <w:pPr>
        <w:pStyle w:val="32"/>
        <w:numPr>
          <w:ilvl w:val="0"/>
          <w:numId w:val="13"/>
        </w:numPr>
        <w:ind w:left="605" w:leftChars="288" w:firstLineChars="0"/>
        <w:rPr>
          <w:rFonts w:ascii="宋体" w:hAnsi="宋体"/>
          <w:sz w:val="24"/>
          <w:szCs w:val="24"/>
        </w:rPr>
      </w:pPr>
      <w:r>
        <w:rPr>
          <w:rFonts w:hint="eastAsia" w:ascii="宋体" w:hAnsi="宋体"/>
          <w:sz w:val="24"/>
          <w:szCs w:val="24"/>
        </w:rPr>
        <w:t>电源及报警输出接口：</w:t>
      </w:r>
      <w:r>
        <w:rPr>
          <w:rFonts w:ascii="宋体" w:hAnsi="宋体"/>
          <w:sz w:val="24"/>
          <w:szCs w:val="24"/>
        </w:rPr>
        <w:t>RJ45</w:t>
      </w:r>
      <w:r>
        <w:rPr>
          <w:rFonts w:hint="eastAsia" w:ascii="宋体" w:hAnsi="宋体"/>
          <w:sz w:val="24"/>
          <w:szCs w:val="24"/>
        </w:rPr>
        <w:t>端口</w:t>
      </w:r>
    </w:p>
    <w:p w14:paraId="75BDDDD5">
      <w:pPr>
        <w:pStyle w:val="32"/>
        <w:ind w:left="601" w:leftChars="286" w:firstLine="0" w:firstLineChars="0"/>
        <w:jc w:val="left"/>
        <w:rPr>
          <w:rFonts w:ascii="宋体" w:hAnsi="宋体"/>
          <w:sz w:val="24"/>
          <w:szCs w:val="24"/>
        </w:rPr>
      </w:pPr>
    </w:p>
    <w:p w14:paraId="0FF41D95">
      <w:pPr>
        <w:pStyle w:val="77"/>
        <w:ind w:left="607" w:leftChars="289"/>
        <w:jc w:val="left"/>
        <w:rPr>
          <w:sz w:val="24"/>
          <w:szCs w:val="24"/>
        </w:rPr>
      </w:pPr>
      <w:r>
        <w:rPr>
          <w:rFonts w:hint="eastAsia"/>
          <w:sz w:val="24"/>
          <w:szCs w:val="24"/>
        </w:rPr>
        <w:t>蓄电池监控系统</w:t>
      </w:r>
    </w:p>
    <w:p w14:paraId="231F9182">
      <w:pPr>
        <w:pStyle w:val="32"/>
        <w:numPr>
          <w:ilvl w:val="0"/>
          <w:numId w:val="13"/>
        </w:numPr>
        <w:ind w:left="605" w:leftChars="288" w:firstLineChars="0"/>
        <w:jc w:val="left"/>
        <w:rPr>
          <w:rFonts w:ascii="宋体" w:hAnsi="宋体"/>
          <w:sz w:val="24"/>
          <w:szCs w:val="24"/>
        </w:rPr>
      </w:pPr>
      <w:r>
        <w:rPr>
          <w:rFonts w:hint="eastAsia" w:ascii="宋体" w:hAnsi="宋体"/>
          <w:sz w:val="24"/>
          <w:szCs w:val="24"/>
        </w:rPr>
        <w:t>蓄电池智能网关</w:t>
      </w:r>
    </w:p>
    <w:p w14:paraId="0D1DDA6F">
      <w:pPr>
        <w:pStyle w:val="32"/>
        <w:numPr>
          <w:ilvl w:val="0"/>
          <w:numId w:val="13"/>
        </w:numPr>
        <w:ind w:left="605" w:leftChars="288" w:firstLineChars="0"/>
        <w:jc w:val="left"/>
        <w:rPr>
          <w:rFonts w:ascii="宋体" w:hAnsi="宋体"/>
          <w:sz w:val="24"/>
          <w:szCs w:val="24"/>
        </w:rPr>
      </w:pPr>
      <w:r>
        <w:rPr>
          <w:rFonts w:hint="eastAsia" w:ascii="宋体" w:hAnsi="宋体"/>
          <w:sz w:val="24"/>
          <w:szCs w:val="24"/>
        </w:rPr>
        <w:t>支持1U标准机架安装；</w:t>
      </w:r>
    </w:p>
    <w:p w14:paraId="4D517C43">
      <w:pPr>
        <w:pStyle w:val="32"/>
        <w:numPr>
          <w:ilvl w:val="0"/>
          <w:numId w:val="13"/>
        </w:numPr>
        <w:ind w:left="605" w:leftChars="288" w:firstLineChars="0"/>
        <w:jc w:val="left"/>
        <w:rPr>
          <w:rFonts w:ascii="宋体" w:hAnsi="宋体"/>
          <w:sz w:val="24"/>
          <w:szCs w:val="24"/>
        </w:rPr>
      </w:pPr>
      <w:r>
        <w:rPr>
          <w:rFonts w:hint="eastAsia" w:ascii="宋体" w:hAnsi="宋体"/>
          <w:sz w:val="24"/>
          <w:szCs w:val="24"/>
        </w:rPr>
        <w:t>最大采集模块数不低于640节；</w:t>
      </w:r>
    </w:p>
    <w:p w14:paraId="4A18E90F">
      <w:pPr>
        <w:pStyle w:val="32"/>
        <w:numPr>
          <w:ilvl w:val="0"/>
          <w:numId w:val="13"/>
        </w:numPr>
        <w:ind w:left="605" w:leftChars="288" w:firstLineChars="0"/>
        <w:jc w:val="left"/>
        <w:rPr>
          <w:rFonts w:ascii="宋体" w:hAnsi="宋体"/>
          <w:sz w:val="24"/>
          <w:szCs w:val="24"/>
        </w:rPr>
      </w:pPr>
      <w:r>
        <w:rPr>
          <w:rFonts w:hint="eastAsia" w:ascii="宋体" w:hAnsi="宋体"/>
          <w:sz w:val="24"/>
          <w:szCs w:val="24"/>
        </w:rPr>
        <w:t>具备SOH/SOC、蓄电后备时间、热失控预警(温升)、单体电压/内阻均衡度等职能分析功能；</w:t>
      </w:r>
    </w:p>
    <w:p w14:paraId="38B1D2AB">
      <w:pPr>
        <w:ind w:left="181" w:leftChars="86" w:firstLine="480" w:firstLineChars="200"/>
        <w:jc w:val="left"/>
        <w:rPr>
          <w:rFonts w:ascii="宋体" w:hAnsi="宋体"/>
          <w:sz w:val="24"/>
          <w:szCs w:val="24"/>
        </w:rPr>
      </w:pPr>
      <w:r>
        <w:rPr>
          <w:rFonts w:hint="eastAsia" w:ascii="宋体" w:hAnsi="宋体"/>
          <w:sz w:val="24"/>
          <w:szCs w:val="24"/>
        </w:rPr>
        <w:t>电流电压采集模块</w:t>
      </w:r>
    </w:p>
    <w:p w14:paraId="18EBCB61">
      <w:pPr>
        <w:pStyle w:val="32"/>
        <w:numPr>
          <w:ilvl w:val="0"/>
          <w:numId w:val="13"/>
        </w:numPr>
        <w:ind w:left="605" w:leftChars="288" w:firstLineChars="0"/>
        <w:jc w:val="left"/>
        <w:rPr>
          <w:rFonts w:ascii="宋体" w:hAnsi="宋体"/>
          <w:sz w:val="24"/>
          <w:szCs w:val="24"/>
        </w:rPr>
      </w:pPr>
      <w:r>
        <w:rPr>
          <w:rFonts w:hint="eastAsia" w:ascii="宋体" w:hAnsi="宋体"/>
          <w:sz w:val="24"/>
          <w:szCs w:val="24"/>
        </w:rPr>
        <w:t>电流测量范围 0~±1000A；</w:t>
      </w:r>
    </w:p>
    <w:p w14:paraId="28E6193D">
      <w:pPr>
        <w:pStyle w:val="32"/>
        <w:numPr>
          <w:ilvl w:val="0"/>
          <w:numId w:val="13"/>
        </w:numPr>
        <w:ind w:left="605" w:leftChars="288" w:firstLineChars="0"/>
        <w:jc w:val="left"/>
        <w:rPr>
          <w:rFonts w:ascii="宋体" w:hAnsi="宋体"/>
          <w:sz w:val="24"/>
          <w:szCs w:val="24"/>
        </w:rPr>
      </w:pPr>
      <w:r>
        <w:rPr>
          <w:rFonts w:hint="eastAsia" w:ascii="宋体" w:hAnsi="宋体"/>
          <w:sz w:val="24"/>
          <w:szCs w:val="24"/>
        </w:rPr>
        <w:t>电流测量精度 ±1% F.S.；</w:t>
      </w:r>
    </w:p>
    <w:p w14:paraId="1E62FA33">
      <w:pPr>
        <w:pStyle w:val="32"/>
        <w:numPr>
          <w:ilvl w:val="0"/>
          <w:numId w:val="13"/>
        </w:numPr>
        <w:ind w:left="605" w:leftChars="288" w:firstLineChars="0"/>
        <w:jc w:val="left"/>
        <w:rPr>
          <w:rFonts w:ascii="宋体" w:hAnsi="宋体"/>
          <w:sz w:val="24"/>
          <w:szCs w:val="24"/>
        </w:rPr>
      </w:pPr>
      <w:r>
        <w:rPr>
          <w:rFonts w:hint="eastAsia" w:ascii="宋体" w:hAnsi="宋体"/>
          <w:sz w:val="24"/>
          <w:szCs w:val="24"/>
        </w:rPr>
        <w:t>电压测量范围 0~±1000V；</w:t>
      </w:r>
    </w:p>
    <w:p w14:paraId="5625437A">
      <w:pPr>
        <w:pStyle w:val="32"/>
        <w:numPr>
          <w:ilvl w:val="0"/>
          <w:numId w:val="13"/>
        </w:numPr>
        <w:ind w:left="605" w:leftChars="288" w:firstLineChars="0"/>
        <w:jc w:val="left"/>
        <w:rPr>
          <w:rFonts w:ascii="宋体" w:hAnsi="宋体"/>
          <w:sz w:val="24"/>
          <w:szCs w:val="24"/>
        </w:rPr>
      </w:pPr>
      <w:r>
        <w:rPr>
          <w:rFonts w:hint="eastAsia" w:ascii="宋体" w:hAnsi="宋体"/>
          <w:sz w:val="24"/>
          <w:szCs w:val="24"/>
        </w:rPr>
        <w:t>组电压测量精度 ±0.5% F.S.；</w:t>
      </w:r>
    </w:p>
    <w:p w14:paraId="6E9A8E10">
      <w:pPr>
        <w:pStyle w:val="32"/>
        <w:ind w:left="601" w:leftChars="286" w:firstLine="0" w:firstLineChars="0"/>
        <w:jc w:val="left"/>
        <w:rPr>
          <w:rFonts w:ascii="宋体" w:hAnsi="宋体"/>
          <w:sz w:val="24"/>
          <w:szCs w:val="24"/>
        </w:rPr>
      </w:pPr>
    </w:p>
    <w:p w14:paraId="3A48E77C">
      <w:pPr>
        <w:pStyle w:val="77"/>
        <w:ind w:left="607" w:leftChars="289"/>
        <w:jc w:val="left"/>
        <w:rPr>
          <w:sz w:val="24"/>
          <w:szCs w:val="24"/>
        </w:rPr>
      </w:pPr>
      <w:r>
        <w:rPr>
          <w:rFonts w:hint="eastAsia"/>
          <w:sz w:val="24"/>
          <w:szCs w:val="24"/>
        </w:rPr>
        <w:t>交换机</w:t>
      </w:r>
    </w:p>
    <w:p w14:paraId="19E55AA3">
      <w:pPr>
        <w:pStyle w:val="32"/>
        <w:numPr>
          <w:ilvl w:val="0"/>
          <w:numId w:val="13"/>
        </w:numPr>
        <w:ind w:left="605" w:leftChars="288" w:firstLineChars="0"/>
        <w:jc w:val="left"/>
        <w:rPr>
          <w:rFonts w:ascii="宋体" w:hAnsi="宋体"/>
          <w:sz w:val="24"/>
          <w:szCs w:val="24"/>
        </w:rPr>
      </w:pPr>
      <w:r>
        <w:rPr>
          <w:rFonts w:hint="eastAsia" w:ascii="宋体" w:hAnsi="宋体"/>
          <w:sz w:val="24"/>
          <w:szCs w:val="24"/>
        </w:rPr>
        <w:t>接口：24个10/100/1000BASE-T以太网端口，</w:t>
      </w:r>
    </w:p>
    <w:p w14:paraId="0ED2E9D9">
      <w:pPr>
        <w:pStyle w:val="32"/>
        <w:numPr>
          <w:ilvl w:val="0"/>
          <w:numId w:val="13"/>
        </w:numPr>
        <w:ind w:left="605" w:leftChars="288" w:firstLineChars="0"/>
        <w:jc w:val="left"/>
        <w:rPr>
          <w:rFonts w:ascii="宋体" w:hAnsi="宋体"/>
          <w:sz w:val="24"/>
          <w:szCs w:val="24"/>
        </w:rPr>
      </w:pPr>
      <w:r>
        <w:rPr>
          <w:rFonts w:hint="eastAsia" w:ascii="宋体" w:hAnsi="宋体"/>
          <w:sz w:val="24"/>
          <w:szCs w:val="24"/>
        </w:rPr>
        <w:t>POE：具备PoE+</w:t>
      </w:r>
    </w:p>
    <w:p w14:paraId="4C61DA03">
      <w:pPr>
        <w:pStyle w:val="32"/>
        <w:numPr>
          <w:ilvl w:val="0"/>
          <w:numId w:val="13"/>
        </w:numPr>
        <w:ind w:left="605" w:leftChars="288" w:firstLineChars="0"/>
        <w:jc w:val="left"/>
        <w:rPr>
          <w:rFonts w:ascii="宋体" w:hAnsi="宋体"/>
          <w:sz w:val="24"/>
          <w:szCs w:val="24"/>
        </w:rPr>
      </w:pPr>
      <w:r>
        <w:rPr>
          <w:rFonts w:hint="eastAsia" w:ascii="宋体" w:hAnsi="宋体"/>
          <w:sz w:val="24"/>
          <w:szCs w:val="24"/>
        </w:rPr>
        <w:t>交换容量：≥750Gbps/7.50Tbps</w:t>
      </w:r>
    </w:p>
    <w:p w14:paraId="60F5770F">
      <w:pPr>
        <w:pStyle w:val="32"/>
        <w:numPr>
          <w:ilvl w:val="0"/>
          <w:numId w:val="13"/>
        </w:numPr>
        <w:ind w:left="605" w:leftChars="288" w:firstLineChars="0"/>
        <w:jc w:val="left"/>
        <w:rPr>
          <w:rFonts w:ascii="宋体" w:hAnsi="宋体"/>
          <w:sz w:val="24"/>
          <w:szCs w:val="24"/>
        </w:rPr>
      </w:pPr>
      <w:r>
        <w:rPr>
          <w:rFonts w:hint="eastAsia" w:ascii="宋体" w:hAnsi="宋体"/>
          <w:sz w:val="24"/>
          <w:szCs w:val="24"/>
        </w:rPr>
        <w:t>包转发率：≥210Mpps/390Mpps</w:t>
      </w:r>
    </w:p>
    <w:p w14:paraId="43E56FB6">
      <w:pPr>
        <w:pStyle w:val="32"/>
        <w:numPr>
          <w:ilvl w:val="0"/>
          <w:numId w:val="13"/>
        </w:numPr>
        <w:ind w:left="605" w:leftChars="288" w:firstLineChars="0"/>
        <w:jc w:val="left"/>
        <w:rPr>
          <w:rFonts w:ascii="宋体" w:hAnsi="宋体"/>
          <w:sz w:val="24"/>
          <w:szCs w:val="24"/>
        </w:rPr>
      </w:pPr>
      <w:r>
        <w:rPr>
          <w:rFonts w:hint="eastAsia" w:ascii="宋体" w:hAnsi="宋体"/>
          <w:sz w:val="24"/>
          <w:szCs w:val="24"/>
        </w:rPr>
        <w:t>安装方式：机架式安装，高度1U</w:t>
      </w:r>
    </w:p>
    <w:p w14:paraId="53FB7D38">
      <w:pPr>
        <w:pStyle w:val="32"/>
        <w:numPr>
          <w:ilvl w:val="0"/>
          <w:numId w:val="13"/>
        </w:numPr>
        <w:ind w:left="605" w:leftChars="288" w:firstLineChars="0"/>
        <w:jc w:val="left"/>
        <w:rPr>
          <w:rFonts w:ascii="宋体" w:hAnsi="宋体"/>
          <w:sz w:val="24"/>
          <w:szCs w:val="24"/>
        </w:rPr>
      </w:pPr>
      <w:r>
        <w:rPr>
          <w:rFonts w:hint="eastAsia" w:ascii="宋体" w:hAnsi="宋体"/>
          <w:sz w:val="24"/>
          <w:szCs w:val="24"/>
        </w:rPr>
        <w:t>额定电压范围：100-240V AC；50/60Hz，双电源</w:t>
      </w:r>
    </w:p>
    <w:p w14:paraId="71FFC0F5">
      <w:pPr>
        <w:pStyle w:val="32"/>
        <w:numPr>
          <w:ilvl w:val="0"/>
          <w:numId w:val="13"/>
        </w:numPr>
        <w:ind w:left="605" w:leftChars="288" w:firstLineChars="0"/>
        <w:jc w:val="left"/>
        <w:rPr>
          <w:rFonts w:ascii="宋体" w:hAnsi="宋体"/>
          <w:sz w:val="24"/>
          <w:szCs w:val="24"/>
        </w:rPr>
      </w:pPr>
      <w:r>
        <w:rPr>
          <w:rFonts w:hint="eastAsia" w:ascii="宋体" w:hAnsi="宋体"/>
          <w:sz w:val="24"/>
          <w:szCs w:val="24"/>
        </w:rPr>
        <w:t>最大功耗：121W（不带POE）</w:t>
      </w:r>
    </w:p>
    <w:p w14:paraId="7B9A5B41">
      <w:pPr>
        <w:pStyle w:val="32"/>
        <w:numPr>
          <w:ilvl w:val="0"/>
          <w:numId w:val="13"/>
        </w:numPr>
        <w:ind w:left="605" w:leftChars="288" w:firstLineChars="0"/>
        <w:jc w:val="left"/>
        <w:rPr>
          <w:rFonts w:ascii="宋体" w:hAnsi="宋体"/>
          <w:sz w:val="24"/>
          <w:szCs w:val="24"/>
        </w:rPr>
      </w:pPr>
      <w:r>
        <w:rPr>
          <w:rFonts w:hint="eastAsia" w:ascii="宋体" w:hAnsi="宋体"/>
          <w:sz w:val="24"/>
          <w:szCs w:val="24"/>
        </w:rPr>
        <w:t>977W（带POE，PoE：740W）</w:t>
      </w:r>
    </w:p>
    <w:p w14:paraId="6BABCE50">
      <w:pPr>
        <w:pStyle w:val="32"/>
        <w:numPr>
          <w:ilvl w:val="0"/>
          <w:numId w:val="13"/>
        </w:numPr>
        <w:ind w:left="605" w:leftChars="288" w:firstLineChars="0"/>
        <w:jc w:val="left"/>
        <w:rPr>
          <w:rFonts w:ascii="宋体" w:hAnsi="宋体"/>
          <w:sz w:val="24"/>
          <w:szCs w:val="24"/>
        </w:rPr>
      </w:pPr>
      <w:r>
        <w:rPr>
          <w:rFonts w:hint="eastAsia" w:ascii="宋体" w:hAnsi="宋体"/>
          <w:sz w:val="24"/>
          <w:szCs w:val="24"/>
        </w:rPr>
        <w:t>运行温度：-5℃～+45℃</w:t>
      </w:r>
    </w:p>
    <w:p w14:paraId="3916BD16">
      <w:pPr>
        <w:pStyle w:val="32"/>
        <w:numPr>
          <w:ilvl w:val="0"/>
          <w:numId w:val="13"/>
        </w:numPr>
        <w:ind w:left="605" w:leftChars="288" w:firstLineChars="0"/>
        <w:jc w:val="left"/>
        <w:rPr>
          <w:rFonts w:ascii="宋体" w:hAnsi="宋体"/>
          <w:sz w:val="24"/>
          <w:szCs w:val="24"/>
        </w:rPr>
      </w:pPr>
      <w:r>
        <w:rPr>
          <w:rFonts w:hint="eastAsia" w:ascii="宋体" w:hAnsi="宋体"/>
          <w:sz w:val="24"/>
          <w:szCs w:val="24"/>
        </w:rPr>
        <w:t>预留1个扩展插槽，未来支持4*40GE、2*100G子卡，支持堆叠功能</w:t>
      </w:r>
    </w:p>
    <w:p w14:paraId="3860CFBB">
      <w:pPr>
        <w:pStyle w:val="76"/>
        <w:ind w:left="1172" w:leftChars="558"/>
        <w:jc w:val="left"/>
        <w:outlineLvl w:val="2"/>
        <w:rPr>
          <w:sz w:val="24"/>
          <w:szCs w:val="24"/>
        </w:rPr>
      </w:pPr>
      <w:r>
        <w:rPr>
          <w:rFonts w:hint="eastAsia"/>
          <w:sz w:val="24"/>
          <w:szCs w:val="24"/>
        </w:rPr>
        <w:t>其他要求</w:t>
      </w:r>
    </w:p>
    <w:p w14:paraId="750E117F">
      <w:pPr>
        <w:pStyle w:val="32"/>
        <w:ind w:left="601" w:leftChars="86" w:hanging="420" w:firstLineChars="0"/>
        <w:rPr>
          <w:rFonts w:ascii="宋体" w:hAnsi="宋体"/>
          <w:sz w:val="24"/>
        </w:rPr>
      </w:pPr>
      <w:r>
        <w:rPr>
          <w:rFonts w:ascii="宋体" w:hAnsi="宋体"/>
          <w:sz w:val="24"/>
        </w:rPr>
        <w:t>1)</w:t>
      </w:r>
      <w:r>
        <w:rPr>
          <w:rFonts w:hint="eastAsia" w:ascii="宋体" w:hAnsi="宋体"/>
          <w:sz w:val="24"/>
        </w:rPr>
        <w:t>本项目需要提供完整的BA系统及电力监控系统，或在现有的BA系统及电力监控系统基础上完成调测。BA系统的界面、功能需要、性能指标与采购方授权人员确认。各项功能、性能指标需要提供完整的测试报告，并通过采购方审核。BA系统及电力监控系统需要接入现有动环监控系统。</w:t>
      </w:r>
    </w:p>
    <w:p w14:paraId="37C229CD">
      <w:pPr>
        <w:pStyle w:val="32"/>
        <w:ind w:left="601" w:leftChars="86" w:hanging="420" w:firstLineChars="0"/>
        <w:rPr>
          <w:rFonts w:ascii="宋体" w:hAnsi="宋体"/>
          <w:sz w:val="24"/>
        </w:rPr>
      </w:pPr>
      <w:r>
        <w:rPr>
          <w:rFonts w:ascii="宋体" w:hAnsi="宋体"/>
          <w:sz w:val="24"/>
        </w:rPr>
        <w:t>2)</w:t>
      </w:r>
      <w:r>
        <w:rPr>
          <w:rFonts w:hint="eastAsia" w:ascii="宋体" w:hAnsi="宋体"/>
          <w:sz w:val="24"/>
        </w:rPr>
        <w:t>动环系统中的所有信号、供电线缆的每条完整链路中间不允许有接头；</w:t>
      </w:r>
    </w:p>
    <w:p w14:paraId="2ECA7045">
      <w:pPr>
        <w:pStyle w:val="32"/>
        <w:ind w:left="601" w:leftChars="86" w:hanging="420" w:firstLineChars="0"/>
        <w:rPr>
          <w:rFonts w:ascii="宋体" w:hAnsi="宋体"/>
          <w:sz w:val="24"/>
        </w:rPr>
      </w:pPr>
      <w:r>
        <w:rPr>
          <w:rFonts w:ascii="宋体" w:hAnsi="宋体"/>
          <w:sz w:val="24"/>
        </w:rPr>
        <w:t>3)</w:t>
      </w:r>
      <w:r>
        <w:rPr>
          <w:rFonts w:hint="eastAsia" w:ascii="宋体" w:hAnsi="宋体"/>
          <w:sz w:val="24"/>
        </w:rPr>
        <w:t>各类设备(含线缆)现场要求有编号、标签；</w:t>
      </w:r>
    </w:p>
    <w:p w14:paraId="2741D5E5">
      <w:pPr>
        <w:pStyle w:val="32"/>
        <w:ind w:left="601" w:leftChars="86" w:hanging="420" w:firstLineChars="0"/>
        <w:rPr>
          <w:rFonts w:ascii="宋体" w:hAnsi="宋体"/>
          <w:sz w:val="24"/>
        </w:rPr>
      </w:pPr>
      <w:r>
        <w:rPr>
          <w:rFonts w:ascii="宋体" w:hAnsi="宋体"/>
          <w:sz w:val="24"/>
        </w:rPr>
        <w:t>4)</w:t>
      </w:r>
      <w:r>
        <w:rPr>
          <w:rFonts w:hint="eastAsia" w:ascii="宋体" w:hAnsi="宋体"/>
          <w:sz w:val="24"/>
        </w:rPr>
        <w:t>所有施工工艺(包括桥架、管材、线缆等的敷设及连接工艺等等)均须经设计、项管、监理、业主确认。</w:t>
      </w:r>
    </w:p>
    <w:p w14:paraId="23B768F7">
      <w:pPr>
        <w:pStyle w:val="32"/>
        <w:ind w:left="601" w:leftChars="86" w:hanging="420" w:firstLineChars="0"/>
        <w:rPr>
          <w:rFonts w:ascii="宋体" w:hAnsi="宋体"/>
          <w:sz w:val="24"/>
        </w:rPr>
      </w:pPr>
      <w:r>
        <w:rPr>
          <w:rFonts w:ascii="宋体" w:hAnsi="宋体"/>
          <w:sz w:val="24"/>
        </w:rPr>
        <w:t>5)</w:t>
      </w:r>
      <w:r>
        <w:rPr>
          <w:rFonts w:hint="eastAsia" w:ascii="宋体" w:hAnsi="宋体"/>
          <w:sz w:val="24"/>
        </w:rPr>
        <w:t>本项目所有相关软件在正式验收交付后，应提供终身使用的授权码，在不做软件功能(定义为底层代码修改)增加或调整前提下，无须再次付费。</w:t>
      </w:r>
    </w:p>
    <w:p w14:paraId="4E429D1A">
      <w:pPr>
        <w:pStyle w:val="32"/>
        <w:ind w:left="601" w:leftChars="86" w:hanging="420" w:firstLineChars="0"/>
        <w:rPr>
          <w:rFonts w:ascii="宋体" w:hAnsi="宋体"/>
          <w:sz w:val="24"/>
        </w:rPr>
      </w:pPr>
      <w:r>
        <w:rPr>
          <w:rFonts w:ascii="宋体" w:hAnsi="宋体"/>
          <w:sz w:val="24"/>
        </w:rPr>
        <w:t>6)</w:t>
      </w:r>
      <w:r>
        <w:rPr>
          <w:rFonts w:hint="eastAsia" w:ascii="宋体" w:hAnsi="宋体"/>
          <w:sz w:val="24"/>
        </w:rPr>
        <w:t>因软件使用的服务器硬件载体故障，须重新更换硬件时，无须为软件授权码再次付费。</w:t>
      </w:r>
    </w:p>
    <w:p w14:paraId="6C91D253">
      <w:pPr>
        <w:pStyle w:val="76"/>
        <w:numPr>
          <w:ilvl w:val="0"/>
          <w:numId w:val="0"/>
        </w:numPr>
        <w:ind w:left="181" w:leftChars="86" w:firstLine="480" w:firstLineChars="200"/>
        <w:outlineLvl w:val="9"/>
        <w:rPr>
          <w:b w:val="0"/>
          <w:sz w:val="24"/>
          <w:szCs w:val="24"/>
        </w:rPr>
      </w:pPr>
    </w:p>
    <w:p w14:paraId="0556403D">
      <w:pPr>
        <w:ind w:firstLine="420" w:firstLineChars="200"/>
        <w:rPr>
          <w:rFonts w:ascii="宋体" w:hAnsi="宋体"/>
        </w:rPr>
      </w:pPr>
    </w:p>
    <w:p w14:paraId="46FF1596">
      <w:pPr>
        <w:widowControl/>
        <w:spacing w:line="240" w:lineRule="auto"/>
        <w:ind w:right="36" w:rightChars="17"/>
        <w:jc w:val="left"/>
        <w:rPr>
          <w:rFonts w:ascii="宋体" w:hAnsi="宋体"/>
        </w:rPr>
      </w:pPr>
    </w:p>
    <w:sectPr>
      <w:footerReference r:id="rId5" w:type="default"/>
      <w:pgSz w:w="11906" w:h="16838"/>
      <w:pgMar w:top="1440" w:right="1304" w:bottom="1440" w:left="156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MS Gothic">
    <w:panose1 w:val="020B0609070205080204"/>
    <w:charset w:val="80"/>
    <w:family w:val="modern"/>
    <w:pitch w:val="default"/>
    <w:sig w:usb0="E00002FF" w:usb1="6AC7FDFB" w:usb2="08000012" w:usb3="00000000" w:csb0="4002009F" w:csb1="DFD7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59456136"/>
    </w:sdtPr>
    <w:sdtContent>
      <w:p w14:paraId="733EA234">
        <w:pPr>
          <w:pStyle w:val="18"/>
          <w:jc w:val="cente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51</w:t>
        </w:r>
        <w:r>
          <w:rPr>
            <w:sz w:val="21"/>
            <w:szCs w:val="21"/>
          </w:rPr>
          <w:fldChar w:fldCharType="end"/>
        </w:r>
      </w:p>
    </w:sdtContent>
  </w:sdt>
  <w:p w14:paraId="00F80EA5">
    <w:pPr>
      <w:pStyle w:val="1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DAA5F9"/>
    <w:multiLevelType w:val="singleLevel"/>
    <w:tmpl w:val="A3DAA5F9"/>
    <w:lvl w:ilvl="0" w:tentative="0">
      <w:start w:val="1"/>
      <w:numFmt w:val="decimal"/>
      <w:suff w:val="nothing"/>
      <w:lvlText w:val="%1）"/>
      <w:lvlJc w:val="left"/>
    </w:lvl>
  </w:abstractNum>
  <w:abstractNum w:abstractNumId="1">
    <w:nsid w:val="E4A74BFF"/>
    <w:multiLevelType w:val="singleLevel"/>
    <w:tmpl w:val="E4A74BFF"/>
    <w:lvl w:ilvl="0" w:tentative="0">
      <w:start w:val="2"/>
      <w:numFmt w:val="decimal"/>
      <w:suff w:val="nothing"/>
      <w:lvlText w:val="%1）"/>
      <w:lvlJc w:val="left"/>
    </w:lvl>
  </w:abstractNum>
  <w:abstractNum w:abstractNumId="2">
    <w:nsid w:val="0C82003C"/>
    <w:multiLevelType w:val="singleLevel"/>
    <w:tmpl w:val="0C82003C"/>
    <w:lvl w:ilvl="0" w:tentative="0">
      <w:start w:val="2"/>
      <w:numFmt w:val="decimal"/>
      <w:suff w:val="nothing"/>
      <w:lvlText w:val="（%1）"/>
      <w:lvlJc w:val="left"/>
    </w:lvl>
  </w:abstractNum>
  <w:abstractNum w:abstractNumId="3">
    <w:nsid w:val="0CF3271F"/>
    <w:multiLevelType w:val="singleLevel"/>
    <w:tmpl w:val="0CF3271F"/>
    <w:lvl w:ilvl="0" w:tentative="0">
      <w:start w:val="1"/>
      <w:numFmt w:val="bullet"/>
      <w:lvlText w:val=""/>
      <w:lvlJc w:val="left"/>
      <w:pPr>
        <w:tabs>
          <w:tab w:val="left" w:pos="420"/>
        </w:tabs>
        <w:ind w:left="840" w:hanging="420"/>
      </w:pPr>
      <w:rPr>
        <w:rFonts w:hint="default" w:ascii="Wingdings" w:hAnsi="Wingdings"/>
      </w:rPr>
    </w:lvl>
  </w:abstractNum>
  <w:abstractNum w:abstractNumId="4">
    <w:nsid w:val="19B3F100"/>
    <w:multiLevelType w:val="singleLevel"/>
    <w:tmpl w:val="19B3F100"/>
    <w:lvl w:ilvl="0" w:tentative="0">
      <w:start w:val="1"/>
      <w:numFmt w:val="bullet"/>
      <w:lvlText w:val=""/>
      <w:lvlJc w:val="left"/>
      <w:pPr>
        <w:ind w:left="420" w:hanging="420"/>
      </w:pPr>
      <w:rPr>
        <w:rFonts w:hint="default" w:ascii="Wingdings" w:hAnsi="Wingdings"/>
      </w:rPr>
    </w:lvl>
  </w:abstractNum>
  <w:abstractNum w:abstractNumId="5">
    <w:nsid w:val="319E49B5"/>
    <w:multiLevelType w:val="multilevel"/>
    <w:tmpl w:val="319E49B5"/>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6">
    <w:nsid w:val="342A5EDD"/>
    <w:multiLevelType w:val="multilevel"/>
    <w:tmpl w:val="342A5EDD"/>
    <w:lvl w:ilvl="0" w:tentative="0">
      <w:start w:val="1"/>
      <w:numFmt w:val="bullet"/>
      <w:lvlText w:val=""/>
      <w:lvlJc w:val="left"/>
      <w:pPr>
        <w:ind w:left="425" w:hanging="425"/>
      </w:pPr>
      <w:rPr>
        <w:rFonts w:hint="default" w:ascii="Wingdings" w:hAnsi="Wingdings"/>
        <w:b w:val="0"/>
        <w:i w:val="0"/>
        <w:color w:val="002060"/>
        <w:sz w:val="22"/>
      </w:rPr>
    </w:lvl>
    <w:lvl w:ilvl="1" w:tentative="0">
      <w:start w:val="1"/>
      <w:numFmt w:val="bullet"/>
      <w:lvlText w:val=""/>
      <w:lvlJc w:val="left"/>
      <w:pPr>
        <w:ind w:left="992" w:hanging="567"/>
      </w:pPr>
      <w:rPr>
        <w:rFonts w:hint="default" w:ascii="Wingdings" w:hAnsi="Wingdings"/>
      </w:r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7">
    <w:nsid w:val="4BAC395F"/>
    <w:multiLevelType w:val="multilevel"/>
    <w:tmpl w:val="4BAC395F"/>
    <w:lvl w:ilvl="0" w:tentative="0">
      <w:start w:val="1"/>
      <w:numFmt w:val="bullet"/>
      <w:lvlText w:val=""/>
      <w:lvlJc w:val="left"/>
      <w:pPr>
        <w:ind w:left="617" w:hanging="420"/>
      </w:pPr>
      <w:rPr>
        <w:rFonts w:hint="default" w:ascii="Wingdings" w:hAnsi="Wingdings"/>
      </w:rPr>
    </w:lvl>
    <w:lvl w:ilvl="1" w:tentative="0">
      <w:start w:val="1"/>
      <w:numFmt w:val="bullet"/>
      <w:lvlText w:val=""/>
      <w:lvlJc w:val="left"/>
      <w:pPr>
        <w:ind w:left="1037" w:hanging="420"/>
      </w:pPr>
      <w:rPr>
        <w:rFonts w:hint="default" w:ascii="Wingdings" w:hAnsi="Wingdings"/>
      </w:rPr>
    </w:lvl>
    <w:lvl w:ilvl="2" w:tentative="0">
      <w:start w:val="1"/>
      <w:numFmt w:val="bullet"/>
      <w:lvlText w:val=""/>
      <w:lvlJc w:val="left"/>
      <w:pPr>
        <w:ind w:left="1457" w:hanging="420"/>
      </w:pPr>
      <w:rPr>
        <w:rFonts w:hint="default" w:ascii="Wingdings" w:hAnsi="Wingdings"/>
      </w:rPr>
    </w:lvl>
    <w:lvl w:ilvl="3" w:tentative="0">
      <w:start w:val="1"/>
      <w:numFmt w:val="bullet"/>
      <w:lvlText w:val=""/>
      <w:lvlJc w:val="left"/>
      <w:pPr>
        <w:ind w:left="1877" w:hanging="420"/>
      </w:pPr>
      <w:rPr>
        <w:rFonts w:hint="default" w:ascii="Wingdings" w:hAnsi="Wingdings"/>
      </w:rPr>
    </w:lvl>
    <w:lvl w:ilvl="4" w:tentative="0">
      <w:start w:val="1"/>
      <w:numFmt w:val="bullet"/>
      <w:lvlText w:val=""/>
      <w:lvlJc w:val="left"/>
      <w:pPr>
        <w:ind w:left="2297" w:hanging="420"/>
      </w:pPr>
      <w:rPr>
        <w:rFonts w:hint="default" w:ascii="Wingdings" w:hAnsi="Wingdings"/>
      </w:rPr>
    </w:lvl>
    <w:lvl w:ilvl="5" w:tentative="0">
      <w:start w:val="1"/>
      <w:numFmt w:val="bullet"/>
      <w:lvlText w:val=""/>
      <w:lvlJc w:val="left"/>
      <w:pPr>
        <w:ind w:left="2717" w:hanging="420"/>
      </w:pPr>
      <w:rPr>
        <w:rFonts w:hint="default" w:ascii="Wingdings" w:hAnsi="Wingdings"/>
      </w:rPr>
    </w:lvl>
    <w:lvl w:ilvl="6" w:tentative="0">
      <w:start w:val="1"/>
      <w:numFmt w:val="bullet"/>
      <w:lvlText w:val=""/>
      <w:lvlJc w:val="left"/>
      <w:pPr>
        <w:ind w:left="3137" w:hanging="420"/>
      </w:pPr>
      <w:rPr>
        <w:rFonts w:hint="default" w:ascii="Wingdings" w:hAnsi="Wingdings"/>
      </w:rPr>
    </w:lvl>
    <w:lvl w:ilvl="7" w:tentative="0">
      <w:start w:val="1"/>
      <w:numFmt w:val="bullet"/>
      <w:lvlText w:val=""/>
      <w:lvlJc w:val="left"/>
      <w:pPr>
        <w:ind w:left="3557" w:hanging="420"/>
      </w:pPr>
      <w:rPr>
        <w:rFonts w:hint="default" w:ascii="Wingdings" w:hAnsi="Wingdings"/>
      </w:rPr>
    </w:lvl>
    <w:lvl w:ilvl="8" w:tentative="0">
      <w:start w:val="1"/>
      <w:numFmt w:val="bullet"/>
      <w:lvlText w:val=""/>
      <w:lvlJc w:val="left"/>
      <w:pPr>
        <w:ind w:left="3977" w:hanging="420"/>
      </w:pPr>
      <w:rPr>
        <w:rFonts w:hint="default" w:ascii="Wingdings" w:hAnsi="Wingdings"/>
      </w:rPr>
    </w:lvl>
  </w:abstractNum>
  <w:abstractNum w:abstractNumId="8">
    <w:nsid w:val="52CA5106"/>
    <w:multiLevelType w:val="multilevel"/>
    <w:tmpl w:val="52CA5106"/>
    <w:lvl w:ilvl="0" w:tentative="0">
      <w:start w:val="1"/>
      <w:numFmt w:val="decimal"/>
      <w:pStyle w:val="4"/>
      <w:lvlText w:val="第%1章"/>
      <w:lvlJc w:val="left"/>
      <w:pPr>
        <w:ind w:left="425" w:hanging="425"/>
      </w:pPr>
      <w:rPr>
        <w:rFonts w:hint="eastAsia"/>
      </w:rPr>
    </w:lvl>
    <w:lvl w:ilvl="1" w:tentative="0">
      <w:start w:val="1"/>
      <w:numFmt w:val="decimal"/>
      <w:pStyle w:val="6"/>
      <w:lvlText w:val="%1.%2"/>
      <w:lvlJc w:val="left"/>
      <w:pPr>
        <w:ind w:left="0" w:firstLine="0"/>
      </w:pPr>
      <w:rPr>
        <w:rFonts w:hint="eastAsia"/>
      </w:rPr>
    </w:lvl>
    <w:lvl w:ilvl="2" w:tentative="0">
      <w:start w:val="1"/>
      <w:numFmt w:val="decimal"/>
      <w:pStyle w:val="7"/>
      <w:lvlText w:val="%1.%2.%3"/>
      <w:lvlJc w:val="left"/>
      <w:pPr>
        <w:ind w:left="2694" w:firstLine="0"/>
      </w:pPr>
      <w:rPr>
        <w:rFonts w:hint="eastAsia"/>
      </w:rPr>
    </w:lvl>
    <w:lvl w:ilvl="3" w:tentative="0">
      <w:start w:val="1"/>
      <w:numFmt w:val="decimal"/>
      <w:pStyle w:val="8"/>
      <w:lvlText w:val="%1.%2.%3.%4"/>
      <w:lvlJc w:val="left"/>
      <w:pPr>
        <w:ind w:left="0" w:firstLine="0"/>
      </w:pPr>
      <w:rPr>
        <w:rFonts w:hint="eastAsia"/>
      </w:rPr>
    </w:lvl>
    <w:lvl w:ilvl="4" w:tentative="0">
      <w:start w:val="1"/>
      <w:numFmt w:val="decimal"/>
      <w:pStyle w:val="9"/>
      <w:lvlText w:val="%1.%2.%3.%4.%5"/>
      <w:lvlJc w:val="left"/>
      <w:pPr>
        <w:ind w:left="0" w:firstLine="0"/>
      </w:pPr>
      <w:rPr>
        <w:rFonts w:hint="eastAsia"/>
      </w:rPr>
    </w:lvl>
    <w:lvl w:ilvl="5" w:tentative="0">
      <w:start w:val="1"/>
      <w:numFmt w:val="decimal"/>
      <w:pStyle w:val="10"/>
      <w:lvlText w:val="%1.%2.%3.%4.%5.%6"/>
      <w:lvlJc w:val="left"/>
      <w:pPr>
        <w:ind w:left="0" w:firstLine="0"/>
      </w:pPr>
      <w:rPr>
        <w:rFonts w:hint="eastAsia"/>
      </w:rPr>
    </w:lvl>
    <w:lvl w:ilvl="6" w:tentative="0">
      <w:start w:val="1"/>
      <w:numFmt w:val="decimal"/>
      <w:pStyle w:val="11"/>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5102" w:hanging="1700"/>
      </w:pPr>
      <w:rPr>
        <w:rFonts w:hint="eastAsia"/>
      </w:rPr>
    </w:lvl>
  </w:abstractNum>
  <w:abstractNum w:abstractNumId="9">
    <w:nsid w:val="5EA74C4B"/>
    <w:multiLevelType w:val="singleLevel"/>
    <w:tmpl w:val="5EA74C4B"/>
    <w:lvl w:ilvl="0" w:tentative="0">
      <w:start w:val="2"/>
      <w:numFmt w:val="decimal"/>
      <w:suff w:val="nothing"/>
      <w:lvlText w:val="%1）"/>
      <w:lvlJc w:val="left"/>
    </w:lvl>
  </w:abstractNum>
  <w:abstractNum w:abstractNumId="10">
    <w:nsid w:val="6299B3AE"/>
    <w:multiLevelType w:val="singleLevel"/>
    <w:tmpl w:val="6299B3AE"/>
    <w:lvl w:ilvl="0" w:tentative="0">
      <w:start w:val="1"/>
      <w:numFmt w:val="bullet"/>
      <w:lvlText w:val=""/>
      <w:lvlJc w:val="left"/>
      <w:pPr>
        <w:ind w:left="420" w:hanging="420"/>
      </w:pPr>
      <w:rPr>
        <w:rFonts w:hint="default" w:ascii="Wingdings" w:hAnsi="Wingdings"/>
      </w:rPr>
    </w:lvl>
  </w:abstractNum>
  <w:abstractNum w:abstractNumId="11">
    <w:nsid w:val="73B779EF"/>
    <w:multiLevelType w:val="multilevel"/>
    <w:tmpl w:val="73B779EF"/>
    <w:lvl w:ilvl="0" w:tentative="0">
      <w:start w:val="1"/>
      <w:numFmt w:val="decimal"/>
      <w:pStyle w:val="75"/>
      <w:lvlText w:val="%1"/>
      <w:lvlJc w:val="left"/>
      <w:pPr>
        <w:ind w:left="425" w:hanging="425"/>
      </w:pPr>
    </w:lvl>
    <w:lvl w:ilvl="1" w:tentative="0">
      <w:start w:val="1"/>
      <w:numFmt w:val="decimal"/>
      <w:pStyle w:val="76"/>
      <w:lvlText w:val="%1.%2"/>
      <w:lvlJc w:val="left"/>
      <w:pPr>
        <w:ind w:left="992" w:hanging="567"/>
      </w:pPr>
    </w:lvl>
    <w:lvl w:ilvl="2" w:tentative="0">
      <w:start w:val="1"/>
      <w:numFmt w:val="decimal"/>
      <w:pStyle w:val="77"/>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12">
    <w:nsid w:val="7AAA85AA"/>
    <w:multiLevelType w:val="singleLevel"/>
    <w:tmpl w:val="7AAA85AA"/>
    <w:lvl w:ilvl="0" w:tentative="0">
      <w:start w:val="1"/>
      <w:numFmt w:val="decimal"/>
      <w:suff w:val="nothing"/>
      <w:lvlText w:val="%1）"/>
      <w:lvlJc w:val="left"/>
    </w:lvl>
  </w:abstractNum>
  <w:num w:numId="1">
    <w:abstractNumId w:val="8"/>
  </w:num>
  <w:num w:numId="2">
    <w:abstractNumId w:val="11"/>
  </w:num>
  <w:num w:numId="3">
    <w:abstractNumId w:val="5"/>
  </w:num>
  <w:num w:numId="4">
    <w:abstractNumId w:val="2"/>
  </w:num>
  <w:num w:numId="5">
    <w:abstractNumId w:val="1"/>
  </w:num>
  <w:num w:numId="6">
    <w:abstractNumId w:val="4"/>
  </w:num>
  <w:num w:numId="7">
    <w:abstractNumId w:val="7"/>
  </w:num>
  <w:num w:numId="8">
    <w:abstractNumId w:val="6"/>
  </w:num>
  <w:num w:numId="9">
    <w:abstractNumId w:val="9"/>
  </w:num>
  <w:num w:numId="10">
    <w:abstractNumId w:val="12"/>
  </w:num>
  <w:num w:numId="11">
    <w:abstractNumId w:val="3"/>
  </w:num>
  <w:num w:numId="12">
    <w:abstractNumId w:val="0"/>
  </w:num>
  <w:num w:numId="13">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henhy">
    <w15:presenceInfo w15:providerId="None" w15:userId="chenh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hideSpellingError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hmZjlhYTYxN2EwNTI3YjJlZDZhYWYwOGI1YjdmZmMifQ=="/>
  </w:docVars>
  <w:rsids>
    <w:rsidRoot w:val="004041ED"/>
    <w:rsid w:val="000003A6"/>
    <w:rsid w:val="000049CE"/>
    <w:rsid w:val="00005785"/>
    <w:rsid w:val="00006E4F"/>
    <w:rsid w:val="00007248"/>
    <w:rsid w:val="00007420"/>
    <w:rsid w:val="000159D6"/>
    <w:rsid w:val="00016370"/>
    <w:rsid w:val="000166CC"/>
    <w:rsid w:val="00017C8D"/>
    <w:rsid w:val="000225BD"/>
    <w:rsid w:val="00022DB9"/>
    <w:rsid w:val="00022F97"/>
    <w:rsid w:val="0002545B"/>
    <w:rsid w:val="00027BE1"/>
    <w:rsid w:val="00034324"/>
    <w:rsid w:val="00040677"/>
    <w:rsid w:val="00040926"/>
    <w:rsid w:val="00043417"/>
    <w:rsid w:val="00043509"/>
    <w:rsid w:val="0004542F"/>
    <w:rsid w:val="000471ED"/>
    <w:rsid w:val="000517AA"/>
    <w:rsid w:val="00051FE9"/>
    <w:rsid w:val="00052398"/>
    <w:rsid w:val="00054F01"/>
    <w:rsid w:val="00055701"/>
    <w:rsid w:val="000626DD"/>
    <w:rsid w:val="000630F5"/>
    <w:rsid w:val="0006441C"/>
    <w:rsid w:val="0006500C"/>
    <w:rsid w:val="00067161"/>
    <w:rsid w:val="00072193"/>
    <w:rsid w:val="0007303E"/>
    <w:rsid w:val="0007377F"/>
    <w:rsid w:val="00076D55"/>
    <w:rsid w:val="00076F80"/>
    <w:rsid w:val="00080754"/>
    <w:rsid w:val="0008148D"/>
    <w:rsid w:val="0008186C"/>
    <w:rsid w:val="00084FE2"/>
    <w:rsid w:val="00086D7F"/>
    <w:rsid w:val="00087550"/>
    <w:rsid w:val="00091B49"/>
    <w:rsid w:val="000921D9"/>
    <w:rsid w:val="000946E7"/>
    <w:rsid w:val="0009682E"/>
    <w:rsid w:val="00097877"/>
    <w:rsid w:val="000B00B5"/>
    <w:rsid w:val="000B144A"/>
    <w:rsid w:val="000B4D41"/>
    <w:rsid w:val="000B5C97"/>
    <w:rsid w:val="000B771F"/>
    <w:rsid w:val="000B7E2D"/>
    <w:rsid w:val="000C4578"/>
    <w:rsid w:val="000C66AB"/>
    <w:rsid w:val="000C6AA7"/>
    <w:rsid w:val="000C7B54"/>
    <w:rsid w:val="000D33C0"/>
    <w:rsid w:val="000D4EF2"/>
    <w:rsid w:val="000D534A"/>
    <w:rsid w:val="000D5B5C"/>
    <w:rsid w:val="000E0DEE"/>
    <w:rsid w:val="000E22CA"/>
    <w:rsid w:val="000E38A9"/>
    <w:rsid w:val="000E6B45"/>
    <w:rsid w:val="000E6EA7"/>
    <w:rsid w:val="000E7136"/>
    <w:rsid w:val="000E7337"/>
    <w:rsid w:val="000F053B"/>
    <w:rsid w:val="000F09F7"/>
    <w:rsid w:val="000F1C83"/>
    <w:rsid w:val="000F2246"/>
    <w:rsid w:val="000F3076"/>
    <w:rsid w:val="000F623D"/>
    <w:rsid w:val="000F7056"/>
    <w:rsid w:val="00101196"/>
    <w:rsid w:val="00102842"/>
    <w:rsid w:val="001028F0"/>
    <w:rsid w:val="00104810"/>
    <w:rsid w:val="00104B6D"/>
    <w:rsid w:val="001054C4"/>
    <w:rsid w:val="00105F02"/>
    <w:rsid w:val="001062DB"/>
    <w:rsid w:val="001064EE"/>
    <w:rsid w:val="00106980"/>
    <w:rsid w:val="00110DBD"/>
    <w:rsid w:val="00116256"/>
    <w:rsid w:val="0011680F"/>
    <w:rsid w:val="00120875"/>
    <w:rsid w:val="001212F3"/>
    <w:rsid w:val="00122B09"/>
    <w:rsid w:val="0012327C"/>
    <w:rsid w:val="00123EDC"/>
    <w:rsid w:val="001250E8"/>
    <w:rsid w:val="00126D21"/>
    <w:rsid w:val="00131CC7"/>
    <w:rsid w:val="00131F50"/>
    <w:rsid w:val="00132402"/>
    <w:rsid w:val="00133174"/>
    <w:rsid w:val="0013377A"/>
    <w:rsid w:val="0013487A"/>
    <w:rsid w:val="001356C5"/>
    <w:rsid w:val="00140B53"/>
    <w:rsid w:val="001418D1"/>
    <w:rsid w:val="0014194A"/>
    <w:rsid w:val="001419F7"/>
    <w:rsid w:val="001428B8"/>
    <w:rsid w:val="00142990"/>
    <w:rsid w:val="001432E8"/>
    <w:rsid w:val="0014374C"/>
    <w:rsid w:val="00147F5C"/>
    <w:rsid w:val="00150345"/>
    <w:rsid w:val="00152A2D"/>
    <w:rsid w:val="00153A97"/>
    <w:rsid w:val="0015502F"/>
    <w:rsid w:val="00161FC4"/>
    <w:rsid w:val="00164137"/>
    <w:rsid w:val="0016724D"/>
    <w:rsid w:val="0017445C"/>
    <w:rsid w:val="0017461C"/>
    <w:rsid w:val="001756C8"/>
    <w:rsid w:val="00175AA9"/>
    <w:rsid w:val="001762BA"/>
    <w:rsid w:val="001779F5"/>
    <w:rsid w:val="00181CA4"/>
    <w:rsid w:val="00187348"/>
    <w:rsid w:val="00190B42"/>
    <w:rsid w:val="001918EC"/>
    <w:rsid w:val="00193200"/>
    <w:rsid w:val="00196200"/>
    <w:rsid w:val="00197C70"/>
    <w:rsid w:val="001A0E03"/>
    <w:rsid w:val="001A1909"/>
    <w:rsid w:val="001A4F16"/>
    <w:rsid w:val="001A5FBA"/>
    <w:rsid w:val="001A6353"/>
    <w:rsid w:val="001B13A1"/>
    <w:rsid w:val="001B529F"/>
    <w:rsid w:val="001B5509"/>
    <w:rsid w:val="001B5613"/>
    <w:rsid w:val="001B5D44"/>
    <w:rsid w:val="001B5DAA"/>
    <w:rsid w:val="001B620B"/>
    <w:rsid w:val="001B7DB2"/>
    <w:rsid w:val="001C2C3E"/>
    <w:rsid w:val="001C3546"/>
    <w:rsid w:val="001C3714"/>
    <w:rsid w:val="001C4051"/>
    <w:rsid w:val="001C40B5"/>
    <w:rsid w:val="001C4596"/>
    <w:rsid w:val="001D4186"/>
    <w:rsid w:val="001D42B9"/>
    <w:rsid w:val="001D44E4"/>
    <w:rsid w:val="001D5F9D"/>
    <w:rsid w:val="001D6461"/>
    <w:rsid w:val="001D74F3"/>
    <w:rsid w:val="001D7BE1"/>
    <w:rsid w:val="001D7DC3"/>
    <w:rsid w:val="001E03C3"/>
    <w:rsid w:val="001E0BBA"/>
    <w:rsid w:val="001E1B8D"/>
    <w:rsid w:val="001E4186"/>
    <w:rsid w:val="001E4BD2"/>
    <w:rsid w:val="001E5403"/>
    <w:rsid w:val="001E6405"/>
    <w:rsid w:val="001E7D14"/>
    <w:rsid w:val="001F22CE"/>
    <w:rsid w:val="001F36F9"/>
    <w:rsid w:val="001F4E4A"/>
    <w:rsid w:val="001F6C7B"/>
    <w:rsid w:val="001F71D9"/>
    <w:rsid w:val="001F768D"/>
    <w:rsid w:val="002007EB"/>
    <w:rsid w:val="00202738"/>
    <w:rsid w:val="002031F7"/>
    <w:rsid w:val="00203F2A"/>
    <w:rsid w:val="00211022"/>
    <w:rsid w:val="0021133D"/>
    <w:rsid w:val="00211941"/>
    <w:rsid w:val="0021384F"/>
    <w:rsid w:val="00213D69"/>
    <w:rsid w:val="00213E88"/>
    <w:rsid w:val="002163F8"/>
    <w:rsid w:val="00216E25"/>
    <w:rsid w:val="00216E51"/>
    <w:rsid w:val="0021799C"/>
    <w:rsid w:val="00220BC5"/>
    <w:rsid w:val="00221E1C"/>
    <w:rsid w:val="00222756"/>
    <w:rsid w:val="00222A7C"/>
    <w:rsid w:val="00225673"/>
    <w:rsid w:val="00226A77"/>
    <w:rsid w:val="00230D26"/>
    <w:rsid w:val="00232375"/>
    <w:rsid w:val="0023370B"/>
    <w:rsid w:val="002346CC"/>
    <w:rsid w:val="00234CED"/>
    <w:rsid w:val="0023647D"/>
    <w:rsid w:val="00236B9E"/>
    <w:rsid w:val="00240771"/>
    <w:rsid w:val="00243DC8"/>
    <w:rsid w:val="00246843"/>
    <w:rsid w:val="00247737"/>
    <w:rsid w:val="002528D9"/>
    <w:rsid w:val="0025517F"/>
    <w:rsid w:val="002555BB"/>
    <w:rsid w:val="0025593D"/>
    <w:rsid w:val="002564FB"/>
    <w:rsid w:val="002571E8"/>
    <w:rsid w:val="0025770E"/>
    <w:rsid w:val="002602E3"/>
    <w:rsid w:val="00260FCA"/>
    <w:rsid w:val="00261F7D"/>
    <w:rsid w:val="00262C15"/>
    <w:rsid w:val="00263807"/>
    <w:rsid w:val="00263C5C"/>
    <w:rsid w:val="0026431A"/>
    <w:rsid w:val="0026440F"/>
    <w:rsid w:val="00264446"/>
    <w:rsid w:val="00264F7C"/>
    <w:rsid w:val="00264FF0"/>
    <w:rsid w:val="00267117"/>
    <w:rsid w:val="002678BF"/>
    <w:rsid w:val="002718F6"/>
    <w:rsid w:val="00271DB8"/>
    <w:rsid w:val="00272FFD"/>
    <w:rsid w:val="00273401"/>
    <w:rsid w:val="0027575B"/>
    <w:rsid w:val="00280B4F"/>
    <w:rsid w:val="00280D90"/>
    <w:rsid w:val="00283AE1"/>
    <w:rsid w:val="00284DB7"/>
    <w:rsid w:val="002861D5"/>
    <w:rsid w:val="002914C2"/>
    <w:rsid w:val="002916C8"/>
    <w:rsid w:val="0029194F"/>
    <w:rsid w:val="00291B82"/>
    <w:rsid w:val="002950C9"/>
    <w:rsid w:val="00295E0C"/>
    <w:rsid w:val="00297B86"/>
    <w:rsid w:val="002A13AC"/>
    <w:rsid w:val="002A20E3"/>
    <w:rsid w:val="002A2191"/>
    <w:rsid w:val="002A2680"/>
    <w:rsid w:val="002A2CF3"/>
    <w:rsid w:val="002A33C6"/>
    <w:rsid w:val="002A3417"/>
    <w:rsid w:val="002A437E"/>
    <w:rsid w:val="002A5600"/>
    <w:rsid w:val="002A6C7E"/>
    <w:rsid w:val="002A7A3B"/>
    <w:rsid w:val="002B0143"/>
    <w:rsid w:val="002B02C3"/>
    <w:rsid w:val="002B0AD0"/>
    <w:rsid w:val="002B42F6"/>
    <w:rsid w:val="002B5A28"/>
    <w:rsid w:val="002B70E5"/>
    <w:rsid w:val="002C132C"/>
    <w:rsid w:val="002C2DF6"/>
    <w:rsid w:val="002C3B44"/>
    <w:rsid w:val="002C499B"/>
    <w:rsid w:val="002D400A"/>
    <w:rsid w:val="002D4CA6"/>
    <w:rsid w:val="002D4F94"/>
    <w:rsid w:val="002D5A2F"/>
    <w:rsid w:val="002D5AFA"/>
    <w:rsid w:val="002D6370"/>
    <w:rsid w:val="002D668D"/>
    <w:rsid w:val="002D738E"/>
    <w:rsid w:val="002E3456"/>
    <w:rsid w:val="002E3CDA"/>
    <w:rsid w:val="002E4E5B"/>
    <w:rsid w:val="002E5120"/>
    <w:rsid w:val="002E5422"/>
    <w:rsid w:val="002E6A39"/>
    <w:rsid w:val="002F34D3"/>
    <w:rsid w:val="002F41E1"/>
    <w:rsid w:val="002F5A3A"/>
    <w:rsid w:val="002F5B2A"/>
    <w:rsid w:val="002F62F1"/>
    <w:rsid w:val="003000B2"/>
    <w:rsid w:val="003037EA"/>
    <w:rsid w:val="00304094"/>
    <w:rsid w:val="003041E7"/>
    <w:rsid w:val="00304414"/>
    <w:rsid w:val="00305CAA"/>
    <w:rsid w:val="00306152"/>
    <w:rsid w:val="00306E55"/>
    <w:rsid w:val="00313353"/>
    <w:rsid w:val="00315085"/>
    <w:rsid w:val="00315287"/>
    <w:rsid w:val="003174AC"/>
    <w:rsid w:val="0032061B"/>
    <w:rsid w:val="003217D9"/>
    <w:rsid w:val="0032272F"/>
    <w:rsid w:val="0032334E"/>
    <w:rsid w:val="00325739"/>
    <w:rsid w:val="0033479A"/>
    <w:rsid w:val="00334EDA"/>
    <w:rsid w:val="003410BE"/>
    <w:rsid w:val="003433B1"/>
    <w:rsid w:val="003435AA"/>
    <w:rsid w:val="003445DE"/>
    <w:rsid w:val="0034529D"/>
    <w:rsid w:val="00351336"/>
    <w:rsid w:val="00351840"/>
    <w:rsid w:val="003518AD"/>
    <w:rsid w:val="00352419"/>
    <w:rsid w:val="00352573"/>
    <w:rsid w:val="00352D3F"/>
    <w:rsid w:val="00354742"/>
    <w:rsid w:val="00356238"/>
    <w:rsid w:val="00360111"/>
    <w:rsid w:val="00362009"/>
    <w:rsid w:val="0036213A"/>
    <w:rsid w:val="0036443D"/>
    <w:rsid w:val="0036456A"/>
    <w:rsid w:val="00366133"/>
    <w:rsid w:val="003669C3"/>
    <w:rsid w:val="0037072D"/>
    <w:rsid w:val="003737EE"/>
    <w:rsid w:val="003743F0"/>
    <w:rsid w:val="0037455C"/>
    <w:rsid w:val="00374733"/>
    <w:rsid w:val="00374B21"/>
    <w:rsid w:val="00374BAC"/>
    <w:rsid w:val="0037688E"/>
    <w:rsid w:val="003769C2"/>
    <w:rsid w:val="00380820"/>
    <w:rsid w:val="00380D56"/>
    <w:rsid w:val="00381635"/>
    <w:rsid w:val="00382798"/>
    <w:rsid w:val="00382AA1"/>
    <w:rsid w:val="00384874"/>
    <w:rsid w:val="003850F6"/>
    <w:rsid w:val="00390730"/>
    <w:rsid w:val="00392439"/>
    <w:rsid w:val="00395321"/>
    <w:rsid w:val="00395531"/>
    <w:rsid w:val="00395F83"/>
    <w:rsid w:val="00396C23"/>
    <w:rsid w:val="003A0811"/>
    <w:rsid w:val="003A1AC7"/>
    <w:rsid w:val="003B1DD6"/>
    <w:rsid w:val="003B60CB"/>
    <w:rsid w:val="003C0939"/>
    <w:rsid w:val="003C11C9"/>
    <w:rsid w:val="003C2A84"/>
    <w:rsid w:val="003C2ACE"/>
    <w:rsid w:val="003C2F99"/>
    <w:rsid w:val="003C33F8"/>
    <w:rsid w:val="003C3938"/>
    <w:rsid w:val="003C43F7"/>
    <w:rsid w:val="003C5C8E"/>
    <w:rsid w:val="003C6BC2"/>
    <w:rsid w:val="003C73AA"/>
    <w:rsid w:val="003D031E"/>
    <w:rsid w:val="003D0C77"/>
    <w:rsid w:val="003D2A8C"/>
    <w:rsid w:val="003D3460"/>
    <w:rsid w:val="003D36B3"/>
    <w:rsid w:val="003D43DC"/>
    <w:rsid w:val="003D5FC6"/>
    <w:rsid w:val="003D7417"/>
    <w:rsid w:val="003D74E4"/>
    <w:rsid w:val="003D7C82"/>
    <w:rsid w:val="003E16E6"/>
    <w:rsid w:val="003E3320"/>
    <w:rsid w:val="003E37F1"/>
    <w:rsid w:val="003E5C45"/>
    <w:rsid w:val="003E5CE9"/>
    <w:rsid w:val="003E6A9E"/>
    <w:rsid w:val="003F06F7"/>
    <w:rsid w:val="003F07FE"/>
    <w:rsid w:val="003F1364"/>
    <w:rsid w:val="003F1520"/>
    <w:rsid w:val="003F36C4"/>
    <w:rsid w:val="003F5725"/>
    <w:rsid w:val="003F6530"/>
    <w:rsid w:val="003F7ADF"/>
    <w:rsid w:val="003F7CAE"/>
    <w:rsid w:val="00400C35"/>
    <w:rsid w:val="00401375"/>
    <w:rsid w:val="004025F6"/>
    <w:rsid w:val="00403207"/>
    <w:rsid w:val="00403A60"/>
    <w:rsid w:val="004041ED"/>
    <w:rsid w:val="0040609B"/>
    <w:rsid w:val="004062A0"/>
    <w:rsid w:val="00406985"/>
    <w:rsid w:val="004108B4"/>
    <w:rsid w:val="00410E37"/>
    <w:rsid w:val="004125C3"/>
    <w:rsid w:val="00413479"/>
    <w:rsid w:val="004141FE"/>
    <w:rsid w:val="00414960"/>
    <w:rsid w:val="00414CC5"/>
    <w:rsid w:val="004151EC"/>
    <w:rsid w:val="00415351"/>
    <w:rsid w:val="00415CE4"/>
    <w:rsid w:val="00417D2D"/>
    <w:rsid w:val="00420F0C"/>
    <w:rsid w:val="0042195F"/>
    <w:rsid w:val="00422A19"/>
    <w:rsid w:val="00423D69"/>
    <w:rsid w:val="00424973"/>
    <w:rsid w:val="00431629"/>
    <w:rsid w:val="00432B6D"/>
    <w:rsid w:val="004331D8"/>
    <w:rsid w:val="00433A0E"/>
    <w:rsid w:val="00434DD4"/>
    <w:rsid w:val="00436212"/>
    <w:rsid w:val="00436684"/>
    <w:rsid w:val="0044038A"/>
    <w:rsid w:val="00441DC8"/>
    <w:rsid w:val="00444F7B"/>
    <w:rsid w:val="00445FFE"/>
    <w:rsid w:val="0044770D"/>
    <w:rsid w:val="00447B52"/>
    <w:rsid w:val="004535E2"/>
    <w:rsid w:val="00454B74"/>
    <w:rsid w:val="00454D0E"/>
    <w:rsid w:val="004622BD"/>
    <w:rsid w:val="004625D4"/>
    <w:rsid w:val="00463BC7"/>
    <w:rsid w:val="00463EA4"/>
    <w:rsid w:val="004645E2"/>
    <w:rsid w:val="00466061"/>
    <w:rsid w:val="00466372"/>
    <w:rsid w:val="00471977"/>
    <w:rsid w:val="004746A3"/>
    <w:rsid w:val="004770A7"/>
    <w:rsid w:val="00477109"/>
    <w:rsid w:val="00477EE0"/>
    <w:rsid w:val="00480979"/>
    <w:rsid w:val="00481228"/>
    <w:rsid w:val="00482B13"/>
    <w:rsid w:val="0048443E"/>
    <w:rsid w:val="00485280"/>
    <w:rsid w:val="00486EA6"/>
    <w:rsid w:val="00490625"/>
    <w:rsid w:val="00492DF8"/>
    <w:rsid w:val="0049504E"/>
    <w:rsid w:val="00496161"/>
    <w:rsid w:val="00496E0E"/>
    <w:rsid w:val="00497E8E"/>
    <w:rsid w:val="004A158A"/>
    <w:rsid w:val="004A20F6"/>
    <w:rsid w:val="004A2F6A"/>
    <w:rsid w:val="004A3F7C"/>
    <w:rsid w:val="004A4B31"/>
    <w:rsid w:val="004A664D"/>
    <w:rsid w:val="004A6785"/>
    <w:rsid w:val="004B0FA9"/>
    <w:rsid w:val="004B1501"/>
    <w:rsid w:val="004B4D85"/>
    <w:rsid w:val="004B6FA8"/>
    <w:rsid w:val="004B7F1B"/>
    <w:rsid w:val="004C0F76"/>
    <w:rsid w:val="004C2879"/>
    <w:rsid w:val="004C4EDB"/>
    <w:rsid w:val="004C5F1B"/>
    <w:rsid w:val="004C7510"/>
    <w:rsid w:val="004D0E78"/>
    <w:rsid w:val="004D22B2"/>
    <w:rsid w:val="004D40DE"/>
    <w:rsid w:val="004D49D3"/>
    <w:rsid w:val="004D4EA4"/>
    <w:rsid w:val="004E1403"/>
    <w:rsid w:val="004E17EF"/>
    <w:rsid w:val="004E1890"/>
    <w:rsid w:val="004E1980"/>
    <w:rsid w:val="004E58FD"/>
    <w:rsid w:val="004F13CE"/>
    <w:rsid w:val="004F5675"/>
    <w:rsid w:val="004F59D3"/>
    <w:rsid w:val="005005CA"/>
    <w:rsid w:val="00500695"/>
    <w:rsid w:val="00501CA8"/>
    <w:rsid w:val="005023BD"/>
    <w:rsid w:val="00505785"/>
    <w:rsid w:val="00505AA8"/>
    <w:rsid w:val="005063C8"/>
    <w:rsid w:val="00506B04"/>
    <w:rsid w:val="00510EBB"/>
    <w:rsid w:val="00511091"/>
    <w:rsid w:val="0051178B"/>
    <w:rsid w:val="005122C9"/>
    <w:rsid w:val="0051327A"/>
    <w:rsid w:val="00517024"/>
    <w:rsid w:val="00517114"/>
    <w:rsid w:val="0051716B"/>
    <w:rsid w:val="00517CF6"/>
    <w:rsid w:val="00517F1B"/>
    <w:rsid w:val="0052138A"/>
    <w:rsid w:val="00524AC2"/>
    <w:rsid w:val="00530C9D"/>
    <w:rsid w:val="00531FB6"/>
    <w:rsid w:val="0053424F"/>
    <w:rsid w:val="0053555B"/>
    <w:rsid w:val="00537D8D"/>
    <w:rsid w:val="00540981"/>
    <w:rsid w:val="00543155"/>
    <w:rsid w:val="0054791F"/>
    <w:rsid w:val="00547BAA"/>
    <w:rsid w:val="005518BF"/>
    <w:rsid w:val="00551C8C"/>
    <w:rsid w:val="00556402"/>
    <w:rsid w:val="0056010B"/>
    <w:rsid w:val="00560D17"/>
    <w:rsid w:val="00560DE9"/>
    <w:rsid w:val="0056106A"/>
    <w:rsid w:val="005630F0"/>
    <w:rsid w:val="005634D0"/>
    <w:rsid w:val="00563E7C"/>
    <w:rsid w:val="00564D57"/>
    <w:rsid w:val="00566A80"/>
    <w:rsid w:val="00571F3E"/>
    <w:rsid w:val="005720FD"/>
    <w:rsid w:val="005767C1"/>
    <w:rsid w:val="00577B6C"/>
    <w:rsid w:val="00581307"/>
    <w:rsid w:val="00583175"/>
    <w:rsid w:val="005842CC"/>
    <w:rsid w:val="005851C1"/>
    <w:rsid w:val="005879E7"/>
    <w:rsid w:val="0059092E"/>
    <w:rsid w:val="005944E3"/>
    <w:rsid w:val="005959FB"/>
    <w:rsid w:val="00596939"/>
    <w:rsid w:val="00597070"/>
    <w:rsid w:val="0059798C"/>
    <w:rsid w:val="005A1466"/>
    <w:rsid w:val="005A3A25"/>
    <w:rsid w:val="005A3CBD"/>
    <w:rsid w:val="005A4634"/>
    <w:rsid w:val="005A5535"/>
    <w:rsid w:val="005A5BAB"/>
    <w:rsid w:val="005A6064"/>
    <w:rsid w:val="005B0958"/>
    <w:rsid w:val="005B26F0"/>
    <w:rsid w:val="005B4C70"/>
    <w:rsid w:val="005C0513"/>
    <w:rsid w:val="005C081C"/>
    <w:rsid w:val="005C0B76"/>
    <w:rsid w:val="005C2C77"/>
    <w:rsid w:val="005C3FD5"/>
    <w:rsid w:val="005C536F"/>
    <w:rsid w:val="005C5596"/>
    <w:rsid w:val="005D099D"/>
    <w:rsid w:val="005D1729"/>
    <w:rsid w:val="005D1BEB"/>
    <w:rsid w:val="005D2B03"/>
    <w:rsid w:val="005D2FFC"/>
    <w:rsid w:val="005D5949"/>
    <w:rsid w:val="005D611A"/>
    <w:rsid w:val="005D64CF"/>
    <w:rsid w:val="005D6928"/>
    <w:rsid w:val="005D6A5E"/>
    <w:rsid w:val="005D6D87"/>
    <w:rsid w:val="005E222A"/>
    <w:rsid w:val="005E4AAE"/>
    <w:rsid w:val="005E4B69"/>
    <w:rsid w:val="005E52D4"/>
    <w:rsid w:val="005E6331"/>
    <w:rsid w:val="005E686B"/>
    <w:rsid w:val="005E7485"/>
    <w:rsid w:val="005E7647"/>
    <w:rsid w:val="005F046C"/>
    <w:rsid w:val="005F0A2B"/>
    <w:rsid w:val="005F116F"/>
    <w:rsid w:val="005F1470"/>
    <w:rsid w:val="005F1C19"/>
    <w:rsid w:val="005F2F3A"/>
    <w:rsid w:val="005F6071"/>
    <w:rsid w:val="00600A9D"/>
    <w:rsid w:val="00601747"/>
    <w:rsid w:val="00602DCB"/>
    <w:rsid w:val="0060329F"/>
    <w:rsid w:val="00603B6B"/>
    <w:rsid w:val="00603F88"/>
    <w:rsid w:val="00605D6B"/>
    <w:rsid w:val="006060ED"/>
    <w:rsid w:val="006072CD"/>
    <w:rsid w:val="00607ADC"/>
    <w:rsid w:val="006102AE"/>
    <w:rsid w:val="00610452"/>
    <w:rsid w:val="006106C4"/>
    <w:rsid w:val="00612D9D"/>
    <w:rsid w:val="00621BF8"/>
    <w:rsid w:val="00621E2F"/>
    <w:rsid w:val="0062605C"/>
    <w:rsid w:val="006301C9"/>
    <w:rsid w:val="0063091D"/>
    <w:rsid w:val="00630F2F"/>
    <w:rsid w:val="00634A0B"/>
    <w:rsid w:val="00640947"/>
    <w:rsid w:val="006416C8"/>
    <w:rsid w:val="006432F8"/>
    <w:rsid w:val="00646EE0"/>
    <w:rsid w:val="00647E21"/>
    <w:rsid w:val="00651050"/>
    <w:rsid w:val="00651CD5"/>
    <w:rsid w:val="00660B5C"/>
    <w:rsid w:val="0066158C"/>
    <w:rsid w:val="00662BF1"/>
    <w:rsid w:val="0066714C"/>
    <w:rsid w:val="006718AC"/>
    <w:rsid w:val="0067330C"/>
    <w:rsid w:val="00675DD8"/>
    <w:rsid w:val="006772D8"/>
    <w:rsid w:val="00677B27"/>
    <w:rsid w:val="00680275"/>
    <w:rsid w:val="00682863"/>
    <w:rsid w:val="00682873"/>
    <w:rsid w:val="00682EF8"/>
    <w:rsid w:val="006839AF"/>
    <w:rsid w:val="00684398"/>
    <w:rsid w:val="006863F6"/>
    <w:rsid w:val="0068743F"/>
    <w:rsid w:val="0069081B"/>
    <w:rsid w:val="00690A39"/>
    <w:rsid w:val="0069415C"/>
    <w:rsid w:val="00694AE8"/>
    <w:rsid w:val="00694C2C"/>
    <w:rsid w:val="00695571"/>
    <w:rsid w:val="00695DA9"/>
    <w:rsid w:val="00697F6D"/>
    <w:rsid w:val="006A1142"/>
    <w:rsid w:val="006A1AD7"/>
    <w:rsid w:val="006A21E1"/>
    <w:rsid w:val="006A29A2"/>
    <w:rsid w:val="006A448D"/>
    <w:rsid w:val="006A4772"/>
    <w:rsid w:val="006A4BDF"/>
    <w:rsid w:val="006A51FD"/>
    <w:rsid w:val="006A56E1"/>
    <w:rsid w:val="006A7AA4"/>
    <w:rsid w:val="006B1817"/>
    <w:rsid w:val="006B3236"/>
    <w:rsid w:val="006B5734"/>
    <w:rsid w:val="006B7D2A"/>
    <w:rsid w:val="006B7F53"/>
    <w:rsid w:val="006C143D"/>
    <w:rsid w:val="006C20BA"/>
    <w:rsid w:val="006C45C9"/>
    <w:rsid w:val="006C4622"/>
    <w:rsid w:val="006C6441"/>
    <w:rsid w:val="006C7CA2"/>
    <w:rsid w:val="006D34DA"/>
    <w:rsid w:val="006D359A"/>
    <w:rsid w:val="006D5841"/>
    <w:rsid w:val="006D5EF7"/>
    <w:rsid w:val="006D60E8"/>
    <w:rsid w:val="006E12D1"/>
    <w:rsid w:val="006E26ED"/>
    <w:rsid w:val="006E2D5A"/>
    <w:rsid w:val="006E543E"/>
    <w:rsid w:val="006E5825"/>
    <w:rsid w:val="006E6720"/>
    <w:rsid w:val="006E68C7"/>
    <w:rsid w:val="006F0C6A"/>
    <w:rsid w:val="006F15AC"/>
    <w:rsid w:val="006F299E"/>
    <w:rsid w:val="006F3486"/>
    <w:rsid w:val="006F59D8"/>
    <w:rsid w:val="006F65CB"/>
    <w:rsid w:val="006F7164"/>
    <w:rsid w:val="006F7433"/>
    <w:rsid w:val="0070048A"/>
    <w:rsid w:val="00702286"/>
    <w:rsid w:val="007024DA"/>
    <w:rsid w:val="00704051"/>
    <w:rsid w:val="007040FB"/>
    <w:rsid w:val="0070477F"/>
    <w:rsid w:val="00704C29"/>
    <w:rsid w:val="00705E2F"/>
    <w:rsid w:val="0070671A"/>
    <w:rsid w:val="00706B56"/>
    <w:rsid w:val="0070724B"/>
    <w:rsid w:val="00711227"/>
    <w:rsid w:val="00711E79"/>
    <w:rsid w:val="00712AAB"/>
    <w:rsid w:val="00713504"/>
    <w:rsid w:val="007144E8"/>
    <w:rsid w:val="007150D3"/>
    <w:rsid w:val="0071755D"/>
    <w:rsid w:val="007205D5"/>
    <w:rsid w:val="0072236E"/>
    <w:rsid w:val="007231E8"/>
    <w:rsid w:val="00723A82"/>
    <w:rsid w:val="00724BBE"/>
    <w:rsid w:val="00727915"/>
    <w:rsid w:val="00727989"/>
    <w:rsid w:val="007306DB"/>
    <w:rsid w:val="00730945"/>
    <w:rsid w:val="007312A6"/>
    <w:rsid w:val="00731302"/>
    <w:rsid w:val="0073296F"/>
    <w:rsid w:val="00733DAA"/>
    <w:rsid w:val="00735089"/>
    <w:rsid w:val="00735131"/>
    <w:rsid w:val="00740057"/>
    <w:rsid w:val="007419E2"/>
    <w:rsid w:val="00741C49"/>
    <w:rsid w:val="007430FA"/>
    <w:rsid w:val="0074396A"/>
    <w:rsid w:val="0074418D"/>
    <w:rsid w:val="0074444D"/>
    <w:rsid w:val="00744C10"/>
    <w:rsid w:val="007452CC"/>
    <w:rsid w:val="00745322"/>
    <w:rsid w:val="00750D4A"/>
    <w:rsid w:val="007515D9"/>
    <w:rsid w:val="00751C0A"/>
    <w:rsid w:val="0075274F"/>
    <w:rsid w:val="00753624"/>
    <w:rsid w:val="00753ADD"/>
    <w:rsid w:val="00753C24"/>
    <w:rsid w:val="007550C4"/>
    <w:rsid w:val="00755EB3"/>
    <w:rsid w:val="007561C1"/>
    <w:rsid w:val="0076164F"/>
    <w:rsid w:val="00763C3C"/>
    <w:rsid w:val="00765754"/>
    <w:rsid w:val="00771DB9"/>
    <w:rsid w:val="007726AD"/>
    <w:rsid w:val="00772B5D"/>
    <w:rsid w:val="00772E8F"/>
    <w:rsid w:val="00773B88"/>
    <w:rsid w:val="00773D31"/>
    <w:rsid w:val="007759C2"/>
    <w:rsid w:val="00777308"/>
    <w:rsid w:val="007774B9"/>
    <w:rsid w:val="0077779D"/>
    <w:rsid w:val="00780533"/>
    <w:rsid w:val="007806E5"/>
    <w:rsid w:val="00783A86"/>
    <w:rsid w:val="00783CE3"/>
    <w:rsid w:val="00785015"/>
    <w:rsid w:val="007851E6"/>
    <w:rsid w:val="007870FE"/>
    <w:rsid w:val="00791232"/>
    <w:rsid w:val="0079127D"/>
    <w:rsid w:val="007914BA"/>
    <w:rsid w:val="00792BB8"/>
    <w:rsid w:val="007935A9"/>
    <w:rsid w:val="00796FC5"/>
    <w:rsid w:val="0079777B"/>
    <w:rsid w:val="007A2BBF"/>
    <w:rsid w:val="007A2D4C"/>
    <w:rsid w:val="007A52FA"/>
    <w:rsid w:val="007A555D"/>
    <w:rsid w:val="007B27C0"/>
    <w:rsid w:val="007B2862"/>
    <w:rsid w:val="007B3375"/>
    <w:rsid w:val="007B3611"/>
    <w:rsid w:val="007B4289"/>
    <w:rsid w:val="007B539C"/>
    <w:rsid w:val="007B5905"/>
    <w:rsid w:val="007B6F21"/>
    <w:rsid w:val="007C5D70"/>
    <w:rsid w:val="007C624F"/>
    <w:rsid w:val="007D0238"/>
    <w:rsid w:val="007D04F0"/>
    <w:rsid w:val="007D6531"/>
    <w:rsid w:val="007D6DB5"/>
    <w:rsid w:val="007D7B7A"/>
    <w:rsid w:val="007E0373"/>
    <w:rsid w:val="007E0A12"/>
    <w:rsid w:val="007E157D"/>
    <w:rsid w:val="007E195D"/>
    <w:rsid w:val="007E268C"/>
    <w:rsid w:val="007E283F"/>
    <w:rsid w:val="007E2982"/>
    <w:rsid w:val="007E4F1D"/>
    <w:rsid w:val="007E73AD"/>
    <w:rsid w:val="007F0190"/>
    <w:rsid w:val="007F511A"/>
    <w:rsid w:val="007F61F0"/>
    <w:rsid w:val="008044EE"/>
    <w:rsid w:val="00804BF0"/>
    <w:rsid w:val="0080582D"/>
    <w:rsid w:val="008064AA"/>
    <w:rsid w:val="00806C01"/>
    <w:rsid w:val="00806C0A"/>
    <w:rsid w:val="00806ECB"/>
    <w:rsid w:val="00810C54"/>
    <w:rsid w:val="00813438"/>
    <w:rsid w:val="00825D82"/>
    <w:rsid w:val="0083001E"/>
    <w:rsid w:val="00830BFA"/>
    <w:rsid w:val="0083172D"/>
    <w:rsid w:val="00831A82"/>
    <w:rsid w:val="0083348A"/>
    <w:rsid w:val="00837ED4"/>
    <w:rsid w:val="008408E8"/>
    <w:rsid w:val="0084193F"/>
    <w:rsid w:val="0084340C"/>
    <w:rsid w:val="0084737F"/>
    <w:rsid w:val="008506BB"/>
    <w:rsid w:val="008511B1"/>
    <w:rsid w:val="00851473"/>
    <w:rsid w:val="008522B4"/>
    <w:rsid w:val="00855650"/>
    <w:rsid w:val="00856A8B"/>
    <w:rsid w:val="008577C9"/>
    <w:rsid w:val="008579FF"/>
    <w:rsid w:val="00857D66"/>
    <w:rsid w:val="00863170"/>
    <w:rsid w:val="00863DE8"/>
    <w:rsid w:val="00864A79"/>
    <w:rsid w:val="0086718E"/>
    <w:rsid w:val="008671E4"/>
    <w:rsid w:val="0086725D"/>
    <w:rsid w:val="00867E6B"/>
    <w:rsid w:val="00870968"/>
    <w:rsid w:val="00871E0F"/>
    <w:rsid w:val="00872A2D"/>
    <w:rsid w:val="008737C5"/>
    <w:rsid w:val="0087480A"/>
    <w:rsid w:val="00876181"/>
    <w:rsid w:val="00881C90"/>
    <w:rsid w:val="00882226"/>
    <w:rsid w:val="008825C2"/>
    <w:rsid w:val="00883CEE"/>
    <w:rsid w:val="008840B9"/>
    <w:rsid w:val="008868FB"/>
    <w:rsid w:val="0089114B"/>
    <w:rsid w:val="00891241"/>
    <w:rsid w:val="00892C69"/>
    <w:rsid w:val="008935F0"/>
    <w:rsid w:val="00893CE2"/>
    <w:rsid w:val="00894D06"/>
    <w:rsid w:val="00895F5B"/>
    <w:rsid w:val="0089601A"/>
    <w:rsid w:val="0089603E"/>
    <w:rsid w:val="00896514"/>
    <w:rsid w:val="00897D67"/>
    <w:rsid w:val="008A14D3"/>
    <w:rsid w:val="008A1D59"/>
    <w:rsid w:val="008A25BC"/>
    <w:rsid w:val="008A30FF"/>
    <w:rsid w:val="008A6926"/>
    <w:rsid w:val="008A7645"/>
    <w:rsid w:val="008A78E8"/>
    <w:rsid w:val="008B34B7"/>
    <w:rsid w:val="008B3744"/>
    <w:rsid w:val="008B5A4A"/>
    <w:rsid w:val="008B7A28"/>
    <w:rsid w:val="008C4720"/>
    <w:rsid w:val="008C5535"/>
    <w:rsid w:val="008C718B"/>
    <w:rsid w:val="008C7BA8"/>
    <w:rsid w:val="008D11C0"/>
    <w:rsid w:val="008D3E10"/>
    <w:rsid w:val="008D4C31"/>
    <w:rsid w:val="008D56A4"/>
    <w:rsid w:val="008D660F"/>
    <w:rsid w:val="008D75E8"/>
    <w:rsid w:val="008E1A38"/>
    <w:rsid w:val="008E2053"/>
    <w:rsid w:val="008E208B"/>
    <w:rsid w:val="008E25F2"/>
    <w:rsid w:val="008E40E9"/>
    <w:rsid w:val="008E4591"/>
    <w:rsid w:val="008E58F4"/>
    <w:rsid w:val="008E5FEB"/>
    <w:rsid w:val="008E6293"/>
    <w:rsid w:val="008E67A3"/>
    <w:rsid w:val="008E6CB2"/>
    <w:rsid w:val="008E6D4E"/>
    <w:rsid w:val="008E76B3"/>
    <w:rsid w:val="008E7A2D"/>
    <w:rsid w:val="008E7D02"/>
    <w:rsid w:val="008F0835"/>
    <w:rsid w:val="008F084B"/>
    <w:rsid w:val="008F0B4E"/>
    <w:rsid w:val="008F1890"/>
    <w:rsid w:val="008F1A44"/>
    <w:rsid w:val="008F1A63"/>
    <w:rsid w:val="008F25AF"/>
    <w:rsid w:val="008F32E6"/>
    <w:rsid w:val="008F45BD"/>
    <w:rsid w:val="008F65E3"/>
    <w:rsid w:val="008F6815"/>
    <w:rsid w:val="0090629E"/>
    <w:rsid w:val="00915B5B"/>
    <w:rsid w:val="00916E56"/>
    <w:rsid w:val="00921124"/>
    <w:rsid w:val="009224B3"/>
    <w:rsid w:val="009229C4"/>
    <w:rsid w:val="00926026"/>
    <w:rsid w:val="00926588"/>
    <w:rsid w:val="00927094"/>
    <w:rsid w:val="00927467"/>
    <w:rsid w:val="00931CE5"/>
    <w:rsid w:val="00934191"/>
    <w:rsid w:val="009357F8"/>
    <w:rsid w:val="009367FE"/>
    <w:rsid w:val="009372EE"/>
    <w:rsid w:val="0093784B"/>
    <w:rsid w:val="00940AC4"/>
    <w:rsid w:val="00942283"/>
    <w:rsid w:val="00943D27"/>
    <w:rsid w:val="0094453E"/>
    <w:rsid w:val="00945A51"/>
    <w:rsid w:val="00946C68"/>
    <w:rsid w:val="00950EC8"/>
    <w:rsid w:val="00951047"/>
    <w:rsid w:val="0095339D"/>
    <w:rsid w:val="0095396D"/>
    <w:rsid w:val="00953C39"/>
    <w:rsid w:val="009548BF"/>
    <w:rsid w:val="0095497B"/>
    <w:rsid w:val="0095600D"/>
    <w:rsid w:val="009565C3"/>
    <w:rsid w:val="00956C9A"/>
    <w:rsid w:val="00961AB2"/>
    <w:rsid w:val="009627C8"/>
    <w:rsid w:val="00964497"/>
    <w:rsid w:val="00964633"/>
    <w:rsid w:val="00964727"/>
    <w:rsid w:val="00967DEB"/>
    <w:rsid w:val="009702AD"/>
    <w:rsid w:val="00971B60"/>
    <w:rsid w:val="009751BC"/>
    <w:rsid w:val="00976AD2"/>
    <w:rsid w:val="00980956"/>
    <w:rsid w:val="00981837"/>
    <w:rsid w:val="00981BD4"/>
    <w:rsid w:val="009838B0"/>
    <w:rsid w:val="009851EE"/>
    <w:rsid w:val="0098545C"/>
    <w:rsid w:val="00985C01"/>
    <w:rsid w:val="00986B97"/>
    <w:rsid w:val="00991799"/>
    <w:rsid w:val="00996AE0"/>
    <w:rsid w:val="0099782D"/>
    <w:rsid w:val="009A0BA1"/>
    <w:rsid w:val="009A3004"/>
    <w:rsid w:val="009A3052"/>
    <w:rsid w:val="009A3B22"/>
    <w:rsid w:val="009A6331"/>
    <w:rsid w:val="009B07BF"/>
    <w:rsid w:val="009B206D"/>
    <w:rsid w:val="009B2AB2"/>
    <w:rsid w:val="009B2DB5"/>
    <w:rsid w:val="009B6DA5"/>
    <w:rsid w:val="009C008D"/>
    <w:rsid w:val="009C188D"/>
    <w:rsid w:val="009C42F8"/>
    <w:rsid w:val="009C5294"/>
    <w:rsid w:val="009C6969"/>
    <w:rsid w:val="009C73E0"/>
    <w:rsid w:val="009C7F8D"/>
    <w:rsid w:val="009D25E4"/>
    <w:rsid w:val="009D6AE1"/>
    <w:rsid w:val="009E13C1"/>
    <w:rsid w:val="009E2311"/>
    <w:rsid w:val="009E24F8"/>
    <w:rsid w:val="009E26D9"/>
    <w:rsid w:val="009E2C02"/>
    <w:rsid w:val="009E33EC"/>
    <w:rsid w:val="009E571A"/>
    <w:rsid w:val="009F18CB"/>
    <w:rsid w:val="009F3D9A"/>
    <w:rsid w:val="009F5A9B"/>
    <w:rsid w:val="009F6AAC"/>
    <w:rsid w:val="009F6ADF"/>
    <w:rsid w:val="009F7A2B"/>
    <w:rsid w:val="00A004AD"/>
    <w:rsid w:val="00A00D0A"/>
    <w:rsid w:val="00A0261E"/>
    <w:rsid w:val="00A02638"/>
    <w:rsid w:val="00A03C2B"/>
    <w:rsid w:val="00A0446F"/>
    <w:rsid w:val="00A0640D"/>
    <w:rsid w:val="00A07090"/>
    <w:rsid w:val="00A071D1"/>
    <w:rsid w:val="00A0765E"/>
    <w:rsid w:val="00A079EC"/>
    <w:rsid w:val="00A10E69"/>
    <w:rsid w:val="00A14A33"/>
    <w:rsid w:val="00A152DC"/>
    <w:rsid w:val="00A1628D"/>
    <w:rsid w:val="00A16768"/>
    <w:rsid w:val="00A2117D"/>
    <w:rsid w:val="00A21B7B"/>
    <w:rsid w:val="00A240AD"/>
    <w:rsid w:val="00A256FD"/>
    <w:rsid w:val="00A25AD2"/>
    <w:rsid w:val="00A25E87"/>
    <w:rsid w:val="00A26531"/>
    <w:rsid w:val="00A308F2"/>
    <w:rsid w:val="00A30A80"/>
    <w:rsid w:val="00A32FD2"/>
    <w:rsid w:val="00A405D7"/>
    <w:rsid w:val="00A409F3"/>
    <w:rsid w:val="00A41012"/>
    <w:rsid w:val="00A415FC"/>
    <w:rsid w:val="00A42FB6"/>
    <w:rsid w:val="00A43694"/>
    <w:rsid w:val="00A44E03"/>
    <w:rsid w:val="00A50037"/>
    <w:rsid w:val="00A51CA8"/>
    <w:rsid w:val="00A57B89"/>
    <w:rsid w:val="00A60C50"/>
    <w:rsid w:val="00A6136D"/>
    <w:rsid w:val="00A61517"/>
    <w:rsid w:val="00A6204A"/>
    <w:rsid w:val="00A641B9"/>
    <w:rsid w:val="00A6564E"/>
    <w:rsid w:val="00A656E7"/>
    <w:rsid w:val="00A66E34"/>
    <w:rsid w:val="00A7637F"/>
    <w:rsid w:val="00A76485"/>
    <w:rsid w:val="00A77B5D"/>
    <w:rsid w:val="00A8007E"/>
    <w:rsid w:val="00A8047B"/>
    <w:rsid w:val="00A81165"/>
    <w:rsid w:val="00A81578"/>
    <w:rsid w:val="00A81854"/>
    <w:rsid w:val="00A822C0"/>
    <w:rsid w:val="00A826A4"/>
    <w:rsid w:val="00A844DD"/>
    <w:rsid w:val="00A84E4F"/>
    <w:rsid w:val="00A862E7"/>
    <w:rsid w:val="00A90C5F"/>
    <w:rsid w:val="00A9195A"/>
    <w:rsid w:val="00A919AD"/>
    <w:rsid w:val="00A91F60"/>
    <w:rsid w:val="00A9239D"/>
    <w:rsid w:val="00A95F51"/>
    <w:rsid w:val="00A96029"/>
    <w:rsid w:val="00A97923"/>
    <w:rsid w:val="00AA170D"/>
    <w:rsid w:val="00AA4806"/>
    <w:rsid w:val="00AA55D1"/>
    <w:rsid w:val="00AA6A58"/>
    <w:rsid w:val="00AA798C"/>
    <w:rsid w:val="00AB3C7C"/>
    <w:rsid w:val="00AB4B14"/>
    <w:rsid w:val="00AB5F40"/>
    <w:rsid w:val="00AB6D31"/>
    <w:rsid w:val="00AB7221"/>
    <w:rsid w:val="00AB72CD"/>
    <w:rsid w:val="00AB7695"/>
    <w:rsid w:val="00AC5F84"/>
    <w:rsid w:val="00AC65C4"/>
    <w:rsid w:val="00AD0DBD"/>
    <w:rsid w:val="00AD19A6"/>
    <w:rsid w:val="00AD46BE"/>
    <w:rsid w:val="00AD50FB"/>
    <w:rsid w:val="00AF10E7"/>
    <w:rsid w:val="00AF133C"/>
    <w:rsid w:val="00AF29CC"/>
    <w:rsid w:val="00AF3348"/>
    <w:rsid w:val="00AF57B6"/>
    <w:rsid w:val="00AF6D0C"/>
    <w:rsid w:val="00B00531"/>
    <w:rsid w:val="00B01EB9"/>
    <w:rsid w:val="00B045A1"/>
    <w:rsid w:val="00B0521A"/>
    <w:rsid w:val="00B05DE3"/>
    <w:rsid w:val="00B0638E"/>
    <w:rsid w:val="00B06795"/>
    <w:rsid w:val="00B10692"/>
    <w:rsid w:val="00B13831"/>
    <w:rsid w:val="00B13E0D"/>
    <w:rsid w:val="00B1540C"/>
    <w:rsid w:val="00B158B8"/>
    <w:rsid w:val="00B17491"/>
    <w:rsid w:val="00B21071"/>
    <w:rsid w:val="00B211B7"/>
    <w:rsid w:val="00B21BDE"/>
    <w:rsid w:val="00B22418"/>
    <w:rsid w:val="00B22544"/>
    <w:rsid w:val="00B231D5"/>
    <w:rsid w:val="00B2644D"/>
    <w:rsid w:val="00B302FE"/>
    <w:rsid w:val="00B31781"/>
    <w:rsid w:val="00B33745"/>
    <w:rsid w:val="00B34B8B"/>
    <w:rsid w:val="00B36C2E"/>
    <w:rsid w:val="00B41CF5"/>
    <w:rsid w:val="00B460AA"/>
    <w:rsid w:val="00B47155"/>
    <w:rsid w:val="00B52EDE"/>
    <w:rsid w:val="00B53C19"/>
    <w:rsid w:val="00B53F0C"/>
    <w:rsid w:val="00B54C39"/>
    <w:rsid w:val="00B557E0"/>
    <w:rsid w:val="00B557ED"/>
    <w:rsid w:val="00B55C47"/>
    <w:rsid w:val="00B560FF"/>
    <w:rsid w:val="00B602BD"/>
    <w:rsid w:val="00B61B8D"/>
    <w:rsid w:val="00B631C2"/>
    <w:rsid w:val="00B640B6"/>
    <w:rsid w:val="00B657D8"/>
    <w:rsid w:val="00B70145"/>
    <w:rsid w:val="00B706CD"/>
    <w:rsid w:val="00B71E5A"/>
    <w:rsid w:val="00B72E5D"/>
    <w:rsid w:val="00B74AEF"/>
    <w:rsid w:val="00B76032"/>
    <w:rsid w:val="00B773BF"/>
    <w:rsid w:val="00B805CD"/>
    <w:rsid w:val="00B82424"/>
    <w:rsid w:val="00B82F2F"/>
    <w:rsid w:val="00B840A7"/>
    <w:rsid w:val="00B84188"/>
    <w:rsid w:val="00B841F8"/>
    <w:rsid w:val="00B849CA"/>
    <w:rsid w:val="00B85669"/>
    <w:rsid w:val="00B87996"/>
    <w:rsid w:val="00B90802"/>
    <w:rsid w:val="00B90CD3"/>
    <w:rsid w:val="00BA16E8"/>
    <w:rsid w:val="00BA2A94"/>
    <w:rsid w:val="00BA3A45"/>
    <w:rsid w:val="00BA4560"/>
    <w:rsid w:val="00BA47D5"/>
    <w:rsid w:val="00BA516E"/>
    <w:rsid w:val="00BA53E9"/>
    <w:rsid w:val="00BA7D41"/>
    <w:rsid w:val="00BB0A39"/>
    <w:rsid w:val="00BB0D39"/>
    <w:rsid w:val="00BB140F"/>
    <w:rsid w:val="00BB15FC"/>
    <w:rsid w:val="00BB207E"/>
    <w:rsid w:val="00BB2384"/>
    <w:rsid w:val="00BB59DA"/>
    <w:rsid w:val="00BB5C66"/>
    <w:rsid w:val="00BB6702"/>
    <w:rsid w:val="00BC042E"/>
    <w:rsid w:val="00BC13AC"/>
    <w:rsid w:val="00BC7807"/>
    <w:rsid w:val="00BD5424"/>
    <w:rsid w:val="00BE011C"/>
    <w:rsid w:val="00BE19BF"/>
    <w:rsid w:val="00BE2226"/>
    <w:rsid w:val="00BE2BB9"/>
    <w:rsid w:val="00BE6638"/>
    <w:rsid w:val="00BE6A52"/>
    <w:rsid w:val="00BE77E5"/>
    <w:rsid w:val="00BF02A3"/>
    <w:rsid w:val="00BF2044"/>
    <w:rsid w:val="00BF3068"/>
    <w:rsid w:val="00BF5D7F"/>
    <w:rsid w:val="00BF64F9"/>
    <w:rsid w:val="00BF72CC"/>
    <w:rsid w:val="00BF7872"/>
    <w:rsid w:val="00BF7DA4"/>
    <w:rsid w:val="00C00F38"/>
    <w:rsid w:val="00C01524"/>
    <w:rsid w:val="00C016B8"/>
    <w:rsid w:val="00C034D8"/>
    <w:rsid w:val="00C05A5D"/>
    <w:rsid w:val="00C0758D"/>
    <w:rsid w:val="00C1113C"/>
    <w:rsid w:val="00C1128E"/>
    <w:rsid w:val="00C13ACD"/>
    <w:rsid w:val="00C17C63"/>
    <w:rsid w:val="00C213EB"/>
    <w:rsid w:val="00C2169E"/>
    <w:rsid w:val="00C225B9"/>
    <w:rsid w:val="00C2266E"/>
    <w:rsid w:val="00C2337F"/>
    <w:rsid w:val="00C23A6F"/>
    <w:rsid w:val="00C24D9D"/>
    <w:rsid w:val="00C25709"/>
    <w:rsid w:val="00C25C41"/>
    <w:rsid w:val="00C272E8"/>
    <w:rsid w:val="00C31F37"/>
    <w:rsid w:val="00C32BF4"/>
    <w:rsid w:val="00C33AA8"/>
    <w:rsid w:val="00C34E8C"/>
    <w:rsid w:val="00C35922"/>
    <w:rsid w:val="00C40473"/>
    <w:rsid w:val="00C4142C"/>
    <w:rsid w:val="00C43218"/>
    <w:rsid w:val="00C43791"/>
    <w:rsid w:val="00C44FFD"/>
    <w:rsid w:val="00C477B2"/>
    <w:rsid w:val="00C526B8"/>
    <w:rsid w:val="00C52731"/>
    <w:rsid w:val="00C53C87"/>
    <w:rsid w:val="00C53F4A"/>
    <w:rsid w:val="00C5458C"/>
    <w:rsid w:val="00C546A9"/>
    <w:rsid w:val="00C5492B"/>
    <w:rsid w:val="00C57356"/>
    <w:rsid w:val="00C573CA"/>
    <w:rsid w:val="00C6044C"/>
    <w:rsid w:val="00C620CF"/>
    <w:rsid w:val="00C62AA2"/>
    <w:rsid w:val="00C66A16"/>
    <w:rsid w:val="00C67D7D"/>
    <w:rsid w:val="00C716AF"/>
    <w:rsid w:val="00C7462E"/>
    <w:rsid w:val="00C803AC"/>
    <w:rsid w:val="00C81213"/>
    <w:rsid w:val="00C821D2"/>
    <w:rsid w:val="00C85189"/>
    <w:rsid w:val="00C86591"/>
    <w:rsid w:val="00C86959"/>
    <w:rsid w:val="00C9147F"/>
    <w:rsid w:val="00C91F7E"/>
    <w:rsid w:val="00C936B5"/>
    <w:rsid w:val="00C94D77"/>
    <w:rsid w:val="00C955D5"/>
    <w:rsid w:val="00C968E0"/>
    <w:rsid w:val="00C9767C"/>
    <w:rsid w:val="00CA154F"/>
    <w:rsid w:val="00CA4211"/>
    <w:rsid w:val="00CB035F"/>
    <w:rsid w:val="00CB0A18"/>
    <w:rsid w:val="00CB366A"/>
    <w:rsid w:val="00CB562B"/>
    <w:rsid w:val="00CB5BB9"/>
    <w:rsid w:val="00CB6AC3"/>
    <w:rsid w:val="00CC09FC"/>
    <w:rsid w:val="00CC0C0A"/>
    <w:rsid w:val="00CC277C"/>
    <w:rsid w:val="00CC4545"/>
    <w:rsid w:val="00CC6240"/>
    <w:rsid w:val="00CC72E8"/>
    <w:rsid w:val="00CD0895"/>
    <w:rsid w:val="00CD1E24"/>
    <w:rsid w:val="00CD2576"/>
    <w:rsid w:val="00CD26BD"/>
    <w:rsid w:val="00CD6144"/>
    <w:rsid w:val="00CD6570"/>
    <w:rsid w:val="00CD705A"/>
    <w:rsid w:val="00CD7416"/>
    <w:rsid w:val="00CD7580"/>
    <w:rsid w:val="00CE0940"/>
    <w:rsid w:val="00CE16BF"/>
    <w:rsid w:val="00CF07A3"/>
    <w:rsid w:val="00CF1953"/>
    <w:rsid w:val="00CF21F3"/>
    <w:rsid w:val="00CF250C"/>
    <w:rsid w:val="00CF4561"/>
    <w:rsid w:val="00D00EF1"/>
    <w:rsid w:val="00D012AB"/>
    <w:rsid w:val="00D0165E"/>
    <w:rsid w:val="00D02B32"/>
    <w:rsid w:val="00D117ED"/>
    <w:rsid w:val="00D1272C"/>
    <w:rsid w:val="00D1289C"/>
    <w:rsid w:val="00D14870"/>
    <w:rsid w:val="00D20DF6"/>
    <w:rsid w:val="00D20EBF"/>
    <w:rsid w:val="00D20F65"/>
    <w:rsid w:val="00D21D40"/>
    <w:rsid w:val="00D23554"/>
    <w:rsid w:val="00D2403D"/>
    <w:rsid w:val="00D30D3F"/>
    <w:rsid w:val="00D31180"/>
    <w:rsid w:val="00D31631"/>
    <w:rsid w:val="00D3303E"/>
    <w:rsid w:val="00D331C4"/>
    <w:rsid w:val="00D34B1E"/>
    <w:rsid w:val="00D42DE3"/>
    <w:rsid w:val="00D43603"/>
    <w:rsid w:val="00D44E1A"/>
    <w:rsid w:val="00D44F36"/>
    <w:rsid w:val="00D45D2F"/>
    <w:rsid w:val="00D472AE"/>
    <w:rsid w:val="00D47A29"/>
    <w:rsid w:val="00D47D5C"/>
    <w:rsid w:val="00D50B70"/>
    <w:rsid w:val="00D51A88"/>
    <w:rsid w:val="00D54D7A"/>
    <w:rsid w:val="00D57F40"/>
    <w:rsid w:val="00D620EF"/>
    <w:rsid w:val="00D64C07"/>
    <w:rsid w:val="00D65B6A"/>
    <w:rsid w:val="00D66150"/>
    <w:rsid w:val="00D670D0"/>
    <w:rsid w:val="00D67464"/>
    <w:rsid w:val="00D67E24"/>
    <w:rsid w:val="00D70047"/>
    <w:rsid w:val="00D70515"/>
    <w:rsid w:val="00D71988"/>
    <w:rsid w:val="00D730D0"/>
    <w:rsid w:val="00D73B3B"/>
    <w:rsid w:val="00D77124"/>
    <w:rsid w:val="00D77D25"/>
    <w:rsid w:val="00D77F3B"/>
    <w:rsid w:val="00D822F6"/>
    <w:rsid w:val="00D82556"/>
    <w:rsid w:val="00D831D5"/>
    <w:rsid w:val="00D83324"/>
    <w:rsid w:val="00D8554F"/>
    <w:rsid w:val="00D905E6"/>
    <w:rsid w:val="00D93840"/>
    <w:rsid w:val="00DA44ED"/>
    <w:rsid w:val="00DA5075"/>
    <w:rsid w:val="00DA6E18"/>
    <w:rsid w:val="00DB49C3"/>
    <w:rsid w:val="00DB67CB"/>
    <w:rsid w:val="00DB7F38"/>
    <w:rsid w:val="00DC0390"/>
    <w:rsid w:val="00DC32F7"/>
    <w:rsid w:val="00DC444F"/>
    <w:rsid w:val="00DC487D"/>
    <w:rsid w:val="00DC69C3"/>
    <w:rsid w:val="00DC7750"/>
    <w:rsid w:val="00DD1C04"/>
    <w:rsid w:val="00DD3A53"/>
    <w:rsid w:val="00DD3B5B"/>
    <w:rsid w:val="00DD587D"/>
    <w:rsid w:val="00DD7E1C"/>
    <w:rsid w:val="00DE0037"/>
    <w:rsid w:val="00DE0459"/>
    <w:rsid w:val="00DE1B8B"/>
    <w:rsid w:val="00DE2644"/>
    <w:rsid w:val="00DE42B6"/>
    <w:rsid w:val="00DE5B0C"/>
    <w:rsid w:val="00DE638D"/>
    <w:rsid w:val="00DE685A"/>
    <w:rsid w:val="00DF2867"/>
    <w:rsid w:val="00DF47D5"/>
    <w:rsid w:val="00DF5880"/>
    <w:rsid w:val="00DF6B0B"/>
    <w:rsid w:val="00DF788C"/>
    <w:rsid w:val="00DF7CB2"/>
    <w:rsid w:val="00E040BF"/>
    <w:rsid w:val="00E0438E"/>
    <w:rsid w:val="00E04B5E"/>
    <w:rsid w:val="00E11767"/>
    <w:rsid w:val="00E1568C"/>
    <w:rsid w:val="00E15CCA"/>
    <w:rsid w:val="00E20617"/>
    <w:rsid w:val="00E22FA4"/>
    <w:rsid w:val="00E23EFD"/>
    <w:rsid w:val="00E2595B"/>
    <w:rsid w:val="00E25EF8"/>
    <w:rsid w:val="00E26612"/>
    <w:rsid w:val="00E27D0E"/>
    <w:rsid w:val="00E3019D"/>
    <w:rsid w:val="00E31B87"/>
    <w:rsid w:val="00E33F87"/>
    <w:rsid w:val="00E3437D"/>
    <w:rsid w:val="00E34746"/>
    <w:rsid w:val="00E34D1F"/>
    <w:rsid w:val="00E37448"/>
    <w:rsid w:val="00E414BF"/>
    <w:rsid w:val="00E419CD"/>
    <w:rsid w:val="00E42191"/>
    <w:rsid w:val="00E43E39"/>
    <w:rsid w:val="00E4447B"/>
    <w:rsid w:val="00E52AD6"/>
    <w:rsid w:val="00E537ED"/>
    <w:rsid w:val="00E5444E"/>
    <w:rsid w:val="00E556EB"/>
    <w:rsid w:val="00E639D3"/>
    <w:rsid w:val="00E6649E"/>
    <w:rsid w:val="00E70013"/>
    <w:rsid w:val="00E70258"/>
    <w:rsid w:val="00E7175A"/>
    <w:rsid w:val="00E71A91"/>
    <w:rsid w:val="00E73BEF"/>
    <w:rsid w:val="00E7474D"/>
    <w:rsid w:val="00E754F6"/>
    <w:rsid w:val="00E75A4E"/>
    <w:rsid w:val="00E8231C"/>
    <w:rsid w:val="00E83514"/>
    <w:rsid w:val="00E86994"/>
    <w:rsid w:val="00E90801"/>
    <w:rsid w:val="00E90C0D"/>
    <w:rsid w:val="00E916BD"/>
    <w:rsid w:val="00E92756"/>
    <w:rsid w:val="00E93A9F"/>
    <w:rsid w:val="00E93DB0"/>
    <w:rsid w:val="00E952BA"/>
    <w:rsid w:val="00E96872"/>
    <w:rsid w:val="00E97186"/>
    <w:rsid w:val="00EA04C2"/>
    <w:rsid w:val="00EA2D58"/>
    <w:rsid w:val="00EA38CB"/>
    <w:rsid w:val="00EA4C04"/>
    <w:rsid w:val="00EA6AEA"/>
    <w:rsid w:val="00EA6D3B"/>
    <w:rsid w:val="00EA6D73"/>
    <w:rsid w:val="00EA7799"/>
    <w:rsid w:val="00EA7F84"/>
    <w:rsid w:val="00EB29B6"/>
    <w:rsid w:val="00EB45A8"/>
    <w:rsid w:val="00EB5AC9"/>
    <w:rsid w:val="00EB6980"/>
    <w:rsid w:val="00EB6992"/>
    <w:rsid w:val="00EC0353"/>
    <w:rsid w:val="00EC0F4D"/>
    <w:rsid w:val="00EC11B9"/>
    <w:rsid w:val="00EC11CD"/>
    <w:rsid w:val="00EC1EF1"/>
    <w:rsid w:val="00EC4D2A"/>
    <w:rsid w:val="00EC6DA6"/>
    <w:rsid w:val="00EC7053"/>
    <w:rsid w:val="00EC793F"/>
    <w:rsid w:val="00ED15F5"/>
    <w:rsid w:val="00ED5233"/>
    <w:rsid w:val="00ED649F"/>
    <w:rsid w:val="00ED64EA"/>
    <w:rsid w:val="00ED6F62"/>
    <w:rsid w:val="00ED71BA"/>
    <w:rsid w:val="00ED726D"/>
    <w:rsid w:val="00EE37CF"/>
    <w:rsid w:val="00EE3E4C"/>
    <w:rsid w:val="00EE5B2C"/>
    <w:rsid w:val="00EE7CC4"/>
    <w:rsid w:val="00EF1F9E"/>
    <w:rsid w:val="00EF4551"/>
    <w:rsid w:val="00EF6CAD"/>
    <w:rsid w:val="00F00A4D"/>
    <w:rsid w:val="00F01FC1"/>
    <w:rsid w:val="00F021B2"/>
    <w:rsid w:val="00F03587"/>
    <w:rsid w:val="00F03A71"/>
    <w:rsid w:val="00F0412F"/>
    <w:rsid w:val="00F04B34"/>
    <w:rsid w:val="00F05913"/>
    <w:rsid w:val="00F05E68"/>
    <w:rsid w:val="00F07118"/>
    <w:rsid w:val="00F10579"/>
    <w:rsid w:val="00F10CE9"/>
    <w:rsid w:val="00F147CE"/>
    <w:rsid w:val="00F15A2A"/>
    <w:rsid w:val="00F20C9B"/>
    <w:rsid w:val="00F21487"/>
    <w:rsid w:val="00F22406"/>
    <w:rsid w:val="00F302E2"/>
    <w:rsid w:val="00F3100F"/>
    <w:rsid w:val="00F33A64"/>
    <w:rsid w:val="00F427C0"/>
    <w:rsid w:val="00F429F1"/>
    <w:rsid w:val="00F430D2"/>
    <w:rsid w:val="00F45171"/>
    <w:rsid w:val="00F45FD8"/>
    <w:rsid w:val="00F5005A"/>
    <w:rsid w:val="00F52132"/>
    <w:rsid w:val="00F532DA"/>
    <w:rsid w:val="00F54572"/>
    <w:rsid w:val="00F574CC"/>
    <w:rsid w:val="00F63877"/>
    <w:rsid w:val="00F64876"/>
    <w:rsid w:val="00F70078"/>
    <w:rsid w:val="00F7156F"/>
    <w:rsid w:val="00F72302"/>
    <w:rsid w:val="00F72D85"/>
    <w:rsid w:val="00F7301E"/>
    <w:rsid w:val="00F7416A"/>
    <w:rsid w:val="00F76944"/>
    <w:rsid w:val="00F77F99"/>
    <w:rsid w:val="00F8022A"/>
    <w:rsid w:val="00F82B02"/>
    <w:rsid w:val="00F83A9E"/>
    <w:rsid w:val="00F841EF"/>
    <w:rsid w:val="00F86853"/>
    <w:rsid w:val="00F91460"/>
    <w:rsid w:val="00F9498E"/>
    <w:rsid w:val="00F94D94"/>
    <w:rsid w:val="00FA0553"/>
    <w:rsid w:val="00FA246A"/>
    <w:rsid w:val="00FA32C4"/>
    <w:rsid w:val="00FA4652"/>
    <w:rsid w:val="00FA480B"/>
    <w:rsid w:val="00FA65F4"/>
    <w:rsid w:val="00FB195B"/>
    <w:rsid w:val="00FB2B03"/>
    <w:rsid w:val="00FC0D31"/>
    <w:rsid w:val="00FC138B"/>
    <w:rsid w:val="00FC2220"/>
    <w:rsid w:val="00FC350E"/>
    <w:rsid w:val="00FC3550"/>
    <w:rsid w:val="00FC58B0"/>
    <w:rsid w:val="00FD33B4"/>
    <w:rsid w:val="00FD470F"/>
    <w:rsid w:val="00FD62A2"/>
    <w:rsid w:val="00FD6BD9"/>
    <w:rsid w:val="00FD73CB"/>
    <w:rsid w:val="00FD7D97"/>
    <w:rsid w:val="00FE16F1"/>
    <w:rsid w:val="00FE38D6"/>
    <w:rsid w:val="00FE4F3D"/>
    <w:rsid w:val="00FE5015"/>
    <w:rsid w:val="00FE6945"/>
    <w:rsid w:val="00FF0A4C"/>
    <w:rsid w:val="00FF2CC6"/>
    <w:rsid w:val="00FF3198"/>
    <w:rsid w:val="00FF54A9"/>
    <w:rsid w:val="00FF5D9B"/>
    <w:rsid w:val="00FF6471"/>
    <w:rsid w:val="00FF6E4A"/>
    <w:rsid w:val="01D62AFE"/>
    <w:rsid w:val="034755E3"/>
    <w:rsid w:val="03A20FF2"/>
    <w:rsid w:val="03B24C65"/>
    <w:rsid w:val="03D80A74"/>
    <w:rsid w:val="04183B2E"/>
    <w:rsid w:val="0483088B"/>
    <w:rsid w:val="04C04662"/>
    <w:rsid w:val="04C70C66"/>
    <w:rsid w:val="05052FB1"/>
    <w:rsid w:val="05673D42"/>
    <w:rsid w:val="05883ED0"/>
    <w:rsid w:val="058C00A9"/>
    <w:rsid w:val="071874A7"/>
    <w:rsid w:val="07E850FA"/>
    <w:rsid w:val="0822685D"/>
    <w:rsid w:val="095F07CB"/>
    <w:rsid w:val="099866AB"/>
    <w:rsid w:val="09987631"/>
    <w:rsid w:val="09CE51B7"/>
    <w:rsid w:val="0A163D09"/>
    <w:rsid w:val="0A8F01B6"/>
    <w:rsid w:val="0A927A82"/>
    <w:rsid w:val="0B274A02"/>
    <w:rsid w:val="0B9B3578"/>
    <w:rsid w:val="0BA56E0B"/>
    <w:rsid w:val="0C015458"/>
    <w:rsid w:val="0C5F7AD7"/>
    <w:rsid w:val="0C8B2E17"/>
    <w:rsid w:val="0C9B3BD5"/>
    <w:rsid w:val="0CCB65DA"/>
    <w:rsid w:val="0D152488"/>
    <w:rsid w:val="0D596E60"/>
    <w:rsid w:val="0D9C3830"/>
    <w:rsid w:val="0DC4377E"/>
    <w:rsid w:val="0E330254"/>
    <w:rsid w:val="0E773903"/>
    <w:rsid w:val="0EA32AC1"/>
    <w:rsid w:val="0EEA2492"/>
    <w:rsid w:val="0F193E79"/>
    <w:rsid w:val="0F3C4E5F"/>
    <w:rsid w:val="0F950C74"/>
    <w:rsid w:val="100E6226"/>
    <w:rsid w:val="110B4996"/>
    <w:rsid w:val="113D33E9"/>
    <w:rsid w:val="11883E00"/>
    <w:rsid w:val="12036EE9"/>
    <w:rsid w:val="123637BB"/>
    <w:rsid w:val="12406A51"/>
    <w:rsid w:val="12E45CBD"/>
    <w:rsid w:val="13002AD6"/>
    <w:rsid w:val="13023C36"/>
    <w:rsid w:val="1324595A"/>
    <w:rsid w:val="13595810"/>
    <w:rsid w:val="14BC0FCD"/>
    <w:rsid w:val="14CD7DF8"/>
    <w:rsid w:val="14F0619D"/>
    <w:rsid w:val="1557566D"/>
    <w:rsid w:val="15AF7332"/>
    <w:rsid w:val="16E32FF9"/>
    <w:rsid w:val="17157DA2"/>
    <w:rsid w:val="178F12BB"/>
    <w:rsid w:val="17CC0594"/>
    <w:rsid w:val="17F30AD1"/>
    <w:rsid w:val="18B11BCB"/>
    <w:rsid w:val="18DA0A8E"/>
    <w:rsid w:val="19856C4C"/>
    <w:rsid w:val="19C95544"/>
    <w:rsid w:val="19FB2A6A"/>
    <w:rsid w:val="1A257562"/>
    <w:rsid w:val="1A5430AF"/>
    <w:rsid w:val="1AC055C5"/>
    <w:rsid w:val="1ACD254F"/>
    <w:rsid w:val="1B7F1802"/>
    <w:rsid w:val="1BEA2B8D"/>
    <w:rsid w:val="1C9B2725"/>
    <w:rsid w:val="1CBA0A63"/>
    <w:rsid w:val="1D0600C7"/>
    <w:rsid w:val="1DAE31A2"/>
    <w:rsid w:val="1DD7570D"/>
    <w:rsid w:val="1DDE1E64"/>
    <w:rsid w:val="1EB21179"/>
    <w:rsid w:val="1EF21238"/>
    <w:rsid w:val="1F012B01"/>
    <w:rsid w:val="203E54B3"/>
    <w:rsid w:val="2079161C"/>
    <w:rsid w:val="20BF7C93"/>
    <w:rsid w:val="20C24552"/>
    <w:rsid w:val="20C705CE"/>
    <w:rsid w:val="20E203C0"/>
    <w:rsid w:val="20FA3859"/>
    <w:rsid w:val="210D40BE"/>
    <w:rsid w:val="232B49F1"/>
    <w:rsid w:val="23955CDE"/>
    <w:rsid w:val="240E59A2"/>
    <w:rsid w:val="245C4A4D"/>
    <w:rsid w:val="24621B89"/>
    <w:rsid w:val="248024EA"/>
    <w:rsid w:val="24833AB6"/>
    <w:rsid w:val="248C5333"/>
    <w:rsid w:val="24991A24"/>
    <w:rsid w:val="250D5A1D"/>
    <w:rsid w:val="25642175"/>
    <w:rsid w:val="261938EC"/>
    <w:rsid w:val="26337541"/>
    <w:rsid w:val="268003A6"/>
    <w:rsid w:val="2762362C"/>
    <w:rsid w:val="286C594A"/>
    <w:rsid w:val="28A11BFC"/>
    <w:rsid w:val="28DE576C"/>
    <w:rsid w:val="292300CC"/>
    <w:rsid w:val="29340302"/>
    <w:rsid w:val="29BA321D"/>
    <w:rsid w:val="29FC4D87"/>
    <w:rsid w:val="2A1D0AA2"/>
    <w:rsid w:val="2A822F5D"/>
    <w:rsid w:val="2ABB6CEB"/>
    <w:rsid w:val="2AFF3AFB"/>
    <w:rsid w:val="2B066843"/>
    <w:rsid w:val="2BE05D24"/>
    <w:rsid w:val="2BF043F9"/>
    <w:rsid w:val="2C1E3255"/>
    <w:rsid w:val="2C286577"/>
    <w:rsid w:val="2CB256F5"/>
    <w:rsid w:val="2D024D94"/>
    <w:rsid w:val="2D7F76DA"/>
    <w:rsid w:val="2DB35D96"/>
    <w:rsid w:val="2ECA0E79"/>
    <w:rsid w:val="2EE4515F"/>
    <w:rsid w:val="2EF0147A"/>
    <w:rsid w:val="2F540049"/>
    <w:rsid w:val="2F666780"/>
    <w:rsid w:val="2FCE47E0"/>
    <w:rsid w:val="2FD67BE4"/>
    <w:rsid w:val="30055C71"/>
    <w:rsid w:val="30656516"/>
    <w:rsid w:val="308C2216"/>
    <w:rsid w:val="30A40FD1"/>
    <w:rsid w:val="312457D7"/>
    <w:rsid w:val="31DF3491"/>
    <w:rsid w:val="322936D7"/>
    <w:rsid w:val="32AB091D"/>
    <w:rsid w:val="33B26B02"/>
    <w:rsid w:val="33B9341A"/>
    <w:rsid w:val="33D75EC4"/>
    <w:rsid w:val="33FF6A78"/>
    <w:rsid w:val="34763FBA"/>
    <w:rsid w:val="349E37AE"/>
    <w:rsid w:val="34E46DD3"/>
    <w:rsid w:val="356615EF"/>
    <w:rsid w:val="3567606B"/>
    <w:rsid w:val="35943B27"/>
    <w:rsid w:val="35F754AE"/>
    <w:rsid w:val="371329EA"/>
    <w:rsid w:val="377A5E22"/>
    <w:rsid w:val="37925E37"/>
    <w:rsid w:val="380D5DE8"/>
    <w:rsid w:val="38105460"/>
    <w:rsid w:val="3811105E"/>
    <w:rsid w:val="393E25FA"/>
    <w:rsid w:val="3956374C"/>
    <w:rsid w:val="3A1A37F0"/>
    <w:rsid w:val="3A2739E0"/>
    <w:rsid w:val="3B5E021A"/>
    <w:rsid w:val="3BAF4455"/>
    <w:rsid w:val="3BFC0353"/>
    <w:rsid w:val="3C0924FD"/>
    <w:rsid w:val="3C321F4D"/>
    <w:rsid w:val="3C6109FB"/>
    <w:rsid w:val="3C7749EC"/>
    <w:rsid w:val="3CD149A7"/>
    <w:rsid w:val="3CEE666E"/>
    <w:rsid w:val="3D1A6323"/>
    <w:rsid w:val="3D335ECA"/>
    <w:rsid w:val="3D4252F6"/>
    <w:rsid w:val="3D8643FD"/>
    <w:rsid w:val="3DEA6F65"/>
    <w:rsid w:val="3E8804C1"/>
    <w:rsid w:val="3EF94533"/>
    <w:rsid w:val="3F4207FE"/>
    <w:rsid w:val="40435324"/>
    <w:rsid w:val="407438BA"/>
    <w:rsid w:val="41012A9F"/>
    <w:rsid w:val="41717811"/>
    <w:rsid w:val="41911C6F"/>
    <w:rsid w:val="419D0727"/>
    <w:rsid w:val="41C432D7"/>
    <w:rsid w:val="42180E1F"/>
    <w:rsid w:val="427C1182"/>
    <w:rsid w:val="42833133"/>
    <w:rsid w:val="4294314C"/>
    <w:rsid w:val="42DA67CF"/>
    <w:rsid w:val="43162878"/>
    <w:rsid w:val="434A676B"/>
    <w:rsid w:val="43BA5753"/>
    <w:rsid w:val="43C03B24"/>
    <w:rsid w:val="44146FED"/>
    <w:rsid w:val="44206688"/>
    <w:rsid w:val="44474A58"/>
    <w:rsid w:val="44EF49C1"/>
    <w:rsid w:val="456F02E4"/>
    <w:rsid w:val="46366BB3"/>
    <w:rsid w:val="46494FE1"/>
    <w:rsid w:val="46543F2C"/>
    <w:rsid w:val="471A0124"/>
    <w:rsid w:val="49755AE6"/>
    <w:rsid w:val="49A82A24"/>
    <w:rsid w:val="49C67CDD"/>
    <w:rsid w:val="49F3649B"/>
    <w:rsid w:val="4A0943AF"/>
    <w:rsid w:val="4B1F3D90"/>
    <w:rsid w:val="4B6E2630"/>
    <w:rsid w:val="4BB73525"/>
    <w:rsid w:val="4BCB05C7"/>
    <w:rsid w:val="4C7D65E0"/>
    <w:rsid w:val="4D246E53"/>
    <w:rsid w:val="4DA84500"/>
    <w:rsid w:val="4DB56C4A"/>
    <w:rsid w:val="4DD65CA8"/>
    <w:rsid w:val="4E0A56A6"/>
    <w:rsid w:val="4E2E04E9"/>
    <w:rsid w:val="4E5D7AB2"/>
    <w:rsid w:val="4F643350"/>
    <w:rsid w:val="4F8C750C"/>
    <w:rsid w:val="506C3E46"/>
    <w:rsid w:val="50FF7807"/>
    <w:rsid w:val="51025066"/>
    <w:rsid w:val="5119144D"/>
    <w:rsid w:val="51DC6C18"/>
    <w:rsid w:val="52665F17"/>
    <w:rsid w:val="5289711B"/>
    <w:rsid w:val="52C93553"/>
    <w:rsid w:val="53A97662"/>
    <w:rsid w:val="53EF733E"/>
    <w:rsid w:val="548D6A45"/>
    <w:rsid w:val="54AF5257"/>
    <w:rsid w:val="55ED2D22"/>
    <w:rsid w:val="57DD3ED9"/>
    <w:rsid w:val="57E52B2D"/>
    <w:rsid w:val="584D16F8"/>
    <w:rsid w:val="5887142B"/>
    <w:rsid w:val="58E36756"/>
    <w:rsid w:val="59343193"/>
    <w:rsid w:val="597F6215"/>
    <w:rsid w:val="59E22275"/>
    <w:rsid w:val="5A432EC3"/>
    <w:rsid w:val="5AA83612"/>
    <w:rsid w:val="5AFC0F23"/>
    <w:rsid w:val="5B331092"/>
    <w:rsid w:val="5BCC0A74"/>
    <w:rsid w:val="5CE702AD"/>
    <w:rsid w:val="5CFA072A"/>
    <w:rsid w:val="5D2C6FD1"/>
    <w:rsid w:val="5D50245B"/>
    <w:rsid w:val="5D714FF5"/>
    <w:rsid w:val="5DAC5D23"/>
    <w:rsid w:val="5DEE0D70"/>
    <w:rsid w:val="5DF55C01"/>
    <w:rsid w:val="5E1809F6"/>
    <w:rsid w:val="5E545206"/>
    <w:rsid w:val="5E6C3C61"/>
    <w:rsid w:val="5E823E86"/>
    <w:rsid w:val="5ED7663A"/>
    <w:rsid w:val="5F315082"/>
    <w:rsid w:val="5F4B3119"/>
    <w:rsid w:val="5FA91F9B"/>
    <w:rsid w:val="604C7443"/>
    <w:rsid w:val="607F48F8"/>
    <w:rsid w:val="617F70AA"/>
    <w:rsid w:val="61AC1F73"/>
    <w:rsid w:val="620014EC"/>
    <w:rsid w:val="623D3809"/>
    <w:rsid w:val="62944A68"/>
    <w:rsid w:val="63A14411"/>
    <w:rsid w:val="63EF4330"/>
    <w:rsid w:val="64093F70"/>
    <w:rsid w:val="64456323"/>
    <w:rsid w:val="648F5856"/>
    <w:rsid w:val="64C71804"/>
    <w:rsid w:val="65145229"/>
    <w:rsid w:val="65CB0252"/>
    <w:rsid w:val="65CD326E"/>
    <w:rsid w:val="662972D0"/>
    <w:rsid w:val="665B70F7"/>
    <w:rsid w:val="66636F64"/>
    <w:rsid w:val="66C756B4"/>
    <w:rsid w:val="66D523E5"/>
    <w:rsid w:val="676B2807"/>
    <w:rsid w:val="67861828"/>
    <w:rsid w:val="678D4C5F"/>
    <w:rsid w:val="67A35731"/>
    <w:rsid w:val="67A53E38"/>
    <w:rsid w:val="67FC4C37"/>
    <w:rsid w:val="68143ADE"/>
    <w:rsid w:val="687E03F3"/>
    <w:rsid w:val="69033F31"/>
    <w:rsid w:val="691528BD"/>
    <w:rsid w:val="691B4E2F"/>
    <w:rsid w:val="6963325C"/>
    <w:rsid w:val="696A5414"/>
    <w:rsid w:val="69846206"/>
    <w:rsid w:val="69BA11E8"/>
    <w:rsid w:val="69EF41D2"/>
    <w:rsid w:val="6A244D70"/>
    <w:rsid w:val="6A696B49"/>
    <w:rsid w:val="6AD00976"/>
    <w:rsid w:val="6B326339"/>
    <w:rsid w:val="6B693514"/>
    <w:rsid w:val="6BB25CFC"/>
    <w:rsid w:val="6C68753B"/>
    <w:rsid w:val="6C7E5E9C"/>
    <w:rsid w:val="6C9A6949"/>
    <w:rsid w:val="6CA94CCE"/>
    <w:rsid w:val="6CBB465F"/>
    <w:rsid w:val="6CD6378A"/>
    <w:rsid w:val="6CDF4E2C"/>
    <w:rsid w:val="6DB52756"/>
    <w:rsid w:val="6DB613F8"/>
    <w:rsid w:val="6DB6692C"/>
    <w:rsid w:val="6E25722B"/>
    <w:rsid w:val="6EB34653"/>
    <w:rsid w:val="704E7F85"/>
    <w:rsid w:val="716F7B87"/>
    <w:rsid w:val="71D95A85"/>
    <w:rsid w:val="71F1041B"/>
    <w:rsid w:val="72BC63B0"/>
    <w:rsid w:val="7308708A"/>
    <w:rsid w:val="73520AC2"/>
    <w:rsid w:val="73B608C9"/>
    <w:rsid w:val="73C11E14"/>
    <w:rsid w:val="7509104C"/>
    <w:rsid w:val="75416738"/>
    <w:rsid w:val="75867F5C"/>
    <w:rsid w:val="760836BA"/>
    <w:rsid w:val="76A67A8B"/>
    <w:rsid w:val="76CD680B"/>
    <w:rsid w:val="76F92DB6"/>
    <w:rsid w:val="77AC1F25"/>
    <w:rsid w:val="77C8655B"/>
    <w:rsid w:val="784F6FA6"/>
    <w:rsid w:val="78B35C9E"/>
    <w:rsid w:val="79361C07"/>
    <w:rsid w:val="79DD38E4"/>
    <w:rsid w:val="7A145DED"/>
    <w:rsid w:val="7A1D6838"/>
    <w:rsid w:val="7A43362B"/>
    <w:rsid w:val="7B017DDC"/>
    <w:rsid w:val="7BBD067A"/>
    <w:rsid w:val="7D0D65FF"/>
    <w:rsid w:val="7D61662C"/>
    <w:rsid w:val="7DB54128"/>
    <w:rsid w:val="7DD65E4C"/>
    <w:rsid w:val="7E400862"/>
    <w:rsid w:val="7ECE15A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qFormat="1" w:unhideWhenUsed="0" w:uiPriority="0" w:semiHidden="0" w:name="Body Text 2"/>
    <w:lsdException w:uiPriority="99" w:name="Body Text 3"/>
    <w:lsdException w:qFormat="1" w:uiPriority="99" w:semiHidden="0"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宋体"/>
      <w:kern w:val="2"/>
      <w:sz w:val="21"/>
      <w:szCs w:val="22"/>
      <w:lang w:val="en-US" w:eastAsia="zh-CN" w:bidi="ar-SA"/>
    </w:rPr>
  </w:style>
  <w:style w:type="paragraph" w:styleId="4">
    <w:name w:val="heading 1"/>
    <w:basedOn w:val="1"/>
    <w:next w:val="5"/>
    <w:link w:val="58"/>
    <w:qFormat/>
    <w:uiPriority w:val="9"/>
    <w:pPr>
      <w:pageBreakBefore/>
      <w:numPr>
        <w:ilvl w:val="0"/>
        <w:numId w:val="1"/>
      </w:numPr>
      <w:tabs>
        <w:tab w:val="left" w:pos="425"/>
      </w:tabs>
      <w:spacing w:before="312" w:beforeLines="100" w:after="312" w:afterLines="100" w:line="480" w:lineRule="auto"/>
      <w:ind w:firstLine="0"/>
      <w:jc w:val="center"/>
      <w:outlineLvl w:val="0"/>
    </w:pPr>
    <w:rPr>
      <w:rFonts w:ascii="黑体" w:hAnsi="黑体" w:eastAsia="黑体" w:cs="Times New Roman"/>
      <w:b/>
      <w:sz w:val="32"/>
      <w:szCs w:val="32"/>
    </w:rPr>
  </w:style>
  <w:style w:type="paragraph" w:styleId="6">
    <w:name w:val="heading 2"/>
    <w:basedOn w:val="1"/>
    <w:next w:val="1"/>
    <w:link w:val="59"/>
    <w:unhideWhenUsed/>
    <w:qFormat/>
    <w:uiPriority w:val="9"/>
    <w:pPr>
      <w:numPr>
        <w:ilvl w:val="1"/>
        <w:numId w:val="1"/>
      </w:numPr>
      <w:tabs>
        <w:tab w:val="left" w:pos="425"/>
        <w:tab w:val="left" w:pos="567"/>
      </w:tabs>
      <w:spacing w:before="480" w:after="312"/>
      <w:outlineLvl w:val="1"/>
    </w:pPr>
    <w:rPr>
      <w:rFonts w:ascii="黑体" w:hAnsi="黑体" w:eastAsia="黑体" w:cs="Times New Roman"/>
      <w:b/>
      <w:sz w:val="30"/>
      <w:szCs w:val="21"/>
    </w:rPr>
  </w:style>
  <w:style w:type="paragraph" w:styleId="7">
    <w:name w:val="heading 3"/>
    <w:basedOn w:val="1"/>
    <w:next w:val="5"/>
    <w:link w:val="60"/>
    <w:unhideWhenUsed/>
    <w:qFormat/>
    <w:uiPriority w:val="9"/>
    <w:pPr>
      <w:keepNext/>
      <w:keepLines/>
      <w:numPr>
        <w:ilvl w:val="2"/>
        <w:numId w:val="1"/>
      </w:numPr>
      <w:tabs>
        <w:tab w:val="left" w:pos="425"/>
        <w:tab w:val="left" w:pos="709"/>
        <w:tab w:val="left" w:pos="851"/>
        <w:tab w:val="left" w:pos="993"/>
      </w:tabs>
      <w:adjustRightInd w:val="0"/>
      <w:snapToGrid w:val="0"/>
      <w:spacing w:before="163" w:after="163"/>
      <w:ind w:left="0"/>
      <w:outlineLvl w:val="2"/>
    </w:pPr>
    <w:rPr>
      <w:rFonts w:ascii="黑体" w:hAnsi="黑体" w:eastAsia="黑体" w:cs="Times New Roman"/>
      <w:b/>
      <w:sz w:val="28"/>
      <w:szCs w:val="21"/>
    </w:rPr>
  </w:style>
  <w:style w:type="paragraph" w:styleId="8">
    <w:name w:val="heading 4"/>
    <w:basedOn w:val="1"/>
    <w:next w:val="5"/>
    <w:link w:val="61"/>
    <w:unhideWhenUsed/>
    <w:qFormat/>
    <w:uiPriority w:val="9"/>
    <w:pPr>
      <w:keepNext/>
      <w:keepLines/>
      <w:numPr>
        <w:ilvl w:val="3"/>
        <w:numId w:val="1"/>
      </w:numPr>
      <w:tabs>
        <w:tab w:val="left" w:pos="425"/>
        <w:tab w:val="left" w:pos="851"/>
      </w:tabs>
      <w:adjustRightInd w:val="0"/>
      <w:snapToGrid w:val="0"/>
      <w:spacing w:before="156"/>
      <w:outlineLvl w:val="3"/>
    </w:pPr>
    <w:rPr>
      <w:rFonts w:asciiTheme="majorHAnsi" w:hAnsiTheme="majorHAnsi" w:eastAsiaTheme="majorEastAsia" w:cstheme="majorBidi"/>
      <w:b/>
      <w:bCs/>
      <w:sz w:val="28"/>
      <w:szCs w:val="28"/>
    </w:rPr>
  </w:style>
  <w:style w:type="paragraph" w:styleId="9">
    <w:name w:val="heading 5"/>
    <w:basedOn w:val="1"/>
    <w:next w:val="5"/>
    <w:link w:val="62"/>
    <w:unhideWhenUsed/>
    <w:qFormat/>
    <w:uiPriority w:val="9"/>
    <w:pPr>
      <w:numPr>
        <w:ilvl w:val="4"/>
        <w:numId w:val="1"/>
      </w:numPr>
      <w:tabs>
        <w:tab w:val="left" w:pos="425"/>
        <w:tab w:val="left" w:pos="992"/>
      </w:tabs>
      <w:adjustRightInd w:val="0"/>
      <w:spacing w:before="15" w:beforeLines="15" w:after="15" w:afterLines="15"/>
      <w:outlineLvl w:val="4"/>
    </w:pPr>
    <w:rPr>
      <w:rFonts w:cs="Times New Roman"/>
      <w:b/>
      <w:kern w:val="0"/>
      <w:sz w:val="28"/>
      <w:szCs w:val="24"/>
    </w:rPr>
  </w:style>
  <w:style w:type="paragraph" w:styleId="10">
    <w:name w:val="heading 6"/>
    <w:basedOn w:val="1"/>
    <w:next w:val="5"/>
    <w:link w:val="63"/>
    <w:unhideWhenUsed/>
    <w:qFormat/>
    <w:uiPriority w:val="9"/>
    <w:pPr>
      <w:keepNext/>
      <w:keepLines/>
      <w:numPr>
        <w:ilvl w:val="5"/>
        <w:numId w:val="1"/>
      </w:numPr>
      <w:tabs>
        <w:tab w:val="left" w:pos="425"/>
        <w:tab w:val="left" w:pos="1134"/>
      </w:tabs>
      <w:adjustRightInd w:val="0"/>
      <w:snapToGrid w:val="0"/>
      <w:spacing w:before="240" w:after="64" w:line="319" w:lineRule="auto"/>
      <w:outlineLvl w:val="5"/>
    </w:pPr>
    <w:rPr>
      <w:rFonts w:asciiTheme="majorHAnsi" w:hAnsiTheme="majorHAnsi" w:eastAsiaTheme="majorEastAsia" w:cstheme="majorBidi"/>
      <w:b/>
      <w:bCs/>
      <w:sz w:val="24"/>
      <w:szCs w:val="24"/>
    </w:rPr>
  </w:style>
  <w:style w:type="paragraph" w:styleId="11">
    <w:name w:val="heading 7"/>
    <w:basedOn w:val="1"/>
    <w:next w:val="5"/>
    <w:link w:val="64"/>
    <w:unhideWhenUsed/>
    <w:qFormat/>
    <w:uiPriority w:val="9"/>
    <w:pPr>
      <w:numPr>
        <w:ilvl w:val="6"/>
        <w:numId w:val="1"/>
      </w:numPr>
      <w:tabs>
        <w:tab w:val="left" w:pos="425"/>
        <w:tab w:val="left" w:pos="1276"/>
      </w:tabs>
      <w:spacing w:before="15" w:beforeLines="15" w:after="15" w:afterLines="15"/>
      <w:outlineLvl w:val="6"/>
    </w:pPr>
    <w:rPr>
      <w:rFonts w:cs="Times New Roman"/>
      <w:kern w:val="0"/>
      <w:sz w:val="24"/>
      <w:szCs w:val="24"/>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33"/>
    <w:qFormat/>
    <w:uiPriority w:val="0"/>
    <w:pPr>
      <w:spacing w:line="560" w:lineRule="exact"/>
      <w:ind w:firstLine="640" w:firstLineChars="200"/>
    </w:pPr>
    <w:rPr>
      <w:rFonts w:ascii="仿宋_GB2312" w:hAnsi="黑体" w:eastAsia="仿宋_GB2312" w:cs="Times New Roman"/>
      <w:sz w:val="32"/>
      <w:szCs w:val="32"/>
    </w:rPr>
  </w:style>
  <w:style w:type="paragraph" w:styleId="3">
    <w:name w:val="Body Text 2"/>
    <w:basedOn w:val="1"/>
    <w:qFormat/>
    <w:uiPriority w:val="0"/>
    <w:rPr>
      <w:sz w:val="24"/>
    </w:rPr>
  </w:style>
  <w:style w:type="paragraph" w:customStyle="1" w:styleId="5">
    <w:name w:val="_正文段落"/>
    <w:basedOn w:val="1"/>
    <w:link w:val="65"/>
    <w:qFormat/>
    <w:uiPriority w:val="0"/>
    <w:pPr>
      <w:spacing w:before="15" w:beforeLines="15" w:after="15" w:afterLines="15"/>
      <w:ind w:firstLine="200" w:firstLineChars="200"/>
    </w:pPr>
    <w:rPr>
      <w:rFonts w:cs="Times New Roman"/>
      <w:kern w:val="0"/>
      <w:sz w:val="24"/>
      <w:szCs w:val="24"/>
    </w:rPr>
  </w:style>
  <w:style w:type="paragraph" w:styleId="12">
    <w:name w:val="Normal Indent"/>
    <w:basedOn w:val="1"/>
    <w:link w:val="79"/>
    <w:qFormat/>
    <w:uiPriority w:val="0"/>
    <w:pPr>
      <w:widowControl/>
      <w:spacing w:line="240" w:lineRule="auto"/>
      <w:ind w:firstLine="420" w:firstLineChars="200"/>
      <w:jc w:val="left"/>
    </w:pPr>
    <w:rPr>
      <w:rFonts w:cs="Times New Roman"/>
      <w:szCs w:val="24"/>
    </w:rPr>
  </w:style>
  <w:style w:type="paragraph" w:styleId="13">
    <w:name w:val="caption"/>
    <w:basedOn w:val="1"/>
    <w:next w:val="1"/>
    <w:link w:val="67"/>
    <w:unhideWhenUsed/>
    <w:qFormat/>
    <w:uiPriority w:val="35"/>
    <w:pPr>
      <w:spacing w:before="156" w:after="156"/>
      <w:ind w:firstLine="480" w:firstLineChars="200"/>
    </w:pPr>
    <w:rPr>
      <w:rFonts w:eastAsia="黑体" w:asciiTheme="majorHAnsi" w:hAnsiTheme="majorHAnsi" w:cstheme="majorBidi"/>
      <w:sz w:val="20"/>
      <w:szCs w:val="20"/>
    </w:rPr>
  </w:style>
  <w:style w:type="paragraph" w:styleId="14">
    <w:name w:val="annotation text"/>
    <w:basedOn w:val="1"/>
    <w:link w:val="35"/>
    <w:qFormat/>
    <w:uiPriority w:val="0"/>
    <w:pPr>
      <w:jc w:val="left"/>
    </w:pPr>
    <w:rPr>
      <w:rFonts w:cs="Times New Roman"/>
      <w:szCs w:val="24"/>
    </w:rPr>
  </w:style>
  <w:style w:type="paragraph" w:styleId="15">
    <w:name w:val="Body Text Indent"/>
    <w:basedOn w:val="1"/>
    <w:link w:val="36"/>
    <w:semiHidden/>
    <w:unhideWhenUsed/>
    <w:qFormat/>
    <w:uiPriority w:val="99"/>
    <w:pPr>
      <w:spacing w:after="120"/>
      <w:ind w:left="420" w:leftChars="200"/>
    </w:pPr>
  </w:style>
  <w:style w:type="paragraph" w:styleId="16">
    <w:name w:val="Body Text Indent 2"/>
    <w:basedOn w:val="1"/>
    <w:unhideWhenUsed/>
    <w:qFormat/>
    <w:uiPriority w:val="99"/>
    <w:pPr>
      <w:spacing w:after="120" w:line="480" w:lineRule="auto"/>
      <w:ind w:left="420" w:leftChars="200"/>
    </w:pPr>
  </w:style>
  <w:style w:type="paragraph" w:styleId="17">
    <w:name w:val="Balloon Text"/>
    <w:basedOn w:val="1"/>
    <w:link w:val="34"/>
    <w:semiHidden/>
    <w:unhideWhenUsed/>
    <w:qFormat/>
    <w:uiPriority w:val="99"/>
    <w:rPr>
      <w:sz w:val="18"/>
      <w:szCs w:val="18"/>
    </w:rPr>
  </w:style>
  <w:style w:type="paragraph" w:styleId="18">
    <w:name w:val="footer"/>
    <w:basedOn w:val="1"/>
    <w:link w:val="31"/>
    <w:unhideWhenUsed/>
    <w:qFormat/>
    <w:uiPriority w:val="99"/>
    <w:pPr>
      <w:tabs>
        <w:tab w:val="center" w:pos="4153"/>
        <w:tab w:val="right" w:pos="8306"/>
      </w:tabs>
      <w:snapToGrid w:val="0"/>
      <w:jc w:val="left"/>
    </w:pPr>
    <w:rPr>
      <w:sz w:val="18"/>
      <w:szCs w:val="18"/>
    </w:rPr>
  </w:style>
  <w:style w:type="paragraph" w:styleId="19">
    <w:name w:val="header"/>
    <w:basedOn w:val="1"/>
    <w:link w:val="30"/>
    <w:unhideWhenUsed/>
    <w:qFormat/>
    <w:uiPriority w:val="0"/>
    <w:pPr>
      <w:pBdr>
        <w:bottom w:val="single" w:color="auto" w:sz="6" w:space="1"/>
      </w:pBdr>
      <w:tabs>
        <w:tab w:val="center" w:pos="4153"/>
        <w:tab w:val="right" w:pos="8306"/>
      </w:tabs>
      <w:snapToGrid w:val="0"/>
      <w:jc w:val="center"/>
    </w:pPr>
    <w:rPr>
      <w:sz w:val="18"/>
      <w:szCs w:val="18"/>
    </w:rPr>
  </w:style>
  <w:style w:type="paragraph" w:styleId="20">
    <w:name w:val="annotation subject"/>
    <w:basedOn w:val="14"/>
    <w:next w:val="14"/>
    <w:link w:val="38"/>
    <w:semiHidden/>
    <w:unhideWhenUsed/>
    <w:qFormat/>
    <w:uiPriority w:val="99"/>
    <w:pPr>
      <w:ind w:left="840" w:hanging="420"/>
    </w:pPr>
    <w:rPr>
      <w:rFonts w:ascii="Calibri" w:hAnsi="Calibri" w:cs="宋体"/>
      <w:b/>
      <w:bCs/>
      <w:szCs w:val="22"/>
    </w:rPr>
  </w:style>
  <w:style w:type="paragraph" w:styleId="21">
    <w:name w:val="Body Text First Indent 2"/>
    <w:basedOn w:val="15"/>
    <w:link w:val="37"/>
    <w:unhideWhenUsed/>
    <w:qFormat/>
    <w:uiPriority w:val="99"/>
    <w:pPr>
      <w:ind w:firstLine="420" w:firstLineChars="200"/>
    </w:pPr>
    <w:rPr>
      <w:rFonts w:cs="Times New Roman"/>
    </w:rPr>
  </w:style>
  <w:style w:type="table" w:styleId="23">
    <w:name w:val="Table Grid"/>
    <w:basedOn w:val="2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22"/>
    <w:rPr>
      <w:b/>
    </w:rPr>
  </w:style>
  <w:style w:type="character" w:styleId="26">
    <w:name w:val="page number"/>
    <w:basedOn w:val="24"/>
    <w:qFormat/>
    <w:uiPriority w:val="0"/>
  </w:style>
  <w:style w:type="character" w:styleId="27">
    <w:name w:val="Emphasis"/>
    <w:basedOn w:val="24"/>
    <w:qFormat/>
    <w:uiPriority w:val="20"/>
    <w:rPr>
      <w:i/>
    </w:rPr>
  </w:style>
  <w:style w:type="character" w:styleId="28">
    <w:name w:val="Hyperlink"/>
    <w:basedOn w:val="24"/>
    <w:semiHidden/>
    <w:unhideWhenUsed/>
    <w:qFormat/>
    <w:uiPriority w:val="99"/>
    <w:rPr>
      <w:color w:val="0000FF"/>
      <w:u w:val="single"/>
    </w:rPr>
  </w:style>
  <w:style w:type="character" w:styleId="29">
    <w:name w:val="annotation reference"/>
    <w:basedOn w:val="24"/>
    <w:qFormat/>
    <w:uiPriority w:val="0"/>
    <w:rPr>
      <w:sz w:val="21"/>
      <w:szCs w:val="21"/>
    </w:rPr>
  </w:style>
  <w:style w:type="character" w:customStyle="1" w:styleId="30">
    <w:name w:val="页眉 字符"/>
    <w:basedOn w:val="24"/>
    <w:link w:val="19"/>
    <w:qFormat/>
    <w:uiPriority w:val="99"/>
    <w:rPr>
      <w:sz w:val="18"/>
      <w:szCs w:val="18"/>
    </w:rPr>
  </w:style>
  <w:style w:type="character" w:customStyle="1" w:styleId="31">
    <w:name w:val="页脚 字符"/>
    <w:basedOn w:val="24"/>
    <w:link w:val="18"/>
    <w:qFormat/>
    <w:uiPriority w:val="99"/>
    <w:rPr>
      <w:sz w:val="18"/>
      <w:szCs w:val="18"/>
    </w:rPr>
  </w:style>
  <w:style w:type="paragraph" w:styleId="32">
    <w:name w:val="List Paragraph"/>
    <w:basedOn w:val="1"/>
    <w:link w:val="66"/>
    <w:qFormat/>
    <w:uiPriority w:val="34"/>
    <w:pPr>
      <w:ind w:firstLine="420" w:firstLineChars="200"/>
    </w:pPr>
  </w:style>
  <w:style w:type="character" w:customStyle="1" w:styleId="33">
    <w:name w:val="正文文本 字符"/>
    <w:basedOn w:val="24"/>
    <w:link w:val="2"/>
    <w:qFormat/>
    <w:uiPriority w:val="0"/>
    <w:rPr>
      <w:rFonts w:ascii="仿宋_GB2312" w:hAnsi="黑体" w:eastAsia="仿宋_GB2312" w:cs="Times New Roman"/>
      <w:kern w:val="2"/>
      <w:sz w:val="32"/>
      <w:szCs w:val="32"/>
    </w:rPr>
  </w:style>
  <w:style w:type="character" w:customStyle="1" w:styleId="34">
    <w:name w:val="批注框文本 字符"/>
    <w:basedOn w:val="24"/>
    <w:link w:val="17"/>
    <w:semiHidden/>
    <w:qFormat/>
    <w:uiPriority w:val="99"/>
    <w:rPr>
      <w:rFonts w:ascii="Calibri" w:hAnsi="Calibri" w:eastAsia="宋体" w:cs="宋体"/>
      <w:sz w:val="18"/>
      <w:szCs w:val="18"/>
    </w:rPr>
  </w:style>
  <w:style w:type="character" w:customStyle="1" w:styleId="35">
    <w:name w:val="批注文字 字符"/>
    <w:basedOn w:val="24"/>
    <w:link w:val="14"/>
    <w:qFormat/>
    <w:uiPriority w:val="0"/>
    <w:rPr>
      <w:rFonts w:ascii="Times New Roman" w:hAnsi="Times New Roman" w:eastAsia="宋体" w:cs="Times New Roman"/>
      <w:szCs w:val="24"/>
    </w:rPr>
  </w:style>
  <w:style w:type="character" w:customStyle="1" w:styleId="36">
    <w:name w:val="正文文本缩进 字符"/>
    <w:basedOn w:val="24"/>
    <w:link w:val="15"/>
    <w:semiHidden/>
    <w:qFormat/>
    <w:uiPriority w:val="99"/>
    <w:rPr>
      <w:rFonts w:ascii="Calibri" w:hAnsi="Calibri" w:eastAsia="宋体" w:cs="宋体"/>
      <w:kern w:val="2"/>
      <w:sz w:val="21"/>
      <w:szCs w:val="22"/>
    </w:rPr>
  </w:style>
  <w:style w:type="character" w:customStyle="1" w:styleId="37">
    <w:name w:val="正文首行缩进 2 字符"/>
    <w:basedOn w:val="36"/>
    <w:link w:val="21"/>
    <w:qFormat/>
    <w:uiPriority w:val="99"/>
    <w:rPr>
      <w:rFonts w:ascii="Calibri" w:hAnsi="Calibri" w:eastAsia="宋体" w:cs="Times New Roman"/>
      <w:kern w:val="2"/>
      <w:sz w:val="21"/>
      <w:szCs w:val="22"/>
    </w:rPr>
  </w:style>
  <w:style w:type="character" w:customStyle="1" w:styleId="38">
    <w:name w:val="批注主题 字符"/>
    <w:basedOn w:val="35"/>
    <w:link w:val="20"/>
    <w:semiHidden/>
    <w:qFormat/>
    <w:uiPriority w:val="99"/>
    <w:rPr>
      <w:rFonts w:ascii="Calibri" w:hAnsi="Calibri" w:eastAsia="宋体" w:cs="宋体"/>
      <w:b/>
      <w:bCs/>
      <w:kern w:val="2"/>
      <w:sz w:val="21"/>
      <w:szCs w:val="22"/>
    </w:rPr>
  </w:style>
  <w:style w:type="paragraph" w:customStyle="1" w:styleId="39">
    <w:name w:val="标题-1级"/>
    <w:basedOn w:val="1"/>
    <w:link w:val="41"/>
    <w:qFormat/>
    <w:uiPriority w:val="0"/>
    <w:pPr>
      <w:spacing w:before="120" w:after="120" w:line="560" w:lineRule="exact"/>
      <w:outlineLvl w:val="0"/>
    </w:pPr>
    <w:rPr>
      <w:rFonts w:ascii="仿宋_GB2312" w:hAnsi="黑体" w:eastAsia="仿宋_GB2312"/>
      <w:b/>
      <w:sz w:val="32"/>
      <w:szCs w:val="32"/>
    </w:rPr>
  </w:style>
  <w:style w:type="paragraph" w:customStyle="1" w:styleId="40">
    <w:name w:val="标题-2级"/>
    <w:basedOn w:val="2"/>
    <w:next w:val="2"/>
    <w:link w:val="42"/>
    <w:qFormat/>
    <w:uiPriority w:val="0"/>
    <w:pPr>
      <w:ind w:firstLine="100" w:firstLineChars="100"/>
      <w:outlineLvl w:val="1"/>
    </w:pPr>
  </w:style>
  <w:style w:type="character" w:customStyle="1" w:styleId="41">
    <w:name w:val="标题-1级 字符"/>
    <w:basedOn w:val="24"/>
    <w:link w:val="39"/>
    <w:qFormat/>
    <w:uiPriority w:val="0"/>
    <w:rPr>
      <w:rFonts w:ascii="仿宋_GB2312" w:hAnsi="黑体" w:eastAsia="仿宋_GB2312" w:cs="宋体"/>
      <w:b/>
      <w:kern w:val="2"/>
      <w:sz w:val="32"/>
      <w:szCs w:val="32"/>
    </w:rPr>
  </w:style>
  <w:style w:type="character" w:customStyle="1" w:styleId="42">
    <w:name w:val="标题-2级 字符"/>
    <w:basedOn w:val="33"/>
    <w:link w:val="40"/>
    <w:qFormat/>
    <w:uiPriority w:val="0"/>
    <w:rPr>
      <w:rFonts w:ascii="仿宋_GB2312" w:hAnsi="黑体" w:eastAsia="仿宋_GB2312" w:cs="Times New Roman"/>
      <w:kern w:val="2"/>
      <w:sz w:val="32"/>
      <w:szCs w:val="32"/>
    </w:rPr>
  </w:style>
  <w:style w:type="paragraph" w:customStyle="1" w:styleId="43">
    <w:name w:val="题目"/>
    <w:basedOn w:val="1"/>
    <w:link w:val="45"/>
    <w:qFormat/>
    <w:uiPriority w:val="0"/>
    <w:pPr>
      <w:spacing w:line="240" w:lineRule="auto"/>
      <w:jc w:val="center"/>
    </w:pPr>
    <w:rPr>
      <w:rFonts w:ascii="方正小标宋简体" w:hAnsi="方正小标宋简体" w:eastAsia="方正小标宋简体"/>
      <w:sz w:val="48"/>
      <w:szCs w:val="48"/>
    </w:rPr>
  </w:style>
  <w:style w:type="paragraph" w:customStyle="1" w:styleId="44">
    <w:name w:val="抬头附件"/>
    <w:basedOn w:val="1"/>
    <w:link w:val="47"/>
    <w:qFormat/>
    <w:uiPriority w:val="0"/>
    <w:rPr>
      <w:rFonts w:ascii="黑体" w:hAnsi="黑体" w:eastAsia="黑体"/>
      <w:b/>
      <w:sz w:val="32"/>
    </w:rPr>
  </w:style>
  <w:style w:type="character" w:customStyle="1" w:styleId="45">
    <w:name w:val="题目 字符"/>
    <w:basedOn w:val="24"/>
    <w:link w:val="43"/>
    <w:qFormat/>
    <w:uiPriority w:val="0"/>
    <w:rPr>
      <w:rFonts w:ascii="方正小标宋简体" w:hAnsi="方正小标宋简体" w:eastAsia="方正小标宋简体" w:cs="宋体"/>
      <w:kern w:val="2"/>
      <w:sz w:val="48"/>
      <w:szCs w:val="48"/>
    </w:rPr>
  </w:style>
  <w:style w:type="paragraph" w:customStyle="1" w:styleId="46">
    <w:name w:val="编号"/>
    <w:basedOn w:val="1"/>
    <w:link w:val="48"/>
    <w:qFormat/>
    <w:uiPriority w:val="0"/>
    <w:pPr>
      <w:spacing w:line="560" w:lineRule="exact"/>
      <w:ind w:left="5670"/>
      <w:jc w:val="left"/>
    </w:pPr>
    <w:rPr>
      <w:rFonts w:eastAsia="仿宋"/>
      <w:sz w:val="32"/>
    </w:rPr>
  </w:style>
  <w:style w:type="character" w:customStyle="1" w:styleId="47">
    <w:name w:val="抬头附件 字符"/>
    <w:basedOn w:val="24"/>
    <w:link w:val="44"/>
    <w:qFormat/>
    <w:uiPriority w:val="0"/>
    <w:rPr>
      <w:rFonts w:ascii="黑体" w:hAnsi="黑体" w:eastAsia="黑体" w:cs="宋体"/>
      <w:b/>
      <w:kern w:val="2"/>
      <w:sz w:val="32"/>
      <w:szCs w:val="22"/>
    </w:rPr>
  </w:style>
  <w:style w:type="character" w:customStyle="1" w:styleId="48">
    <w:name w:val="编号 字符"/>
    <w:basedOn w:val="24"/>
    <w:link w:val="46"/>
    <w:qFormat/>
    <w:uiPriority w:val="0"/>
    <w:rPr>
      <w:rFonts w:ascii="Times New Roman" w:hAnsi="Times New Roman" w:eastAsia="仿宋" w:cs="宋体"/>
      <w:kern w:val="2"/>
      <w:sz w:val="32"/>
      <w:szCs w:val="22"/>
    </w:rPr>
  </w:style>
  <w:style w:type="paragraph" w:customStyle="1" w:styleId="49">
    <w:name w:val="封皮表格"/>
    <w:basedOn w:val="1"/>
    <w:link w:val="50"/>
    <w:qFormat/>
    <w:uiPriority w:val="0"/>
    <w:pPr>
      <w:spacing w:line="700" w:lineRule="exact"/>
      <w:jc w:val="center"/>
    </w:pPr>
    <w:rPr>
      <w:rFonts w:ascii="仿宋_GB2312" w:hAnsi="黑体" w:eastAsia="仿宋_GB2312"/>
      <w:sz w:val="36"/>
      <w:szCs w:val="36"/>
    </w:rPr>
  </w:style>
  <w:style w:type="character" w:customStyle="1" w:styleId="50">
    <w:name w:val="封皮表格 字符"/>
    <w:basedOn w:val="24"/>
    <w:link w:val="49"/>
    <w:qFormat/>
    <w:uiPriority w:val="0"/>
    <w:rPr>
      <w:rFonts w:ascii="仿宋_GB2312" w:hAnsi="黑体" w:eastAsia="仿宋_GB2312" w:cs="宋体"/>
      <w:kern w:val="2"/>
      <w:sz w:val="36"/>
      <w:szCs w:val="36"/>
    </w:rPr>
  </w:style>
  <w:style w:type="paragraph" w:customStyle="1" w:styleId="51">
    <w:name w:val="标题-1"/>
    <w:basedOn w:val="2"/>
    <w:link w:val="52"/>
    <w:qFormat/>
    <w:uiPriority w:val="0"/>
    <w:pPr>
      <w:ind w:firstLine="0" w:firstLineChars="0"/>
      <w:jc w:val="center"/>
      <w:outlineLvl w:val="0"/>
    </w:pPr>
    <w:rPr>
      <w:rFonts w:ascii="方正小标宋简体" w:hAnsi="方正小标宋简体" w:eastAsia="方正小标宋简体"/>
      <w:sz w:val="44"/>
      <w:szCs w:val="44"/>
    </w:rPr>
  </w:style>
  <w:style w:type="character" w:customStyle="1" w:styleId="52">
    <w:name w:val="标题-1 字符"/>
    <w:basedOn w:val="33"/>
    <w:link w:val="51"/>
    <w:qFormat/>
    <w:uiPriority w:val="0"/>
    <w:rPr>
      <w:rFonts w:ascii="方正小标宋简体" w:hAnsi="方正小标宋简体" w:eastAsia="方正小标宋简体" w:cs="Times New Roman"/>
      <w:kern w:val="2"/>
      <w:sz w:val="44"/>
      <w:szCs w:val="44"/>
    </w:rPr>
  </w:style>
  <w:style w:type="paragraph" w:customStyle="1" w:styleId="53">
    <w:name w:val="font8"/>
    <w:basedOn w:val="1"/>
    <w:qFormat/>
    <w:uiPriority w:val="0"/>
    <w:pPr>
      <w:widowControl/>
      <w:spacing w:before="100" w:beforeAutospacing="1" w:after="100" w:afterAutospacing="1" w:line="240" w:lineRule="auto"/>
      <w:jc w:val="left"/>
    </w:pPr>
    <w:rPr>
      <w:rFonts w:ascii="等线" w:hAnsi="等线" w:eastAsia="等线"/>
      <w:color w:val="000000"/>
      <w:kern w:val="0"/>
      <w:sz w:val="20"/>
      <w:szCs w:val="20"/>
    </w:rPr>
  </w:style>
  <w:style w:type="paragraph" w:customStyle="1" w:styleId="54">
    <w:name w:val="修订1"/>
    <w:hidden/>
    <w:semiHidden/>
    <w:qFormat/>
    <w:uiPriority w:val="99"/>
    <w:rPr>
      <w:rFonts w:ascii="Times New Roman" w:hAnsi="Times New Roman" w:eastAsia="宋体" w:cs="宋体"/>
      <w:kern w:val="2"/>
      <w:sz w:val="21"/>
      <w:szCs w:val="22"/>
      <w:lang w:val="en-US" w:eastAsia="zh-CN" w:bidi="ar-SA"/>
    </w:rPr>
  </w:style>
  <w:style w:type="paragraph" w:customStyle="1" w:styleId="55">
    <w:name w:val="修订2"/>
    <w:hidden/>
    <w:semiHidden/>
    <w:qFormat/>
    <w:uiPriority w:val="99"/>
    <w:rPr>
      <w:rFonts w:ascii="Times New Roman" w:hAnsi="Times New Roman" w:eastAsia="宋体" w:cs="宋体"/>
      <w:kern w:val="2"/>
      <w:sz w:val="21"/>
      <w:szCs w:val="22"/>
      <w:lang w:val="en-US" w:eastAsia="zh-CN" w:bidi="ar-SA"/>
    </w:rPr>
  </w:style>
  <w:style w:type="paragraph" w:customStyle="1" w:styleId="56">
    <w:name w:val="修订3"/>
    <w:hidden/>
    <w:semiHidden/>
    <w:qFormat/>
    <w:uiPriority w:val="99"/>
    <w:rPr>
      <w:rFonts w:ascii="Times New Roman" w:hAnsi="Times New Roman" w:eastAsia="宋体" w:cs="宋体"/>
      <w:kern w:val="2"/>
      <w:sz w:val="21"/>
      <w:szCs w:val="22"/>
      <w:lang w:val="en-US" w:eastAsia="zh-CN" w:bidi="ar-SA"/>
    </w:rPr>
  </w:style>
  <w:style w:type="paragraph" w:customStyle="1" w:styleId="57">
    <w:name w:val="修订4"/>
    <w:hidden/>
    <w:unhideWhenUsed/>
    <w:qFormat/>
    <w:uiPriority w:val="99"/>
    <w:rPr>
      <w:rFonts w:ascii="Times New Roman" w:hAnsi="Times New Roman" w:eastAsia="宋体" w:cs="宋体"/>
      <w:kern w:val="2"/>
      <w:sz w:val="21"/>
      <w:szCs w:val="22"/>
      <w:lang w:val="en-US" w:eastAsia="zh-CN" w:bidi="ar-SA"/>
    </w:rPr>
  </w:style>
  <w:style w:type="character" w:customStyle="1" w:styleId="58">
    <w:name w:val="标题 1 字符"/>
    <w:basedOn w:val="24"/>
    <w:link w:val="4"/>
    <w:qFormat/>
    <w:uiPriority w:val="9"/>
    <w:rPr>
      <w:rFonts w:ascii="黑体" w:hAnsi="黑体" w:eastAsia="黑体"/>
      <w:b/>
      <w:kern w:val="2"/>
      <w:sz w:val="32"/>
      <w:szCs w:val="32"/>
    </w:rPr>
  </w:style>
  <w:style w:type="character" w:customStyle="1" w:styleId="59">
    <w:name w:val="标题 2 字符"/>
    <w:basedOn w:val="24"/>
    <w:link w:val="6"/>
    <w:qFormat/>
    <w:uiPriority w:val="9"/>
    <w:rPr>
      <w:rFonts w:ascii="黑体" w:hAnsi="黑体" w:eastAsia="黑体"/>
      <w:b/>
      <w:kern w:val="2"/>
      <w:sz w:val="30"/>
      <w:szCs w:val="21"/>
    </w:rPr>
  </w:style>
  <w:style w:type="character" w:customStyle="1" w:styleId="60">
    <w:name w:val="标题 3 字符"/>
    <w:basedOn w:val="24"/>
    <w:link w:val="7"/>
    <w:qFormat/>
    <w:uiPriority w:val="9"/>
    <w:rPr>
      <w:rFonts w:ascii="黑体" w:hAnsi="黑体" w:eastAsia="黑体"/>
      <w:b/>
      <w:kern w:val="2"/>
      <w:sz w:val="28"/>
      <w:szCs w:val="21"/>
    </w:rPr>
  </w:style>
  <w:style w:type="character" w:customStyle="1" w:styleId="61">
    <w:name w:val="标题 4 字符"/>
    <w:basedOn w:val="24"/>
    <w:link w:val="8"/>
    <w:qFormat/>
    <w:uiPriority w:val="9"/>
    <w:rPr>
      <w:rFonts w:asciiTheme="majorHAnsi" w:hAnsiTheme="majorHAnsi" w:eastAsiaTheme="majorEastAsia" w:cstheme="majorBidi"/>
      <w:b/>
      <w:bCs/>
      <w:kern w:val="2"/>
      <w:sz w:val="28"/>
      <w:szCs w:val="28"/>
    </w:rPr>
  </w:style>
  <w:style w:type="character" w:customStyle="1" w:styleId="62">
    <w:name w:val="标题 5 字符"/>
    <w:basedOn w:val="24"/>
    <w:link w:val="9"/>
    <w:qFormat/>
    <w:uiPriority w:val="9"/>
    <w:rPr>
      <w:b/>
      <w:sz w:val="28"/>
      <w:szCs w:val="24"/>
    </w:rPr>
  </w:style>
  <w:style w:type="character" w:customStyle="1" w:styleId="63">
    <w:name w:val="标题 6 字符"/>
    <w:basedOn w:val="24"/>
    <w:link w:val="10"/>
    <w:qFormat/>
    <w:uiPriority w:val="9"/>
    <w:rPr>
      <w:rFonts w:asciiTheme="majorHAnsi" w:hAnsiTheme="majorHAnsi" w:eastAsiaTheme="majorEastAsia" w:cstheme="majorBidi"/>
      <w:b/>
      <w:bCs/>
      <w:kern w:val="2"/>
      <w:sz w:val="24"/>
      <w:szCs w:val="24"/>
    </w:rPr>
  </w:style>
  <w:style w:type="character" w:customStyle="1" w:styleId="64">
    <w:name w:val="标题 7 字符"/>
    <w:basedOn w:val="24"/>
    <w:link w:val="11"/>
    <w:qFormat/>
    <w:uiPriority w:val="9"/>
    <w:rPr>
      <w:sz w:val="24"/>
      <w:szCs w:val="24"/>
    </w:rPr>
  </w:style>
  <w:style w:type="character" w:customStyle="1" w:styleId="65">
    <w:name w:val="_正文段落 Char"/>
    <w:link w:val="5"/>
    <w:qFormat/>
    <w:uiPriority w:val="0"/>
    <w:rPr>
      <w:sz w:val="24"/>
      <w:szCs w:val="24"/>
    </w:rPr>
  </w:style>
  <w:style w:type="character" w:customStyle="1" w:styleId="66">
    <w:name w:val="列出段落 字符"/>
    <w:link w:val="32"/>
    <w:qFormat/>
    <w:uiPriority w:val="34"/>
    <w:rPr>
      <w:rFonts w:cs="宋体"/>
      <w:kern w:val="2"/>
      <w:sz w:val="21"/>
      <w:szCs w:val="22"/>
    </w:rPr>
  </w:style>
  <w:style w:type="character" w:customStyle="1" w:styleId="67">
    <w:name w:val="题注 字符"/>
    <w:link w:val="13"/>
    <w:qFormat/>
    <w:uiPriority w:val="35"/>
    <w:rPr>
      <w:rFonts w:eastAsia="黑体" w:asciiTheme="majorHAnsi" w:hAnsiTheme="majorHAnsi" w:cstheme="majorBidi"/>
      <w:kern w:val="2"/>
    </w:rPr>
  </w:style>
  <w:style w:type="paragraph" w:customStyle="1" w:styleId="68">
    <w:name w:val="正文123"/>
    <w:basedOn w:val="1"/>
    <w:link w:val="69"/>
    <w:qFormat/>
    <w:uiPriority w:val="0"/>
    <w:pPr>
      <w:adjustRightInd w:val="0"/>
      <w:snapToGrid w:val="0"/>
      <w:ind w:firstLine="480" w:firstLineChars="200"/>
    </w:pPr>
    <w:rPr>
      <w:rFonts w:ascii="宋体" w:hAnsi="宋体" w:cs="Times New Roman"/>
      <w:sz w:val="24"/>
      <w:szCs w:val="24"/>
    </w:rPr>
  </w:style>
  <w:style w:type="character" w:customStyle="1" w:styleId="69">
    <w:name w:val="正文123 字符"/>
    <w:basedOn w:val="24"/>
    <w:link w:val="68"/>
    <w:qFormat/>
    <w:uiPriority w:val="0"/>
    <w:rPr>
      <w:rFonts w:ascii="宋体" w:hAnsi="宋体"/>
      <w:kern w:val="2"/>
      <w:sz w:val="24"/>
      <w:szCs w:val="24"/>
    </w:rPr>
  </w:style>
  <w:style w:type="paragraph" w:customStyle="1" w:styleId="70">
    <w:name w:val="修订5"/>
    <w:hidden/>
    <w:semiHidden/>
    <w:qFormat/>
    <w:uiPriority w:val="99"/>
    <w:rPr>
      <w:rFonts w:ascii="Times New Roman" w:hAnsi="Times New Roman" w:eastAsia="宋体" w:cs="宋体"/>
      <w:kern w:val="2"/>
      <w:sz w:val="21"/>
      <w:szCs w:val="22"/>
      <w:lang w:val="en-US" w:eastAsia="zh-CN" w:bidi="ar-SA"/>
    </w:rPr>
  </w:style>
  <w:style w:type="paragraph" w:customStyle="1" w:styleId="71">
    <w:name w:val="！正文空2格"/>
    <w:basedOn w:val="1"/>
    <w:qFormat/>
    <w:uiPriority w:val="0"/>
    <w:pPr>
      <w:widowControl/>
      <w:spacing w:line="240" w:lineRule="auto"/>
      <w:ind w:firstLine="480" w:firstLineChars="200"/>
    </w:pPr>
    <w:rPr>
      <w:rFonts w:eastAsia="仿宋" w:cs="Times New Roman" w:asciiTheme="minorEastAsia" w:hAnsiTheme="minorEastAsia"/>
      <w:snapToGrid w:val="0"/>
      <w:kern w:val="0"/>
      <w:szCs w:val="24"/>
    </w:rPr>
  </w:style>
  <w:style w:type="paragraph" w:customStyle="1" w:styleId="72">
    <w:name w:val="文档正文"/>
    <w:basedOn w:val="1"/>
    <w:qFormat/>
    <w:uiPriority w:val="0"/>
    <w:pPr>
      <w:ind w:firstLine="567"/>
    </w:pPr>
    <w:rPr>
      <w:rFonts w:ascii="Wingdings" w:eastAsia="Wingdings"/>
      <w:sz w:val="28"/>
    </w:rPr>
  </w:style>
  <w:style w:type="paragraph" w:customStyle="1" w:styleId="73">
    <w:name w:val="Table Paragraph"/>
    <w:basedOn w:val="1"/>
    <w:qFormat/>
    <w:uiPriority w:val="1"/>
  </w:style>
  <w:style w:type="paragraph" w:customStyle="1" w:styleId="74">
    <w:name w:val="正文_无缩进"/>
    <w:basedOn w:val="1"/>
    <w:qFormat/>
    <w:uiPriority w:val="0"/>
  </w:style>
  <w:style w:type="paragraph" w:customStyle="1" w:styleId="75">
    <w:name w:val="标题1"/>
    <w:basedOn w:val="32"/>
    <w:qFormat/>
    <w:uiPriority w:val="0"/>
    <w:pPr>
      <w:numPr>
        <w:ilvl w:val="0"/>
        <w:numId w:val="2"/>
      </w:numPr>
      <w:ind w:left="0" w:firstLine="0" w:firstLineChars="0"/>
      <w:outlineLvl w:val="0"/>
    </w:pPr>
    <w:rPr>
      <w:rFonts w:ascii="宋体" w:hAnsi="宋体"/>
      <w:b/>
      <w:bCs/>
      <w:sz w:val="24"/>
      <w:szCs w:val="24"/>
    </w:rPr>
  </w:style>
  <w:style w:type="paragraph" w:customStyle="1" w:styleId="76">
    <w:name w:val="标题2"/>
    <w:basedOn w:val="32"/>
    <w:qFormat/>
    <w:uiPriority w:val="0"/>
    <w:pPr>
      <w:numPr>
        <w:ilvl w:val="1"/>
        <w:numId w:val="2"/>
      </w:numPr>
      <w:ind w:firstLine="0" w:firstLineChars="0"/>
      <w:outlineLvl w:val="1"/>
    </w:pPr>
    <w:rPr>
      <w:rFonts w:ascii="宋体" w:hAnsi="宋体"/>
      <w:b/>
    </w:rPr>
  </w:style>
  <w:style w:type="paragraph" w:customStyle="1" w:styleId="77">
    <w:name w:val="标题3"/>
    <w:basedOn w:val="76"/>
    <w:qFormat/>
    <w:uiPriority w:val="0"/>
    <w:pPr>
      <w:numPr>
        <w:ilvl w:val="2"/>
      </w:numPr>
      <w:outlineLvl w:val="2"/>
    </w:pPr>
  </w:style>
  <w:style w:type="paragraph" w:styleId="78">
    <w:name w:val="No Spacing"/>
    <w:autoRedefine/>
    <w:qFormat/>
    <w:uiPriority w:val="1"/>
    <w:pPr>
      <w:widowControl w:val="0"/>
      <w:jc w:val="both"/>
    </w:pPr>
    <w:rPr>
      <w:rFonts w:ascii="Calibri" w:hAnsi="Calibri" w:eastAsia="宋体" w:cs="Times New Roman"/>
      <w:kern w:val="2"/>
      <w:sz w:val="21"/>
      <w:szCs w:val="22"/>
      <w:lang w:val="en-US" w:eastAsia="zh-CN" w:bidi="ar-SA"/>
    </w:rPr>
  </w:style>
  <w:style w:type="character" w:customStyle="1" w:styleId="79">
    <w:name w:val="正文缩进 字符"/>
    <w:link w:val="12"/>
    <w:qFormat/>
    <w:uiPriority w:val="0"/>
    <w:rPr>
      <w:kern w:val="2"/>
      <w:sz w:val="21"/>
      <w:szCs w:val="24"/>
    </w:rPr>
  </w:style>
  <w:style w:type="paragraph" w:customStyle="1" w:styleId="80">
    <w:name w:val="修订6"/>
    <w:hidden/>
    <w:semiHidden/>
    <w:qFormat/>
    <w:uiPriority w:val="99"/>
    <w:rPr>
      <w:rFonts w:ascii="Times New Roman" w:hAnsi="Times New Roman" w:eastAsia="宋体" w:cs="宋体"/>
      <w:kern w:val="2"/>
      <w:sz w:val="21"/>
      <w:szCs w:val="22"/>
      <w:lang w:val="en-US" w:eastAsia="zh-CN" w:bidi="ar-SA"/>
    </w:rPr>
  </w:style>
  <w:style w:type="paragraph" w:customStyle="1" w:styleId="81">
    <w:name w:val="修订7"/>
    <w:hidden/>
    <w:semiHidden/>
    <w:qFormat/>
    <w:uiPriority w:val="99"/>
    <w:rPr>
      <w:rFonts w:ascii="Times New Roman" w:hAnsi="Times New Roman" w:eastAsia="宋体" w:cs="宋体"/>
      <w:kern w:val="2"/>
      <w:sz w:val="21"/>
      <w:szCs w:val="22"/>
      <w:lang w:val="en-US" w:eastAsia="zh-CN" w:bidi="ar-SA"/>
    </w:rPr>
  </w:style>
  <w:style w:type="paragraph" w:customStyle="1" w:styleId="82">
    <w:name w:val="修订8"/>
    <w:hidden/>
    <w:semiHidden/>
    <w:qFormat/>
    <w:uiPriority w:val="99"/>
    <w:rPr>
      <w:rFonts w:ascii="Times New Roman" w:hAnsi="Times New Roman" w:eastAsia="宋体" w:cs="宋体"/>
      <w:kern w:val="2"/>
      <w:sz w:val="21"/>
      <w:szCs w:val="22"/>
      <w:lang w:val="en-US" w:eastAsia="zh-CN" w:bidi="ar-SA"/>
    </w:rPr>
  </w:style>
  <w:style w:type="paragraph" w:customStyle="1" w:styleId="83">
    <w:name w:val="修订9"/>
    <w:hidden/>
    <w:semiHidden/>
    <w:qFormat/>
    <w:uiPriority w:val="99"/>
    <w:rPr>
      <w:rFonts w:ascii="Times New Roman" w:hAnsi="Times New Roman"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diagramQuickStyle" Target="diagrams/quickStyle1.xml"/><Relationship Id="rId8" Type="http://schemas.openxmlformats.org/officeDocument/2006/relationships/diagramLayout" Target="diagrams/layout1.xml"/><Relationship Id="rId7" Type="http://schemas.openxmlformats.org/officeDocument/2006/relationships/diagramData" Target="diagrams/data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microsoft.com/office/2011/relationships/people" Target="people.xml"/><Relationship Id="rId13" Type="http://schemas.openxmlformats.org/officeDocument/2006/relationships/fontTable" Target="fontTable.xml"/><Relationship Id="rId12" Type="http://schemas.openxmlformats.org/officeDocument/2006/relationships/numbering" Target="numbering.xml"/><Relationship Id="rId11" Type="http://schemas.microsoft.com/office/2007/relationships/diagramDrawing" Target="diagrams/drawing1.xml"/><Relationship Id="rId10" Type="http://schemas.openxmlformats.org/officeDocument/2006/relationships/diagramColors" Target="diagrams/colors1.xml"/><Relationship Id="rId1"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F6FE6AC0-5AC4-4969-A1EA-CDBCE53BDC3A}" type="doc">
      <dgm:prSet loTypeId="urn:microsoft.com/office/officeart/2005/8/layout/orgChart1#1" loCatId="hierarchy" qsTypeId="urn:microsoft.com/office/officeart/2005/8/quickstyle/simple1#1" qsCatId="simple" csTypeId="urn:microsoft.com/office/officeart/2005/8/colors/accent1_2#1" csCatId="accent1" phldr="1"/>
      <dgm:spPr/>
      <dgm:t>
        <a:bodyPr/>
        <a:p>
          <a:endParaRPr lang="zh-CN" altLang="en-US"/>
        </a:p>
      </dgm:t>
    </dgm:pt>
    <dgm:pt modelId="{CE193CB9-74C4-473F-AD50-EBA322AC8B6B}">
      <dgm:prSet phldrT="[文本]"/>
      <dgm:spPr/>
      <dgm:t>
        <a:bodyPr/>
        <a:p>
          <a:r>
            <a:rPr lang="zh-CN" altLang="en-US"/>
            <a:t>动环监控系统（综合）</a:t>
          </a:r>
        </a:p>
      </dgm:t>
    </dgm:pt>
    <dgm:pt modelId="{3A240666-11B6-41AC-9191-953446227C30}" cxnId="{7D3B163C-AB33-436D-917D-72891E290EE6}" type="parTrans">
      <dgm:prSet/>
      <dgm:spPr/>
      <dgm:t>
        <a:bodyPr/>
        <a:p>
          <a:endParaRPr lang="zh-CN" altLang="en-US"/>
        </a:p>
      </dgm:t>
    </dgm:pt>
    <dgm:pt modelId="{8720CCC6-D855-4C6A-BE9F-2AE3C30F3A3A}" cxnId="{7D3B163C-AB33-436D-917D-72891E290EE6}" type="sibTrans">
      <dgm:prSet/>
      <dgm:spPr/>
      <dgm:t>
        <a:bodyPr/>
        <a:p>
          <a:endParaRPr lang="zh-CN" altLang="en-US"/>
        </a:p>
      </dgm:t>
    </dgm:pt>
    <dgm:pt modelId="{7B1AD69F-DF86-47F6-900B-990ADE925A55}">
      <dgm:prSet phldrT="[文本]"/>
      <dgm:spPr/>
      <dgm:t>
        <a:bodyPr/>
        <a:p>
          <a:r>
            <a:rPr lang="zh-CN" altLang="en-US"/>
            <a:t>设备专项监控系统</a:t>
          </a:r>
        </a:p>
      </dgm:t>
    </dgm:pt>
    <dgm:pt modelId="{C773E258-C62B-4445-8D1D-8B2783EF8422}" cxnId="{26B0B2C8-B280-403B-AA17-ECDE1B608A6E}" type="parTrans">
      <dgm:prSet/>
      <dgm:spPr/>
      <dgm:t>
        <a:bodyPr/>
        <a:p>
          <a:endParaRPr lang="zh-CN" altLang="en-US"/>
        </a:p>
      </dgm:t>
    </dgm:pt>
    <dgm:pt modelId="{0779FE13-96CD-49E4-AFD5-C132136E787F}" cxnId="{26B0B2C8-B280-403B-AA17-ECDE1B608A6E}" type="sibTrans">
      <dgm:prSet/>
      <dgm:spPr/>
      <dgm:t>
        <a:bodyPr/>
        <a:p>
          <a:endParaRPr lang="zh-CN" altLang="en-US"/>
        </a:p>
      </dgm:t>
    </dgm:pt>
    <dgm:pt modelId="{558BB7D3-295D-4247-9290-7212CF0240D0}">
      <dgm:prSet phldrT="[文本]"/>
      <dgm:spPr/>
      <dgm:t>
        <a:bodyPr/>
        <a:p>
          <a:r>
            <a:rPr lang="zh-CN" altLang="en-US"/>
            <a:t>电力监控系统</a:t>
          </a:r>
        </a:p>
      </dgm:t>
    </dgm:pt>
    <dgm:pt modelId="{86A181F0-3922-4342-9D29-BCDD09B09E5F}" cxnId="{527751F9-70C9-4D1B-910E-83DBD7398E66}" type="parTrans">
      <dgm:prSet/>
      <dgm:spPr/>
      <dgm:t>
        <a:bodyPr/>
        <a:p>
          <a:endParaRPr lang="zh-CN" altLang="en-US"/>
        </a:p>
      </dgm:t>
    </dgm:pt>
    <dgm:pt modelId="{0D418FB5-0C5B-4624-9F61-07013F4B24E9}" cxnId="{527751F9-70C9-4D1B-910E-83DBD7398E66}" type="sibTrans">
      <dgm:prSet/>
      <dgm:spPr/>
      <dgm:t>
        <a:bodyPr/>
        <a:p>
          <a:endParaRPr lang="zh-CN" altLang="en-US"/>
        </a:p>
      </dgm:t>
    </dgm:pt>
    <dgm:pt modelId="{73AB7DFE-07C8-45FA-9EC8-5AFD62D1370E}">
      <dgm:prSet phldrT="[文本]"/>
      <dgm:spPr/>
      <dgm:t>
        <a:bodyPr/>
        <a:p>
          <a:r>
            <a:rPr lang="en-US" altLang="zh-CN"/>
            <a:t>BA</a:t>
          </a:r>
          <a:r>
            <a:rPr lang="zh-CN" altLang="en-US"/>
            <a:t>系统</a:t>
          </a:r>
        </a:p>
      </dgm:t>
    </dgm:pt>
    <dgm:pt modelId="{9F2401F6-E678-4E11-82A5-08FA0B54A013}" cxnId="{A4DA2B85-350D-41C8-99C9-84A9BE5DDA75}" type="parTrans">
      <dgm:prSet/>
      <dgm:spPr/>
      <dgm:t>
        <a:bodyPr/>
        <a:p>
          <a:endParaRPr lang="zh-CN" altLang="en-US"/>
        </a:p>
      </dgm:t>
    </dgm:pt>
    <dgm:pt modelId="{211DA629-4A62-41AD-8684-0F9B638D5206}" cxnId="{A4DA2B85-350D-41C8-99C9-84A9BE5DDA75}" type="sibTrans">
      <dgm:prSet/>
      <dgm:spPr/>
      <dgm:t>
        <a:bodyPr/>
        <a:p>
          <a:endParaRPr lang="zh-CN" altLang="en-US"/>
        </a:p>
      </dgm:t>
    </dgm:pt>
    <dgm:pt modelId="{CDCEF735-E376-4579-88CF-DC09F3CD9BD7}">
      <dgm:prSet phldrT="[文本]"/>
      <dgm:spPr/>
      <dgm:t>
        <a:bodyPr/>
        <a:p>
          <a:r>
            <a:rPr lang="zh-CN" altLang="en-US"/>
            <a:t>视频监控系统</a:t>
          </a:r>
        </a:p>
      </dgm:t>
    </dgm:pt>
    <dgm:pt modelId="{B2FB59D9-BBDE-4FF7-947E-7C3B107C8D72}" cxnId="{5E87648F-91B0-4C81-B126-FF6C215362D6}" type="parTrans">
      <dgm:prSet/>
      <dgm:spPr/>
      <dgm:t>
        <a:bodyPr/>
        <a:p>
          <a:endParaRPr lang="zh-CN" altLang="en-US"/>
        </a:p>
      </dgm:t>
    </dgm:pt>
    <dgm:pt modelId="{02DF5504-1187-473D-8D4E-D9C2483E7833}" cxnId="{5E87648F-91B0-4C81-B126-FF6C215362D6}" type="sibTrans">
      <dgm:prSet/>
      <dgm:spPr/>
      <dgm:t>
        <a:bodyPr/>
        <a:p>
          <a:endParaRPr lang="zh-CN" altLang="en-US"/>
        </a:p>
      </dgm:t>
    </dgm:pt>
    <dgm:pt modelId="{FBB5F405-AF22-42DC-A632-08B1163BD768}">
      <dgm:prSet phldrT="[文本]"/>
      <dgm:spPr/>
      <dgm:t>
        <a:bodyPr/>
        <a:p>
          <a:r>
            <a:rPr lang="zh-CN" altLang="en-US"/>
            <a:t>门禁系统</a:t>
          </a:r>
        </a:p>
      </dgm:t>
    </dgm:pt>
    <dgm:pt modelId="{31BA92A5-E45A-46FB-BBE0-B8F5C6F257AC}" cxnId="{01C8BC25-0741-4A5E-8E48-9AC6D95A6C67}" type="parTrans">
      <dgm:prSet/>
      <dgm:spPr/>
      <dgm:t>
        <a:bodyPr/>
        <a:p>
          <a:endParaRPr lang="zh-CN" altLang="en-US"/>
        </a:p>
      </dgm:t>
    </dgm:pt>
    <dgm:pt modelId="{5DC1C8E5-175D-4B2D-AFFE-D4C6A07CA09E}" cxnId="{01C8BC25-0741-4A5E-8E48-9AC6D95A6C67}" type="sibTrans">
      <dgm:prSet/>
      <dgm:spPr/>
      <dgm:t>
        <a:bodyPr/>
        <a:p>
          <a:endParaRPr lang="zh-CN" altLang="en-US"/>
        </a:p>
      </dgm:t>
    </dgm:pt>
    <dgm:pt modelId="{DE5979B2-A539-49A3-A9EA-83AF0E502559}">
      <dgm:prSet phldrT="[文本]"/>
      <dgm:spPr/>
      <dgm:t>
        <a:bodyPr/>
        <a:p>
          <a:r>
            <a:rPr lang="zh-CN" altLang="en-US"/>
            <a:t>消防系统</a:t>
          </a:r>
        </a:p>
      </dgm:t>
    </dgm:pt>
    <dgm:pt modelId="{6324E98C-4295-4998-A798-10E3BBB77D36}" cxnId="{DAC0D577-1EC1-4CAE-8D77-660E9D42BC7E}" type="parTrans">
      <dgm:prSet/>
      <dgm:spPr/>
      <dgm:t>
        <a:bodyPr/>
        <a:p>
          <a:endParaRPr lang="zh-CN" altLang="en-US"/>
        </a:p>
      </dgm:t>
    </dgm:pt>
    <dgm:pt modelId="{A23F2CDE-830E-4CFB-898E-E3C5DD44DEA1}" cxnId="{DAC0D577-1EC1-4CAE-8D77-660E9D42BC7E}" type="sibTrans">
      <dgm:prSet/>
      <dgm:spPr/>
      <dgm:t>
        <a:bodyPr/>
        <a:p>
          <a:endParaRPr lang="zh-CN" altLang="en-US"/>
        </a:p>
      </dgm:t>
    </dgm:pt>
    <dgm:pt modelId="{F10C5F36-3A96-480E-8546-BA2C0A2DFCC3}" type="pres">
      <dgm:prSet presAssocID="{F6FE6AC0-5AC4-4969-A1EA-CDBCE53BDC3A}" presName="hierChild1" presStyleCnt="0">
        <dgm:presLayoutVars>
          <dgm:orgChart val="1"/>
          <dgm:chPref val="1"/>
          <dgm:dir/>
          <dgm:animOne val="branch"/>
          <dgm:animLvl val="lvl"/>
          <dgm:resizeHandles/>
        </dgm:presLayoutVars>
      </dgm:prSet>
      <dgm:spPr/>
      <dgm:t>
        <a:bodyPr/>
        <a:p>
          <a:endParaRPr lang="zh-CN" altLang="en-US"/>
        </a:p>
      </dgm:t>
    </dgm:pt>
    <dgm:pt modelId="{9B5E0E07-F0AA-4B40-B2F0-65D3A049401C}" type="pres">
      <dgm:prSet presAssocID="{CE193CB9-74C4-473F-AD50-EBA322AC8B6B}" presName="hierRoot1" presStyleCnt="0">
        <dgm:presLayoutVars>
          <dgm:hierBranch val="init"/>
        </dgm:presLayoutVars>
      </dgm:prSet>
      <dgm:spPr/>
    </dgm:pt>
    <dgm:pt modelId="{8DF375DD-9C30-454A-BC7A-0E5900626F70}" type="pres">
      <dgm:prSet presAssocID="{CE193CB9-74C4-473F-AD50-EBA322AC8B6B}" presName="rootComposite1" presStyleCnt="0"/>
      <dgm:spPr/>
    </dgm:pt>
    <dgm:pt modelId="{A8219952-1568-4B2B-BE62-5A11A2611179}" type="pres">
      <dgm:prSet presAssocID="{CE193CB9-74C4-473F-AD50-EBA322AC8B6B}" presName="rootText1" presStyleLbl="node0" presStyleIdx="0" presStyleCnt="1">
        <dgm:presLayoutVars>
          <dgm:chPref val="3"/>
        </dgm:presLayoutVars>
      </dgm:prSet>
      <dgm:spPr/>
      <dgm:t>
        <a:bodyPr/>
        <a:p>
          <a:endParaRPr lang="zh-CN" altLang="en-US"/>
        </a:p>
      </dgm:t>
    </dgm:pt>
    <dgm:pt modelId="{C180AE18-3ACF-4636-990E-49BA0B3CEEB7}" type="pres">
      <dgm:prSet presAssocID="{CE193CB9-74C4-473F-AD50-EBA322AC8B6B}" presName="rootConnector1" presStyleLbl="node1" presStyleIdx="0" presStyleCnt="0"/>
      <dgm:spPr/>
      <dgm:t>
        <a:bodyPr/>
        <a:p>
          <a:endParaRPr lang="zh-CN" altLang="en-US"/>
        </a:p>
      </dgm:t>
    </dgm:pt>
    <dgm:pt modelId="{59FAC73D-7F7E-4952-B097-AFE7EB119AA7}" type="pres">
      <dgm:prSet presAssocID="{CE193CB9-74C4-473F-AD50-EBA322AC8B6B}" presName="hierChild2" presStyleCnt="0"/>
      <dgm:spPr/>
    </dgm:pt>
    <dgm:pt modelId="{308D1BA6-C1CA-46F6-8B9A-B82DB72E11AE}" type="pres">
      <dgm:prSet presAssocID="{C773E258-C62B-4445-8D1D-8B2783EF8422}" presName="Name37" presStyleLbl="parChTrans1D2" presStyleIdx="0" presStyleCnt="6"/>
      <dgm:spPr/>
      <dgm:t>
        <a:bodyPr/>
        <a:p>
          <a:endParaRPr lang="zh-CN" altLang="en-US"/>
        </a:p>
      </dgm:t>
    </dgm:pt>
    <dgm:pt modelId="{13762703-DDF1-4339-A388-8F59FA70B3F4}" type="pres">
      <dgm:prSet presAssocID="{7B1AD69F-DF86-47F6-900B-990ADE925A55}" presName="hierRoot2" presStyleCnt="0">
        <dgm:presLayoutVars>
          <dgm:hierBranch val="init"/>
        </dgm:presLayoutVars>
      </dgm:prSet>
      <dgm:spPr/>
    </dgm:pt>
    <dgm:pt modelId="{33FC656A-189E-44F2-A7F2-7C7DDEA0B421}" type="pres">
      <dgm:prSet presAssocID="{7B1AD69F-DF86-47F6-900B-990ADE925A55}" presName="rootComposite" presStyleCnt="0"/>
      <dgm:spPr/>
    </dgm:pt>
    <dgm:pt modelId="{6DDEC14B-6BB6-4A32-981E-27FAD12B16B6}" type="pres">
      <dgm:prSet presAssocID="{7B1AD69F-DF86-47F6-900B-990ADE925A55}" presName="rootText" presStyleLbl="node2" presStyleIdx="0" presStyleCnt="6">
        <dgm:presLayoutVars>
          <dgm:chPref val="3"/>
        </dgm:presLayoutVars>
      </dgm:prSet>
      <dgm:spPr/>
      <dgm:t>
        <a:bodyPr/>
        <a:p>
          <a:endParaRPr lang="zh-CN" altLang="en-US"/>
        </a:p>
      </dgm:t>
    </dgm:pt>
    <dgm:pt modelId="{D84C72CD-BA7A-45BD-A868-4519E1DB7774}" type="pres">
      <dgm:prSet presAssocID="{7B1AD69F-DF86-47F6-900B-990ADE925A55}" presName="rootConnector" presStyleLbl="node2" presStyleIdx="0" presStyleCnt="6"/>
      <dgm:spPr/>
      <dgm:t>
        <a:bodyPr/>
        <a:p>
          <a:endParaRPr lang="zh-CN" altLang="en-US"/>
        </a:p>
      </dgm:t>
    </dgm:pt>
    <dgm:pt modelId="{B5D56E0E-9B57-4026-97DB-7337B888FF5A}" type="pres">
      <dgm:prSet presAssocID="{7B1AD69F-DF86-47F6-900B-990ADE925A55}" presName="hierChild4" presStyleCnt="0"/>
      <dgm:spPr/>
    </dgm:pt>
    <dgm:pt modelId="{6CFAA072-1D83-4735-8C59-E9CB95B5B535}" type="pres">
      <dgm:prSet presAssocID="{7B1AD69F-DF86-47F6-900B-990ADE925A55}" presName="hierChild5" presStyleCnt="0"/>
      <dgm:spPr/>
    </dgm:pt>
    <dgm:pt modelId="{5919F94D-0D65-449B-BD36-545260D85E2A}" type="pres">
      <dgm:prSet presAssocID="{86A181F0-3922-4342-9D29-BCDD09B09E5F}" presName="Name37" presStyleLbl="parChTrans1D2" presStyleIdx="1" presStyleCnt="6"/>
      <dgm:spPr/>
      <dgm:t>
        <a:bodyPr/>
        <a:p>
          <a:endParaRPr lang="zh-CN" altLang="en-US"/>
        </a:p>
      </dgm:t>
    </dgm:pt>
    <dgm:pt modelId="{6AEB3918-9086-4C3C-A2AB-2AB49070450B}" type="pres">
      <dgm:prSet presAssocID="{558BB7D3-295D-4247-9290-7212CF0240D0}" presName="hierRoot2" presStyleCnt="0">
        <dgm:presLayoutVars>
          <dgm:hierBranch val="init"/>
        </dgm:presLayoutVars>
      </dgm:prSet>
      <dgm:spPr/>
    </dgm:pt>
    <dgm:pt modelId="{EF38A3BC-D838-4937-BA3A-5FFFA1036D16}" type="pres">
      <dgm:prSet presAssocID="{558BB7D3-295D-4247-9290-7212CF0240D0}" presName="rootComposite" presStyleCnt="0"/>
      <dgm:spPr/>
    </dgm:pt>
    <dgm:pt modelId="{5D4FC3CB-2BF2-4BB6-82E3-A15BF3D9D100}" type="pres">
      <dgm:prSet presAssocID="{558BB7D3-295D-4247-9290-7212CF0240D0}" presName="rootText" presStyleLbl="node2" presStyleIdx="1" presStyleCnt="6">
        <dgm:presLayoutVars>
          <dgm:chPref val="3"/>
        </dgm:presLayoutVars>
      </dgm:prSet>
      <dgm:spPr/>
      <dgm:t>
        <a:bodyPr/>
        <a:p>
          <a:endParaRPr lang="zh-CN" altLang="en-US"/>
        </a:p>
      </dgm:t>
    </dgm:pt>
    <dgm:pt modelId="{5965081E-0F09-4C13-89AD-1663F95CC3EA}" type="pres">
      <dgm:prSet presAssocID="{558BB7D3-295D-4247-9290-7212CF0240D0}" presName="rootConnector" presStyleLbl="node2" presStyleIdx="1" presStyleCnt="6"/>
      <dgm:spPr/>
      <dgm:t>
        <a:bodyPr/>
        <a:p>
          <a:endParaRPr lang="zh-CN" altLang="en-US"/>
        </a:p>
      </dgm:t>
    </dgm:pt>
    <dgm:pt modelId="{4C3A6C96-405C-4E9B-A7A2-F4B77922AF55}" type="pres">
      <dgm:prSet presAssocID="{558BB7D3-295D-4247-9290-7212CF0240D0}" presName="hierChild4" presStyleCnt="0"/>
      <dgm:spPr/>
    </dgm:pt>
    <dgm:pt modelId="{94A9E146-B62E-49EB-98F5-891B413B238A}" type="pres">
      <dgm:prSet presAssocID="{558BB7D3-295D-4247-9290-7212CF0240D0}" presName="hierChild5" presStyleCnt="0"/>
      <dgm:spPr/>
    </dgm:pt>
    <dgm:pt modelId="{454C5E30-DD5F-434E-8F75-2DC1CF2AC80B}" type="pres">
      <dgm:prSet presAssocID="{9F2401F6-E678-4E11-82A5-08FA0B54A013}" presName="Name37" presStyleLbl="parChTrans1D2" presStyleIdx="2" presStyleCnt="6"/>
      <dgm:spPr/>
      <dgm:t>
        <a:bodyPr/>
        <a:p>
          <a:endParaRPr lang="zh-CN" altLang="en-US"/>
        </a:p>
      </dgm:t>
    </dgm:pt>
    <dgm:pt modelId="{643D77D1-4751-41D7-B507-3FE903053B9C}" type="pres">
      <dgm:prSet presAssocID="{73AB7DFE-07C8-45FA-9EC8-5AFD62D1370E}" presName="hierRoot2" presStyleCnt="0">
        <dgm:presLayoutVars>
          <dgm:hierBranch val="init"/>
        </dgm:presLayoutVars>
      </dgm:prSet>
      <dgm:spPr/>
    </dgm:pt>
    <dgm:pt modelId="{37117F86-BF3F-4717-BEE9-2F19421FAEF8}" type="pres">
      <dgm:prSet presAssocID="{73AB7DFE-07C8-45FA-9EC8-5AFD62D1370E}" presName="rootComposite" presStyleCnt="0"/>
      <dgm:spPr/>
    </dgm:pt>
    <dgm:pt modelId="{DDDA23D1-1D9D-4A38-9CDB-1F5CB3126969}" type="pres">
      <dgm:prSet presAssocID="{73AB7DFE-07C8-45FA-9EC8-5AFD62D1370E}" presName="rootText" presStyleLbl="node2" presStyleIdx="2" presStyleCnt="6">
        <dgm:presLayoutVars>
          <dgm:chPref val="3"/>
        </dgm:presLayoutVars>
      </dgm:prSet>
      <dgm:spPr/>
      <dgm:t>
        <a:bodyPr/>
        <a:p>
          <a:endParaRPr lang="zh-CN" altLang="en-US"/>
        </a:p>
      </dgm:t>
    </dgm:pt>
    <dgm:pt modelId="{E3FB7734-6653-417A-93CE-0E1614D150A0}" type="pres">
      <dgm:prSet presAssocID="{73AB7DFE-07C8-45FA-9EC8-5AFD62D1370E}" presName="rootConnector" presStyleLbl="node2" presStyleIdx="2" presStyleCnt="6"/>
      <dgm:spPr/>
      <dgm:t>
        <a:bodyPr/>
        <a:p>
          <a:endParaRPr lang="zh-CN" altLang="en-US"/>
        </a:p>
      </dgm:t>
    </dgm:pt>
    <dgm:pt modelId="{DCB8DAD4-A229-4B9E-A6AC-7A900185B48D}" type="pres">
      <dgm:prSet presAssocID="{73AB7DFE-07C8-45FA-9EC8-5AFD62D1370E}" presName="hierChild4" presStyleCnt="0"/>
      <dgm:spPr/>
    </dgm:pt>
    <dgm:pt modelId="{8B7DD5AA-0FDC-4538-B0B5-50F0E9995F3E}" type="pres">
      <dgm:prSet presAssocID="{73AB7DFE-07C8-45FA-9EC8-5AFD62D1370E}" presName="hierChild5" presStyleCnt="0"/>
      <dgm:spPr/>
    </dgm:pt>
    <dgm:pt modelId="{2EBEFD26-C871-4BB4-AB46-D71042B856A9}" type="pres">
      <dgm:prSet presAssocID="{B2FB59D9-BBDE-4FF7-947E-7C3B107C8D72}" presName="Name37" presStyleLbl="parChTrans1D2" presStyleIdx="3" presStyleCnt="6"/>
      <dgm:spPr/>
      <dgm:t>
        <a:bodyPr/>
        <a:p>
          <a:endParaRPr lang="zh-CN" altLang="en-US"/>
        </a:p>
      </dgm:t>
    </dgm:pt>
    <dgm:pt modelId="{F94A519A-0CAE-4995-BC36-A399E43853AE}" type="pres">
      <dgm:prSet presAssocID="{CDCEF735-E376-4579-88CF-DC09F3CD9BD7}" presName="hierRoot2" presStyleCnt="0">
        <dgm:presLayoutVars>
          <dgm:hierBranch val="init"/>
        </dgm:presLayoutVars>
      </dgm:prSet>
      <dgm:spPr/>
    </dgm:pt>
    <dgm:pt modelId="{9607BE7D-B19A-4DF6-B83F-467FF84F1185}" type="pres">
      <dgm:prSet presAssocID="{CDCEF735-E376-4579-88CF-DC09F3CD9BD7}" presName="rootComposite" presStyleCnt="0"/>
      <dgm:spPr/>
    </dgm:pt>
    <dgm:pt modelId="{81AD7240-98BD-4971-B432-77A9E067B79A}" type="pres">
      <dgm:prSet presAssocID="{CDCEF735-E376-4579-88CF-DC09F3CD9BD7}" presName="rootText" presStyleLbl="node2" presStyleIdx="3" presStyleCnt="6">
        <dgm:presLayoutVars>
          <dgm:chPref val="3"/>
        </dgm:presLayoutVars>
      </dgm:prSet>
      <dgm:spPr/>
      <dgm:t>
        <a:bodyPr/>
        <a:p>
          <a:endParaRPr lang="zh-CN" altLang="en-US"/>
        </a:p>
      </dgm:t>
    </dgm:pt>
    <dgm:pt modelId="{F5895E75-8395-48A9-98F1-6A5B395240D4}" type="pres">
      <dgm:prSet presAssocID="{CDCEF735-E376-4579-88CF-DC09F3CD9BD7}" presName="rootConnector" presStyleLbl="node2" presStyleIdx="3" presStyleCnt="6"/>
      <dgm:spPr/>
      <dgm:t>
        <a:bodyPr/>
        <a:p>
          <a:endParaRPr lang="zh-CN" altLang="en-US"/>
        </a:p>
      </dgm:t>
    </dgm:pt>
    <dgm:pt modelId="{0068111E-63B5-45F6-8819-BD5E4087D85E}" type="pres">
      <dgm:prSet presAssocID="{CDCEF735-E376-4579-88CF-DC09F3CD9BD7}" presName="hierChild4" presStyleCnt="0"/>
      <dgm:spPr/>
    </dgm:pt>
    <dgm:pt modelId="{2258B01C-A207-4D90-9D4F-0B55B950CC39}" type="pres">
      <dgm:prSet presAssocID="{CDCEF735-E376-4579-88CF-DC09F3CD9BD7}" presName="hierChild5" presStyleCnt="0"/>
      <dgm:spPr/>
    </dgm:pt>
    <dgm:pt modelId="{A256E352-216B-4FE1-8F3D-B7FB529626A1}" type="pres">
      <dgm:prSet presAssocID="{31BA92A5-E45A-46FB-BBE0-B8F5C6F257AC}" presName="Name37" presStyleLbl="parChTrans1D2" presStyleIdx="4" presStyleCnt="6"/>
      <dgm:spPr/>
      <dgm:t>
        <a:bodyPr/>
        <a:p>
          <a:endParaRPr lang="zh-CN" altLang="en-US"/>
        </a:p>
      </dgm:t>
    </dgm:pt>
    <dgm:pt modelId="{D1C1CB4B-7F77-4950-846B-BB7EF5908327}" type="pres">
      <dgm:prSet presAssocID="{FBB5F405-AF22-42DC-A632-08B1163BD768}" presName="hierRoot2" presStyleCnt="0">
        <dgm:presLayoutVars>
          <dgm:hierBranch val="init"/>
        </dgm:presLayoutVars>
      </dgm:prSet>
      <dgm:spPr/>
    </dgm:pt>
    <dgm:pt modelId="{84415CEA-A0FF-4346-905C-7EAD03D35A4A}" type="pres">
      <dgm:prSet presAssocID="{FBB5F405-AF22-42DC-A632-08B1163BD768}" presName="rootComposite" presStyleCnt="0"/>
      <dgm:spPr/>
    </dgm:pt>
    <dgm:pt modelId="{18FA2241-619F-4BA9-A0D9-5F90C4E34354}" type="pres">
      <dgm:prSet presAssocID="{FBB5F405-AF22-42DC-A632-08B1163BD768}" presName="rootText" presStyleLbl="node2" presStyleIdx="4" presStyleCnt="6">
        <dgm:presLayoutVars>
          <dgm:chPref val="3"/>
        </dgm:presLayoutVars>
      </dgm:prSet>
      <dgm:spPr/>
      <dgm:t>
        <a:bodyPr/>
        <a:p>
          <a:endParaRPr lang="zh-CN" altLang="en-US"/>
        </a:p>
      </dgm:t>
    </dgm:pt>
    <dgm:pt modelId="{EA2084D8-306D-41C0-A614-9CE4C026F2E5}" type="pres">
      <dgm:prSet presAssocID="{FBB5F405-AF22-42DC-A632-08B1163BD768}" presName="rootConnector" presStyleLbl="node2" presStyleIdx="4" presStyleCnt="6"/>
      <dgm:spPr/>
      <dgm:t>
        <a:bodyPr/>
        <a:p>
          <a:endParaRPr lang="zh-CN" altLang="en-US"/>
        </a:p>
      </dgm:t>
    </dgm:pt>
    <dgm:pt modelId="{81213C7F-46E9-4DE5-BEA6-91563A27BDAF}" type="pres">
      <dgm:prSet presAssocID="{FBB5F405-AF22-42DC-A632-08B1163BD768}" presName="hierChild4" presStyleCnt="0"/>
      <dgm:spPr/>
    </dgm:pt>
    <dgm:pt modelId="{20A313F3-CED2-443F-AF80-6B78A558EA40}" type="pres">
      <dgm:prSet presAssocID="{FBB5F405-AF22-42DC-A632-08B1163BD768}" presName="hierChild5" presStyleCnt="0"/>
      <dgm:spPr/>
    </dgm:pt>
    <dgm:pt modelId="{561BB437-8756-45C5-B504-276E920DBCF0}" type="pres">
      <dgm:prSet presAssocID="{6324E98C-4295-4998-A798-10E3BBB77D36}" presName="Name37" presStyleLbl="parChTrans1D2" presStyleIdx="5" presStyleCnt="6"/>
      <dgm:spPr/>
      <dgm:t>
        <a:bodyPr/>
        <a:p>
          <a:endParaRPr lang="zh-CN" altLang="en-US"/>
        </a:p>
      </dgm:t>
    </dgm:pt>
    <dgm:pt modelId="{058572F0-4B3D-4527-B54A-CC2FA9B3940B}" type="pres">
      <dgm:prSet presAssocID="{DE5979B2-A539-49A3-A9EA-83AF0E502559}" presName="hierRoot2" presStyleCnt="0">
        <dgm:presLayoutVars>
          <dgm:hierBranch val="init"/>
        </dgm:presLayoutVars>
      </dgm:prSet>
      <dgm:spPr/>
    </dgm:pt>
    <dgm:pt modelId="{9F031B3C-1D36-4442-8810-7FE2B1591980}" type="pres">
      <dgm:prSet presAssocID="{DE5979B2-A539-49A3-A9EA-83AF0E502559}" presName="rootComposite" presStyleCnt="0"/>
      <dgm:spPr/>
    </dgm:pt>
    <dgm:pt modelId="{E53FB51B-9758-4AAC-A61C-BFD7A31E8490}" type="pres">
      <dgm:prSet presAssocID="{DE5979B2-A539-49A3-A9EA-83AF0E502559}" presName="rootText" presStyleLbl="node2" presStyleIdx="5" presStyleCnt="6">
        <dgm:presLayoutVars>
          <dgm:chPref val="3"/>
        </dgm:presLayoutVars>
      </dgm:prSet>
      <dgm:spPr/>
      <dgm:t>
        <a:bodyPr/>
        <a:p>
          <a:endParaRPr lang="zh-CN" altLang="en-US"/>
        </a:p>
      </dgm:t>
    </dgm:pt>
    <dgm:pt modelId="{2736B4B6-48AD-41A3-A404-AEC0967C1187}" type="pres">
      <dgm:prSet presAssocID="{DE5979B2-A539-49A3-A9EA-83AF0E502559}" presName="rootConnector" presStyleLbl="node2" presStyleIdx="5" presStyleCnt="6"/>
      <dgm:spPr/>
      <dgm:t>
        <a:bodyPr/>
        <a:p>
          <a:endParaRPr lang="zh-CN" altLang="en-US"/>
        </a:p>
      </dgm:t>
    </dgm:pt>
    <dgm:pt modelId="{7986FDE4-2D00-4E3F-A773-271A9EB2F44A}" type="pres">
      <dgm:prSet presAssocID="{DE5979B2-A539-49A3-A9EA-83AF0E502559}" presName="hierChild4" presStyleCnt="0"/>
      <dgm:spPr/>
    </dgm:pt>
    <dgm:pt modelId="{CE11FF52-5D51-4664-8E7D-CB21A3172DD7}" type="pres">
      <dgm:prSet presAssocID="{DE5979B2-A539-49A3-A9EA-83AF0E502559}" presName="hierChild5" presStyleCnt="0"/>
      <dgm:spPr/>
    </dgm:pt>
    <dgm:pt modelId="{0A9C8B06-A2BC-4001-8F61-760B6021F484}" type="pres">
      <dgm:prSet presAssocID="{CE193CB9-74C4-473F-AD50-EBA322AC8B6B}" presName="hierChild3" presStyleCnt="0"/>
      <dgm:spPr/>
    </dgm:pt>
  </dgm:ptLst>
  <dgm:cxnLst>
    <dgm:cxn modelId="{D4C6685B-379E-46EA-80E7-E547194D1479}" type="presOf" srcId="{73AB7DFE-07C8-45FA-9EC8-5AFD62D1370E}" destId="{DDDA23D1-1D9D-4A38-9CDB-1F5CB3126969}" srcOrd="0" destOrd="0" presId="urn:microsoft.com/office/officeart/2005/8/layout/orgChart1#1"/>
    <dgm:cxn modelId="{F1637279-A31D-4553-87A4-8BC5F3CDA1AB}" type="presOf" srcId="{9F2401F6-E678-4E11-82A5-08FA0B54A013}" destId="{454C5E30-DD5F-434E-8F75-2DC1CF2AC80B}" srcOrd="0" destOrd="0" presId="urn:microsoft.com/office/officeart/2005/8/layout/orgChart1#1"/>
    <dgm:cxn modelId="{03F90061-7BF6-4A17-991C-759452553D6B}" type="presOf" srcId="{B2FB59D9-BBDE-4FF7-947E-7C3B107C8D72}" destId="{2EBEFD26-C871-4BB4-AB46-D71042B856A9}" srcOrd="0" destOrd="0" presId="urn:microsoft.com/office/officeart/2005/8/layout/orgChart1#1"/>
    <dgm:cxn modelId="{A189E9CD-B6F3-41D9-AA0F-3A15C87E8C65}" type="presOf" srcId="{FBB5F405-AF22-42DC-A632-08B1163BD768}" destId="{18FA2241-619F-4BA9-A0D9-5F90C4E34354}" srcOrd="0" destOrd="0" presId="urn:microsoft.com/office/officeart/2005/8/layout/orgChart1#1"/>
    <dgm:cxn modelId="{8B75576C-53FC-4164-9AC9-ECCD109263C2}" type="presOf" srcId="{CE193CB9-74C4-473F-AD50-EBA322AC8B6B}" destId="{C180AE18-3ACF-4636-990E-49BA0B3CEEB7}" srcOrd="1" destOrd="0" presId="urn:microsoft.com/office/officeart/2005/8/layout/orgChart1#1"/>
    <dgm:cxn modelId="{1A2AE1BF-7E9A-4AF5-BFB8-E610E64E9798}" type="presOf" srcId="{CDCEF735-E376-4579-88CF-DC09F3CD9BD7}" destId="{81AD7240-98BD-4971-B432-77A9E067B79A}" srcOrd="0" destOrd="0" presId="urn:microsoft.com/office/officeart/2005/8/layout/orgChart1#1"/>
    <dgm:cxn modelId="{1A963FCA-E989-47AD-932C-64A614A02078}" type="presOf" srcId="{DE5979B2-A539-49A3-A9EA-83AF0E502559}" destId="{2736B4B6-48AD-41A3-A404-AEC0967C1187}" srcOrd="1" destOrd="0" presId="urn:microsoft.com/office/officeart/2005/8/layout/orgChart1#1"/>
    <dgm:cxn modelId="{7D3B163C-AB33-436D-917D-72891E290EE6}" srcId="{F6FE6AC0-5AC4-4969-A1EA-CDBCE53BDC3A}" destId="{CE193CB9-74C4-473F-AD50-EBA322AC8B6B}" srcOrd="0" destOrd="0" parTransId="{3A240666-11B6-41AC-9191-953446227C30}" sibTransId="{8720CCC6-D855-4C6A-BE9F-2AE3C30F3A3A}"/>
    <dgm:cxn modelId="{D16012B3-8AE2-4BD4-BC1B-7898D6E62C5D}" type="presOf" srcId="{558BB7D3-295D-4247-9290-7212CF0240D0}" destId="{5965081E-0F09-4C13-89AD-1663F95CC3EA}" srcOrd="1" destOrd="0" presId="urn:microsoft.com/office/officeart/2005/8/layout/orgChart1#1"/>
    <dgm:cxn modelId="{AD6D04B3-2573-40C4-A55C-8A857358C2C6}" type="presOf" srcId="{F6FE6AC0-5AC4-4969-A1EA-CDBCE53BDC3A}" destId="{F10C5F36-3A96-480E-8546-BA2C0A2DFCC3}" srcOrd="0" destOrd="0" presId="urn:microsoft.com/office/officeart/2005/8/layout/orgChart1#1"/>
    <dgm:cxn modelId="{473BDF6C-ED3A-4443-B4DD-FFA7BACCF163}" type="presOf" srcId="{C773E258-C62B-4445-8D1D-8B2783EF8422}" destId="{308D1BA6-C1CA-46F6-8B9A-B82DB72E11AE}" srcOrd="0" destOrd="0" presId="urn:microsoft.com/office/officeart/2005/8/layout/orgChart1#1"/>
    <dgm:cxn modelId="{C901B94A-6259-46F2-85CA-CED08D1067C8}" type="presOf" srcId="{31BA92A5-E45A-46FB-BBE0-B8F5C6F257AC}" destId="{A256E352-216B-4FE1-8F3D-B7FB529626A1}" srcOrd="0" destOrd="0" presId="urn:microsoft.com/office/officeart/2005/8/layout/orgChart1#1"/>
    <dgm:cxn modelId="{A4DA2B85-350D-41C8-99C9-84A9BE5DDA75}" srcId="{CE193CB9-74C4-473F-AD50-EBA322AC8B6B}" destId="{73AB7DFE-07C8-45FA-9EC8-5AFD62D1370E}" srcOrd="2" destOrd="0" parTransId="{9F2401F6-E678-4E11-82A5-08FA0B54A013}" sibTransId="{211DA629-4A62-41AD-8684-0F9B638D5206}"/>
    <dgm:cxn modelId="{271BC217-8A23-4079-9E99-85C102386A09}" type="presOf" srcId="{FBB5F405-AF22-42DC-A632-08B1163BD768}" destId="{EA2084D8-306D-41C0-A614-9CE4C026F2E5}" srcOrd="1" destOrd="0" presId="urn:microsoft.com/office/officeart/2005/8/layout/orgChart1#1"/>
    <dgm:cxn modelId="{C12202CA-733A-42FF-A3C4-E9D52752E32F}" type="presOf" srcId="{CDCEF735-E376-4579-88CF-DC09F3CD9BD7}" destId="{F5895E75-8395-48A9-98F1-6A5B395240D4}" srcOrd="1" destOrd="0" presId="urn:microsoft.com/office/officeart/2005/8/layout/orgChart1#1"/>
    <dgm:cxn modelId="{31F98012-78B9-46D7-A7A5-75810A915FB2}" type="presOf" srcId="{DE5979B2-A539-49A3-A9EA-83AF0E502559}" destId="{E53FB51B-9758-4AAC-A61C-BFD7A31E8490}" srcOrd="0" destOrd="0" presId="urn:microsoft.com/office/officeart/2005/8/layout/orgChart1#1"/>
    <dgm:cxn modelId="{527751F9-70C9-4D1B-910E-83DBD7398E66}" srcId="{CE193CB9-74C4-473F-AD50-EBA322AC8B6B}" destId="{558BB7D3-295D-4247-9290-7212CF0240D0}" srcOrd="1" destOrd="0" parTransId="{86A181F0-3922-4342-9D29-BCDD09B09E5F}" sibTransId="{0D418FB5-0C5B-4624-9F61-07013F4B24E9}"/>
    <dgm:cxn modelId="{DAC0D577-1EC1-4CAE-8D77-660E9D42BC7E}" srcId="{CE193CB9-74C4-473F-AD50-EBA322AC8B6B}" destId="{DE5979B2-A539-49A3-A9EA-83AF0E502559}" srcOrd="5" destOrd="0" parTransId="{6324E98C-4295-4998-A798-10E3BBB77D36}" sibTransId="{A23F2CDE-830E-4CFB-898E-E3C5DD44DEA1}"/>
    <dgm:cxn modelId="{F74767E9-6543-4BCA-B988-EC34C0E5C7E1}" type="presOf" srcId="{86A181F0-3922-4342-9D29-BCDD09B09E5F}" destId="{5919F94D-0D65-449B-BD36-545260D85E2A}" srcOrd="0" destOrd="0" presId="urn:microsoft.com/office/officeart/2005/8/layout/orgChart1#1"/>
    <dgm:cxn modelId="{B58875F5-D445-445E-AE77-73B1860AD8D5}" type="presOf" srcId="{CE193CB9-74C4-473F-AD50-EBA322AC8B6B}" destId="{A8219952-1568-4B2B-BE62-5A11A2611179}" srcOrd="0" destOrd="0" presId="urn:microsoft.com/office/officeart/2005/8/layout/orgChart1#1"/>
    <dgm:cxn modelId="{01C8BC25-0741-4A5E-8E48-9AC6D95A6C67}" srcId="{CE193CB9-74C4-473F-AD50-EBA322AC8B6B}" destId="{FBB5F405-AF22-42DC-A632-08B1163BD768}" srcOrd="4" destOrd="0" parTransId="{31BA92A5-E45A-46FB-BBE0-B8F5C6F257AC}" sibTransId="{5DC1C8E5-175D-4B2D-AFFE-D4C6A07CA09E}"/>
    <dgm:cxn modelId="{D20B4AE1-21C2-4219-BF09-A1A2423EAE72}" type="presOf" srcId="{7B1AD69F-DF86-47F6-900B-990ADE925A55}" destId="{6DDEC14B-6BB6-4A32-981E-27FAD12B16B6}" srcOrd="0" destOrd="0" presId="urn:microsoft.com/office/officeart/2005/8/layout/orgChart1#1"/>
    <dgm:cxn modelId="{D7D00C45-2B1B-4544-A220-2960B6D5E543}" type="presOf" srcId="{558BB7D3-295D-4247-9290-7212CF0240D0}" destId="{5D4FC3CB-2BF2-4BB6-82E3-A15BF3D9D100}" srcOrd="0" destOrd="0" presId="urn:microsoft.com/office/officeart/2005/8/layout/orgChart1#1"/>
    <dgm:cxn modelId="{5E87648F-91B0-4C81-B126-FF6C215362D6}" srcId="{CE193CB9-74C4-473F-AD50-EBA322AC8B6B}" destId="{CDCEF735-E376-4579-88CF-DC09F3CD9BD7}" srcOrd="3" destOrd="0" parTransId="{B2FB59D9-BBDE-4FF7-947E-7C3B107C8D72}" sibTransId="{02DF5504-1187-473D-8D4E-D9C2483E7833}"/>
    <dgm:cxn modelId="{26B0B2C8-B280-403B-AA17-ECDE1B608A6E}" srcId="{CE193CB9-74C4-473F-AD50-EBA322AC8B6B}" destId="{7B1AD69F-DF86-47F6-900B-990ADE925A55}" srcOrd="0" destOrd="0" parTransId="{C773E258-C62B-4445-8D1D-8B2783EF8422}" sibTransId="{0779FE13-96CD-49E4-AFD5-C132136E787F}"/>
    <dgm:cxn modelId="{FC9CC7FF-4D07-4DAB-99C9-D1FD0C84700B}" type="presOf" srcId="{73AB7DFE-07C8-45FA-9EC8-5AFD62D1370E}" destId="{E3FB7734-6653-417A-93CE-0E1614D150A0}" srcOrd="1" destOrd="0" presId="urn:microsoft.com/office/officeart/2005/8/layout/orgChart1#1"/>
    <dgm:cxn modelId="{D1245077-6AC2-4ACF-A445-FE71EE3F148B}" type="presOf" srcId="{7B1AD69F-DF86-47F6-900B-990ADE925A55}" destId="{D84C72CD-BA7A-45BD-A868-4519E1DB7774}" srcOrd="1" destOrd="0" presId="urn:microsoft.com/office/officeart/2005/8/layout/orgChart1#1"/>
    <dgm:cxn modelId="{7765EA77-7106-47AD-AAC5-01326A888E1F}" type="presOf" srcId="{6324E98C-4295-4998-A798-10E3BBB77D36}" destId="{561BB437-8756-45C5-B504-276E920DBCF0}" srcOrd="0" destOrd="0" presId="urn:microsoft.com/office/officeart/2005/8/layout/orgChart1#1"/>
    <dgm:cxn modelId="{8BBCAEA6-CB86-4BA3-A53D-DEED2FAC6B51}" type="presParOf" srcId="{F10C5F36-3A96-480E-8546-BA2C0A2DFCC3}" destId="{9B5E0E07-F0AA-4B40-B2F0-65D3A049401C}" srcOrd="0" destOrd="0" presId="urn:microsoft.com/office/officeart/2005/8/layout/orgChart1#1"/>
    <dgm:cxn modelId="{F27ADEA8-1AB9-4241-B440-8E59FF00619F}" type="presParOf" srcId="{9B5E0E07-F0AA-4B40-B2F0-65D3A049401C}" destId="{8DF375DD-9C30-454A-BC7A-0E5900626F70}" srcOrd="0" destOrd="0" presId="urn:microsoft.com/office/officeart/2005/8/layout/orgChart1#1"/>
    <dgm:cxn modelId="{C68E78EB-8E66-44BE-94E2-760079BF87BF}" type="presParOf" srcId="{8DF375DD-9C30-454A-BC7A-0E5900626F70}" destId="{A8219952-1568-4B2B-BE62-5A11A2611179}" srcOrd="0" destOrd="0" presId="urn:microsoft.com/office/officeart/2005/8/layout/orgChart1#1"/>
    <dgm:cxn modelId="{478FBA8F-BA0B-4CDC-A7AA-E362E557093F}" type="presParOf" srcId="{8DF375DD-9C30-454A-BC7A-0E5900626F70}" destId="{C180AE18-3ACF-4636-990E-49BA0B3CEEB7}" srcOrd="1" destOrd="0" presId="urn:microsoft.com/office/officeart/2005/8/layout/orgChart1#1"/>
    <dgm:cxn modelId="{A8670C0A-D158-4585-A70D-192D9FB7EDA9}" type="presParOf" srcId="{9B5E0E07-F0AA-4B40-B2F0-65D3A049401C}" destId="{59FAC73D-7F7E-4952-B097-AFE7EB119AA7}" srcOrd="1" destOrd="0" presId="urn:microsoft.com/office/officeart/2005/8/layout/orgChart1#1"/>
    <dgm:cxn modelId="{2E49C874-5409-4F27-90D6-195F04C9D2ED}" type="presParOf" srcId="{59FAC73D-7F7E-4952-B097-AFE7EB119AA7}" destId="{308D1BA6-C1CA-46F6-8B9A-B82DB72E11AE}" srcOrd="0" destOrd="0" presId="urn:microsoft.com/office/officeart/2005/8/layout/orgChart1#1"/>
    <dgm:cxn modelId="{C26C2554-C39B-4323-8CB7-C4E0B462D517}" type="presParOf" srcId="{59FAC73D-7F7E-4952-B097-AFE7EB119AA7}" destId="{13762703-DDF1-4339-A388-8F59FA70B3F4}" srcOrd="1" destOrd="0" presId="urn:microsoft.com/office/officeart/2005/8/layout/orgChart1#1"/>
    <dgm:cxn modelId="{393ADB4B-7D36-46E3-9610-0EF124A5881A}" type="presParOf" srcId="{13762703-DDF1-4339-A388-8F59FA70B3F4}" destId="{33FC656A-189E-44F2-A7F2-7C7DDEA0B421}" srcOrd="0" destOrd="0" presId="urn:microsoft.com/office/officeart/2005/8/layout/orgChart1#1"/>
    <dgm:cxn modelId="{E709D23B-F254-4F91-A04C-6054588CC757}" type="presParOf" srcId="{33FC656A-189E-44F2-A7F2-7C7DDEA0B421}" destId="{6DDEC14B-6BB6-4A32-981E-27FAD12B16B6}" srcOrd="0" destOrd="0" presId="urn:microsoft.com/office/officeart/2005/8/layout/orgChart1#1"/>
    <dgm:cxn modelId="{8960D7E1-F43D-45BF-92A1-FF4FC0144894}" type="presParOf" srcId="{33FC656A-189E-44F2-A7F2-7C7DDEA0B421}" destId="{D84C72CD-BA7A-45BD-A868-4519E1DB7774}" srcOrd="1" destOrd="0" presId="urn:microsoft.com/office/officeart/2005/8/layout/orgChart1#1"/>
    <dgm:cxn modelId="{4CDE5E72-E2BB-4AD7-988E-8F51B96E4EDF}" type="presParOf" srcId="{13762703-DDF1-4339-A388-8F59FA70B3F4}" destId="{B5D56E0E-9B57-4026-97DB-7337B888FF5A}" srcOrd="1" destOrd="0" presId="urn:microsoft.com/office/officeart/2005/8/layout/orgChart1#1"/>
    <dgm:cxn modelId="{5AE0CA05-9FF4-4F28-B1B0-11D031B354CC}" type="presParOf" srcId="{13762703-DDF1-4339-A388-8F59FA70B3F4}" destId="{6CFAA072-1D83-4735-8C59-E9CB95B5B535}" srcOrd="2" destOrd="0" presId="urn:microsoft.com/office/officeart/2005/8/layout/orgChart1#1"/>
    <dgm:cxn modelId="{612A3CF2-9F82-4271-9155-D1BFEA311448}" type="presParOf" srcId="{59FAC73D-7F7E-4952-B097-AFE7EB119AA7}" destId="{5919F94D-0D65-449B-BD36-545260D85E2A}" srcOrd="2" destOrd="0" presId="urn:microsoft.com/office/officeart/2005/8/layout/orgChart1#1"/>
    <dgm:cxn modelId="{4DB17223-7124-44F4-96CB-067EB01D4ABC}" type="presParOf" srcId="{59FAC73D-7F7E-4952-B097-AFE7EB119AA7}" destId="{6AEB3918-9086-4C3C-A2AB-2AB49070450B}" srcOrd="3" destOrd="0" presId="urn:microsoft.com/office/officeart/2005/8/layout/orgChart1#1"/>
    <dgm:cxn modelId="{ED807E44-679A-4812-B72A-3C5D464C82AF}" type="presParOf" srcId="{6AEB3918-9086-4C3C-A2AB-2AB49070450B}" destId="{EF38A3BC-D838-4937-BA3A-5FFFA1036D16}" srcOrd="0" destOrd="0" presId="urn:microsoft.com/office/officeart/2005/8/layout/orgChart1#1"/>
    <dgm:cxn modelId="{421BEAD6-935A-4BCB-8B79-D47B18CB0034}" type="presParOf" srcId="{EF38A3BC-D838-4937-BA3A-5FFFA1036D16}" destId="{5D4FC3CB-2BF2-4BB6-82E3-A15BF3D9D100}" srcOrd="0" destOrd="0" presId="urn:microsoft.com/office/officeart/2005/8/layout/orgChart1#1"/>
    <dgm:cxn modelId="{45CF6DE9-907A-436B-8F6A-344BDCB36084}" type="presParOf" srcId="{EF38A3BC-D838-4937-BA3A-5FFFA1036D16}" destId="{5965081E-0F09-4C13-89AD-1663F95CC3EA}" srcOrd="1" destOrd="0" presId="urn:microsoft.com/office/officeart/2005/8/layout/orgChart1#1"/>
    <dgm:cxn modelId="{865B8FA4-8E4D-41F4-86E1-AEA6AF06874C}" type="presParOf" srcId="{6AEB3918-9086-4C3C-A2AB-2AB49070450B}" destId="{4C3A6C96-405C-4E9B-A7A2-F4B77922AF55}" srcOrd="1" destOrd="0" presId="urn:microsoft.com/office/officeart/2005/8/layout/orgChart1#1"/>
    <dgm:cxn modelId="{2DA30C63-3160-4F5B-BFF3-6D9D95F3E7B3}" type="presParOf" srcId="{6AEB3918-9086-4C3C-A2AB-2AB49070450B}" destId="{94A9E146-B62E-49EB-98F5-891B413B238A}" srcOrd="2" destOrd="0" presId="urn:microsoft.com/office/officeart/2005/8/layout/orgChart1#1"/>
    <dgm:cxn modelId="{E8D689D5-C58E-4F19-BF93-697D6E82B1AF}" type="presParOf" srcId="{59FAC73D-7F7E-4952-B097-AFE7EB119AA7}" destId="{454C5E30-DD5F-434E-8F75-2DC1CF2AC80B}" srcOrd="4" destOrd="0" presId="urn:microsoft.com/office/officeart/2005/8/layout/orgChart1#1"/>
    <dgm:cxn modelId="{E3D98376-D338-4F99-B678-26853CD7CD8A}" type="presParOf" srcId="{59FAC73D-7F7E-4952-B097-AFE7EB119AA7}" destId="{643D77D1-4751-41D7-B507-3FE903053B9C}" srcOrd="5" destOrd="0" presId="urn:microsoft.com/office/officeart/2005/8/layout/orgChart1#1"/>
    <dgm:cxn modelId="{D1C7D149-7716-4B53-964C-5725C783287D}" type="presParOf" srcId="{643D77D1-4751-41D7-B507-3FE903053B9C}" destId="{37117F86-BF3F-4717-BEE9-2F19421FAEF8}" srcOrd="0" destOrd="0" presId="urn:microsoft.com/office/officeart/2005/8/layout/orgChart1#1"/>
    <dgm:cxn modelId="{885E988E-E566-49E8-9B32-C40868081BE9}" type="presParOf" srcId="{37117F86-BF3F-4717-BEE9-2F19421FAEF8}" destId="{DDDA23D1-1D9D-4A38-9CDB-1F5CB3126969}" srcOrd="0" destOrd="0" presId="urn:microsoft.com/office/officeart/2005/8/layout/orgChart1#1"/>
    <dgm:cxn modelId="{356595AE-5667-495A-8C8F-F26CC85BCBF6}" type="presParOf" srcId="{37117F86-BF3F-4717-BEE9-2F19421FAEF8}" destId="{E3FB7734-6653-417A-93CE-0E1614D150A0}" srcOrd="1" destOrd="0" presId="urn:microsoft.com/office/officeart/2005/8/layout/orgChart1#1"/>
    <dgm:cxn modelId="{0DF9057E-EB57-43D9-9656-ACA969529A65}" type="presParOf" srcId="{643D77D1-4751-41D7-B507-3FE903053B9C}" destId="{DCB8DAD4-A229-4B9E-A6AC-7A900185B48D}" srcOrd="1" destOrd="0" presId="urn:microsoft.com/office/officeart/2005/8/layout/orgChart1#1"/>
    <dgm:cxn modelId="{CBC071EA-FCE3-4C06-BFDF-64A8DCEB6213}" type="presParOf" srcId="{643D77D1-4751-41D7-B507-3FE903053B9C}" destId="{8B7DD5AA-0FDC-4538-B0B5-50F0E9995F3E}" srcOrd="2" destOrd="0" presId="urn:microsoft.com/office/officeart/2005/8/layout/orgChart1#1"/>
    <dgm:cxn modelId="{8B474C9D-CE7E-4BC7-A773-949852E7C139}" type="presParOf" srcId="{59FAC73D-7F7E-4952-B097-AFE7EB119AA7}" destId="{2EBEFD26-C871-4BB4-AB46-D71042B856A9}" srcOrd="6" destOrd="0" presId="urn:microsoft.com/office/officeart/2005/8/layout/orgChart1#1"/>
    <dgm:cxn modelId="{F0E62E04-3091-416D-B765-AB8A7F086360}" type="presParOf" srcId="{59FAC73D-7F7E-4952-B097-AFE7EB119AA7}" destId="{F94A519A-0CAE-4995-BC36-A399E43853AE}" srcOrd="7" destOrd="0" presId="urn:microsoft.com/office/officeart/2005/8/layout/orgChart1#1"/>
    <dgm:cxn modelId="{559DD9DF-02F6-40A4-BDB5-25255F757C09}" type="presParOf" srcId="{F94A519A-0CAE-4995-BC36-A399E43853AE}" destId="{9607BE7D-B19A-4DF6-B83F-467FF84F1185}" srcOrd="0" destOrd="0" presId="urn:microsoft.com/office/officeart/2005/8/layout/orgChart1#1"/>
    <dgm:cxn modelId="{6878F70E-DCA9-4B4B-87A9-98C5CE448FFA}" type="presParOf" srcId="{9607BE7D-B19A-4DF6-B83F-467FF84F1185}" destId="{81AD7240-98BD-4971-B432-77A9E067B79A}" srcOrd="0" destOrd="0" presId="urn:microsoft.com/office/officeart/2005/8/layout/orgChart1#1"/>
    <dgm:cxn modelId="{9C43F7C4-2806-4097-949E-5DD4F7D582FD}" type="presParOf" srcId="{9607BE7D-B19A-4DF6-B83F-467FF84F1185}" destId="{F5895E75-8395-48A9-98F1-6A5B395240D4}" srcOrd="1" destOrd="0" presId="urn:microsoft.com/office/officeart/2005/8/layout/orgChart1#1"/>
    <dgm:cxn modelId="{34DB46DE-E16A-4922-9D14-4B15DEBEC257}" type="presParOf" srcId="{F94A519A-0CAE-4995-BC36-A399E43853AE}" destId="{0068111E-63B5-45F6-8819-BD5E4087D85E}" srcOrd="1" destOrd="0" presId="urn:microsoft.com/office/officeart/2005/8/layout/orgChart1#1"/>
    <dgm:cxn modelId="{D370A32F-1ADE-44AF-9F52-96A937449D28}" type="presParOf" srcId="{F94A519A-0CAE-4995-BC36-A399E43853AE}" destId="{2258B01C-A207-4D90-9D4F-0B55B950CC39}" srcOrd="2" destOrd="0" presId="urn:microsoft.com/office/officeart/2005/8/layout/orgChart1#1"/>
    <dgm:cxn modelId="{B86330AA-EA63-42D5-8F06-B931C8149588}" type="presParOf" srcId="{59FAC73D-7F7E-4952-B097-AFE7EB119AA7}" destId="{A256E352-216B-4FE1-8F3D-B7FB529626A1}" srcOrd="8" destOrd="0" presId="urn:microsoft.com/office/officeart/2005/8/layout/orgChart1#1"/>
    <dgm:cxn modelId="{72503A3D-B638-4FC8-A47D-B04338B2CC49}" type="presParOf" srcId="{59FAC73D-7F7E-4952-B097-AFE7EB119AA7}" destId="{D1C1CB4B-7F77-4950-846B-BB7EF5908327}" srcOrd="9" destOrd="0" presId="urn:microsoft.com/office/officeart/2005/8/layout/orgChart1#1"/>
    <dgm:cxn modelId="{992CA3E3-EF8A-421E-8CC8-C7ED063DCF9B}" type="presParOf" srcId="{D1C1CB4B-7F77-4950-846B-BB7EF5908327}" destId="{84415CEA-A0FF-4346-905C-7EAD03D35A4A}" srcOrd="0" destOrd="0" presId="urn:microsoft.com/office/officeart/2005/8/layout/orgChart1#1"/>
    <dgm:cxn modelId="{D6372D48-CD26-4044-A402-DD4A1FEBC808}" type="presParOf" srcId="{84415CEA-A0FF-4346-905C-7EAD03D35A4A}" destId="{18FA2241-619F-4BA9-A0D9-5F90C4E34354}" srcOrd="0" destOrd="0" presId="urn:microsoft.com/office/officeart/2005/8/layout/orgChart1#1"/>
    <dgm:cxn modelId="{95DE63D8-D494-43E1-8244-172B6414DF6A}" type="presParOf" srcId="{84415CEA-A0FF-4346-905C-7EAD03D35A4A}" destId="{EA2084D8-306D-41C0-A614-9CE4C026F2E5}" srcOrd="1" destOrd="0" presId="urn:microsoft.com/office/officeart/2005/8/layout/orgChart1#1"/>
    <dgm:cxn modelId="{067FC4E8-2ACA-4E47-B521-EB677167D7AE}" type="presParOf" srcId="{D1C1CB4B-7F77-4950-846B-BB7EF5908327}" destId="{81213C7F-46E9-4DE5-BEA6-91563A27BDAF}" srcOrd="1" destOrd="0" presId="urn:microsoft.com/office/officeart/2005/8/layout/orgChart1#1"/>
    <dgm:cxn modelId="{59453BDB-4C10-4ECF-89A8-B3F09F9CBB17}" type="presParOf" srcId="{D1C1CB4B-7F77-4950-846B-BB7EF5908327}" destId="{20A313F3-CED2-443F-AF80-6B78A558EA40}" srcOrd="2" destOrd="0" presId="urn:microsoft.com/office/officeart/2005/8/layout/orgChart1#1"/>
    <dgm:cxn modelId="{C014F96D-F6C9-47AB-9CFE-77A7DA064083}" type="presParOf" srcId="{59FAC73D-7F7E-4952-B097-AFE7EB119AA7}" destId="{561BB437-8756-45C5-B504-276E920DBCF0}" srcOrd="10" destOrd="0" presId="urn:microsoft.com/office/officeart/2005/8/layout/orgChart1#1"/>
    <dgm:cxn modelId="{584274DF-42D0-400C-A94E-5B4296D26504}" type="presParOf" srcId="{59FAC73D-7F7E-4952-B097-AFE7EB119AA7}" destId="{058572F0-4B3D-4527-B54A-CC2FA9B3940B}" srcOrd="11" destOrd="0" presId="urn:microsoft.com/office/officeart/2005/8/layout/orgChart1#1"/>
    <dgm:cxn modelId="{D2559EF8-CEA4-4D64-B464-1D275A35105E}" type="presParOf" srcId="{058572F0-4B3D-4527-B54A-CC2FA9B3940B}" destId="{9F031B3C-1D36-4442-8810-7FE2B1591980}" srcOrd="0" destOrd="0" presId="urn:microsoft.com/office/officeart/2005/8/layout/orgChart1#1"/>
    <dgm:cxn modelId="{1CD9025F-06BC-4112-AF93-C127176FC9E1}" type="presParOf" srcId="{9F031B3C-1D36-4442-8810-7FE2B1591980}" destId="{E53FB51B-9758-4AAC-A61C-BFD7A31E8490}" srcOrd="0" destOrd="0" presId="urn:microsoft.com/office/officeart/2005/8/layout/orgChart1#1"/>
    <dgm:cxn modelId="{DE093E5E-C423-4254-A5B8-1FD6F0DC594B}" type="presParOf" srcId="{9F031B3C-1D36-4442-8810-7FE2B1591980}" destId="{2736B4B6-48AD-41A3-A404-AEC0967C1187}" srcOrd="1" destOrd="0" presId="urn:microsoft.com/office/officeart/2005/8/layout/orgChart1#1"/>
    <dgm:cxn modelId="{A066F02D-812A-4C2C-A073-7FFBF96C51F2}" type="presParOf" srcId="{058572F0-4B3D-4527-B54A-CC2FA9B3940B}" destId="{7986FDE4-2D00-4E3F-A773-271A9EB2F44A}" srcOrd="1" destOrd="0" presId="urn:microsoft.com/office/officeart/2005/8/layout/orgChart1#1"/>
    <dgm:cxn modelId="{17D04163-9EA2-4ED5-8A66-0C1AD1789EC6}" type="presParOf" srcId="{058572F0-4B3D-4527-B54A-CC2FA9B3940B}" destId="{CE11FF52-5D51-4664-8E7D-CB21A3172DD7}" srcOrd="2" destOrd="0" presId="urn:microsoft.com/office/officeart/2005/8/layout/orgChart1#1"/>
    <dgm:cxn modelId="{6E7EF49A-F4E1-4E5E-AE33-3A4F4711CDC3}" type="presParOf" srcId="{9B5E0E07-F0AA-4B40-B2F0-65D3A049401C}" destId="{0A9C8B06-A2BC-4001-8F61-760B6021F484}" srcOrd="2" destOrd="0" presId="urn:microsoft.com/office/officeart/2005/8/layout/orgChart1#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xmlns:r="http://schemas.openxmlformats.org/officeDocument/2006/relationships">
  <dsp:spTree>
    <dsp:nvGrpSpPr>
      <dsp:cNvPr id="2" name="组合 1"/>
      <dsp:cNvGrpSpPr/>
    </dsp:nvGrpSpPr>
    <dsp:grpSpPr>
      <a:xfrm>
        <a:off x="0" y="0"/>
        <a:ext cx="5486400" cy="1550035"/>
        <a:chOff x="0" y="0"/>
        <a:chExt cx="5486400" cy="1550035"/>
      </a:xfrm>
    </dsp:grpSpPr>
    <dsp:sp modelId="{308D1BA6-C1CA-46F6-8B9A-B82DB72E11AE}">
      <dsp:nvSpPr>
        <dsp:cNvPr id="5" name="任意多边形 4"/>
        <dsp:cNvSpPr/>
      </dsp:nvSpPr>
      <dsp:spPr bwMode="white">
        <a:xfrm>
          <a:off x="389106" y="693305"/>
          <a:ext cx="2354094" cy="163425"/>
        </a:xfrm>
        <a:custGeom>
          <a:avLst/>
          <a:gdLst/>
          <a:ahLst/>
          <a:cxnLst/>
          <a:pathLst>
            <a:path w="3707" h="257">
              <a:moveTo>
                <a:pt x="3707" y="0"/>
              </a:moveTo>
              <a:lnTo>
                <a:pt x="3707" y="129"/>
              </a:lnTo>
              <a:lnTo>
                <a:pt x="0" y="129"/>
              </a:lnTo>
              <a:lnTo>
                <a:pt x="0" y="257"/>
              </a:lnTo>
            </a:path>
          </a:pathLst>
        </a:custGeom>
      </dsp:spPr>
      <dsp:style>
        <a:lnRef idx="2">
          <a:schemeClr val="accent1">
            <a:shade val="60000"/>
          </a:schemeClr>
        </a:lnRef>
        <a:fillRef idx="0">
          <a:schemeClr val="accent1"/>
        </a:fillRef>
        <a:effectRef idx="0">
          <a:scrgbClr r="0" g="0" b="0"/>
        </a:effectRef>
        <a:fontRef idx="minor"/>
      </dsp:style>
      <dsp:txXfrm>
        <a:off x="389106" y="693305"/>
        <a:ext cx="2354094" cy="163425"/>
      </dsp:txXfrm>
    </dsp:sp>
    <dsp:sp modelId="{5919F94D-0D65-449B-BD36-545260D85E2A}">
      <dsp:nvSpPr>
        <dsp:cNvPr id="8" name="任意多边形 7"/>
        <dsp:cNvSpPr/>
      </dsp:nvSpPr>
      <dsp:spPr bwMode="white">
        <a:xfrm>
          <a:off x="1330744" y="693305"/>
          <a:ext cx="1412456" cy="163425"/>
        </a:xfrm>
        <a:custGeom>
          <a:avLst/>
          <a:gdLst/>
          <a:ahLst/>
          <a:cxnLst/>
          <a:pathLst>
            <a:path w="2224" h="257">
              <a:moveTo>
                <a:pt x="2224" y="0"/>
              </a:moveTo>
              <a:lnTo>
                <a:pt x="2224" y="129"/>
              </a:lnTo>
              <a:lnTo>
                <a:pt x="0" y="129"/>
              </a:lnTo>
              <a:lnTo>
                <a:pt x="0" y="257"/>
              </a:lnTo>
            </a:path>
          </a:pathLst>
        </a:custGeom>
      </dsp:spPr>
      <dsp:style>
        <a:lnRef idx="2">
          <a:schemeClr val="accent1">
            <a:shade val="60000"/>
          </a:schemeClr>
        </a:lnRef>
        <a:fillRef idx="0">
          <a:schemeClr val="accent1"/>
        </a:fillRef>
        <a:effectRef idx="0">
          <a:scrgbClr r="0" g="0" b="0"/>
        </a:effectRef>
        <a:fontRef idx="minor"/>
      </dsp:style>
      <dsp:txXfrm>
        <a:off x="1330744" y="693305"/>
        <a:ext cx="1412456" cy="163425"/>
      </dsp:txXfrm>
    </dsp:sp>
    <dsp:sp modelId="{454C5E30-DD5F-434E-8F75-2DC1CF2AC80B}">
      <dsp:nvSpPr>
        <dsp:cNvPr id="11" name="任意多边形 10"/>
        <dsp:cNvSpPr/>
      </dsp:nvSpPr>
      <dsp:spPr bwMode="white">
        <a:xfrm>
          <a:off x="2272381" y="693305"/>
          <a:ext cx="470819" cy="163425"/>
        </a:xfrm>
        <a:custGeom>
          <a:avLst/>
          <a:gdLst/>
          <a:ahLst/>
          <a:cxnLst/>
          <a:pathLst>
            <a:path w="741" h="257">
              <a:moveTo>
                <a:pt x="741" y="0"/>
              </a:moveTo>
              <a:lnTo>
                <a:pt x="741" y="129"/>
              </a:lnTo>
              <a:lnTo>
                <a:pt x="0" y="129"/>
              </a:lnTo>
              <a:lnTo>
                <a:pt x="0" y="257"/>
              </a:lnTo>
            </a:path>
          </a:pathLst>
        </a:custGeom>
      </dsp:spPr>
      <dsp:style>
        <a:lnRef idx="2">
          <a:schemeClr val="accent1">
            <a:shade val="60000"/>
          </a:schemeClr>
        </a:lnRef>
        <a:fillRef idx="0">
          <a:schemeClr val="accent1"/>
        </a:fillRef>
        <a:effectRef idx="0">
          <a:scrgbClr r="0" g="0" b="0"/>
        </a:effectRef>
        <a:fontRef idx="minor"/>
      </dsp:style>
      <dsp:txXfrm>
        <a:off x="2272381" y="693305"/>
        <a:ext cx="470819" cy="163425"/>
      </dsp:txXfrm>
    </dsp:sp>
    <dsp:sp modelId="{2EBEFD26-C871-4BB4-AB46-D71042B856A9}">
      <dsp:nvSpPr>
        <dsp:cNvPr id="14" name="任意多边形 13"/>
        <dsp:cNvSpPr/>
      </dsp:nvSpPr>
      <dsp:spPr bwMode="white">
        <a:xfrm>
          <a:off x="2743200" y="693305"/>
          <a:ext cx="470819" cy="163425"/>
        </a:xfrm>
        <a:custGeom>
          <a:avLst/>
          <a:gdLst/>
          <a:ahLst/>
          <a:cxnLst/>
          <a:pathLst>
            <a:path w="741" h="257">
              <a:moveTo>
                <a:pt x="0" y="0"/>
              </a:moveTo>
              <a:lnTo>
                <a:pt x="0" y="129"/>
              </a:lnTo>
              <a:lnTo>
                <a:pt x="741" y="129"/>
              </a:lnTo>
              <a:lnTo>
                <a:pt x="741" y="257"/>
              </a:lnTo>
            </a:path>
          </a:pathLst>
        </a:custGeom>
      </dsp:spPr>
      <dsp:style>
        <a:lnRef idx="2">
          <a:schemeClr val="accent1">
            <a:shade val="60000"/>
          </a:schemeClr>
        </a:lnRef>
        <a:fillRef idx="0">
          <a:schemeClr val="accent1"/>
        </a:fillRef>
        <a:effectRef idx="0">
          <a:scrgbClr r="0" g="0" b="0"/>
        </a:effectRef>
        <a:fontRef idx="minor"/>
      </dsp:style>
      <dsp:txXfrm>
        <a:off x="2743200" y="693305"/>
        <a:ext cx="470819" cy="163425"/>
      </dsp:txXfrm>
    </dsp:sp>
    <dsp:sp modelId="{A256E352-216B-4FE1-8F3D-B7FB529626A1}">
      <dsp:nvSpPr>
        <dsp:cNvPr id="17" name="任意多边形 16"/>
        <dsp:cNvSpPr/>
      </dsp:nvSpPr>
      <dsp:spPr bwMode="white">
        <a:xfrm>
          <a:off x="2743200" y="693305"/>
          <a:ext cx="1412456" cy="163425"/>
        </a:xfrm>
        <a:custGeom>
          <a:avLst/>
          <a:gdLst/>
          <a:ahLst/>
          <a:cxnLst/>
          <a:pathLst>
            <a:path w="2224" h="257">
              <a:moveTo>
                <a:pt x="0" y="0"/>
              </a:moveTo>
              <a:lnTo>
                <a:pt x="0" y="129"/>
              </a:lnTo>
              <a:lnTo>
                <a:pt x="2224" y="129"/>
              </a:lnTo>
              <a:lnTo>
                <a:pt x="2224" y="257"/>
              </a:lnTo>
            </a:path>
          </a:pathLst>
        </a:custGeom>
      </dsp:spPr>
      <dsp:style>
        <a:lnRef idx="2">
          <a:schemeClr val="accent1">
            <a:shade val="60000"/>
          </a:schemeClr>
        </a:lnRef>
        <a:fillRef idx="0">
          <a:schemeClr val="accent1"/>
        </a:fillRef>
        <a:effectRef idx="0">
          <a:scrgbClr r="0" g="0" b="0"/>
        </a:effectRef>
        <a:fontRef idx="minor"/>
      </dsp:style>
      <dsp:txXfrm>
        <a:off x="2743200" y="693305"/>
        <a:ext cx="1412456" cy="163425"/>
      </dsp:txXfrm>
    </dsp:sp>
    <dsp:sp modelId="{561BB437-8756-45C5-B504-276E920DBCF0}">
      <dsp:nvSpPr>
        <dsp:cNvPr id="20" name="任意多边形 19"/>
        <dsp:cNvSpPr/>
      </dsp:nvSpPr>
      <dsp:spPr bwMode="white">
        <a:xfrm>
          <a:off x="2743200" y="693305"/>
          <a:ext cx="2354094" cy="163425"/>
        </a:xfrm>
        <a:custGeom>
          <a:avLst/>
          <a:gdLst/>
          <a:ahLst/>
          <a:cxnLst/>
          <a:pathLst>
            <a:path w="3707" h="257">
              <a:moveTo>
                <a:pt x="0" y="0"/>
              </a:moveTo>
              <a:lnTo>
                <a:pt x="0" y="129"/>
              </a:lnTo>
              <a:lnTo>
                <a:pt x="3707" y="129"/>
              </a:lnTo>
              <a:lnTo>
                <a:pt x="3707" y="257"/>
              </a:lnTo>
            </a:path>
          </a:pathLst>
        </a:custGeom>
      </dsp:spPr>
      <dsp:style>
        <a:lnRef idx="2">
          <a:schemeClr val="accent1">
            <a:shade val="60000"/>
          </a:schemeClr>
        </a:lnRef>
        <a:fillRef idx="0">
          <a:schemeClr val="accent1"/>
        </a:fillRef>
        <a:effectRef idx="0">
          <a:scrgbClr r="0" g="0" b="0"/>
        </a:effectRef>
        <a:fontRef idx="minor"/>
      </dsp:style>
      <dsp:txXfrm>
        <a:off x="2743200" y="693305"/>
        <a:ext cx="2354094" cy="163425"/>
      </dsp:txXfrm>
    </dsp:sp>
    <dsp:sp modelId="{A8219952-1568-4B2B-BE62-5A11A2611179}">
      <dsp:nvSpPr>
        <dsp:cNvPr id="3" name="矩形 2"/>
        <dsp:cNvSpPr/>
      </dsp:nvSpPr>
      <dsp:spPr bwMode="white">
        <a:xfrm>
          <a:off x="2354094" y="304199"/>
          <a:ext cx="778213" cy="389106"/>
        </a:xfrm>
        <a:prstGeom prst="rect">
          <a:avLst/>
        </a:prstGeom>
      </dsp:spPr>
      <dsp:style>
        <a:lnRef idx="2">
          <a:schemeClr val="lt1"/>
        </a:lnRef>
        <a:fillRef idx="1">
          <a:schemeClr val="accent1"/>
        </a:fillRef>
        <a:effectRef idx="0">
          <a:scrgbClr r="0" g="0" b="0"/>
        </a:effectRef>
        <a:fontRef idx="minor">
          <a:schemeClr val="lt1"/>
        </a:fontRef>
      </dsp:style>
      <dsp:txBody>
        <a:bodyPr lIns="7620" tIns="7620" rIns="7620" bIns="7620" anchor="ctr"/>
        <a:lstStyle>
          <a:lvl1pPr algn="ctr">
            <a:defRPr sz="1200"/>
          </a:lvl1pPr>
          <a:lvl2pPr marL="57150" indent="-57150" algn="ctr">
            <a:defRPr sz="900"/>
          </a:lvl2pPr>
          <a:lvl3pPr marL="114300" indent="-57150" algn="ctr">
            <a:defRPr sz="900"/>
          </a:lvl3pPr>
          <a:lvl4pPr marL="171450" indent="-57150" algn="ctr">
            <a:defRPr sz="900"/>
          </a:lvl4pPr>
          <a:lvl5pPr marL="228600" indent="-57150" algn="ctr">
            <a:defRPr sz="900"/>
          </a:lvl5pPr>
          <a:lvl6pPr marL="285750" indent="-57150" algn="ctr">
            <a:defRPr sz="900"/>
          </a:lvl6pPr>
          <a:lvl7pPr marL="342900" indent="-57150" algn="ctr">
            <a:defRPr sz="900"/>
          </a:lvl7pPr>
          <a:lvl8pPr marL="400050" indent="-57150" algn="ctr">
            <a:defRPr sz="900"/>
          </a:lvl8pPr>
          <a:lvl9pPr marL="457200" indent="-57150" algn="ctr">
            <a:defRPr sz="900"/>
          </a:lvl9pPr>
        </a:lstStyle>
        <a:p>
          <a:pPr lvl="0">
            <a:lnSpc>
              <a:spcPct val="100000"/>
            </a:lnSpc>
            <a:spcBef>
              <a:spcPct val="0"/>
            </a:spcBef>
            <a:spcAft>
              <a:spcPct val="35000"/>
            </a:spcAft>
          </a:pPr>
          <a:r>
            <a:rPr lang="zh-CN" altLang="en-US"/>
            <a:t>动环监控系统（综合）</a:t>
          </a:r>
        </a:p>
      </dsp:txBody>
      <dsp:txXfrm>
        <a:off x="2354094" y="304199"/>
        <a:ext cx="778213" cy="389106"/>
      </dsp:txXfrm>
    </dsp:sp>
    <dsp:sp modelId="{6DDEC14B-6BB6-4A32-981E-27FAD12B16B6}">
      <dsp:nvSpPr>
        <dsp:cNvPr id="6" name="矩形 5"/>
        <dsp:cNvSpPr/>
      </dsp:nvSpPr>
      <dsp:spPr bwMode="white">
        <a:xfrm>
          <a:off x="0" y="856730"/>
          <a:ext cx="778213" cy="389106"/>
        </a:xfrm>
        <a:prstGeom prst="rect">
          <a:avLst/>
        </a:prstGeom>
      </dsp:spPr>
      <dsp:style>
        <a:lnRef idx="2">
          <a:schemeClr val="lt1"/>
        </a:lnRef>
        <a:fillRef idx="1">
          <a:schemeClr val="accent1"/>
        </a:fillRef>
        <a:effectRef idx="0">
          <a:scrgbClr r="0" g="0" b="0"/>
        </a:effectRef>
        <a:fontRef idx="minor">
          <a:schemeClr val="lt1"/>
        </a:fontRef>
      </dsp:style>
      <dsp:txBody>
        <a:bodyPr lIns="7620" tIns="7620" rIns="7620" bIns="7620" anchor="ctr"/>
        <a:lstStyle>
          <a:lvl1pPr algn="ctr">
            <a:defRPr sz="1200"/>
          </a:lvl1pPr>
          <a:lvl2pPr marL="57150" indent="-57150" algn="ctr">
            <a:defRPr sz="900"/>
          </a:lvl2pPr>
          <a:lvl3pPr marL="114300" indent="-57150" algn="ctr">
            <a:defRPr sz="900"/>
          </a:lvl3pPr>
          <a:lvl4pPr marL="171450" indent="-57150" algn="ctr">
            <a:defRPr sz="900"/>
          </a:lvl4pPr>
          <a:lvl5pPr marL="228600" indent="-57150" algn="ctr">
            <a:defRPr sz="900"/>
          </a:lvl5pPr>
          <a:lvl6pPr marL="285750" indent="-57150" algn="ctr">
            <a:defRPr sz="900"/>
          </a:lvl6pPr>
          <a:lvl7pPr marL="342900" indent="-57150" algn="ctr">
            <a:defRPr sz="900"/>
          </a:lvl7pPr>
          <a:lvl8pPr marL="400050" indent="-57150" algn="ctr">
            <a:defRPr sz="900"/>
          </a:lvl8pPr>
          <a:lvl9pPr marL="457200" indent="-57150" algn="ctr">
            <a:defRPr sz="900"/>
          </a:lvl9pPr>
        </a:lstStyle>
        <a:p>
          <a:pPr lvl="0">
            <a:lnSpc>
              <a:spcPct val="100000"/>
            </a:lnSpc>
            <a:spcBef>
              <a:spcPct val="0"/>
            </a:spcBef>
            <a:spcAft>
              <a:spcPct val="35000"/>
            </a:spcAft>
          </a:pPr>
          <a:r>
            <a:rPr lang="zh-CN" altLang="en-US"/>
            <a:t>设备专项监控系统</a:t>
          </a:r>
        </a:p>
      </dsp:txBody>
      <dsp:txXfrm>
        <a:off x="0" y="856730"/>
        <a:ext cx="778213" cy="389106"/>
      </dsp:txXfrm>
    </dsp:sp>
    <dsp:sp modelId="{5D4FC3CB-2BF2-4BB6-82E3-A15BF3D9D100}">
      <dsp:nvSpPr>
        <dsp:cNvPr id="9" name="矩形 8"/>
        <dsp:cNvSpPr/>
      </dsp:nvSpPr>
      <dsp:spPr bwMode="white">
        <a:xfrm>
          <a:off x="941637" y="856730"/>
          <a:ext cx="778213" cy="389106"/>
        </a:xfrm>
        <a:prstGeom prst="rect">
          <a:avLst/>
        </a:prstGeom>
      </dsp:spPr>
      <dsp:style>
        <a:lnRef idx="2">
          <a:schemeClr val="lt1"/>
        </a:lnRef>
        <a:fillRef idx="1">
          <a:schemeClr val="accent1"/>
        </a:fillRef>
        <a:effectRef idx="0">
          <a:scrgbClr r="0" g="0" b="0"/>
        </a:effectRef>
        <a:fontRef idx="minor">
          <a:schemeClr val="lt1"/>
        </a:fontRef>
      </dsp:style>
      <dsp:txBody>
        <a:bodyPr lIns="7620" tIns="7620" rIns="7620" bIns="7620" anchor="ctr"/>
        <a:lstStyle>
          <a:lvl1pPr algn="ctr">
            <a:defRPr sz="1200"/>
          </a:lvl1pPr>
          <a:lvl2pPr marL="57150" indent="-57150" algn="ctr">
            <a:defRPr sz="900"/>
          </a:lvl2pPr>
          <a:lvl3pPr marL="114300" indent="-57150" algn="ctr">
            <a:defRPr sz="900"/>
          </a:lvl3pPr>
          <a:lvl4pPr marL="171450" indent="-57150" algn="ctr">
            <a:defRPr sz="900"/>
          </a:lvl4pPr>
          <a:lvl5pPr marL="228600" indent="-57150" algn="ctr">
            <a:defRPr sz="900"/>
          </a:lvl5pPr>
          <a:lvl6pPr marL="285750" indent="-57150" algn="ctr">
            <a:defRPr sz="900"/>
          </a:lvl6pPr>
          <a:lvl7pPr marL="342900" indent="-57150" algn="ctr">
            <a:defRPr sz="900"/>
          </a:lvl7pPr>
          <a:lvl8pPr marL="400050" indent="-57150" algn="ctr">
            <a:defRPr sz="900"/>
          </a:lvl8pPr>
          <a:lvl9pPr marL="457200" indent="-57150" algn="ctr">
            <a:defRPr sz="900"/>
          </a:lvl9pPr>
        </a:lstStyle>
        <a:p>
          <a:pPr lvl="0">
            <a:lnSpc>
              <a:spcPct val="100000"/>
            </a:lnSpc>
            <a:spcBef>
              <a:spcPct val="0"/>
            </a:spcBef>
            <a:spcAft>
              <a:spcPct val="35000"/>
            </a:spcAft>
          </a:pPr>
          <a:r>
            <a:rPr lang="zh-CN" altLang="en-US"/>
            <a:t>电力监控系统</a:t>
          </a:r>
        </a:p>
      </dsp:txBody>
      <dsp:txXfrm>
        <a:off x="941637" y="856730"/>
        <a:ext cx="778213" cy="389106"/>
      </dsp:txXfrm>
    </dsp:sp>
    <dsp:sp modelId="{DDDA23D1-1D9D-4A38-9CDB-1F5CB3126969}">
      <dsp:nvSpPr>
        <dsp:cNvPr id="12" name="矩形 11"/>
        <dsp:cNvSpPr/>
      </dsp:nvSpPr>
      <dsp:spPr bwMode="white">
        <a:xfrm>
          <a:off x="1883275" y="856730"/>
          <a:ext cx="778213" cy="389106"/>
        </a:xfrm>
        <a:prstGeom prst="rect">
          <a:avLst/>
        </a:prstGeom>
      </dsp:spPr>
      <dsp:style>
        <a:lnRef idx="2">
          <a:schemeClr val="lt1"/>
        </a:lnRef>
        <a:fillRef idx="1">
          <a:schemeClr val="accent1"/>
        </a:fillRef>
        <a:effectRef idx="0">
          <a:scrgbClr r="0" g="0" b="0"/>
        </a:effectRef>
        <a:fontRef idx="minor">
          <a:schemeClr val="lt1"/>
        </a:fontRef>
      </dsp:style>
      <dsp:txBody>
        <a:bodyPr lIns="7620" tIns="7620" rIns="7620" bIns="7620" anchor="ctr"/>
        <a:lstStyle>
          <a:lvl1pPr algn="ctr">
            <a:defRPr sz="1200"/>
          </a:lvl1pPr>
          <a:lvl2pPr marL="57150" indent="-57150" algn="ctr">
            <a:defRPr sz="900"/>
          </a:lvl2pPr>
          <a:lvl3pPr marL="114300" indent="-57150" algn="ctr">
            <a:defRPr sz="900"/>
          </a:lvl3pPr>
          <a:lvl4pPr marL="171450" indent="-57150" algn="ctr">
            <a:defRPr sz="900"/>
          </a:lvl4pPr>
          <a:lvl5pPr marL="228600" indent="-57150" algn="ctr">
            <a:defRPr sz="900"/>
          </a:lvl5pPr>
          <a:lvl6pPr marL="285750" indent="-57150" algn="ctr">
            <a:defRPr sz="900"/>
          </a:lvl6pPr>
          <a:lvl7pPr marL="342900" indent="-57150" algn="ctr">
            <a:defRPr sz="900"/>
          </a:lvl7pPr>
          <a:lvl8pPr marL="400050" indent="-57150" algn="ctr">
            <a:defRPr sz="900"/>
          </a:lvl8pPr>
          <a:lvl9pPr marL="457200" indent="-57150" algn="ctr">
            <a:defRPr sz="900"/>
          </a:lvl9pPr>
        </a:lstStyle>
        <a:p>
          <a:pPr lvl="0">
            <a:lnSpc>
              <a:spcPct val="100000"/>
            </a:lnSpc>
            <a:spcBef>
              <a:spcPct val="0"/>
            </a:spcBef>
            <a:spcAft>
              <a:spcPct val="35000"/>
            </a:spcAft>
          </a:pPr>
          <a:r>
            <a:rPr lang="en-US" altLang="zh-CN"/>
            <a:t>BA</a:t>
          </a:r>
          <a:r>
            <a:rPr lang="zh-CN" altLang="en-US"/>
            <a:t>系统</a:t>
          </a:r>
        </a:p>
      </dsp:txBody>
      <dsp:txXfrm>
        <a:off x="1883275" y="856730"/>
        <a:ext cx="778213" cy="389106"/>
      </dsp:txXfrm>
    </dsp:sp>
    <dsp:sp modelId="{81AD7240-98BD-4971-B432-77A9E067B79A}">
      <dsp:nvSpPr>
        <dsp:cNvPr id="15" name="矩形 14"/>
        <dsp:cNvSpPr/>
      </dsp:nvSpPr>
      <dsp:spPr bwMode="white">
        <a:xfrm>
          <a:off x="2824912" y="856730"/>
          <a:ext cx="778213" cy="389106"/>
        </a:xfrm>
        <a:prstGeom prst="rect">
          <a:avLst/>
        </a:prstGeom>
      </dsp:spPr>
      <dsp:style>
        <a:lnRef idx="2">
          <a:schemeClr val="lt1"/>
        </a:lnRef>
        <a:fillRef idx="1">
          <a:schemeClr val="accent1"/>
        </a:fillRef>
        <a:effectRef idx="0">
          <a:scrgbClr r="0" g="0" b="0"/>
        </a:effectRef>
        <a:fontRef idx="minor">
          <a:schemeClr val="lt1"/>
        </a:fontRef>
      </dsp:style>
      <dsp:txBody>
        <a:bodyPr lIns="7620" tIns="7620" rIns="7620" bIns="7620" anchor="ctr"/>
        <a:lstStyle>
          <a:lvl1pPr algn="ctr">
            <a:defRPr sz="1200"/>
          </a:lvl1pPr>
          <a:lvl2pPr marL="57150" indent="-57150" algn="ctr">
            <a:defRPr sz="900"/>
          </a:lvl2pPr>
          <a:lvl3pPr marL="114300" indent="-57150" algn="ctr">
            <a:defRPr sz="900"/>
          </a:lvl3pPr>
          <a:lvl4pPr marL="171450" indent="-57150" algn="ctr">
            <a:defRPr sz="900"/>
          </a:lvl4pPr>
          <a:lvl5pPr marL="228600" indent="-57150" algn="ctr">
            <a:defRPr sz="900"/>
          </a:lvl5pPr>
          <a:lvl6pPr marL="285750" indent="-57150" algn="ctr">
            <a:defRPr sz="900"/>
          </a:lvl6pPr>
          <a:lvl7pPr marL="342900" indent="-57150" algn="ctr">
            <a:defRPr sz="900"/>
          </a:lvl7pPr>
          <a:lvl8pPr marL="400050" indent="-57150" algn="ctr">
            <a:defRPr sz="900"/>
          </a:lvl8pPr>
          <a:lvl9pPr marL="457200" indent="-57150" algn="ctr">
            <a:defRPr sz="900"/>
          </a:lvl9pPr>
        </a:lstStyle>
        <a:p>
          <a:pPr lvl="0">
            <a:lnSpc>
              <a:spcPct val="100000"/>
            </a:lnSpc>
            <a:spcBef>
              <a:spcPct val="0"/>
            </a:spcBef>
            <a:spcAft>
              <a:spcPct val="35000"/>
            </a:spcAft>
          </a:pPr>
          <a:r>
            <a:rPr lang="zh-CN" altLang="en-US"/>
            <a:t>视频监控系统</a:t>
          </a:r>
        </a:p>
      </dsp:txBody>
      <dsp:txXfrm>
        <a:off x="2824912" y="856730"/>
        <a:ext cx="778213" cy="389106"/>
      </dsp:txXfrm>
    </dsp:sp>
    <dsp:sp modelId="{18FA2241-619F-4BA9-A0D9-5F90C4E34354}">
      <dsp:nvSpPr>
        <dsp:cNvPr id="18" name="矩形 17"/>
        <dsp:cNvSpPr/>
      </dsp:nvSpPr>
      <dsp:spPr bwMode="white">
        <a:xfrm>
          <a:off x="3766550" y="856730"/>
          <a:ext cx="778213" cy="389106"/>
        </a:xfrm>
        <a:prstGeom prst="rect">
          <a:avLst/>
        </a:prstGeom>
      </dsp:spPr>
      <dsp:style>
        <a:lnRef idx="2">
          <a:schemeClr val="lt1"/>
        </a:lnRef>
        <a:fillRef idx="1">
          <a:schemeClr val="accent1"/>
        </a:fillRef>
        <a:effectRef idx="0">
          <a:scrgbClr r="0" g="0" b="0"/>
        </a:effectRef>
        <a:fontRef idx="minor">
          <a:schemeClr val="lt1"/>
        </a:fontRef>
      </dsp:style>
      <dsp:txBody>
        <a:bodyPr lIns="7620" tIns="7620" rIns="7620" bIns="7620" anchor="ctr"/>
        <a:lstStyle>
          <a:lvl1pPr algn="ctr">
            <a:defRPr sz="1200"/>
          </a:lvl1pPr>
          <a:lvl2pPr marL="57150" indent="-57150" algn="ctr">
            <a:defRPr sz="900"/>
          </a:lvl2pPr>
          <a:lvl3pPr marL="114300" indent="-57150" algn="ctr">
            <a:defRPr sz="900"/>
          </a:lvl3pPr>
          <a:lvl4pPr marL="171450" indent="-57150" algn="ctr">
            <a:defRPr sz="900"/>
          </a:lvl4pPr>
          <a:lvl5pPr marL="228600" indent="-57150" algn="ctr">
            <a:defRPr sz="900"/>
          </a:lvl5pPr>
          <a:lvl6pPr marL="285750" indent="-57150" algn="ctr">
            <a:defRPr sz="900"/>
          </a:lvl6pPr>
          <a:lvl7pPr marL="342900" indent="-57150" algn="ctr">
            <a:defRPr sz="900"/>
          </a:lvl7pPr>
          <a:lvl8pPr marL="400050" indent="-57150" algn="ctr">
            <a:defRPr sz="900"/>
          </a:lvl8pPr>
          <a:lvl9pPr marL="457200" indent="-57150" algn="ctr">
            <a:defRPr sz="900"/>
          </a:lvl9pPr>
        </a:lstStyle>
        <a:p>
          <a:pPr lvl="0">
            <a:lnSpc>
              <a:spcPct val="100000"/>
            </a:lnSpc>
            <a:spcBef>
              <a:spcPct val="0"/>
            </a:spcBef>
            <a:spcAft>
              <a:spcPct val="35000"/>
            </a:spcAft>
          </a:pPr>
          <a:r>
            <a:rPr lang="zh-CN" altLang="en-US"/>
            <a:t>门禁系统</a:t>
          </a:r>
        </a:p>
      </dsp:txBody>
      <dsp:txXfrm>
        <a:off x="3766550" y="856730"/>
        <a:ext cx="778213" cy="389106"/>
      </dsp:txXfrm>
    </dsp:sp>
    <dsp:sp modelId="{E53FB51B-9758-4AAC-A61C-BFD7A31E8490}">
      <dsp:nvSpPr>
        <dsp:cNvPr id="21" name="矩形 20"/>
        <dsp:cNvSpPr/>
      </dsp:nvSpPr>
      <dsp:spPr bwMode="white">
        <a:xfrm>
          <a:off x="4708187" y="856730"/>
          <a:ext cx="778213" cy="389106"/>
        </a:xfrm>
        <a:prstGeom prst="rect">
          <a:avLst/>
        </a:prstGeom>
      </dsp:spPr>
      <dsp:style>
        <a:lnRef idx="2">
          <a:schemeClr val="lt1"/>
        </a:lnRef>
        <a:fillRef idx="1">
          <a:schemeClr val="accent1"/>
        </a:fillRef>
        <a:effectRef idx="0">
          <a:scrgbClr r="0" g="0" b="0"/>
        </a:effectRef>
        <a:fontRef idx="minor">
          <a:schemeClr val="lt1"/>
        </a:fontRef>
      </dsp:style>
      <dsp:txBody>
        <a:bodyPr lIns="7620" tIns="7620" rIns="7620" bIns="7620" anchor="ctr"/>
        <a:lstStyle>
          <a:lvl1pPr algn="ctr">
            <a:defRPr sz="1200"/>
          </a:lvl1pPr>
          <a:lvl2pPr marL="57150" indent="-57150" algn="ctr">
            <a:defRPr sz="900"/>
          </a:lvl2pPr>
          <a:lvl3pPr marL="114300" indent="-57150" algn="ctr">
            <a:defRPr sz="900"/>
          </a:lvl3pPr>
          <a:lvl4pPr marL="171450" indent="-57150" algn="ctr">
            <a:defRPr sz="900"/>
          </a:lvl4pPr>
          <a:lvl5pPr marL="228600" indent="-57150" algn="ctr">
            <a:defRPr sz="900"/>
          </a:lvl5pPr>
          <a:lvl6pPr marL="285750" indent="-57150" algn="ctr">
            <a:defRPr sz="900"/>
          </a:lvl6pPr>
          <a:lvl7pPr marL="342900" indent="-57150" algn="ctr">
            <a:defRPr sz="900"/>
          </a:lvl7pPr>
          <a:lvl8pPr marL="400050" indent="-57150" algn="ctr">
            <a:defRPr sz="900"/>
          </a:lvl8pPr>
          <a:lvl9pPr marL="457200" indent="-57150" algn="ctr">
            <a:defRPr sz="900"/>
          </a:lvl9pPr>
        </a:lstStyle>
        <a:p>
          <a:pPr lvl="0">
            <a:lnSpc>
              <a:spcPct val="100000"/>
            </a:lnSpc>
            <a:spcBef>
              <a:spcPct val="0"/>
            </a:spcBef>
            <a:spcAft>
              <a:spcPct val="35000"/>
            </a:spcAft>
          </a:pPr>
          <a:r>
            <a:rPr lang="zh-CN" altLang="en-US"/>
            <a:t>消防系统</a:t>
          </a:r>
        </a:p>
      </dsp:txBody>
      <dsp:txXfrm>
        <a:off x="4708187" y="856730"/>
        <a:ext cx="778213" cy="389106"/>
      </dsp:txXfrm>
    </dsp:sp>
    <dsp:sp modelId="{C180AE18-3ACF-4636-990E-49BA0B3CEEB7}">
      <dsp:nvSpPr>
        <dsp:cNvPr id="4" name="矩形 3" hidden="1"/>
        <dsp:cNvSpPr/>
      </dsp:nvSpPr>
      <dsp:spPr>
        <a:xfrm>
          <a:off x="2354094" y="304199"/>
          <a:ext cx="155643" cy="389106"/>
        </a:xfrm>
        <a:prstGeom prst="rect">
          <a:avLst/>
        </a:prstGeom>
      </dsp:spPr>
      <dsp:txXfrm>
        <a:off x="2354094" y="304199"/>
        <a:ext cx="155643" cy="389106"/>
      </dsp:txXfrm>
    </dsp:sp>
    <dsp:sp modelId="{D84C72CD-BA7A-45BD-A868-4519E1DB7774}">
      <dsp:nvSpPr>
        <dsp:cNvPr id="7" name="矩形 6" hidden="1"/>
        <dsp:cNvSpPr/>
      </dsp:nvSpPr>
      <dsp:spPr>
        <a:xfrm>
          <a:off x="0" y="856730"/>
          <a:ext cx="155643" cy="389106"/>
        </a:xfrm>
        <a:prstGeom prst="rect">
          <a:avLst/>
        </a:prstGeom>
      </dsp:spPr>
      <dsp:txXfrm>
        <a:off x="0" y="856730"/>
        <a:ext cx="155643" cy="389106"/>
      </dsp:txXfrm>
    </dsp:sp>
    <dsp:sp modelId="{5965081E-0F09-4C13-89AD-1663F95CC3EA}">
      <dsp:nvSpPr>
        <dsp:cNvPr id="10" name="矩形 9" hidden="1"/>
        <dsp:cNvSpPr/>
      </dsp:nvSpPr>
      <dsp:spPr>
        <a:xfrm>
          <a:off x="941637" y="856730"/>
          <a:ext cx="155643" cy="389106"/>
        </a:xfrm>
        <a:prstGeom prst="rect">
          <a:avLst/>
        </a:prstGeom>
      </dsp:spPr>
      <dsp:txXfrm>
        <a:off x="941637" y="856730"/>
        <a:ext cx="155643" cy="389106"/>
      </dsp:txXfrm>
    </dsp:sp>
    <dsp:sp modelId="{E3FB7734-6653-417A-93CE-0E1614D150A0}">
      <dsp:nvSpPr>
        <dsp:cNvPr id="13" name="矩形 12" hidden="1"/>
        <dsp:cNvSpPr/>
      </dsp:nvSpPr>
      <dsp:spPr>
        <a:xfrm>
          <a:off x="1883275" y="856730"/>
          <a:ext cx="155643" cy="389106"/>
        </a:xfrm>
        <a:prstGeom prst="rect">
          <a:avLst/>
        </a:prstGeom>
      </dsp:spPr>
      <dsp:txXfrm>
        <a:off x="1883275" y="856730"/>
        <a:ext cx="155643" cy="389106"/>
      </dsp:txXfrm>
    </dsp:sp>
    <dsp:sp modelId="{F5895E75-8395-48A9-98F1-6A5B395240D4}">
      <dsp:nvSpPr>
        <dsp:cNvPr id="16" name="矩形 15" hidden="1"/>
        <dsp:cNvSpPr/>
      </dsp:nvSpPr>
      <dsp:spPr>
        <a:xfrm>
          <a:off x="2824912" y="856730"/>
          <a:ext cx="155643" cy="389106"/>
        </a:xfrm>
        <a:prstGeom prst="rect">
          <a:avLst/>
        </a:prstGeom>
      </dsp:spPr>
      <dsp:txXfrm>
        <a:off x="2824912" y="856730"/>
        <a:ext cx="155643" cy="389106"/>
      </dsp:txXfrm>
    </dsp:sp>
    <dsp:sp modelId="{EA2084D8-306D-41C0-A614-9CE4C026F2E5}">
      <dsp:nvSpPr>
        <dsp:cNvPr id="19" name="矩形 18" hidden="1"/>
        <dsp:cNvSpPr/>
      </dsp:nvSpPr>
      <dsp:spPr>
        <a:xfrm>
          <a:off x="3766550" y="856730"/>
          <a:ext cx="155643" cy="389106"/>
        </a:xfrm>
        <a:prstGeom prst="rect">
          <a:avLst/>
        </a:prstGeom>
      </dsp:spPr>
      <dsp:txXfrm>
        <a:off x="3766550" y="856730"/>
        <a:ext cx="155643" cy="389106"/>
      </dsp:txXfrm>
    </dsp:sp>
    <dsp:sp modelId="{2736B4B6-48AD-41A3-A404-AEC0967C1187}">
      <dsp:nvSpPr>
        <dsp:cNvPr id="22" name="矩形 21" hidden="1"/>
        <dsp:cNvSpPr/>
      </dsp:nvSpPr>
      <dsp:spPr>
        <a:xfrm>
          <a:off x="4708187" y="856730"/>
          <a:ext cx="155643" cy="389106"/>
        </a:xfrm>
        <a:prstGeom prst="rect">
          <a:avLst/>
        </a:prstGeom>
      </dsp:spPr>
      <dsp:txXfrm>
        <a:off x="4708187" y="856730"/>
        <a:ext cx="155643" cy="38910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linDir" val="fromT"/>
                  <dgm:param type="chAlign" val="r"/>
                </dgm:alg>
              </dgm:if>
              <dgm:if name="Name23" func="var" arg="hierBranch" op="equ" val="r">
                <dgm:alg type="hierChild">
                  <dgm:param type="linDir" val="fromT"/>
                  <dgm:param type="chAlign" val="l"/>
                </dgm:alg>
              </dgm:if>
              <dgm:if name="Name24" func="var" arg="hierBranch" op="equ" val="hang">
                <dgm:choose name="Name25">
                  <dgm:if name="Name26" func="var" arg="dir" op="equ" val="norm">
                    <dgm:alg type="hierChild">
                      <dgm:param type="linDir" val="fromL"/>
                      <dgm:param type="chAlign" val="l"/>
                      <dgm:param type="secLinDir" val="fromT"/>
                      <dgm:param type="secChAlign" val="t"/>
                    </dgm:alg>
                  </dgm:if>
                  <dgm:else name="Name27">
                    <dgm:alg type="hierChild">
                      <dgm:param type="linDir" val="fromR"/>
                      <dgm:param type="chAlign" val="l"/>
                      <dgm:param type="secLinDir" val="fromT"/>
                      <dgm:param type="secChAlign" val="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dim" val="1D"/>
                        <dgm:param type="endSty" val="noArr"/>
                        <dgm:param type="connRout" val="bend"/>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dim" val="1D"/>
                            <dgm:param type="endSty" val="noArr"/>
                            <dgm:param type="connRout" val="bend"/>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dim" val="1D"/>
                                    <dgm:param type="endSty" val="noArr"/>
                                    <dgm:param type="connRout" val="bend"/>
                                    <dgm:param type="begPts" val="bCtr"/>
                                    <dgm:param type="endPts" val="midL midR"/>
                                  </dgm:alg>
                                </dgm:if>
                                <dgm:else name="Name45">
                                  <dgm:alg type="conn">
                                    <dgm:param type="srcNode" val="rootConnector"/>
                                    <dgm:param type="dim" val="1D"/>
                                    <dgm:param type="endSty" val="noArr"/>
                                    <dgm:param type="connRout" val="bend"/>
                                    <dgm:param type="begPts" val="bCtr"/>
                                    <dgm:param type="endPts" val="midL midR"/>
                                  </dgm:alg>
                                </dgm:else>
                              </dgm:choose>
                            </dgm:if>
                            <dgm:else name="Name46">
                              <dgm:alg type="conn">
                                <dgm:param type="dim" val="1D"/>
                                <dgm:param type="endSty" val="noArr"/>
                                <dgm:param type="connRout" val="bend"/>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dim" val="1D"/>
                        <dgm:param type="endSty" val="noArr"/>
                        <dgm:param type="connRout" val="bend"/>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dim" val="1D"/>
                                <dgm:param type="endSty" val="noArr"/>
                                <dgm:param type="connRout" val="bend"/>
                                <dgm:param type="begPts" val="bCtr"/>
                                <dgm:param type="endPts" val="midL midR"/>
                              </dgm:alg>
                            </dgm:if>
                            <dgm:else name="Name55">
                              <dgm:alg type="conn">
                                <dgm:param type="srcNode" val="rootConnector1"/>
                                <dgm:param type="dim" val="1D"/>
                                <dgm:param type="endSty" val="noArr"/>
                                <dgm:param type="connRout" val="bend"/>
                                <dgm:param type="begPts" val="bCtr"/>
                                <dgm:param type="endPts" val="midL midR"/>
                              </dgm:alg>
                            </dgm:else>
                          </dgm:choose>
                        </dgm:if>
                        <dgm:else name="Name56">
                          <dgm:choose name="Name57">
                            <dgm:if name="Name58" axis="par ch" ptType="node asst" func="cnt" op="gte" val="1">
                              <dgm:alg type="conn">
                                <dgm:param type="dim" val="1D"/>
                                <dgm:param type="endSty" val="noArr"/>
                                <dgm:param type="connRout" val="bend"/>
                                <dgm:param type="begPts" val="bCtr"/>
                                <dgm:param type="endPts" val="midL midR"/>
                              </dgm:alg>
                            </dgm:if>
                            <dgm:else name="Name59">
                              <dgm:alg type="conn">
                                <dgm:param type="srcNode" val="rootConnector"/>
                                <dgm:param type="dim" val="1D"/>
                                <dgm:param type="endSty" val="noArr"/>
                                <dgm:param type="connRout" val="bend"/>
                                <dgm:param type="begPts" val="bCtr"/>
                                <dgm:param type="endPts" val="midL mid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linDir" val="fromT"/>
                        <dgm:param type="chAlign" val="r"/>
                      </dgm:alg>
                    </dgm:if>
                    <dgm:if name="Name85" func="var" arg="hierBranch" op="equ" val="r">
                      <dgm:alg type="hierChild">
                        <dgm:param type="linDir" val="fromT"/>
                        <dgm:param type="chAlign" val="l"/>
                      </dgm:alg>
                    </dgm:if>
                    <dgm:if name="Name86" func="var" arg="hierBranch" op="equ" val="hang">
                      <dgm:choose name="Name87">
                        <dgm:if name="Name88" func="var" arg="dir" op="equ" val="norm">
                          <dgm:alg type="hierChild">
                            <dgm:param type="linDir" val="fromL"/>
                            <dgm:param type="chAlign" val="l"/>
                            <dgm:param type="secLinDir" val="fromT"/>
                            <dgm:param type="secChAlign" val="t"/>
                          </dgm:alg>
                        </dgm:if>
                        <dgm:else name="Name89">
                          <dgm:alg type="hierChild">
                            <dgm:param type="linDir" val="fromR"/>
                            <dgm:param type="chAlign" val="l"/>
                            <dgm:param type="secLinDir" val="fromT"/>
                            <dgm:param type="secChAlign" val="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linDir" val="fromT"/>
                            <dgm:param type="chAlign" val="l"/>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linDir" val="fromL"/>
                        <dgm:param type="chAlign" val="l"/>
                        <dgm:param type="secLinDir" val="fromT"/>
                        <dgm:param type="secChAlign" val="t"/>
                      </dgm:alg>
                    </dgm:if>
                    <dgm:else name="Name105">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linDir" val="fromL"/>
                  <dgm:param type="chAlign" val="l"/>
                  <dgm:param type="secLinDir" val="fromT"/>
                  <dgm:param type="secChAlign" val="t"/>
                </dgm:alg>
              </dgm:if>
              <dgm:else name="Name109">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dim" val="1D"/>
                    <dgm:param type="endSty" val="noArr"/>
                    <dgm:param type="connRout" val="bend"/>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linDir" val="fromT"/>
                        <dgm:param type="chAlign" val="r"/>
                      </dgm:alg>
                    </dgm:if>
                    <dgm:if name="Name129" func="var" arg="hierBranch" op="equ" val="r">
                      <dgm:alg type="hierChild">
                        <dgm:param type="linDir" val="fromT"/>
                        <dgm:param type="chAlign" val="l"/>
                      </dgm:alg>
                    </dgm:if>
                    <dgm:if name="Name130" func="var" arg="hierBranch" op="equ" val="hang">
                      <dgm:choose name="Name131">
                        <dgm:if name="Name132" func="var" arg="dir" op="equ" val="norm">
                          <dgm:alg type="hierChild">
                            <dgm:param type="linDir" val="fromL"/>
                            <dgm:param type="chAlign" val="l"/>
                            <dgm:param type="secLinDir" val="fromT"/>
                            <dgm:param type="secChAlign" val="t"/>
                          </dgm:alg>
                        </dgm:if>
                        <dgm:else name="Name133">
                          <dgm:alg type="hierChild">
                            <dgm:param type="linDir" val="fromR"/>
                            <dgm:param type="chAlign" val="l"/>
                            <dgm:param type="secLinDir" val="fromT"/>
                            <dgm:param type="secChAlign" val="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linDir" val="fromT"/>
                            <dgm:param type="chAlign" val="l"/>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linDir" val="fromL"/>
                        <dgm:param type="chAlign" val="l"/>
                        <dgm:param type="secLinDir" val="fromT"/>
                        <dgm:param type="secChAlign" val="t"/>
                      </dgm:alg>
                    </dgm:if>
                    <dgm:else name="Name146">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 Ltd.</Company>
  <Pages>37</Pages>
  <Words>5015</Words>
  <Characters>5481</Characters>
  <Lines>486</Lines>
  <Paragraphs>137</Paragraphs>
  <TotalTime>31</TotalTime>
  <ScaleCrop>false</ScaleCrop>
  <LinksUpToDate>false</LinksUpToDate>
  <CharactersWithSpaces>5513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2025-04-22T03:23:00Z</dcterms:created>
  <dc:creator>zhanglei</dc:creator>
  <cp:lastModifiedBy>吕静</cp:lastModifiedBy>
  <cp:lastPrinted>2025-04-15T02:40:00Z</cp:lastPrinted>
  <dcterms:modified xsi:type="dcterms:W3CDTF">2025-04-24T02:26:43Z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_2015_ms_pID_725343">
    <vt:lpwstr>(3)bdjLWhUolQ2QaJLfijcn7U7Lx0lEFJ8lQSDkNeHcr3OnVgrufmqa8icQxSZdH/FGuLmD/Ylq
9KzndGftCh3ulpnlQrKkcqxdXIS7xzSe7EFdqsUae7wZ6SNKSuezKtAa4aHtOv9dvlgh1lC5
P7/dJf6ko5Rz6wKtqUG9h45GB954u/WLcPIs5aH8GkM9g5Uv1LANreF+S63es5apwt1mM6Iq
7zF6et8nERNR6GMzcc</vt:lpwstr>
  </property>
  <property fmtid="{D5CDD505-2E9C-101B-9397-08002B2CF9AE}" pid="4" name="_2015_ms_pID_7253431">
    <vt:lpwstr>w7Vsa2bG25r2Dhop2lkW5DqaNvJrmJMATErCq+Md8MJcNARXIAZ1GL
IBmDjZd7a/eUos5MyqZAMOgs7tq6I2mZIbd7kO6HKmk8WbF5NgJdcVT8TKKClQ32XE6ghngA
PlA4mfN5pRSKrbGRHJhg0nNMV0paSwFD1x/t4MbDRrY0TRLCJ5jdNMjxOLstrDIrGpmgJmL5
Bo7NcFEuftTzKl0Jt7yBr0OiFDHyVqpCNuHs</vt:lpwstr>
  </property>
  <property fmtid="{D5CDD505-2E9C-101B-9397-08002B2CF9AE}" pid="5" name="_2015_ms_pID_7253432">
    <vt:lpwstr>Tg==</vt:lpwstr>
  </property>
  <property fmtid="{D5CDD505-2E9C-101B-9397-08002B2CF9AE}" pid="6" name="ICV">
    <vt:lpwstr>C2D22441EA1841F4B51F8F53224D5A11_13</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1725255051</vt:lpwstr>
  </property>
  <property fmtid="{D5CDD505-2E9C-101B-9397-08002B2CF9AE}" pid="11" name="KSOTemplateDocerSaveRecord">
    <vt:lpwstr>eyJoZGlkIjoiNGQ5MDFkMTRmMzJiMWZhYmMwMWQ3MGJmYTFiYmZiOWEiLCJ1c2VySWQiOiIxMjAwOTcxNzk2In0=</vt:lpwstr>
  </property>
</Properties>
</file>