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54" w:firstLineChars="1300"/>
        <w:rPr>
          <w:rFonts w:ascii="宋体" w:hAnsi="宋体"/>
          <w:color w:val="FF0000"/>
          <w:szCs w:val="21"/>
        </w:rPr>
      </w:pPr>
      <w:bookmarkStart w:id="0" w:name="_Hlk71456902"/>
      <w:r>
        <w:rPr>
          <w:rFonts w:hint="eastAsia" w:ascii="宋体" w:hAnsi="宋体" w:eastAsia="黑体"/>
          <w:b/>
          <w:bCs/>
          <w:color w:val="FF0000"/>
          <w:kern w:val="44"/>
          <w:sz w:val="28"/>
          <w:szCs w:val="44"/>
        </w:rPr>
        <w:t>特别警示条款</w:t>
      </w:r>
    </w:p>
    <w:p>
      <w:pPr>
        <w:pBdr>
          <w:top w:val="none" w:color="auto" w:sz="0" w:space="1"/>
          <w:left w:val="none" w:color="auto" w:sz="0" w:space="4"/>
          <w:bottom w:val="none" w:color="auto" w:sz="0" w:space="1"/>
          <w:right w:val="none" w:color="auto" w:sz="0" w:space="4"/>
        </w:pBdr>
        <w:spacing w:after="240" w:afterLines="100" w:line="400" w:lineRule="exact"/>
        <w:ind w:firstLine="422" w:firstLineChars="200"/>
        <w:rPr>
          <w:rFonts w:ascii="宋体" w:hAnsi="宋体" w:cs="宋体"/>
          <w:b/>
          <w:bCs/>
          <w:color w:val="FF0000"/>
          <w:szCs w:val="21"/>
          <w:highlight w:val="yellow"/>
        </w:rPr>
      </w:pPr>
      <w:r>
        <w:rPr>
          <w:rFonts w:hint="eastAsia" w:ascii="宋体" w:hAnsi="宋体" w:cs="宋体"/>
          <w:b/>
          <w:bCs/>
          <w:color w:val="FF0000"/>
          <w:szCs w:val="21"/>
          <w:highlight w:val="yellow"/>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序号</w:t>
            </w:r>
          </w:p>
        </w:tc>
        <w:tc>
          <w:tcPr>
            <w:tcW w:w="77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b/>
                <w:bCs/>
                <w:color w:val="FF0000"/>
                <w:szCs w:val="21"/>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1</w:t>
            </w:r>
          </w:p>
        </w:tc>
        <w:tc>
          <w:tcPr>
            <w:tcW w:w="77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与其他投标供应商的法定代表人、主要经营负责人、投标授权代表人、项目负责人、主要技术人员为</w:t>
            </w:r>
            <w:r>
              <w:rPr>
                <w:rFonts w:hint="eastAsia" w:ascii="宋体" w:hAnsi="宋体" w:cs="宋体"/>
                <w:b/>
                <w:bCs/>
                <w:color w:val="FF0000"/>
                <w:szCs w:val="21"/>
              </w:rPr>
              <w:t>同一人、属同一单位或者在同一单位缴纳社会保险</w:t>
            </w:r>
            <w:r>
              <w:rPr>
                <w:rFonts w:hint="eastAsia" w:ascii="宋体" w:hAnsi="宋体" w:cs="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2</w:t>
            </w:r>
          </w:p>
        </w:tc>
        <w:tc>
          <w:tcPr>
            <w:tcW w:w="77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参与本项目政府采购活动时，与其他投标供应商存在单位负责人为</w:t>
            </w:r>
            <w:r>
              <w:rPr>
                <w:rFonts w:hint="eastAsia" w:ascii="宋体" w:hAnsi="宋体" w:cs="宋体"/>
                <w:b/>
                <w:bCs/>
                <w:color w:val="FF0000"/>
                <w:szCs w:val="21"/>
              </w:rPr>
              <w:t>同一人或直接控股、管理关系</w:t>
            </w:r>
            <w:r>
              <w:rPr>
                <w:rFonts w:hint="eastAsia" w:ascii="宋体" w:hAnsi="宋体" w:cs="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3</w:t>
            </w:r>
          </w:p>
        </w:tc>
        <w:tc>
          <w:tcPr>
            <w:tcW w:w="77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与其他投标供应商的投标文件或部分投标文件</w:t>
            </w:r>
            <w:r>
              <w:rPr>
                <w:rFonts w:hint="eastAsia" w:ascii="宋体" w:hAnsi="宋体" w:cs="宋体"/>
                <w:b/>
                <w:bCs/>
                <w:color w:val="FF0000"/>
                <w:szCs w:val="21"/>
              </w:rPr>
              <w:t>相互混装或存在非正常一致</w:t>
            </w:r>
            <w:r>
              <w:rPr>
                <w:rFonts w:hint="eastAsia" w:ascii="宋体" w:hAnsi="宋体" w:cs="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4</w:t>
            </w:r>
          </w:p>
        </w:tc>
        <w:tc>
          <w:tcPr>
            <w:tcW w:w="77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与其他投标供应商的投标文件由</w:t>
            </w:r>
            <w:r>
              <w:rPr>
                <w:rFonts w:hint="eastAsia" w:ascii="宋体" w:hAnsi="宋体" w:cs="宋体"/>
                <w:b/>
                <w:bCs/>
                <w:color w:val="FF0000"/>
                <w:szCs w:val="21"/>
              </w:rPr>
              <w:t>同一单位或者同一人编制</w:t>
            </w:r>
            <w:r>
              <w:rPr>
                <w:rFonts w:hint="eastAsia" w:ascii="宋体" w:hAnsi="宋体" w:cs="宋体"/>
                <w:color w:val="FF0000"/>
                <w:szCs w:val="21"/>
              </w:rPr>
              <w:t>，或者使用</w:t>
            </w:r>
            <w:r>
              <w:rPr>
                <w:rFonts w:hint="eastAsia" w:ascii="宋体" w:hAnsi="宋体" w:cs="宋体"/>
                <w:b/>
                <w:bCs/>
                <w:color w:val="FF0000"/>
                <w:szCs w:val="21"/>
              </w:rPr>
              <w:t>同一设备编制</w:t>
            </w:r>
            <w:r>
              <w:rPr>
                <w:rFonts w:hint="eastAsia" w:ascii="宋体" w:hAnsi="宋体" w:cs="宋体"/>
                <w:color w:val="FF0000"/>
                <w:szCs w:val="21"/>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5</w:t>
            </w:r>
          </w:p>
        </w:tc>
        <w:tc>
          <w:tcPr>
            <w:tcW w:w="77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提供</w:t>
            </w:r>
            <w:r>
              <w:rPr>
                <w:rFonts w:hint="eastAsia" w:ascii="宋体" w:hAnsi="宋体" w:cs="宋体"/>
                <w:b/>
                <w:bCs/>
                <w:color w:val="FF0000"/>
                <w:szCs w:val="21"/>
              </w:rPr>
              <w:t>未经出具机构核实</w:t>
            </w:r>
            <w:r>
              <w:rPr>
                <w:rFonts w:hint="eastAsia" w:ascii="宋体" w:hAnsi="宋体" w:cs="宋体"/>
                <w:color w:val="FF0000"/>
                <w:szCs w:val="21"/>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6</w:t>
            </w:r>
          </w:p>
        </w:tc>
        <w:tc>
          <w:tcPr>
            <w:tcW w:w="77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擅自将投标密钥或电子营业执照出借他人使用或未妥善保管。</w:t>
            </w:r>
          </w:p>
        </w:tc>
      </w:tr>
    </w:tbl>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（六）恶意投诉的；</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pPr>
        <w:pBdr>
          <w:top w:val="none" w:color="auto" w:sz="0" w:space="1"/>
          <w:left w:val="none" w:color="auto" w:sz="0" w:space="4"/>
          <w:bottom w:val="none" w:color="auto" w:sz="0" w:space="1"/>
          <w:right w:val="none" w:color="auto" w:sz="0" w:space="4"/>
        </w:pBdr>
        <w:ind w:firstLine="402" w:firstLineChars="200"/>
        <w:rPr>
          <w:rFonts w:ascii="宋体" w:hAnsi="宋体"/>
          <w:color w:val="FF0000"/>
          <w:sz w:val="20"/>
          <w:szCs w:val="20"/>
        </w:rPr>
      </w:pPr>
      <w:r>
        <w:rPr>
          <w:rFonts w:hint="eastAsia" w:ascii="宋体" w:hAnsi="宋体"/>
          <w:b/>
          <w:bCs/>
          <w:color w:val="FF0000"/>
          <w:sz w:val="20"/>
          <w:szCs w:val="20"/>
        </w:rPr>
        <w:t xml:space="preserve">二、《深圳经济特区政府采购条例实施细则》第七十五条 </w:t>
      </w:r>
      <w:r>
        <w:rPr>
          <w:rFonts w:hint="eastAsia" w:ascii="宋体" w:hAnsi="宋体"/>
          <w:color w:val="FF0000"/>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pBdr>
          <w:top w:val="none" w:color="auto" w:sz="0" w:space="1"/>
          <w:left w:val="none" w:color="auto" w:sz="0" w:space="4"/>
          <w:bottom w:val="none" w:color="auto" w:sz="0" w:space="1"/>
          <w:right w:val="none" w:color="auto" w:sz="0" w:space="4"/>
        </w:pBdr>
        <w:ind w:firstLine="402" w:firstLineChars="200"/>
        <w:rPr>
          <w:rFonts w:ascii="宋体" w:hAnsi="宋体"/>
          <w:color w:val="FF0000"/>
          <w:sz w:val="20"/>
          <w:szCs w:val="20"/>
        </w:rPr>
      </w:pPr>
      <w:r>
        <w:rPr>
          <w:rFonts w:hint="eastAsia" w:ascii="宋体" w:hAnsi="宋体"/>
          <w:b/>
          <w:bCs/>
          <w:color w:val="FF0000"/>
          <w:sz w:val="20"/>
          <w:szCs w:val="20"/>
        </w:rPr>
        <w:t xml:space="preserve">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四、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为避免出现不同供应商投标文件的文件制作机器码、文件创建标识码、IP地址一致的异常情况，建议各供应商编制、上传投标文件时不要使用公共电脑设备或公共网络。</w:t>
      </w:r>
    </w:p>
    <w:p>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olor w:val="FF0000"/>
          <w:sz w:val="20"/>
          <w:szCs w:val="20"/>
        </w:rPr>
        <w:t>取消参与本市政府采购资格</w:t>
      </w:r>
      <w:r>
        <w:rPr>
          <w:rFonts w:hint="eastAsia" w:hAnsi="宋体"/>
          <w:color w:val="FF0000"/>
          <w:sz w:val="20"/>
          <w:szCs w:val="20"/>
        </w:rPr>
        <w:t>、</w:t>
      </w:r>
      <w:r>
        <w:rPr>
          <w:rFonts w:hint="eastAsia" w:ascii="宋体" w:hAnsi="宋体"/>
          <w:color w:val="FF0000"/>
          <w:sz w:val="20"/>
          <w:szCs w:val="20"/>
        </w:rPr>
        <w:t>依法吊销其营业</w:t>
      </w:r>
      <w:r>
        <w:rPr>
          <w:rFonts w:hint="eastAsia" w:hAnsi="宋体"/>
          <w:color w:val="FF0000"/>
          <w:sz w:val="20"/>
          <w:szCs w:val="20"/>
        </w:rPr>
        <w:t>执照等行政处罚，</w:t>
      </w:r>
      <w:r>
        <w:rPr>
          <w:rFonts w:hint="eastAsia" w:ascii="宋体" w:hAnsi="宋体"/>
          <w:color w:val="FF0000"/>
          <w:sz w:val="20"/>
          <w:szCs w:val="20"/>
        </w:rPr>
        <w:t>构成犯罪的，依法追究刑事责任</w:t>
      </w:r>
      <w:r>
        <w:rPr>
          <w:rFonts w:hint="eastAsia"/>
          <w:bCs/>
          <w:color w:val="FF0000"/>
          <w:sz w:val="20"/>
          <w:szCs w:val="20"/>
        </w:rPr>
        <w:t>，请各供应商独立编制、上传投标文件，妥善保管和使用电子秘钥。</w:t>
      </w:r>
    </w:p>
    <w:p>
      <w:pPr>
        <w:pBdr>
          <w:top w:val="none" w:color="auto" w:sz="0" w:space="1"/>
          <w:left w:val="none" w:color="auto" w:sz="0" w:space="4"/>
          <w:bottom w:val="none" w:color="auto" w:sz="0" w:space="1"/>
          <w:right w:val="none" w:color="auto" w:sz="0" w:space="4"/>
        </w:pBdr>
        <w:ind w:firstLine="422" w:firstLineChars="200"/>
      </w:pPr>
      <w:r>
        <w:rPr>
          <w:rFonts w:hint="eastAsia"/>
          <w:b/>
          <w:color w:val="FF0000"/>
        </w:rPr>
        <w:t>五、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pPr>
        <w:pStyle w:val="2"/>
        <w:pBdr>
          <w:top w:val="none" w:color="auto" w:sz="0" w:space="1"/>
          <w:left w:val="none" w:color="auto" w:sz="0" w:space="4"/>
          <w:bottom w:val="none" w:color="auto" w:sz="0" w:space="1"/>
          <w:right w:val="none" w:color="auto" w:sz="0" w:space="4"/>
        </w:pBdr>
        <w:rPr>
          <w:bCs/>
          <w:color w:val="FF0000"/>
          <w:sz w:val="20"/>
          <w:szCs w:val="20"/>
        </w:rPr>
      </w:pPr>
    </w:p>
    <w:p>
      <w:pPr>
        <w:widowControl/>
        <w:pBdr>
          <w:top w:val="none" w:color="auto" w:sz="0" w:space="1"/>
          <w:left w:val="none" w:color="auto" w:sz="0" w:space="4"/>
          <w:bottom w:val="none" w:color="auto" w:sz="0" w:space="1"/>
          <w:right w:val="none" w:color="auto" w:sz="0" w:space="4"/>
        </w:pBdr>
        <w:spacing w:beforeAutospacing="1" w:afterAutospacing="1"/>
        <w:outlineLvl w:val="1"/>
        <w:rPr>
          <w:b/>
          <w:color w:val="FF0000"/>
        </w:rPr>
      </w:pPr>
      <w:r>
        <w:rPr>
          <w:rFonts w:hint="eastAsia"/>
          <w:b/>
          <w:color w:val="FF0000"/>
        </w:rPr>
        <w:t>注：“特别警示条款”和《政府采购违法行为风险知悉确认书》用于对供应商违法行为的提醒，不作为供应商资格性审查及符合性审查条件。</w:t>
      </w:r>
    </w:p>
    <w:p>
      <w:pPr>
        <w:pStyle w:val="40"/>
        <w:widowControl/>
        <w:jc w:val="center"/>
        <w:outlineLvl w:val="1"/>
        <w:rPr>
          <w:rFonts w:ascii="黑体" w:hAnsi="宋体" w:eastAsia="黑体" w:cs="黑体"/>
          <w:sz w:val="40"/>
          <w:szCs w:val="40"/>
        </w:rPr>
      </w:pPr>
    </w:p>
    <w:p>
      <w:pPr>
        <w:pStyle w:val="40"/>
        <w:widowControl/>
        <w:jc w:val="center"/>
        <w:outlineLvl w:val="1"/>
        <w:rPr>
          <w:rFonts w:ascii="黑体" w:hAnsi="宋体" w:eastAsia="黑体" w:cs="黑体"/>
          <w:sz w:val="40"/>
          <w:szCs w:val="40"/>
        </w:rPr>
      </w:pPr>
    </w:p>
    <w:p>
      <w:pPr>
        <w:pStyle w:val="40"/>
        <w:widowControl/>
        <w:jc w:val="center"/>
        <w:outlineLvl w:val="1"/>
        <w:rPr>
          <w:rFonts w:ascii="黑体" w:hAnsi="宋体" w:eastAsia="黑体" w:cs="黑体"/>
          <w:sz w:val="40"/>
          <w:szCs w:val="40"/>
        </w:rPr>
      </w:pPr>
    </w:p>
    <w:p>
      <w:pPr>
        <w:pStyle w:val="40"/>
        <w:widowControl/>
        <w:jc w:val="center"/>
        <w:outlineLvl w:val="1"/>
        <w:rPr>
          <w:rFonts w:ascii="黑体" w:hAnsi="宋体" w:eastAsia="黑体" w:cs="黑体"/>
          <w:sz w:val="40"/>
          <w:szCs w:val="40"/>
        </w:rPr>
      </w:pPr>
    </w:p>
    <w:p>
      <w:pPr>
        <w:pStyle w:val="40"/>
        <w:widowControl/>
        <w:jc w:val="center"/>
        <w:outlineLvl w:val="1"/>
        <w:rPr>
          <w:rFonts w:ascii="黑体" w:hAnsi="宋体" w:eastAsia="黑体" w:cs="黑体"/>
          <w:sz w:val="40"/>
          <w:szCs w:val="40"/>
        </w:rPr>
      </w:pPr>
    </w:p>
    <w:p>
      <w:pPr>
        <w:pStyle w:val="40"/>
        <w:widowControl/>
        <w:jc w:val="center"/>
        <w:outlineLvl w:val="1"/>
        <w:rPr>
          <w:rFonts w:ascii="黑体" w:hAnsi="宋体" w:eastAsia="黑体" w:cs="黑体"/>
          <w:sz w:val="40"/>
          <w:szCs w:val="40"/>
        </w:rPr>
      </w:pPr>
    </w:p>
    <w:p>
      <w:pPr>
        <w:pStyle w:val="40"/>
        <w:widowControl/>
        <w:jc w:val="center"/>
        <w:outlineLvl w:val="1"/>
        <w:rPr>
          <w:rFonts w:ascii="黑体" w:hAnsi="宋体" w:eastAsia="黑体" w:cs="黑体"/>
          <w:sz w:val="40"/>
          <w:szCs w:val="40"/>
        </w:rPr>
      </w:pPr>
    </w:p>
    <w:p>
      <w:pPr>
        <w:pStyle w:val="40"/>
        <w:widowControl/>
        <w:jc w:val="center"/>
        <w:outlineLvl w:val="1"/>
        <w:rPr>
          <w:rFonts w:ascii="黑体" w:hAnsi="宋体" w:eastAsia="黑体" w:cs="黑体"/>
          <w:sz w:val="40"/>
          <w:szCs w:val="40"/>
        </w:rPr>
      </w:pPr>
    </w:p>
    <w:p>
      <w:pPr>
        <w:pStyle w:val="40"/>
        <w:widowControl/>
        <w:jc w:val="center"/>
        <w:outlineLvl w:val="1"/>
        <w:rPr>
          <w:rFonts w:ascii="黑体" w:hAnsi="宋体" w:eastAsia="黑体" w:cs="黑体"/>
          <w:sz w:val="40"/>
          <w:szCs w:val="40"/>
        </w:rPr>
      </w:pPr>
    </w:p>
    <w:p>
      <w:pPr>
        <w:pStyle w:val="40"/>
        <w:widowControl/>
        <w:jc w:val="center"/>
        <w:outlineLvl w:val="1"/>
        <w:rPr>
          <w:rFonts w:ascii="黑体" w:hAnsi="宋体" w:eastAsia="黑体" w:cs="黑体"/>
          <w:sz w:val="40"/>
          <w:szCs w:val="40"/>
        </w:rPr>
      </w:pPr>
      <w:r>
        <w:rPr>
          <w:rFonts w:hint="eastAsia" w:ascii="黑体" w:hAnsi="宋体" w:eastAsia="黑体" w:cs="黑体"/>
          <w:sz w:val="40"/>
          <w:szCs w:val="40"/>
        </w:rPr>
        <w:t>招标文件信息</w:t>
      </w:r>
    </w:p>
    <w:tbl>
      <w:tblPr>
        <w:tblStyle w:val="44"/>
        <w:tblW w:w="7943" w:type="dxa"/>
        <w:jc w:val="center"/>
        <w:tblCellSpacing w:w="0" w:type="dxa"/>
        <w:tblLayout w:type="fixed"/>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项目编号：</w:t>
            </w:r>
          </w:p>
        </w:tc>
        <w:tc>
          <w:tcPr>
            <w:tcW w:w="5220" w:type="dxa"/>
            <w:shd w:val="clear" w:color="auto" w:fill="auto"/>
            <w:vAlign w:val="center"/>
          </w:tcPr>
          <w:p>
            <w:pPr>
              <w:widowControl/>
              <w:jc w:val="left"/>
              <w:rPr>
                <w:sz w:val="30"/>
                <w:szCs w:val="30"/>
              </w:rPr>
            </w:pPr>
            <w:r>
              <w:rPr>
                <w:rFonts w:hint="eastAsia"/>
                <w:sz w:val="30"/>
                <w:szCs w:val="30"/>
              </w:rPr>
              <w:t>SZZXCG-2025-00206</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项目名称：</w:t>
            </w:r>
          </w:p>
        </w:tc>
        <w:tc>
          <w:tcPr>
            <w:tcW w:w="5220" w:type="dxa"/>
            <w:shd w:val="clear" w:color="auto" w:fill="auto"/>
            <w:vAlign w:val="center"/>
          </w:tcPr>
          <w:p>
            <w:pPr>
              <w:widowControl/>
              <w:jc w:val="left"/>
              <w:rPr>
                <w:sz w:val="30"/>
                <w:szCs w:val="30"/>
              </w:rPr>
            </w:pPr>
            <w:r>
              <w:rPr>
                <w:rFonts w:hint="eastAsia"/>
                <w:sz w:val="30"/>
                <w:szCs w:val="30"/>
              </w:rPr>
              <w:t>深圳北理莫斯科大学</w:t>
            </w:r>
            <w:bookmarkStart w:id="1" w:name="_Hlk198571617"/>
            <w:r>
              <w:rPr>
                <w:rFonts w:hint="eastAsia"/>
                <w:sz w:val="30"/>
                <w:szCs w:val="30"/>
              </w:rPr>
              <w:t>工程系脑电分析仪采购项目</w:t>
            </w:r>
            <w:bookmarkEnd w:id="1"/>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 xml:space="preserve">包 </w:t>
            </w:r>
            <w:r>
              <w:rPr>
                <w:rFonts w:hint="eastAsia" w:ascii="宋体" w:hAnsi="宋体" w:cs="宋体"/>
                <w:kern w:val="0"/>
                <w:sz w:val="30"/>
                <w:szCs w:val="30"/>
                <w:lang w:bidi="ar"/>
              </w:rPr>
              <w:t xml:space="preserve">   </w:t>
            </w:r>
            <w:r>
              <w:rPr>
                <w:rFonts w:ascii="宋体" w:hAnsi="宋体" w:cs="宋体"/>
                <w:kern w:val="0"/>
                <w:sz w:val="30"/>
                <w:szCs w:val="30"/>
                <w:lang w:bidi="ar"/>
              </w:rPr>
              <w:t>号：</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A</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项目类型：</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货物类</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采购方式：</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公开招标</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货币类型：</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评标方法：</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综合评分法</w:t>
            </w:r>
          </w:p>
        </w:tc>
      </w:tr>
      <w:bookmarkEnd w:id="0"/>
    </w:tbl>
    <w:p>
      <w:pPr>
        <w:pStyle w:val="40"/>
        <w:widowControl/>
        <w:jc w:val="center"/>
        <w:outlineLvl w:val="1"/>
        <w:rPr>
          <w:rFonts w:ascii="黑体" w:hAnsi="宋体" w:eastAsia="黑体" w:cs="黑体"/>
          <w:sz w:val="40"/>
          <w:szCs w:val="40"/>
        </w:rPr>
        <w:sectPr>
          <w:headerReference r:id="rId3" w:type="first"/>
          <w:footerReference r:id="rId4" w:type="default"/>
          <w:footerReference r:id="rId5" w:type="even"/>
          <w:pgSz w:w="11907" w:h="16840"/>
          <w:pgMar w:top="1440" w:right="1418" w:bottom="1440" w:left="1418" w:header="851" w:footer="992" w:gutter="0"/>
          <w:cols w:space="425" w:num="1"/>
          <w:titlePg/>
          <w:docGrid w:linePitch="462" w:charSpace="0"/>
        </w:sectPr>
      </w:pPr>
    </w:p>
    <w:p>
      <w:pPr>
        <w:pStyle w:val="40"/>
        <w:widowControl/>
        <w:jc w:val="center"/>
        <w:outlineLvl w:val="1"/>
        <w:rPr>
          <w:rFonts w:ascii="黑体" w:hAnsi="宋体" w:eastAsia="黑体" w:cs="黑体"/>
          <w:sz w:val="40"/>
          <w:szCs w:val="40"/>
        </w:rPr>
      </w:pPr>
      <w:r>
        <w:rPr>
          <w:rFonts w:hint="eastAsia" w:ascii="黑体" w:hAnsi="宋体" w:eastAsia="黑体" w:cs="黑体"/>
          <w:sz w:val="40"/>
          <w:szCs w:val="40"/>
        </w:rPr>
        <w:t>资格性审查表</w:t>
      </w:r>
    </w:p>
    <w:tbl>
      <w:tblPr>
        <w:tblStyle w:val="44"/>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lang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lang w:bidi="ar"/>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pPr>
        <w:pStyle w:val="40"/>
        <w:widowControl/>
        <w:spacing w:before="280" w:beforeAutospacing="0"/>
        <w:jc w:val="center"/>
        <w:outlineLvl w:val="1"/>
        <w:rPr>
          <w:rFonts w:ascii="黑体" w:hAnsi="宋体" w:eastAsia="黑体" w:cs="黑体"/>
          <w:sz w:val="40"/>
          <w:szCs w:val="40"/>
        </w:rPr>
      </w:pPr>
      <w:r>
        <w:rPr>
          <w:rFonts w:hint="eastAsia" w:ascii="黑体" w:hAnsi="宋体" w:eastAsia="黑体" w:cs="黑体"/>
          <w:sz w:val="40"/>
          <w:szCs w:val="40"/>
        </w:rPr>
        <w:t>符合性审查表</w:t>
      </w:r>
    </w:p>
    <w:tbl>
      <w:tblPr>
        <w:tblStyle w:val="44"/>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lang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rPr>
                <w:szCs w:val="21"/>
              </w:rPr>
            </w:pPr>
            <w:r>
              <w:rPr>
                <w:rFonts w:hint="eastAsia"/>
              </w:rPr>
              <w:t>不得将一个包的内容拆开投标；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rPr>
                <w:szCs w:val="21"/>
              </w:rPr>
            </w:pPr>
            <w:r>
              <w:rPr>
                <w:rFonts w:hint="eastAsia"/>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rPr>
                <w:szCs w:val="21"/>
              </w:rPr>
            </w:pPr>
            <w:r>
              <w:rPr>
                <w:rFonts w:hint="eastAsia"/>
              </w:rPr>
              <w:t>分项报价或投标总价不得高于相应预算金额（或设定的预算金额下的最高限价）；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rPr>
                <w:szCs w:val="21"/>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rPr>
                <w:szCs w:val="21"/>
              </w:rPr>
            </w:pPr>
            <w:r>
              <w:rPr>
                <w:rFonts w:hint="eastAsia"/>
              </w:rPr>
              <w:t>未按招标文件所提供的样式填写《投标函》；未按招标文件所提供的《政府采购投标及履约承诺函》进行承诺；未按招标文件对投标文件组成的要求提供投标文件；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pPr>
            <w:r>
              <w:rPr>
                <w:rFonts w:hint="eastAsia"/>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r>
              <w:rPr>
                <w:rFonts w:hint="eastAsia"/>
                <w:color w:val="FF0000"/>
              </w:rPr>
              <w:t>采购标的/服务清单/报价等任意一类有缺漏项或响应不全，</w:t>
            </w:r>
            <w:r>
              <w:rPr>
                <w:rFonts w:hint="eastAsia"/>
              </w:rPr>
              <w:t>或者对招标文件规定的项目需求内容或者需求数量进行修改</w:t>
            </w:r>
            <w:r>
              <w:rPr>
                <w:rFonts w:hint="eastAsia"/>
                <w:szCs w:val="21"/>
              </w:rPr>
              <w:t>，评审委员会判定投标响应不满足采购需求</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rPr>
                <w:szCs w:val="21"/>
              </w:rPr>
            </w:pPr>
            <w:r>
              <w:rPr>
                <w:rFonts w:hint="eastAsia"/>
              </w:rPr>
              <w:t>投标文件电子文档不得带病毒；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rPr>
                <w:szCs w:val="21"/>
              </w:rPr>
            </w:pPr>
            <w:r>
              <w:rPr>
                <w:rFonts w:hint="eastAsia"/>
              </w:rPr>
              <w:t>投标文件用不属于本公司的电子密钥或电子营业执照进行加密的；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0"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pPr>
            <w:r>
              <w:rPr>
                <w:rFonts w:ascii="宋体" w:hAnsi="宋体" w:cs="宋体"/>
                <w:kern w:val="0"/>
                <w:szCs w:val="21"/>
                <w:lang w:bidi="ar"/>
              </w:rPr>
              <w:t>1</w:t>
            </w:r>
            <w:r>
              <w:rPr>
                <w:rFonts w:hint="eastAsia" w:ascii="宋体" w:hAnsi="宋体" w:cs="宋体"/>
                <w:kern w:val="0"/>
                <w:szCs w:val="21"/>
                <w:lang w:bidi="ar"/>
              </w:rPr>
              <w:t>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r>
              <w:rPr>
                <w:rFonts w:hint="eastAsia"/>
              </w:rPr>
              <w:t>法律、法规、规章、规范性文件规定的其他情形。</w:t>
            </w:r>
          </w:p>
        </w:tc>
      </w:tr>
    </w:tbl>
    <w:p>
      <w:pPr>
        <w:pStyle w:val="40"/>
        <w:widowControl/>
        <w:jc w:val="center"/>
        <w:outlineLvl w:val="1"/>
        <w:rPr>
          <w:rFonts w:ascii="黑体" w:hAnsi="宋体" w:eastAsia="黑体" w:cs="黑体"/>
          <w:sz w:val="40"/>
          <w:szCs w:val="40"/>
        </w:rPr>
        <w:sectPr>
          <w:pgSz w:w="11907" w:h="16840"/>
          <w:pgMar w:top="1440" w:right="1418" w:bottom="1440" w:left="1418" w:header="851" w:footer="992" w:gutter="0"/>
          <w:cols w:space="425" w:num="1"/>
          <w:titlePg/>
          <w:docGrid w:linePitch="462" w:charSpace="0"/>
        </w:sectPr>
      </w:pPr>
    </w:p>
    <w:p>
      <w:pPr>
        <w:pStyle w:val="40"/>
        <w:widowControl/>
        <w:jc w:val="center"/>
        <w:outlineLvl w:val="1"/>
        <w:rPr>
          <w:rFonts w:ascii="黑体" w:hAnsi="宋体" w:eastAsia="黑体" w:cs="黑体"/>
          <w:sz w:val="40"/>
          <w:szCs w:val="40"/>
        </w:rPr>
      </w:pPr>
      <w:r>
        <w:rPr>
          <w:rFonts w:hint="eastAsia" w:ascii="黑体" w:hAnsi="宋体" w:eastAsia="黑体" w:cs="黑体"/>
          <w:sz w:val="40"/>
          <w:szCs w:val="40"/>
        </w:rPr>
        <w:t>评标信息</w:t>
      </w:r>
    </w:p>
    <w:tbl>
      <w:tblPr>
        <w:tblStyle w:val="44"/>
        <w:tblW w:w="9141"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63"/>
        <w:gridCol w:w="618"/>
        <w:gridCol w:w="681"/>
        <w:gridCol w:w="2837"/>
        <w:gridCol w:w="681"/>
        <w:gridCol w:w="4198"/>
        <w:gridCol w:w="6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gridBefore w:val="1"/>
          <w:wBefore w:w="63" w:type="dxa"/>
          <w:tblCellSpacing w:w="0" w:type="dxa"/>
          <w:jc w:val="center"/>
        </w:trPr>
        <w:tc>
          <w:tcPr>
            <w:tcW w:w="9078" w:type="dxa"/>
            <w:gridSpan w:val="6"/>
            <w:shd w:val="clear" w:color="auto" w:fill="auto"/>
            <w:vAlign w:val="center"/>
          </w:tcPr>
          <w:p>
            <w:pPr>
              <w:jc w:val="left"/>
              <w:rPr>
                <w:rFonts w:ascii="宋体" w:hAnsi="宋体" w:cs="宋体"/>
                <w:b/>
                <w:bCs/>
                <w:sz w:val="24"/>
              </w:rPr>
            </w:pPr>
            <w:r>
              <w:rPr>
                <w:rFonts w:hint="eastAsia" w:ascii="宋体" w:hAnsi="宋体" w:cs="宋体"/>
                <w:b/>
                <w:bCs/>
              </w:rPr>
              <w:t>评标方法：综合评分法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gridBefore w:val="1"/>
          <w:wBefore w:w="63" w:type="dxa"/>
          <w:tblCellSpacing w:w="0" w:type="dxa"/>
          <w:jc w:val="center"/>
        </w:trPr>
        <w:tc>
          <w:tcPr>
            <w:tcW w:w="9078" w:type="dxa"/>
            <w:gridSpan w:val="6"/>
            <w:shd w:val="clear" w:color="auto" w:fill="auto"/>
            <w:vAlign w:val="center"/>
          </w:tcPr>
          <w:p>
            <w:pPr>
              <w:ind w:firstLine="420" w:firstLineChars="200"/>
              <w:rPr>
                <w:rFonts w:ascii="宋体" w:hAnsi="宋体" w:cs="宋体"/>
                <w:szCs w:val="21"/>
              </w:rPr>
            </w:pPr>
            <w:r>
              <w:rPr>
                <w:rFonts w:hint="eastAsia" w:ascii="宋体" w:hAnsi="宋体" w:cs="宋体"/>
                <w:szCs w:val="21"/>
              </w:rPr>
              <w:t>综合评分法，综合评分法，是指投标文件满足招标文件全部实质性要求，且按照评审因素的量化指标评审得分最高的投标人为中标候选人的评标方法。</w:t>
            </w:r>
          </w:p>
          <w:p>
            <w:pPr>
              <w:ind w:firstLine="420"/>
              <w:rPr>
                <w:rFonts w:ascii="宋体" w:hAnsi="宋体" w:cs="宋体"/>
              </w:rPr>
            </w:pPr>
          </w:p>
          <w:p>
            <w:pPr>
              <w:ind w:firstLine="420"/>
              <w:rPr>
                <w:rFonts w:ascii="宋体" w:hAnsi="宋体" w:cs="宋体"/>
                <w:szCs w:val="21"/>
              </w:rPr>
            </w:pPr>
            <w:r>
              <w:rPr>
                <w:rFonts w:hint="eastAsia" w:ascii="宋体" w:hAnsi="宋体" w:cs="宋体"/>
                <w:szCs w:val="21"/>
              </w:rPr>
              <w:t>价格分计算方法：</w:t>
            </w:r>
          </w:p>
          <w:p>
            <w:pPr>
              <w:pStyle w:val="40"/>
              <w:widowControl/>
              <w:spacing w:beforeAutospacing="0" w:afterAutospacing="0"/>
              <w:ind w:left="420"/>
              <w:rPr>
                <w:rFonts w:ascii="宋体" w:hAnsi="宋体" w:cs="宋体"/>
                <w:kern w:val="2"/>
                <w:sz w:val="21"/>
                <w:szCs w:val="21"/>
              </w:rPr>
            </w:pPr>
            <w:r>
              <w:rPr>
                <w:rFonts w:hint="eastAsia" w:ascii="宋体" w:hAnsi="宋体" w:cs="宋体"/>
                <w:kern w:val="2"/>
                <w:sz w:val="21"/>
                <w:szCs w:val="21"/>
              </w:rPr>
              <w:t xml:space="preserve">采用低价优先法计算，即满足招标文件要求且投标价格最低的投标报价为评标基准价，其价格分为满分。其他投标人的价格分统一按照下列公式计算： </w:t>
            </w:r>
            <w:r>
              <w:rPr>
                <w:rFonts w:hint="eastAsia" w:ascii="宋体" w:hAnsi="宋体" w:cs="宋体"/>
                <w:kern w:val="2"/>
                <w:sz w:val="21"/>
                <w:szCs w:val="21"/>
              </w:rPr>
              <w:br w:type="textWrapping"/>
            </w:r>
            <w:r>
              <w:rPr>
                <w:rFonts w:hint="eastAsia" w:ascii="宋体" w:hAnsi="宋体" w:cs="宋体"/>
                <w:kern w:val="2"/>
                <w:sz w:val="21"/>
                <w:szCs w:val="21"/>
              </w:rPr>
              <w:t xml:space="preserve">投标报价得分=(评标基准价／投标报价)×100 </w:t>
            </w:r>
            <w:r>
              <w:rPr>
                <w:rFonts w:hint="eastAsia" w:ascii="宋体" w:hAnsi="宋体" w:cs="宋体"/>
                <w:kern w:val="2"/>
                <w:sz w:val="21"/>
                <w:szCs w:val="21"/>
              </w:rPr>
              <w:br w:type="textWrapping"/>
            </w:r>
            <w:r>
              <w:rPr>
                <w:rFonts w:hint="eastAsia" w:ascii="宋体" w:hAnsi="宋体" w:cs="宋体"/>
                <w:kern w:val="2"/>
                <w:sz w:val="21"/>
                <w:szCs w:val="21"/>
              </w:rPr>
              <w:t xml:space="preserve">评标总得分＝F1×A1＋F2×A2＋……＋Fn×An </w:t>
            </w:r>
            <w:r>
              <w:rPr>
                <w:rFonts w:hint="eastAsia" w:ascii="宋体" w:hAnsi="宋体" w:cs="宋体"/>
                <w:kern w:val="2"/>
                <w:sz w:val="21"/>
                <w:szCs w:val="21"/>
              </w:rPr>
              <w:br w:type="textWrapping"/>
            </w:r>
            <w:r>
              <w:rPr>
                <w:rFonts w:hint="eastAsia" w:ascii="宋体" w:hAnsi="宋体" w:cs="宋体"/>
                <w:kern w:val="2"/>
                <w:sz w:val="21"/>
                <w:szCs w:val="21"/>
              </w:rPr>
              <w:t xml:space="preserve">F1、F2……Fn分别为各项评审因素的得分； </w:t>
            </w:r>
            <w:r>
              <w:rPr>
                <w:rFonts w:hint="eastAsia" w:ascii="宋体" w:hAnsi="宋体" w:cs="宋体"/>
                <w:kern w:val="2"/>
                <w:sz w:val="21"/>
                <w:szCs w:val="21"/>
              </w:rPr>
              <w:br w:type="textWrapping"/>
            </w:r>
            <w:r>
              <w:rPr>
                <w:rFonts w:hint="eastAsia" w:ascii="宋体" w:hAnsi="宋体" w:cs="宋体"/>
                <w:kern w:val="2"/>
                <w:sz w:val="21"/>
                <w:szCs w:val="21"/>
              </w:rPr>
              <w:t xml:space="preserve">A1、A2、……An 分别为各项评审因素所占的权重(A1＋A2＋……＋An＝1)。 </w:t>
            </w:r>
            <w:r>
              <w:rPr>
                <w:rFonts w:hint="eastAsia" w:ascii="宋体" w:hAnsi="宋体" w:cs="宋体"/>
                <w:kern w:val="2"/>
                <w:sz w:val="21"/>
                <w:szCs w:val="21"/>
              </w:rPr>
              <w:br w:type="textWrapping"/>
            </w:r>
            <w:r>
              <w:rPr>
                <w:rFonts w:hint="eastAsia" w:ascii="宋体" w:hAnsi="宋体" w:cs="宋体"/>
                <w:kern w:val="2"/>
                <w:sz w:val="21"/>
                <w:szCs w:val="21"/>
              </w:rPr>
              <w:t>评标过程中，不得去掉报价中的最高报价和最低报价。</w:t>
            </w:r>
          </w:p>
          <w:p>
            <w:pPr>
              <w:pStyle w:val="40"/>
              <w:widowControl/>
              <w:spacing w:beforeAutospacing="0" w:afterAutospacing="0"/>
              <w:ind w:left="420"/>
              <w:rPr>
                <w:rFonts w:ascii="宋体" w:hAnsi="宋体" w:cs="宋体"/>
                <w:kern w:val="2"/>
                <w:sz w:val="21"/>
                <w:szCs w:val="21"/>
              </w:rPr>
            </w:pPr>
            <w:r>
              <w:rPr>
                <w:rFonts w:hint="eastAsia" w:ascii="宋体" w:hAnsi="宋体" w:cs="宋体"/>
                <w:kern w:val="2"/>
                <w:sz w:val="21"/>
                <w:szCs w:val="21"/>
              </w:rPr>
              <w:t>因落实政府采购政策进行价格调整的，以调整后的价格计算评标基准价和投标报价。</w:t>
            </w:r>
          </w:p>
          <w:p>
            <w:pPr>
              <w:pStyle w:val="40"/>
              <w:widowControl/>
              <w:spacing w:beforeAutospacing="0" w:afterAutospacing="0"/>
              <w:ind w:left="420"/>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rHeight w:val="90" w:hRule="atLeast"/>
          <w:tblCellSpacing w:w="0" w:type="dxa"/>
          <w:jc w:val="center"/>
        </w:trPr>
        <w:tc>
          <w:tcPr>
            <w:tcW w:w="681" w:type="dxa"/>
            <w:gridSpan w:val="2"/>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wordWrap w:val="0"/>
              <w:jc w:val="center"/>
              <w:rPr>
                <w:rFonts w:ascii="宋体" w:hAnsi="宋体" w:cs="宋体"/>
                <w:b/>
                <w:bCs/>
                <w:sz w:val="24"/>
              </w:rPr>
            </w:pPr>
            <w:bookmarkStart w:id="2" w:name="_Hlk72360569"/>
            <w:r>
              <w:rPr>
                <w:rFonts w:hint="eastAsia" w:ascii="宋体" w:hAnsi="宋体" w:cs="宋体"/>
                <w:b/>
                <w:bCs/>
                <w:kern w:val="0"/>
                <w:sz w:val="24"/>
                <w:lang w:bidi="ar"/>
              </w:rPr>
              <w:t>序号</w:t>
            </w:r>
          </w:p>
        </w:tc>
        <w:tc>
          <w:tcPr>
            <w:tcW w:w="4199"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wordWrap w:val="0"/>
              <w:jc w:val="center"/>
              <w:rPr>
                <w:rFonts w:ascii="宋体" w:hAnsi="宋体" w:cs="宋体"/>
                <w:b/>
                <w:bCs/>
                <w:sz w:val="24"/>
              </w:rPr>
            </w:pPr>
            <w:r>
              <w:rPr>
                <w:rFonts w:hint="eastAsia" w:ascii="宋体" w:hAnsi="宋体" w:cs="宋体"/>
                <w:b/>
                <w:bCs/>
                <w:kern w:val="0"/>
                <w:sz w:val="24"/>
                <w:lang w:bidi="ar"/>
              </w:rPr>
              <w:t>评分项</w:t>
            </w:r>
          </w:p>
        </w:tc>
        <w:tc>
          <w:tcPr>
            <w:tcW w:w="4198"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wordWrap w:val="0"/>
              <w:jc w:val="center"/>
              <w:rPr>
                <w:rFonts w:ascii="宋体" w:hAnsi="宋体" w:cs="宋体"/>
                <w:b/>
                <w:bCs/>
                <w:sz w:val="24"/>
              </w:rPr>
            </w:pPr>
            <w:r>
              <w:rPr>
                <w:rFonts w:hint="eastAsia" w:ascii="宋体" w:hAnsi="宋体" w:cs="宋体"/>
                <w:b/>
                <w:bCs/>
                <w:kern w:val="0"/>
                <w:sz w:val="24"/>
                <w:lang w:bidi="ar"/>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rFonts w:ascii="宋体" w:hAnsi="宋体" w:cs="宋体"/>
                <w:b/>
                <w:bCs/>
                <w:color w:val="0000FF"/>
                <w:sz w:val="24"/>
              </w:rPr>
            </w:pPr>
            <w:r>
              <w:rPr>
                <w:rFonts w:hint="eastAsia" w:ascii="宋体" w:hAnsi="宋体" w:cs="宋体"/>
                <w:b/>
                <w:bCs/>
                <w:color w:val="0000FF"/>
                <w:kern w:val="0"/>
                <w:sz w:val="24"/>
                <w:lang w:bidi="ar"/>
              </w:rPr>
              <w:t>1</w:t>
            </w:r>
          </w:p>
        </w:tc>
        <w:tc>
          <w:tcPr>
            <w:tcW w:w="419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rFonts w:ascii="宋体" w:hAnsi="宋体" w:cs="宋体"/>
                <w:b/>
                <w:bCs/>
                <w:color w:val="0000FF"/>
                <w:sz w:val="24"/>
              </w:rPr>
            </w:pPr>
            <w:r>
              <w:rPr>
                <w:rFonts w:hint="eastAsia" w:ascii="宋体" w:hAnsi="宋体" w:cs="宋体"/>
                <w:b/>
                <w:bCs/>
                <w:color w:val="0000FF"/>
                <w:kern w:val="0"/>
                <w:sz w:val="24"/>
                <w:lang w:bidi="ar"/>
              </w:rPr>
              <w:t>价格</w:t>
            </w:r>
          </w:p>
        </w:tc>
        <w:tc>
          <w:tcPr>
            <w:tcW w:w="419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rFonts w:ascii="宋体" w:hAnsi="宋体" w:cs="宋体"/>
                <w:b/>
                <w:bCs/>
                <w:color w:val="0000FF"/>
                <w:sz w:val="24"/>
              </w:rPr>
            </w:pPr>
            <w:r>
              <w:rPr>
                <w:rFonts w:hint="eastAsia" w:ascii="宋体" w:hAnsi="宋体" w:cs="宋体"/>
                <w:b/>
                <w:bCs/>
                <w:color w:val="0000FF"/>
                <w:kern w:val="0"/>
                <w:sz w:val="24"/>
                <w:lang w:bidi="ar"/>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restart"/>
            <w:tcBorders>
              <w:top w:val="single" w:color="000000" w:sz="8" w:space="0"/>
              <w:left w:val="single" w:color="000000" w:sz="8" w:space="0"/>
              <w:right w:val="single" w:color="000000" w:sz="8" w:space="0"/>
            </w:tcBorders>
            <w:shd w:val="clear" w:color="auto" w:fill="auto"/>
            <w:vAlign w:val="center"/>
          </w:tcPr>
          <w:p>
            <w:pPr>
              <w:widowControl/>
              <w:wordWrap w:val="0"/>
              <w:jc w:val="center"/>
              <w:rPr>
                <w:rFonts w:ascii="宋体" w:hAnsi="宋体" w:cs="宋体"/>
                <w:b/>
                <w:bCs/>
                <w:color w:val="0000FF"/>
                <w:sz w:val="24"/>
              </w:rPr>
            </w:pPr>
            <w:r>
              <w:rPr>
                <w:rFonts w:hint="eastAsia" w:ascii="宋体" w:hAnsi="宋体" w:cs="宋体"/>
                <w:b/>
                <w:bCs/>
                <w:color w:val="0000FF"/>
                <w:kern w:val="0"/>
                <w:sz w:val="24"/>
                <w:lang w:bidi="ar"/>
              </w:rPr>
              <w:t>2</w:t>
            </w:r>
          </w:p>
        </w:tc>
        <w:tc>
          <w:tcPr>
            <w:tcW w:w="419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rFonts w:ascii="宋体" w:hAnsi="宋体" w:cs="宋体"/>
                <w:b/>
                <w:bCs/>
                <w:color w:val="0000FF"/>
                <w:sz w:val="24"/>
              </w:rPr>
            </w:pPr>
            <w:r>
              <w:rPr>
                <w:rFonts w:hint="eastAsia" w:ascii="宋体" w:hAnsi="宋体" w:cs="宋体"/>
                <w:b/>
                <w:bCs/>
                <w:color w:val="0000FF"/>
                <w:kern w:val="0"/>
                <w:sz w:val="24"/>
                <w:lang w:bidi="ar"/>
              </w:rPr>
              <w:t>技术部分</w:t>
            </w:r>
          </w:p>
        </w:tc>
        <w:tc>
          <w:tcPr>
            <w:tcW w:w="419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rFonts w:ascii="宋体" w:hAnsi="宋体" w:cs="宋体"/>
                <w:b/>
                <w:bCs/>
                <w:color w:val="0000FF"/>
                <w:sz w:val="24"/>
              </w:rPr>
            </w:pPr>
            <w:r>
              <w:rPr>
                <w:rFonts w:hint="eastAsia" w:ascii="宋体" w:hAnsi="宋体" w:cs="宋体"/>
                <w:b/>
                <w:bCs/>
                <w:color w:val="0000FF"/>
                <w:sz w:val="24"/>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continue"/>
            <w:tcBorders>
              <w:left w:val="single" w:color="000000" w:sz="8" w:space="0"/>
              <w:right w:val="single" w:color="000000" w:sz="8" w:space="0"/>
            </w:tcBorders>
            <w:shd w:val="clear" w:color="auto" w:fill="E6EFFA"/>
            <w:vAlign w:val="center"/>
          </w:tcPr>
          <w:p>
            <w:pPr>
              <w:jc w:val="center"/>
              <w:rPr>
                <w:rFonts w:ascii="宋体" w:hAnsi="宋体" w:cs="宋体"/>
                <w:b/>
                <w:bCs/>
                <w:color w:val="0000FF"/>
                <w:sz w:val="24"/>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lang w:bidi="ar"/>
              </w:rPr>
              <w:t>序号</w:t>
            </w:r>
          </w:p>
        </w:tc>
        <w:tc>
          <w:tcPr>
            <w:tcW w:w="2837"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lang w:bidi="ar"/>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lang w:bidi="ar"/>
              </w:rPr>
              <w:t>权重(%)</w:t>
            </w:r>
          </w:p>
        </w:tc>
        <w:tc>
          <w:tcPr>
            <w:tcW w:w="4198"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lang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continue"/>
            <w:tcBorders>
              <w:left w:val="single" w:color="000000" w:sz="8" w:space="0"/>
              <w:right w:val="single" w:color="000000" w:sz="8" w:space="0"/>
            </w:tcBorders>
            <w:shd w:val="clear" w:color="auto" w:fill="auto"/>
            <w:vAlign w:val="center"/>
          </w:tcPr>
          <w:p>
            <w:pPr>
              <w:jc w:val="center"/>
              <w:rPr>
                <w:rFonts w:ascii="宋体" w:hAnsi="宋体" w:cs="宋体"/>
                <w:b/>
                <w:bCs/>
                <w:color w:val="0000FF"/>
                <w:sz w:val="24"/>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textAlignment w:val="top"/>
              <w:rPr>
                <w:rFonts w:ascii="宋体" w:hAnsi="宋体" w:cs="宋体"/>
                <w:szCs w:val="21"/>
              </w:rPr>
            </w:pPr>
            <w:r>
              <w:rPr>
                <w:rFonts w:ascii="宋体" w:hAnsi="宋体" w:cs="宋体"/>
                <w:szCs w:val="21"/>
              </w:rPr>
              <w:t>1</w:t>
            </w:r>
          </w:p>
        </w:tc>
        <w:tc>
          <w:tcPr>
            <w:tcW w:w="28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textAlignment w:val="top"/>
              <w:rPr>
                <w:szCs w:val="21"/>
              </w:rPr>
            </w:pPr>
            <w:r>
              <w:rPr>
                <w:rFonts w:hint="eastAsia"/>
                <w:szCs w:val="21"/>
              </w:rPr>
              <w:t>技术规格偏离情况</w:t>
            </w: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textAlignment w:val="top"/>
              <w:rPr>
                <w:szCs w:val="21"/>
              </w:rPr>
            </w:pPr>
            <w:r>
              <w:rPr>
                <w:szCs w:val="21"/>
              </w:rPr>
              <w:t>50</w:t>
            </w:r>
          </w:p>
        </w:tc>
        <w:tc>
          <w:tcPr>
            <w:tcW w:w="419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left"/>
              <w:textAlignment w:val="top"/>
              <w:rPr>
                <w:b/>
                <w:bCs/>
                <w:szCs w:val="21"/>
              </w:rPr>
            </w:pPr>
            <w:r>
              <w:rPr>
                <w:rFonts w:hint="eastAsia"/>
                <w:b/>
                <w:bCs/>
                <w:szCs w:val="21"/>
              </w:rPr>
              <w:t>（一）评分内容：</w:t>
            </w:r>
          </w:p>
          <w:p>
            <w:pPr>
              <w:widowControl/>
              <w:wordWrap w:val="0"/>
              <w:jc w:val="left"/>
              <w:textAlignment w:val="top"/>
              <w:rPr>
                <w:szCs w:val="21"/>
              </w:rPr>
            </w:pPr>
            <w:r>
              <w:rPr>
                <w:rFonts w:hint="eastAsia"/>
                <w:szCs w:val="21"/>
              </w:rPr>
              <w:t>投标人应如实填写《技术规格偏离表》，评审委员会根据技术需求参数响应情况进行打分，各项技术参数指标及要求全部满足的得100分，“▲”每负偏离一项扣</w:t>
            </w:r>
            <w:r>
              <w:rPr>
                <w:szCs w:val="21"/>
              </w:rPr>
              <w:t>12</w:t>
            </w:r>
            <w:r>
              <w:rPr>
                <w:rFonts w:hint="eastAsia"/>
                <w:szCs w:val="21"/>
              </w:rPr>
              <w:t>分，一般参数每负偏离一项扣</w:t>
            </w:r>
            <w:r>
              <w:rPr>
                <w:szCs w:val="21"/>
              </w:rPr>
              <w:t>2</w:t>
            </w:r>
            <w:r>
              <w:rPr>
                <w:rFonts w:hint="eastAsia"/>
                <w:szCs w:val="21"/>
              </w:rPr>
              <w:t>分，扣完为止。</w:t>
            </w:r>
          </w:p>
          <w:p>
            <w:pPr>
              <w:widowControl/>
              <w:wordWrap w:val="0"/>
              <w:jc w:val="left"/>
              <w:textAlignment w:val="top"/>
              <w:rPr>
                <w:b/>
                <w:bCs/>
                <w:szCs w:val="21"/>
              </w:rPr>
            </w:pPr>
            <w:r>
              <w:rPr>
                <w:rFonts w:hint="eastAsia"/>
                <w:b/>
                <w:bCs/>
                <w:szCs w:val="21"/>
              </w:rPr>
              <w:t>（二）评分依据：</w:t>
            </w:r>
          </w:p>
          <w:p>
            <w:pPr>
              <w:widowControl/>
              <w:wordWrap w:val="0"/>
              <w:jc w:val="left"/>
              <w:textAlignment w:val="top"/>
              <w:rPr>
                <w:szCs w:val="21"/>
              </w:rPr>
            </w:pPr>
            <w:r>
              <w:rPr>
                <w:rFonts w:hint="eastAsia"/>
                <w:szCs w:val="21"/>
              </w:rPr>
              <w:t>《技术要求偏离表》。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rFonts w:ascii="宋体" w:hAnsi="宋体" w:cs="宋体"/>
                <w:b/>
                <w:bCs/>
                <w:color w:val="0000FF"/>
                <w:sz w:val="24"/>
              </w:rPr>
            </w:pPr>
            <w:r>
              <w:rPr>
                <w:rFonts w:hint="eastAsia" w:ascii="宋体" w:hAnsi="宋体" w:cs="宋体"/>
                <w:b/>
                <w:bCs/>
                <w:color w:val="0000FF"/>
                <w:kern w:val="0"/>
                <w:sz w:val="24"/>
                <w:lang w:bidi="ar"/>
              </w:rPr>
              <w:t>3</w:t>
            </w:r>
          </w:p>
        </w:tc>
        <w:tc>
          <w:tcPr>
            <w:tcW w:w="419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rFonts w:ascii="宋体" w:hAnsi="宋体" w:cs="宋体"/>
                <w:b/>
                <w:bCs/>
                <w:color w:val="0000FF"/>
                <w:sz w:val="24"/>
              </w:rPr>
            </w:pPr>
            <w:r>
              <w:rPr>
                <w:rFonts w:hint="eastAsia" w:ascii="宋体" w:hAnsi="宋体" w:cs="宋体"/>
                <w:b/>
                <w:bCs/>
                <w:color w:val="0000FF"/>
                <w:kern w:val="0"/>
                <w:sz w:val="24"/>
                <w:lang w:bidi="ar"/>
              </w:rPr>
              <w:t>商务部分</w:t>
            </w:r>
          </w:p>
        </w:tc>
        <w:tc>
          <w:tcPr>
            <w:tcW w:w="419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rFonts w:ascii="宋体" w:hAnsi="宋体" w:cs="宋体"/>
                <w:b/>
                <w:bCs/>
                <w:color w:val="0000FF"/>
                <w:sz w:val="24"/>
              </w:rPr>
            </w:pPr>
            <w:r>
              <w:rPr>
                <w:rFonts w:hint="eastAsia" w:ascii="宋体" w:hAnsi="宋体" w:cs="宋体"/>
                <w:b/>
                <w:bCs/>
                <w:color w:val="0000FF"/>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b/>
                <w:bCs/>
                <w:color w:val="0000FF"/>
                <w:sz w:val="24"/>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lang w:bidi="ar"/>
              </w:rPr>
              <w:t>序号</w:t>
            </w:r>
          </w:p>
        </w:tc>
        <w:tc>
          <w:tcPr>
            <w:tcW w:w="2837"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lang w:bidi="ar"/>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lang w:bidi="ar"/>
              </w:rPr>
              <w:t>权重(%)</w:t>
            </w:r>
          </w:p>
        </w:tc>
        <w:tc>
          <w:tcPr>
            <w:tcW w:w="4198"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lang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FF"/>
                <w:sz w:val="24"/>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tcPr>
          <w:p>
            <w:pPr>
              <w:wordWrap w:val="0"/>
              <w:jc w:val="center"/>
              <w:rPr>
                <w:szCs w:val="21"/>
              </w:rPr>
            </w:pPr>
            <w:r>
              <w:rPr>
                <w:szCs w:val="21"/>
              </w:rPr>
              <w:t>1</w:t>
            </w:r>
          </w:p>
        </w:tc>
        <w:tc>
          <w:tcPr>
            <w:tcW w:w="2837" w:type="dxa"/>
            <w:tcBorders>
              <w:top w:val="single" w:color="000000" w:sz="8" w:space="0"/>
              <w:left w:val="single" w:color="000000" w:sz="8" w:space="0"/>
              <w:bottom w:val="single" w:color="000000" w:sz="8" w:space="0"/>
              <w:right w:val="single" w:color="000000" w:sz="8" w:space="0"/>
            </w:tcBorders>
            <w:shd w:val="clear" w:color="auto" w:fill="auto"/>
          </w:tcPr>
          <w:p>
            <w:pPr>
              <w:wordWrap w:val="0"/>
              <w:rPr>
                <w:szCs w:val="21"/>
              </w:rPr>
            </w:pPr>
            <w:r>
              <w:rPr>
                <w:szCs w:val="21"/>
              </w:rPr>
              <w:t>免费保修期内售后服务条款偏离情况</w:t>
            </w:r>
          </w:p>
        </w:tc>
        <w:tc>
          <w:tcPr>
            <w:tcW w:w="681" w:type="dxa"/>
            <w:tcBorders>
              <w:top w:val="single" w:color="000000" w:sz="8" w:space="0"/>
              <w:left w:val="single" w:color="000000" w:sz="8" w:space="0"/>
              <w:bottom w:val="single" w:color="000000" w:sz="8" w:space="0"/>
              <w:right w:val="single" w:color="000000" w:sz="8" w:space="0"/>
            </w:tcBorders>
            <w:shd w:val="clear" w:color="auto" w:fill="auto"/>
          </w:tcPr>
          <w:p>
            <w:pPr>
              <w:wordWrap w:val="0"/>
              <w:jc w:val="center"/>
              <w:rPr>
                <w:szCs w:val="21"/>
              </w:rPr>
            </w:pPr>
            <w:r>
              <w:rPr>
                <w:szCs w:val="21"/>
              </w:rPr>
              <w:t>4</w:t>
            </w:r>
          </w:p>
        </w:tc>
        <w:tc>
          <w:tcPr>
            <w:tcW w:w="4198" w:type="dxa"/>
            <w:tcBorders>
              <w:top w:val="single" w:color="000000" w:sz="8" w:space="0"/>
              <w:left w:val="single" w:color="000000" w:sz="8" w:space="0"/>
              <w:bottom w:val="single" w:color="000000" w:sz="8" w:space="0"/>
              <w:right w:val="single" w:color="000000" w:sz="8" w:space="0"/>
            </w:tcBorders>
            <w:shd w:val="clear" w:color="auto" w:fill="auto"/>
          </w:tcPr>
          <w:p>
            <w:pPr>
              <w:wordWrap w:val="0"/>
              <w:rPr>
                <w:szCs w:val="21"/>
              </w:rPr>
            </w:pPr>
            <w:r>
              <w:rPr>
                <w:szCs w:val="21"/>
              </w:rPr>
              <w:t>投标人应如实填写《免费保修期内售后服务条款偏离表》，评审委员会根据响应情况进行打分，全部满足要求的得100分，“▲”每负偏离一项扣30分，一般参数每负偏离一项扣10分。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FF"/>
                <w:sz w:val="24"/>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tcPr>
          <w:p>
            <w:pPr>
              <w:wordWrap w:val="0"/>
              <w:jc w:val="center"/>
              <w:rPr>
                <w:szCs w:val="21"/>
              </w:rPr>
            </w:pPr>
            <w:r>
              <w:rPr>
                <w:szCs w:val="21"/>
              </w:rPr>
              <w:t>2</w:t>
            </w:r>
          </w:p>
        </w:tc>
        <w:tc>
          <w:tcPr>
            <w:tcW w:w="2837" w:type="dxa"/>
            <w:tcBorders>
              <w:top w:val="single" w:color="000000" w:sz="8" w:space="0"/>
              <w:left w:val="single" w:color="000000" w:sz="8" w:space="0"/>
              <w:bottom w:val="single" w:color="000000" w:sz="8" w:space="0"/>
              <w:right w:val="single" w:color="000000" w:sz="8" w:space="0"/>
            </w:tcBorders>
            <w:shd w:val="clear" w:color="auto" w:fill="auto"/>
          </w:tcPr>
          <w:p>
            <w:pPr>
              <w:wordWrap w:val="0"/>
              <w:rPr>
                <w:szCs w:val="21"/>
              </w:rPr>
            </w:pPr>
            <w:r>
              <w:rPr>
                <w:szCs w:val="21"/>
              </w:rPr>
              <w:t>免费保修期外售后服务条款偏离情况</w:t>
            </w:r>
          </w:p>
        </w:tc>
        <w:tc>
          <w:tcPr>
            <w:tcW w:w="681" w:type="dxa"/>
            <w:tcBorders>
              <w:top w:val="single" w:color="000000" w:sz="8" w:space="0"/>
              <w:left w:val="single" w:color="000000" w:sz="8" w:space="0"/>
              <w:bottom w:val="single" w:color="000000" w:sz="8" w:space="0"/>
              <w:right w:val="single" w:color="000000" w:sz="8" w:space="0"/>
            </w:tcBorders>
            <w:shd w:val="clear" w:color="auto" w:fill="auto"/>
          </w:tcPr>
          <w:p>
            <w:pPr>
              <w:wordWrap w:val="0"/>
              <w:jc w:val="center"/>
              <w:rPr>
                <w:szCs w:val="21"/>
              </w:rPr>
            </w:pPr>
            <w:r>
              <w:rPr>
                <w:szCs w:val="21"/>
              </w:rPr>
              <w:t>3</w:t>
            </w:r>
          </w:p>
        </w:tc>
        <w:tc>
          <w:tcPr>
            <w:tcW w:w="4198" w:type="dxa"/>
            <w:tcBorders>
              <w:top w:val="single" w:color="000000" w:sz="8" w:space="0"/>
              <w:left w:val="single" w:color="000000" w:sz="8" w:space="0"/>
              <w:bottom w:val="single" w:color="000000" w:sz="8" w:space="0"/>
              <w:right w:val="single" w:color="000000" w:sz="8" w:space="0"/>
            </w:tcBorders>
            <w:shd w:val="clear" w:color="auto" w:fill="auto"/>
          </w:tcPr>
          <w:p>
            <w:pPr>
              <w:wordWrap w:val="0"/>
              <w:rPr>
                <w:szCs w:val="21"/>
              </w:rPr>
            </w:pPr>
            <w:r>
              <w:rPr>
                <w:szCs w:val="21"/>
              </w:rPr>
              <w:t>投标人应如实填写《免费保修期外售后服务条款偏离表》，评审委员会根据响应情况进行打分，全部满足要求的得100分，每负偏离一项扣17</w:t>
            </w:r>
            <w:r>
              <w:rPr>
                <w:rFonts w:hint="eastAsia"/>
                <w:szCs w:val="21"/>
              </w:rPr>
              <w:t>分</w:t>
            </w:r>
            <w:r>
              <w:rPr>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FF"/>
                <w:sz w:val="24"/>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tcPr>
          <w:p>
            <w:pPr>
              <w:wordWrap w:val="0"/>
              <w:jc w:val="center"/>
              <w:rPr>
                <w:szCs w:val="21"/>
              </w:rPr>
            </w:pPr>
            <w:r>
              <w:rPr>
                <w:szCs w:val="21"/>
              </w:rPr>
              <w:t>3</w:t>
            </w:r>
          </w:p>
        </w:tc>
        <w:tc>
          <w:tcPr>
            <w:tcW w:w="2837" w:type="dxa"/>
            <w:tcBorders>
              <w:top w:val="single" w:color="000000" w:sz="8" w:space="0"/>
              <w:left w:val="single" w:color="000000" w:sz="8" w:space="0"/>
              <w:bottom w:val="single" w:color="000000" w:sz="8" w:space="0"/>
              <w:right w:val="single" w:color="000000" w:sz="8" w:space="0"/>
            </w:tcBorders>
            <w:shd w:val="clear" w:color="auto" w:fill="auto"/>
          </w:tcPr>
          <w:p>
            <w:pPr>
              <w:wordWrap w:val="0"/>
              <w:rPr>
                <w:szCs w:val="21"/>
              </w:rPr>
            </w:pPr>
            <w:r>
              <w:rPr>
                <w:szCs w:val="21"/>
              </w:rPr>
              <w:t>其他商务条款偏离情况</w:t>
            </w:r>
          </w:p>
        </w:tc>
        <w:tc>
          <w:tcPr>
            <w:tcW w:w="681" w:type="dxa"/>
            <w:tcBorders>
              <w:top w:val="single" w:color="000000" w:sz="8" w:space="0"/>
              <w:left w:val="single" w:color="000000" w:sz="8" w:space="0"/>
              <w:bottom w:val="single" w:color="000000" w:sz="8" w:space="0"/>
              <w:right w:val="single" w:color="000000" w:sz="8" w:space="0"/>
            </w:tcBorders>
            <w:shd w:val="clear" w:color="auto" w:fill="auto"/>
          </w:tcPr>
          <w:p>
            <w:pPr>
              <w:wordWrap w:val="0"/>
              <w:jc w:val="center"/>
              <w:rPr>
                <w:szCs w:val="21"/>
              </w:rPr>
            </w:pPr>
            <w:r>
              <w:rPr>
                <w:szCs w:val="21"/>
              </w:rPr>
              <w:t>3</w:t>
            </w:r>
          </w:p>
        </w:tc>
        <w:tc>
          <w:tcPr>
            <w:tcW w:w="4198" w:type="dxa"/>
            <w:tcBorders>
              <w:top w:val="single" w:color="000000" w:sz="8" w:space="0"/>
              <w:left w:val="single" w:color="000000" w:sz="8" w:space="0"/>
              <w:bottom w:val="single" w:color="000000" w:sz="8" w:space="0"/>
              <w:right w:val="single" w:color="000000" w:sz="8" w:space="0"/>
            </w:tcBorders>
            <w:shd w:val="clear" w:color="auto" w:fill="auto"/>
          </w:tcPr>
          <w:p>
            <w:pPr>
              <w:wordWrap w:val="0"/>
              <w:rPr>
                <w:szCs w:val="21"/>
              </w:rPr>
            </w:pPr>
            <w:r>
              <w:rPr>
                <w:szCs w:val="21"/>
              </w:rPr>
              <w:t>投标人应如实填写《其他商务条款偏离表》，评审委员会根据响应情况进行打分，全部满足要求的得100分，“▲”每负偏离一项扣25分，一般参数每负偏离一项扣6分。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rFonts w:ascii="宋体" w:hAnsi="宋体" w:cs="宋体"/>
                <w:b/>
                <w:bCs/>
                <w:color w:val="0000FF"/>
                <w:sz w:val="24"/>
              </w:rPr>
            </w:pPr>
            <w:r>
              <w:rPr>
                <w:rFonts w:hint="eastAsia" w:ascii="宋体" w:hAnsi="宋体" w:cs="宋体"/>
                <w:b/>
                <w:bCs/>
                <w:color w:val="0000FF"/>
                <w:kern w:val="0"/>
                <w:sz w:val="24"/>
                <w:lang w:bidi="ar"/>
              </w:rPr>
              <w:t>4</w:t>
            </w:r>
          </w:p>
        </w:tc>
        <w:tc>
          <w:tcPr>
            <w:tcW w:w="419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rFonts w:ascii="宋体" w:hAnsi="宋体" w:cs="宋体"/>
                <w:b/>
                <w:bCs/>
                <w:color w:val="0000FF"/>
                <w:sz w:val="24"/>
              </w:rPr>
            </w:pPr>
            <w:r>
              <w:rPr>
                <w:rFonts w:hint="eastAsia" w:ascii="宋体" w:hAnsi="宋体" w:cs="宋体"/>
                <w:b/>
                <w:bCs/>
                <w:color w:val="0000FF"/>
                <w:sz w:val="24"/>
              </w:rPr>
              <w:t>综合实力</w:t>
            </w:r>
          </w:p>
        </w:tc>
        <w:tc>
          <w:tcPr>
            <w:tcW w:w="419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rFonts w:ascii="宋体" w:hAnsi="宋体" w:cs="宋体"/>
                <w:b/>
                <w:bCs/>
                <w:color w:val="0000FF"/>
                <w:sz w:val="24"/>
              </w:rPr>
            </w:pPr>
            <w:r>
              <w:rPr>
                <w:rFonts w:hint="eastAsia" w:ascii="宋体" w:hAnsi="宋体" w:cs="宋体"/>
                <w:b/>
                <w:bCs/>
                <w:color w:val="0000FF"/>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b/>
                <w:bCs/>
                <w:color w:val="0000FF"/>
                <w:sz w:val="24"/>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lang w:bidi="ar"/>
              </w:rPr>
              <w:t>序号</w:t>
            </w:r>
          </w:p>
        </w:tc>
        <w:tc>
          <w:tcPr>
            <w:tcW w:w="2837"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lang w:bidi="ar"/>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lang w:bidi="ar"/>
              </w:rPr>
              <w:t>权重(%)</w:t>
            </w:r>
          </w:p>
        </w:tc>
        <w:tc>
          <w:tcPr>
            <w:tcW w:w="4198"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lang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FF"/>
                <w:sz w:val="24"/>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textAlignment w:val="top"/>
              <w:rPr>
                <w:rFonts w:ascii="宋体" w:hAnsi="宋体" w:cs="宋体"/>
                <w:szCs w:val="21"/>
              </w:rPr>
            </w:pPr>
            <w:r>
              <w:rPr>
                <w:rFonts w:hint="eastAsia" w:ascii="宋体" w:hAnsi="宋体" w:cs="宋体"/>
                <w:szCs w:val="21"/>
              </w:rPr>
              <w:t>1</w:t>
            </w:r>
          </w:p>
        </w:tc>
        <w:tc>
          <w:tcPr>
            <w:tcW w:w="28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textAlignment w:val="top"/>
              <w:rPr>
                <w:rFonts w:ascii="宋体" w:hAnsi="宋体" w:cs="宋体"/>
                <w:szCs w:val="21"/>
              </w:rPr>
            </w:pPr>
            <w:r>
              <w:rPr>
                <w:rFonts w:hint="eastAsia" w:ascii="宋体" w:hAnsi="宋体" w:cs="宋体"/>
                <w:szCs w:val="21"/>
              </w:rPr>
              <w:t>同类项目业绩</w:t>
            </w: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textAlignment w:val="top"/>
              <w:rPr>
                <w:rFonts w:ascii="宋体" w:hAnsi="宋体" w:cs="宋体"/>
                <w:szCs w:val="21"/>
              </w:rPr>
            </w:pPr>
            <w:r>
              <w:rPr>
                <w:rFonts w:hint="eastAsia" w:ascii="宋体" w:hAnsi="宋体" w:cs="宋体"/>
                <w:szCs w:val="21"/>
              </w:rPr>
              <w:t>5</w:t>
            </w:r>
          </w:p>
        </w:tc>
        <w:tc>
          <w:tcPr>
            <w:tcW w:w="4198" w:type="dxa"/>
            <w:tcBorders>
              <w:top w:val="single" w:color="000000" w:sz="8" w:space="0"/>
              <w:left w:val="single" w:color="000000" w:sz="8" w:space="0"/>
              <w:bottom w:val="single" w:color="000000" w:sz="8" w:space="0"/>
              <w:right w:val="single" w:color="000000" w:sz="8" w:space="0"/>
            </w:tcBorders>
            <w:shd w:val="clear" w:color="auto" w:fill="auto"/>
          </w:tcPr>
          <w:p>
            <w:pPr>
              <w:widowControl/>
              <w:numPr>
                <w:ilvl w:val="0"/>
                <w:numId w:val="7"/>
              </w:numPr>
              <w:wordWrap w:val="0"/>
              <w:jc w:val="left"/>
              <w:textAlignment w:val="top"/>
              <w:rPr>
                <w:b/>
                <w:bCs/>
                <w:szCs w:val="21"/>
              </w:rPr>
            </w:pPr>
            <w:r>
              <w:rPr>
                <w:rFonts w:hint="eastAsia"/>
                <w:b/>
                <w:bCs/>
                <w:szCs w:val="21"/>
              </w:rPr>
              <w:t>评分内容：</w:t>
            </w:r>
          </w:p>
          <w:p>
            <w:pPr>
              <w:widowControl/>
              <w:wordWrap w:val="0"/>
              <w:jc w:val="left"/>
              <w:textAlignment w:val="top"/>
              <w:rPr>
                <w:color w:val="000000"/>
                <w:kern w:val="0"/>
                <w:szCs w:val="21"/>
                <w:lang w:bidi="ar"/>
              </w:rPr>
            </w:pPr>
            <w:r>
              <w:rPr>
                <w:rFonts w:hint="eastAsia"/>
                <w:szCs w:val="21"/>
              </w:rPr>
              <w:t>考察</w:t>
            </w:r>
            <w:r>
              <w:rPr>
                <w:szCs w:val="21"/>
              </w:rPr>
              <w:t>投标人近三年（2022年5月</w:t>
            </w:r>
            <w:r>
              <w:rPr>
                <w:rFonts w:hint="eastAsia"/>
                <w:szCs w:val="21"/>
              </w:rPr>
              <w:t>1日</w:t>
            </w:r>
            <w:r>
              <w:rPr>
                <w:szCs w:val="21"/>
              </w:rPr>
              <w:t>至</w:t>
            </w:r>
            <w:r>
              <w:rPr>
                <w:color w:val="000000"/>
                <w:kern w:val="0"/>
                <w:szCs w:val="21"/>
                <w:lang w:bidi="ar"/>
              </w:rPr>
              <w:t>本项目招标公告发布之日，以合同签订</w:t>
            </w:r>
            <w:r>
              <w:rPr>
                <w:rFonts w:hint="eastAsia"/>
                <w:color w:val="000000"/>
                <w:kern w:val="0"/>
                <w:szCs w:val="21"/>
                <w:lang w:bidi="ar"/>
              </w:rPr>
              <w:t>日期</w:t>
            </w:r>
            <w:r>
              <w:rPr>
                <w:color w:val="000000"/>
                <w:kern w:val="0"/>
                <w:szCs w:val="21"/>
                <w:lang w:bidi="ar"/>
              </w:rPr>
              <w:t>为准）</w:t>
            </w:r>
            <w:r>
              <w:rPr>
                <w:rFonts w:hint="eastAsia"/>
                <w:color w:val="000000"/>
                <w:kern w:val="0"/>
                <w:szCs w:val="21"/>
                <w:lang w:bidi="ar"/>
              </w:rPr>
              <w:t>，提供</w:t>
            </w:r>
            <w:r>
              <w:rPr>
                <w:color w:val="000000"/>
                <w:kern w:val="0"/>
                <w:szCs w:val="21"/>
                <w:lang w:bidi="ar"/>
              </w:rPr>
              <w:t>同类</w:t>
            </w:r>
            <w:r>
              <w:rPr>
                <w:rFonts w:hint="eastAsia"/>
                <w:color w:val="000000"/>
                <w:kern w:val="0"/>
                <w:szCs w:val="21"/>
                <w:lang w:bidi="ar"/>
              </w:rPr>
              <w:t>设备</w:t>
            </w:r>
            <w:r>
              <w:rPr>
                <w:rFonts w:hint="eastAsia"/>
              </w:rPr>
              <w:t>销售业绩</w:t>
            </w:r>
            <w:r>
              <w:rPr>
                <w:color w:val="000000"/>
                <w:kern w:val="0"/>
                <w:szCs w:val="21"/>
                <w:lang w:bidi="ar"/>
              </w:rPr>
              <w:t>进行评分：6个</w:t>
            </w:r>
            <w:r>
              <w:rPr>
                <w:rFonts w:hint="eastAsia"/>
                <w:color w:val="000000"/>
                <w:kern w:val="0"/>
                <w:szCs w:val="21"/>
                <w:lang w:bidi="ar"/>
              </w:rPr>
              <w:t>业绩</w:t>
            </w:r>
            <w:r>
              <w:rPr>
                <w:color w:val="000000"/>
                <w:kern w:val="0"/>
                <w:szCs w:val="21"/>
                <w:lang w:bidi="ar"/>
              </w:rPr>
              <w:t>（或以上）得 100 分，5个</w:t>
            </w:r>
            <w:r>
              <w:rPr>
                <w:rFonts w:hint="eastAsia"/>
                <w:color w:val="000000"/>
                <w:kern w:val="0"/>
                <w:szCs w:val="21"/>
                <w:lang w:bidi="ar"/>
              </w:rPr>
              <w:t>业绩</w:t>
            </w:r>
            <w:r>
              <w:rPr>
                <w:color w:val="000000"/>
                <w:kern w:val="0"/>
                <w:szCs w:val="21"/>
                <w:lang w:bidi="ar"/>
              </w:rPr>
              <w:t>得80分，4个</w:t>
            </w:r>
            <w:r>
              <w:rPr>
                <w:rFonts w:hint="eastAsia"/>
                <w:color w:val="000000"/>
                <w:kern w:val="0"/>
                <w:szCs w:val="21"/>
                <w:lang w:bidi="ar"/>
              </w:rPr>
              <w:t>业绩</w:t>
            </w:r>
            <w:r>
              <w:rPr>
                <w:color w:val="000000"/>
                <w:kern w:val="0"/>
                <w:szCs w:val="21"/>
                <w:lang w:bidi="ar"/>
              </w:rPr>
              <w:t>得 60分，3</w:t>
            </w:r>
            <w:r>
              <w:rPr>
                <w:rFonts w:hint="eastAsia"/>
                <w:color w:val="000000"/>
                <w:kern w:val="0"/>
                <w:szCs w:val="21"/>
                <w:lang w:bidi="ar"/>
              </w:rPr>
              <w:t>业绩</w:t>
            </w:r>
            <w:r>
              <w:rPr>
                <w:color w:val="000000"/>
                <w:kern w:val="0"/>
                <w:szCs w:val="21"/>
                <w:lang w:bidi="ar"/>
              </w:rPr>
              <w:t>个得40分，2 个</w:t>
            </w:r>
            <w:r>
              <w:rPr>
                <w:rFonts w:hint="eastAsia"/>
                <w:color w:val="000000"/>
                <w:kern w:val="0"/>
                <w:szCs w:val="21"/>
                <w:lang w:bidi="ar"/>
              </w:rPr>
              <w:t>业绩</w:t>
            </w:r>
            <w:r>
              <w:rPr>
                <w:color w:val="000000"/>
                <w:kern w:val="0"/>
                <w:szCs w:val="21"/>
                <w:lang w:bidi="ar"/>
              </w:rPr>
              <w:t>得20 分，1 个</w:t>
            </w:r>
            <w:r>
              <w:rPr>
                <w:rFonts w:hint="eastAsia"/>
                <w:color w:val="000000"/>
                <w:kern w:val="0"/>
                <w:szCs w:val="21"/>
                <w:lang w:bidi="ar"/>
              </w:rPr>
              <w:t>业绩</w:t>
            </w:r>
            <w:r>
              <w:rPr>
                <w:color w:val="000000"/>
                <w:kern w:val="0"/>
                <w:szCs w:val="21"/>
                <w:lang w:bidi="ar"/>
              </w:rPr>
              <w:t>得10分。</w:t>
            </w:r>
          </w:p>
          <w:p>
            <w:pPr>
              <w:widowControl/>
              <w:numPr>
                <w:ilvl w:val="0"/>
                <w:numId w:val="7"/>
              </w:numPr>
              <w:wordWrap w:val="0"/>
              <w:jc w:val="left"/>
              <w:textAlignment w:val="top"/>
              <w:rPr>
                <w:b/>
                <w:bCs/>
                <w:color w:val="000000"/>
                <w:kern w:val="0"/>
                <w:szCs w:val="21"/>
                <w:lang w:bidi="ar"/>
              </w:rPr>
            </w:pPr>
            <w:r>
              <w:rPr>
                <w:rFonts w:hint="eastAsia"/>
                <w:b/>
                <w:bCs/>
                <w:color w:val="000000"/>
                <w:kern w:val="0"/>
                <w:szCs w:val="21"/>
                <w:lang w:bidi="ar"/>
              </w:rPr>
              <w:t>评分依据：</w:t>
            </w:r>
          </w:p>
          <w:p>
            <w:pPr>
              <w:widowControl/>
              <w:numPr>
                <w:ilvl w:val="0"/>
                <w:numId w:val="8"/>
              </w:numPr>
              <w:wordWrap w:val="0"/>
              <w:jc w:val="left"/>
              <w:textAlignment w:val="top"/>
              <w:rPr>
                <w:color w:val="000000"/>
                <w:kern w:val="0"/>
                <w:szCs w:val="21"/>
                <w:lang w:bidi="ar"/>
              </w:rPr>
            </w:pPr>
            <w:r>
              <w:rPr>
                <w:color w:val="000000"/>
                <w:kern w:val="0"/>
                <w:szCs w:val="21"/>
                <w:lang w:bidi="ar"/>
              </w:rPr>
              <w:t>要求同时提供合同关键信息（含合同双方的单位名称、设备清单页及</w:t>
            </w:r>
            <w:r>
              <w:rPr>
                <w:rFonts w:hint="eastAsia"/>
                <w:color w:val="000000"/>
                <w:kern w:val="0"/>
                <w:szCs w:val="21"/>
                <w:lang w:bidi="ar"/>
              </w:rPr>
              <w:t>合同双方</w:t>
            </w:r>
            <w:r>
              <w:rPr>
                <w:color w:val="000000"/>
                <w:kern w:val="0"/>
                <w:szCs w:val="21"/>
                <w:lang w:bidi="ar"/>
              </w:rPr>
              <w:t>签字盖章页等）</w:t>
            </w:r>
            <w:r>
              <w:rPr>
                <w:rFonts w:hint="eastAsia"/>
                <w:color w:val="000000"/>
                <w:kern w:val="0"/>
                <w:szCs w:val="21"/>
                <w:lang w:bidi="ar"/>
              </w:rPr>
              <w:t>以</w:t>
            </w:r>
            <w:r>
              <w:rPr>
                <w:color w:val="000000"/>
                <w:kern w:val="0"/>
                <w:szCs w:val="21"/>
                <w:lang w:bidi="ar"/>
              </w:rPr>
              <w:t>及项目履约验收合格评价（证明）文件（提供扫描件）作为得分依据</w:t>
            </w:r>
            <w:r>
              <w:rPr>
                <w:rFonts w:hint="eastAsia"/>
                <w:color w:val="000000"/>
                <w:kern w:val="0"/>
                <w:szCs w:val="21"/>
                <w:lang w:bidi="ar"/>
              </w:rPr>
              <w:t>；</w:t>
            </w:r>
            <w:r>
              <w:rPr>
                <w:color w:val="000000"/>
                <w:kern w:val="0"/>
                <w:szCs w:val="21"/>
                <w:lang w:bidi="ar"/>
              </w:rPr>
              <w:t>通过合同关键信息无法判断是否得分的，也可以提供能证明得分的其它证明资料，如合同甲方出具的证明文件等。</w:t>
            </w:r>
          </w:p>
          <w:p>
            <w:pPr>
              <w:widowControl/>
              <w:numPr>
                <w:ilvl w:val="0"/>
                <w:numId w:val="8"/>
              </w:numPr>
              <w:wordWrap w:val="0"/>
              <w:jc w:val="left"/>
              <w:textAlignment w:val="top"/>
              <w:rPr>
                <w:rFonts w:ascii="宋体" w:hAnsi="宋体" w:cs="宋体"/>
                <w:szCs w:val="21"/>
              </w:rPr>
            </w:pPr>
            <w:r>
              <w:rPr>
                <w:color w:val="000000"/>
                <w:kern w:val="0"/>
                <w:szCs w:val="21"/>
                <w:lang w:bidi="ar"/>
              </w:rPr>
              <w:t>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rFonts w:ascii="宋体" w:hAnsi="宋体" w:cs="宋体"/>
                <w:b/>
                <w:bCs/>
                <w:color w:val="0000FF"/>
                <w:sz w:val="24"/>
              </w:rPr>
            </w:pPr>
            <w:r>
              <w:rPr>
                <w:rFonts w:hint="eastAsia" w:ascii="宋体" w:hAnsi="宋体" w:cs="宋体"/>
                <w:b/>
                <w:bCs/>
                <w:color w:val="0000FF"/>
                <w:kern w:val="0"/>
                <w:sz w:val="24"/>
                <w:lang w:bidi="ar"/>
              </w:rPr>
              <w:t>5</w:t>
            </w:r>
          </w:p>
        </w:tc>
        <w:tc>
          <w:tcPr>
            <w:tcW w:w="419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rFonts w:ascii="宋体" w:hAnsi="宋体" w:cs="宋体"/>
                <w:b/>
                <w:bCs/>
                <w:color w:val="0000FF"/>
                <w:sz w:val="24"/>
              </w:rPr>
            </w:pPr>
            <w:r>
              <w:rPr>
                <w:rFonts w:hint="eastAsia" w:ascii="宋体" w:hAnsi="宋体" w:cs="宋体"/>
                <w:b/>
                <w:bCs/>
                <w:color w:val="0000FF"/>
                <w:kern w:val="0"/>
                <w:sz w:val="24"/>
                <w:lang w:bidi="ar"/>
              </w:rPr>
              <w:t>诚信情况</w:t>
            </w:r>
          </w:p>
        </w:tc>
        <w:tc>
          <w:tcPr>
            <w:tcW w:w="419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rPr>
                <w:rFonts w:ascii="宋体" w:hAnsi="宋体" w:cs="宋体"/>
                <w:b/>
                <w:bCs/>
                <w:color w:val="0000FF"/>
                <w:sz w:val="24"/>
              </w:rPr>
            </w:pPr>
            <w:r>
              <w:rPr>
                <w:rFonts w:hint="eastAsia" w:ascii="宋体" w:hAnsi="宋体" w:cs="宋体"/>
                <w:b/>
                <w:bCs/>
                <w:color w:val="0000FF"/>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b/>
                <w:bCs/>
                <w:color w:val="0000FF"/>
                <w:sz w:val="24"/>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lang w:bidi="ar"/>
              </w:rPr>
              <w:t>序号</w:t>
            </w:r>
          </w:p>
        </w:tc>
        <w:tc>
          <w:tcPr>
            <w:tcW w:w="2837"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lang w:bidi="ar"/>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lang w:bidi="ar"/>
              </w:rPr>
              <w:t>权重(%)</w:t>
            </w:r>
          </w:p>
        </w:tc>
        <w:tc>
          <w:tcPr>
            <w:tcW w:w="4198" w:type="dxa"/>
            <w:tcBorders>
              <w:top w:val="outset" w:color="000000" w:sz="6" w:space="0"/>
              <w:left w:val="outset" w:color="000000" w:sz="6" w:space="0"/>
              <w:bottom w:val="outset" w:color="000000" w:sz="6" w:space="0"/>
              <w:right w:val="outset" w:color="000000" w:sz="6" w:space="0"/>
            </w:tcBorders>
            <w:shd w:val="clear" w:color="auto" w:fill="E6EFFA"/>
            <w:vAlign w:val="center"/>
          </w:tcPr>
          <w:p>
            <w:pPr>
              <w:widowControl/>
              <w:wordWrap w:val="0"/>
              <w:jc w:val="center"/>
              <w:rPr>
                <w:rFonts w:ascii="宋体" w:hAnsi="宋体" w:cs="宋体"/>
                <w:szCs w:val="21"/>
              </w:rPr>
            </w:pPr>
            <w:r>
              <w:rPr>
                <w:rFonts w:hint="eastAsia" w:ascii="宋体" w:hAnsi="宋体" w:cs="宋体"/>
                <w:kern w:val="0"/>
                <w:szCs w:val="21"/>
                <w:lang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81"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FF"/>
                <w:sz w:val="24"/>
              </w:rPr>
            </w:pP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textAlignment w:val="top"/>
              <w:rPr>
                <w:rFonts w:ascii="宋体" w:hAnsi="宋体" w:cs="宋体"/>
                <w:szCs w:val="21"/>
              </w:rPr>
            </w:pPr>
            <w:r>
              <w:rPr>
                <w:rFonts w:hint="eastAsia" w:ascii="宋体" w:hAnsi="宋体" w:cs="宋体"/>
              </w:rPr>
              <w:t>1</w:t>
            </w:r>
          </w:p>
        </w:tc>
        <w:tc>
          <w:tcPr>
            <w:tcW w:w="283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textAlignment w:val="top"/>
              <w:rPr>
                <w:rFonts w:ascii="宋体" w:hAnsi="宋体" w:cs="宋体"/>
                <w:szCs w:val="21"/>
              </w:rPr>
            </w:pPr>
            <w:r>
              <w:rPr>
                <w:rFonts w:hint="eastAsia" w:ascii="宋体" w:hAnsi="宋体" w:cs="宋体"/>
              </w:rPr>
              <w:t>诚信情况</w:t>
            </w: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wordWrap w:val="0"/>
              <w:jc w:val="center"/>
              <w:textAlignment w:val="top"/>
              <w:rPr>
                <w:rFonts w:ascii="宋体" w:hAnsi="宋体" w:cs="宋体"/>
                <w:szCs w:val="21"/>
              </w:rPr>
            </w:pPr>
            <w:r>
              <w:rPr>
                <w:rFonts w:hint="eastAsia" w:ascii="宋体" w:hAnsi="宋体" w:cs="宋体"/>
              </w:rPr>
              <w:t>5</w:t>
            </w:r>
          </w:p>
        </w:tc>
        <w:tc>
          <w:tcPr>
            <w:tcW w:w="4198" w:type="dxa"/>
            <w:tcBorders>
              <w:top w:val="single" w:color="000000" w:sz="8" w:space="0"/>
              <w:left w:val="single" w:color="000000" w:sz="8" w:space="0"/>
              <w:bottom w:val="single" w:color="000000" w:sz="8" w:space="0"/>
              <w:right w:val="single" w:color="000000" w:sz="8" w:space="0"/>
            </w:tcBorders>
            <w:shd w:val="clear" w:color="auto" w:fill="auto"/>
          </w:tcPr>
          <w:p>
            <w:pPr>
              <w:pStyle w:val="9"/>
              <w:wordWrap w:val="0"/>
              <w:spacing w:line="240" w:lineRule="auto"/>
              <w:ind w:firstLine="420" w:firstLineChars="200"/>
              <w:rPr>
                <w:rFonts w:ascii="宋体" w:hAnsi="宋体" w:cs="宋体"/>
                <w:b w:val="0"/>
                <w:bCs w:val="0"/>
                <w:sz w:val="21"/>
                <w:szCs w:val="21"/>
              </w:rPr>
            </w:pPr>
            <w:r>
              <w:rPr>
                <w:rFonts w:hint="eastAsia" w:ascii="宋体" w:hAnsi="宋体" w:cs="宋体"/>
                <w:b w:val="0"/>
                <w:bCs w:val="0"/>
                <w:sz w:val="21"/>
                <w:szCs w:val="21"/>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w:t>
            </w:r>
          </w:p>
          <w:p>
            <w:pPr>
              <w:pStyle w:val="9"/>
              <w:wordWrap w:val="0"/>
              <w:spacing w:line="240" w:lineRule="auto"/>
              <w:ind w:firstLine="420" w:firstLineChars="200"/>
              <w:rPr>
                <w:rFonts w:ascii="宋体" w:hAnsi="宋体" w:cs="宋体"/>
              </w:rPr>
            </w:pPr>
            <w:r>
              <w:rPr>
                <w:rFonts w:hint="eastAsia" w:ascii="宋体" w:hAnsi="宋体" w:cs="宋体"/>
                <w:b w:val="0"/>
                <w:bCs w:val="0"/>
                <w:sz w:val="21"/>
                <w:szCs w:val="21"/>
              </w:rPr>
              <w:t>查询渠道：通过“信用中国”（www.creditchina.gov.cn，下载信用信息报告）、“中国政府采购网”（www.ccgp.gov.cn）以及“深圳市政府采购监管网”（http://zfcg.sz.gov.cn）查询供应商信用信息，信用信息以开标当日的查询结果为准。</w:t>
            </w:r>
          </w:p>
        </w:tc>
      </w:tr>
      <w:bookmarkEnd w:id="2"/>
    </w:tbl>
    <w:p/>
    <w:p>
      <w:pPr>
        <w:pStyle w:val="38"/>
      </w:pPr>
    </w:p>
    <w:p>
      <w:pPr>
        <w:sectPr>
          <w:pgSz w:w="11907" w:h="16840"/>
          <w:pgMar w:top="1440" w:right="1418" w:bottom="1440" w:left="1418" w:header="851" w:footer="992" w:gutter="0"/>
          <w:cols w:space="425" w:num="1"/>
          <w:titlePg/>
          <w:docGrid w:linePitch="462" w:charSpace="0"/>
        </w:sectPr>
      </w:pPr>
    </w:p>
    <w:p>
      <w:pPr>
        <w:jc w:val="center"/>
        <w:rPr>
          <w:b/>
          <w:sz w:val="84"/>
          <w:szCs w:val="84"/>
        </w:rPr>
      </w:pPr>
    </w:p>
    <w:p>
      <w:pPr>
        <w:jc w:val="center"/>
        <w:rPr>
          <w:b/>
          <w:sz w:val="84"/>
          <w:szCs w:val="84"/>
        </w:rPr>
      </w:pPr>
    </w:p>
    <w:p>
      <w:pPr>
        <w:jc w:val="center"/>
        <w:rPr>
          <w:b/>
          <w:sz w:val="84"/>
          <w:szCs w:val="84"/>
        </w:rPr>
      </w:pPr>
    </w:p>
    <w:p>
      <w:pPr>
        <w:jc w:val="center"/>
        <w:rPr>
          <w:b/>
          <w:sz w:val="120"/>
          <w:szCs w:val="120"/>
        </w:rPr>
      </w:pPr>
      <w:r>
        <w:rPr>
          <w:rFonts w:hint="eastAsia"/>
          <w:b/>
          <w:sz w:val="120"/>
          <w:szCs w:val="120"/>
        </w:rPr>
        <w:t>自行采购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（货物类）</w:t>
      </w:r>
    </w:p>
    <w:p/>
    <w:p/>
    <w:p/>
    <w:p/>
    <w:p/>
    <w:p/>
    <w:p/>
    <w:p/>
    <w:p/>
    <w:p/>
    <w:p/>
    <w:p/>
    <w:p/>
    <w:p/>
    <w:p/>
    <w:p/>
    <w:p/>
    <w:p/>
    <w:p/>
    <w:p>
      <w:pPr>
        <w:jc w:val="center"/>
        <w:rPr>
          <w:b/>
          <w:sz w:val="44"/>
          <w:szCs w:val="44"/>
        </w:rPr>
      </w:pPr>
      <w:bookmarkStart w:id="3" w:name="_Hlk71465316"/>
      <w:r>
        <w:rPr>
          <w:rFonts w:hint="eastAsia"/>
          <w:b/>
          <w:sz w:val="44"/>
          <w:szCs w:val="44"/>
        </w:rPr>
        <w:t>深圳公共资源交易中心</w:t>
      </w:r>
    </w:p>
    <w:p>
      <w:pPr>
        <w:jc w:val="center"/>
        <w:rPr>
          <w:b/>
          <w:sz w:val="44"/>
          <w:szCs w:val="44"/>
        </w:rPr>
      </w:pPr>
      <w:r>
        <w:rPr>
          <w:rFonts w:hint="eastAsia"/>
          <w:b/>
          <w:sz w:val="44"/>
          <w:szCs w:val="44"/>
        </w:rPr>
        <w:t>（</w:t>
      </w:r>
      <w:r>
        <w:rPr>
          <w:b/>
          <w:sz w:val="44"/>
          <w:szCs w:val="44"/>
        </w:rPr>
        <w:t>20</w:t>
      </w:r>
      <w:r>
        <w:rPr>
          <w:rFonts w:hint="eastAsia"/>
          <w:b/>
          <w:sz w:val="44"/>
          <w:szCs w:val="44"/>
        </w:rPr>
        <w:t>25）</w:t>
      </w:r>
    </w:p>
    <w:bookmarkEnd w:id="3"/>
    <w:p>
      <w:pPr>
        <w:widowControl/>
        <w:jc w:val="center"/>
      </w:pPr>
    </w:p>
    <w:p>
      <w:pPr>
        <w:widowControl/>
        <w:jc w:val="center"/>
      </w:pPr>
      <w:r>
        <w:br w:type="page"/>
      </w:r>
    </w:p>
    <w:p>
      <w:pPr>
        <w:ind w:firstLine="3654" w:firstLineChars="1300"/>
        <w:rPr>
          <w:rFonts w:ascii="宋体" w:hAnsi="宋体"/>
          <w:color w:val="FF0000"/>
          <w:szCs w:val="21"/>
        </w:rPr>
      </w:pPr>
      <w:bookmarkStart w:id="4" w:name="_Hlk73564573"/>
      <w:r>
        <w:rPr>
          <w:rFonts w:hint="eastAsia" w:ascii="宋体" w:hAnsi="宋体" w:eastAsia="黑体"/>
          <w:b/>
          <w:bCs/>
          <w:color w:val="FF0000"/>
          <w:kern w:val="44"/>
          <w:sz w:val="28"/>
          <w:szCs w:val="44"/>
        </w:rPr>
        <w:t>警示条款</w:t>
      </w:r>
    </w:p>
    <w:p>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pPr>
        <w:ind w:firstLine="400" w:firstLineChars="200"/>
        <w:rPr>
          <w:rFonts w:ascii="宋体" w:hAnsi="宋体"/>
          <w:color w:val="FF0000"/>
          <w:sz w:val="20"/>
          <w:szCs w:val="20"/>
        </w:rPr>
      </w:pPr>
      <w:r>
        <w:rPr>
          <w:rFonts w:hint="eastAsia" w:ascii="宋体" w:hAnsi="宋体"/>
          <w:color w:val="FF0000"/>
          <w:sz w:val="20"/>
          <w:szCs w:val="20"/>
        </w:rPr>
        <w:t>（六）恶意投诉的；</w:t>
      </w:r>
    </w:p>
    <w:p>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pPr>
        <w:ind w:firstLine="402" w:firstLineChars="200"/>
        <w:rPr>
          <w:rFonts w:ascii="宋体" w:hAnsi="宋体"/>
          <w:color w:val="FF0000"/>
          <w:sz w:val="20"/>
          <w:szCs w:val="20"/>
        </w:rPr>
      </w:pPr>
      <w:r>
        <w:rPr>
          <w:rFonts w:hint="eastAsia" w:ascii="宋体" w:hAnsi="宋体"/>
          <w:b/>
          <w:bCs/>
          <w:color w:val="FF0000"/>
          <w:sz w:val="20"/>
          <w:szCs w:val="20"/>
        </w:rPr>
        <w:t xml:space="preserve">二、《深圳经济特区政府采购条例实施细则》第七十五条 </w:t>
      </w:r>
      <w:r>
        <w:rPr>
          <w:rFonts w:hint="eastAsia" w:ascii="宋体" w:hAnsi="宋体"/>
          <w:color w:val="FF0000"/>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ind w:firstLine="402" w:firstLineChars="200"/>
        <w:rPr>
          <w:rFonts w:ascii="宋体" w:hAnsi="宋体"/>
          <w:color w:val="FF0000"/>
          <w:sz w:val="20"/>
          <w:szCs w:val="20"/>
        </w:rPr>
      </w:pPr>
      <w:r>
        <w:rPr>
          <w:rFonts w:hint="eastAsia" w:ascii="宋体" w:hAnsi="宋体"/>
          <w:b/>
          <w:bCs/>
          <w:color w:val="FF0000"/>
          <w:sz w:val="20"/>
          <w:szCs w:val="20"/>
        </w:rPr>
        <w:t xml:space="preserve">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bookmarkEnd w:id="4"/>
    <w:p>
      <w:pPr>
        <w:ind w:firstLine="422" w:firstLineChars="200"/>
        <w:rPr>
          <w:b/>
          <w:color w:val="FF0000"/>
        </w:rPr>
      </w:pPr>
      <w:r>
        <w:rPr>
          <w:rFonts w:hint="eastAsia"/>
          <w:b/>
          <w:color w:val="FF0000"/>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ind w:firstLine="400" w:firstLineChars="200"/>
        <w:rPr>
          <w:bCs/>
          <w:color w:val="FF0000"/>
          <w:sz w:val="20"/>
          <w:szCs w:val="20"/>
        </w:rPr>
      </w:pPr>
      <w:r>
        <w:rPr>
          <w:rFonts w:hint="eastAsia"/>
          <w:bCs/>
          <w:color w:val="FF0000"/>
          <w:sz w:val="20"/>
          <w:szCs w:val="20"/>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ind w:firstLine="400" w:firstLineChars="200"/>
        <w:rPr>
          <w:bCs/>
          <w:color w:val="FF0000"/>
          <w:sz w:val="20"/>
          <w:szCs w:val="20"/>
        </w:rPr>
      </w:pPr>
      <w:r>
        <w:rPr>
          <w:rFonts w:hint="eastAsia"/>
          <w:bCs/>
          <w:color w:val="FF0000"/>
          <w:sz w:val="20"/>
          <w:szCs w:val="20"/>
        </w:rPr>
        <w:t>为避免出现不同供应商投标文件的文件制作机器码、文件创建标识码、IP地址一致的异常情况，建议各供应商编制、上传投标文件时不要使用公共电脑设备或公共网络。</w:t>
      </w:r>
    </w:p>
    <w:p>
      <w:pPr>
        <w:ind w:firstLine="400" w:firstLineChars="200"/>
        <w:rPr>
          <w:bCs/>
          <w:color w:val="FF0000"/>
          <w:sz w:val="20"/>
          <w:szCs w:val="20"/>
        </w:rPr>
      </w:pPr>
      <w:r>
        <w:rPr>
          <w:rFonts w:hint="eastAsia"/>
          <w:bCs/>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olor w:val="FF0000"/>
          <w:sz w:val="20"/>
          <w:szCs w:val="20"/>
        </w:rPr>
        <w:t>取消参与本市政府采购资格</w:t>
      </w:r>
      <w:r>
        <w:rPr>
          <w:rFonts w:hint="eastAsia" w:hAnsi="宋体"/>
          <w:color w:val="FF0000"/>
          <w:sz w:val="20"/>
          <w:szCs w:val="20"/>
        </w:rPr>
        <w:t>、</w:t>
      </w:r>
      <w:r>
        <w:rPr>
          <w:rFonts w:hint="eastAsia" w:ascii="宋体" w:hAnsi="宋体"/>
          <w:color w:val="FF0000"/>
          <w:sz w:val="20"/>
          <w:szCs w:val="20"/>
        </w:rPr>
        <w:t>依法吊销其营业</w:t>
      </w:r>
      <w:r>
        <w:rPr>
          <w:rFonts w:hint="eastAsia" w:hAnsi="宋体"/>
          <w:color w:val="FF0000"/>
          <w:sz w:val="20"/>
          <w:szCs w:val="20"/>
        </w:rPr>
        <w:t>执照等行政处罚，</w:t>
      </w:r>
      <w:r>
        <w:rPr>
          <w:rFonts w:hint="eastAsia" w:ascii="宋体" w:hAnsi="宋体"/>
          <w:color w:val="FF0000"/>
          <w:sz w:val="20"/>
          <w:szCs w:val="20"/>
        </w:rPr>
        <w:t>构成犯罪的，依法追究刑事责任</w:t>
      </w:r>
      <w:r>
        <w:rPr>
          <w:rFonts w:hint="eastAsia"/>
          <w:bCs/>
          <w:color w:val="FF0000"/>
          <w:sz w:val="20"/>
          <w:szCs w:val="20"/>
        </w:rPr>
        <w:t>，请各供应商独立编制、上传投标文件，妥善保管和使用电子秘钥。</w:t>
      </w:r>
    </w:p>
    <w:p>
      <w:pPr>
        <w:ind w:firstLine="400" w:firstLineChars="200"/>
        <w:rPr>
          <w:rFonts w:ascii="宋体" w:hAnsi="宋体"/>
          <w:color w:val="FF0000"/>
          <w:sz w:val="20"/>
          <w:szCs w:val="20"/>
        </w:rPr>
        <w:sectPr>
          <w:pgSz w:w="11907" w:h="16840"/>
          <w:pgMar w:top="1440" w:right="1797" w:bottom="1440" w:left="1797" w:header="851" w:footer="992" w:gutter="0"/>
          <w:cols w:space="425" w:num="1"/>
          <w:titlePg/>
          <w:docGrid w:linePitch="462" w:charSpace="0"/>
        </w:sectPr>
      </w:pPr>
    </w:p>
    <w:p>
      <w:pPr>
        <w:spacing w:before="240" w:beforeLines="100" w:after="240" w:afterLines="100"/>
        <w:jc w:val="center"/>
        <w:rPr>
          <w:rFonts w:ascii="黑体" w:hAnsi="黑体" w:eastAsia="黑体" w:cs="黑体"/>
          <w:b/>
          <w:bCs/>
          <w:sz w:val="28"/>
          <w:szCs w:val="36"/>
        </w:rPr>
      </w:pPr>
      <w:bookmarkStart w:id="5" w:name="_Hlk72218009"/>
      <w:r>
        <w:rPr>
          <w:rFonts w:hint="eastAsia" w:ascii="黑体" w:hAnsi="黑体" w:eastAsia="黑体" w:cs="黑体"/>
          <w:b/>
          <w:bCs/>
          <w:sz w:val="28"/>
          <w:szCs w:val="36"/>
        </w:rPr>
        <w:t>目   录</w:t>
      </w:r>
    </w:p>
    <w:p>
      <w:pPr>
        <w:outlineLvl w:val="0"/>
        <w:rPr>
          <w:b/>
          <w:sz w:val="24"/>
        </w:rPr>
      </w:pPr>
      <w:r>
        <w:rPr>
          <w:rFonts w:hint="eastAsia"/>
          <w:b/>
          <w:sz w:val="24"/>
        </w:rPr>
        <w:t>第一册    专用条款</w:t>
      </w:r>
    </w:p>
    <w:p>
      <w:pPr>
        <w:ind w:firstLine="960" w:firstLineChars="400"/>
        <w:rPr>
          <w:sz w:val="24"/>
        </w:rPr>
      </w:pPr>
      <w:r>
        <w:rPr>
          <w:rFonts w:hint="eastAsia"/>
          <w:sz w:val="24"/>
        </w:rPr>
        <w:t>关键信息</w:t>
      </w:r>
    </w:p>
    <w:p>
      <w:pPr>
        <w:ind w:firstLine="960" w:firstLineChars="400"/>
        <w:rPr>
          <w:sz w:val="24"/>
        </w:rPr>
      </w:pPr>
      <w:r>
        <w:rPr>
          <w:rFonts w:hint="eastAsia"/>
          <w:sz w:val="24"/>
        </w:rPr>
        <w:t>评标信息</w:t>
      </w:r>
    </w:p>
    <w:p>
      <w:pPr>
        <w:ind w:left="630" w:leftChars="300" w:firstLine="630" w:firstLineChars="300"/>
        <w:rPr>
          <w:rFonts w:ascii="宋体" w:hAnsi="宋体"/>
          <w:szCs w:val="21"/>
        </w:rPr>
      </w:pPr>
      <w:r>
        <w:rPr>
          <w:rFonts w:hint="eastAsia" w:ascii="宋体" w:hAnsi="宋体"/>
          <w:szCs w:val="21"/>
        </w:rPr>
        <w:t>第一章  招标公告</w:t>
      </w:r>
    </w:p>
    <w:p>
      <w:pPr>
        <w:ind w:left="630" w:leftChars="300" w:firstLine="630" w:firstLineChars="300"/>
        <w:rPr>
          <w:rFonts w:ascii="宋体" w:hAnsi="宋体"/>
          <w:szCs w:val="21"/>
        </w:rPr>
      </w:pPr>
      <w:r>
        <w:rPr>
          <w:rFonts w:hint="eastAsia" w:ascii="宋体" w:hAnsi="宋体"/>
          <w:szCs w:val="21"/>
        </w:rPr>
        <w:t xml:space="preserve">第二章  </w:t>
      </w:r>
      <w:bookmarkStart w:id="6" w:name="_Hlk71994379"/>
      <w:r>
        <w:rPr>
          <w:rFonts w:hint="eastAsia" w:ascii="宋体" w:hAnsi="宋体"/>
          <w:szCs w:val="21"/>
        </w:rPr>
        <w:t>对通用条款的补充内容及其他关键信息</w:t>
      </w:r>
      <w:bookmarkEnd w:id="6"/>
    </w:p>
    <w:p>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630" w:firstLineChars="300"/>
        <w:rPr>
          <w:rFonts w:ascii="宋体" w:hAnsi="宋体"/>
          <w:szCs w:val="21"/>
        </w:rPr>
      </w:pPr>
      <w:r>
        <w:rPr>
          <w:rFonts w:hint="eastAsia" w:ascii="宋体" w:hAnsi="宋体"/>
          <w:szCs w:val="21"/>
        </w:rPr>
        <w:t>第五章  合同条款及格式</w:t>
      </w:r>
    </w:p>
    <w:p>
      <w:pPr>
        <w:rPr>
          <w:b/>
          <w:sz w:val="24"/>
        </w:rPr>
      </w:pPr>
    </w:p>
    <w:p>
      <w:pPr>
        <w:outlineLvl w:val="0"/>
        <w:rPr>
          <w:b/>
          <w:sz w:val="24"/>
        </w:rPr>
      </w:pPr>
      <w:r>
        <w:rPr>
          <w:rFonts w:hint="eastAsia"/>
          <w:b/>
          <w:sz w:val="24"/>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bookmarkStart w:id="137" w:name="_GoBack"/>
      <w:bookmarkEnd w:id="137"/>
    </w:p>
    <w:p>
      <w:pPr>
        <w:ind w:left="630" w:leftChars="300" w:firstLine="411" w:firstLineChars="196"/>
        <w:rPr>
          <w:rFonts w:ascii="宋体" w:hAnsi="宋体"/>
          <w:szCs w:val="21"/>
        </w:rPr>
      </w:pPr>
      <w:r>
        <w:rPr>
          <w:rFonts w:hint="eastAsia" w:ascii="宋体" w:hAnsi="宋体"/>
          <w:szCs w:val="21"/>
        </w:rPr>
        <w:t>第十章  合同的授予与备案</w:t>
      </w:r>
    </w:p>
    <w:p>
      <w:pPr>
        <w:ind w:firstLine="1050" w:firstLineChars="500"/>
      </w:pPr>
      <w:r>
        <w:rPr>
          <w:rFonts w:hint="eastAsia"/>
        </w:rPr>
        <w:t>第十一章  质疑处理</w:t>
      </w:r>
    </w:p>
    <w:p>
      <w:pPr>
        <w:pStyle w:val="9"/>
      </w:pPr>
    </w:p>
    <w:p>
      <w:pPr>
        <w:pStyle w:val="38"/>
      </w:pPr>
    </w:p>
    <w:p>
      <w:pPr>
        <w:pStyle w:val="38"/>
      </w:pPr>
    </w:p>
    <w:p>
      <w:pPr>
        <w:pStyle w:val="9"/>
        <w:sectPr>
          <w:pgSz w:w="11907" w:h="16840"/>
          <w:pgMar w:top="1440" w:right="1797" w:bottom="1440" w:left="1797" w:header="851" w:footer="992" w:gutter="0"/>
          <w:cols w:space="425" w:num="1"/>
          <w:titlePg/>
          <w:docGrid w:linePitch="462" w:charSpace="0"/>
        </w:sectPr>
      </w:pPr>
    </w:p>
    <w:bookmarkEnd w:id="5"/>
    <w:p>
      <w:pPr>
        <w:pStyle w:val="3"/>
        <w:rPr>
          <w:color w:val="FF0000"/>
          <w:sz w:val="24"/>
        </w:rPr>
      </w:pPr>
      <w:bookmarkStart w:id="7" w:name="bt投标人情况介绍"/>
      <w:bookmarkEnd w:id="7"/>
      <w:bookmarkStart w:id="8" w:name="bt商务标投标文件格式"/>
      <w:bookmarkEnd w:id="8"/>
      <w:bookmarkStart w:id="9" w:name="bt投标报价汇总表"/>
      <w:bookmarkEnd w:id="9"/>
      <w:bookmarkStart w:id="10" w:name="bt项目管理班子配备情况"/>
      <w:bookmarkEnd w:id="10"/>
      <w:bookmarkStart w:id="11" w:name="bt其他资料2"/>
      <w:bookmarkEnd w:id="11"/>
      <w:bookmarkStart w:id="12" w:name="bt合同格式"/>
      <w:bookmarkEnd w:id="12"/>
      <w:bookmarkStart w:id="13" w:name="bt其他资料由投标人自定"/>
      <w:bookmarkEnd w:id="13"/>
      <w:bookmarkStart w:id="14" w:name="bt技术标投标文件格式"/>
      <w:bookmarkEnd w:id="14"/>
      <w:bookmarkStart w:id="15" w:name="bt本工程承诺书"/>
      <w:bookmarkEnd w:id="15"/>
      <w:bookmarkStart w:id="16" w:name="bt合同条款及格式"/>
      <w:bookmarkEnd w:id="16"/>
      <w:bookmarkStart w:id="17" w:name="bt投标文件签署授权委托书"/>
      <w:bookmarkEnd w:id="17"/>
      <w:bookmarkStart w:id="18" w:name="bt投标人须知"/>
      <w:bookmarkEnd w:id="18"/>
      <w:bookmarkStart w:id="19" w:name="bt合同条款"/>
      <w:bookmarkEnd w:id="19"/>
      <w:bookmarkStart w:id="20" w:name="bt开标一览表"/>
      <w:bookmarkEnd w:id="20"/>
      <w:bookmarkStart w:id="21" w:name="合同格式"/>
      <w:bookmarkEnd w:id="21"/>
      <w:bookmarkStart w:id="22" w:name="bt说明"/>
      <w:bookmarkEnd w:id="22"/>
      <w:bookmarkStart w:id="23" w:name="bt投标函"/>
      <w:bookmarkEnd w:id="23"/>
      <w:r>
        <w:rPr>
          <w:rFonts w:hint="eastAsia"/>
        </w:rPr>
        <w:t>第一册  专用条款</w:t>
      </w:r>
    </w:p>
    <w:p>
      <w:pPr>
        <w:pStyle w:val="6"/>
        <w:rPr>
          <w:sz w:val="28"/>
          <w:szCs w:val="28"/>
        </w:rPr>
      </w:pPr>
      <w:r>
        <w:rPr>
          <w:rFonts w:hint="eastAsia"/>
          <w:sz w:val="28"/>
          <w:szCs w:val="28"/>
        </w:rPr>
        <w:t>第一章  招标公告</w:t>
      </w:r>
    </w:p>
    <w:p>
      <w:pPr>
        <w:spacing w:line="360" w:lineRule="auto"/>
        <w:rPr>
          <w:rFonts w:ascii="宋体" w:hAnsi="宋体" w:cs="宋体"/>
          <w:b/>
          <w:bCs/>
          <w:kern w:val="0"/>
          <w:szCs w:val="21"/>
        </w:rPr>
      </w:pPr>
      <w:r>
        <w:rPr>
          <w:rFonts w:hint="eastAsia" w:ascii="宋体" w:hAnsi="宋体" w:cs="宋体"/>
          <w:b/>
          <w:bCs/>
          <w:kern w:val="0"/>
          <w:szCs w:val="21"/>
        </w:rPr>
        <w:t>申请人的资格要求：</w:t>
      </w:r>
    </w:p>
    <w:p>
      <w:pPr>
        <w:ind w:firstLine="420" w:firstLineChars="20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bookmarkStart w:id="24" w:name="_Hlk72162904"/>
      <w:r>
        <w:rPr>
          <w:rFonts w:hint="eastAsia" w:ascii="宋体" w:hAnsi="宋体" w:cs="宋体"/>
          <w:kern w:val="0"/>
          <w:szCs w:val="21"/>
        </w:rPr>
        <w:t>具有独立承担民事责任的能力（提供营业执照或事业单位法人证书等证明资料扫描件，原件备查，分支机构参与投标的，须同时提供总公司授权文件且授权书载明其民事责任由总公司承担）</w:t>
      </w:r>
      <w:bookmarkEnd w:id="24"/>
      <w:r>
        <w:rPr>
          <w:rFonts w:hint="eastAsia"/>
        </w:rPr>
        <w:t>；</w:t>
      </w:r>
    </w:p>
    <w:p>
      <w:pPr>
        <w:ind w:firstLine="420" w:firstLineChars="200"/>
        <w:rPr>
          <w:rFonts w:ascii="宋体" w:hAnsi="宋体" w:cs="宋体"/>
          <w:kern w:val="0"/>
          <w:szCs w:val="21"/>
        </w:rPr>
      </w:pPr>
      <w:r>
        <w:rPr>
          <w:rFonts w:hint="eastAsia" w:ascii="宋体" w:hAnsi="宋体" w:cs="宋体"/>
          <w:color w:val="FF0000"/>
          <w:kern w:val="0"/>
          <w:szCs w:val="21"/>
        </w:rPr>
        <w:t>2.本项目不接受联合体投标，接受投标人选用进口产品参与投标，详见招标文件“第三章 用户需求书”；</w:t>
      </w:r>
    </w:p>
    <w:p>
      <w:pPr>
        <w:ind w:firstLine="420" w:firstLineChars="2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pPr>
        <w:ind w:firstLine="420" w:firstLineChars="200"/>
        <w:rPr>
          <w:rFonts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pPr>
        <w:ind w:firstLine="420" w:firstLineChars="200"/>
        <w:rPr>
          <w:rFonts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p>
    <w:p>
      <w:pPr>
        <w:ind w:firstLine="420" w:firstLineChars="200"/>
        <w:rPr>
          <w:rFonts w:ascii="宋体" w:hAnsi="宋体" w:cs="宋体"/>
          <w:color w:val="FF0000"/>
          <w:kern w:val="0"/>
          <w:szCs w:val="21"/>
        </w:rPr>
      </w:pPr>
      <w:r>
        <w:rPr>
          <w:rFonts w:hint="eastAsia" w:ascii="宋体" w:hAnsi="宋体" w:cs="宋体"/>
          <w:color w:val="FF0000"/>
          <w:kern w:val="0"/>
          <w:szCs w:val="21"/>
        </w:rPr>
        <w:t>6.不存在《深圳市财政局政府采购供应商信用信息管理办法》（深财规〔2023〕3号）列明的严重违法失信行为（由供应商在《政府采购投标及履约承诺函》中作出声明）；</w:t>
      </w:r>
    </w:p>
    <w:p>
      <w:pPr>
        <w:ind w:firstLine="420" w:firstLineChars="200"/>
        <w:rPr>
          <w:rFonts w:ascii="宋体" w:hAnsi="宋体" w:cs="宋体"/>
          <w:kern w:val="0"/>
          <w:szCs w:val="21"/>
        </w:rPr>
      </w:pPr>
      <w:r>
        <w:rPr>
          <w:rFonts w:hint="eastAsia" w:ascii="宋体" w:hAnsi="宋体" w:cs="宋体"/>
          <w:kern w:val="0"/>
          <w:szCs w:val="21"/>
        </w:rPr>
        <w:t>7.为采购项目提供整体设计、规范编制或者项目管理、监理、检测等服务的供应商，不得再参加该采购项目的其他采购活动（由供应商在《政府采购投标及履约承诺函》中作出声明）；</w:t>
      </w:r>
    </w:p>
    <w:p>
      <w:pPr>
        <w:pStyle w:val="2"/>
        <w:ind w:firstLine="420" w:firstLineChars="200"/>
        <w:rPr>
          <w:rFonts w:hint="eastAsia" w:ascii="宋体" w:hAnsi="宋体" w:eastAsia="宋体" w:cs="宋体"/>
          <w:color w:val="FF0000"/>
          <w:kern w:val="0"/>
          <w:szCs w:val="21"/>
          <w:lang w:eastAsia="zh-CN"/>
        </w:rPr>
      </w:pPr>
      <w:r>
        <w:rPr>
          <w:rFonts w:hint="eastAsia" w:ascii="宋体" w:hAnsi="宋体" w:cs="宋体"/>
          <w:color w:val="FF0000"/>
          <w:kern w:val="0"/>
          <w:szCs w:val="21"/>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r>
        <w:rPr>
          <w:rFonts w:hint="eastAsia" w:ascii="宋体" w:hAnsi="宋体" w:cs="宋体"/>
          <w:color w:val="FF0000"/>
          <w:kern w:val="0"/>
          <w:szCs w:val="21"/>
          <w:lang w:eastAsia="zh-CN"/>
        </w:rPr>
        <w:t>；</w:t>
      </w:r>
    </w:p>
    <w:p>
      <w:pPr>
        <w:ind w:firstLine="420" w:firstLineChars="200"/>
        <w:rPr>
          <w:rFonts w:ascii="宋体" w:hAnsi="宋体" w:cs="宋体"/>
          <w:kern w:val="0"/>
          <w:szCs w:val="21"/>
        </w:rPr>
      </w:pPr>
      <w:r>
        <w:rPr>
          <w:rFonts w:hint="eastAsia" w:ascii="宋体" w:hAnsi="宋体" w:cs="宋体"/>
          <w:kern w:val="0"/>
          <w:szCs w:val="21"/>
        </w:rPr>
        <w:t>9.本项目全部专门面向中小企业采购：否。</w:t>
      </w:r>
    </w:p>
    <w:p>
      <w:pPr>
        <w:wordWrap w:val="0"/>
        <w:ind w:firstLine="420" w:firstLineChars="200"/>
        <w:rPr>
          <w:rFonts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ind w:firstLine="420" w:firstLineChars="200"/>
        <w:rPr>
          <w:rFonts w:ascii="宋体" w:hAnsi="宋体"/>
        </w:rPr>
      </w:pPr>
      <w:r>
        <w:rPr>
          <w:rFonts w:hint="eastAsia" w:ascii="宋体" w:hAnsi="宋体"/>
        </w:rPr>
        <w:t>（2）供应商投标（上传投标文件）必须先行办理注册手续，具体请按照本公告“六、其他补充事宜</w:t>
      </w:r>
      <w:r>
        <w:rPr>
          <w:rFonts w:ascii="宋体" w:hAnsi="宋体"/>
        </w:rPr>
        <w:t>”</w:t>
      </w:r>
      <w:r>
        <w:rPr>
          <w:rFonts w:hint="eastAsia" w:ascii="宋体" w:hAnsi="宋体"/>
        </w:rPr>
        <w:t>相关内容指引办理。</w:t>
      </w:r>
    </w:p>
    <w:p>
      <w:pPr>
        <w:ind w:firstLine="420" w:firstLineChars="200"/>
        <w:rPr>
          <w:rFonts w:ascii="宋体" w:hAnsi="宋体"/>
        </w:rPr>
      </w:pPr>
    </w:p>
    <w:p>
      <w:pPr>
        <w:ind w:firstLine="442" w:firstLineChars="200"/>
        <w:rPr>
          <w:b/>
        </w:rPr>
      </w:pPr>
      <w:r>
        <w:rPr>
          <w:rFonts w:hint="eastAsia"/>
          <w:b/>
          <w:sz w:val="22"/>
          <w:szCs w:val="18"/>
        </w:rPr>
        <w:t>完整公告内容详见：深圳交易集团官网（https://www.szexgrp.com/jyfw/zfcg-view.html?id=zfcg）</w:t>
      </w:r>
    </w:p>
    <w:p>
      <w:pPr>
        <w:ind w:firstLine="422" w:firstLineChars="200"/>
        <w:rPr>
          <w:b/>
        </w:rPr>
      </w:pPr>
    </w:p>
    <w:p>
      <w:pPr>
        <w:rPr>
          <w:sz w:val="24"/>
        </w:rPr>
        <w:sectPr>
          <w:pgSz w:w="11907" w:h="16840"/>
          <w:pgMar w:top="1440" w:right="1797" w:bottom="1440" w:left="1797" w:header="851" w:footer="992" w:gutter="0"/>
          <w:cols w:space="425" w:num="1"/>
          <w:titlePg/>
          <w:docGrid w:linePitch="462" w:charSpace="0"/>
        </w:sectPr>
      </w:pPr>
    </w:p>
    <w:p>
      <w:pPr>
        <w:pStyle w:val="6"/>
        <w:rPr>
          <w:sz w:val="28"/>
          <w:szCs w:val="28"/>
        </w:rPr>
      </w:pPr>
      <w:r>
        <w:rPr>
          <w:rFonts w:hint="eastAsia"/>
          <w:sz w:val="28"/>
          <w:szCs w:val="28"/>
        </w:rPr>
        <w:t xml:space="preserve">第二章 </w:t>
      </w:r>
      <w:bookmarkStart w:id="25" w:name="_Hlk71926094"/>
      <w:r>
        <w:rPr>
          <w:rFonts w:hint="eastAsia"/>
          <w:sz w:val="28"/>
          <w:szCs w:val="28"/>
        </w:rPr>
        <w:t>对通用条款的补充内容及其他关键信息</w:t>
      </w:r>
      <w:bookmarkEnd w:id="25"/>
    </w:p>
    <w:p>
      <w:pPr>
        <w:pStyle w:val="6"/>
        <w:spacing w:before="120" w:beforeLines="50" w:after="120" w:afterLines="50"/>
        <w:rPr>
          <w:szCs w:val="24"/>
        </w:rPr>
      </w:pPr>
      <w:bookmarkStart w:id="26" w:name="_Toc101074876"/>
      <w:bookmarkStart w:id="27" w:name="_Toc73518117"/>
      <w:bookmarkStart w:id="28" w:name="_Toc73517639"/>
      <w:bookmarkStart w:id="29" w:name="_Toc73521547"/>
      <w:bookmarkStart w:id="30" w:name="_Toc73521635"/>
      <w:bookmarkStart w:id="31" w:name="_Toc60560625"/>
      <w:bookmarkStart w:id="32" w:name="_Toc60631620"/>
      <w:bookmarkStart w:id="33" w:name="_Toc100052364"/>
      <w:r>
        <w:rPr>
          <w:rFonts w:hint="eastAsia"/>
          <w:szCs w:val="24"/>
        </w:rPr>
        <w:t>一、对通用条款的补充内容</w:t>
      </w:r>
    </w:p>
    <w:bookmarkEnd w:id="26"/>
    <w:bookmarkEnd w:id="27"/>
    <w:bookmarkEnd w:id="28"/>
    <w:bookmarkEnd w:id="29"/>
    <w:bookmarkEnd w:id="30"/>
    <w:bookmarkEnd w:id="31"/>
    <w:bookmarkEnd w:id="32"/>
    <w:bookmarkEnd w:id="33"/>
    <w:tbl>
      <w:tblPr>
        <w:tblStyle w:val="44"/>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b/>
                <w:bCs/>
              </w:rPr>
            </w:pPr>
            <w:bookmarkStart w:id="34" w:name="_Hlk72218097"/>
            <w:r>
              <w:rPr>
                <w:rFonts w:hint="eastAsia" w:ascii="宋体" w:hAnsi="宋体"/>
                <w:b/>
                <w:bCs/>
              </w:rPr>
              <w:t>通用条款序号</w:t>
            </w:r>
          </w:p>
        </w:tc>
        <w:tc>
          <w:tcPr>
            <w:tcW w:w="2409" w:type="dxa"/>
            <w:vAlign w:val="center"/>
          </w:tcPr>
          <w:p>
            <w:pPr>
              <w:jc w:val="center"/>
              <w:rPr>
                <w:rFonts w:ascii="宋体" w:hAnsi="宋体"/>
                <w:b/>
                <w:bCs/>
              </w:rPr>
            </w:pPr>
            <w:r>
              <w:rPr>
                <w:rFonts w:hint="eastAsia" w:ascii="宋体" w:hAnsi="宋体"/>
                <w:b/>
                <w:bCs/>
              </w:rPr>
              <w:t>涉及事项</w:t>
            </w:r>
          </w:p>
        </w:tc>
        <w:tc>
          <w:tcPr>
            <w:tcW w:w="4980" w:type="dxa"/>
            <w:vAlign w:val="center"/>
          </w:tcPr>
          <w:p>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.1</w:t>
            </w:r>
          </w:p>
        </w:tc>
        <w:tc>
          <w:tcPr>
            <w:tcW w:w="2409" w:type="dxa"/>
            <w:vAlign w:val="center"/>
          </w:tcPr>
          <w:p>
            <w:pPr>
              <w:jc w:val="center"/>
            </w:pPr>
            <w:r>
              <w:rPr>
                <w:rFonts w:hint="eastAsia"/>
              </w:rPr>
              <w:t>采购人</w:t>
            </w:r>
          </w:p>
        </w:tc>
        <w:tc>
          <w:tcPr>
            <w:tcW w:w="4980" w:type="dxa"/>
            <w:vAlign w:val="center"/>
          </w:tcPr>
          <w:p>
            <w:pPr>
              <w:jc w:val="center"/>
              <w:rPr>
                <w:rFonts w:ascii="宋体" w:hAnsi="宋体"/>
              </w:rPr>
            </w:pPr>
            <w:r>
              <w:rPr>
                <w:rFonts w:hint="eastAsia" w:ascii="宋体" w:hAnsi="宋体"/>
              </w:rPr>
              <w:t>深圳北理莫斯科大学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.2</w:t>
            </w:r>
          </w:p>
        </w:tc>
        <w:tc>
          <w:tcPr>
            <w:tcW w:w="2409" w:type="dxa"/>
            <w:vAlign w:val="center"/>
          </w:tcPr>
          <w:p>
            <w:pPr>
              <w:jc w:val="center"/>
              <w:rPr>
                <w:rFonts w:ascii="宋体" w:hAnsi="宋体"/>
              </w:rPr>
            </w:pPr>
            <w:r>
              <w:rPr>
                <w:rFonts w:hint="eastAsia" w:ascii="宋体" w:hAnsi="宋体"/>
              </w:rPr>
              <w:t>政府集中采购机构</w:t>
            </w:r>
          </w:p>
        </w:tc>
        <w:tc>
          <w:tcPr>
            <w:tcW w:w="4980" w:type="dxa"/>
            <w:vAlign w:val="center"/>
          </w:tcPr>
          <w:p>
            <w:pPr>
              <w:jc w:val="center"/>
              <w:rPr>
                <w:rFonts w:ascii="宋体" w:hAnsi="宋体"/>
              </w:rPr>
            </w:pPr>
            <w:r>
              <w:rPr>
                <w:rFonts w:hint="eastAsia" w:ascii="宋体" w:hAnsi="宋体"/>
              </w:rPr>
              <w:t>深圳公共资源交易中心（深圳交易集团有限公司政府采购业务分公司）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9</w:t>
            </w:r>
          </w:p>
        </w:tc>
        <w:tc>
          <w:tcPr>
            <w:tcW w:w="2409" w:type="dxa"/>
            <w:vAlign w:val="center"/>
          </w:tcPr>
          <w:p>
            <w:pPr>
              <w:jc w:val="center"/>
              <w:rPr>
                <w:rFonts w:ascii="宋体" w:hAnsi="宋体"/>
              </w:rPr>
            </w:pPr>
            <w:r>
              <w:rPr>
                <w:rFonts w:hint="eastAsia" w:ascii="宋体" w:hAnsi="宋体"/>
              </w:rPr>
              <w:t>踏勘现场</w:t>
            </w:r>
          </w:p>
        </w:tc>
        <w:tc>
          <w:tcPr>
            <w:tcW w:w="4980" w:type="dxa"/>
            <w:vAlign w:val="center"/>
          </w:tcPr>
          <w:p>
            <w:pPr>
              <w:spacing w:after="160" w:line="278" w:lineRule="auto"/>
              <w:jc w:val="center"/>
              <w:rPr>
                <w:rFonts w:ascii="宋体" w:hAnsi="宋体"/>
              </w:rPr>
            </w:pPr>
            <w:r>
              <w:rPr>
                <w:rFonts w:hint="eastAsia" w:ascii="宋体" w:hAnsi="宋体"/>
              </w:rPr>
              <w:t xml:space="preserve">不组织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0</w:t>
            </w:r>
          </w:p>
        </w:tc>
        <w:tc>
          <w:tcPr>
            <w:tcW w:w="2409" w:type="dxa"/>
            <w:vAlign w:val="center"/>
          </w:tcPr>
          <w:p>
            <w:pPr>
              <w:jc w:val="center"/>
              <w:rPr>
                <w:rFonts w:ascii="宋体" w:hAnsi="宋体"/>
              </w:rPr>
            </w:pPr>
            <w:r>
              <w:rPr>
                <w:rFonts w:hint="eastAsia" w:ascii="宋体" w:hAnsi="宋体"/>
              </w:rPr>
              <w:t>标前会议</w:t>
            </w:r>
          </w:p>
        </w:tc>
        <w:tc>
          <w:tcPr>
            <w:tcW w:w="4980" w:type="dxa"/>
            <w:vAlign w:val="center"/>
          </w:tcPr>
          <w:p>
            <w:pPr>
              <w:spacing w:after="160" w:line="278" w:lineRule="auto"/>
              <w:jc w:val="center"/>
              <w:rPr>
                <w:rFonts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pPr>
              <w:jc w:val="center"/>
              <w:rPr>
                <w:rFonts w:ascii="宋体" w:hAnsi="宋体"/>
              </w:rPr>
            </w:pPr>
            <w:r>
              <w:rPr>
                <w:rFonts w:hint="eastAsia" w:ascii="宋体" w:hAnsi="宋体"/>
              </w:rPr>
              <w:t>招标文件的澄清和修改</w:t>
            </w:r>
          </w:p>
        </w:tc>
        <w:tc>
          <w:tcPr>
            <w:tcW w:w="4980" w:type="dxa"/>
            <w:vAlign w:val="center"/>
          </w:tcPr>
          <w:p>
            <w:pPr>
              <w:jc w:val="center"/>
              <w:rPr>
                <w:rFonts w:ascii="宋体" w:hAnsi="宋体"/>
              </w:rPr>
            </w:pPr>
            <w:r>
              <w:rPr>
                <w:rFonts w:hint="eastAsia" w:ascii="宋体" w:hAnsi="宋体"/>
              </w:rPr>
              <w:t>不晚于投标截止日三日前，投标人有义务在招标期间在政府集中采购机构网站浏览与本项目有关的澄清和修改信息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0</w:t>
            </w:r>
          </w:p>
        </w:tc>
        <w:tc>
          <w:tcPr>
            <w:tcW w:w="2409" w:type="dxa"/>
            <w:vAlign w:val="center"/>
          </w:tcPr>
          <w:p>
            <w:pPr>
              <w:jc w:val="center"/>
              <w:rPr>
                <w:rFonts w:ascii="宋体" w:hAnsi="宋体"/>
              </w:rPr>
            </w:pPr>
            <w:r>
              <w:rPr>
                <w:rFonts w:hint="eastAsia" w:ascii="宋体" w:hAnsi="宋体"/>
              </w:rPr>
              <w:t>投标有效期</w:t>
            </w:r>
          </w:p>
        </w:tc>
        <w:tc>
          <w:tcPr>
            <w:tcW w:w="4980" w:type="dxa"/>
            <w:vAlign w:val="center"/>
          </w:tcPr>
          <w:p>
            <w:pPr>
              <w:jc w:val="center"/>
              <w:rPr>
                <w:rFonts w:ascii="宋体" w:hAnsi="宋体"/>
              </w:rPr>
            </w:pPr>
            <w:r>
              <w:rPr>
                <w:rFonts w:hint="eastAsia" w:ascii="宋体" w:hAnsi="宋体"/>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2</w:t>
            </w:r>
          </w:p>
        </w:tc>
        <w:tc>
          <w:tcPr>
            <w:tcW w:w="2409" w:type="dxa"/>
            <w:vAlign w:val="center"/>
          </w:tcPr>
          <w:p>
            <w:pPr>
              <w:jc w:val="center"/>
              <w:rPr>
                <w:rFonts w:ascii="宋体" w:hAnsi="宋体"/>
              </w:rPr>
            </w:pPr>
            <w:r>
              <w:rPr>
                <w:rFonts w:hint="eastAsia" w:ascii="宋体" w:hAnsi="宋体"/>
              </w:rPr>
              <w:t>投标人的替代方案</w:t>
            </w:r>
          </w:p>
        </w:tc>
        <w:tc>
          <w:tcPr>
            <w:tcW w:w="4980" w:type="dxa"/>
            <w:vAlign w:val="center"/>
          </w:tcPr>
          <w:p>
            <w:pPr>
              <w:jc w:val="center"/>
              <w:rPr>
                <w:rFonts w:ascii="宋体" w:hAnsi="宋体"/>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5</w:t>
            </w:r>
          </w:p>
        </w:tc>
        <w:tc>
          <w:tcPr>
            <w:tcW w:w="2409" w:type="dxa"/>
            <w:vAlign w:val="center"/>
          </w:tcPr>
          <w:p>
            <w:pPr>
              <w:jc w:val="center"/>
              <w:rPr>
                <w:rFonts w:ascii="宋体" w:hAnsi="宋体"/>
              </w:rPr>
            </w:pPr>
            <w:r>
              <w:rPr>
                <w:rFonts w:hint="eastAsia" w:ascii="宋体" w:hAnsi="宋体"/>
              </w:rPr>
              <w:t>投标文件的大小</w:t>
            </w:r>
          </w:p>
        </w:tc>
        <w:tc>
          <w:tcPr>
            <w:tcW w:w="4980" w:type="dxa"/>
            <w:vAlign w:val="center"/>
          </w:tcPr>
          <w:p>
            <w:pPr>
              <w:jc w:val="center"/>
              <w:rPr>
                <w:rFonts w:ascii="宋体" w:hAnsi="宋体"/>
              </w:rPr>
            </w:pPr>
            <w:r>
              <w:rPr>
                <w:rFonts w:hint="eastAsia" w:ascii="宋体" w:hAnsi="宋体"/>
              </w:rPr>
              <w:t>投标文件大小不得超过100MB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6</w:t>
            </w:r>
          </w:p>
        </w:tc>
        <w:tc>
          <w:tcPr>
            <w:tcW w:w="2409" w:type="dxa"/>
            <w:vAlign w:val="center"/>
          </w:tcPr>
          <w:p>
            <w:pPr>
              <w:jc w:val="center"/>
              <w:rPr>
                <w:rFonts w:ascii="宋体" w:hAnsi="宋体"/>
              </w:rPr>
            </w:pPr>
            <w:bookmarkStart w:id="35" w:name="_Hlk71664860"/>
            <w:r>
              <w:rPr>
                <w:rFonts w:hint="eastAsia" w:ascii="宋体" w:hAnsi="宋体"/>
              </w:rPr>
              <w:t>样品、现场演示、方案讲解</w:t>
            </w:r>
            <w:bookmarkEnd w:id="35"/>
          </w:p>
        </w:tc>
        <w:tc>
          <w:tcPr>
            <w:tcW w:w="4980" w:type="dxa"/>
            <w:vAlign w:val="center"/>
          </w:tcPr>
          <w:p>
            <w:pPr>
              <w:jc w:val="center"/>
              <w:rPr>
                <w:rFonts w:ascii="宋体" w:hAnsi="宋体"/>
              </w:rPr>
            </w:pPr>
            <w:r>
              <w:rPr>
                <w:rFonts w:hint="eastAsia" w:ascii="宋体" w:hAnsi="宋体"/>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7</w:t>
            </w:r>
          </w:p>
        </w:tc>
        <w:tc>
          <w:tcPr>
            <w:tcW w:w="2409" w:type="dxa"/>
            <w:vAlign w:val="center"/>
          </w:tcPr>
          <w:p>
            <w:pPr>
              <w:jc w:val="center"/>
              <w:rPr>
                <w:rFonts w:ascii="宋体" w:hAnsi="宋体"/>
              </w:rPr>
            </w:pPr>
            <w:r>
              <w:rPr>
                <w:rFonts w:hint="eastAsia" w:ascii="宋体" w:hAnsi="宋体"/>
              </w:rPr>
              <w:t>评审方法</w:t>
            </w:r>
          </w:p>
        </w:tc>
        <w:tc>
          <w:tcPr>
            <w:tcW w:w="4980" w:type="dxa"/>
            <w:vAlign w:val="center"/>
          </w:tcPr>
          <w:p>
            <w:pPr>
              <w:jc w:val="center"/>
              <w:rPr>
                <w:rFonts w:ascii="宋体" w:hAnsi="宋体"/>
              </w:rPr>
            </w:pPr>
            <w:r>
              <w:rPr>
                <w:rFonts w:hint="eastAsia" w:ascii="宋体" w:hAnsi="宋体"/>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8</w:t>
            </w:r>
          </w:p>
        </w:tc>
        <w:tc>
          <w:tcPr>
            <w:tcW w:w="2409" w:type="dxa"/>
            <w:vAlign w:val="center"/>
          </w:tcPr>
          <w:p>
            <w:pPr>
              <w:jc w:val="center"/>
              <w:rPr>
                <w:rFonts w:ascii="宋体" w:hAnsi="宋体"/>
              </w:rPr>
            </w:pPr>
            <w:r>
              <w:rPr>
                <w:rFonts w:hint="eastAsia" w:ascii="宋体" w:hAnsi="宋体"/>
              </w:rPr>
              <w:t>定标方法</w:t>
            </w:r>
          </w:p>
        </w:tc>
        <w:tc>
          <w:tcPr>
            <w:tcW w:w="4980" w:type="dxa"/>
            <w:vAlign w:val="center"/>
          </w:tcPr>
          <w:p>
            <w:pPr>
              <w:jc w:val="center"/>
              <w:rPr>
                <w:rFonts w:ascii="宋体" w:hAnsi="宋体"/>
              </w:rPr>
            </w:pPr>
            <w:r>
              <w:rPr>
                <w:rFonts w:hint="eastAsia" w:ascii="宋体" w:hAnsi="宋体"/>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4</w:t>
            </w:r>
            <w:r>
              <w:rPr>
                <w:rFonts w:ascii="宋体" w:hAnsi="宋体"/>
              </w:rPr>
              <w:t>6</w:t>
            </w:r>
          </w:p>
        </w:tc>
        <w:tc>
          <w:tcPr>
            <w:tcW w:w="2409" w:type="dxa"/>
            <w:vAlign w:val="center"/>
          </w:tcPr>
          <w:p>
            <w:pPr>
              <w:jc w:val="center"/>
              <w:rPr>
                <w:rFonts w:ascii="宋体" w:hAnsi="宋体"/>
              </w:rPr>
            </w:pPr>
            <w:r>
              <w:rPr>
                <w:rFonts w:hint="eastAsia" w:ascii="宋体" w:hAnsi="宋体"/>
              </w:rPr>
              <w:t>履约担保</w:t>
            </w:r>
          </w:p>
        </w:tc>
        <w:tc>
          <w:tcPr>
            <w:tcW w:w="4980" w:type="dxa"/>
            <w:vAlign w:val="center"/>
          </w:tcPr>
          <w:p>
            <w:pPr>
              <w:jc w:val="center"/>
              <w:rPr>
                <w:rFonts w:ascii="宋体" w:hAnsi="宋体"/>
              </w:rPr>
            </w:pPr>
            <w:r>
              <w:rPr>
                <w:rFonts w:hint="eastAsia" w:ascii="宋体" w:hAnsi="宋体"/>
              </w:rPr>
              <w:t>需要，合同金额的5%，投标供应商自主选择以支票、汇票、本票、保函等非现金形式缴纳或提交。履约保证金在中标人履行完成合同约定权利义务事项在合同期满之日起30日内按原方式退还，不计利息。采购人逾期退还履约保证金的，向中标人每日偿付履约保证金的0.5‰的利息。因中标人原因而未能达到本项目验收标准或验收不通过的，履约保证金不予退还。</w:t>
            </w:r>
          </w:p>
        </w:tc>
      </w:tr>
    </w:tbl>
    <w:p>
      <w:pPr>
        <w:rPr>
          <w:b/>
        </w:rPr>
      </w:pPr>
      <w:r>
        <w:rPr>
          <w:rFonts w:hint="eastAsia"/>
          <w:szCs w:val="21"/>
        </w:rPr>
        <w:t>备注：本表是通用条款相关条款的补充和明确，如与通用条款内容相冲突的，以本表为准。</w:t>
      </w:r>
    </w:p>
    <w:bookmarkEnd w:id="34"/>
    <w:p>
      <w:bookmarkStart w:id="36" w:name="_Hlk72218117"/>
      <w:r>
        <w:rPr>
          <w:rFonts w:hint="eastAsia"/>
        </w:rPr>
        <w:br w:type="page"/>
      </w:r>
    </w:p>
    <w:p>
      <w:pPr>
        <w:pStyle w:val="6"/>
        <w:spacing w:before="120" w:beforeLines="50" w:after="120" w:afterLines="50"/>
        <w:rPr>
          <w:szCs w:val="24"/>
        </w:rPr>
      </w:pPr>
      <w:r>
        <w:rPr>
          <w:rFonts w:hint="eastAsia"/>
          <w:szCs w:val="24"/>
        </w:rPr>
        <w:t>二、其他关键信息</w:t>
      </w:r>
    </w:p>
    <w:p>
      <w:pPr>
        <w:ind w:firstLine="422" w:firstLineChars="200"/>
        <w:rPr>
          <w:b/>
          <w:bCs/>
        </w:rPr>
      </w:pPr>
      <w:bookmarkStart w:id="37" w:name="_Hlk72579427"/>
      <w:r>
        <w:rPr>
          <w:rFonts w:hint="eastAsia"/>
          <w:b/>
          <w:bCs/>
        </w:rPr>
        <w:t>（一）与“对通用条款的补充内容”章节相关的事项</w:t>
      </w:r>
    </w:p>
    <w:p>
      <w:pPr>
        <w:ind w:firstLine="422" w:firstLineChars="200"/>
        <w:jc w:val="center"/>
        <w:rPr>
          <w:rFonts w:ascii="宋体" w:hAnsi="宋体" w:cs="宋体"/>
          <w:b/>
          <w:szCs w:val="21"/>
        </w:rPr>
      </w:pPr>
    </w:p>
    <w:p>
      <w:pPr>
        <w:spacing w:line="276" w:lineRule="auto"/>
        <w:jc w:val="left"/>
        <w:rPr>
          <w:rFonts w:asciiTheme="minorEastAsia" w:hAnsiTheme="minorEastAsia" w:eastAsiaTheme="minorEastAsia"/>
          <w:b/>
          <w:kern w:val="0"/>
          <w:szCs w:val="20"/>
        </w:rPr>
      </w:pPr>
    </w:p>
    <w:p>
      <w:pPr>
        <w:jc w:val="center"/>
      </w:pPr>
      <w:r>
        <w:rPr>
          <w:rFonts w:hint="eastAsia"/>
          <w:b/>
        </w:rPr>
        <w:t>1、非评定分离项目</w:t>
      </w:r>
    </w:p>
    <w:tbl>
      <w:tblPr>
        <w:tblStyle w:val="45"/>
        <w:tblW w:w="7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4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8" w:type="dxa"/>
          </w:tcPr>
          <w:p>
            <w:pPr>
              <w:jc w:val="center"/>
            </w:pPr>
            <w:r>
              <w:rPr>
                <w:rFonts w:hint="eastAsia"/>
              </w:rPr>
              <w:t>评标方法</w:t>
            </w:r>
          </w:p>
        </w:tc>
        <w:tc>
          <w:tcPr>
            <w:tcW w:w="4534" w:type="dxa"/>
          </w:tcPr>
          <w:p>
            <w:pPr>
              <w:jc w:val="center"/>
            </w:pPr>
            <w:r>
              <w:rPr>
                <w:rFonts w:hint="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8" w:type="dxa"/>
          </w:tcPr>
          <w:p>
            <w:pPr>
              <w:jc w:val="center"/>
            </w:pPr>
            <w:r>
              <w:rPr>
                <w:rFonts w:hint="eastAsia"/>
              </w:rPr>
              <w:t>候选中标供应商家数</w:t>
            </w:r>
          </w:p>
        </w:tc>
        <w:tc>
          <w:tcPr>
            <w:tcW w:w="4534" w:type="dxa"/>
          </w:tcPr>
          <w:p>
            <w:pPr>
              <w:jc w:val="center"/>
            </w:pPr>
            <w:r>
              <w:rPr>
                <w:rFonts w:hint="eastAsia"/>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8" w:type="dxa"/>
          </w:tcPr>
          <w:p>
            <w:pPr>
              <w:jc w:val="center"/>
            </w:pPr>
            <w:r>
              <w:rPr>
                <w:rFonts w:hint="eastAsia"/>
              </w:rPr>
              <w:t>中标供应商家数</w:t>
            </w:r>
          </w:p>
        </w:tc>
        <w:tc>
          <w:tcPr>
            <w:tcW w:w="4534" w:type="dxa"/>
          </w:tcPr>
          <w:p>
            <w:pPr>
              <w:jc w:val="center"/>
            </w:pPr>
            <w:r>
              <w:rPr>
                <w:rFonts w:hint="eastAsia"/>
              </w:rPr>
              <w:t>1</w:t>
            </w:r>
          </w:p>
        </w:tc>
      </w:tr>
    </w:tbl>
    <w:p>
      <w:pPr>
        <w:ind w:firstLine="422" w:firstLineChars="200"/>
        <w:rPr>
          <w:b/>
        </w:rPr>
      </w:pPr>
    </w:p>
    <w:p>
      <w:pPr>
        <w:ind w:firstLine="422" w:firstLineChars="200"/>
        <w:rPr>
          <w:b/>
        </w:rPr>
      </w:pPr>
      <w:r>
        <w:rPr>
          <w:rFonts w:hint="eastAsia"/>
          <w:b/>
        </w:rPr>
        <w:t>（二）其他事项</w:t>
      </w:r>
      <w:bookmarkEnd w:id="37"/>
    </w:p>
    <w:p>
      <w:pPr>
        <w:ind w:firstLine="422" w:firstLineChars="200"/>
        <w:rPr>
          <w:b/>
          <w:bCs/>
        </w:rPr>
      </w:pPr>
      <w:r>
        <w:rPr>
          <w:b/>
          <w:bCs/>
        </w:rPr>
        <w:t>1</w:t>
      </w:r>
      <w:r>
        <w:rPr>
          <w:rFonts w:hint="eastAsia"/>
          <w:b/>
          <w:bCs/>
        </w:rPr>
        <w:t>、关于享受优惠政策的主体、价格扣除比例及采购标的所属行业</w:t>
      </w:r>
    </w:p>
    <w:p>
      <w:pPr>
        <w:ind w:firstLine="420" w:firstLineChars="200"/>
      </w:pPr>
      <w:r>
        <w:rPr>
          <w:rFonts w:hint="eastAsia"/>
        </w:rPr>
        <w:t>（1）非专门面向中小企业采购的项目，应执行价格扣除比例：投标人提供的货物（以招标文件用户需求书“货物清单明细”的“货物名称”一栏为准）全部均由优惠主体制造，则对其投标总价给予</w:t>
      </w:r>
      <w:r>
        <w:rPr>
          <w:color w:val="FF0000"/>
          <w:u w:val="single"/>
        </w:rPr>
        <w:t xml:space="preserve">  </w:t>
      </w:r>
      <w:r>
        <w:rPr>
          <w:rFonts w:hint="eastAsia"/>
          <w:color w:val="FF0000"/>
          <w:u w:val="single"/>
        </w:rPr>
        <w:t xml:space="preserve">  10</w:t>
      </w:r>
      <w:r>
        <w:rPr>
          <w:color w:val="FF0000"/>
          <w:u w:val="single"/>
        </w:rPr>
        <w:t xml:space="preserve">  </w:t>
      </w:r>
      <w:r>
        <w:rPr>
          <w:rFonts w:hint="eastAsia"/>
          <w:color w:val="FF0000"/>
          <w:u w:val="single"/>
        </w:rPr>
        <w:t xml:space="preserve"> </w:t>
      </w:r>
      <w:r>
        <w:rPr>
          <w:rFonts w:hint="eastAsia"/>
          <w:color w:val="FF0000"/>
        </w:rPr>
        <w:t xml:space="preserve"> </w:t>
      </w:r>
      <w:r>
        <w:rPr>
          <w:color w:val="FF0000"/>
        </w:rPr>
        <w:t>%</w:t>
      </w:r>
      <w:r>
        <w:rPr>
          <w:rFonts w:hint="eastAsia"/>
        </w:rPr>
        <w:t>的扣除，用扣除后的价格参与评审。满足多项优惠政策的供应商，不重复享受多项价格扣除政策。</w:t>
      </w:r>
    </w:p>
    <w:p>
      <w:pPr>
        <w:ind w:firstLine="420" w:firstLineChars="200"/>
      </w:pPr>
      <w:r>
        <w:rPr>
          <w:rFonts w:hint="eastAsia"/>
        </w:rPr>
        <w:t>备注：（a）享受价格扣除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优惠主体制造是指货物由优惠主体生产且使用该优惠主体商号或者注册商标；投标人提供的货物既有优惠主体制造货物，又有非优惠主体制造货物的，不给予价格扣除。</w:t>
      </w:r>
    </w:p>
    <w:p>
      <w:pPr>
        <w:numPr>
          <w:ilvl w:val="255"/>
          <w:numId w:val="0"/>
        </w:numPr>
        <w:ind w:firstLine="420" w:firstLineChars="200"/>
        <w:rPr>
          <w:rFonts w:asciiTheme="minorEastAsia" w:hAnsiTheme="minorEastAsia" w:eastAsiaTheme="minorEastAsia" w:cstheme="minorEastAsia"/>
          <w:b/>
          <w:bCs/>
          <w:color w:val="FF0000"/>
          <w:szCs w:val="21"/>
        </w:rPr>
      </w:pPr>
      <w:bookmarkStart w:id="38" w:name="_Hlk71970739"/>
      <w:r>
        <w:rPr>
          <w:rFonts w:hint="eastAsia" w:asciiTheme="minorEastAsia" w:hAnsiTheme="minorEastAsia" w:eastAsiaTheme="minorEastAsia" w:cstheme="minorEastAsia"/>
          <w:szCs w:val="21"/>
        </w:rPr>
        <w:t>（2）中小企业参加政府采购活动，应当按照国务院批准的《中小企业划型标准规定》（工信部联企业〔2011〕300号）、《金融业企业划型标准规定》（银发〔2015〕309号）和《财政部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hint="eastAsia" w:asciiTheme="minorEastAsia" w:hAnsiTheme="minorEastAsia" w:eastAsiaTheme="minorEastAsia" w:cstheme="minorEastAsia"/>
          <w:b/>
          <w:bCs/>
          <w:color w:val="FF0000"/>
          <w:szCs w:val="21"/>
        </w:rPr>
        <w:t>《中小企业声明函》中相关企业（货物制造商）所属行业应当与采购标的所属行业相一致，</w:t>
      </w:r>
      <w:r>
        <w:rPr>
          <w:rFonts w:hint="eastAsia"/>
          <w:b/>
          <w:bCs/>
          <w:color w:val="FF0000"/>
        </w:rPr>
        <w:t>标的所属行业以招标文件第一册第三章用户需求书“货物清单明细”的“标的所属行业”一栏为准</w:t>
      </w:r>
      <w:r>
        <w:rPr>
          <w:rFonts w:hint="eastAsia" w:asciiTheme="minorEastAsia" w:hAnsiTheme="minorEastAsia" w:eastAsiaTheme="minorEastAsia" w:cstheme="minorEastAsia"/>
          <w:b/>
          <w:bCs/>
          <w:color w:val="FF0000"/>
          <w:szCs w:val="21"/>
        </w:rPr>
        <w:t>。</w:t>
      </w:r>
      <w:bookmarkEnd w:id="38"/>
    </w:p>
    <w:p>
      <w:pPr>
        <w:numPr>
          <w:ilvl w:val="0"/>
          <w:numId w:val="9"/>
        </w:numPr>
        <w:ind w:firstLine="420" w:firstLineChars="200"/>
      </w:pPr>
      <w:r>
        <w:rPr>
          <w:rFonts w:hint="eastAsia" w:asciiTheme="minorEastAsia" w:hAnsiTheme="minorEastAsia" w:eastAsiaTheme="minorEastAsia" w:cstheme="minorEastAsia"/>
          <w:szCs w:val="21"/>
        </w:rPr>
        <w:t>小型企业、微型企业、残疾人福利性单位作为优惠主体的认定资料为《中小企业声明函》、《残疾人福利性单</w:t>
      </w:r>
      <w:r>
        <w:rPr>
          <w:rFonts w:hint="eastAsia"/>
        </w:rPr>
        <w:t>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pPr>
        <w:ind w:firstLine="420" w:firstLineChars="200"/>
        <w:rPr>
          <w:color w:val="FF0000"/>
        </w:rPr>
      </w:pPr>
      <w:r>
        <w:rPr>
          <w:rFonts w:hint="eastAsia"/>
        </w:rPr>
        <w:t>（4）享受价格扣除获得政府采购合同的，小微企业不得将合同分包给大中型企业。</w:t>
      </w:r>
    </w:p>
    <w:p>
      <w:pPr>
        <w:ind w:firstLine="422" w:firstLineChars="200"/>
        <w:rPr>
          <w:b/>
          <w:bCs/>
        </w:rPr>
      </w:pPr>
      <w:r>
        <w:rPr>
          <w:rFonts w:hint="eastAsia"/>
          <w:b/>
          <w:bCs/>
        </w:rPr>
        <w:t>2、本项目为代理服务项目，将向中标（成交）供应商收取代理服务费。</w:t>
      </w:r>
    </w:p>
    <w:p>
      <w:pPr>
        <w:ind w:firstLine="420" w:firstLineChars="200"/>
      </w:pPr>
      <w:r>
        <w:rPr>
          <w:rFonts w:hint="eastAsia"/>
        </w:rPr>
        <w:t>中标（成交）供应商在领取《中标（成交）通知书》之前须向深圳公共资源交易中心（深圳交易集团有限公司龙岗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本项目类型为货物采购：</w:t>
      </w:r>
    </w:p>
    <w:p>
      <w:pPr>
        <w:ind w:firstLine="420" w:firstLineChars="200"/>
      </w:pPr>
      <w:r>
        <w:rPr>
          <w:rFonts w:hint="eastAsia"/>
        </w:rPr>
        <w:t>（1）代理服务费以《中标（成交）通知书》确定的中标（成交）金额作为计算基数，按差额定率累进法计算。</w:t>
      </w:r>
    </w:p>
    <w:p>
      <w:pPr>
        <w:ind w:firstLine="420" w:firstLineChars="200"/>
      </w:pPr>
      <w:r>
        <w:rPr>
          <w:rFonts w:hint="eastAsia"/>
        </w:rPr>
        <w:t>（2）中标（成交）金额的各部分费率如下表：</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spacing w:line="360" w:lineRule="auto"/>
              <w:jc w:val="center"/>
            </w:pPr>
            <w:r>
              <w:rPr>
                <w:rFonts w:hint="eastAsia"/>
              </w:rPr>
              <w:t>中标（成交）金额</w:t>
            </w:r>
          </w:p>
        </w:tc>
        <w:tc>
          <w:tcPr>
            <w:tcW w:w="1799" w:type="dxa"/>
            <w:vAlign w:val="center"/>
          </w:tcPr>
          <w:p>
            <w:pPr>
              <w:widowControl/>
              <w:spacing w:line="360" w:lineRule="auto"/>
              <w:jc w:val="center"/>
            </w:pPr>
            <w:r>
              <w:rPr>
                <w:rFonts w:hint="eastAsia"/>
              </w:rPr>
              <w:t>货物采购</w:t>
            </w:r>
          </w:p>
        </w:tc>
        <w:tc>
          <w:tcPr>
            <w:tcW w:w="1799" w:type="dxa"/>
            <w:vAlign w:val="center"/>
          </w:tcPr>
          <w:p>
            <w:pPr>
              <w:widowControl/>
              <w:spacing w:line="360" w:lineRule="auto"/>
              <w:jc w:val="center"/>
            </w:pPr>
            <w:r>
              <w:rPr>
                <w:rFonts w:hint="eastAsia"/>
              </w:rPr>
              <w:t>服务采购</w:t>
            </w:r>
          </w:p>
        </w:tc>
        <w:tc>
          <w:tcPr>
            <w:tcW w:w="1799" w:type="dxa"/>
            <w:vAlign w:val="center"/>
          </w:tcPr>
          <w:p>
            <w:pPr>
              <w:widowControl/>
              <w:spacing w:line="360" w:lineRule="auto"/>
              <w:jc w:val="center"/>
            </w:pPr>
            <w:r>
              <w:rPr>
                <w:rFonts w:hint="eastAsia"/>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25" w:type="dxa"/>
            <w:vAlign w:val="center"/>
          </w:tcPr>
          <w:p>
            <w:pPr>
              <w:widowControl/>
              <w:spacing w:line="360" w:lineRule="auto"/>
              <w:jc w:val="center"/>
            </w:pPr>
            <w:r>
              <w:rPr>
                <w:rFonts w:hint="eastAsia"/>
              </w:rPr>
              <w:t>100万元以下</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100万元（含）-500万元</w:t>
            </w:r>
          </w:p>
        </w:tc>
        <w:tc>
          <w:tcPr>
            <w:tcW w:w="1799" w:type="dxa"/>
            <w:vAlign w:val="center"/>
          </w:tcPr>
          <w:p>
            <w:pPr>
              <w:widowControl/>
              <w:spacing w:line="360" w:lineRule="auto"/>
              <w:jc w:val="center"/>
            </w:pPr>
            <w:r>
              <w:rPr>
                <w:rFonts w:hint="eastAsia"/>
              </w:rPr>
              <w:t>1.1%</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500万元（含）-1000万元</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0.45%</w:t>
            </w:r>
          </w:p>
        </w:tc>
        <w:tc>
          <w:tcPr>
            <w:tcW w:w="1799" w:type="dxa"/>
            <w:vAlign w:val="center"/>
          </w:tcPr>
          <w:p>
            <w:pPr>
              <w:widowControl/>
              <w:spacing w:line="360" w:lineRule="auto"/>
              <w:jc w:val="center"/>
            </w:pPr>
            <w:r>
              <w:rPr>
                <w:rFonts w:hint="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1000万元（含）-5000万元</w:t>
            </w:r>
          </w:p>
        </w:tc>
        <w:tc>
          <w:tcPr>
            <w:tcW w:w="1799" w:type="dxa"/>
            <w:vAlign w:val="center"/>
          </w:tcPr>
          <w:p>
            <w:pPr>
              <w:widowControl/>
              <w:spacing w:line="360" w:lineRule="auto"/>
              <w:jc w:val="center"/>
            </w:pPr>
            <w:r>
              <w:rPr>
                <w:rFonts w:hint="eastAsia"/>
              </w:rPr>
              <w:t>0.5%</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25" w:type="dxa"/>
            <w:vAlign w:val="center"/>
          </w:tcPr>
          <w:p>
            <w:pPr>
              <w:widowControl/>
              <w:spacing w:line="360" w:lineRule="auto"/>
              <w:jc w:val="center"/>
            </w:pPr>
            <w:r>
              <w:rPr>
                <w:rFonts w:hint="eastAsia"/>
              </w:rPr>
              <w:t>5000万元（含）-1亿元</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0.1%</w:t>
            </w:r>
          </w:p>
        </w:tc>
        <w:tc>
          <w:tcPr>
            <w:tcW w:w="1799" w:type="dxa"/>
            <w:vAlign w:val="center"/>
          </w:tcPr>
          <w:p>
            <w:pPr>
              <w:widowControl/>
              <w:spacing w:line="360" w:lineRule="auto"/>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1亿元（含）-5亿元</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5亿元（含）-10亿元</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spacing w:line="360" w:lineRule="auto"/>
              <w:jc w:val="center"/>
            </w:pPr>
            <w:r>
              <w:rPr>
                <w:rFonts w:hint="eastAsia"/>
              </w:rPr>
              <w:t>10亿元（含）-50亿元</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25" w:type="dxa"/>
            <w:vAlign w:val="center"/>
          </w:tcPr>
          <w:p>
            <w:pPr>
              <w:widowControl/>
              <w:spacing w:line="360" w:lineRule="auto"/>
              <w:jc w:val="center"/>
            </w:pPr>
            <w:r>
              <w:rPr>
                <w:rFonts w:hint="eastAsia"/>
              </w:rPr>
              <w:t>50亿元（含）-100亿元</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25" w:type="dxa"/>
            <w:vAlign w:val="center"/>
          </w:tcPr>
          <w:p>
            <w:pPr>
              <w:widowControl/>
              <w:spacing w:line="360" w:lineRule="auto"/>
              <w:jc w:val="center"/>
            </w:pPr>
            <w:r>
              <w:rPr>
                <w:rFonts w:hint="eastAsia"/>
              </w:rPr>
              <w:t>100亿元（含）以上</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r>
    </w:tbl>
    <w:p>
      <w:pPr>
        <w:ind w:firstLine="420" w:firstLineChars="200"/>
      </w:pPr>
      <w:r>
        <w:rPr>
          <w:rFonts w:hint="eastAsia"/>
        </w:rPr>
        <w:t>备注：1.每宗交易代理服务费不低于 5000 元；</w:t>
      </w:r>
    </w:p>
    <w:p>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pPr>
        <w:ind w:firstLine="420" w:firstLineChars="200"/>
      </w:pPr>
    </w:p>
    <w:p>
      <w:pPr>
        <w:ind w:firstLine="420" w:firstLineChars="200"/>
      </w:pPr>
      <w:r>
        <w:rPr>
          <w:rFonts w:hint="eastAsia"/>
        </w:rPr>
        <w:t>如某货物采购项目，中标（成交）金额为600万元，总共交纳的代理服务费的具体计算过程如下：</w:t>
      </w:r>
    </w:p>
    <w:p>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pPr>
        <w:ind w:firstLine="420" w:firstLineChars="200"/>
      </w:pPr>
      <w:r>
        <w:rPr>
          <w:rFonts w:hint="eastAsia"/>
        </w:rPr>
        <w:t>（3）中标（成交）供应商中标（成交）后，必须按规定采用银行对公转账方式向深圳交易集团有限公司直接交纳代理服务费，交纳信息及要求按照缴款（付款）通知书执行。</w:t>
      </w:r>
    </w:p>
    <w:p>
      <w:pPr>
        <w:pStyle w:val="9"/>
      </w:pPr>
    </w:p>
    <w:p>
      <w:pPr>
        <w:pStyle w:val="38"/>
        <w:rPr>
          <w:b/>
        </w:rPr>
      </w:pPr>
    </w:p>
    <w:p>
      <w:pPr>
        <w:pStyle w:val="38"/>
        <w:rPr>
          <w:b/>
        </w:rPr>
        <w:sectPr>
          <w:pgSz w:w="11907" w:h="16840"/>
          <w:pgMar w:top="1440" w:right="1797" w:bottom="1440" w:left="1797" w:header="851" w:footer="992" w:gutter="0"/>
          <w:cols w:space="425" w:num="1"/>
          <w:titlePg/>
          <w:docGrid w:linePitch="462" w:charSpace="0"/>
        </w:sectPr>
      </w:pPr>
    </w:p>
    <w:bookmarkEnd w:id="36"/>
    <w:p>
      <w:pPr>
        <w:pStyle w:val="6"/>
        <w:rPr>
          <w:sz w:val="28"/>
          <w:szCs w:val="28"/>
        </w:rPr>
      </w:pPr>
      <w:r>
        <w:rPr>
          <w:rFonts w:hint="eastAsia"/>
          <w:sz w:val="28"/>
          <w:szCs w:val="28"/>
        </w:rPr>
        <w:t>第三章 用户需求书</w:t>
      </w:r>
    </w:p>
    <w:p>
      <w:pPr>
        <w:pStyle w:val="6"/>
        <w:spacing w:before="120" w:beforeLines="50" w:after="120" w:afterLines="50"/>
        <w:rPr>
          <w:szCs w:val="24"/>
        </w:rPr>
      </w:pPr>
      <w:r>
        <w:rPr>
          <w:rFonts w:hint="eastAsia"/>
          <w:szCs w:val="24"/>
        </w:rPr>
        <w:t>一、项目基本信息</w:t>
      </w:r>
    </w:p>
    <w:p>
      <w:pPr>
        <w:rPr>
          <w:rFonts w:ascii="宋体" w:hAnsi="宋体"/>
          <w:b/>
          <w:color w:val="FF0000"/>
          <w:szCs w:val="21"/>
        </w:rPr>
      </w:pPr>
    </w:p>
    <w:tbl>
      <w:tblPr>
        <w:tblStyle w:val="44"/>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2603"/>
        <w:gridCol w:w="3158"/>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 w:type="dxa"/>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序号</w:t>
            </w:r>
          </w:p>
        </w:tc>
        <w:tc>
          <w:tcPr>
            <w:tcW w:w="2603" w:type="dxa"/>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采购项目编号</w:t>
            </w:r>
          </w:p>
        </w:tc>
        <w:tc>
          <w:tcPr>
            <w:tcW w:w="3158" w:type="dxa"/>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采购项目名称</w:t>
            </w:r>
          </w:p>
        </w:tc>
        <w:tc>
          <w:tcPr>
            <w:tcW w:w="2355" w:type="dxa"/>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 w:type="dxa"/>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w:t>
            </w:r>
          </w:p>
        </w:tc>
        <w:tc>
          <w:tcPr>
            <w:tcW w:w="2603" w:type="dxa"/>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SZZXCG-2025-00206</w:t>
            </w:r>
          </w:p>
        </w:tc>
        <w:tc>
          <w:tcPr>
            <w:tcW w:w="3158" w:type="dxa"/>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深圳北理莫斯科大学工程系脑电分析仪采购项目</w:t>
            </w:r>
          </w:p>
        </w:tc>
        <w:tc>
          <w:tcPr>
            <w:tcW w:w="2355" w:type="dxa"/>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4" w:type="dxa"/>
            <w:gridSpan w:val="3"/>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合计</w:t>
            </w:r>
          </w:p>
        </w:tc>
        <w:tc>
          <w:tcPr>
            <w:tcW w:w="2355" w:type="dxa"/>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550000.00</w:t>
            </w:r>
          </w:p>
        </w:tc>
      </w:tr>
    </w:tbl>
    <w:p>
      <w:pPr>
        <w:rPr>
          <w:rFonts w:ascii="宋体" w:hAnsi="宋体"/>
          <w:b/>
          <w:color w:val="FF0000"/>
          <w:szCs w:val="21"/>
        </w:rPr>
      </w:pPr>
    </w:p>
    <w:p>
      <w:pPr>
        <w:rPr>
          <w:rFonts w:ascii="宋体" w:hAnsi="宋体"/>
          <w:b/>
          <w:color w:val="FF0000"/>
          <w:szCs w:val="21"/>
        </w:rPr>
      </w:pPr>
    </w:p>
    <w:p>
      <w:pPr>
        <w:pStyle w:val="6"/>
        <w:spacing w:before="120" w:beforeLines="50" w:after="120" w:afterLines="50"/>
        <w:rPr>
          <w:szCs w:val="24"/>
        </w:rPr>
      </w:pPr>
      <w:bookmarkStart w:id="39" w:name="_Hlk72258617"/>
      <w:r>
        <w:rPr>
          <w:rFonts w:hint="eastAsia"/>
          <w:szCs w:val="24"/>
        </w:rPr>
        <w:t>二、</w:t>
      </w:r>
      <w:bookmarkStart w:id="40" w:name="_Hlk72073432"/>
      <w:r>
        <w:rPr>
          <w:rFonts w:hint="eastAsia"/>
          <w:szCs w:val="24"/>
        </w:rPr>
        <w:t>货物清单明细</w:t>
      </w:r>
      <w:bookmarkEnd w:id="40"/>
    </w:p>
    <w:tbl>
      <w:tblPr>
        <w:tblStyle w:val="44"/>
        <w:tblW w:w="48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2206"/>
        <w:gridCol w:w="974"/>
        <w:gridCol w:w="869"/>
        <w:gridCol w:w="1578"/>
        <w:gridCol w:w="919"/>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pPr>
              <w:jc w:val="center"/>
              <w:rPr>
                <w:bCs/>
                <w:szCs w:val="21"/>
              </w:rPr>
            </w:pPr>
            <w:r>
              <w:rPr>
                <w:rFonts w:hint="eastAsia"/>
                <w:bCs/>
                <w:szCs w:val="21"/>
              </w:rPr>
              <w:t>序号</w:t>
            </w:r>
          </w:p>
        </w:tc>
        <w:tc>
          <w:tcPr>
            <w:tcW w:w="1326" w:type="pct"/>
            <w:vAlign w:val="center"/>
          </w:tcPr>
          <w:p>
            <w:pPr>
              <w:jc w:val="center"/>
              <w:rPr>
                <w:bCs/>
                <w:szCs w:val="21"/>
              </w:rPr>
            </w:pPr>
            <w:r>
              <w:rPr>
                <w:rFonts w:hint="eastAsia"/>
                <w:bCs/>
                <w:szCs w:val="21"/>
              </w:rPr>
              <w:t>货物名称（标的名称）</w:t>
            </w:r>
          </w:p>
        </w:tc>
        <w:tc>
          <w:tcPr>
            <w:tcW w:w="585" w:type="pct"/>
            <w:vAlign w:val="center"/>
          </w:tcPr>
          <w:p>
            <w:pPr>
              <w:jc w:val="center"/>
              <w:rPr>
                <w:bCs/>
                <w:szCs w:val="21"/>
              </w:rPr>
            </w:pPr>
            <w:r>
              <w:rPr>
                <w:rFonts w:hint="eastAsia"/>
                <w:bCs/>
                <w:szCs w:val="21"/>
              </w:rPr>
              <w:t>数量</w:t>
            </w:r>
          </w:p>
        </w:tc>
        <w:tc>
          <w:tcPr>
            <w:tcW w:w="522" w:type="pct"/>
            <w:vAlign w:val="center"/>
          </w:tcPr>
          <w:p>
            <w:pPr>
              <w:jc w:val="center"/>
              <w:rPr>
                <w:bCs/>
                <w:szCs w:val="21"/>
              </w:rPr>
            </w:pPr>
            <w:r>
              <w:rPr>
                <w:rFonts w:hint="eastAsia"/>
                <w:bCs/>
                <w:szCs w:val="21"/>
              </w:rPr>
              <w:t>单位</w:t>
            </w:r>
          </w:p>
        </w:tc>
        <w:tc>
          <w:tcPr>
            <w:tcW w:w="948" w:type="pct"/>
            <w:vAlign w:val="center"/>
          </w:tcPr>
          <w:p>
            <w:pPr>
              <w:jc w:val="center"/>
              <w:rPr>
                <w:bCs/>
                <w:szCs w:val="21"/>
              </w:rPr>
            </w:pPr>
            <w:r>
              <w:rPr>
                <w:rFonts w:hint="eastAsia"/>
                <w:bCs/>
                <w:szCs w:val="21"/>
              </w:rPr>
              <w:t>是否接受进口</w:t>
            </w:r>
          </w:p>
        </w:tc>
        <w:tc>
          <w:tcPr>
            <w:tcW w:w="552" w:type="pct"/>
            <w:vAlign w:val="center"/>
          </w:tcPr>
          <w:p>
            <w:pPr>
              <w:jc w:val="center"/>
              <w:rPr>
                <w:bCs/>
                <w:szCs w:val="21"/>
              </w:rPr>
            </w:pPr>
            <w:r>
              <w:rPr>
                <w:rFonts w:hint="eastAsia"/>
                <w:bCs/>
                <w:szCs w:val="21"/>
              </w:rPr>
              <w:t>是否专门面向中小企业</w:t>
            </w:r>
          </w:p>
        </w:tc>
        <w:tc>
          <w:tcPr>
            <w:tcW w:w="682" w:type="pct"/>
            <w:vAlign w:val="center"/>
          </w:tcPr>
          <w:p>
            <w:pPr>
              <w:jc w:val="center"/>
              <w:rPr>
                <w:bCs/>
                <w:szCs w:val="21"/>
              </w:rPr>
            </w:pPr>
            <w:r>
              <w:rPr>
                <w:rFonts w:hint="eastAsia"/>
                <w:bCs/>
                <w:szCs w:val="21"/>
              </w:rPr>
              <w:t>标的所属行业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pPr>
              <w:jc w:val="center"/>
              <w:rPr>
                <w:bCs/>
                <w:szCs w:val="21"/>
              </w:rPr>
            </w:pPr>
            <w:r>
              <w:rPr>
                <w:rFonts w:hint="eastAsia"/>
                <w:bCs/>
                <w:szCs w:val="21"/>
              </w:rPr>
              <w:t>1</w:t>
            </w:r>
          </w:p>
        </w:tc>
        <w:tc>
          <w:tcPr>
            <w:tcW w:w="1326" w:type="pct"/>
            <w:vAlign w:val="center"/>
          </w:tcPr>
          <w:p>
            <w:pPr>
              <w:jc w:val="center"/>
              <w:rPr>
                <w:bCs/>
                <w:szCs w:val="21"/>
              </w:rPr>
            </w:pPr>
            <w:r>
              <w:rPr>
                <w:rFonts w:hint="eastAsia"/>
                <w:bCs/>
                <w:szCs w:val="21"/>
              </w:rPr>
              <w:t>脑电分析仪</w:t>
            </w:r>
          </w:p>
        </w:tc>
        <w:tc>
          <w:tcPr>
            <w:tcW w:w="585" w:type="pct"/>
            <w:vAlign w:val="center"/>
          </w:tcPr>
          <w:p>
            <w:pPr>
              <w:jc w:val="center"/>
              <w:rPr>
                <w:bCs/>
                <w:szCs w:val="21"/>
              </w:rPr>
            </w:pPr>
            <w:r>
              <w:rPr>
                <w:rFonts w:hint="eastAsia"/>
                <w:bCs/>
                <w:szCs w:val="21"/>
              </w:rPr>
              <w:t>1</w:t>
            </w:r>
          </w:p>
        </w:tc>
        <w:tc>
          <w:tcPr>
            <w:tcW w:w="522" w:type="pct"/>
            <w:vAlign w:val="center"/>
          </w:tcPr>
          <w:p>
            <w:pPr>
              <w:jc w:val="center"/>
              <w:rPr>
                <w:bCs/>
                <w:szCs w:val="21"/>
              </w:rPr>
            </w:pPr>
            <w:r>
              <w:rPr>
                <w:rFonts w:hint="eastAsia"/>
                <w:bCs/>
                <w:szCs w:val="21"/>
              </w:rPr>
              <w:t>套</w:t>
            </w:r>
          </w:p>
        </w:tc>
        <w:tc>
          <w:tcPr>
            <w:tcW w:w="948" w:type="pct"/>
            <w:vAlign w:val="center"/>
          </w:tcPr>
          <w:p>
            <w:pPr>
              <w:jc w:val="center"/>
              <w:rPr>
                <w:b/>
                <w:bCs/>
                <w:color w:val="FF0000"/>
                <w:szCs w:val="21"/>
              </w:rPr>
            </w:pPr>
            <w:r>
              <w:rPr>
                <w:rFonts w:hint="eastAsia"/>
                <w:b/>
                <w:bCs/>
                <w:color w:val="FF0000"/>
                <w:szCs w:val="21"/>
              </w:rPr>
              <w:t>接受进口</w:t>
            </w:r>
          </w:p>
        </w:tc>
        <w:tc>
          <w:tcPr>
            <w:tcW w:w="552" w:type="pct"/>
            <w:vAlign w:val="center"/>
          </w:tcPr>
          <w:p>
            <w:pPr>
              <w:jc w:val="center"/>
              <w:rPr>
                <w:b/>
                <w:bCs/>
                <w:color w:val="FF0000"/>
                <w:szCs w:val="21"/>
              </w:rPr>
            </w:pPr>
            <w:r>
              <w:rPr>
                <w:rFonts w:hint="eastAsia"/>
                <w:b/>
                <w:bCs/>
                <w:color w:val="FF0000"/>
                <w:szCs w:val="21"/>
              </w:rPr>
              <w:t>否</w:t>
            </w:r>
          </w:p>
        </w:tc>
        <w:tc>
          <w:tcPr>
            <w:tcW w:w="682" w:type="pct"/>
            <w:vAlign w:val="center"/>
          </w:tcPr>
          <w:p>
            <w:pPr>
              <w:jc w:val="center"/>
              <w:rPr>
                <w:rFonts w:hint="default" w:eastAsia="宋体"/>
                <w:b/>
                <w:bCs/>
                <w:color w:val="FF0000"/>
                <w:szCs w:val="21"/>
                <w:lang w:val="en-US" w:eastAsia="zh-CN"/>
              </w:rPr>
            </w:pPr>
            <w:r>
              <w:rPr>
                <w:rFonts w:hint="eastAsia"/>
                <w:b/>
                <w:bCs/>
                <w:color w:val="FF0000"/>
                <w:szCs w:val="21"/>
                <w:lang w:val="en-US" w:eastAsia="zh-CN"/>
              </w:rPr>
              <w:t>工业</w:t>
            </w:r>
          </w:p>
        </w:tc>
      </w:tr>
    </w:tbl>
    <w:p>
      <w:pPr>
        <w:ind w:firstLine="422" w:firstLineChars="200"/>
        <w:rPr>
          <w:rFonts w:ascii="宋体" w:hAnsi="宋体"/>
          <w:b/>
          <w:color w:val="FF0000"/>
          <w:szCs w:val="21"/>
        </w:rPr>
      </w:pPr>
      <w:r>
        <w:rPr>
          <w:rFonts w:hint="eastAsia" w:ascii="宋体" w:hAnsi="宋体"/>
          <w:b/>
          <w:color w:val="FF0000"/>
          <w:szCs w:val="21"/>
        </w:rPr>
        <w:t xml:space="preserve">备注：1.备注栏注明“拒绝进口”的产品不接受投标人选用进口产品参与投标；注明“接受进口”的产品允许投标人选用进口产品参与投标，但不排斥国内产品。 </w:t>
      </w:r>
    </w:p>
    <w:p>
      <w:pPr>
        <w:ind w:firstLine="422" w:firstLineChars="200"/>
        <w:rPr>
          <w:rFonts w:ascii="宋体" w:hAnsi="宋体"/>
          <w:b/>
          <w:color w:val="FF0000"/>
          <w:szCs w:val="21"/>
        </w:rPr>
      </w:pPr>
      <w:r>
        <w:rPr>
          <w:rFonts w:hint="eastAsia" w:ascii="宋体" w:hAnsi="宋体"/>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ind w:firstLine="422" w:firstLineChars="200"/>
        <w:rPr>
          <w:rFonts w:ascii="宋体" w:hAnsi="宋体"/>
          <w:b/>
          <w:color w:val="FF0000"/>
          <w:szCs w:val="21"/>
        </w:rPr>
      </w:pPr>
      <w:r>
        <w:rPr>
          <w:rFonts w:hint="eastAsia" w:ascii="宋体" w:hAnsi="宋体"/>
          <w:b/>
          <w:color w:val="FF0000"/>
          <w:szCs w:val="21"/>
        </w:rPr>
        <w:t>3、本项目核心产品为：</w:t>
      </w:r>
      <w:r>
        <w:rPr>
          <w:rFonts w:hint="eastAsia" w:ascii="宋体" w:hAnsi="宋体"/>
          <w:b/>
          <w:color w:val="FF0000"/>
          <w:szCs w:val="21"/>
          <w:u w:val="single"/>
        </w:rPr>
        <w:t xml:space="preserve">   脑电分析仪  </w:t>
      </w:r>
      <w:r>
        <w:rPr>
          <w:rFonts w:hint="eastAsia" w:ascii="宋体" w:hAnsi="宋体"/>
          <w:b/>
          <w:color w:val="FF0000"/>
          <w:szCs w:val="21"/>
        </w:rPr>
        <w:t>。</w:t>
      </w:r>
    </w:p>
    <w:bookmarkEnd w:id="39"/>
    <w:p>
      <w:pPr>
        <w:rPr>
          <w:rFonts w:ascii="宋体" w:hAnsi="宋体"/>
          <w:b/>
          <w:color w:val="FF0000"/>
          <w:szCs w:val="21"/>
        </w:rPr>
      </w:pPr>
    </w:p>
    <w:p>
      <w:pPr>
        <w:pStyle w:val="9"/>
      </w:pPr>
    </w:p>
    <w:p>
      <w:pPr>
        <w:pStyle w:val="6"/>
        <w:spacing w:before="120" w:beforeLines="50" w:after="120" w:afterLines="50"/>
        <w:rPr>
          <w:sz w:val="28"/>
          <w:szCs w:val="28"/>
        </w:rPr>
      </w:pPr>
      <w:bookmarkStart w:id="41" w:name="_Toc128884461"/>
      <w:r>
        <w:rPr>
          <w:rFonts w:hint="eastAsia"/>
          <w:sz w:val="28"/>
          <w:szCs w:val="28"/>
        </w:rPr>
        <w:t>三、实质性条款</w:t>
      </w:r>
    </w:p>
    <w:tbl>
      <w:tblPr>
        <w:tblStyle w:val="4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7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4448" w:type="pct"/>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vAlign w:val="center"/>
          </w:tcPr>
          <w:p>
            <w:pPr>
              <w:adjustRightInd w:val="0"/>
              <w:snapToGrid w:val="0"/>
              <w:spacing w:line="360" w:lineRule="auto"/>
              <w:rPr>
                <w:rFonts w:ascii="宋体" w:hAnsi="宋体"/>
                <w:kern w:val="0"/>
                <w:szCs w:val="21"/>
              </w:rPr>
            </w:pPr>
            <w:r>
              <w:rPr>
                <w:rFonts w:hint="eastAsia" w:ascii="宋体" w:hAnsi="宋体"/>
                <w:kern w:val="0"/>
                <w:szCs w:val="21"/>
              </w:rPr>
              <w:t>4</w:t>
            </w:r>
          </w:p>
        </w:tc>
        <w:tc>
          <w:tcPr>
            <w:tcW w:w="4448" w:type="pct"/>
            <w:vAlign w:val="center"/>
          </w:tcPr>
          <w:p>
            <w:pPr>
              <w:adjustRightInd w:val="0"/>
              <w:snapToGrid w:val="0"/>
              <w:spacing w:line="360" w:lineRule="auto"/>
              <w:rPr>
                <w:rFonts w:hAnsi="宋体"/>
                <w:kern w:val="0"/>
                <w:szCs w:val="21"/>
              </w:rPr>
            </w:pPr>
            <w:r>
              <w:rPr>
                <w:rFonts w:hint="eastAsia" w:ascii="宋体" w:hAnsi="宋体"/>
                <w:kern w:val="0"/>
                <w:szCs w:val="21"/>
              </w:rPr>
              <w:t>具体以采购文件第三章 用户需求书中带“★”的需求项为准。</w:t>
            </w:r>
          </w:p>
        </w:tc>
      </w:tr>
    </w:tbl>
    <w:p>
      <w:pPr>
        <w:rPr>
          <w:b/>
        </w:rPr>
      </w:pPr>
      <w:r>
        <w:rPr>
          <w:rFonts w:hint="eastAsia"/>
          <w:b/>
        </w:rPr>
        <w:t>注：上表所列内容为不可负偏离条款</w:t>
      </w:r>
      <w:bookmarkEnd w:id="41"/>
      <w:r>
        <w:rPr>
          <w:rFonts w:hint="eastAsia"/>
          <w:b/>
        </w:rPr>
        <w:t>，负偏离将视为未实质性满足招标文件要求作投标无效处理。</w:t>
      </w:r>
    </w:p>
    <w:p>
      <w:pPr>
        <w:rPr>
          <w:b/>
          <w:szCs w:val="21"/>
        </w:rPr>
      </w:pPr>
    </w:p>
    <w:p>
      <w:pPr>
        <w:pStyle w:val="9"/>
      </w:pPr>
    </w:p>
    <w:p>
      <w:pPr>
        <w:pStyle w:val="6"/>
        <w:spacing w:before="120" w:beforeLines="50" w:after="120" w:afterLines="50"/>
        <w:rPr>
          <w:sz w:val="28"/>
          <w:szCs w:val="28"/>
        </w:rPr>
      </w:pPr>
      <w:r>
        <w:rPr>
          <w:rFonts w:hint="eastAsia"/>
          <w:sz w:val="28"/>
          <w:szCs w:val="28"/>
        </w:rPr>
        <w:t>四、技术要求</w:t>
      </w:r>
    </w:p>
    <w:p>
      <w:pPr>
        <w:ind w:firstLine="422" w:firstLineChars="200"/>
        <w:rPr>
          <w:b/>
        </w:rPr>
      </w:pPr>
      <w:bookmarkStart w:id="42" w:name="_Hlk72585069"/>
      <w:r>
        <w:rPr>
          <w:rFonts w:hint="eastAsia"/>
          <w:b/>
          <w:szCs w:val="21"/>
        </w:rPr>
        <w:t>说明：</w:t>
      </w:r>
      <w:r>
        <w:rPr>
          <w:b/>
          <w:szCs w:val="21"/>
        </w:rPr>
        <w:t xml:space="preserve"> </w:t>
      </w:r>
      <w:r>
        <w:rPr>
          <w:b/>
        </w:rPr>
        <w:t>1</w:t>
      </w:r>
      <w:r>
        <w:rPr>
          <w:rFonts w:hint="eastAsia"/>
          <w:b/>
        </w:rPr>
        <w:t>、评分时，如对一项招标技术要求（以序号1，2，3。。。为准）存在负偏离的，在评分时作一项负偏离扣分。</w:t>
      </w:r>
    </w:p>
    <w:p>
      <w:pPr>
        <w:ind w:firstLine="422" w:firstLineChars="200"/>
        <w:rPr>
          <w:b/>
          <w:szCs w:val="21"/>
        </w:rPr>
      </w:pPr>
      <w:r>
        <w:rPr>
          <w:b/>
          <w:szCs w:val="21"/>
        </w:rPr>
        <w:t>2</w:t>
      </w:r>
      <w:r>
        <w:rPr>
          <w:rFonts w:hint="eastAsia"/>
          <w:b/>
          <w:szCs w:val="21"/>
        </w:rPr>
        <w:t>、带★号条款为不可负偏离条款，不作为评分准则中的评分内容，如未响应或出现负偏离的，将作投标无效处理；带“</w:t>
      </w:r>
      <w:r>
        <w:t>▲</w:t>
      </w:r>
      <w:r>
        <w:rPr>
          <w:rFonts w:hint="eastAsia"/>
          <w:b/>
          <w:szCs w:val="21"/>
        </w:rPr>
        <w:t>”指标项为重要参数条款，负偏离时依相关评分准则内容作重点扣分处理。</w:t>
      </w:r>
    </w:p>
    <w:p>
      <w:pPr>
        <w:ind w:firstLine="422" w:firstLineChars="200"/>
        <w:rPr>
          <w:b/>
          <w:szCs w:val="21"/>
        </w:rPr>
      </w:pPr>
      <w:r>
        <w:rPr>
          <w:b/>
          <w:szCs w:val="21"/>
        </w:rPr>
        <w:t>3</w:t>
      </w:r>
      <w:r>
        <w:rPr>
          <w:rFonts w:hint="eastAsia"/>
          <w:b/>
          <w:szCs w:val="21"/>
        </w:rPr>
        <w:t>、招标技术要求中，用红色加粗字体标注的指标项均要求提供证明资料；其余指标项未要求提供证明资料，无需提供相关证明资料。</w:t>
      </w:r>
    </w:p>
    <w:p>
      <w:pPr>
        <w:pStyle w:val="54"/>
        <w:ind w:firstLine="422"/>
        <w:rPr>
          <w:b/>
          <w:szCs w:val="21"/>
        </w:rPr>
      </w:pPr>
    </w:p>
    <w:p>
      <w:pPr>
        <w:pStyle w:val="54"/>
        <w:ind w:firstLine="422"/>
        <w:rPr>
          <w:b/>
          <w:szCs w:val="21"/>
        </w:rPr>
      </w:pPr>
    </w:p>
    <w:p>
      <w:pPr>
        <w:pStyle w:val="54"/>
        <w:ind w:firstLine="422"/>
        <w:rPr>
          <w:b/>
          <w:szCs w:val="21"/>
        </w:rPr>
      </w:pPr>
    </w:p>
    <w:bookmarkEnd w:id="42"/>
    <w:tbl>
      <w:tblPr>
        <w:tblStyle w:val="44"/>
        <w:tblW w:w="8291" w:type="dxa"/>
        <w:tblInd w:w="93" w:type="dxa"/>
        <w:tblLayout w:type="autofit"/>
        <w:tblCellMar>
          <w:top w:w="0" w:type="dxa"/>
          <w:left w:w="108" w:type="dxa"/>
          <w:bottom w:w="0" w:type="dxa"/>
          <w:right w:w="108" w:type="dxa"/>
        </w:tblCellMar>
      </w:tblPr>
      <w:tblGrid>
        <w:gridCol w:w="703"/>
        <w:gridCol w:w="1238"/>
        <w:gridCol w:w="6350"/>
      </w:tblGrid>
      <w:tr>
        <w:tblPrEx>
          <w:tblCellMar>
            <w:top w:w="0" w:type="dxa"/>
            <w:left w:w="108" w:type="dxa"/>
            <w:bottom w:w="0" w:type="dxa"/>
            <w:right w:w="108" w:type="dxa"/>
          </w:tblCellMar>
        </w:tblPrEx>
        <w:trPr>
          <w:trHeight w:val="22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货物名称</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000000"/>
                <w:szCs w:val="21"/>
              </w:rPr>
            </w:pPr>
            <w:r>
              <w:rPr>
                <w:rFonts w:hint="eastAsia" w:ascii="宋体" w:hAnsi="宋体" w:cs="宋体"/>
                <w:b/>
                <w:bCs/>
                <w:color w:val="000000"/>
                <w:kern w:val="0"/>
                <w:szCs w:val="21"/>
                <w:lang w:bidi="ar"/>
              </w:rPr>
              <w:t>招标技术要求</w:t>
            </w:r>
          </w:p>
        </w:tc>
      </w:tr>
      <w:tr>
        <w:tblPrEx>
          <w:tblCellMar>
            <w:top w:w="0" w:type="dxa"/>
            <w:left w:w="108" w:type="dxa"/>
            <w:bottom w:w="0" w:type="dxa"/>
            <w:right w:w="108" w:type="dxa"/>
          </w:tblCellMar>
        </w:tblPrEx>
        <w:trPr>
          <w:trHeight w:val="1121" w:hRule="atLeast"/>
        </w:trPr>
        <w:tc>
          <w:tcPr>
            <w:tcW w:w="70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123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脑电分析仪</w:t>
            </w: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8"/>
              <w:rPr>
                <w:rFonts w:ascii="宋体" w:hAnsi="宋体" w:cs="宋体"/>
                <w:b/>
                <w:bCs/>
                <w:color w:val="000000"/>
              </w:rPr>
            </w:pPr>
            <w:r>
              <w:rPr>
                <w:rFonts w:hint="eastAsia" w:ascii="宋体" w:hAnsi="宋体" w:cs="宋体"/>
                <w:b/>
                <w:bCs/>
                <w:color w:val="000000"/>
              </w:rPr>
              <w:t>一、硬件参数：</w:t>
            </w:r>
          </w:p>
          <w:p>
            <w:pPr>
              <w:pStyle w:val="478"/>
              <w:rPr>
                <w:rFonts w:ascii="宋体" w:hAnsi="宋体" w:cs="宋体"/>
                <w:color w:val="000000"/>
              </w:rPr>
            </w:pPr>
            <w:r>
              <w:rPr>
                <w:rFonts w:hint="eastAsia" w:ascii="宋体" w:hAnsi="宋体" w:cs="宋体"/>
                <w:color w:val="000000"/>
              </w:rPr>
              <w:t>1、具有ABR、EEG、ERP、ECOG、SPIKE（提供高阻转换器）等采集分析功能；</w:t>
            </w:r>
          </w:p>
          <w:p>
            <w:pPr>
              <w:pStyle w:val="478"/>
              <w:rPr>
                <w:rFonts w:ascii="宋体" w:hAnsi="宋体" w:cs="宋体"/>
                <w:color w:val="000000"/>
              </w:rPr>
            </w:pPr>
            <w:r>
              <w:rPr>
                <w:rFonts w:hint="eastAsia" w:ascii="宋体" w:hAnsi="宋体" w:cs="宋体"/>
                <w:color w:val="000000"/>
              </w:rPr>
              <w:t>★2、单体不少于70导放大器，采用硬件同步盒保证同步性，单个控制盒最多可同时控制4个放大器，确保放大器采集数据的同步性；</w:t>
            </w:r>
          </w:p>
          <w:p>
            <w:pPr>
              <w:pStyle w:val="478"/>
              <w:rPr>
                <w:rFonts w:ascii="宋体" w:hAnsi="宋体" w:cs="宋体"/>
                <w:color w:val="000000"/>
              </w:rPr>
            </w:pPr>
            <w:r>
              <w:rPr>
                <w:rFonts w:hint="eastAsia" w:ascii="宋体" w:hAnsi="宋体" w:cs="宋体"/>
                <w:color w:val="000000"/>
              </w:rPr>
              <w:t>3、最大升级容量：512导；</w:t>
            </w:r>
          </w:p>
          <w:p>
            <w:pPr>
              <w:pStyle w:val="478"/>
              <w:rPr>
                <w:rFonts w:ascii="宋体" w:hAnsi="宋体" w:cs="宋体"/>
                <w:color w:val="000000"/>
              </w:rPr>
            </w:pPr>
            <w:r>
              <w:rPr>
                <w:rFonts w:hint="eastAsia" w:ascii="宋体" w:hAnsi="宋体" w:cs="宋体"/>
                <w:color w:val="000000"/>
              </w:rPr>
              <w:t>★4、采样率:≥20,000 Hz/导，输入阻抗:≥5GOhms；</w:t>
            </w:r>
          </w:p>
          <w:p>
            <w:pPr>
              <w:pStyle w:val="478"/>
              <w:rPr>
                <w:rFonts w:ascii="宋体" w:hAnsi="宋体" w:cs="宋体"/>
                <w:color w:val="000000"/>
              </w:rPr>
            </w:pPr>
            <w:r>
              <w:rPr>
                <w:rFonts w:hint="eastAsia" w:ascii="宋体" w:hAnsi="宋体" w:cs="宋体"/>
                <w:color w:val="000000"/>
              </w:rPr>
              <w:t>5、带宽:0～3400 Hz；</w:t>
            </w:r>
          </w:p>
          <w:p>
            <w:pPr>
              <w:pStyle w:val="478"/>
              <w:rPr>
                <w:rFonts w:ascii="宋体" w:hAnsi="宋体" w:cs="宋体"/>
                <w:color w:val="000000"/>
              </w:rPr>
            </w:pPr>
            <w:r>
              <w:rPr>
                <w:rFonts w:hint="eastAsia" w:ascii="宋体" w:hAnsi="宋体" w:cs="宋体"/>
                <w:color w:val="000000"/>
              </w:rPr>
              <w:t>6、A/D 转换分辨率: 24Bit；</w:t>
            </w:r>
          </w:p>
          <w:p>
            <w:pPr>
              <w:pStyle w:val="478"/>
              <w:rPr>
                <w:rFonts w:ascii="宋体" w:hAnsi="宋体" w:cs="宋体"/>
                <w:color w:val="000000"/>
              </w:rPr>
            </w:pPr>
            <w:r>
              <w:rPr>
                <w:rFonts w:hint="eastAsia" w:ascii="宋体" w:hAnsi="宋体" w:cs="宋体"/>
                <w:color w:val="000000"/>
              </w:rPr>
              <w:t>7、共模抑制比:≥110dB，输入噪声:≤0.5uV；</w:t>
            </w:r>
          </w:p>
          <w:p>
            <w:pPr>
              <w:pStyle w:val="478"/>
              <w:rPr>
                <w:rFonts w:ascii="宋体" w:hAnsi="宋体" w:cs="宋体"/>
                <w:color w:val="000000"/>
              </w:rPr>
            </w:pPr>
            <w:r>
              <w:rPr>
                <w:rFonts w:hint="eastAsia" w:ascii="宋体" w:hAnsi="宋体" w:cs="宋体"/>
                <w:color w:val="000000"/>
              </w:rPr>
              <w:t>★8、信号分辨率:不大于10nV/bit；</w:t>
            </w:r>
          </w:p>
          <w:p>
            <w:pPr>
              <w:pStyle w:val="478"/>
              <w:rPr>
                <w:rFonts w:ascii="宋体" w:hAnsi="宋体" w:cs="宋体"/>
                <w:color w:val="000000"/>
              </w:rPr>
            </w:pPr>
            <w:r>
              <w:rPr>
                <w:rFonts w:hint="eastAsia" w:ascii="宋体" w:hAnsi="宋体" w:cs="宋体"/>
                <w:color w:val="000000"/>
              </w:rPr>
              <w:t>9、输入范围: +/- 300mV；</w:t>
            </w:r>
          </w:p>
          <w:p>
            <w:pPr>
              <w:pStyle w:val="478"/>
              <w:rPr>
                <w:rFonts w:ascii="宋体" w:hAnsi="宋体" w:cs="宋体"/>
                <w:color w:val="000000"/>
              </w:rPr>
            </w:pPr>
            <w:r>
              <w:rPr>
                <w:rFonts w:hint="eastAsia" w:ascii="宋体" w:hAnsi="宋体" w:cs="宋体"/>
                <w:color w:val="000000"/>
              </w:rPr>
              <w:t>10、系统增益:≥2000；</w:t>
            </w:r>
          </w:p>
          <w:p>
            <w:pPr>
              <w:pStyle w:val="478"/>
              <w:rPr>
                <w:rFonts w:ascii="宋体" w:hAnsi="宋体" w:cs="宋体"/>
                <w:color w:val="000000"/>
              </w:rPr>
            </w:pPr>
            <w:r>
              <w:rPr>
                <w:rFonts w:hint="eastAsia" w:ascii="宋体" w:hAnsi="宋体" w:cs="宋体"/>
                <w:color w:val="000000"/>
              </w:rPr>
              <w:t>11、放大器具有AC与DC两种采集方式，适用于不同的应用领域；</w:t>
            </w:r>
          </w:p>
          <w:p>
            <w:pPr>
              <w:pStyle w:val="478"/>
              <w:rPr>
                <w:rFonts w:ascii="宋体" w:hAnsi="宋体" w:cs="宋体"/>
                <w:color w:val="000000"/>
              </w:rPr>
            </w:pPr>
            <w:r>
              <w:t>▲</w:t>
            </w:r>
            <w:r>
              <w:rPr>
                <w:rFonts w:hint="eastAsia" w:ascii="宋体" w:hAnsi="宋体" w:cs="宋体"/>
                <w:color w:val="000000"/>
              </w:rPr>
              <w:t>12、具有核磁同步时钟，即放大器使用核磁时钟，并且可以通过增配核磁兼容电极帽实现核磁下采集脑电数据，提供备选项供用户选择；</w:t>
            </w:r>
          </w:p>
          <w:p>
            <w:pPr>
              <w:pStyle w:val="478"/>
              <w:rPr>
                <w:rFonts w:ascii="宋体" w:hAnsi="宋体" w:cs="宋体"/>
                <w:color w:val="000000"/>
              </w:rPr>
            </w:pPr>
            <w:r>
              <w:rPr>
                <w:rFonts w:hint="eastAsia" w:ascii="宋体" w:hAnsi="宋体" w:cs="宋体"/>
                <w:color w:val="000000"/>
              </w:rPr>
              <w:t>13、数据传输：USB传输，避免中间信号转换造成延时误差；</w:t>
            </w:r>
          </w:p>
          <w:p>
            <w:pPr>
              <w:pStyle w:val="478"/>
              <w:rPr>
                <w:rFonts w:ascii="宋体" w:hAnsi="宋体" w:cs="宋体"/>
                <w:color w:val="000000"/>
              </w:rPr>
            </w:pPr>
            <w:r>
              <w:rPr>
                <w:rFonts w:hint="eastAsia" w:ascii="宋体" w:hAnsi="宋体" w:cs="宋体"/>
                <w:color w:val="000000"/>
              </w:rPr>
              <w:t>14、操作系统：WIN10；</w:t>
            </w:r>
          </w:p>
          <w:p>
            <w:pPr>
              <w:pStyle w:val="478"/>
              <w:rPr>
                <w:rFonts w:ascii="宋体" w:hAnsi="宋体" w:cs="宋体"/>
                <w:color w:val="000000"/>
              </w:rPr>
            </w:pPr>
            <w:r>
              <w:t>▲</w:t>
            </w:r>
            <w:r>
              <w:rPr>
                <w:rFonts w:hint="eastAsia" w:ascii="宋体" w:hAnsi="宋体" w:cs="宋体"/>
                <w:color w:val="000000"/>
              </w:rPr>
              <w:t>15、面板提供至少64个通道的插孔，可用于桥式电极插拔使用，可以结合临床脑电电极使用；</w:t>
            </w:r>
          </w:p>
          <w:p>
            <w:pPr>
              <w:pStyle w:val="478"/>
              <w:rPr>
                <w:rFonts w:ascii="宋体" w:hAnsi="宋体" w:cs="宋体"/>
                <w:color w:val="000000"/>
              </w:rPr>
            </w:pPr>
            <w:r>
              <w:rPr>
                <w:rFonts w:hint="eastAsia" w:ascii="宋体" w:hAnsi="宋体" w:cs="宋体"/>
                <w:color w:val="000000"/>
              </w:rPr>
              <w:t>★16、设备安全认证要求：须提供FDA,CE、NMPA等，以及脑电生理软件著作权与追踪定位系统著作权。</w:t>
            </w:r>
          </w:p>
        </w:tc>
      </w:tr>
      <w:tr>
        <w:tblPrEx>
          <w:tblCellMar>
            <w:top w:w="0" w:type="dxa"/>
            <w:left w:w="108" w:type="dxa"/>
            <w:bottom w:w="0" w:type="dxa"/>
            <w:right w:w="108" w:type="dxa"/>
          </w:tblCellMar>
        </w:tblPrEx>
        <w:trPr>
          <w:trHeight w:val="1121" w:hRule="atLeast"/>
        </w:trPr>
        <w:tc>
          <w:tcPr>
            <w:tcW w:w="703"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c>
          <w:tcPr>
            <w:tcW w:w="12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8"/>
              <w:rPr>
                <w:rFonts w:ascii="宋体" w:hAnsi="宋体" w:cs="宋体"/>
                <w:color w:val="000000"/>
              </w:rPr>
            </w:pPr>
            <w:r>
              <w:rPr>
                <w:rFonts w:hint="eastAsia" w:ascii="宋体" w:hAnsi="宋体" w:cs="宋体"/>
                <w:b/>
                <w:bCs/>
                <w:color w:val="000000"/>
              </w:rPr>
              <w:t>二、数据采集参数：</w:t>
            </w:r>
            <w:r>
              <w:rPr>
                <w:rFonts w:hint="eastAsia" w:ascii="宋体" w:hAnsi="宋体" w:cs="宋体"/>
                <w:color w:val="000000"/>
              </w:rPr>
              <w:t>　</w:t>
            </w:r>
          </w:p>
          <w:p>
            <w:pPr>
              <w:pStyle w:val="478"/>
              <w:rPr>
                <w:rFonts w:ascii="宋体" w:hAnsi="宋体" w:cs="宋体"/>
                <w:color w:val="000000"/>
              </w:rPr>
            </w:pPr>
            <w:r>
              <w:rPr>
                <w:rFonts w:hint="eastAsia" w:ascii="宋体" w:hAnsi="宋体" w:cs="宋体"/>
                <w:color w:val="000000"/>
              </w:rPr>
              <w:t>1、连续或分段采集；</w:t>
            </w:r>
          </w:p>
          <w:p>
            <w:pPr>
              <w:pStyle w:val="478"/>
              <w:rPr>
                <w:rFonts w:ascii="宋体" w:hAnsi="宋体" w:cs="宋体"/>
                <w:color w:val="000000"/>
              </w:rPr>
            </w:pPr>
            <w:r>
              <w:rPr>
                <w:rFonts w:hint="eastAsia" w:ascii="宋体" w:hAnsi="宋体" w:cs="宋体"/>
                <w:color w:val="000000"/>
              </w:rPr>
              <w:t>2、放大器、刺激生成系统、脑电采集（包括输入阻抗测试）等均由系统自动校准；</w:t>
            </w:r>
          </w:p>
          <w:p>
            <w:pPr>
              <w:pStyle w:val="478"/>
              <w:rPr>
                <w:rFonts w:ascii="宋体" w:hAnsi="宋体" w:cs="宋体"/>
                <w:color w:val="000000"/>
              </w:rPr>
            </w:pPr>
            <w:r>
              <w:rPr>
                <w:rFonts w:hint="eastAsia" w:ascii="宋体" w:hAnsi="宋体" w:cs="宋体"/>
                <w:color w:val="000000"/>
              </w:rPr>
              <w:t>3、在数据采集过程中所有事件均自动检测并记录，反应代码和刺激代码可以有效分离；</w:t>
            </w:r>
          </w:p>
          <w:p>
            <w:pPr>
              <w:pStyle w:val="478"/>
              <w:rPr>
                <w:rFonts w:ascii="宋体" w:hAnsi="宋体" w:cs="宋体"/>
                <w:color w:val="000000"/>
              </w:rPr>
            </w:pPr>
            <w:r>
              <w:rPr>
                <w:rFonts w:hint="eastAsia" w:ascii="宋体" w:hAnsi="宋体" w:cs="宋体"/>
                <w:color w:val="000000"/>
              </w:rPr>
              <w:t>4、软件自动校准，使刺激与记录严格同步；</w:t>
            </w:r>
          </w:p>
          <w:p>
            <w:pPr>
              <w:pStyle w:val="478"/>
              <w:rPr>
                <w:rFonts w:ascii="宋体" w:hAnsi="宋体" w:cs="宋体"/>
                <w:color w:val="000000"/>
              </w:rPr>
            </w:pPr>
            <w:r>
              <w:rPr>
                <w:rFonts w:hint="eastAsia" w:ascii="宋体" w:hAnsi="宋体" w:cs="宋体"/>
                <w:color w:val="000000"/>
              </w:rPr>
              <w:t xml:space="preserve">5、可进行单极记录和双极记录脑电，参考电极可根据实验要求任意选择相关位置； </w:t>
            </w:r>
          </w:p>
          <w:p>
            <w:pPr>
              <w:pStyle w:val="478"/>
              <w:rPr>
                <w:rFonts w:ascii="宋体" w:hAnsi="宋体" w:cs="宋体"/>
                <w:color w:val="000000"/>
              </w:rPr>
            </w:pPr>
            <w:r>
              <w:rPr>
                <w:rFonts w:hint="eastAsia" w:ascii="宋体" w:hAnsi="宋体" w:cs="宋体"/>
                <w:color w:val="000000"/>
              </w:rPr>
              <w:t>★6、具有多人同步采集功能，不需要借助第三方软件，在同一个软件可实现至少8人同步数据采集功能（提供软件截图证明）；</w:t>
            </w:r>
          </w:p>
          <w:p>
            <w:pPr>
              <w:pStyle w:val="478"/>
              <w:rPr>
                <w:rFonts w:ascii="宋体" w:hAnsi="宋体" w:cs="宋体"/>
                <w:color w:val="000000"/>
              </w:rPr>
            </w:pPr>
            <w:r>
              <w:rPr>
                <w:rFonts w:hint="eastAsia" w:ascii="宋体" w:hAnsi="宋体" w:cs="宋体"/>
                <w:color w:val="000000"/>
              </w:rPr>
              <w:t>7、可以在线进行脑电阻抗检测及数据分析；滤波（从傅氏变换到小波变换）、数据重组；脑电频谱分析及时域特征分析、叠加平均；PCA/ICA成分分析；在线数据转接到Matlab；</w:t>
            </w:r>
          </w:p>
        </w:tc>
      </w:tr>
      <w:tr>
        <w:tblPrEx>
          <w:tblCellMar>
            <w:top w:w="0" w:type="dxa"/>
            <w:left w:w="108" w:type="dxa"/>
            <w:bottom w:w="0" w:type="dxa"/>
            <w:right w:w="108" w:type="dxa"/>
          </w:tblCellMar>
        </w:tblPrEx>
        <w:trPr>
          <w:trHeight w:val="1121" w:hRule="atLeast"/>
        </w:trPr>
        <w:tc>
          <w:tcPr>
            <w:tcW w:w="703"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c>
          <w:tcPr>
            <w:tcW w:w="123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8"/>
              <w:rPr>
                <w:rFonts w:ascii="宋体" w:hAnsi="宋体" w:cs="宋体"/>
                <w:b/>
                <w:bCs/>
                <w:color w:val="000000"/>
              </w:rPr>
            </w:pPr>
            <w:r>
              <w:rPr>
                <w:rFonts w:hint="eastAsia" w:ascii="宋体" w:hAnsi="宋体" w:cs="宋体"/>
                <w:b/>
                <w:bCs/>
                <w:color w:val="000000"/>
              </w:rPr>
              <w:t>三、电极帽参数：</w:t>
            </w:r>
          </w:p>
          <w:p>
            <w:pPr>
              <w:pStyle w:val="478"/>
              <w:rPr>
                <w:rFonts w:ascii="宋体" w:hAnsi="宋体" w:cs="宋体"/>
                <w:color w:val="000000"/>
              </w:rPr>
            </w:pPr>
            <w:r>
              <w:rPr>
                <w:rFonts w:hint="eastAsia" w:ascii="宋体" w:hAnsi="宋体" w:cs="宋体"/>
                <w:color w:val="000000"/>
              </w:rPr>
              <w:t>1、电极帽采用导电膏与盐水两种方式采集信号，标准的银/氯化银(Ag/AgC1)电极可将DC偏移最小化；</w:t>
            </w:r>
          </w:p>
          <w:p>
            <w:pPr>
              <w:pStyle w:val="478"/>
              <w:rPr>
                <w:rFonts w:ascii="宋体" w:hAnsi="宋体" w:cs="宋体"/>
                <w:color w:val="000000"/>
              </w:rPr>
            </w:pPr>
            <w:r>
              <w:rPr>
                <w:rFonts w:hint="eastAsia" w:ascii="宋体" w:hAnsi="宋体" w:cs="宋体"/>
                <w:color w:val="000000"/>
              </w:rPr>
              <w:t>2、所有电极都很清楚地标记在帽子上，不是在放大器的接口上，使电极的定位快速简便；</w:t>
            </w:r>
          </w:p>
          <w:p>
            <w:pPr>
              <w:pStyle w:val="478"/>
              <w:rPr>
                <w:rFonts w:ascii="宋体" w:hAnsi="宋体" w:cs="宋体"/>
                <w:color w:val="000000"/>
              </w:rPr>
            </w:pPr>
            <w:r>
              <w:rPr>
                <w:rFonts w:hint="eastAsia" w:ascii="宋体" w:hAnsi="宋体" w:cs="宋体"/>
                <w:color w:val="000000"/>
              </w:rPr>
              <w:t>3、导电膏电极帽为导电膏介质，确保头皮输入阻抗不大于5KOhms；</w:t>
            </w:r>
          </w:p>
          <w:p>
            <w:pPr>
              <w:pStyle w:val="478"/>
              <w:rPr>
                <w:rFonts w:ascii="宋体" w:hAnsi="宋体" w:cs="宋体"/>
                <w:color w:val="000000"/>
              </w:rPr>
            </w:pPr>
            <w:r>
              <w:rPr>
                <w:rFonts w:hint="eastAsia" w:ascii="宋体" w:hAnsi="宋体" w:cs="宋体"/>
                <w:color w:val="000000"/>
              </w:rPr>
              <w:t>4、盐水电极帽采用橡胶网状布局，电极为海绵电极，可重复使用。佩戴方便，5分钟内戴好；</w:t>
            </w:r>
          </w:p>
          <w:p>
            <w:pPr>
              <w:pStyle w:val="478"/>
              <w:rPr>
                <w:rFonts w:ascii="宋体" w:hAnsi="宋体" w:cs="宋体"/>
                <w:color w:val="000000"/>
              </w:rPr>
            </w:pPr>
            <w:r>
              <w:rPr>
                <w:rFonts w:hint="eastAsia" w:ascii="宋体" w:hAnsi="宋体" w:cs="宋体"/>
                <w:color w:val="000000"/>
              </w:rPr>
              <w:t>5、盐水电极帽为生理盐水介质，确保头皮输入阻抗不大于10KOhms。可满足儿童以及快速实验要求等被试，供应商需提供如截图等证明。</w:t>
            </w:r>
          </w:p>
        </w:tc>
      </w:tr>
      <w:tr>
        <w:tblPrEx>
          <w:tblCellMar>
            <w:top w:w="0" w:type="dxa"/>
            <w:left w:w="108" w:type="dxa"/>
            <w:bottom w:w="0" w:type="dxa"/>
            <w:right w:w="108" w:type="dxa"/>
          </w:tblCellMar>
        </w:tblPrEx>
        <w:trPr>
          <w:trHeight w:val="1121"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c>
          <w:tcPr>
            <w:tcW w:w="123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p>
        </w:tc>
        <w:tc>
          <w:tcPr>
            <w:tcW w:w="63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78"/>
              <w:rPr>
                <w:rFonts w:ascii="宋体" w:hAnsi="宋体" w:cs="宋体"/>
                <w:b/>
                <w:bCs/>
                <w:color w:val="000000"/>
              </w:rPr>
            </w:pPr>
            <w:r>
              <w:rPr>
                <w:rFonts w:hint="eastAsia" w:ascii="宋体" w:hAnsi="宋体" w:cs="宋体"/>
                <w:b/>
                <w:bCs/>
                <w:color w:val="000000"/>
              </w:rPr>
              <w:t>四、认知测评模块参数：</w:t>
            </w:r>
          </w:p>
          <w:p>
            <w:pPr>
              <w:pStyle w:val="478"/>
              <w:rPr>
                <w:rFonts w:ascii="宋体" w:hAnsi="宋体" w:cs="宋体"/>
                <w:color w:val="000000"/>
              </w:rPr>
            </w:pPr>
            <w:r>
              <w:t>▲</w:t>
            </w:r>
            <w:r>
              <w:rPr>
                <w:rFonts w:hint="eastAsia" w:ascii="宋体" w:hAnsi="宋体" w:cs="宋体"/>
                <w:color w:val="000000"/>
              </w:rPr>
              <w:t>1、支持非言语测试，不受人种、教育背景和年龄的限制；</w:t>
            </w:r>
          </w:p>
          <w:p>
            <w:pPr>
              <w:pStyle w:val="478"/>
              <w:rPr>
                <w:rFonts w:ascii="宋体" w:hAnsi="宋体" w:cs="宋体"/>
                <w:color w:val="000000"/>
              </w:rPr>
            </w:pPr>
            <w:r>
              <w:rPr>
                <w:rFonts w:hint="eastAsia" w:ascii="宋体" w:hAnsi="宋体" w:cs="宋体"/>
                <w:color w:val="000000"/>
              </w:rPr>
              <w:t>2、内置国际常模数据库，可进行数据对比分析，支持纵向研究模式</w:t>
            </w:r>
          </w:p>
          <w:p>
            <w:pPr>
              <w:pStyle w:val="478"/>
              <w:rPr>
                <w:rFonts w:ascii="宋体" w:hAnsi="宋体" w:cs="宋体"/>
                <w:color w:val="000000"/>
              </w:rPr>
            </w:pPr>
            <w:r>
              <w:rPr>
                <w:rFonts w:hint="eastAsia" w:ascii="宋体" w:hAnsi="宋体" w:cs="宋体"/>
                <w:color w:val="000000"/>
              </w:rPr>
              <w:t>3、测试模块基于云数据平台、支持网络版测量功能，支持触摸屏硬件测试终端；</w:t>
            </w:r>
          </w:p>
          <w:p>
            <w:pPr>
              <w:pStyle w:val="478"/>
              <w:rPr>
                <w:rFonts w:ascii="宋体" w:hAnsi="宋体" w:cs="宋体"/>
                <w:color w:val="000000"/>
              </w:rPr>
            </w:pPr>
            <w:r>
              <w:rPr>
                <w:rFonts w:hint="eastAsia" w:ascii="宋体" w:hAnsi="宋体" w:cs="宋体"/>
                <w:color w:val="000000"/>
              </w:rPr>
              <w:t>4、可同时支持多个终端测试，提高测试效率；</w:t>
            </w:r>
          </w:p>
          <w:p>
            <w:pPr>
              <w:pStyle w:val="478"/>
              <w:rPr>
                <w:rFonts w:ascii="宋体" w:hAnsi="宋体" w:cs="宋体"/>
                <w:color w:val="000000"/>
              </w:rPr>
            </w:pPr>
            <w:r>
              <w:t>▲</w:t>
            </w:r>
            <w:r>
              <w:rPr>
                <w:rFonts w:hint="eastAsia" w:ascii="宋体" w:hAnsi="宋体" w:cs="宋体"/>
                <w:color w:val="000000"/>
              </w:rPr>
              <w:t>5、具有空间工作记忆测试功能，被试通过触摸彩色的盒子，找到蓝色标记；</w:t>
            </w:r>
          </w:p>
          <w:p>
            <w:pPr>
              <w:pStyle w:val="478"/>
              <w:rPr>
                <w:rFonts w:ascii="宋体" w:hAnsi="宋体" w:cs="宋体"/>
                <w:color w:val="000000"/>
              </w:rPr>
            </w:pPr>
            <w:r>
              <w:rPr>
                <w:rFonts w:hint="eastAsia" w:ascii="宋体" w:hAnsi="宋体" w:cs="宋体"/>
                <w:color w:val="000000"/>
              </w:rPr>
              <w:t>6、具有视觉空间工作记忆的测试功能，受试者要记住白色方块改变颜色的顺序，然后按照相同的顺序触摸正方形；</w:t>
            </w:r>
          </w:p>
          <w:p>
            <w:pPr>
              <w:pStyle w:val="478"/>
              <w:rPr>
                <w:rFonts w:ascii="宋体" w:hAnsi="宋体" w:cs="宋体"/>
                <w:color w:val="000000"/>
              </w:rPr>
            </w:pPr>
            <w:r>
              <w:rPr>
                <w:rFonts w:hint="eastAsia" w:ascii="宋体" w:hAnsi="宋体" w:cs="宋体"/>
                <w:color w:val="000000"/>
              </w:rPr>
              <w:t>7、具有情感识别的测试功能，测试形式如下：受试者必须6个选项中选择面部显示的情感；</w:t>
            </w:r>
          </w:p>
          <w:p>
            <w:pPr>
              <w:pStyle w:val="478"/>
              <w:rPr>
                <w:rFonts w:ascii="宋体" w:hAnsi="宋体" w:cs="宋体"/>
                <w:bCs/>
                <w:color w:val="000000"/>
              </w:rPr>
            </w:pPr>
            <w:r>
              <w:rPr>
                <w:rFonts w:hint="eastAsia" w:ascii="宋体" w:hAnsi="宋体" w:cs="宋体"/>
                <w:color w:val="000000"/>
              </w:rPr>
              <w:t>★8、具有反应时间测试功能，被试必须按下蓝色按钮，直到黄点出现在屏幕上，然后点击黄色斑点；</w:t>
            </w:r>
            <w:r>
              <w:rPr>
                <w:rFonts w:hint="eastAsia" w:ascii="宋体" w:hAnsi="宋体" w:cs="宋体"/>
                <w:bCs/>
                <w:color w:val="000000"/>
              </w:rPr>
              <w:t xml:space="preserve"> </w:t>
            </w:r>
          </w:p>
          <w:p>
            <w:pPr>
              <w:pStyle w:val="478"/>
              <w:rPr>
                <w:rFonts w:ascii="宋体" w:hAnsi="宋体" w:cs="宋体"/>
                <w:color w:val="000000"/>
              </w:rPr>
            </w:pPr>
            <w:r>
              <w:rPr>
                <w:rFonts w:hint="eastAsia" w:ascii="宋体" w:hAnsi="宋体" w:cs="宋体"/>
                <w:color w:val="000000"/>
              </w:rPr>
              <w:t>配件情况：放大器1台、同步控制盒1台、采集软件1套、刺激软件1套、64导电极帽2顶、导电膏5桶、磨砂膏3支、认知测试模块1套、工作站 2台、被试专用显示器1台、分屏切换器1套。</w:t>
            </w:r>
          </w:p>
        </w:tc>
      </w:tr>
    </w:tbl>
    <w:p>
      <w:pPr>
        <w:rPr>
          <w:b/>
          <w:szCs w:val="21"/>
        </w:rPr>
      </w:pPr>
    </w:p>
    <w:p>
      <w:pPr>
        <w:rPr>
          <w:b/>
          <w:szCs w:val="21"/>
        </w:rPr>
      </w:pPr>
    </w:p>
    <w:p>
      <w:pPr>
        <w:pStyle w:val="6"/>
        <w:spacing w:before="120" w:beforeLines="50" w:after="120" w:afterLines="50"/>
        <w:rPr>
          <w:sz w:val="28"/>
          <w:szCs w:val="28"/>
        </w:rPr>
      </w:pPr>
      <w:r>
        <w:rPr>
          <w:rFonts w:hint="eastAsia"/>
          <w:sz w:val="28"/>
          <w:szCs w:val="28"/>
        </w:rPr>
        <w:t>五、商务要求</w:t>
      </w:r>
    </w:p>
    <w:p>
      <w:pPr>
        <w:ind w:firstLine="422" w:firstLineChars="200"/>
        <w:rPr>
          <w:b/>
        </w:rPr>
      </w:pPr>
      <w:r>
        <w:rPr>
          <w:rFonts w:hint="eastAsia"/>
          <w:b/>
          <w:szCs w:val="21"/>
        </w:rPr>
        <w:t>说明：</w:t>
      </w:r>
      <w:r>
        <w:rPr>
          <w:b/>
        </w:rPr>
        <w:t>1</w:t>
      </w:r>
      <w:r>
        <w:rPr>
          <w:rFonts w:hint="eastAsia"/>
          <w:b/>
        </w:rPr>
        <w:t>、评分时，如对一项招标商务要求（以划分框为准）中的内容存在两处（或以上）负偏离的，在评分时只作一项负偏离扣分。</w:t>
      </w:r>
    </w:p>
    <w:p>
      <w:pPr>
        <w:ind w:firstLine="422" w:firstLineChars="200"/>
        <w:rPr>
          <w:b/>
          <w:szCs w:val="21"/>
        </w:rPr>
      </w:pPr>
      <w:r>
        <w:rPr>
          <w:b/>
          <w:szCs w:val="21"/>
        </w:rPr>
        <w:t>2</w:t>
      </w:r>
      <w:r>
        <w:rPr>
          <w:rFonts w:hint="eastAsia"/>
          <w:b/>
          <w:szCs w:val="21"/>
        </w:rPr>
        <w:t>、带★号条款为不可偏离条款，不作为评分准则中的评分内容，如未响应或出现负偏离的，将作投标无效处理；带“</w:t>
      </w:r>
      <w:r>
        <w:t>▲</w:t>
      </w:r>
      <w:r>
        <w:rPr>
          <w:rFonts w:hint="eastAsia"/>
          <w:b/>
          <w:szCs w:val="21"/>
        </w:rPr>
        <w:t>”指标项为重要参数，负偏离时依相关评分准则内容作重点扣分处理。</w:t>
      </w:r>
    </w:p>
    <w:tbl>
      <w:tblPr>
        <w:tblStyle w:val="44"/>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565"/>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1" w:type="pct"/>
            <w:vAlign w:val="center"/>
          </w:tcPr>
          <w:p>
            <w:pPr>
              <w:jc w:val="center"/>
              <w:rPr>
                <w:b/>
              </w:rPr>
            </w:pPr>
            <w:r>
              <w:rPr>
                <w:b/>
              </w:rPr>
              <w:t>序号</w:t>
            </w:r>
          </w:p>
        </w:tc>
        <w:tc>
          <w:tcPr>
            <w:tcW w:w="917" w:type="pct"/>
            <w:vAlign w:val="center"/>
          </w:tcPr>
          <w:p>
            <w:pPr>
              <w:jc w:val="center"/>
              <w:rPr>
                <w:b/>
              </w:rPr>
            </w:pPr>
            <w:r>
              <w:rPr>
                <w:b/>
              </w:rPr>
              <w:t>目录</w:t>
            </w:r>
          </w:p>
        </w:tc>
        <w:tc>
          <w:tcPr>
            <w:tcW w:w="3371" w:type="pct"/>
            <w:vAlign w:val="center"/>
          </w:tcPr>
          <w:p>
            <w:pPr>
              <w:jc w:val="center"/>
              <w:rPr>
                <w:b/>
              </w:rPr>
            </w:pPr>
            <w:r>
              <w:rPr>
                <w:b/>
              </w:rPr>
              <w:t>招标商务条款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vAlign w:val="center"/>
          </w:tcPr>
          <w:p>
            <w:pPr>
              <w:rPr>
                <w:b/>
              </w:rPr>
            </w:pPr>
            <w:r>
              <w:rPr>
                <w:b/>
              </w:rPr>
              <w:t>（一）免费保修期内售后服务条款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1" w:type="pct"/>
            <w:vAlign w:val="center"/>
          </w:tcPr>
          <w:p>
            <w:pPr>
              <w:jc w:val="center"/>
            </w:pPr>
            <w:r>
              <w:t>1</w:t>
            </w:r>
          </w:p>
        </w:tc>
        <w:tc>
          <w:tcPr>
            <w:tcW w:w="917" w:type="pct"/>
            <w:vAlign w:val="center"/>
          </w:tcPr>
          <w:p>
            <w:pPr>
              <w:jc w:val="center"/>
            </w:pPr>
            <w:r>
              <w:t>维修响应及故障解决时间</w:t>
            </w:r>
          </w:p>
        </w:tc>
        <w:tc>
          <w:tcPr>
            <w:tcW w:w="3371" w:type="pct"/>
          </w:tcPr>
          <w:p>
            <w:pPr>
              <w:spacing w:line="320" w:lineRule="exact"/>
              <w:rPr>
                <w:b/>
              </w:rPr>
            </w:pPr>
            <w:r>
              <w:t>▲在保修期内，一旦发生质量问题，投标人保证在接到通知24小时内赶到现场进行修理或更换。（如招标文件技术要求中另有约定的，以技术要求为准）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1" w:type="pct"/>
            <w:vAlign w:val="center"/>
          </w:tcPr>
          <w:p>
            <w:pPr>
              <w:jc w:val="center"/>
              <w:rPr>
                <w:szCs w:val="21"/>
              </w:rPr>
            </w:pPr>
            <w:r>
              <w:rPr>
                <w:szCs w:val="21"/>
              </w:rPr>
              <w:t>2</w:t>
            </w:r>
          </w:p>
        </w:tc>
        <w:tc>
          <w:tcPr>
            <w:tcW w:w="917" w:type="pct"/>
            <w:vAlign w:val="center"/>
          </w:tcPr>
          <w:p>
            <w:pPr>
              <w:jc w:val="center"/>
              <w:rPr>
                <w:szCs w:val="21"/>
              </w:rPr>
            </w:pPr>
            <w:r>
              <w:rPr>
                <w:szCs w:val="21"/>
              </w:rPr>
              <w:t>关于免费保修期</w:t>
            </w:r>
          </w:p>
        </w:tc>
        <w:tc>
          <w:tcPr>
            <w:tcW w:w="3371" w:type="pct"/>
          </w:tcPr>
          <w:p>
            <w:pPr>
              <w:spacing w:line="320" w:lineRule="exact"/>
              <w:rPr>
                <w:b/>
                <w:szCs w:val="21"/>
              </w:rPr>
            </w:pPr>
            <w:r>
              <w:rPr>
                <w:rFonts w:ascii="Segoe UI Symbol" w:hAnsi="Segoe UI Symbol" w:cs="Segoe UI Symbol"/>
              </w:rPr>
              <w:t>★</w:t>
            </w:r>
            <w:r>
              <w:t>货物免费保修期</w:t>
            </w:r>
            <w:r>
              <w:rPr>
                <w:color w:val="FF0000"/>
                <w:u w:val="single"/>
              </w:rPr>
              <w:t xml:space="preserve"> 1 </w:t>
            </w:r>
            <w:r>
              <w:rPr>
                <w:color w:val="FF0000"/>
              </w:rPr>
              <w:t>年</w:t>
            </w:r>
            <w:r>
              <w:t>，时间自最终验收合格并交付使用之日起计算。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11" w:type="pct"/>
            <w:vMerge w:val="restart"/>
            <w:vAlign w:val="center"/>
          </w:tcPr>
          <w:p>
            <w:pPr>
              <w:jc w:val="center"/>
            </w:pPr>
            <w:r>
              <w:t>3</w:t>
            </w:r>
          </w:p>
        </w:tc>
        <w:tc>
          <w:tcPr>
            <w:tcW w:w="917" w:type="pct"/>
            <w:vMerge w:val="restart"/>
            <w:vAlign w:val="center"/>
          </w:tcPr>
          <w:p>
            <w:pPr>
              <w:jc w:val="center"/>
            </w:pPr>
            <w:r>
              <w:t>其他</w:t>
            </w:r>
          </w:p>
        </w:tc>
        <w:tc>
          <w:tcPr>
            <w:tcW w:w="3371" w:type="pct"/>
          </w:tcPr>
          <w:p>
            <w:r>
              <w:rPr>
                <w:szCs w:val="21"/>
              </w:rPr>
              <w:t>3.1货物到货后一个月内，投标人必须免费提供本项目货物的现场培训（如有必要），培训内容为本项目有关产品的基础配置、日常操作管理、安全使用及故障诊断等，培训后应使受训人员（2-3人）较好的掌握软、硬件的日常操作管理与维护并能对一般性故障进行诊断、排查及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11" w:type="pct"/>
            <w:vMerge w:val="continue"/>
            <w:vAlign w:val="center"/>
          </w:tcPr>
          <w:p>
            <w:pPr>
              <w:jc w:val="center"/>
            </w:pPr>
          </w:p>
        </w:tc>
        <w:tc>
          <w:tcPr>
            <w:tcW w:w="917" w:type="pct"/>
            <w:vMerge w:val="continue"/>
            <w:vAlign w:val="center"/>
          </w:tcPr>
          <w:p>
            <w:pPr>
              <w:jc w:val="center"/>
            </w:pPr>
          </w:p>
        </w:tc>
        <w:tc>
          <w:tcPr>
            <w:tcW w:w="3371" w:type="pct"/>
          </w:tcPr>
          <w:p>
            <w:pPr>
              <w:spacing w:line="320" w:lineRule="exact"/>
            </w:pPr>
            <w:r>
              <w:t>3.2投标人提供的设备（含配件）必须符合国家相关法律法规、规定、行业的要求。如未提供合格的设备（含配件），除按照相关法律法规处罚外，赔偿由此给招标人带来的损失。若发现伪造相关资料或者提供非正规渠道的正品设备（含配件）等行为，报相关部门处理，由此引起的后果中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11" w:type="pct"/>
            <w:vMerge w:val="continue"/>
            <w:vAlign w:val="center"/>
          </w:tcPr>
          <w:p>
            <w:pPr>
              <w:jc w:val="center"/>
              <w:rPr>
                <w:b/>
              </w:rPr>
            </w:pPr>
          </w:p>
        </w:tc>
        <w:tc>
          <w:tcPr>
            <w:tcW w:w="917" w:type="pct"/>
            <w:vMerge w:val="continue"/>
            <w:vAlign w:val="center"/>
          </w:tcPr>
          <w:p/>
        </w:tc>
        <w:tc>
          <w:tcPr>
            <w:tcW w:w="3371" w:type="pct"/>
          </w:tcPr>
          <w:p>
            <w:r>
              <w:t>3.3 提供全新的原装产品，采购单位按投标人提供的产品清单及检验产品合格证、使用说明书和其它的技术资料，负责开箱检验，如有损坏、缺件等情况，投标人应负责全额赔偿。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11" w:type="pct"/>
            <w:vMerge w:val="continue"/>
            <w:vAlign w:val="center"/>
          </w:tcPr>
          <w:p>
            <w:pPr>
              <w:jc w:val="center"/>
              <w:rPr>
                <w:b/>
              </w:rPr>
            </w:pPr>
          </w:p>
        </w:tc>
        <w:tc>
          <w:tcPr>
            <w:tcW w:w="917" w:type="pct"/>
            <w:vMerge w:val="continue"/>
            <w:vAlign w:val="center"/>
          </w:tcPr>
          <w:p/>
        </w:tc>
        <w:tc>
          <w:tcPr>
            <w:tcW w:w="3371" w:type="pct"/>
          </w:tcPr>
          <w:p>
            <w:pPr>
              <w:spacing w:line="320" w:lineRule="exact"/>
            </w:pPr>
            <w:r>
              <w:t>3.4在保修期结束前，</w:t>
            </w:r>
            <w:r>
              <w:rPr>
                <w:rFonts w:hint="eastAsia"/>
              </w:rPr>
              <w:t>需</w:t>
            </w:r>
            <w:r>
              <w:t>由投标方工程师和用户代表进行一次全面检查，任何缺陷必须由投标方负责修理或更换。在修复之后，投标方应将缺陷原因、修理内容、完成修理及恢复正常的时间和日期等报告用户。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711" w:type="pct"/>
            <w:vMerge w:val="continue"/>
            <w:vAlign w:val="center"/>
          </w:tcPr>
          <w:p>
            <w:pPr>
              <w:jc w:val="center"/>
              <w:rPr>
                <w:b/>
              </w:rPr>
            </w:pPr>
          </w:p>
        </w:tc>
        <w:tc>
          <w:tcPr>
            <w:tcW w:w="917" w:type="pct"/>
            <w:vMerge w:val="continue"/>
            <w:vAlign w:val="center"/>
          </w:tcPr>
          <w:p/>
        </w:tc>
        <w:tc>
          <w:tcPr>
            <w:tcW w:w="3371" w:type="pct"/>
          </w:tcPr>
          <w:p>
            <w:pPr>
              <w:spacing w:line="320" w:lineRule="exact"/>
            </w:pPr>
            <w:r>
              <w:t>▲3.5 投标人若是非深圳企业，需在深圳有合法的分支经营机构（分支经营机构提供该机构营业执照扫描件加盖投标人公章）或售后服务机构（提供售后服务合作合同及售后机构营业执照扫描件），未在深圳设立售后服务机构的投标人，可提供中标后设置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vAlign w:val="center"/>
          </w:tcPr>
          <w:p>
            <w:pPr>
              <w:rPr>
                <w:b/>
              </w:rPr>
            </w:pPr>
            <w:r>
              <w:rPr>
                <w:b/>
              </w:rPr>
              <w:t>（二）免费保修期外售后服务条款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1" w:type="pct"/>
            <w:vMerge w:val="restart"/>
            <w:vAlign w:val="center"/>
          </w:tcPr>
          <w:p>
            <w:pPr>
              <w:jc w:val="center"/>
            </w:pPr>
            <w:r>
              <w:t>1</w:t>
            </w:r>
          </w:p>
        </w:tc>
        <w:tc>
          <w:tcPr>
            <w:tcW w:w="917" w:type="pct"/>
            <w:vMerge w:val="restart"/>
            <w:vAlign w:val="center"/>
          </w:tcPr>
          <w:p>
            <w:pPr>
              <w:jc w:val="center"/>
            </w:pPr>
            <w:r>
              <w:t>维修响应及故障解决时间</w:t>
            </w:r>
          </w:p>
        </w:tc>
        <w:tc>
          <w:tcPr>
            <w:tcW w:w="3371" w:type="pct"/>
          </w:tcPr>
          <w:p>
            <w:r>
              <w:t>1.1 由投标人（或投标人委托设备设施制造商）提供售后服务，2小时内响应，24小时维修到位（不可抗力情况除外）。</w:t>
            </w:r>
            <w:r>
              <w:rPr>
                <w:szCs w:val="21"/>
              </w:rPr>
              <w:t>（如招标文件技术要求中另有约定的，以技术要求为准）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1" w:type="pct"/>
            <w:vMerge w:val="continue"/>
            <w:vAlign w:val="center"/>
          </w:tcPr>
          <w:p>
            <w:pPr>
              <w:jc w:val="center"/>
            </w:pPr>
          </w:p>
        </w:tc>
        <w:tc>
          <w:tcPr>
            <w:tcW w:w="917" w:type="pct"/>
            <w:vMerge w:val="continue"/>
            <w:vAlign w:val="center"/>
          </w:tcPr>
          <w:p>
            <w:pPr>
              <w:jc w:val="center"/>
            </w:pPr>
          </w:p>
        </w:tc>
        <w:tc>
          <w:tcPr>
            <w:tcW w:w="3371" w:type="pct"/>
          </w:tcPr>
          <w:p>
            <w:r>
              <w:t>1.2 消耗品和零配件供应及时，特殊情况下可提供备用设备设施。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1" w:type="pct"/>
            <w:vMerge w:val="restart"/>
            <w:vAlign w:val="center"/>
          </w:tcPr>
          <w:p>
            <w:pPr>
              <w:jc w:val="center"/>
            </w:pPr>
            <w:r>
              <w:t>2</w:t>
            </w:r>
          </w:p>
        </w:tc>
        <w:tc>
          <w:tcPr>
            <w:tcW w:w="917" w:type="pct"/>
            <w:vMerge w:val="restart"/>
            <w:vAlign w:val="center"/>
          </w:tcPr>
          <w:p>
            <w:pPr>
              <w:jc w:val="center"/>
            </w:pPr>
            <w:r>
              <w:t>零配件、消耗品和延续保修</w:t>
            </w:r>
          </w:p>
        </w:tc>
        <w:tc>
          <w:tcPr>
            <w:tcW w:w="3371" w:type="pct"/>
          </w:tcPr>
          <w:p>
            <w:r>
              <w:t>2.1 保修期满后，投标人应以优惠价供应维修零配件、消耗品和延续保修合同。价格最高的前5项零配件、消耗品和延续保修合同的报价明细必须填写于《零配件、消耗品和延续保修合同报价明清单》中。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1" w:type="pct"/>
            <w:vMerge w:val="continue"/>
            <w:vAlign w:val="center"/>
          </w:tcPr>
          <w:p>
            <w:pPr>
              <w:jc w:val="center"/>
            </w:pPr>
          </w:p>
        </w:tc>
        <w:tc>
          <w:tcPr>
            <w:tcW w:w="917" w:type="pct"/>
            <w:vMerge w:val="continue"/>
            <w:vAlign w:val="center"/>
          </w:tcPr>
          <w:p>
            <w:pPr>
              <w:jc w:val="center"/>
            </w:pPr>
          </w:p>
        </w:tc>
        <w:tc>
          <w:tcPr>
            <w:tcW w:w="3371" w:type="pct"/>
          </w:tcPr>
          <w:p>
            <w:r>
              <w:t>2.2 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1" w:type="pct"/>
            <w:vMerge w:val="restart"/>
            <w:vAlign w:val="center"/>
          </w:tcPr>
          <w:p>
            <w:pPr>
              <w:jc w:val="center"/>
            </w:pPr>
            <w:r>
              <w:t>3</w:t>
            </w:r>
          </w:p>
        </w:tc>
        <w:tc>
          <w:tcPr>
            <w:tcW w:w="917" w:type="pct"/>
            <w:vMerge w:val="restart"/>
            <w:vAlign w:val="center"/>
          </w:tcPr>
          <w:p>
            <w:pPr>
              <w:jc w:val="center"/>
            </w:pPr>
            <w:r>
              <w:t>维修费用</w:t>
            </w:r>
          </w:p>
        </w:tc>
        <w:tc>
          <w:tcPr>
            <w:tcW w:w="3371" w:type="pct"/>
          </w:tcPr>
          <w:p>
            <w:r>
              <w:t>3.1 经过维修的货物经采购人验收合格，且维修方提供维修专用发票后，采购人支付维修费用。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1" w:type="pct"/>
            <w:vMerge w:val="continue"/>
            <w:vAlign w:val="center"/>
          </w:tcPr>
          <w:p>
            <w:pPr>
              <w:jc w:val="center"/>
              <w:rPr>
                <w:b/>
              </w:rPr>
            </w:pPr>
          </w:p>
        </w:tc>
        <w:tc>
          <w:tcPr>
            <w:tcW w:w="917" w:type="pct"/>
            <w:vMerge w:val="continue"/>
          </w:tcPr>
          <w:p/>
        </w:tc>
        <w:tc>
          <w:tcPr>
            <w:tcW w:w="3371" w:type="pct"/>
          </w:tcPr>
          <w:p>
            <w:r>
              <w:t>3.2 投标人及设备设施制造商不得以任何理由不按时进行维修，不得要求采购人购买所谓“保修服务”（即：不论设备有无故障先买保修服务），不得在设备设施中嵌设任何不利于采购人使用与维修设备设施的障碍。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shd w:val="clear" w:color="auto" w:fill="auto"/>
            <w:vAlign w:val="center"/>
          </w:tcPr>
          <w:p>
            <w:pPr>
              <w:rPr>
                <w:b/>
              </w:rPr>
            </w:pPr>
            <w:r>
              <w:rPr>
                <w:b/>
              </w:rPr>
              <w:t>（三）其他商务条款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11" w:type="pct"/>
            <w:vAlign w:val="center"/>
          </w:tcPr>
          <w:p>
            <w:pPr>
              <w:jc w:val="center"/>
              <w:rPr>
                <w:szCs w:val="21"/>
              </w:rPr>
            </w:pPr>
            <w:r>
              <w:t>1</w:t>
            </w:r>
          </w:p>
        </w:tc>
        <w:tc>
          <w:tcPr>
            <w:tcW w:w="917" w:type="pct"/>
            <w:vAlign w:val="center"/>
          </w:tcPr>
          <w:p>
            <w:pPr>
              <w:jc w:val="center"/>
              <w:rPr>
                <w:szCs w:val="21"/>
              </w:rPr>
            </w:pPr>
            <w:r>
              <w:t>关于售后</w:t>
            </w:r>
          </w:p>
        </w:tc>
        <w:tc>
          <w:tcPr>
            <w:tcW w:w="3371" w:type="pct"/>
          </w:tcPr>
          <w:p>
            <w:pPr>
              <w:pStyle w:val="8"/>
              <w:ind w:firstLine="0"/>
              <w:rPr>
                <w:color w:val="000000" w:themeColor="text1"/>
                <w:szCs w:val="21"/>
                <w14:textFill>
                  <w14:solidFill>
                    <w14:schemeClr w14:val="tx1"/>
                  </w14:solidFill>
                </w14:textFill>
              </w:rPr>
            </w:pPr>
            <w:r>
              <w:t>▲为保证所需设备的售后服务质量，主要设备（材料）：台面需在中标通知书发出后5天内提供原厂出具的售后服务承诺函，若发现伪造行为，报相关部门处理，由此引起的后果中标人自负。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11" w:type="pct"/>
            <w:vMerge w:val="restart"/>
            <w:vAlign w:val="center"/>
          </w:tcPr>
          <w:p>
            <w:pPr>
              <w:jc w:val="center"/>
              <w:rPr>
                <w:szCs w:val="21"/>
              </w:rPr>
            </w:pPr>
            <w:r>
              <w:rPr>
                <w:color w:val="000000" w:themeColor="text1"/>
                <w:kern w:val="0"/>
                <w:szCs w:val="21"/>
                <w14:textFill>
                  <w14:solidFill>
                    <w14:schemeClr w14:val="tx1"/>
                  </w14:solidFill>
                </w14:textFill>
              </w:rPr>
              <w:t>2</w:t>
            </w:r>
          </w:p>
        </w:tc>
        <w:tc>
          <w:tcPr>
            <w:tcW w:w="917" w:type="pct"/>
            <w:vMerge w:val="restart"/>
            <w:vAlign w:val="center"/>
          </w:tcPr>
          <w:p>
            <w:pPr>
              <w:jc w:val="center"/>
              <w:rPr>
                <w:szCs w:val="21"/>
              </w:rPr>
            </w:pPr>
            <w:r>
              <w:rPr>
                <w:color w:val="000000" w:themeColor="text1"/>
                <w:kern w:val="0"/>
                <w:szCs w:val="21"/>
                <w14:textFill>
                  <w14:solidFill>
                    <w14:schemeClr w14:val="tx1"/>
                  </w14:solidFill>
                </w14:textFill>
              </w:rPr>
              <w:t>关于投标报价</w:t>
            </w:r>
          </w:p>
        </w:tc>
        <w:tc>
          <w:tcPr>
            <w:tcW w:w="3371" w:type="pct"/>
          </w:tcPr>
          <w:p>
            <w:pPr>
              <w:pStyle w:val="8"/>
              <w:ind w:firstLine="0"/>
              <w:rPr>
                <w:b/>
                <w:szCs w:val="21"/>
              </w:rPr>
            </w:pPr>
            <w:r>
              <w:rPr>
                <w:color w:val="000000" w:themeColor="text1"/>
                <w:szCs w:val="21"/>
                <w14:textFill>
                  <w14:solidFill>
                    <w14:schemeClr w14:val="tx1"/>
                  </w14:solidFill>
                </w14:textFill>
              </w:rPr>
              <w:t>2.1 报价方式：投标总价（人民币）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11" w:type="pct"/>
            <w:vMerge w:val="continue"/>
            <w:vAlign w:val="center"/>
          </w:tcPr>
          <w:p>
            <w:pPr>
              <w:jc w:val="center"/>
              <w:rPr>
                <w:szCs w:val="21"/>
              </w:rPr>
            </w:pPr>
          </w:p>
        </w:tc>
        <w:tc>
          <w:tcPr>
            <w:tcW w:w="917" w:type="pct"/>
            <w:vMerge w:val="continue"/>
            <w:vAlign w:val="center"/>
          </w:tcPr>
          <w:p>
            <w:pPr>
              <w:jc w:val="center"/>
              <w:rPr>
                <w:szCs w:val="21"/>
              </w:rPr>
            </w:pPr>
          </w:p>
        </w:tc>
        <w:tc>
          <w:tcPr>
            <w:tcW w:w="3371" w:type="pct"/>
          </w:tcPr>
          <w:p>
            <w:pPr>
              <w:pStyle w:val="8"/>
              <w:ind w:firstLine="0"/>
              <w:rPr>
                <w:b/>
                <w:szCs w:val="21"/>
              </w:rPr>
            </w:pPr>
            <w:r>
              <w:rPr>
                <w:rFonts w:ascii="Segoe UI Symbol" w:hAnsi="Segoe UI Symbol" w:cs="Segoe UI Symbol"/>
              </w:rPr>
              <w:t>★</w:t>
            </w:r>
            <w:r>
              <w:rPr>
                <w:color w:val="000000" w:themeColor="text1"/>
                <w:szCs w:val="21"/>
                <w14:textFill>
                  <w14:solidFill>
                    <w14:schemeClr w14:val="tx1"/>
                  </w14:solidFill>
                </w14:textFill>
              </w:rPr>
              <w:t>2.2 投标总价指：包括但不限于将货物运送到采购人指定地点、进行安装调试、产品培训、交付使用及售后服务等各环节产生的</w:t>
            </w:r>
            <w:r>
              <w:rPr>
                <w:color w:val="000000" w:themeColor="text1"/>
                <w:kern w:val="0"/>
                <w:szCs w:val="21"/>
                <w14:textFill>
                  <w14:solidFill>
                    <w14:schemeClr w14:val="tx1"/>
                  </w14:solidFill>
                </w14:textFill>
              </w:rPr>
              <w:t>仪器设备费、税费、包装、运输、装卸、安装（含必要的小型水电气改造）、调试、技术指导、培训、咨询、服务、保险、计量、检测等</w:t>
            </w:r>
            <w:r>
              <w:rPr>
                <w:color w:val="000000" w:themeColor="text1"/>
                <w:szCs w:val="21"/>
                <w14:textFill>
                  <w14:solidFill>
                    <w14:schemeClr w14:val="tx1"/>
                  </w14:solidFill>
                </w14:textFill>
              </w:rPr>
              <w:t>全部费用</w:t>
            </w:r>
            <w:r>
              <w:rPr>
                <w:color w:val="000000" w:themeColor="text1"/>
                <w:kern w:val="0"/>
                <w:szCs w:val="21"/>
                <w14:textFill>
                  <w14:solidFill>
                    <w14:schemeClr w14:val="tx1"/>
                  </w14:solidFill>
                </w14:textFill>
              </w:rPr>
              <w:t>，上述各项费用不单列。</w:t>
            </w:r>
            <w:r>
              <w:rPr>
                <w:color w:val="000000" w:themeColor="text1"/>
                <w:szCs w:val="21"/>
                <w14:textFill>
                  <w14:solidFill>
                    <w14:schemeClr w14:val="tx1"/>
                  </w14:solidFill>
                </w14:textFill>
              </w:rPr>
              <w:t>该项目中，采购人无需再支付中标价以外的任何费用。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11" w:type="pct"/>
            <w:vMerge w:val="continue"/>
            <w:vAlign w:val="center"/>
          </w:tcPr>
          <w:p>
            <w:pPr>
              <w:jc w:val="center"/>
              <w:rPr>
                <w:szCs w:val="21"/>
              </w:rPr>
            </w:pPr>
          </w:p>
        </w:tc>
        <w:tc>
          <w:tcPr>
            <w:tcW w:w="917" w:type="pct"/>
            <w:vMerge w:val="continue"/>
            <w:vAlign w:val="center"/>
          </w:tcPr>
          <w:p>
            <w:pPr>
              <w:jc w:val="center"/>
              <w:rPr>
                <w:szCs w:val="21"/>
              </w:rPr>
            </w:pPr>
          </w:p>
        </w:tc>
        <w:tc>
          <w:tcPr>
            <w:tcW w:w="3371" w:type="pct"/>
          </w:tcPr>
          <w:p>
            <w:pPr>
              <w:pStyle w:val="8"/>
              <w:ind w:firstLine="0"/>
              <w:rPr>
                <w:b/>
                <w:szCs w:val="21"/>
              </w:rPr>
            </w:pPr>
            <w:r>
              <w:rPr>
                <w:color w:val="000000" w:themeColor="text1"/>
                <w:szCs w:val="21"/>
                <w14:textFill>
                  <w14:solidFill>
                    <w14:schemeClr w14:val="tx1"/>
                  </w14:solidFill>
                </w14:textFill>
              </w:rPr>
              <w:t>2.3 最终结算货币：人民币。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11" w:type="pct"/>
            <w:vMerge w:val="restart"/>
            <w:vAlign w:val="center"/>
          </w:tcPr>
          <w:p>
            <w:pPr>
              <w:jc w:val="center"/>
              <w:rPr>
                <w:szCs w:val="21"/>
              </w:rPr>
            </w:pPr>
            <w:r>
              <w:rPr>
                <w:color w:val="000000" w:themeColor="text1"/>
                <w:kern w:val="0"/>
                <w:szCs w:val="21"/>
                <w14:textFill>
                  <w14:solidFill>
                    <w14:schemeClr w14:val="tx1"/>
                  </w14:solidFill>
                </w14:textFill>
              </w:rPr>
              <w:t>3</w:t>
            </w:r>
          </w:p>
        </w:tc>
        <w:tc>
          <w:tcPr>
            <w:tcW w:w="917" w:type="pct"/>
            <w:vMerge w:val="restart"/>
            <w:vAlign w:val="center"/>
          </w:tcPr>
          <w:p>
            <w:pPr>
              <w:jc w:val="center"/>
              <w:rPr>
                <w:szCs w:val="21"/>
              </w:rPr>
            </w:pPr>
            <w:r>
              <w:rPr>
                <w:color w:val="000000" w:themeColor="text1"/>
                <w:kern w:val="0"/>
                <w:szCs w:val="21"/>
                <w14:textFill>
                  <w14:solidFill>
                    <w14:schemeClr w14:val="tx1"/>
                  </w14:solidFill>
                </w14:textFill>
              </w:rPr>
              <w:t>关于交货</w:t>
            </w:r>
          </w:p>
        </w:tc>
        <w:tc>
          <w:tcPr>
            <w:tcW w:w="3371" w:type="pct"/>
          </w:tcPr>
          <w:p>
            <w:pPr>
              <w:pStyle w:val="8"/>
              <w:ind w:firstLine="0"/>
              <w:rPr>
                <w:b/>
                <w:szCs w:val="21"/>
              </w:rPr>
            </w:pPr>
            <w:r>
              <w:rPr>
                <w:bCs/>
                <w:color w:val="000000" w:themeColor="text1"/>
                <w:szCs w:val="21"/>
                <w14:textFill>
                  <w14:solidFill>
                    <w14:schemeClr w14:val="tx1"/>
                  </w14:solidFill>
                </w14:textFill>
              </w:rPr>
              <w:t>3.1 交货地点：深圳市龙岗区采购人指定地点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11" w:type="pct"/>
            <w:vMerge w:val="continue"/>
            <w:vAlign w:val="center"/>
          </w:tcPr>
          <w:p>
            <w:pPr>
              <w:jc w:val="center"/>
              <w:rPr>
                <w:szCs w:val="21"/>
              </w:rPr>
            </w:pPr>
          </w:p>
        </w:tc>
        <w:tc>
          <w:tcPr>
            <w:tcW w:w="917" w:type="pct"/>
            <w:vMerge w:val="continue"/>
            <w:vAlign w:val="center"/>
          </w:tcPr>
          <w:p>
            <w:pPr>
              <w:jc w:val="center"/>
              <w:rPr>
                <w:szCs w:val="21"/>
              </w:rPr>
            </w:pPr>
          </w:p>
        </w:tc>
        <w:tc>
          <w:tcPr>
            <w:tcW w:w="3371" w:type="pct"/>
          </w:tcPr>
          <w:p>
            <w:pPr>
              <w:pStyle w:val="8"/>
              <w:ind w:firstLine="0"/>
              <w:rPr>
                <w:b/>
                <w:szCs w:val="21"/>
              </w:rPr>
            </w:pPr>
            <w:r>
              <w:rPr>
                <w:bCs/>
                <w:color w:val="000000" w:themeColor="text1"/>
                <w:szCs w:val="21"/>
                <w14:textFill>
                  <w14:solidFill>
                    <w14:schemeClr w14:val="tx1"/>
                  </w14:solidFill>
                </w14:textFill>
              </w:rPr>
              <w:t>3.2 投标人必须承担的设备运输、安装调试、验收检测和提供设备操作说明书、图纸等其他类似的义务。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11" w:type="pct"/>
            <w:vMerge w:val="continue"/>
            <w:vAlign w:val="center"/>
          </w:tcPr>
          <w:p>
            <w:pPr>
              <w:jc w:val="center"/>
              <w:rPr>
                <w:szCs w:val="21"/>
              </w:rPr>
            </w:pPr>
          </w:p>
        </w:tc>
        <w:tc>
          <w:tcPr>
            <w:tcW w:w="917" w:type="pct"/>
            <w:vMerge w:val="continue"/>
            <w:vAlign w:val="center"/>
          </w:tcPr>
          <w:p>
            <w:pPr>
              <w:jc w:val="center"/>
              <w:rPr>
                <w:szCs w:val="21"/>
              </w:rPr>
            </w:pPr>
          </w:p>
        </w:tc>
        <w:tc>
          <w:tcPr>
            <w:tcW w:w="3371" w:type="pct"/>
          </w:tcPr>
          <w:p>
            <w:pPr>
              <w:pStyle w:val="8"/>
              <w:ind w:firstLine="0"/>
              <w:rPr>
                <w:b/>
                <w:szCs w:val="21"/>
              </w:rPr>
            </w:pPr>
            <w:r>
              <w:t>▲</w:t>
            </w:r>
            <w:r>
              <w:rPr>
                <w:bCs/>
                <w:color w:val="000000" w:themeColor="text1"/>
                <w:szCs w:val="21"/>
                <w14:textFill>
                  <w14:solidFill>
                    <w14:schemeClr w14:val="tx1"/>
                  </w14:solidFill>
                </w14:textFill>
              </w:rPr>
              <w:t>3.3交货时间：签订合同后</w:t>
            </w:r>
            <w:r>
              <w:rPr>
                <w:bCs/>
                <w:color w:val="FF0000"/>
                <w:szCs w:val="21"/>
                <w:u w:val="single"/>
              </w:rPr>
              <w:t xml:space="preserve"> 90 </w:t>
            </w:r>
            <w:r>
              <w:rPr>
                <w:bCs/>
                <w:color w:val="FF0000"/>
                <w:szCs w:val="21"/>
              </w:rPr>
              <w:t>天</w:t>
            </w:r>
            <w:r>
              <w:rPr>
                <w:bCs/>
                <w:color w:val="000000" w:themeColor="text1"/>
                <w:szCs w:val="21"/>
                <w14:textFill>
                  <w14:solidFill>
                    <w14:schemeClr w14:val="tx1"/>
                  </w14:solidFill>
                </w14:textFill>
              </w:rPr>
              <w:t>（日历日）内，</w:t>
            </w:r>
            <w:r>
              <w:rPr>
                <w:color w:val="000000" w:themeColor="text1"/>
                <w:szCs w:val="21"/>
                <w14:textFill>
                  <w14:solidFill>
                    <w14:schemeClr w14:val="tx1"/>
                  </w14:solidFill>
                </w14:textFill>
              </w:rPr>
              <w:t>交货期包含安装、调试时间</w:t>
            </w:r>
            <w:r>
              <w:rPr>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11" w:type="pct"/>
            <w:vMerge w:val="restart"/>
            <w:vAlign w:val="center"/>
          </w:tcPr>
          <w:p>
            <w:pPr>
              <w:jc w:val="center"/>
              <w:rPr>
                <w:szCs w:val="21"/>
              </w:rPr>
            </w:pPr>
            <w:r>
              <w:rPr>
                <w:color w:val="000000" w:themeColor="text1"/>
                <w:kern w:val="0"/>
                <w:szCs w:val="21"/>
                <w14:textFill>
                  <w14:solidFill>
                    <w14:schemeClr w14:val="tx1"/>
                  </w14:solidFill>
                </w14:textFill>
              </w:rPr>
              <w:t>4</w:t>
            </w:r>
          </w:p>
        </w:tc>
        <w:tc>
          <w:tcPr>
            <w:tcW w:w="917" w:type="pct"/>
            <w:vMerge w:val="restart"/>
            <w:vAlign w:val="center"/>
          </w:tcPr>
          <w:p>
            <w:pPr>
              <w:jc w:val="center"/>
              <w:rPr>
                <w:szCs w:val="21"/>
              </w:rPr>
            </w:pPr>
            <w:r>
              <w:rPr>
                <w:color w:val="000000" w:themeColor="text1"/>
                <w:kern w:val="0"/>
                <w:szCs w:val="21"/>
                <w14:textFill>
                  <w14:solidFill>
                    <w14:schemeClr w14:val="tx1"/>
                  </w14:solidFill>
                </w14:textFill>
              </w:rPr>
              <w:t>关于验收</w:t>
            </w:r>
          </w:p>
        </w:tc>
        <w:tc>
          <w:tcPr>
            <w:tcW w:w="3371" w:type="pct"/>
          </w:tcPr>
          <w:p>
            <w:pPr>
              <w:pStyle w:val="8"/>
              <w:ind w:firstLine="0"/>
              <w:rPr>
                <w:b/>
                <w:szCs w:val="21"/>
              </w:rPr>
            </w:pPr>
            <w:r>
              <w:rPr>
                <w:bCs/>
                <w:color w:val="000000" w:themeColor="text1"/>
                <w:szCs w:val="21"/>
                <w14:textFill>
                  <w14:solidFill>
                    <w14:schemeClr w14:val="tx1"/>
                  </w14:solidFill>
                </w14:textFill>
              </w:rPr>
              <w:t>4.1 货物安装调试完成后，正常工作15 个工作日内开始组织验收，验收应在采购人和中标人双方共同参加下进行，投标人货物经过双方检验认可后，签署验收报告，产品保修期自验收合格之日起算，由投标人提供产品保修文件。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11" w:type="pct"/>
            <w:vMerge w:val="continue"/>
            <w:vAlign w:val="center"/>
          </w:tcPr>
          <w:p>
            <w:pPr>
              <w:jc w:val="center"/>
              <w:rPr>
                <w:szCs w:val="21"/>
              </w:rPr>
            </w:pPr>
          </w:p>
        </w:tc>
        <w:tc>
          <w:tcPr>
            <w:tcW w:w="917" w:type="pct"/>
            <w:vMerge w:val="continue"/>
            <w:vAlign w:val="center"/>
          </w:tcPr>
          <w:p>
            <w:pPr>
              <w:jc w:val="center"/>
              <w:rPr>
                <w:szCs w:val="21"/>
              </w:rPr>
            </w:pPr>
          </w:p>
        </w:tc>
        <w:tc>
          <w:tcPr>
            <w:tcW w:w="3371" w:type="pct"/>
          </w:tcPr>
          <w:p>
            <w:pPr>
              <w:widowControl/>
              <w:spacing w:line="20" w:lineRule="atLeast"/>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4.2 当满足以下条件时，采购人才向中标人签发货物验收报告：</w:t>
            </w:r>
          </w:p>
          <w:p>
            <w:pPr>
              <w:widowControl/>
              <w:tabs>
                <w:tab w:val="left" w:pos="1260"/>
              </w:tabs>
              <w:spacing w:line="20" w:lineRule="atLeast"/>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（1）货物安装调试后正常运行。</w:t>
            </w:r>
          </w:p>
          <w:p>
            <w:pPr>
              <w:widowControl/>
              <w:tabs>
                <w:tab w:val="left" w:pos="1260"/>
              </w:tabs>
              <w:spacing w:line="20" w:lineRule="atLeast"/>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（2）中标人已按照合同规定提供了全部产品及完整的技术资料。</w:t>
            </w:r>
          </w:p>
          <w:p>
            <w:pPr>
              <w:widowControl/>
              <w:tabs>
                <w:tab w:val="left" w:pos="1260"/>
              </w:tabs>
              <w:spacing w:line="20" w:lineRule="atLeast"/>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（3）货物符合招标文件技术规格书的要求，性能满足要求。</w:t>
            </w:r>
          </w:p>
          <w:p>
            <w:pPr>
              <w:pStyle w:val="8"/>
              <w:ind w:firstLine="0"/>
              <w:rPr>
                <w:b/>
                <w:szCs w:val="21"/>
              </w:rPr>
            </w:pPr>
            <w:r>
              <w:rPr>
                <w:bCs/>
                <w:color w:val="000000" w:themeColor="text1"/>
                <w:szCs w:val="21"/>
                <w14:textFill>
                  <w14:solidFill>
                    <w14:schemeClr w14:val="tx1"/>
                  </w14:solidFill>
                </w14:textFill>
              </w:rPr>
              <w:t>（4）货物具备产品合格证。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11" w:type="pct"/>
            <w:vMerge w:val="restart"/>
            <w:vAlign w:val="center"/>
          </w:tcPr>
          <w:p>
            <w:pPr>
              <w:jc w:val="center"/>
              <w:rPr>
                <w:szCs w:val="21"/>
              </w:rPr>
            </w:pPr>
            <w:r>
              <w:rPr>
                <w:color w:val="000000" w:themeColor="text1"/>
                <w:kern w:val="0"/>
                <w:szCs w:val="21"/>
                <w14:textFill>
                  <w14:solidFill>
                    <w14:schemeClr w14:val="tx1"/>
                  </w14:solidFill>
                </w14:textFill>
              </w:rPr>
              <w:t>5</w:t>
            </w:r>
          </w:p>
        </w:tc>
        <w:tc>
          <w:tcPr>
            <w:tcW w:w="917" w:type="pct"/>
            <w:vMerge w:val="restart"/>
            <w:vAlign w:val="center"/>
          </w:tcPr>
          <w:p>
            <w:pPr>
              <w:jc w:val="center"/>
              <w:rPr>
                <w:szCs w:val="21"/>
              </w:rPr>
            </w:pPr>
            <w:r>
              <w:rPr>
                <w:color w:val="000000" w:themeColor="text1"/>
                <w:kern w:val="0"/>
                <w:szCs w:val="21"/>
                <w14:textFill>
                  <w14:solidFill>
                    <w14:schemeClr w14:val="tx1"/>
                  </w14:solidFill>
                </w14:textFill>
              </w:rPr>
              <w:t>关于付款</w:t>
            </w:r>
          </w:p>
        </w:tc>
        <w:tc>
          <w:tcPr>
            <w:tcW w:w="3371" w:type="pct"/>
          </w:tcPr>
          <w:p>
            <w:pPr>
              <w:pStyle w:val="8"/>
              <w:ind w:firstLine="0"/>
              <w:rPr>
                <w:b/>
                <w:szCs w:val="21"/>
              </w:rPr>
            </w:pPr>
            <w:r>
              <w:rPr>
                <w:color w:val="000000" w:themeColor="text1"/>
                <w:kern w:val="0"/>
                <w:szCs w:val="21"/>
                <w14:textFill>
                  <w14:solidFill>
                    <w14:schemeClr w14:val="tx1"/>
                  </w14:solidFill>
                </w14:textFill>
              </w:rPr>
              <w:t>5.1 中标人应在中标通知书发出之日起10天内与采购人签订合同。由于中标人的原因未能按时签订合同或中标人无正当理由拒绝签订合同的，采购人有权将有关情况上报政府采购主管部门，因此引起的一切后果由中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11" w:type="pct"/>
            <w:vMerge w:val="continue"/>
            <w:vAlign w:val="center"/>
          </w:tcPr>
          <w:p>
            <w:pPr>
              <w:jc w:val="center"/>
              <w:rPr>
                <w:szCs w:val="21"/>
              </w:rPr>
            </w:pPr>
          </w:p>
        </w:tc>
        <w:tc>
          <w:tcPr>
            <w:tcW w:w="917" w:type="pct"/>
            <w:vMerge w:val="continue"/>
            <w:vAlign w:val="center"/>
          </w:tcPr>
          <w:p>
            <w:pPr>
              <w:jc w:val="center"/>
              <w:rPr>
                <w:szCs w:val="21"/>
              </w:rPr>
            </w:pPr>
          </w:p>
        </w:tc>
        <w:tc>
          <w:tcPr>
            <w:tcW w:w="3371" w:type="pct"/>
          </w:tcPr>
          <w:p>
            <w:pPr>
              <w:pStyle w:val="8"/>
              <w:ind w:firstLine="0"/>
              <w:rPr>
                <w:bCs/>
                <w:szCs w:val="21"/>
              </w:rPr>
            </w:pPr>
            <w:r>
              <w:rPr>
                <w:kern w:val="0"/>
                <w:szCs w:val="21"/>
              </w:rPr>
              <w:t xml:space="preserve">5.2 </w:t>
            </w:r>
            <w:r>
              <w:rPr>
                <w:rFonts w:hint="eastAsia"/>
                <w:kern w:val="0"/>
                <w:szCs w:val="21"/>
              </w:rPr>
              <w:t>国产产品</w:t>
            </w:r>
            <w:r>
              <w:rPr>
                <w:bCs/>
                <w:szCs w:val="21"/>
              </w:rPr>
              <w:t>自合同签订之日起7个工作日内，中标人开具合同金额的</w:t>
            </w:r>
            <w:r>
              <w:rPr>
                <w:bCs/>
                <w:szCs w:val="21"/>
                <w:u w:val="single"/>
              </w:rPr>
              <w:t>40%</w:t>
            </w:r>
            <w:r>
              <w:rPr>
                <w:bCs/>
                <w:szCs w:val="21"/>
              </w:rPr>
              <w:t>的发票给采购人，采购人收到发票后，支付合同金额的</w:t>
            </w:r>
            <w:r>
              <w:rPr>
                <w:bCs/>
                <w:szCs w:val="21"/>
                <w:u w:val="single"/>
              </w:rPr>
              <w:t>40%</w:t>
            </w:r>
            <w:r>
              <w:rPr>
                <w:bCs/>
                <w:szCs w:val="21"/>
              </w:rPr>
              <w:t>作为预付款。</w:t>
            </w:r>
            <w:r>
              <w:rPr>
                <w:kern w:val="0"/>
                <w:szCs w:val="21"/>
              </w:rPr>
              <w:t>合同设备全部送到指定地点交付并完成安装调试及验收合格后，中标人凭合同、合同金额60 %的发票、验收调试合格报告和合同金额5 %的支票或见索即付的银行保函（作为履约保证金），在15个工作日内，向采购人申请支付合同金额的60 %；</w:t>
            </w:r>
            <w:r>
              <w:rPr>
                <w:bCs/>
                <w:szCs w:val="21"/>
              </w:rPr>
              <w:t>如货物自采购人最终验收合格之日起，一年内无质量问题，由采购人在一个月内将</w:t>
            </w:r>
            <w:r>
              <w:rPr>
                <w:kern w:val="0"/>
                <w:szCs w:val="21"/>
              </w:rPr>
              <w:t>履约保证金</w:t>
            </w:r>
            <w:r>
              <w:rPr>
                <w:bCs/>
                <w:szCs w:val="21"/>
              </w:rPr>
              <w:t>无息返还给中标人。（特殊情况以合同为准）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11" w:type="pct"/>
            <w:vMerge w:val="continue"/>
            <w:vAlign w:val="center"/>
          </w:tcPr>
          <w:p>
            <w:pPr>
              <w:jc w:val="center"/>
              <w:rPr>
                <w:szCs w:val="21"/>
              </w:rPr>
            </w:pPr>
          </w:p>
        </w:tc>
        <w:tc>
          <w:tcPr>
            <w:tcW w:w="917" w:type="pct"/>
            <w:vMerge w:val="continue"/>
            <w:vAlign w:val="center"/>
          </w:tcPr>
          <w:p>
            <w:pPr>
              <w:jc w:val="center"/>
              <w:rPr>
                <w:szCs w:val="21"/>
              </w:rPr>
            </w:pPr>
          </w:p>
        </w:tc>
        <w:tc>
          <w:tcPr>
            <w:tcW w:w="3371" w:type="pct"/>
          </w:tcPr>
          <w:p>
            <w:pPr>
              <w:jc w:val="left"/>
            </w:pPr>
            <w:r>
              <w:rPr>
                <w:kern w:val="0"/>
                <w:szCs w:val="21"/>
              </w:rPr>
              <w:t>5.3</w:t>
            </w:r>
            <w:r>
              <w:rPr>
                <w:rFonts w:hint="eastAsia"/>
                <w:kern w:val="0"/>
                <w:szCs w:val="21"/>
              </w:rPr>
              <w:t>进口产品，</w:t>
            </w:r>
            <w:r>
              <w:rPr>
                <w:rFonts w:hint="eastAsia"/>
              </w:rPr>
              <w:t>买方代理在收到相应货款后凭卖方出具的商业发票一式贰份在</w:t>
            </w:r>
            <w:r>
              <w:t>10个工作日内</w:t>
            </w:r>
            <w:r>
              <w:rPr>
                <w:rFonts w:hint="eastAsia"/>
              </w:rPr>
              <w:t>全额</w:t>
            </w:r>
            <w:r>
              <w:t>电汇支付合同货款</w:t>
            </w:r>
            <w:r>
              <w:rPr>
                <w:rFonts w:hint="eastAsia"/>
              </w:rPr>
              <w:t>给卖方</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11" w:type="pct"/>
            <w:vMerge w:val="restart"/>
            <w:vAlign w:val="center"/>
          </w:tcPr>
          <w:p>
            <w:pPr>
              <w:jc w:val="center"/>
              <w:rPr>
                <w:szCs w:val="21"/>
              </w:rPr>
            </w:pPr>
            <w:r>
              <w:rPr>
                <w:color w:val="000000" w:themeColor="text1"/>
                <w:szCs w:val="21"/>
                <w14:textFill>
                  <w14:solidFill>
                    <w14:schemeClr w14:val="tx1"/>
                  </w14:solidFill>
                </w14:textFill>
              </w:rPr>
              <w:t>6</w:t>
            </w:r>
          </w:p>
        </w:tc>
        <w:tc>
          <w:tcPr>
            <w:tcW w:w="917" w:type="pct"/>
            <w:vMerge w:val="restart"/>
            <w:vAlign w:val="center"/>
          </w:tcPr>
          <w:p>
            <w:pPr>
              <w:jc w:val="center"/>
              <w:rPr>
                <w:szCs w:val="21"/>
              </w:rPr>
            </w:pPr>
            <w:r>
              <w:rPr>
                <w:color w:val="000000" w:themeColor="text1"/>
                <w:szCs w:val="21"/>
                <w14:textFill>
                  <w14:solidFill>
                    <w14:schemeClr w14:val="tx1"/>
                  </w14:solidFill>
                </w14:textFill>
              </w:rPr>
              <w:t>关于违约</w:t>
            </w:r>
          </w:p>
        </w:tc>
        <w:tc>
          <w:tcPr>
            <w:tcW w:w="3371" w:type="pct"/>
          </w:tcPr>
          <w:p>
            <w:pPr>
              <w:widowControl/>
              <w:jc w:val="left"/>
              <w:rPr>
                <w:b/>
                <w:szCs w:val="21"/>
              </w:rPr>
            </w:pPr>
            <w:r>
              <w:rPr>
                <w:bCs/>
                <w:color w:val="000000" w:themeColor="text1"/>
                <w14:textFill>
                  <w14:solidFill>
                    <w14:schemeClr w14:val="tx1"/>
                  </w14:solidFill>
                </w14:textFill>
              </w:rPr>
              <w:t xml:space="preserve">6.1 </w:t>
            </w:r>
            <w:r>
              <w:rPr>
                <w:color w:val="000000"/>
                <w:kern w:val="0"/>
                <w:szCs w:val="21"/>
                <w:lang w:bidi="ar"/>
              </w:rPr>
              <w:t xml:space="preserve">合同生效后，供应商逾期交付产品，应向采购人每日支付合同总价千分之三的违约金。验收合格后，采购人逾期付款，应向供应商每日支付合同总价千分之三的违约金。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11" w:type="pct"/>
            <w:vMerge w:val="continue"/>
            <w:vAlign w:val="center"/>
          </w:tcPr>
          <w:p>
            <w:pPr>
              <w:jc w:val="center"/>
              <w:rPr>
                <w:color w:val="000000" w:themeColor="text1"/>
                <w:szCs w:val="21"/>
                <w14:textFill>
                  <w14:solidFill>
                    <w14:schemeClr w14:val="tx1"/>
                  </w14:solidFill>
                </w14:textFill>
              </w:rPr>
            </w:pPr>
          </w:p>
        </w:tc>
        <w:tc>
          <w:tcPr>
            <w:tcW w:w="917" w:type="pct"/>
            <w:vMerge w:val="continue"/>
            <w:vAlign w:val="center"/>
          </w:tcPr>
          <w:p>
            <w:pPr>
              <w:jc w:val="center"/>
              <w:rPr>
                <w:color w:val="000000" w:themeColor="text1"/>
                <w:szCs w:val="21"/>
                <w14:textFill>
                  <w14:solidFill>
                    <w14:schemeClr w14:val="tx1"/>
                  </w14:solidFill>
                </w14:textFill>
              </w:rPr>
            </w:pPr>
          </w:p>
        </w:tc>
        <w:tc>
          <w:tcPr>
            <w:tcW w:w="3371" w:type="pct"/>
          </w:tcPr>
          <w:p>
            <w:pPr>
              <w:widowControl/>
              <w:jc w:val="left"/>
              <w:rPr>
                <w:bCs/>
              </w:rPr>
            </w:pPr>
            <w:r>
              <w:rPr>
                <w:bCs/>
              </w:rPr>
              <w:t>6.2</w:t>
            </w:r>
            <w:r>
              <w:rPr>
                <w:color w:val="000000"/>
                <w:kern w:val="0"/>
                <w:szCs w:val="21"/>
                <w:lang w:bidi="ar"/>
              </w:rPr>
              <w:t xml:space="preserve">供应商所交付的产品品种、型号、规格、质量不符合同规定标准的，采购人有权拒绝收货。供应商不能交货或不能依约提供技术服务或单方终止合同，则供应商向采购人支付合同总价百分之三十的违约金。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11" w:type="pct"/>
            <w:vMerge w:val="continue"/>
            <w:vAlign w:val="center"/>
          </w:tcPr>
          <w:p>
            <w:pPr>
              <w:jc w:val="center"/>
              <w:rPr>
                <w:szCs w:val="21"/>
              </w:rPr>
            </w:pPr>
          </w:p>
        </w:tc>
        <w:tc>
          <w:tcPr>
            <w:tcW w:w="917" w:type="pct"/>
            <w:vMerge w:val="continue"/>
            <w:vAlign w:val="center"/>
          </w:tcPr>
          <w:p>
            <w:pPr>
              <w:jc w:val="center"/>
              <w:rPr>
                <w:szCs w:val="21"/>
              </w:rPr>
            </w:pPr>
          </w:p>
        </w:tc>
        <w:tc>
          <w:tcPr>
            <w:tcW w:w="3371" w:type="pct"/>
          </w:tcPr>
          <w:p>
            <w:pPr>
              <w:widowControl/>
              <w:jc w:val="left"/>
              <w:rPr>
                <w:bCs/>
                <w:color w:val="000000" w:themeColor="text1"/>
                <w14:textFill>
                  <w14:solidFill>
                    <w14:schemeClr w14:val="tx1"/>
                  </w14:solidFill>
                </w14:textFill>
              </w:rPr>
            </w:pPr>
            <w:r>
              <w:rPr>
                <w:bCs/>
                <w:color w:val="000000" w:themeColor="text1"/>
                <w14:textFill>
                  <w14:solidFill>
                    <w14:schemeClr w14:val="tx1"/>
                  </w14:solidFill>
                </w14:textFill>
              </w:rPr>
              <w:t>6.3</w:t>
            </w:r>
            <w:r>
              <w:rPr>
                <w:color w:val="000000"/>
                <w:kern w:val="0"/>
                <w:szCs w:val="21"/>
                <w:lang w:bidi="ar"/>
              </w:rPr>
              <w:t xml:space="preserve">供应商交付的产品存在采购人验收人员在验收时无法肉眼现场发现的质量问题，包括但不限于产品技术质量问题、使用后才能发现的问题、专业仪器检测才能发现的问题、假冒产品经原厂或专业部门检测后发现的问题等，采购人有权在质保期内向供应商主张退货或换货，并可主张供应商向采购人支付合同总价百分之三十的违约金。 </w:t>
            </w:r>
          </w:p>
        </w:tc>
      </w:tr>
    </w:tbl>
    <w:p>
      <w:pPr>
        <w:rPr>
          <w:b/>
        </w:rPr>
      </w:pPr>
    </w:p>
    <w:p>
      <w:pPr>
        <w:pStyle w:val="8"/>
        <w:spacing w:before="60" w:beforeLines="25" w:after="60" w:afterLines="25"/>
        <w:ind w:firstLine="0"/>
        <w:rPr>
          <w:rFonts w:ascii="宋体" w:hAnsi="宋体"/>
          <w:szCs w:val="21"/>
        </w:rPr>
      </w:pPr>
    </w:p>
    <w:p>
      <w:pPr>
        <w:pStyle w:val="6"/>
        <w:spacing w:before="120" w:beforeLines="50" w:after="120" w:afterLines="50"/>
        <w:rPr>
          <w:sz w:val="28"/>
          <w:szCs w:val="28"/>
        </w:rPr>
      </w:pPr>
      <w:r>
        <w:rPr>
          <w:rFonts w:hint="eastAsia"/>
          <w:sz w:val="28"/>
          <w:szCs w:val="28"/>
        </w:rPr>
        <w:t>六、其他重要条款</w:t>
      </w:r>
    </w:p>
    <w:p>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pStyle w:val="8"/>
        <w:spacing w:before="60" w:beforeLines="25" w:after="60" w:afterLines="25"/>
        <w:ind w:firstLine="392"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rPr>
      </w:pPr>
      <w:r>
        <w:rPr>
          <w:rFonts w:hint="eastAsia"/>
          <w:bCs/>
          <w:szCs w:val="21"/>
        </w:rPr>
        <w:t>4、除政府采购合同继续履行将损害国家利益和社会公共利益外，双方当事人不得擅自变更、中止或者终止合同。</w:t>
      </w:r>
    </w:p>
    <w:p>
      <w:pPr>
        <w:ind w:firstLine="420" w:firstLineChars="200"/>
        <w:rPr>
          <w:bCs/>
          <w:szCs w:val="21"/>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pPr>
        <w:rPr>
          <w:rFonts w:ascii="宋体" w:hAnsi="宋体"/>
        </w:rPr>
      </w:pPr>
    </w:p>
    <w:p>
      <w:pPr>
        <w:pStyle w:val="38"/>
      </w:pPr>
    </w:p>
    <w:p>
      <w:pPr>
        <w:pStyle w:val="9"/>
        <w:rPr>
          <w:rFonts w:ascii="宋体" w:hAnsi="宋体"/>
        </w:rPr>
        <w:sectPr>
          <w:pgSz w:w="11907" w:h="16840"/>
          <w:pgMar w:top="1440" w:right="1797" w:bottom="1440" w:left="1797" w:header="851" w:footer="992" w:gutter="0"/>
          <w:cols w:space="425" w:num="1"/>
          <w:titlePg/>
          <w:docGrid w:linePitch="462" w:charSpace="0"/>
        </w:sectPr>
      </w:pPr>
    </w:p>
    <w:p>
      <w:pPr>
        <w:pStyle w:val="6"/>
        <w:rPr>
          <w:kern w:val="2"/>
        </w:rPr>
      </w:pPr>
      <w:r>
        <w:rPr>
          <w:rFonts w:hint="eastAsia"/>
          <w:kern w:val="2"/>
        </w:rPr>
        <w:t>第四章</w:t>
      </w:r>
      <w:r>
        <w:rPr>
          <w:kern w:val="2"/>
        </w:rPr>
        <w:t xml:space="preserve"> </w:t>
      </w:r>
      <w:r>
        <w:rPr>
          <w:rFonts w:hint="eastAsia"/>
          <w:kern w:val="2"/>
        </w:rPr>
        <w:t xml:space="preserve"> 投标文件组成要求及格式</w:t>
      </w:r>
    </w:p>
    <w:p>
      <w:pPr>
        <w:ind w:firstLine="480" w:firstLineChars="200"/>
        <w:rPr>
          <w:rFonts w:ascii="仿宋_GB2312" w:eastAsia="仿宋_GB2312"/>
          <w:sz w:val="24"/>
        </w:rPr>
      </w:pPr>
    </w:p>
    <w:p>
      <w:pPr>
        <w:rPr>
          <w:rFonts w:ascii="仿宋_GB2312" w:eastAsia="仿宋_GB2312"/>
          <w:sz w:val="24"/>
        </w:rPr>
      </w:pPr>
    </w:p>
    <w:p>
      <w:pPr>
        <w:outlineLvl w:val="0"/>
        <w:rPr>
          <w:rStyle w:val="60"/>
          <w:sz w:val="28"/>
          <w:szCs w:val="28"/>
        </w:rPr>
      </w:pPr>
      <w:r>
        <w:rPr>
          <w:rStyle w:val="60"/>
          <w:rFonts w:hint="eastAsia"/>
          <w:sz w:val="28"/>
          <w:szCs w:val="28"/>
        </w:rPr>
        <w:t>投标文件组成：</w:t>
      </w:r>
    </w:p>
    <w:p>
      <w:pPr>
        <w:ind w:firstLine="1200" w:firstLineChars="500"/>
        <w:outlineLvl w:val="0"/>
        <w:rPr>
          <w:rFonts w:ascii="宋体" w:hAnsi="宋体"/>
          <w:sz w:val="24"/>
        </w:rPr>
      </w:pPr>
      <w:bookmarkStart w:id="43" w:name="_Hlk72257253"/>
      <w:r>
        <w:rPr>
          <w:rFonts w:hint="eastAsia" w:ascii="宋体" w:hAnsi="宋体"/>
          <w:sz w:val="24"/>
        </w:rPr>
        <w:t>1.投标文件正文部分，主要包括以下内容：</w:t>
      </w:r>
    </w:p>
    <w:p>
      <w:pPr>
        <w:ind w:firstLine="2100" w:firstLineChars="1000"/>
        <w:rPr>
          <w:rFonts w:ascii="宋体" w:hAnsi="宋体" w:cs="宋体"/>
          <w:szCs w:val="21"/>
        </w:rPr>
      </w:pPr>
      <w:r>
        <w:rPr>
          <w:rFonts w:hint="eastAsia" w:ascii="宋体" w:hAnsi="宋体" w:cs="宋体"/>
          <w:szCs w:val="21"/>
        </w:rPr>
        <w:t>（1）投标函</w:t>
      </w:r>
    </w:p>
    <w:p>
      <w:pPr>
        <w:ind w:firstLine="2100" w:firstLineChars="1000"/>
        <w:rPr>
          <w:rFonts w:ascii="宋体" w:hAnsi="宋体" w:cs="宋体"/>
          <w:szCs w:val="21"/>
        </w:rPr>
      </w:pPr>
      <w:r>
        <w:rPr>
          <w:rFonts w:hint="eastAsia" w:ascii="宋体" w:hAnsi="宋体" w:cs="宋体"/>
          <w:szCs w:val="21"/>
        </w:rPr>
        <w:t>（2）政府采购投标及履约承诺函</w:t>
      </w:r>
    </w:p>
    <w:p>
      <w:pPr>
        <w:ind w:firstLine="2100" w:firstLineChars="1000"/>
        <w:rPr>
          <w:rFonts w:ascii="宋体" w:hAnsi="宋体" w:cs="宋体"/>
          <w:szCs w:val="21"/>
        </w:rPr>
      </w:pPr>
      <w:r>
        <w:rPr>
          <w:rFonts w:hint="eastAsia" w:ascii="宋体" w:hAnsi="宋体" w:cs="宋体"/>
          <w:szCs w:val="21"/>
        </w:rPr>
        <w:t>（3）投标人情况及资格证明文件</w:t>
      </w:r>
    </w:p>
    <w:p>
      <w:pPr>
        <w:ind w:firstLine="2100" w:firstLineChars="1000"/>
        <w:rPr>
          <w:rFonts w:ascii="宋体" w:hAnsi="宋体" w:cs="宋体"/>
          <w:szCs w:val="21"/>
        </w:rPr>
      </w:pPr>
      <w:r>
        <w:rPr>
          <w:rFonts w:hint="eastAsia" w:ascii="宋体" w:hAnsi="宋体" w:cs="宋体"/>
          <w:szCs w:val="21"/>
        </w:rPr>
        <w:t>（4）项目详细报价</w:t>
      </w:r>
    </w:p>
    <w:p>
      <w:pPr>
        <w:ind w:firstLine="2100" w:firstLineChars="1000"/>
        <w:rPr>
          <w:rFonts w:ascii="宋体" w:hAnsi="宋体" w:cs="宋体"/>
          <w:szCs w:val="21"/>
        </w:rPr>
      </w:pPr>
      <w:r>
        <w:rPr>
          <w:rFonts w:hint="eastAsia" w:ascii="宋体" w:hAnsi="宋体" w:cs="宋体"/>
          <w:szCs w:val="21"/>
        </w:rPr>
        <w:t>（5）同类项目业绩</w:t>
      </w:r>
    </w:p>
    <w:p>
      <w:pPr>
        <w:ind w:firstLine="2100" w:firstLineChars="1000"/>
        <w:rPr>
          <w:rFonts w:ascii="宋体" w:hAnsi="宋体" w:cs="宋体"/>
          <w:szCs w:val="21"/>
        </w:rPr>
      </w:pPr>
      <w:r>
        <w:rPr>
          <w:rFonts w:hint="eastAsia" w:ascii="宋体" w:hAnsi="宋体" w:cs="宋体"/>
          <w:szCs w:val="21"/>
        </w:rPr>
        <w:t>（6）投标人认为需要加以说明的其他内容（正文部分）</w:t>
      </w:r>
    </w:p>
    <w:p>
      <w:pPr>
        <w:ind w:firstLine="1200" w:firstLineChars="500"/>
        <w:outlineLvl w:val="0"/>
        <w:rPr>
          <w:rFonts w:ascii="宋体" w:hAnsi="宋体"/>
          <w:sz w:val="24"/>
        </w:rPr>
      </w:pPr>
      <w:r>
        <w:rPr>
          <w:rFonts w:hint="eastAsia" w:ascii="宋体" w:hAnsi="宋体"/>
          <w:sz w:val="24"/>
        </w:rPr>
        <w:t>2.投标文件附件部分：主要包括以下内容：</w:t>
      </w:r>
    </w:p>
    <w:p>
      <w:pPr>
        <w:ind w:firstLine="2100" w:firstLineChars="1000"/>
        <w:rPr>
          <w:rFonts w:ascii="宋体" w:hAnsi="宋体" w:cs="宋体"/>
          <w:szCs w:val="21"/>
        </w:rPr>
      </w:pPr>
      <w:r>
        <w:rPr>
          <w:rFonts w:hint="eastAsia" w:ascii="宋体" w:hAnsi="宋体" w:cs="宋体"/>
          <w:szCs w:val="21"/>
        </w:rPr>
        <w:t>（1）供应商基本情况表</w:t>
      </w:r>
    </w:p>
    <w:p>
      <w:pPr>
        <w:ind w:firstLine="2100" w:firstLineChars="1000"/>
        <w:rPr>
          <w:rFonts w:ascii="宋体" w:hAnsi="宋体" w:cs="宋体"/>
          <w:szCs w:val="21"/>
        </w:rPr>
      </w:pPr>
      <w:r>
        <w:rPr>
          <w:rFonts w:hint="eastAsia" w:ascii="宋体" w:hAnsi="宋体" w:cs="宋体"/>
          <w:szCs w:val="21"/>
        </w:rPr>
        <w:t>（2）法定代表人（负责人）证明书</w:t>
      </w:r>
    </w:p>
    <w:p>
      <w:pPr>
        <w:ind w:left="718" w:leftChars="342" w:firstLine="1417" w:firstLineChars="675"/>
        <w:rPr>
          <w:rFonts w:ascii="宋体" w:hAnsi="宋体" w:cs="宋体"/>
          <w:szCs w:val="21"/>
        </w:rPr>
      </w:pPr>
      <w:r>
        <w:rPr>
          <w:rFonts w:hint="eastAsia" w:ascii="宋体" w:hAnsi="宋体" w:cs="宋体"/>
          <w:szCs w:val="21"/>
        </w:rPr>
        <w:t>（3）投标文件签署授权委托书</w:t>
      </w:r>
    </w:p>
    <w:p>
      <w:pPr>
        <w:ind w:left="718" w:leftChars="342" w:firstLine="1417" w:firstLineChars="675"/>
        <w:rPr>
          <w:rFonts w:ascii="宋体" w:hAnsi="宋体" w:cs="宋体"/>
          <w:szCs w:val="21"/>
        </w:rPr>
      </w:pPr>
      <w:r>
        <w:rPr>
          <w:rFonts w:hint="eastAsia" w:ascii="宋体" w:hAnsi="宋体" w:cs="宋体"/>
          <w:szCs w:val="21"/>
        </w:rPr>
        <w:t>（4）实质性条款响应情况表</w:t>
      </w:r>
    </w:p>
    <w:p>
      <w:pPr>
        <w:ind w:left="718" w:leftChars="342" w:firstLine="1417" w:firstLineChars="675"/>
        <w:rPr>
          <w:rFonts w:ascii="宋体" w:hAnsi="宋体" w:cs="宋体"/>
          <w:szCs w:val="21"/>
        </w:rPr>
      </w:pPr>
      <w:r>
        <w:rPr>
          <w:rFonts w:hint="eastAsia" w:ascii="宋体" w:hAnsi="宋体" w:cs="宋体"/>
          <w:szCs w:val="21"/>
        </w:rPr>
        <w:t>（5）技术要求偏离表</w:t>
      </w:r>
    </w:p>
    <w:p>
      <w:pPr>
        <w:ind w:left="718" w:leftChars="342" w:firstLine="1417" w:firstLineChars="675"/>
        <w:rPr>
          <w:rFonts w:ascii="宋体" w:hAnsi="宋体" w:cs="宋体"/>
          <w:szCs w:val="21"/>
        </w:rPr>
      </w:pPr>
      <w:r>
        <w:rPr>
          <w:rFonts w:hint="eastAsia" w:ascii="宋体" w:hAnsi="宋体" w:cs="宋体"/>
          <w:szCs w:val="21"/>
        </w:rPr>
        <w:t>（6）商务要求偏离表</w:t>
      </w:r>
    </w:p>
    <w:p>
      <w:pPr>
        <w:ind w:left="718" w:leftChars="342" w:firstLine="1417" w:firstLineChars="675"/>
        <w:rPr>
          <w:rFonts w:ascii="宋体" w:hAnsi="宋体" w:cs="宋体"/>
          <w:szCs w:val="21"/>
        </w:rPr>
      </w:pPr>
      <w:r>
        <w:rPr>
          <w:rFonts w:hint="eastAsia" w:ascii="宋体" w:hAnsi="宋体" w:cs="宋体"/>
          <w:szCs w:val="21"/>
        </w:rPr>
        <w:t>（7）投标人认为需要加以说明的其他内容（附件部分）</w:t>
      </w:r>
    </w:p>
    <w:p>
      <w:pPr>
        <w:pStyle w:val="9"/>
      </w:pPr>
    </w:p>
    <w:bookmarkEnd w:id="43"/>
    <w:p>
      <w:pPr>
        <w:ind w:left="718" w:leftChars="342" w:firstLine="1417" w:firstLineChars="675"/>
        <w:rPr>
          <w:szCs w:val="21"/>
        </w:rPr>
      </w:pPr>
    </w:p>
    <w:p>
      <w:pPr>
        <w:ind w:firstLine="426" w:firstLineChars="202"/>
        <w:rPr>
          <w:rFonts w:ascii="宋体" w:hAnsi="宋体"/>
          <w:b/>
          <w:szCs w:val="21"/>
        </w:rPr>
      </w:pPr>
      <w:bookmarkStart w:id="44" w:name="_Hlk72257771"/>
      <w:r>
        <w:rPr>
          <w:rFonts w:hint="eastAsia" w:ascii="宋体" w:hAnsi="宋体"/>
          <w:b/>
          <w:szCs w:val="21"/>
        </w:rPr>
        <w:t>备注：</w:t>
      </w:r>
    </w:p>
    <w:p>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pPr>
        <w:ind w:firstLine="422" w:firstLineChars="200"/>
        <w:rPr>
          <w:rFonts w:ascii="宋体" w:hAnsi="宋体"/>
          <w:color w:val="FF0000"/>
          <w:sz w:val="24"/>
        </w:rPr>
      </w:pPr>
      <w:bookmarkStart w:id="45" w:name="_Hlk72263559"/>
      <w:r>
        <w:rPr>
          <w:rFonts w:hint="eastAsia" w:ascii="宋体" w:hAnsi="宋体"/>
          <w:b/>
          <w:szCs w:val="21"/>
        </w:rPr>
        <w:t>2.关于填写“开标一览表”的说明：“开标一览表”中除“投标总价”外，其他信息不作评审依据。</w:t>
      </w:r>
      <w:bookmarkEnd w:id="44"/>
      <w:bookmarkEnd w:id="45"/>
    </w:p>
    <w:p>
      <w:pPr>
        <w:rPr>
          <w:rFonts w:ascii="宋体" w:hAnsi="宋体"/>
          <w:color w:val="FF0000"/>
          <w:sz w:val="24"/>
        </w:rPr>
      </w:pPr>
    </w:p>
    <w:p>
      <w:pPr>
        <w:rPr>
          <w:rFonts w:ascii="宋体" w:hAnsi="宋体"/>
          <w:color w:val="FF0000"/>
          <w:sz w:val="24"/>
        </w:rPr>
        <w:sectPr>
          <w:pgSz w:w="11907" w:h="16840"/>
          <w:pgMar w:top="1440" w:right="1797" w:bottom="1440" w:left="1797" w:header="851" w:footer="992" w:gutter="0"/>
          <w:cols w:space="425" w:num="1"/>
          <w:titlePg/>
          <w:docGrid w:linePitch="462" w:charSpace="0"/>
        </w:sectPr>
      </w:pPr>
    </w:p>
    <w:p>
      <w:pPr>
        <w:outlineLvl w:val="1"/>
        <w:rPr>
          <w:rFonts w:ascii="宋体" w:hAnsi="宋体"/>
          <w:b/>
          <w:color w:val="FF0000"/>
          <w:sz w:val="28"/>
          <w:szCs w:val="28"/>
        </w:rPr>
      </w:pPr>
    </w:p>
    <w:p>
      <w:pPr>
        <w:pStyle w:val="4"/>
        <w:jc w:val="center"/>
        <w:rPr>
          <w:rFonts w:ascii="黑体" w:eastAsia="黑体"/>
          <w:b w:val="0"/>
          <w:sz w:val="24"/>
        </w:rPr>
      </w:pPr>
      <w:r>
        <w:rPr>
          <w:rFonts w:hint="eastAsia" w:ascii="黑体" w:eastAsia="黑体"/>
          <w:b w:val="0"/>
          <w:sz w:val="24"/>
        </w:rPr>
        <w:t>一、投标函</w:t>
      </w:r>
    </w:p>
    <w:p>
      <w:pPr>
        <w:spacing w:line="360" w:lineRule="auto"/>
        <w:rPr>
          <w:rFonts w:ascii="宋体" w:hAnsi="宋体"/>
          <w:szCs w:val="21"/>
        </w:rPr>
      </w:pPr>
      <w:bookmarkStart w:id="46" w:name="_Hlk72257506"/>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pPr>
        <w:ind w:firstLine="420" w:firstLineChars="200"/>
        <w:rPr>
          <w:rFonts w:ascii="宋体" w:hAnsi="宋体"/>
          <w:szCs w:val="21"/>
        </w:rPr>
      </w:pPr>
      <w:bookmarkStart w:id="47" w:name="_Hlk73818812"/>
      <w:r>
        <w:rPr>
          <w:rFonts w:hint="eastAsia"/>
          <w:szCs w:val="21"/>
        </w:rPr>
        <w:t>1、根据已收到贵单位的项目编号为</w:t>
      </w:r>
      <w:r>
        <w:rPr>
          <w:rFonts w:hint="eastAsia"/>
          <w:szCs w:val="21"/>
          <w:u w:val="thick"/>
        </w:rPr>
        <w:t xml:space="preserve">                 </w:t>
      </w:r>
      <w:r>
        <w:rPr>
          <w:rFonts w:hint="eastAsia"/>
          <w:szCs w:val="21"/>
        </w:rPr>
        <w:t>的</w:t>
      </w:r>
      <w:r>
        <w:rPr>
          <w:rFonts w:hint="eastAsia"/>
          <w:szCs w:val="21"/>
          <w:u w:val="thick"/>
        </w:rPr>
        <w:t xml:space="preserve">       （项目名称）          </w:t>
      </w:r>
      <w:r>
        <w:rPr>
          <w:rFonts w:hint="eastAsia"/>
          <w:szCs w:val="21"/>
        </w:rPr>
        <w:t>项目的招标文件，遵照《深圳经济特区政府采购条例》和《深圳网上政府采购管理暂行办法》等有关规定，我单位经研究上述招标文件的专用条款及通用条款后，</w:t>
      </w:r>
      <w:bookmarkStart w:id="48" w:name="_Hlk72263588"/>
      <w:r>
        <w:rPr>
          <w:rFonts w:hint="eastAsia"/>
          <w:szCs w:val="21"/>
        </w:rPr>
        <w:t>愿意按照招标文件要求承包上述项目并修补其任何缺陷。</w:t>
      </w:r>
      <w:bookmarkEnd w:id="48"/>
    </w:p>
    <w:p>
      <w:pPr>
        <w:ind w:firstLine="420" w:firstLineChars="200"/>
        <w:rPr>
          <w:rFonts w:ascii="宋体" w:hAnsi="宋体"/>
          <w:szCs w:val="21"/>
        </w:rPr>
      </w:pPr>
      <w:r>
        <w:rPr>
          <w:rFonts w:ascii="宋体" w:hAnsi="宋体"/>
          <w:szCs w:val="21"/>
        </w:rPr>
        <w:t>2</w:t>
      </w:r>
      <w:r>
        <w:rPr>
          <w:rFonts w:hint="eastAsia" w:ascii="宋体" w:hAnsi="宋体"/>
          <w:szCs w:val="21"/>
        </w:rPr>
        <w:t>、</w:t>
      </w:r>
      <w:bookmarkStart w:id="49" w:name="_Hlk73819847"/>
      <w:r>
        <w:rPr>
          <w:rFonts w:hint="eastAsia" w:ascii="宋体" w:hAnsi="宋体"/>
          <w:szCs w:val="21"/>
        </w:rPr>
        <w:t>投标价格见</w:t>
      </w:r>
      <w:r>
        <w:rPr>
          <w:rFonts w:hint="eastAsia"/>
          <w:szCs w:val="21"/>
        </w:rPr>
        <w:t>投标书编制软件中《开标一览表》中填写的投标总价。</w:t>
      </w:r>
      <w:bookmarkEnd w:id="49"/>
    </w:p>
    <w:p>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pPr>
        <w:ind w:left="420" w:leftChars="200"/>
        <w:rPr>
          <w:rFonts w:ascii="宋体" w:hAnsi="宋体"/>
          <w:b/>
          <w:szCs w:val="21"/>
        </w:rPr>
      </w:pPr>
      <w:r>
        <w:rPr>
          <w:rFonts w:hint="eastAsia" w:ascii="宋体" w:hAnsi="宋体"/>
          <w:szCs w:val="21"/>
        </w:rPr>
        <w:t>6、我单位理解贵单位将不受必须接受所收到的最低报价或其它任何投标文件的约束。</w:t>
      </w:r>
      <w:bookmarkEnd w:id="47"/>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pPr>
        <w:ind w:left="420" w:leftChars="200" w:firstLine="210" w:firstLineChars="100"/>
        <w:rPr>
          <w:szCs w:val="21"/>
        </w:rPr>
      </w:pPr>
    </w:p>
    <w:p>
      <w:pPr>
        <w:ind w:left="420" w:leftChars="200" w:firstLine="210" w:firstLineChars="100"/>
        <w:rPr>
          <w:szCs w:val="21"/>
        </w:rPr>
      </w:pPr>
      <w:r>
        <w:rPr>
          <w:rFonts w:hint="eastAsia"/>
          <w:szCs w:val="21"/>
        </w:rPr>
        <w:t>投标人：</w:t>
      </w:r>
      <w:r>
        <w:rPr>
          <w:rFonts w:hint="eastAsia"/>
          <w:szCs w:val="21"/>
          <w:u w:val="thick"/>
        </w:rPr>
        <w:t xml:space="preserve">                   </w:t>
      </w:r>
      <w:r>
        <w:rPr>
          <w:rFonts w:hint="eastAsia"/>
          <w:szCs w:val="21"/>
        </w:rPr>
        <w:t xml:space="preserve">  ；  单位地址：</w:t>
      </w:r>
      <w:r>
        <w:rPr>
          <w:rFonts w:hint="eastAsia"/>
          <w:szCs w:val="21"/>
          <w:u w:val="thick"/>
        </w:rPr>
        <w:t xml:space="preserve">                                            </w:t>
      </w:r>
      <w:r>
        <w:rPr>
          <w:rFonts w:hint="eastAsia"/>
          <w:szCs w:val="21"/>
        </w:rPr>
        <w:t>；</w:t>
      </w:r>
    </w:p>
    <w:p>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pPr>
        <w:ind w:left="420" w:leftChars="200" w:firstLine="210" w:firstLineChars="100"/>
        <w:rPr>
          <w:szCs w:val="21"/>
        </w:rPr>
      </w:pPr>
      <w:r>
        <w:rPr>
          <w:rFonts w:hint="eastAsia"/>
          <w:szCs w:val="21"/>
        </w:rPr>
        <w:t>电话：</w:t>
      </w:r>
      <w:r>
        <w:rPr>
          <w:rFonts w:hint="eastAsia"/>
          <w:szCs w:val="21"/>
          <w:u w:val="thick"/>
        </w:rPr>
        <w:t xml:space="preserve">                            </w:t>
      </w:r>
      <w:r>
        <w:rPr>
          <w:rFonts w:hint="eastAsia"/>
          <w:szCs w:val="21"/>
        </w:rPr>
        <w:t xml:space="preserve">；     </w:t>
      </w:r>
    </w:p>
    <w:p>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pPr>
        <w:rPr>
          <w:rFonts w:ascii="黑体" w:hAnsi="宋体" w:eastAsia="黑体"/>
        </w:rPr>
      </w:pPr>
    </w:p>
    <w:bookmarkEnd w:id="46"/>
    <w:p>
      <w:pPr>
        <w:rPr>
          <w:rFonts w:ascii="黑体" w:eastAsia="黑体"/>
          <w:sz w:val="24"/>
        </w:rPr>
      </w:pPr>
      <w:r>
        <w:rPr>
          <w:rFonts w:hint="eastAsia" w:ascii="黑体" w:eastAsia="黑体"/>
          <w:sz w:val="24"/>
        </w:rPr>
        <w:br w:type="page"/>
      </w:r>
    </w:p>
    <w:p>
      <w:pPr>
        <w:pStyle w:val="4"/>
        <w:jc w:val="center"/>
        <w:rPr>
          <w:rFonts w:ascii="黑体" w:eastAsia="黑体"/>
          <w:b w:val="0"/>
          <w:sz w:val="24"/>
        </w:rPr>
      </w:pPr>
      <w:r>
        <w:rPr>
          <w:rFonts w:hint="eastAsia" w:ascii="黑体" w:eastAsia="黑体"/>
          <w:b w:val="0"/>
          <w:sz w:val="24"/>
        </w:rPr>
        <w:t>二、政府采购投标及履约承诺函</w:t>
      </w:r>
    </w:p>
    <w:p>
      <w:pPr>
        <w:spacing w:after="160" w:line="278" w:lineRule="auto"/>
        <w:rPr>
          <w:rFonts w:ascii="宋体" w:hAnsi="宋体" w:cs="宋体"/>
          <w:color w:val="FF0000"/>
          <w:szCs w:val="21"/>
        </w:rPr>
      </w:pPr>
      <w:bookmarkStart w:id="50" w:name="_Hlk72257530"/>
      <w:r>
        <w:rPr>
          <w:rFonts w:hint="eastAsia" w:ascii="宋体" w:hAnsi="宋体" w:cs="宋体"/>
          <w:color w:val="FF0000"/>
          <w:szCs w:val="21"/>
        </w:rPr>
        <w:t>致：</w:t>
      </w:r>
      <w:r>
        <w:rPr>
          <w:rFonts w:hint="eastAsia" w:ascii="宋体" w:hAnsi="宋体" w:cs="宋体"/>
          <w:color w:val="FF0000"/>
          <w:szCs w:val="21"/>
          <w:u w:val="single"/>
        </w:rPr>
        <w:t>深圳公共资源交易中心</w:t>
      </w:r>
    </w:p>
    <w:p>
      <w:pPr>
        <w:spacing w:after="160" w:line="278" w:lineRule="auto"/>
        <w:ind w:right="-815" w:firstLine="420" w:firstLineChars="200"/>
        <w:rPr>
          <w:rFonts w:ascii="宋体" w:hAnsi="宋体" w:cs="宋体"/>
          <w:szCs w:val="21"/>
        </w:rPr>
      </w:pPr>
      <w:r>
        <w:rPr>
          <w:rFonts w:hint="eastAsia" w:ascii="宋体" w:hAnsi="宋体" w:cs="宋体"/>
          <w:szCs w:val="21"/>
        </w:rPr>
        <w:t>我单位承诺：</w:t>
      </w:r>
    </w:p>
    <w:p>
      <w:pPr>
        <w:spacing w:after="160" w:line="278" w:lineRule="auto"/>
        <w:ind w:firstLine="420" w:firstLineChars="200"/>
        <w:rPr>
          <w:rFonts w:ascii="宋体" w:hAnsi="宋体" w:cs="宋体"/>
          <w:b/>
          <w:szCs w:val="21"/>
        </w:rPr>
      </w:pPr>
      <w:r>
        <w:rPr>
          <w:rFonts w:hint="eastAsia" w:ascii="宋体" w:hAnsi="宋体" w:cs="宋体"/>
          <w:bCs/>
          <w:szCs w:val="21"/>
        </w:rPr>
        <w:t>1.我单位参与本项目所投标（响应）的货物、工程或服务，不存在侵犯知识产权的情况。</w:t>
      </w:r>
    </w:p>
    <w:p>
      <w:pPr>
        <w:spacing w:after="160" w:line="278" w:lineRule="auto"/>
        <w:ind w:firstLine="420" w:firstLineChars="200"/>
        <w:rPr>
          <w:rFonts w:ascii="宋体" w:hAnsi="宋体" w:cs="宋体"/>
          <w:szCs w:val="21"/>
        </w:rPr>
      </w:pPr>
      <w:r>
        <w:rPr>
          <w:rFonts w:hint="eastAsia" w:ascii="宋体" w:hAnsi="宋体" w:cs="宋体"/>
          <w:szCs w:val="21"/>
        </w:rPr>
        <w:t>2.我单位参与本项目</w:t>
      </w:r>
      <w:r>
        <w:rPr>
          <w:rFonts w:hint="eastAsia" w:ascii="宋体" w:hAnsi="宋体" w:cs="宋体"/>
        </w:rPr>
        <w:t>政府采购活动时不存在被有关部门禁止参与政府采购活动且在有效期内的情况。</w:t>
      </w:r>
    </w:p>
    <w:p>
      <w:pPr>
        <w:spacing w:after="160" w:line="278" w:lineRule="auto"/>
        <w:ind w:firstLine="420" w:firstLineChars="200"/>
        <w:rPr>
          <w:rFonts w:ascii="宋体" w:hAnsi="宋体" w:cs="宋体"/>
          <w:szCs w:val="21"/>
        </w:rPr>
      </w:pPr>
      <w:r>
        <w:rPr>
          <w:rFonts w:hint="eastAsia" w:ascii="宋体" w:hAnsi="宋体" w:cs="宋体"/>
          <w:szCs w:val="21"/>
        </w:rPr>
        <w:t>3.我单位具备《中华人民共和国政府采购法》第二十二条第一款规定的六项条件。</w:t>
      </w:r>
    </w:p>
    <w:p>
      <w:pPr>
        <w:spacing w:after="160" w:line="278" w:lineRule="auto"/>
        <w:ind w:firstLine="420" w:firstLineChars="200"/>
        <w:rPr>
          <w:rFonts w:ascii="宋体" w:hAnsi="宋体" w:cs="宋体"/>
        </w:rPr>
      </w:pPr>
      <w:r>
        <w:rPr>
          <w:rFonts w:hint="eastAsia" w:ascii="宋体" w:hAnsi="宋体" w:cs="宋体"/>
          <w:szCs w:val="21"/>
        </w:rPr>
        <w:t>4.我单位</w:t>
      </w:r>
      <w:r>
        <w:rPr>
          <w:rFonts w:hint="eastAsia" w:ascii="宋体" w:hAnsi="宋体" w:cs="宋体"/>
        </w:rPr>
        <w:t>未被列入失信被执行人、重大税收违法案件当事人名单、政府采购严重违法失信行为记录名单。</w:t>
      </w:r>
    </w:p>
    <w:p>
      <w:pPr>
        <w:spacing w:after="160" w:line="278" w:lineRule="auto"/>
        <w:ind w:firstLine="420" w:firstLineChars="200"/>
        <w:rPr>
          <w:rFonts w:ascii="宋体" w:hAnsi="宋体" w:cs="宋体"/>
          <w:color w:val="FF0000"/>
        </w:rPr>
      </w:pPr>
      <w:r>
        <w:rPr>
          <w:rFonts w:hint="eastAsia" w:ascii="宋体" w:hAnsi="宋体" w:cs="宋体"/>
          <w:color w:val="FF0000"/>
        </w:rPr>
        <w:t>5.我单位不存在《深圳市财政局政府采购供应商信用信息管理办法》（深财规〔2023〕3号）列明的严重违法失信行为。</w:t>
      </w:r>
    </w:p>
    <w:p>
      <w:pPr>
        <w:spacing w:after="160" w:line="278" w:lineRule="auto"/>
        <w:ind w:firstLine="420" w:firstLineChars="200"/>
        <w:rPr>
          <w:rFonts w:ascii="宋体" w:hAnsi="宋体" w:cs="宋体"/>
          <w:szCs w:val="21"/>
        </w:rPr>
      </w:pPr>
      <w:r>
        <w:rPr>
          <w:rFonts w:hint="eastAsia" w:ascii="宋体" w:hAnsi="宋体" w:cs="宋体"/>
          <w:szCs w:val="21"/>
        </w:rPr>
        <w:t>6.</w:t>
      </w:r>
      <w:bookmarkStart w:id="51" w:name="_Hlk72587269"/>
      <w:bookmarkStart w:id="52" w:name="_Hlk72587299"/>
      <w:r>
        <w:rPr>
          <w:rFonts w:hint="eastAsia" w:ascii="宋体" w:hAnsi="宋体" w:cs="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51"/>
      <w:r>
        <w:rPr>
          <w:rFonts w:hint="eastAsia" w:ascii="宋体" w:hAnsi="宋体" w:cs="宋体"/>
          <w:szCs w:val="21"/>
        </w:rPr>
        <w:t>。</w:t>
      </w:r>
    </w:p>
    <w:bookmarkEnd w:id="52"/>
    <w:p>
      <w:pPr>
        <w:spacing w:after="160" w:line="278" w:lineRule="auto"/>
        <w:ind w:firstLine="420" w:firstLineChars="200"/>
        <w:rPr>
          <w:rFonts w:ascii="宋体" w:hAnsi="宋体" w:cs="宋体"/>
          <w:szCs w:val="21"/>
        </w:rPr>
      </w:pPr>
      <w:r>
        <w:rPr>
          <w:rFonts w:hint="eastAsia" w:ascii="宋体" w:hAnsi="宋体" w:cs="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after="160" w:line="278" w:lineRule="auto"/>
        <w:ind w:firstLine="420" w:firstLineChars="200"/>
        <w:rPr>
          <w:rFonts w:ascii="宋体" w:hAnsi="宋体" w:cs="宋体"/>
          <w:szCs w:val="21"/>
        </w:rPr>
      </w:pPr>
      <w:r>
        <w:rPr>
          <w:rFonts w:hint="eastAsia" w:ascii="宋体" w:hAnsi="宋体" w:cs="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after="160" w:line="278" w:lineRule="auto"/>
        <w:ind w:firstLine="420" w:firstLineChars="200"/>
        <w:rPr>
          <w:rFonts w:ascii="宋体" w:hAnsi="宋体" w:cs="宋体"/>
          <w:szCs w:val="21"/>
        </w:rPr>
      </w:pPr>
      <w:r>
        <w:rPr>
          <w:rFonts w:hint="eastAsia" w:ascii="宋体" w:hAnsi="宋体" w:cs="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160" w:line="278" w:lineRule="auto"/>
        <w:ind w:firstLine="420" w:firstLineChars="200"/>
        <w:rPr>
          <w:rFonts w:ascii="宋体" w:hAnsi="宋体" w:cs="宋体"/>
          <w:szCs w:val="21"/>
        </w:rPr>
      </w:pPr>
      <w:r>
        <w:rPr>
          <w:rFonts w:hint="eastAsia" w:ascii="宋体" w:hAnsi="宋体" w:cs="宋体"/>
          <w:szCs w:val="21"/>
        </w:rPr>
        <w:t>9.我单位承诺中标后项目不转包，未经采购人同意不进行分包。</w:t>
      </w:r>
    </w:p>
    <w:p>
      <w:pPr>
        <w:spacing w:after="160" w:line="278" w:lineRule="auto"/>
        <w:ind w:firstLine="420" w:firstLineChars="200"/>
        <w:rPr>
          <w:rFonts w:ascii="宋体" w:hAnsi="宋体" w:cs="宋体"/>
        </w:rPr>
      </w:pPr>
      <w:r>
        <w:rPr>
          <w:rFonts w:hint="eastAsia" w:ascii="宋体" w:hAnsi="宋体" w:cs="宋体"/>
          <w:szCs w:val="21"/>
        </w:rPr>
        <w:t>10.</w:t>
      </w:r>
      <w:r>
        <w:rPr>
          <w:rFonts w:hint="eastAsia" w:ascii="宋体" w:hAnsi="宋体" w:cs="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after="160" w:line="278" w:lineRule="auto"/>
        <w:ind w:firstLine="420" w:firstLineChars="200"/>
        <w:rPr>
          <w:rFonts w:ascii="宋体" w:hAnsi="宋体" w:cs="宋体"/>
        </w:rPr>
      </w:pPr>
      <w:r>
        <w:rPr>
          <w:rFonts w:hint="eastAsia" w:ascii="宋体" w:hAnsi="宋体" w:cs="宋体"/>
        </w:rPr>
        <w:t>11.我单位保证，若所投货物涉及《财政部生态环境部关于印发节能产品政府采购品目清单的通知》（财库〔2019〕19号）列明的政府采购强制产品，则所投该产品符合节能产品的认证要求。若所投产品包括数据中心相关设备的，应满足《财政部 生态环境部 工业和信息化部关于印发&lt;绿色数据中心政府采购需求标准（试行）&gt;的通知》（财库〔2023〕7号）要求。若所投产品涉及国家强制性标准的，所投产品应符合国家强制性标准相关要求。</w:t>
      </w:r>
    </w:p>
    <w:p>
      <w:pPr>
        <w:spacing w:after="160" w:line="278" w:lineRule="auto"/>
        <w:ind w:firstLine="420" w:firstLineChars="200"/>
        <w:rPr>
          <w:rFonts w:ascii="宋体" w:hAnsi="宋体" w:cs="宋体"/>
          <w:bCs/>
        </w:rPr>
      </w:pPr>
      <w:r>
        <w:rPr>
          <w:rFonts w:hint="eastAsia" w:ascii="宋体" w:hAnsi="宋体" w:cs="宋体"/>
          <w:bCs/>
          <w:szCs w:val="21"/>
        </w:rPr>
        <w:t>12.</w:t>
      </w:r>
      <w:r>
        <w:rPr>
          <w:rFonts w:hint="eastAsia" w:ascii="宋体" w:hAnsi="宋体" w:cs="宋体"/>
          <w:bCs/>
        </w:rPr>
        <w:t>我单位已知悉并同意中标（成交）结果信息公示（公开）的内容。</w:t>
      </w:r>
    </w:p>
    <w:p>
      <w:pPr>
        <w:spacing w:after="160" w:line="278" w:lineRule="auto"/>
        <w:ind w:firstLine="420" w:firstLineChars="200"/>
        <w:rPr>
          <w:rFonts w:ascii="宋体" w:hAnsi="宋体" w:cs="宋体"/>
          <w:b/>
          <w:color w:val="FF0000"/>
          <w:szCs w:val="21"/>
        </w:rPr>
      </w:pPr>
      <w:r>
        <w:rPr>
          <w:rFonts w:hint="eastAsia" w:ascii="宋体" w:hAnsi="宋体" w:cs="宋体"/>
          <w:bCs/>
        </w:rPr>
        <w:t>13.我单位保证，符合《中华人民共和国政府采购法实施条例》第十八条规定，与其他投标供应商不存在单位负责人为同一人或者存在直接控股、管理关系；不存在为本次采购项目提供整体设计、规范编制或者项目管理、监理、检测等服务的情形。</w:t>
      </w:r>
      <w:r>
        <w:rPr>
          <w:rFonts w:hint="eastAsia" w:ascii="宋体" w:hAnsi="宋体" w:cs="宋体"/>
          <w:bCs/>
          <w:color w:val="FF0000"/>
        </w:rPr>
        <w:t>若存在“不同供应商的董事、股东或其他高级管理人员为同一人的”情形的，我单位保证不存在串通投标、恶意串通或者视为串通投标的情形。</w:t>
      </w:r>
    </w:p>
    <w:p>
      <w:pPr>
        <w:spacing w:after="160" w:line="278" w:lineRule="auto"/>
        <w:ind w:firstLine="422" w:firstLineChars="200"/>
        <w:rPr>
          <w:rFonts w:ascii="宋体" w:hAnsi="宋体" w:cs="宋体"/>
          <w:b/>
          <w:szCs w:val="21"/>
        </w:rPr>
      </w:pPr>
      <w:r>
        <w:rPr>
          <w:rFonts w:hint="eastAsia" w:ascii="宋体" w:hAnsi="宋体" w:cs="宋体"/>
          <w:b/>
        </w:rPr>
        <w:t>14.我单位清楚，如存在违反投标承诺行为情节严重的，将根据《深圳市财政局关于印发&lt;深圳市财政局政府采购供应商信用信息管理办法&gt;的通知》，依法被列入失信信息。</w:t>
      </w:r>
    </w:p>
    <w:p>
      <w:pPr>
        <w:ind w:firstLine="420" w:firstLineChars="200"/>
        <w:rPr>
          <w:rFonts w:ascii="宋体" w:hAnsi="宋体" w:cs="宋体"/>
          <w:bCs/>
        </w:rPr>
      </w:pPr>
      <w:r>
        <w:rPr>
          <w:rFonts w:hint="eastAsia" w:ascii="宋体" w:hAnsi="宋体" w:cs="宋体"/>
          <w:bCs/>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after="160" w:line="360" w:lineRule="auto"/>
        <w:rPr>
          <w:rFonts w:ascii="宋体" w:hAnsi="宋体" w:cs="宋体"/>
          <w:b/>
          <w:bCs/>
        </w:rPr>
      </w:pPr>
    </w:p>
    <w:p>
      <w:pPr>
        <w:ind w:firstLine="420" w:firstLineChars="200"/>
        <w:rPr>
          <w:rFonts w:ascii="宋体" w:hAnsi="宋体" w:cs="宋体"/>
          <w:szCs w:val="21"/>
        </w:rPr>
      </w:pPr>
      <w:r>
        <w:rPr>
          <w:rFonts w:hint="eastAsia" w:ascii="宋体" w:hAnsi="宋体" w:cs="宋体"/>
          <w:szCs w:val="21"/>
        </w:rPr>
        <w:t>以上承诺，如有违反，愿依照国家相关法律法规处理，并承担由此给采购人带来的损失。</w:t>
      </w:r>
    </w:p>
    <w:p>
      <w:pPr>
        <w:spacing w:before="60" w:beforeLines="25" w:after="60" w:afterLines="25" w:line="278" w:lineRule="auto"/>
        <w:ind w:firstLine="5460" w:firstLineChars="2600"/>
        <w:rPr>
          <w:rFonts w:ascii="宋体" w:hAnsi="宋体" w:cs="宋体"/>
          <w:szCs w:val="21"/>
        </w:rPr>
      </w:pPr>
      <w:r>
        <w:rPr>
          <w:rFonts w:hint="eastAsia" w:ascii="宋体" w:hAnsi="宋体" w:cs="宋体"/>
          <w:szCs w:val="21"/>
        </w:rPr>
        <w:t xml:space="preserve">                                    </w:t>
      </w:r>
    </w:p>
    <w:bookmarkEnd w:id="50"/>
    <w:p>
      <w:pPr>
        <w:spacing w:before="60" w:beforeLines="25" w:after="60" w:afterLines="25" w:line="278" w:lineRule="auto"/>
        <w:ind w:firstLine="4830" w:firstLineChars="2300"/>
        <w:rPr>
          <w:rFonts w:ascii="宋体" w:hAnsi="宋体" w:cs="宋体"/>
          <w:color w:val="FF0000"/>
        </w:rPr>
      </w:pPr>
      <w:r>
        <w:rPr>
          <w:rFonts w:hint="eastAsia" w:ascii="宋体" w:hAnsi="宋体" w:cs="宋体"/>
          <w:color w:val="FF0000"/>
          <w:szCs w:val="21"/>
        </w:rPr>
        <w:t>投标人：</w:t>
      </w:r>
      <w:r>
        <w:rPr>
          <w:rFonts w:hint="eastAsia" w:ascii="宋体" w:hAnsi="宋体" w:cs="宋体"/>
          <w:color w:val="FF0000"/>
          <w:szCs w:val="21"/>
          <w:u w:val="thick"/>
        </w:rPr>
        <w:t xml:space="preserve">              </w:t>
      </w:r>
      <w:r>
        <w:rPr>
          <w:rFonts w:hint="eastAsia" w:ascii="宋体" w:hAnsi="宋体" w:cs="宋体"/>
          <w:color w:val="FF0000"/>
          <w:szCs w:val="21"/>
        </w:rPr>
        <w:t>.</w:t>
      </w:r>
    </w:p>
    <w:p>
      <w:pPr>
        <w:spacing w:after="160" w:line="278" w:lineRule="auto"/>
        <w:ind w:firstLine="645"/>
        <w:rPr>
          <w:rFonts w:ascii="宋体" w:hAnsi="宋体" w:cs="宋体"/>
          <w:color w:val="FF0000"/>
          <w:szCs w:val="21"/>
        </w:rPr>
      </w:pPr>
      <w:r>
        <w:rPr>
          <w:rFonts w:hint="eastAsia" w:ascii="宋体" w:hAnsi="宋体" w:cs="宋体"/>
          <w:color w:val="FF0000"/>
          <w:szCs w:val="21"/>
        </w:rPr>
        <w:t xml:space="preserve">                                        日期：</w:t>
      </w:r>
      <w:r>
        <w:rPr>
          <w:rFonts w:hint="eastAsia" w:ascii="宋体" w:hAnsi="宋体" w:cs="宋体"/>
          <w:color w:val="FF0000"/>
          <w:szCs w:val="21"/>
          <w:u w:val="thick"/>
        </w:rPr>
        <w:t xml:space="preserve">      </w:t>
      </w:r>
      <w:r>
        <w:rPr>
          <w:rFonts w:hint="eastAsia" w:ascii="宋体" w:hAnsi="宋体" w:cs="宋体"/>
          <w:color w:val="FF0000"/>
          <w:szCs w:val="21"/>
        </w:rPr>
        <w:t>年</w:t>
      </w:r>
      <w:r>
        <w:rPr>
          <w:rFonts w:hint="eastAsia" w:ascii="宋体" w:hAnsi="宋体" w:cs="宋体"/>
          <w:color w:val="FF0000"/>
          <w:szCs w:val="21"/>
          <w:u w:val="thick"/>
        </w:rPr>
        <w:t xml:space="preserve">       </w:t>
      </w:r>
      <w:r>
        <w:rPr>
          <w:rFonts w:hint="eastAsia" w:ascii="宋体" w:hAnsi="宋体" w:cs="宋体"/>
          <w:color w:val="FF0000"/>
          <w:szCs w:val="21"/>
        </w:rPr>
        <w:t>月</w:t>
      </w:r>
      <w:r>
        <w:rPr>
          <w:rFonts w:hint="eastAsia" w:ascii="宋体" w:hAnsi="宋体" w:cs="宋体"/>
          <w:color w:val="FF0000"/>
          <w:szCs w:val="21"/>
          <w:u w:val="thick"/>
        </w:rPr>
        <w:t xml:space="preserve">       </w:t>
      </w:r>
      <w:r>
        <w:rPr>
          <w:rFonts w:hint="eastAsia" w:ascii="宋体" w:hAnsi="宋体" w:cs="宋体"/>
          <w:color w:val="FF0000"/>
          <w:szCs w:val="21"/>
        </w:rPr>
        <w:t>日</w:t>
      </w:r>
    </w:p>
    <w:p>
      <w:pPr>
        <w:ind w:firstLine="645"/>
        <w:rPr>
          <w:rFonts w:ascii="宋体" w:hAnsi="宋体"/>
          <w:szCs w:val="21"/>
        </w:rPr>
      </w:pPr>
    </w:p>
    <w:p>
      <w:pPr>
        <w:rPr>
          <w:rFonts w:ascii="宋体"/>
          <w:b/>
          <w:szCs w:val="21"/>
        </w:rPr>
      </w:pPr>
    </w:p>
    <w:p>
      <w:pPr>
        <w:ind w:firstLine="482" w:firstLineChars="200"/>
        <w:jc w:val="center"/>
        <w:rPr>
          <w:rFonts w:hAnsi="宋体"/>
          <w:b/>
          <w:bCs/>
          <w:sz w:val="24"/>
        </w:rPr>
      </w:pPr>
    </w:p>
    <w:p>
      <w:pPr>
        <w:rPr>
          <w:rFonts w:ascii="黑体" w:eastAsia="黑体"/>
          <w:sz w:val="24"/>
        </w:rPr>
      </w:pPr>
      <w:r>
        <w:rPr>
          <w:rFonts w:hint="eastAsia" w:ascii="黑体" w:eastAsia="黑体"/>
          <w:sz w:val="24"/>
        </w:rPr>
        <w:br w:type="page"/>
      </w:r>
    </w:p>
    <w:p>
      <w:pPr>
        <w:pStyle w:val="4"/>
        <w:jc w:val="center"/>
        <w:rPr>
          <w:rFonts w:ascii="黑体" w:eastAsia="黑体"/>
          <w:b w:val="0"/>
          <w:sz w:val="24"/>
          <w:szCs w:val="24"/>
        </w:rPr>
      </w:pPr>
      <w:bookmarkStart w:id="53" w:name="_Hlk72257908"/>
      <w:r>
        <w:rPr>
          <w:rFonts w:hint="eastAsia" w:ascii="黑体" w:eastAsia="黑体"/>
          <w:b w:val="0"/>
          <w:sz w:val="24"/>
          <w:szCs w:val="24"/>
        </w:rPr>
        <w:t>三、投标人情况及资格证明文件</w:t>
      </w:r>
    </w:p>
    <w:p>
      <w:pPr>
        <w:rPr>
          <w:b/>
          <w:bCs/>
          <w:sz w:val="24"/>
        </w:rPr>
      </w:pPr>
    </w:p>
    <w:p>
      <w:pPr>
        <w:ind w:firstLine="2640" w:firstLineChars="1100"/>
        <w:outlineLvl w:val="3"/>
        <w:rPr>
          <w:rFonts w:ascii="黑体" w:hAnsi="宋体" w:eastAsia="黑体"/>
          <w:bCs/>
          <w:kern w:val="0"/>
          <w:sz w:val="24"/>
          <w:szCs w:val="32"/>
        </w:rPr>
      </w:pPr>
      <w:bookmarkStart w:id="54" w:name="_Hlk72257590"/>
      <w:r>
        <w:rPr>
          <w:rFonts w:hint="eastAsia" w:ascii="黑体" w:hAnsi="宋体" w:eastAsia="黑体"/>
          <w:bCs/>
          <w:kern w:val="0"/>
          <w:sz w:val="24"/>
          <w:szCs w:val="32"/>
        </w:rPr>
        <w:t>（一）投标人资格证明文件</w:t>
      </w:r>
    </w:p>
    <w:p>
      <w:pPr>
        <w:spacing w:before="120" w:beforeLines="50"/>
        <w:ind w:firstLine="422" w:firstLineChars="200"/>
        <w:rPr>
          <w:b/>
          <w:bCs/>
          <w:color w:val="FF0000"/>
        </w:rPr>
      </w:pPr>
      <w:r>
        <w:rPr>
          <w:rFonts w:hint="eastAsia"/>
          <w:b/>
          <w:bCs/>
          <w:color w:val="FF0000"/>
        </w:rPr>
        <w:t>（特别提示：投标人须按本招标文件第一册第一章招标公告“申请人的资格要求”（即投标人资格要求）提供相关的资格证明资料，未提供或提供不完整、不符合要求的，将作投标无效处理，其中要求提供《政府采购投标及履约承诺函》《供应商基本情况表》且已在规定章节中提供的，此处不重复提供。）</w:t>
      </w:r>
    </w:p>
    <w:p>
      <w:pPr>
        <w:rPr>
          <w:b/>
          <w:bCs/>
          <w:sz w:val="24"/>
        </w:rPr>
      </w:pPr>
    </w:p>
    <w:p>
      <w:pPr>
        <w:ind w:firstLine="480" w:firstLineChars="200"/>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bookmarkEnd w:id="54"/>
    <w:p>
      <w:pPr>
        <w:jc w:val="left"/>
        <w:outlineLvl w:val="3"/>
        <w:rPr>
          <w:rFonts w:ascii="黑体" w:hAnsi="宋体" w:eastAsia="黑体"/>
          <w:bCs/>
          <w:kern w:val="0"/>
          <w:sz w:val="24"/>
          <w:szCs w:val="32"/>
        </w:rPr>
      </w:pP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填写指引：</w:t>
      </w:r>
    </w:p>
    <w:p>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p>
    <w:p>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)《工业和信息化部、国家统计局、国家发展和改革委员会、财政部关于印发中小企业划型标准规定的通知》（工信部联企业〔2011〕300号）；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(3)《统计上大中小微型企业划分办法(2017)》（国统字〔2017〕213号）；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(4)《关于促进残疾人就业政府采购政策的通知》（财库〔2017〕141号）；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文件中确定的项目名称。对于分包方式面向中小企业采购的项目，应标明中小企业的具体分包内容；对于以联合体方式面向中小企业采购的项目，应标明联合体中中小企业所承担的具体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采购文件中明确的所属行业”下划线处填写采购标的对应的中小企业划分标准所属行业（所属行业以招标文件第一册第三章用户需求书“货物清单明细”的“标的所属行业”一栏为准），并应确保与采购标的涉及的货物制造商本身的所属行业保持一致。对于分包方式面向中小企业采购的项目，“采购文件中明确的所属行业”应按照采购文件中注明的分包给中小企业的采购标的所属行业填写，并应确保与该分包部分采购标的涉及的货物制造商本身的所属行业保持一致；对于以联合体方式面向中小企业采购的项目，“采购文件中明确的所属行业”应按照采购文件中注明的联合体中中小企业承担的采购标的所属行业填写，并应确保与该分包部分采购标的涉及的货物制造商本身的所属行业保持一致；</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第五处，在“企业名称”下划线处如实填写</w:t>
      </w:r>
      <w:r>
        <w:rPr>
          <w:rFonts w:hint="eastAsia" w:ascii="黑体" w:hAnsi="宋体" w:eastAsia="黑体"/>
          <w:b/>
          <w:color w:val="FF0000"/>
          <w:kern w:val="0"/>
          <w:szCs w:val="21"/>
        </w:rPr>
        <w:t>货物制造商名称。</w:t>
      </w:r>
      <w:r>
        <w:rPr>
          <w:rFonts w:hint="eastAsia" w:ascii="黑体" w:hAnsi="宋体" w:eastAsia="黑体"/>
          <w:bCs/>
          <w:color w:val="FF0000"/>
          <w:kern w:val="0"/>
          <w:szCs w:val="21"/>
        </w:rPr>
        <w:t>对于分包方式面向中小企业采购的项目，“企业名称”应填写分包部分采购标的对应的货物制造商；对于以联合体方式面向中小企业采购的项目，“企业名称”应填写联合体中中小企业承担采购标的对应的货物制造商；</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六、七、八处，在“从业人员”、“营业收入”、“资产总额”下划线处如实填写从业人员、营业收入、资产总额。从业人员、资产总额指标以上年度末数据为依据，营业收入指标以上年度累计数据为依据。无上年度数据的新成立企业可不填报。</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九处，在“中型企业、小型企业、微型企业”下划线处应依据企业上年度从业人员、营业收入、资产总额等指标，按照《中小企业划型标准规定》（工信部联企业〔2011〕300号）、《金融业企业划型标准规定》（银发〔2015〕309号），判断《中小企业声明函》载明的货物制造商是否属于采购文件所属行业的中型企业/小型企业/微型企业。</w:t>
      </w:r>
    </w:p>
    <w:p>
      <w:pPr>
        <w:pStyle w:val="2"/>
        <w:ind w:firstLine="420" w:firstLineChars="200"/>
        <w:rPr>
          <w:rFonts w:ascii="黑体" w:hAnsi="宋体" w:eastAsia="黑体"/>
          <w:bCs/>
          <w:color w:val="FF0000"/>
          <w:kern w:val="0"/>
          <w:szCs w:val="21"/>
        </w:rPr>
      </w:pPr>
      <w:r>
        <w:rPr>
          <w:rFonts w:hint="eastAsia" w:ascii="黑体" w:hAnsi="宋体" w:eastAsia="黑体"/>
          <w:bCs/>
          <w:color w:val="FF0000"/>
          <w:kern w:val="0"/>
          <w:szCs w:val="21"/>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（3）事业单位、社会组织等非企业主体不享受中小企业扶持政策，但事业单位、社会组织等非企业主体提供全部由中小企业制造的货物参加货物采购项目的除外。</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（4）声明是残疾人福利性单位须填写《残疾人福利性单位声明函》的相关内容，具体参照以上《中小企业声明函》填写要求执行。</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（5）声明是监狱企业须填写《监狱企业声明函》的三项内容（填写位置的字体已加粗），具体参照以上《中小企业声明函》填写要求执行。</w:t>
      </w:r>
    </w:p>
    <w:p>
      <w:pPr>
        <w:ind w:firstLine="420" w:firstLineChars="200"/>
        <w:rPr>
          <w:rFonts w:ascii="黑体" w:hAnsi="宋体" w:eastAsia="黑体"/>
          <w:bCs/>
          <w:color w:val="FF0000"/>
          <w:kern w:val="0"/>
          <w:szCs w:val="21"/>
        </w:rPr>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pStyle w:val="2"/>
        <w:ind w:firstLine="420" w:firstLineChars="200"/>
        <w:rPr>
          <w:rFonts w:eastAsia="黑体"/>
        </w:rPr>
      </w:pPr>
      <w:r>
        <w:rPr>
          <w:rFonts w:hint="eastAsia" w:ascii="黑体" w:hAnsi="宋体" w:eastAsia="黑体"/>
          <w:bCs/>
          <w:color w:val="FF0000"/>
          <w:kern w:val="0"/>
          <w:szCs w:val="21"/>
        </w:rPr>
        <w:t>6、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pPr>
        <w:pStyle w:val="2"/>
        <w:ind w:firstLine="420" w:firstLineChars="200"/>
        <w:rPr>
          <w:rFonts w:eastAsia="黑体"/>
        </w:rPr>
      </w:pPr>
    </w:p>
    <w:p>
      <w:pPr>
        <w:ind w:firstLine="420" w:firstLineChars="200"/>
      </w:pPr>
    </w:p>
    <w:bookmarkEnd w:id="53"/>
    <w:p>
      <w:pPr>
        <w:numPr>
          <w:ilvl w:val="0"/>
          <w:numId w:val="10"/>
        </w:numPr>
        <w:jc w:val="center"/>
        <w:outlineLvl w:val="3"/>
        <w:rPr>
          <w:b/>
          <w:sz w:val="24"/>
        </w:rPr>
      </w:pPr>
      <w:bookmarkStart w:id="55" w:name="_Hlk72259976"/>
      <w:r>
        <w:rPr>
          <w:b/>
          <w:sz w:val="24"/>
        </w:rPr>
        <w:t>中小企业声明函（货物）</w:t>
      </w:r>
    </w:p>
    <w:p>
      <w:pPr>
        <w:pStyle w:val="9"/>
      </w:pPr>
    </w:p>
    <w:p>
      <w:pPr>
        <w:pStyle w:val="38"/>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 w:val="21"/>
          <w:szCs w:val="21"/>
          <w:u w:val="single"/>
        </w:rPr>
        <w:t xml:space="preserve">    （单位名称）    </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b/>
          <w:bCs/>
          <w:i/>
          <w:iCs/>
          <w:sz w:val="21"/>
          <w:szCs w:val="21"/>
          <w:u w:val="single"/>
        </w:rPr>
        <w:t xml:space="preserve">    （项目名称）    </w:t>
      </w:r>
      <w:r>
        <w:rPr>
          <w:rFonts w:hint="eastAsia" w:asciiTheme="minorEastAsia" w:hAnsiTheme="minorEastAsia" w:eastAsiaTheme="minorEastAsia" w:cstheme="minorEastAsia"/>
          <w:sz w:val="21"/>
          <w:szCs w:val="21"/>
        </w:rPr>
        <w:t>采购活动，提供的货物全部由符合政策要求的中小企业制造。相关企业（含联合体中的中小企业、签订分包意向协议的中小企业）的具体情况如下：</w:t>
      </w:r>
    </w:p>
    <w:p>
      <w:pPr>
        <w:pStyle w:val="38"/>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b/>
          <w:bCs/>
          <w:i/>
          <w:iCs/>
          <w:sz w:val="21"/>
          <w:szCs w:val="21"/>
          <w:u w:val="single"/>
        </w:rPr>
        <w:t xml:space="preserve">    （标的名称）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rPr>
        <w:t xml:space="preserve">    （采购文件中明确的所属行业）    </w:t>
      </w:r>
      <w:r>
        <w:rPr>
          <w:rFonts w:hint="eastAsia" w:asciiTheme="minorEastAsia" w:hAnsiTheme="minorEastAsia" w:eastAsiaTheme="minorEastAsia" w:cstheme="minorEastAsia"/>
          <w:sz w:val="21"/>
          <w:szCs w:val="21"/>
        </w:rPr>
        <w:t>行业；制造商为</w:t>
      </w:r>
      <w:r>
        <w:rPr>
          <w:rFonts w:hint="eastAsia" w:asciiTheme="minorEastAsia" w:hAnsiTheme="minorEastAsia" w:eastAsiaTheme="minorEastAsia" w:cstheme="minorEastAsia"/>
          <w:b/>
          <w:bCs/>
          <w:i/>
          <w:iCs/>
          <w:sz w:val="21"/>
          <w:szCs w:val="21"/>
          <w:u w:val="single"/>
        </w:rPr>
        <w:t xml:space="preserve">    （企业名称，要求制造商本身所属行业应当与招标文件要求的行业相一致）    </w:t>
      </w:r>
      <w:r>
        <w:rPr>
          <w:rFonts w:hint="eastAsia" w:asciiTheme="minorEastAsia" w:hAnsiTheme="minorEastAsia" w:eastAsiaTheme="minorEastAsia" w:cstheme="minorEastAsia"/>
          <w:sz w:val="21"/>
          <w:szCs w:val="21"/>
        </w:rPr>
        <w:t>，从业人员</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人，营业收入为</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万元，资产总额为</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万元，属于</w:t>
      </w:r>
      <w:r>
        <w:rPr>
          <w:rFonts w:hint="eastAsia" w:asciiTheme="minorEastAsia" w:hAnsiTheme="minorEastAsia" w:eastAsiaTheme="minorEastAsia" w:cstheme="minorEastAsia"/>
          <w:b/>
          <w:bCs/>
          <w:i/>
          <w:iCs/>
          <w:sz w:val="21"/>
          <w:szCs w:val="21"/>
          <w:u w:val="single"/>
        </w:rPr>
        <w:t xml:space="preserve">    （中型企业、小型企业、微型企业）    </w:t>
      </w:r>
      <w:r>
        <w:rPr>
          <w:rFonts w:hint="eastAsia" w:asciiTheme="minorEastAsia" w:hAnsiTheme="minorEastAsia" w:eastAsiaTheme="minorEastAsia" w:cstheme="minorEastAsia"/>
          <w:sz w:val="21"/>
          <w:szCs w:val="21"/>
        </w:rPr>
        <w:t>；</w:t>
      </w:r>
    </w:p>
    <w:p>
      <w:pPr>
        <w:pStyle w:val="38"/>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b/>
          <w:bCs/>
          <w:i/>
          <w:iCs/>
          <w:sz w:val="21"/>
          <w:szCs w:val="21"/>
          <w:u w:val="single"/>
        </w:rPr>
        <w:t xml:space="preserve">    （标的名称）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rPr>
        <w:t xml:space="preserve">    （采购文件中明确的所属行业）    </w:t>
      </w:r>
      <w:r>
        <w:rPr>
          <w:rFonts w:hint="eastAsia" w:asciiTheme="minorEastAsia" w:hAnsiTheme="minorEastAsia" w:eastAsiaTheme="minorEastAsia" w:cstheme="minorEastAsia"/>
          <w:sz w:val="21"/>
          <w:szCs w:val="21"/>
        </w:rPr>
        <w:t>行业；制造商为</w:t>
      </w:r>
      <w:r>
        <w:rPr>
          <w:rFonts w:hint="eastAsia" w:asciiTheme="minorEastAsia" w:hAnsiTheme="minorEastAsia" w:eastAsiaTheme="minorEastAsia" w:cstheme="minorEastAsia"/>
          <w:b/>
          <w:bCs/>
          <w:i/>
          <w:iCs/>
          <w:sz w:val="21"/>
          <w:szCs w:val="21"/>
          <w:u w:val="single"/>
        </w:rPr>
        <w:t xml:space="preserve">    （企业名称，要求制造商本身所属行业应当与招标文件要求的行业相一致）    </w:t>
      </w:r>
      <w:r>
        <w:rPr>
          <w:rFonts w:hint="eastAsia" w:asciiTheme="minorEastAsia" w:hAnsiTheme="minorEastAsia" w:eastAsiaTheme="minorEastAsia" w:cstheme="minorEastAsia"/>
          <w:sz w:val="21"/>
          <w:szCs w:val="21"/>
        </w:rPr>
        <w:t>，从业人员</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人，营业收入为</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万元，资产总额为</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万元，属于</w:t>
      </w:r>
      <w:r>
        <w:rPr>
          <w:rFonts w:hint="eastAsia" w:asciiTheme="minorEastAsia" w:hAnsiTheme="minorEastAsia" w:eastAsiaTheme="minorEastAsia" w:cstheme="minorEastAsia"/>
          <w:b/>
          <w:bCs/>
          <w:i/>
          <w:iCs/>
          <w:sz w:val="21"/>
          <w:szCs w:val="21"/>
          <w:u w:val="single"/>
        </w:rPr>
        <w:t xml:space="preserve">    （中型企业、小型企业、微型企业）    </w:t>
      </w:r>
      <w:r>
        <w:rPr>
          <w:rFonts w:hint="eastAsia" w:asciiTheme="minorEastAsia" w:hAnsiTheme="minorEastAsia" w:eastAsiaTheme="minorEastAsia" w:cstheme="minorEastAsia"/>
          <w:sz w:val="21"/>
          <w:szCs w:val="21"/>
        </w:rPr>
        <w:t>；</w:t>
      </w:r>
    </w:p>
    <w:p>
      <w:pPr>
        <w:pStyle w:val="38"/>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p>
      <w:pPr>
        <w:pStyle w:val="38"/>
        <w:ind w:firstLine="420" w:firstLineChars="200"/>
        <w:rPr>
          <w:rFonts w:asciiTheme="minorEastAsia" w:hAnsiTheme="minorEastAsia" w:eastAsiaTheme="minorEastAsia" w:cstheme="minorEastAsia"/>
          <w:sz w:val="21"/>
          <w:szCs w:val="21"/>
        </w:rPr>
      </w:pPr>
    </w:p>
    <w:p>
      <w:pPr>
        <w:spacing w:line="360" w:lineRule="auto"/>
        <w:ind w:firstLine="420" w:firstLineChars="200"/>
        <w:outlineLvl w:val="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以上企业，不属于大企业的分支机构，不存在控股股东为大企业的情形，也不存在与大企业的负责人为同一人的情形。</w:t>
      </w:r>
    </w:p>
    <w:p>
      <w:pPr>
        <w:spacing w:line="360" w:lineRule="auto"/>
        <w:ind w:firstLine="420" w:firstLineChars="200"/>
        <w:rPr>
          <w:rFonts w:asciiTheme="minorEastAsia" w:hAnsiTheme="minorEastAsia" w:eastAsiaTheme="minorEastAsia" w:cstheme="minorEastAsia"/>
          <w:szCs w:val="21"/>
        </w:rPr>
      </w:pPr>
      <w:bookmarkStart w:id="56" w:name="_Hlk73562203"/>
      <w:r>
        <w:rPr>
          <w:rFonts w:hint="eastAsia" w:asciiTheme="minorEastAsia" w:hAnsiTheme="minorEastAsia" w:eastAsiaTheme="minorEastAsia" w:cstheme="minorEastAsia"/>
          <w:szCs w:val="21"/>
        </w:rPr>
        <w:t>本投标人对上述声明内容的真实性负责。如有虚假，将依法承担相应责任。</w:t>
      </w:r>
    </w:p>
    <w:p>
      <w:pPr>
        <w:spacing w:line="360" w:lineRule="auto"/>
        <w:ind w:firstLine="420" w:firstLineChars="200"/>
        <w:rPr>
          <w:sz w:val="24"/>
        </w:rPr>
      </w:pPr>
      <w:r>
        <w:rPr>
          <w:rFonts w:hint="eastAsia" w:asciiTheme="minorEastAsia" w:hAnsiTheme="minorEastAsia" w:eastAsiaTheme="minorEastAsia" w:cstheme="minorEastAsia"/>
          <w:szCs w:val="21"/>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56"/>
    </w:p>
    <w:p>
      <w:pPr>
        <w:ind w:firstLine="420" w:firstLineChars="200"/>
        <w:outlineLvl w:val="3"/>
        <w:rPr>
          <w:rFonts w:ascii="宋体" w:hAnsi="宋体"/>
          <w:bCs/>
          <w:color w:val="FF0000"/>
          <w:kern w:val="0"/>
          <w:szCs w:val="21"/>
        </w:rPr>
      </w:pPr>
    </w:p>
    <w:p/>
    <w:p>
      <w:pPr>
        <w:ind w:firstLine="420" w:firstLineChars="200"/>
      </w:pPr>
    </w:p>
    <w:p>
      <w:pPr>
        <w:jc w:val="center"/>
        <w:outlineLvl w:val="3"/>
        <w:rPr>
          <w:b/>
          <w:sz w:val="24"/>
        </w:rPr>
      </w:pPr>
      <w:r>
        <w:rPr>
          <w:rFonts w:hint="eastAsia"/>
          <w:b/>
          <w:sz w:val="24"/>
        </w:rPr>
        <w:t>2、残疾人福利性单位声明函（货物类）</w:t>
      </w:r>
    </w:p>
    <w:p>
      <w:pPr>
        <w:rPr>
          <w:b/>
          <w:bCs/>
        </w:rPr>
      </w:pPr>
    </w:p>
    <w:p>
      <w:pPr>
        <w:spacing w:line="360" w:lineRule="auto"/>
        <w:ind w:firstLine="420" w:firstLineChars="200"/>
        <w:rPr>
          <w:rFonts w:asciiTheme="minorEastAsia" w:hAnsiTheme="minorEastAsia" w:eastAsiaTheme="minorEastAsia" w:cstheme="minorEastAsia"/>
          <w:szCs w:val="21"/>
        </w:rPr>
      </w:pPr>
      <w:bookmarkStart w:id="57" w:name="_Hlk73562331"/>
      <w:bookmarkStart w:id="58" w:name="_Hlk73562245"/>
      <w:r>
        <w:rPr>
          <w:rFonts w:hint="eastAsia" w:asciiTheme="minorEastAsia" w:hAnsiTheme="minorEastAsia" w:eastAsia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单位的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本单位对上述声明的真实性负责。如有虚假，将依法承担相应责任。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bookmarkEnd w:id="57"/>
    </w:p>
    <w:bookmarkEnd w:id="58"/>
    <w:p>
      <w:pPr>
        <w:ind w:firstLine="420" w:firstLineChars="200"/>
        <w:rPr>
          <w:rFonts w:ascii="宋体" w:hAnsi="宋体"/>
          <w:szCs w:val="21"/>
        </w:rPr>
      </w:pPr>
    </w:p>
    <w:p>
      <w:pPr>
        <w:ind w:firstLine="420" w:firstLineChars="200"/>
        <w:rPr>
          <w:rFonts w:ascii="宋体" w:hAnsi="宋体"/>
          <w:szCs w:val="21"/>
        </w:rPr>
      </w:pPr>
    </w:p>
    <w:p>
      <w:pPr>
        <w:jc w:val="center"/>
        <w:outlineLvl w:val="3"/>
        <w:rPr>
          <w:b/>
          <w:sz w:val="24"/>
        </w:rPr>
      </w:pPr>
      <w:r>
        <w:rPr>
          <w:rFonts w:hint="eastAsia"/>
          <w:b/>
          <w:sz w:val="24"/>
        </w:rPr>
        <w:t>3、监狱企业声明函【货物类，提供监狱企业货物的供应商如需享受优惠政策，还须另行提供省级以上监狱管理局、戒毒管理局（含新疆生产建设兵团）出具的监狱企业证明文件】</w:t>
      </w:r>
    </w:p>
    <w:p>
      <w:pPr>
        <w:spacing w:line="360" w:lineRule="auto"/>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i/>
          <w:iCs/>
          <w:szCs w:val="21"/>
          <w:u w:val="single"/>
        </w:rPr>
        <w:t>（</w:t>
      </w:r>
      <w:r>
        <w:rPr>
          <w:rFonts w:hint="eastAsia" w:ascii="宋体" w:hAnsi="宋体"/>
          <w:b/>
          <w:bCs/>
          <w:i/>
          <w:iCs/>
          <w:szCs w:val="21"/>
          <w:u w:val="single"/>
        </w:rPr>
        <w:t>采购人</w:t>
      </w:r>
      <w:r>
        <w:rPr>
          <w:rFonts w:ascii="宋体" w:hAnsi="宋体"/>
          <w:b/>
          <w:bCs/>
          <w:i/>
          <w:iCs/>
          <w:szCs w:val="21"/>
          <w:u w:val="single"/>
        </w:rPr>
        <w:t>名称）</w:t>
      </w:r>
      <w:r>
        <w:rPr>
          <w:rFonts w:ascii="宋体" w:hAnsi="宋体"/>
          <w:szCs w:val="21"/>
        </w:rPr>
        <w:t>的</w:t>
      </w:r>
      <w:r>
        <w:rPr>
          <w:rFonts w:ascii="宋体" w:hAnsi="宋体"/>
          <w:b/>
          <w:bCs/>
          <w:i/>
          <w:iCs/>
          <w:szCs w:val="21"/>
          <w:u w:val="single"/>
        </w:rPr>
        <w:t>（项目名称）</w:t>
      </w:r>
      <w:r>
        <w:rPr>
          <w:rFonts w:ascii="宋体" w:hAnsi="宋体"/>
          <w:szCs w:val="21"/>
        </w:rPr>
        <w:t>采购活动，提供的货物全部由符合政策要求的</w:t>
      </w:r>
      <w:r>
        <w:rPr>
          <w:rFonts w:hint="eastAsia" w:ascii="宋体" w:hAnsi="宋体"/>
          <w:szCs w:val="21"/>
        </w:rPr>
        <w:t>监狱企业</w:t>
      </w:r>
      <w:r>
        <w:rPr>
          <w:rFonts w:ascii="宋体" w:hAnsi="宋体"/>
          <w:szCs w:val="21"/>
        </w:rPr>
        <w:t>制造。相关</w:t>
      </w:r>
      <w:r>
        <w:rPr>
          <w:rFonts w:hint="eastAsia" w:ascii="宋体" w:hAnsi="宋体"/>
          <w:szCs w:val="21"/>
        </w:rPr>
        <w:t>监狱企业</w:t>
      </w:r>
      <w:r>
        <w:rPr>
          <w:rFonts w:ascii="宋体" w:hAnsi="宋体"/>
          <w:szCs w:val="21"/>
        </w:rPr>
        <w:t>的具体情况如下：</w:t>
      </w:r>
    </w:p>
    <w:p>
      <w:pPr>
        <w:spacing w:line="360" w:lineRule="auto"/>
        <w:ind w:firstLine="420" w:firstLineChars="200"/>
        <w:rPr>
          <w:rFonts w:ascii="宋体" w:hAnsi="宋体"/>
          <w:szCs w:val="21"/>
        </w:rPr>
      </w:pPr>
      <w:r>
        <w:rPr>
          <w:rFonts w:ascii="宋体" w:hAnsi="宋体"/>
          <w:szCs w:val="21"/>
        </w:rPr>
        <w:t>1.</w:t>
      </w:r>
      <w:r>
        <w:rPr>
          <w:rFonts w:ascii="宋体" w:hAnsi="宋体"/>
          <w:b/>
          <w:bCs/>
          <w:i/>
          <w:iCs/>
          <w:szCs w:val="21"/>
          <w:u w:val="single"/>
        </w:rPr>
        <w:t xml:space="preserve"> </w:t>
      </w:r>
      <w:r>
        <w:rPr>
          <w:rFonts w:hint="eastAsia" w:ascii="宋体" w:hAnsi="宋体"/>
          <w:b/>
          <w:bCs/>
          <w:i/>
          <w:iCs/>
          <w:szCs w:val="21"/>
          <w:u w:val="single"/>
        </w:rPr>
        <w:t xml:space="preserve">   </w:t>
      </w:r>
      <w:r>
        <w:rPr>
          <w:rFonts w:ascii="宋体" w:hAnsi="宋体"/>
          <w:b/>
          <w:bCs/>
          <w:i/>
          <w:iCs/>
          <w:szCs w:val="21"/>
          <w:u w:val="single"/>
        </w:rPr>
        <w:t>（标的名称）</w:t>
      </w:r>
      <w:r>
        <w:rPr>
          <w:rFonts w:hint="eastAsia" w:ascii="宋体" w:hAnsi="宋体"/>
          <w:b/>
          <w:bCs/>
          <w:i/>
          <w:iCs/>
          <w:szCs w:val="21"/>
          <w:u w:val="single"/>
        </w:rPr>
        <w:t xml:space="preserve">    </w:t>
      </w:r>
      <w:r>
        <w:rPr>
          <w:rFonts w:hint="eastAsia" w:ascii="宋体" w:hAnsi="宋体"/>
          <w:szCs w:val="21"/>
        </w:rPr>
        <w:t>，</w:t>
      </w:r>
      <w:r>
        <w:rPr>
          <w:rFonts w:ascii="宋体" w:hAnsi="宋体"/>
          <w:szCs w:val="21"/>
        </w:rPr>
        <w:t>制造商为</w:t>
      </w:r>
      <w:r>
        <w:rPr>
          <w:rFonts w:hint="eastAsia" w:ascii="宋体" w:hAnsi="宋体"/>
          <w:szCs w:val="21"/>
          <w:u w:val="single"/>
        </w:rPr>
        <w:t xml:space="preserve">    </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hint="eastAsia" w:ascii="宋体" w:hAnsi="宋体"/>
          <w:b/>
          <w:bCs/>
          <w:i/>
          <w:iCs/>
          <w:szCs w:val="21"/>
          <w:u w:val="single"/>
        </w:rPr>
        <w:t xml:space="preserve">    </w:t>
      </w:r>
      <w:r>
        <w:rPr>
          <w:rFonts w:ascii="宋体" w:hAnsi="宋体"/>
          <w:szCs w:val="21"/>
        </w:rPr>
        <w:t>，属于</w:t>
      </w:r>
      <w:r>
        <w:rPr>
          <w:rFonts w:hint="eastAsia" w:ascii="宋体" w:hAnsi="宋体"/>
          <w:szCs w:val="21"/>
          <w:u w:val="single"/>
        </w:rPr>
        <w:t xml:space="preserve">  </w:t>
      </w:r>
      <w:r>
        <w:rPr>
          <w:rFonts w:hint="eastAsia" w:ascii="宋体" w:hAnsi="宋体"/>
          <w:b/>
          <w:bCs/>
          <w:szCs w:val="21"/>
          <w:u w:val="single"/>
        </w:rPr>
        <w:t xml:space="preserve">监狱企业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2.</w:t>
      </w:r>
      <w:r>
        <w:rPr>
          <w:rFonts w:ascii="宋体" w:hAnsi="宋体"/>
          <w:b/>
          <w:bCs/>
          <w:i/>
          <w:iCs/>
          <w:szCs w:val="21"/>
          <w:u w:val="single"/>
        </w:rPr>
        <w:t xml:space="preserve"> </w:t>
      </w:r>
      <w:r>
        <w:rPr>
          <w:rFonts w:hint="eastAsia" w:ascii="宋体" w:hAnsi="宋体"/>
          <w:b/>
          <w:bCs/>
          <w:i/>
          <w:iCs/>
          <w:szCs w:val="21"/>
          <w:u w:val="single"/>
        </w:rPr>
        <w:t xml:space="preserve">   </w:t>
      </w:r>
      <w:r>
        <w:rPr>
          <w:rFonts w:ascii="宋体" w:hAnsi="宋体"/>
          <w:b/>
          <w:bCs/>
          <w:i/>
          <w:iCs/>
          <w:szCs w:val="21"/>
          <w:u w:val="single"/>
        </w:rPr>
        <w:t>（标的名称）</w:t>
      </w:r>
      <w:r>
        <w:rPr>
          <w:rFonts w:hint="eastAsia" w:ascii="宋体" w:hAnsi="宋体"/>
          <w:b/>
          <w:bCs/>
          <w:i/>
          <w:iCs/>
          <w:szCs w:val="21"/>
          <w:u w:val="single"/>
        </w:rPr>
        <w:t xml:space="preserve">    </w:t>
      </w:r>
      <w:r>
        <w:rPr>
          <w:rFonts w:hint="eastAsia" w:ascii="宋体" w:hAnsi="宋体"/>
          <w:szCs w:val="21"/>
        </w:rPr>
        <w:t>，</w:t>
      </w:r>
      <w:r>
        <w:rPr>
          <w:rFonts w:ascii="宋体" w:hAnsi="宋体"/>
          <w:szCs w:val="21"/>
        </w:rPr>
        <w:t>制造商为</w:t>
      </w:r>
      <w:r>
        <w:rPr>
          <w:rFonts w:hint="eastAsia" w:ascii="宋体" w:hAnsi="宋体"/>
          <w:szCs w:val="21"/>
          <w:u w:val="single"/>
        </w:rPr>
        <w:t xml:space="preserve">    </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hint="eastAsia" w:ascii="宋体" w:hAnsi="宋体"/>
          <w:b/>
          <w:bCs/>
          <w:i/>
          <w:iCs/>
          <w:szCs w:val="21"/>
          <w:u w:val="single"/>
        </w:rPr>
        <w:t xml:space="preserve">    </w:t>
      </w:r>
      <w:r>
        <w:rPr>
          <w:rFonts w:ascii="宋体" w:hAnsi="宋体"/>
          <w:szCs w:val="21"/>
        </w:rPr>
        <w:t>，属于</w:t>
      </w:r>
      <w:r>
        <w:rPr>
          <w:rFonts w:hint="eastAsia" w:ascii="宋体" w:hAnsi="宋体"/>
          <w:szCs w:val="21"/>
          <w:u w:val="single"/>
        </w:rPr>
        <w:t xml:space="preserve">  </w:t>
      </w:r>
      <w:r>
        <w:rPr>
          <w:rFonts w:hint="eastAsia" w:ascii="宋体" w:hAnsi="宋体"/>
          <w:b/>
          <w:bCs/>
          <w:szCs w:val="21"/>
          <w:u w:val="single"/>
        </w:rPr>
        <w:t xml:space="preserve">监狱企业  </w:t>
      </w:r>
      <w:r>
        <w:rPr>
          <w:rFonts w:hint="eastAsia" w:ascii="宋体" w:hAnsi="宋体"/>
          <w:szCs w:val="21"/>
        </w:rPr>
        <w:t>。</w:t>
      </w:r>
    </w:p>
    <w:p>
      <w:pPr>
        <w:spacing w:line="360" w:lineRule="auto"/>
        <w:ind w:firstLine="420" w:firstLineChars="200"/>
        <w:outlineLvl w:val="3"/>
        <w:rPr>
          <w:rFonts w:ascii="宋体" w:hAnsi="宋体"/>
          <w:szCs w:val="21"/>
        </w:rPr>
      </w:pPr>
      <w:r>
        <w:rPr>
          <w:rFonts w:ascii="宋体" w:hAnsi="宋体"/>
          <w:szCs w:val="21"/>
        </w:rPr>
        <w:t xml:space="preserve">…… </w:t>
      </w:r>
    </w:p>
    <w:p>
      <w:pPr>
        <w:spacing w:line="360" w:lineRule="auto"/>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pPr>
        <w:spacing w:line="360" w:lineRule="auto"/>
        <w:ind w:firstLine="420" w:firstLineChars="200"/>
        <w:rPr>
          <w:b/>
          <w:bCs/>
          <w:color w:val="FF0000"/>
          <w:szCs w:val="21"/>
        </w:rPr>
      </w:pPr>
      <w:r>
        <w:rPr>
          <w:rFonts w:hint="eastAsia" w:ascii="宋体" w:hAnsi="宋体"/>
          <w:szCs w:val="21"/>
        </w:rPr>
        <w:t>附：省级以上监狱管理局、戒毒管理局（含新疆生产建设兵团）出具的监狱企业证明文件。</w:t>
      </w:r>
    </w:p>
    <w:p>
      <w:pPr>
        <w:rPr>
          <w:rFonts w:ascii="黑体" w:eastAsia="黑体"/>
          <w:sz w:val="24"/>
        </w:rPr>
      </w:pPr>
    </w:p>
    <w:p>
      <w:pPr>
        <w:rPr>
          <w:rFonts w:ascii="黑体" w:eastAsia="黑体"/>
          <w:sz w:val="24"/>
        </w:rPr>
      </w:pPr>
    </w:p>
    <w:p>
      <w:pPr>
        <w:rPr>
          <w:rFonts w:ascii="黑体" w:eastAsia="黑体"/>
          <w:sz w:val="24"/>
        </w:rPr>
      </w:pPr>
    </w:p>
    <w:p>
      <w:pPr>
        <w:jc w:val="center"/>
        <w:rPr>
          <w:rFonts w:ascii="黑体" w:eastAsia="黑体"/>
          <w:sz w:val="24"/>
        </w:rPr>
      </w:pPr>
      <w:r>
        <w:rPr>
          <w:rFonts w:hint="eastAsia" w:ascii="黑体" w:eastAsia="黑体"/>
          <w:sz w:val="24"/>
        </w:rPr>
        <w:t>四、项目详细报价</w:t>
      </w:r>
    </w:p>
    <w:p>
      <w:pPr>
        <w:tabs>
          <w:tab w:val="left" w:pos="720"/>
        </w:tabs>
        <w:ind w:firstLine="3132" w:firstLineChars="1300"/>
        <w:rPr>
          <w:b/>
          <w:sz w:val="24"/>
        </w:rPr>
      </w:pPr>
      <w:r>
        <w:rPr>
          <w:rFonts w:hint="eastAsia"/>
          <w:b/>
          <w:sz w:val="24"/>
        </w:rPr>
        <w:t>（一）分项报价表</w:t>
      </w:r>
    </w:p>
    <w:tbl>
      <w:tblPr>
        <w:tblStyle w:val="44"/>
        <w:tblW w:w="8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485"/>
        <w:gridCol w:w="813"/>
        <w:gridCol w:w="707"/>
        <w:gridCol w:w="1033"/>
        <w:gridCol w:w="612"/>
        <w:gridCol w:w="726"/>
        <w:gridCol w:w="462"/>
        <w:gridCol w:w="427"/>
        <w:gridCol w:w="571"/>
        <w:gridCol w:w="563"/>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7" w:type="dxa"/>
            <w:vAlign w:val="center"/>
          </w:tcPr>
          <w:p>
            <w:pPr>
              <w:jc w:val="center"/>
              <w:rPr>
                <w:bCs/>
                <w:szCs w:val="21"/>
              </w:rPr>
            </w:pPr>
            <w:r>
              <w:rPr>
                <w:rFonts w:hint="eastAsia"/>
                <w:bCs/>
                <w:szCs w:val="21"/>
              </w:rPr>
              <w:t>序号</w:t>
            </w:r>
          </w:p>
        </w:tc>
        <w:tc>
          <w:tcPr>
            <w:tcW w:w="1485" w:type="dxa"/>
            <w:vAlign w:val="center"/>
          </w:tcPr>
          <w:p>
            <w:pPr>
              <w:jc w:val="center"/>
              <w:rPr>
                <w:bCs/>
                <w:szCs w:val="21"/>
              </w:rPr>
            </w:pPr>
            <w:r>
              <w:rPr>
                <w:rFonts w:hint="eastAsia"/>
                <w:szCs w:val="21"/>
              </w:rPr>
              <w:t>采购项目编号</w:t>
            </w:r>
          </w:p>
        </w:tc>
        <w:tc>
          <w:tcPr>
            <w:tcW w:w="813" w:type="dxa"/>
            <w:vAlign w:val="center"/>
          </w:tcPr>
          <w:p>
            <w:pPr>
              <w:jc w:val="center"/>
              <w:rPr>
                <w:bCs/>
                <w:szCs w:val="21"/>
              </w:rPr>
            </w:pPr>
            <w:r>
              <w:rPr>
                <w:rFonts w:hint="eastAsia"/>
                <w:bCs/>
                <w:szCs w:val="21"/>
              </w:rPr>
              <w:t>货物名称</w:t>
            </w:r>
          </w:p>
        </w:tc>
        <w:tc>
          <w:tcPr>
            <w:tcW w:w="707" w:type="dxa"/>
            <w:vAlign w:val="center"/>
          </w:tcPr>
          <w:p>
            <w:pPr>
              <w:jc w:val="center"/>
              <w:rPr>
                <w:bCs/>
                <w:szCs w:val="21"/>
              </w:rPr>
            </w:pPr>
            <w:r>
              <w:rPr>
                <w:rFonts w:hint="eastAsia"/>
                <w:szCs w:val="21"/>
              </w:rPr>
              <w:t>品牌</w:t>
            </w:r>
          </w:p>
        </w:tc>
        <w:tc>
          <w:tcPr>
            <w:tcW w:w="1033" w:type="dxa"/>
            <w:vAlign w:val="center"/>
          </w:tcPr>
          <w:p>
            <w:pPr>
              <w:jc w:val="center"/>
              <w:rPr>
                <w:bCs/>
                <w:szCs w:val="21"/>
              </w:rPr>
            </w:pPr>
            <w:r>
              <w:rPr>
                <w:rFonts w:hint="eastAsia"/>
                <w:szCs w:val="21"/>
              </w:rPr>
              <w:t>规格/型号</w:t>
            </w:r>
          </w:p>
        </w:tc>
        <w:tc>
          <w:tcPr>
            <w:tcW w:w="612" w:type="dxa"/>
            <w:vAlign w:val="center"/>
          </w:tcPr>
          <w:p>
            <w:pPr>
              <w:jc w:val="center"/>
              <w:rPr>
                <w:bCs/>
                <w:szCs w:val="21"/>
              </w:rPr>
            </w:pPr>
            <w:r>
              <w:rPr>
                <w:rFonts w:hint="eastAsia"/>
                <w:b/>
                <w:color w:val="FF0000"/>
                <w:szCs w:val="21"/>
              </w:rPr>
              <w:t>原产地</w:t>
            </w:r>
          </w:p>
        </w:tc>
        <w:tc>
          <w:tcPr>
            <w:tcW w:w="726" w:type="dxa"/>
            <w:vAlign w:val="center"/>
          </w:tcPr>
          <w:p>
            <w:pPr>
              <w:jc w:val="center"/>
              <w:rPr>
                <w:bCs/>
                <w:szCs w:val="21"/>
              </w:rPr>
            </w:pPr>
            <w:r>
              <w:rPr>
                <w:rFonts w:hint="eastAsia"/>
                <w:szCs w:val="21"/>
              </w:rPr>
              <w:t>制造商名称</w:t>
            </w:r>
          </w:p>
        </w:tc>
        <w:tc>
          <w:tcPr>
            <w:tcW w:w="462" w:type="dxa"/>
            <w:vAlign w:val="center"/>
          </w:tcPr>
          <w:p>
            <w:pPr>
              <w:jc w:val="center"/>
              <w:rPr>
                <w:bCs/>
                <w:szCs w:val="21"/>
              </w:rPr>
            </w:pPr>
            <w:r>
              <w:rPr>
                <w:rFonts w:hint="eastAsia"/>
                <w:bCs/>
                <w:szCs w:val="21"/>
              </w:rPr>
              <w:t>数量</w:t>
            </w:r>
          </w:p>
        </w:tc>
        <w:tc>
          <w:tcPr>
            <w:tcW w:w="427" w:type="dxa"/>
            <w:vAlign w:val="center"/>
          </w:tcPr>
          <w:p>
            <w:pPr>
              <w:jc w:val="center"/>
              <w:rPr>
                <w:bCs/>
                <w:szCs w:val="21"/>
              </w:rPr>
            </w:pPr>
            <w:r>
              <w:rPr>
                <w:rFonts w:hint="eastAsia"/>
                <w:bCs/>
                <w:szCs w:val="21"/>
              </w:rPr>
              <w:t>单位</w:t>
            </w:r>
          </w:p>
        </w:tc>
        <w:tc>
          <w:tcPr>
            <w:tcW w:w="571" w:type="dxa"/>
            <w:vAlign w:val="center"/>
          </w:tcPr>
          <w:p>
            <w:pPr>
              <w:jc w:val="center"/>
              <w:rPr>
                <w:bCs/>
                <w:szCs w:val="21"/>
              </w:rPr>
            </w:pPr>
            <w:r>
              <w:rPr>
                <w:rFonts w:hint="eastAsia"/>
                <w:szCs w:val="21"/>
              </w:rPr>
              <w:t>单价(元)</w:t>
            </w:r>
          </w:p>
        </w:tc>
        <w:tc>
          <w:tcPr>
            <w:tcW w:w="563" w:type="dxa"/>
            <w:vAlign w:val="center"/>
          </w:tcPr>
          <w:p>
            <w:pPr>
              <w:jc w:val="center"/>
              <w:rPr>
                <w:bCs/>
                <w:szCs w:val="21"/>
              </w:rPr>
            </w:pPr>
            <w:r>
              <w:rPr>
                <w:rFonts w:hint="eastAsia"/>
                <w:szCs w:val="21"/>
              </w:rPr>
              <w:t>合价(元)</w:t>
            </w:r>
          </w:p>
        </w:tc>
        <w:tc>
          <w:tcPr>
            <w:tcW w:w="899" w:type="dxa"/>
            <w:vAlign w:val="center"/>
          </w:tcPr>
          <w:p>
            <w:pPr>
              <w:jc w:val="center"/>
              <w:rPr>
                <w:szCs w:val="21"/>
              </w:rPr>
            </w:pPr>
            <w:r>
              <w:rPr>
                <w:rFonts w:hint="eastAsia"/>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jc w:val="center"/>
              <w:rPr>
                <w:bCs/>
                <w:szCs w:val="21"/>
              </w:rPr>
            </w:pPr>
            <w:r>
              <w:rPr>
                <w:rFonts w:hint="eastAsia"/>
                <w:bCs/>
                <w:szCs w:val="21"/>
              </w:rPr>
              <w:t>1</w:t>
            </w:r>
          </w:p>
        </w:tc>
        <w:tc>
          <w:tcPr>
            <w:tcW w:w="1485" w:type="dxa"/>
            <w:vAlign w:val="center"/>
          </w:tcPr>
          <w:p>
            <w:pPr>
              <w:jc w:val="center"/>
              <w:rPr>
                <w:bCs/>
                <w:szCs w:val="21"/>
              </w:rPr>
            </w:pPr>
            <w:r>
              <w:rPr>
                <w:rFonts w:hint="eastAsia"/>
                <w:bCs/>
                <w:szCs w:val="21"/>
              </w:rPr>
              <w:t>SZZXCG-</w:t>
            </w:r>
          </w:p>
        </w:tc>
        <w:tc>
          <w:tcPr>
            <w:tcW w:w="813" w:type="dxa"/>
            <w:vAlign w:val="center"/>
          </w:tcPr>
          <w:p>
            <w:pPr>
              <w:jc w:val="center"/>
              <w:rPr>
                <w:bCs/>
                <w:szCs w:val="21"/>
              </w:rPr>
            </w:pPr>
            <w:r>
              <w:rPr>
                <w:rFonts w:hint="eastAsia"/>
                <w:bCs/>
                <w:szCs w:val="21"/>
              </w:rPr>
              <w:t>脑电分析仪</w:t>
            </w:r>
          </w:p>
        </w:tc>
        <w:tc>
          <w:tcPr>
            <w:tcW w:w="707" w:type="dxa"/>
            <w:vAlign w:val="center"/>
          </w:tcPr>
          <w:p>
            <w:pPr>
              <w:jc w:val="center"/>
              <w:rPr>
                <w:bCs/>
                <w:szCs w:val="21"/>
              </w:rPr>
            </w:pPr>
          </w:p>
        </w:tc>
        <w:tc>
          <w:tcPr>
            <w:tcW w:w="1033" w:type="dxa"/>
            <w:vAlign w:val="center"/>
          </w:tcPr>
          <w:p>
            <w:pPr>
              <w:jc w:val="center"/>
              <w:rPr>
                <w:bCs/>
                <w:szCs w:val="21"/>
              </w:rPr>
            </w:pPr>
          </w:p>
        </w:tc>
        <w:tc>
          <w:tcPr>
            <w:tcW w:w="612" w:type="dxa"/>
            <w:vAlign w:val="center"/>
          </w:tcPr>
          <w:p>
            <w:pPr>
              <w:jc w:val="center"/>
              <w:rPr>
                <w:bCs/>
                <w:szCs w:val="21"/>
              </w:rPr>
            </w:pPr>
          </w:p>
        </w:tc>
        <w:tc>
          <w:tcPr>
            <w:tcW w:w="726" w:type="dxa"/>
            <w:vAlign w:val="center"/>
          </w:tcPr>
          <w:p>
            <w:pPr>
              <w:jc w:val="center"/>
              <w:rPr>
                <w:bCs/>
                <w:szCs w:val="21"/>
              </w:rPr>
            </w:pPr>
          </w:p>
        </w:tc>
        <w:tc>
          <w:tcPr>
            <w:tcW w:w="462" w:type="dxa"/>
            <w:vAlign w:val="center"/>
          </w:tcPr>
          <w:p>
            <w:pPr>
              <w:jc w:val="center"/>
              <w:rPr>
                <w:bCs/>
                <w:szCs w:val="21"/>
              </w:rPr>
            </w:pPr>
            <w:r>
              <w:rPr>
                <w:bCs/>
                <w:szCs w:val="21"/>
              </w:rPr>
              <w:t>1</w:t>
            </w:r>
          </w:p>
        </w:tc>
        <w:tc>
          <w:tcPr>
            <w:tcW w:w="427" w:type="dxa"/>
            <w:vAlign w:val="center"/>
          </w:tcPr>
          <w:p>
            <w:pPr>
              <w:jc w:val="center"/>
              <w:rPr>
                <w:bCs/>
                <w:szCs w:val="21"/>
              </w:rPr>
            </w:pPr>
            <w:r>
              <w:rPr>
                <w:rFonts w:hint="eastAsia"/>
                <w:bCs/>
                <w:szCs w:val="21"/>
              </w:rPr>
              <w:t>套</w:t>
            </w:r>
          </w:p>
        </w:tc>
        <w:tc>
          <w:tcPr>
            <w:tcW w:w="571" w:type="dxa"/>
            <w:vAlign w:val="center"/>
          </w:tcPr>
          <w:p>
            <w:pPr>
              <w:jc w:val="center"/>
              <w:rPr>
                <w:bCs/>
                <w:szCs w:val="21"/>
              </w:rPr>
            </w:pPr>
          </w:p>
        </w:tc>
        <w:tc>
          <w:tcPr>
            <w:tcW w:w="563" w:type="dxa"/>
            <w:vAlign w:val="center"/>
          </w:tcPr>
          <w:p>
            <w:pPr>
              <w:jc w:val="center"/>
              <w:rPr>
                <w:bCs/>
                <w:szCs w:val="21"/>
              </w:rPr>
            </w:pPr>
          </w:p>
        </w:tc>
        <w:tc>
          <w:tcPr>
            <w:tcW w:w="899" w:type="dxa"/>
            <w:vAlign w:val="center"/>
          </w:tcPr>
          <w:p>
            <w:pPr>
              <w:jc w:val="center"/>
              <w:rPr>
                <w:b/>
                <w:bCs/>
                <w:szCs w:val="21"/>
              </w:rPr>
            </w:pPr>
            <w:r>
              <w:rPr>
                <w:rFonts w:hint="eastAsia"/>
                <w:bCs/>
                <w:szCs w:val="21"/>
              </w:rPr>
              <w:t>550000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5" w:type="dxa"/>
            <w:gridSpan w:val="12"/>
            <w:vAlign w:val="center"/>
          </w:tcPr>
          <w:p>
            <w:pPr>
              <w:jc w:val="left"/>
              <w:rPr>
                <w:bCs/>
                <w:szCs w:val="21"/>
              </w:rPr>
            </w:pPr>
            <w:r>
              <w:rPr>
                <w:rFonts w:hint="eastAsia"/>
                <w:bCs/>
                <w:szCs w:val="21"/>
              </w:rPr>
              <w:t>合计（即投标总价；币种：人民币；单位：元） 小写：            大写：</w:t>
            </w:r>
          </w:p>
        </w:tc>
      </w:tr>
    </w:tbl>
    <w:p>
      <w:pPr>
        <w:ind w:firstLine="482" w:firstLineChars="200"/>
        <w:rPr>
          <w:rFonts w:ascii="宋体" w:hAnsi="宋体"/>
          <w:b/>
          <w:sz w:val="24"/>
        </w:rPr>
      </w:pPr>
    </w:p>
    <w:p>
      <w:pPr>
        <w:ind w:firstLine="482" w:firstLineChars="200"/>
        <w:rPr>
          <w:rFonts w:ascii="宋体" w:hAnsi="宋体"/>
          <w:b/>
          <w:sz w:val="24"/>
        </w:rPr>
      </w:pPr>
      <w:r>
        <w:rPr>
          <w:rFonts w:hint="eastAsia" w:ascii="宋体" w:hAnsi="宋体"/>
          <w:b/>
          <w:sz w:val="24"/>
        </w:rPr>
        <w:t>注：1.本表可按同样格式扩展。</w:t>
      </w:r>
    </w:p>
    <w:p>
      <w:pPr>
        <w:ind w:firstLine="472" w:firstLineChars="196"/>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品牌”可以与商标一致，也可以填写便于区分其他公司商品的制造商简称或者制造商认可的品牌名称。此类填写错误或缺漏的不利后果由供应商承担。经评审委员会认定，在使用综合评分法的项目中一项此类填写错误或缺漏将按照一项普通招标技术要求（一般参数/普通参数）负偏离扣分处理。</w:t>
      </w:r>
    </w:p>
    <w:p>
      <w:pPr>
        <w:ind w:firstLine="472" w:firstLineChars="196"/>
        <w:rPr>
          <w:b/>
          <w:sz w:val="24"/>
        </w:rPr>
      </w:pPr>
      <w:r>
        <w:rPr>
          <w:rFonts w:hint="eastAsia" w:ascii="宋体" w:hAnsi="宋体"/>
          <w:b/>
          <w:sz w:val="24"/>
        </w:rPr>
        <w:t>3.如所投货物属于定制类的非量产货物或无具体型号的货物，可以在“规格/型号”栏目仅填写规格信息而不填型号信息（型号信息用“定制”描述即可）；</w:t>
      </w:r>
      <w:bookmarkStart w:id="59" w:name="_Hlk73646428"/>
      <w:r>
        <w:rPr>
          <w:rFonts w:hint="eastAsia" w:ascii="宋体" w:hAnsi="宋体"/>
          <w:b/>
          <w:sz w:val="24"/>
        </w:rPr>
        <w:t>此类填写错误或缺漏（所投货物为定制类的非量产货物但供应商却错误填报了型号）的不利后果</w:t>
      </w:r>
      <w:r>
        <w:rPr>
          <w:rFonts w:hint="eastAsia"/>
          <w:b/>
          <w:sz w:val="24"/>
        </w:rPr>
        <w:t>由供应商承担。经评审委员会认定，在使用综合评分法的项目中一项此类填写错误或缺漏将按照一项普通招标技术要求（一般参数/普通参数）负偏离扣分处理。</w:t>
      </w:r>
      <w:bookmarkEnd w:id="59"/>
    </w:p>
    <w:p>
      <w:pPr>
        <w:ind w:firstLine="472" w:firstLineChars="196"/>
        <w:rPr>
          <w:rFonts w:ascii="宋体" w:hAnsi="宋体"/>
          <w:b/>
          <w:sz w:val="24"/>
        </w:rPr>
      </w:pPr>
      <w:r>
        <w:rPr>
          <w:rFonts w:ascii="宋体" w:hAnsi="宋体"/>
          <w:b/>
          <w:sz w:val="24"/>
        </w:rPr>
        <w:t>3</w:t>
      </w:r>
      <w:r>
        <w:rPr>
          <w:rFonts w:hint="eastAsia" w:ascii="宋体" w:hAnsi="宋体"/>
          <w:b/>
          <w:sz w:val="24"/>
        </w:rPr>
        <w:t>.“原产地”是指货物的实际生产加工地，非品牌所在地</w:t>
      </w:r>
    </w:p>
    <w:p>
      <w:pPr>
        <w:ind w:firstLine="472" w:firstLineChars="196"/>
        <w:rPr>
          <w:rFonts w:ascii="宋体" w:hAnsi="宋体"/>
          <w:b/>
          <w:sz w:val="24"/>
        </w:rPr>
      </w:pPr>
      <w:r>
        <w:rPr>
          <w:rFonts w:ascii="宋体" w:hAnsi="宋体"/>
          <w:b/>
          <w:sz w:val="24"/>
        </w:rPr>
        <w:t>4</w:t>
      </w:r>
      <w:r>
        <w:rPr>
          <w:rFonts w:hint="eastAsia" w:ascii="宋体" w:hAnsi="宋体"/>
          <w:b/>
          <w:sz w:val="24"/>
        </w:rPr>
        <w:t>.所投货物均应填写制造商名称，“制造商”是指产品品牌厂商，产品代工制造的，应填写接受委托生产制造的制造商。</w:t>
      </w:r>
    </w:p>
    <w:p>
      <w:pPr>
        <w:ind w:firstLine="482" w:firstLineChars="200"/>
        <w:rPr>
          <w:rFonts w:ascii="宋体" w:hAnsi="宋体"/>
          <w:b/>
          <w:sz w:val="24"/>
        </w:rPr>
      </w:pPr>
      <w:r>
        <w:rPr>
          <w:rFonts w:ascii="宋体" w:hAnsi="宋体"/>
          <w:b/>
          <w:sz w:val="24"/>
        </w:rPr>
        <w:t>5</w:t>
      </w:r>
      <w:r>
        <w:rPr>
          <w:rFonts w:hint="eastAsia" w:ascii="宋体" w:hAnsi="宋体"/>
          <w:b/>
          <w:sz w:val="24"/>
        </w:rPr>
        <w:t>.以上分项报价表的投标总价应当与开标一览表的投标总价一致。</w:t>
      </w:r>
    </w:p>
    <w:p>
      <w:pPr>
        <w:ind w:firstLine="482" w:firstLineChars="200"/>
        <w:rPr>
          <w:rFonts w:ascii="宋体" w:hAnsi="宋体"/>
          <w:b/>
          <w:sz w:val="24"/>
        </w:rPr>
      </w:pPr>
      <w:r>
        <w:rPr>
          <w:rFonts w:ascii="宋体" w:hAnsi="宋体"/>
          <w:b/>
          <w:sz w:val="24"/>
        </w:rPr>
        <w:t>6</w:t>
      </w:r>
      <w:r>
        <w:rPr>
          <w:rFonts w:hint="eastAsia" w:ascii="宋体" w:hAnsi="宋体"/>
          <w:b/>
          <w:sz w:val="24"/>
        </w:rPr>
        <w:t>.单价、合价和投标总价为包干价，即三者均应包含货物的价款、包装、运输、装卸、安装、调试、技术指导、培训、咨询、服务、保险、税费、检测、验收合格交付使用之前以及技术和售后服务等其他各项有关费用。</w:t>
      </w:r>
    </w:p>
    <w:p>
      <w:pPr>
        <w:ind w:firstLine="482" w:firstLineChars="200"/>
        <w:rPr>
          <w:rFonts w:ascii="宋体" w:hAnsi="宋体"/>
          <w:b/>
          <w:sz w:val="24"/>
        </w:rPr>
      </w:pPr>
      <w:r>
        <w:rPr>
          <w:rFonts w:ascii="宋体" w:hAnsi="宋体"/>
          <w:b/>
          <w:sz w:val="24"/>
        </w:rPr>
        <w:t>7</w:t>
      </w:r>
      <w:r>
        <w:rPr>
          <w:rFonts w:hint="eastAsia" w:ascii="宋体" w:hAnsi="宋体"/>
          <w:b/>
          <w:sz w:val="24"/>
        </w:rPr>
        <w:t>.所有价格应按“招标文件”中规定的货币单位填写；投标总价应为以上各分项价格之和；投标总价和项目报价表中单个采购预算条目报价均不得超过对应的财政预算限额，否则将导致投标无效。</w:t>
      </w:r>
    </w:p>
    <w:p>
      <w:pPr>
        <w:ind w:firstLine="482" w:firstLineChars="200"/>
        <w:rPr>
          <w:rFonts w:ascii="宋体" w:hAnsi="宋体"/>
          <w:b/>
          <w:color w:val="FF0000"/>
          <w:sz w:val="24"/>
        </w:rPr>
      </w:pPr>
    </w:p>
    <w:p>
      <w:pPr>
        <w:ind w:firstLine="482" w:firstLineChars="200"/>
        <w:rPr>
          <w:rFonts w:ascii="宋体" w:hAnsi="宋体"/>
          <w:b/>
          <w:color w:val="FF0000"/>
          <w:sz w:val="24"/>
        </w:rPr>
      </w:pPr>
    </w:p>
    <w:p>
      <w:pPr>
        <w:tabs>
          <w:tab w:val="left" w:pos="720"/>
        </w:tabs>
        <w:jc w:val="center"/>
        <w:rPr>
          <w:b/>
          <w:sz w:val="24"/>
        </w:rPr>
      </w:pPr>
      <w:r>
        <w:rPr>
          <w:rFonts w:hint="eastAsia"/>
          <w:b/>
          <w:sz w:val="24"/>
        </w:rPr>
        <w:t>（二）核心产品品牌</w:t>
      </w:r>
    </w:p>
    <w:p>
      <w:pPr>
        <w:ind w:firstLine="482" w:firstLineChars="200"/>
        <w:rPr>
          <w:rFonts w:ascii="宋体" w:hAnsi="宋体"/>
          <w:b/>
          <w:color w:val="FF0000"/>
          <w:sz w:val="24"/>
        </w:rPr>
      </w:pPr>
    </w:p>
    <w:p>
      <w:pPr>
        <w:ind w:firstLine="482" w:firstLineChars="200"/>
        <w:rPr>
          <w:rFonts w:ascii="宋体" w:hAnsi="宋体"/>
          <w:b/>
          <w:sz w:val="24"/>
        </w:rPr>
      </w:pPr>
      <w:r>
        <w:rPr>
          <w:rFonts w:hint="eastAsia"/>
          <w:b/>
          <w:sz w:val="24"/>
        </w:rPr>
        <w:t>我单位所投核心产品的品牌为：</w:t>
      </w:r>
      <w:r>
        <w:rPr>
          <w:rFonts w:hint="eastAsia"/>
          <w:b/>
          <w:sz w:val="24"/>
          <w:u w:val="single"/>
        </w:rPr>
        <w:t xml:space="preserve">               </w:t>
      </w:r>
      <w:r>
        <w:rPr>
          <w:rFonts w:hint="eastAsia"/>
          <w:b/>
          <w:sz w:val="24"/>
        </w:rPr>
        <w:t>。</w:t>
      </w:r>
    </w:p>
    <w:p>
      <w:pPr>
        <w:ind w:firstLine="482" w:firstLineChars="200"/>
        <w:rPr>
          <w:rFonts w:ascii="宋体" w:hAnsi="宋体"/>
          <w:b/>
          <w:color w:val="FF0000"/>
          <w:sz w:val="24"/>
        </w:rPr>
      </w:pPr>
    </w:p>
    <w:p>
      <w:pPr>
        <w:ind w:firstLine="480" w:firstLineChars="200"/>
        <w:rPr>
          <w:rFonts w:ascii="宋体" w:hAnsi="宋体"/>
          <w:sz w:val="24"/>
        </w:rPr>
      </w:pPr>
      <w:r>
        <w:rPr>
          <w:rFonts w:hint="eastAsia" w:ascii="宋体" w:hAnsi="宋体"/>
          <w:sz w:val="24"/>
        </w:rPr>
        <w:t>备注：单一产品采购项目，核心产品即为该单一产品。</w:t>
      </w:r>
    </w:p>
    <w:p>
      <w:pPr>
        <w:ind w:firstLine="482" w:firstLineChars="200"/>
        <w:rPr>
          <w:rFonts w:ascii="宋体" w:hAnsi="宋体"/>
          <w:b/>
          <w:color w:val="FF0000"/>
          <w:sz w:val="24"/>
        </w:rPr>
      </w:pPr>
    </w:p>
    <w:p>
      <w:pPr>
        <w:ind w:firstLine="482" w:firstLineChars="200"/>
        <w:rPr>
          <w:rFonts w:ascii="宋体" w:hAnsi="宋体"/>
          <w:b/>
          <w:color w:val="FF0000"/>
          <w:sz w:val="24"/>
        </w:rPr>
      </w:pPr>
    </w:p>
    <w:p>
      <w:pPr>
        <w:rPr>
          <w:b/>
          <w:sz w:val="24"/>
        </w:rPr>
      </w:pPr>
    </w:p>
    <w:p>
      <w:pPr>
        <w:tabs>
          <w:tab w:val="left" w:pos="720"/>
        </w:tabs>
        <w:ind w:firstLine="1928" w:firstLineChars="800"/>
        <w:rPr>
          <w:b/>
          <w:sz w:val="24"/>
        </w:rPr>
      </w:pPr>
      <w:r>
        <w:rPr>
          <w:rFonts w:hint="eastAsia"/>
          <w:b/>
          <w:sz w:val="24"/>
        </w:rPr>
        <w:t>（三）可选配件报价清单（不包括在总报价内）</w:t>
      </w:r>
    </w:p>
    <w:p>
      <w:pPr>
        <w:ind w:firstLine="422" w:firstLineChars="200"/>
        <w:rPr>
          <w:rFonts w:hAnsi="宋体"/>
          <w:b/>
          <w:bCs/>
          <w:szCs w:val="21"/>
        </w:rPr>
      </w:pPr>
      <w:r>
        <w:rPr>
          <w:rFonts w:hint="eastAsia" w:hAnsi="宋体"/>
          <w:b/>
          <w:bCs/>
          <w:szCs w:val="21"/>
        </w:rPr>
        <w:t>注：格式可以参照《（一）分项报价表》表格，并提供相应的品牌/规格/型号、原产地、制造商信息（没有品牌、型号的，用“定制”描述即可）、单价等详细信息</w:t>
      </w:r>
    </w:p>
    <w:p>
      <w:pPr>
        <w:ind w:firstLine="482" w:firstLineChars="200"/>
        <w:rPr>
          <w:rFonts w:hAnsi="宋体"/>
          <w:b/>
          <w:bCs/>
          <w:sz w:val="24"/>
        </w:rPr>
      </w:pPr>
    </w:p>
    <w:p>
      <w:pPr>
        <w:ind w:firstLine="482" w:firstLineChars="200"/>
        <w:rPr>
          <w:rFonts w:hAnsi="宋体"/>
          <w:b/>
          <w:bCs/>
          <w:sz w:val="24"/>
        </w:rPr>
      </w:pPr>
    </w:p>
    <w:p>
      <w:pPr>
        <w:tabs>
          <w:tab w:val="left" w:pos="720"/>
        </w:tabs>
        <w:jc w:val="center"/>
        <w:rPr>
          <w:b/>
          <w:sz w:val="24"/>
        </w:rPr>
      </w:pPr>
      <w:r>
        <w:rPr>
          <w:rFonts w:hint="eastAsia"/>
          <w:b/>
          <w:sz w:val="24"/>
        </w:rPr>
        <w:t>（四）</w:t>
      </w:r>
      <w:bookmarkStart w:id="60" w:name="_Hlk72073235"/>
      <w:r>
        <w:rPr>
          <w:rFonts w:hint="eastAsia"/>
          <w:b/>
          <w:sz w:val="24"/>
        </w:rPr>
        <w:t>投标人认为需要涉及的其他内容报价清单</w:t>
      </w:r>
      <w:bookmarkEnd w:id="60"/>
    </w:p>
    <w:bookmarkEnd w:id="55"/>
    <w:p>
      <w:pPr>
        <w:jc w:val="center"/>
        <w:rPr>
          <w:rFonts w:ascii="黑体" w:eastAsia="黑体"/>
          <w:sz w:val="24"/>
        </w:rPr>
      </w:pPr>
      <w:bookmarkStart w:id="61" w:name="_Hlk72260530"/>
      <w:r>
        <w:rPr>
          <w:rFonts w:hint="eastAsia" w:ascii="黑体" w:eastAsia="黑体"/>
          <w:sz w:val="24"/>
        </w:rPr>
        <w:br w:type="page"/>
      </w:r>
      <w:r>
        <w:rPr>
          <w:rFonts w:hint="eastAsia" w:ascii="黑体" w:eastAsia="黑体"/>
          <w:sz w:val="24"/>
        </w:rPr>
        <w:t>五、同类项目业绩</w:t>
      </w:r>
    </w:p>
    <w:p>
      <w:pPr>
        <w:jc w:val="center"/>
        <w:rPr>
          <w:rFonts w:ascii="黑体" w:eastAsia="黑体"/>
          <w:sz w:val="24"/>
        </w:rPr>
      </w:pPr>
      <w:r>
        <w:rPr>
          <w:rFonts w:hint="eastAsia" w:ascii="黑体" w:eastAsia="黑体"/>
          <w:sz w:val="24"/>
        </w:rPr>
        <w:t>六、投标人认为需要加以说明的其他内容（正文部分）</w:t>
      </w:r>
    </w:p>
    <w:p>
      <w:pPr>
        <w:pStyle w:val="2"/>
        <w:rPr>
          <w:rFonts w:ascii="黑体" w:eastAsia="黑体"/>
          <w:sz w:val="24"/>
        </w:rPr>
      </w:pPr>
    </w:p>
    <w:p>
      <w:pPr>
        <w:pStyle w:val="2"/>
        <w:rPr>
          <w:rFonts w:ascii="黑体" w:eastAsia="黑体"/>
          <w:sz w:val="24"/>
        </w:rPr>
      </w:pPr>
    </w:p>
    <w:p>
      <w:pPr>
        <w:snapToGrid w:val="0"/>
        <w:jc w:val="center"/>
        <w:outlineLvl w:val="0"/>
        <w:rPr>
          <w:rFonts w:ascii="黑体" w:hAnsi="宋体" w:eastAsia="黑体"/>
          <w:bCs/>
          <w:sz w:val="24"/>
          <w:szCs w:val="32"/>
        </w:rPr>
      </w:pPr>
    </w:p>
    <w:p>
      <w:pPr>
        <w:snapToGrid w:val="0"/>
        <w:jc w:val="center"/>
        <w:outlineLvl w:val="0"/>
        <w:rPr>
          <w:rFonts w:ascii="黑体" w:hAnsi="宋体" w:eastAsia="黑体"/>
          <w:bCs/>
          <w:sz w:val="24"/>
          <w:szCs w:val="32"/>
        </w:rPr>
      </w:pPr>
      <w:r>
        <w:rPr>
          <w:rFonts w:hint="eastAsia" w:ascii="黑体" w:hAnsi="宋体" w:eastAsia="黑体"/>
          <w:bCs/>
          <w:sz w:val="24"/>
          <w:szCs w:val="32"/>
        </w:rPr>
        <w:t>一、供应商基本情况表</w:t>
      </w:r>
    </w:p>
    <w:p>
      <w:pPr>
        <w:rPr>
          <w:rFonts w:ascii="宋体" w:hAnsi="宋体" w:cs="宋体"/>
          <w:sz w:val="24"/>
        </w:rPr>
      </w:pPr>
      <w:r>
        <w:rPr>
          <w:rFonts w:hint="eastAsia" w:ascii="宋体" w:hAnsi="宋体" w:cs="宋体"/>
          <w:sz w:val="24"/>
        </w:rPr>
        <w:t>填表单位：</w:t>
      </w:r>
      <w:r>
        <w:rPr>
          <w:rFonts w:hint="eastAsia" w:ascii="宋体" w:hAnsi="宋体" w:cs="宋体"/>
          <w:b/>
          <w:color w:val="FF0000"/>
          <w:sz w:val="24"/>
          <w:highlight w:val="yellow"/>
        </w:rPr>
        <w:t>（加盖单位公章）</w:t>
      </w:r>
      <w:r>
        <w:rPr>
          <w:rFonts w:hint="eastAsia" w:ascii="宋体" w:hAnsi="宋体" w:cs="宋体"/>
          <w:sz w:val="24"/>
        </w:rPr>
        <w:tab/>
      </w:r>
      <w:r>
        <w:rPr>
          <w:rFonts w:hint="eastAsia" w:ascii="宋体" w:hAnsi="宋体" w:cs="宋体"/>
          <w:sz w:val="24"/>
        </w:rPr>
        <w:t xml:space="preserve">              填表日期：    年   月   日</w:t>
      </w:r>
    </w:p>
    <w:tbl>
      <w:tblPr>
        <w:tblStyle w:val="45"/>
        <w:tblW w:w="8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316"/>
        <w:gridCol w:w="1237"/>
        <w:gridCol w:w="791"/>
        <w:gridCol w:w="912"/>
        <w:gridCol w:w="1729"/>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采购人</w:t>
            </w:r>
          </w:p>
        </w:tc>
        <w:tc>
          <w:tcPr>
            <w:tcW w:w="255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Cs w:val="21"/>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项目名称</w:t>
            </w:r>
          </w:p>
        </w:tc>
        <w:tc>
          <w:tcPr>
            <w:tcW w:w="31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投标（响应）供应商</w:t>
            </w:r>
          </w:p>
        </w:tc>
        <w:tc>
          <w:tcPr>
            <w:tcW w:w="255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供应商统一社会信用代码</w:t>
            </w:r>
          </w:p>
        </w:tc>
        <w:tc>
          <w:tcPr>
            <w:tcW w:w="31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828"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b/>
                <w:bCs/>
                <w:szCs w:val="21"/>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序号</w:t>
            </w:r>
          </w:p>
        </w:tc>
        <w:tc>
          <w:tcPr>
            <w:tcW w:w="1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职务</w:t>
            </w:r>
          </w:p>
        </w:tc>
        <w:tc>
          <w:tcPr>
            <w:tcW w:w="12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姓名</w:t>
            </w:r>
          </w:p>
        </w:tc>
        <w:tc>
          <w:tcPr>
            <w:tcW w:w="170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身份证号码</w:t>
            </w:r>
          </w:p>
        </w:tc>
        <w:tc>
          <w:tcPr>
            <w:tcW w:w="17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劳动合同</w:t>
            </w:r>
          </w:p>
          <w:p>
            <w:pPr>
              <w:snapToGrid w:val="0"/>
              <w:spacing w:line="400" w:lineRule="exact"/>
              <w:jc w:val="center"/>
              <w:rPr>
                <w:rFonts w:ascii="宋体" w:hAnsi="宋体" w:cs="宋体"/>
                <w:szCs w:val="21"/>
              </w:rPr>
            </w:pPr>
            <w:r>
              <w:rPr>
                <w:rFonts w:hint="eastAsia" w:ascii="宋体" w:hAnsi="宋体" w:cs="宋体"/>
                <w:szCs w:val="21"/>
              </w:rPr>
              <w:t>关系单位</w:t>
            </w:r>
          </w:p>
        </w:tc>
        <w:tc>
          <w:tcPr>
            <w:tcW w:w="143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缴纳社会</w:t>
            </w:r>
          </w:p>
          <w:p>
            <w:pPr>
              <w:snapToGrid w:val="0"/>
              <w:spacing w:line="400" w:lineRule="exact"/>
              <w:jc w:val="center"/>
              <w:rPr>
                <w:rFonts w:ascii="宋体" w:hAnsi="宋体" w:cs="宋体"/>
                <w:szCs w:val="21"/>
              </w:rPr>
            </w:pPr>
            <w:r>
              <w:rPr>
                <w:rFonts w:hint="eastAsia" w:ascii="宋体" w:hAnsi="宋体" w:cs="宋体"/>
                <w:szCs w:val="21"/>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法定代表人/单位负责人/主要经营负责人</w:t>
            </w:r>
          </w:p>
        </w:tc>
        <w:tc>
          <w:tcPr>
            <w:tcW w:w="12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7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w:t>
            </w:r>
          </w:p>
        </w:tc>
        <w:tc>
          <w:tcPr>
            <w:tcW w:w="1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项目投标授权代表人</w:t>
            </w:r>
          </w:p>
        </w:tc>
        <w:tc>
          <w:tcPr>
            <w:tcW w:w="12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7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lang w:bidi="ar"/>
              </w:rPr>
              <w:t>3</w:t>
            </w:r>
          </w:p>
        </w:tc>
        <w:tc>
          <w:tcPr>
            <w:tcW w:w="1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项目负责人</w:t>
            </w:r>
          </w:p>
        </w:tc>
        <w:tc>
          <w:tcPr>
            <w:tcW w:w="12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7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lang w:bidi="ar"/>
              </w:rPr>
              <w:t>4</w:t>
            </w:r>
          </w:p>
        </w:tc>
        <w:tc>
          <w:tcPr>
            <w:tcW w:w="1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主要技术人员</w:t>
            </w:r>
          </w:p>
        </w:tc>
        <w:tc>
          <w:tcPr>
            <w:tcW w:w="12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7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lang w:bidi="ar"/>
              </w:rPr>
              <w:t>5</w:t>
            </w:r>
          </w:p>
        </w:tc>
        <w:tc>
          <w:tcPr>
            <w:tcW w:w="19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投标文件编制人员</w:t>
            </w:r>
          </w:p>
        </w:tc>
        <w:tc>
          <w:tcPr>
            <w:tcW w:w="12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7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828"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Cs w:val="21"/>
              </w:rPr>
            </w:pPr>
            <w:r>
              <w:rPr>
                <w:rFonts w:hint="eastAsia" w:ascii="宋体" w:hAnsi="宋体" w:cs="宋体"/>
                <w:b/>
                <w:bCs/>
                <w:szCs w:val="21"/>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828"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szCs w:val="21"/>
              </w:rPr>
            </w:pPr>
            <w:r>
              <w:rPr>
                <w:rFonts w:hint="eastAsia" w:ascii="宋体" w:hAnsi="宋体" w:cs="宋体"/>
                <w:b/>
                <w:bCs/>
                <w:szCs w:val="21"/>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lang w:bidi="ar"/>
              </w:rPr>
            </w:pPr>
            <w:r>
              <w:rPr>
                <w:rFonts w:hint="eastAsia" w:ascii="宋体" w:hAnsi="宋体" w:cs="宋体"/>
                <w:szCs w:val="21"/>
                <w:lang w:bidi="ar"/>
              </w:rPr>
              <w:t>序号</w:t>
            </w:r>
          </w:p>
        </w:tc>
        <w:tc>
          <w:tcPr>
            <w:tcW w:w="1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关联关系类型</w:t>
            </w:r>
          </w:p>
        </w:tc>
        <w:tc>
          <w:tcPr>
            <w:tcW w:w="20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关联主体名称</w:t>
            </w:r>
          </w:p>
        </w:tc>
        <w:tc>
          <w:tcPr>
            <w:tcW w:w="407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lang w:bidi="ar"/>
              </w:rPr>
            </w:pPr>
            <w:r>
              <w:rPr>
                <w:rFonts w:hint="eastAsia" w:ascii="宋体" w:hAnsi="宋体" w:cs="宋体"/>
                <w:szCs w:val="21"/>
                <w:lang w:bidi="ar"/>
              </w:rPr>
              <w:t>1</w:t>
            </w:r>
          </w:p>
        </w:tc>
        <w:tc>
          <w:tcPr>
            <w:tcW w:w="1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控股股东</w:t>
            </w:r>
          </w:p>
        </w:tc>
        <w:tc>
          <w:tcPr>
            <w:tcW w:w="20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407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宋体"/>
                <w:szCs w:val="21"/>
              </w:rPr>
            </w:pPr>
            <w:r>
              <w:rPr>
                <w:rFonts w:hint="eastAsia" w:ascii="宋体" w:hAnsi="宋体" w:cs="宋体"/>
                <w:szCs w:val="21"/>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lang w:bidi="ar"/>
              </w:rPr>
            </w:pPr>
            <w:r>
              <w:rPr>
                <w:rFonts w:hint="eastAsia" w:ascii="宋体" w:hAnsi="宋体" w:cs="宋体"/>
                <w:szCs w:val="21"/>
                <w:lang w:bidi="ar"/>
              </w:rPr>
              <w:t>2</w:t>
            </w:r>
          </w:p>
        </w:tc>
        <w:tc>
          <w:tcPr>
            <w:tcW w:w="1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管理关系</w:t>
            </w:r>
          </w:p>
        </w:tc>
        <w:tc>
          <w:tcPr>
            <w:tcW w:w="20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407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宋体"/>
                <w:szCs w:val="21"/>
              </w:rPr>
            </w:pPr>
            <w:r>
              <w:rPr>
                <w:rFonts w:hint="eastAsia" w:ascii="宋体" w:hAnsi="宋体" w:cs="宋体"/>
                <w:szCs w:val="21"/>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828" w:type="dxa"/>
            <w:gridSpan w:val="8"/>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宋体"/>
                <w:szCs w:val="21"/>
              </w:rPr>
            </w:pPr>
            <w:r>
              <w:rPr>
                <w:rFonts w:hint="eastAsia" w:ascii="宋体" w:hAnsi="宋体" w:cs="宋体"/>
                <w:b/>
                <w:bCs/>
                <w:szCs w:val="21"/>
              </w:rPr>
              <w:t>说明：同一关联关系类型有多个主体的，应分行填写。</w:t>
            </w:r>
          </w:p>
        </w:tc>
      </w:tr>
    </w:tbl>
    <w:p>
      <w:pPr>
        <w:pStyle w:val="2"/>
      </w:pPr>
    </w:p>
    <w:p>
      <w:pPr>
        <w:pStyle w:val="4"/>
        <w:jc w:val="center"/>
        <w:rPr>
          <w:rFonts w:ascii="黑体" w:eastAsia="黑体"/>
          <w:b w:val="0"/>
          <w:sz w:val="24"/>
        </w:rPr>
      </w:pPr>
    </w:p>
    <w:p>
      <w:pPr>
        <w:pStyle w:val="4"/>
        <w:jc w:val="center"/>
        <w:rPr>
          <w:rFonts w:ascii="黑体" w:eastAsia="黑体"/>
          <w:b w:val="0"/>
          <w:sz w:val="24"/>
        </w:rPr>
      </w:pPr>
      <w:r>
        <w:rPr>
          <w:rFonts w:hint="eastAsia" w:ascii="黑体" w:eastAsia="黑体"/>
          <w:b w:val="0"/>
          <w:sz w:val="24"/>
        </w:rPr>
        <w:t>二、</w:t>
      </w:r>
      <w:bookmarkStart w:id="62" w:name="_Hlk72092499"/>
      <w:r>
        <w:rPr>
          <w:rFonts w:hint="eastAsia" w:ascii="黑体" w:eastAsia="黑体"/>
          <w:b w:val="0"/>
          <w:sz w:val="24"/>
        </w:rPr>
        <w:t>法定代表人（负责人）证明书</w:t>
      </w:r>
      <w:bookmarkEnd w:id="62"/>
    </w:p>
    <w:p>
      <w:pPr>
        <w:rPr>
          <w:sz w:val="24"/>
        </w:rPr>
      </w:pPr>
    </w:p>
    <w:p>
      <w:pPr>
        <w:ind w:firstLine="420" w:firstLineChars="200"/>
        <w:rPr>
          <w:szCs w:val="21"/>
        </w:rPr>
      </w:pPr>
      <w:r>
        <w:rPr>
          <w:rFonts w:hint="eastAsia"/>
          <w:szCs w:val="21"/>
        </w:rPr>
        <w:t xml:space="preserve">  </w:t>
      </w: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pPr>
        <w:ind w:firstLine="422" w:firstLineChars="200"/>
        <w:rPr>
          <w:b/>
          <w:bCs/>
          <w:color w:val="FF0000"/>
          <w:szCs w:val="21"/>
        </w:rPr>
      </w:pPr>
      <w:r>
        <w:rPr>
          <w:rFonts w:hint="eastAsia"/>
          <w:b/>
          <w:bCs/>
          <w:color w:val="FF0000"/>
          <w:szCs w:val="21"/>
        </w:rPr>
        <w:t>特此证明。</w:t>
      </w:r>
    </w:p>
    <w:p>
      <w:pPr>
        <w:ind w:firstLine="422" w:firstLineChars="200"/>
        <w:rPr>
          <w:b/>
          <w:bCs/>
          <w:color w:val="FF0000"/>
          <w:szCs w:val="21"/>
        </w:rPr>
      </w:pPr>
      <w:r>
        <w:rPr>
          <w:rFonts w:hint="eastAsia"/>
          <w:b/>
          <w:bCs/>
          <w:color w:val="FF0000"/>
          <w:szCs w:val="21"/>
        </w:rPr>
        <w:t>说明：1、法定代表人为投标人（企业事业单位、国家机关、社会团体）的主要行政负责人。</w:t>
      </w:r>
    </w:p>
    <w:p>
      <w:pPr>
        <w:numPr>
          <w:ilvl w:val="0"/>
          <w:numId w:val="11"/>
        </w:numPr>
        <w:ind w:firstLine="422" w:firstLineChars="200"/>
        <w:rPr>
          <w:b/>
          <w:bCs/>
          <w:color w:val="FF0000"/>
          <w:szCs w:val="21"/>
        </w:rPr>
      </w:pPr>
      <w:r>
        <w:rPr>
          <w:rFonts w:hint="eastAsia"/>
          <w:b/>
          <w:bCs/>
          <w:color w:val="FF0000"/>
          <w:szCs w:val="21"/>
          <w:lang w:eastAsia="zh-Hans"/>
        </w:rPr>
        <w:t>本证明书要供法定代表人（负责人）</w:t>
      </w:r>
      <w:r>
        <w:rPr>
          <w:rFonts w:hint="eastAsia"/>
          <w:b/>
          <w:bCs/>
          <w:color w:val="FF0000"/>
          <w:szCs w:val="21"/>
        </w:rPr>
        <w:t>相关身份证明文件：身份证扫描件（正反两面）；港澳台居民可提供来往通行证扫描件；非中国国籍管辖范围人员，可提供公安部门认可的身份证明材料扫描件。</w:t>
      </w:r>
    </w:p>
    <w:p>
      <w:pPr>
        <w:numPr>
          <w:ilvl w:val="0"/>
          <w:numId w:val="11"/>
        </w:numPr>
        <w:ind w:firstLine="422" w:firstLineChars="200"/>
        <w:rPr>
          <w:b/>
          <w:bCs/>
          <w:color w:val="FF0000"/>
          <w:szCs w:val="21"/>
        </w:rPr>
      </w:pPr>
      <w:r>
        <w:rPr>
          <w:rFonts w:hint="eastAsia"/>
          <w:b/>
          <w:bCs/>
          <w:color w:val="FF0000"/>
          <w:szCs w:val="21"/>
          <w:lang w:eastAsia="zh-Hans"/>
        </w:rPr>
        <w:t>本项目投标授权代表为法定代表人（负责人）的，无需提供</w:t>
      </w:r>
      <w:r>
        <w:rPr>
          <w:rFonts w:hint="eastAsia"/>
          <w:b/>
          <w:bCs/>
          <w:color w:val="FF0000"/>
          <w:szCs w:val="21"/>
        </w:rPr>
        <w:t>《投标文件签署授权委托书》</w:t>
      </w:r>
      <w:r>
        <w:rPr>
          <w:rFonts w:hint="eastAsia"/>
          <w:b/>
          <w:bCs/>
          <w:color w:val="FF0000"/>
          <w:szCs w:val="21"/>
          <w:lang w:eastAsia="zh-Hans"/>
        </w:rPr>
        <w:t>。</w:t>
      </w:r>
    </w:p>
    <w:p>
      <w:pPr>
        <w:numPr>
          <w:ilvl w:val="0"/>
          <w:numId w:val="11"/>
        </w:numPr>
        <w:ind w:firstLine="422" w:firstLineChars="200"/>
        <w:rPr>
          <w:b/>
          <w:bCs/>
          <w:color w:val="FF0000"/>
          <w:szCs w:val="21"/>
        </w:rPr>
      </w:pPr>
      <w:r>
        <w:rPr>
          <w:rFonts w:hint="eastAsia"/>
          <w:b/>
          <w:bCs/>
          <w:color w:val="FF0000"/>
          <w:szCs w:val="21"/>
        </w:rPr>
        <w:t>内容必须填写真实、清楚，涂改无效，不得转让、买卖。</w:t>
      </w:r>
    </w:p>
    <w:tbl>
      <w:tblPr>
        <w:tblStyle w:val="4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rPr>
              <w:t>证件扫描件正面</w:t>
            </w:r>
          </w:p>
          <w:p>
            <w:pPr>
              <w:pStyle w:val="9"/>
              <w:spacing w:line="240" w:lineRule="auto"/>
              <w:jc w:val="center"/>
            </w:pPr>
          </w:p>
          <w:p>
            <w:pPr>
              <w:pStyle w:val="38"/>
              <w:spacing w:line="240" w:lineRule="auto"/>
              <w:jc w:val="center"/>
            </w:pPr>
          </w:p>
          <w:p>
            <w:pPr>
              <w:pStyle w:val="38"/>
              <w:spacing w:line="240" w:lineRule="auto"/>
              <w:jc w:val="center"/>
            </w:pPr>
          </w:p>
          <w:p>
            <w:pPr>
              <w:pStyle w:val="38"/>
              <w:spacing w:line="240" w:lineRule="auto"/>
              <w:jc w:val="center"/>
            </w:pPr>
          </w:p>
        </w:tc>
        <w:tc>
          <w:tcPr>
            <w:tcW w:w="4265" w:type="dxa"/>
          </w:tcPr>
          <w:p>
            <w:pPr>
              <w:jc w:val="center"/>
            </w:pPr>
            <w:r>
              <w:rPr>
                <w:rFonts w:hint="eastAsia"/>
              </w:rPr>
              <w:t>证件扫描件反面</w:t>
            </w:r>
          </w:p>
          <w:p>
            <w:pPr>
              <w:pStyle w:val="9"/>
              <w:spacing w:line="240" w:lineRule="auto"/>
              <w:jc w:val="center"/>
            </w:pPr>
          </w:p>
          <w:p>
            <w:pPr>
              <w:pStyle w:val="38"/>
              <w:spacing w:line="240" w:lineRule="auto"/>
              <w:jc w:val="center"/>
            </w:pPr>
          </w:p>
        </w:tc>
      </w:tr>
    </w:tbl>
    <w:p>
      <w:pPr>
        <w:pStyle w:val="40"/>
        <w:spacing w:beforeAutospacing="0" w:afterAutospacing="0"/>
        <w:jc w:val="both"/>
        <w:rPr>
          <w:szCs w:val="22"/>
        </w:rPr>
      </w:pPr>
      <w:r>
        <w:rPr>
          <w:rFonts w:hint="eastAsia" w:ascii="黑体" w:hAnsi="宋体" w:eastAsia="黑体" w:cs="黑体"/>
          <w:b/>
          <w:bCs/>
          <w:kern w:val="2"/>
          <w:lang w:bidi="ar"/>
        </w:rPr>
        <w:t>温馨提示</w:t>
      </w:r>
      <w:r>
        <w:rPr>
          <w:rFonts w:hint="eastAsia" w:ascii="黑体" w:hAnsi="宋体" w:eastAsia="黑体" w:cs="黑体"/>
          <w:kern w:val="2"/>
          <w:lang w:bidi="ar"/>
        </w:rPr>
        <w:t>：</w:t>
      </w:r>
      <w:r>
        <w:rPr>
          <w:rFonts w:hint="eastAsia" w:cs="宋体"/>
          <w:kern w:val="2"/>
          <w:sz w:val="21"/>
          <w:szCs w:val="21"/>
          <w:lang w:bidi="ar"/>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pPr>
        <w:rPr>
          <w:sz w:val="24"/>
        </w:rPr>
      </w:pPr>
    </w:p>
    <w:p>
      <w:pPr>
        <w:rPr>
          <w:rFonts w:ascii="黑体" w:eastAsia="黑体"/>
          <w:sz w:val="24"/>
        </w:rPr>
      </w:pPr>
      <w:r>
        <w:rPr>
          <w:rFonts w:hint="eastAsia" w:ascii="黑体" w:eastAsia="黑体"/>
          <w:sz w:val="24"/>
        </w:rPr>
        <w:br w:type="page"/>
      </w:r>
    </w:p>
    <w:p>
      <w:pPr>
        <w:pStyle w:val="4"/>
        <w:spacing w:before="120" w:after="120"/>
        <w:jc w:val="center"/>
        <w:rPr>
          <w:rFonts w:ascii="黑体" w:eastAsia="黑体"/>
          <w:b w:val="0"/>
          <w:sz w:val="24"/>
        </w:rPr>
      </w:pPr>
      <w:r>
        <w:rPr>
          <w:rFonts w:hint="eastAsia" w:ascii="黑体" w:eastAsia="黑体"/>
          <w:b w:val="0"/>
          <w:sz w:val="24"/>
        </w:rPr>
        <w:t>三、投标文件签署授权委托书</w:t>
      </w:r>
    </w:p>
    <w:p>
      <w:pPr>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ind w:firstLine="420" w:firstLineChars="200"/>
        <w:rPr>
          <w:szCs w:val="21"/>
        </w:rPr>
      </w:pPr>
      <w:r>
        <w:rPr>
          <w:rFonts w:hint="eastAsia"/>
          <w:szCs w:val="21"/>
        </w:rPr>
        <w:t>代理人无转委托权，特此委托。</w:t>
      </w:r>
    </w:p>
    <w:p>
      <w:pPr>
        <w:ind w:firstLine="420" w:firstLineChars="200"/>
        <w:rPr>
          <w:szCs w:val="21"/>
        </w:rPr>
      </w:pPr>
    </w:p>
    <w:p>
      <w:pPr>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pPr>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pPr>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pPr>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Pr>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rPr>
              <w:t>证件扫描件正面</w:t>
            </w:r>
          </w:p>
          <w:p>
            <w:pPr>
              <w:pStyle w:val="9"/>
              <w:spacing w:line="240" w:lineRule="auto"/>
              <w:jc w:val="center"/>
            </w:pPr>
          </w:p>
          <w:p>
            <w:pPr>
              <w:pStyle w:val="38"/>
              <w:spacing w:line="240" w:lineRule="auto"/>
              <w:jc w:val="center"/>
            </w:pPr>
          </w:p>
          <w:p>
            <w:pPr>
              <w:pStyle w:val="38"/>
              <w:spacing w:line="240" w:lineRule="auto"/>
              <w:jc w:val="center"/>
            </w:pPr>
          </w:p>
          <w:p>
            <w:pPr>
              <w:pStyle w:val="38"/>
              <w:spacing w:line="240" w:lineRule="auto"/>
              <w:jc w:val="center"/>
            </w:pPr>
          </w:p>
        </w:tc>
        <w:tc>
          <w:tcPr>
            <w:tcW w:w="4265" w:type="dxa"/>
          </w:tcPr>
          <w:p>
            <w:pPr>
              <w:jc w:val="center"/>
            </w:pPr>
            <w:r>
              <w:rPr>
                <w:rFonts w:hint="eastAsia"/>
              </w:rPr>
              <w:t>证件扫描件反面</w:t>
            </w:r>
          </w:p>
          <w:p>
            <w:pPr>
              <w:pStyle w:val="9"/>
              <w:spacing w:line="240" w:lineRule="auto"/>
              <w:jc w:val="center"/>
            </w:pPr>
          </w:p>
          <w:p>
            <w:pPr>
              <w:pStyle w:val="38"/>
              <w:spacing w:line="240" w:lineRule="auto"/>
              <w:jc w:val="center"/>
            </w:pPr>
          </w:p>
        </w:tc>
      </w:tr>
    </w:tbl>
    <w:p>
      <w:pPr>
        <w:rPr>
          <w:rFonts w:ascii="Calibri" w:hAnsi="Calibri"/>
          <w:szCs w:val="22"/>
        </w:rPr>
      </w:pPr>
      <w:r>
        <w:rPr>
          <w:rFonts w:hint="eastAsia" w:ascii="黑体" w:hAnsi="宋体" w:eastAsia="黑体" w:cs="黑体"/>
          <w:b/>
          <w:bCs/>
          <w:sz w:val="24"/>
          <w:lang w:bidi="ar"/>
        </w:rPr>
        <w:t>温馨提示</w:t>
      </w:r>
      <w:r>
        <w:rPr>
          <w:rFonts w:hint="eastAsia" w:ascii="黑体" w:hAnsi="宋体" w:eastAsia="黑体" w:cs="黑体"/>
          <w:sz w:val="24"/>
          <w:lang w:bidi="ar"/>
        </w:rPr>
        <w:t>：</w:t>
      </w:r>
      <w:r>
        <w:rPr>
          <w:rFonts w:hint="eastAsia" w:cs="宋体"/>
          <w:szCs w:val="21"/>
          <w:lang w:bidi="ar"/>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pPr>
        <w:rPr>
          <w:rFonts w:ascii="Calibri" w:hAnsi="Calibri"/>
          <w:szCs w:val="22"/>
        </w:rPr>
      </w:pPr>
    </w:p>
    <w:p>
      <w:pPr>
        <w:rPr>
          <w:rFonts w:ascii="黑体" w:eastAsia="黑体"/>
          <w:kern w:val="0"/>
          <w:sz w:val="24"/>
        </w:rPr>
      </w:pPr>
      <w:r>
        <w:rPr>
          <w:rFonts w:hint="eastAsia" w:ascii="黑体" w:eastAsia="黑体"/>
          <w:kern w:val="0"/>
          <w:sz w:val="24"/>
        </w:rPr>
        <w:br w:type="page"/>
      </w:r>
    </w:p>
    <w:bookmarkEnd w:id="61"/>
    <w:p>
      <w:pPr>
        <w:pStyle w:val="4"/>
        <w:jc w:val="center"/>
        <w:rPr>
          <w:rFonts w:ascii="黑体" w:eastAsia="黑体"/>
          <w:b w:val="0"/>
          <w:kern w:val="0"/>
          <w:sz w:val="24"/>
          <w:szCs w:val="24"/>
        </w:rPr>
      </w:pPr>
      <w:r>
        <w:rPr>
          <w:rFonts w:hint="eastAsia" w:ascii="黑体" w:eastAsia="黑体"/>
          <w:b w:val="0"/>
          <w:kern w:val="0"/>
          <w:sz w:val="24"/>
          <w:szCs w:val="24"/>
        </w:rPr>
        <w:t>四、</w:t>
      </w:r>
      <w:bookmarkStart w:id="63" w:name="_Hlk72092634"/>
      <w:r>
        <w:rPr>
          <w:rFonts w:hint="eastAsia" w:ascii="黑体" w:eastAsia="黑体"/>
          <w:b w:val="0"/>
          <w:kern w:val="0"/>
          <w:sz w:val="24"/>
          <w:szCs w:val="24"/>
        </w:rPr>
        <w:t>实质性条款响应情况表</w:t>
      </w:r>
      <w:bookmarkEnd w:id="63"/>
    </w:p>
    <w:tbl>
      <w:tblPr>
        <w:tblStyle w:val="4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64"/>
        <w:gridCol w:w="1588"/>
        <w:gridCol w:w="184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adjustRightInd w:val="0"/>
              <w:snapToGrid w:val="0"/>
              <w:spacing w:line="360" w:lineRule="auto"/>
              <w:jc w:val="center"/>
              <w:rPr>
                <w:rFonts w:ascii="宋体" w:hAnsi="宋体"/>
                <w:kern w:val="0"/>
                <w:szCs w:val="21"/>
              </w:rPr>
            </w:pPr>
            <w:bookmarkStart w:id="64" w:name="_Hlk72092651"/>
            <w:r>
              <w:rPr>
                <w:rFonts w:hint="eastAsia" w:ascii="宋体" w:hAnsi="宋体"/>
                <w:kern w:val="0"/>
                <w:szCs w:val="21"/>
              </w:rPr>
              <w:t>序号</w:t>
            </w:r>
          </w:p>
        </w:tc>
        <w:tc>
          <w:tcPr>
            <w:tcW w:w="2664"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88" w:type="dxa"/>
            <w:vAlign w:val="center"/>
          </w:tcPr>
          <w:p>
            <w:pPr>
              <w:adjustRightInd w:val="0"/>
              <w:snapToGrid w:val="0"/>
              <w:spacing w:line="360" w:lineRule="auto"/>
              <w:jc w:val="center"/>
              <w:rPr>
                <w:rFonts w:ascii="宋体" w:hAnsi="宋体"/>
                <w:kern w:val="0"/>
                <w:szCs w:val="21"/>
              </w:rPr>
            </w:pPr>
            <w:r>
              <w:rPr>
                <w:rFonts w:hint="eastAsia"/>
              </w:rPr>
              <w:t>投标响应</w:t>
            </w:r>
          </w:p>
        </w:tc>
        <w:tc>
          <w:tcPr>
            <w:tcW w:w="1842" w:type="dxa"/>
            <w:vAlign w:val="center"/>
          </w:tcPr>
          <w:p>
            <w:pPr>
              <w:adjustRightInd w:val="0"/>
              <w:snapToGrid w:val="0"/>
              <w:spacing w:line="360" w:lineRule="auto"/>
              <w:jc w:val="center"/>
              <w:rPr>
                <w:rFonts w:ascii="宋体" w:hAnsi="宋体"/>
                <w:kern w:val="0"/>
                <w:szCs w:val="21"/>
              </w:rPr>
            </w:pPr>
            <w:r>
              <w:rPr>
                <w:rFonts w:hint="eastAsia"/>
              </w:rPr>
              <w:t>偏离情况</w:t>
            </w:r>
          </w:p>
        </w:tc>
        <w:tc>
          <w:tcPr>
            <w:tcW w:w="1418" w:type="dxa"/>
            <w:vAlign w:val="center"/>
          </w:tcPr>
          <w:p>
            <w:pPr>
              <w:adjustRightInd w:val="0"/>
              <w:snapToGrid w:val="0"/>
              <w:spacing w:line="360" w:lineRule="auto"/>
              <w:jc w:val="center"/>
              <w:rPr>
                <w:rFonts w:ascii="宋体" w:hAnsi="宋体"/>
                <w:kern w:val="0"/>
                <w:szCs w:val="21"/>
              </w:rPr>
            </w:pPr>
            <w:r>
              <w:rPr>
                <w:rFonts w:hint="eastAsia"/>
              </w:rPr>
              <w:t>说明</w:t>
            </w:r>
          </w:p>
        </w:tc>
      </w:tr>
      <w:bookmarkEnd w:id="6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1</w:t>
            </w:r>
          </w:p>
        </w:tc>
        <w:tc>
          <w:tcPr>
            <w:tcW w:w="2664" w:type="dxa"/>
            <w:vAlign w:val="center"/>
          </w:tcPr>
          <w:p>
            <w:pPr>
              <w:adjustRightInd w:val="0"/>
              <w:snapToGrid w:val="0"/>
              <w:spacing w:line="360" w:lineRule="auto"/>
              <w:jc w:val="center"/>
              <w:rPr>
                <w:rFonts w:hAnsi="宋体"/>
                <w:kern w:val="0"/>
                <w:szCs w:val="21"/>
              </w:rPr>
            </w:pPr>
            <w:r>
              <w:rPr>
                <w:rFonts w:hint="eastAsia" w:hAnsi="宋体"/>
                <w:kern w:val="0"/>
                <w:szCs w:val="21"/>
              </w:rPr>
              <w:t>（填写相关内容）</w:t>
            </w:r>
          </w:p>
        </w:tc>
        <w:tc>
          <w:tcPr>
            <w:tcW w:w="1588" w:type="dxa"/>
          </w:tcPr>
          <w:p>
            <w:pPr>
              <w:adjustRightInd w:val="0"/>
              <w:snapToGrid w:val="0"/>
              <w:spacing w:line="360" w:lineRule="auto"/>
              <w:rPr>
                <w:rFonts w:ascii="宋体" w:hAnsi="宋体"/>
                <w:kern w:val="0"/>
                <w:szCs w:val="21"/>
              </w:rPr>
            </w:pPr>
          </w:p>
        </w:tc>
        <w:tc>
          <w:tcPr>
            <w:tcW w:w="1842" w:type="dxa"/>
          </w:tcPr>
          <w:p>
            <w:pPr>
              <w:adjustRightInd w:val="0"/>
              <w:snapToGrid w:val="0"/>
              <w:spacing w:line="360" w:lineRule="auto"/>
              <w:rPr>
                <w:rFonts w:ascii="宋体" w:hAnsi="宋体"/>
                <w:kern w:val="0"/>
                <w:szCs w:val="21"/>
              </w:rPr>
            </w:pPr>
          </w:p>
        </w:tc>
        <w:tc>
          <w:tcPr>
            <w:tcW w:w="1418"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2</w:t>
            </w:r>
          </w:p>
        </w:tc>
        <w:tc>
          <w:tcPr>
            <w:tcW w:w="2664" w:type="dxa"/>
            <w:vAlign w:val="center"/>
          </w:tcPr>
          <w:p>
            <w:pPr>
              <w:adjustRightInd w:val="0"/>
              <w:snapToGrid w:val="0"/>
              <w:spacing w:line="360" w:lineRule="auto"/>
              <w:jc w:val="center"/>
              <w:rPr>
                <w:rFonts w:hAnsi="宋体"/>
                <w:kern w:val="0"/>
                <w:szCs w:val="21"/>
              </w:rPr>
            </w:pPr>
            <w:r>
              <w:rPr>
                <w:rFonts w:hint="eastAsia" w:hAnsi="宋体"/>
                <w:kern w:val="0"/>
                <w:szCs w:val="21"/>
              </w:rPr>
              <w:t>（填写相关内容）</w:t>
            </w:r>
          </w:p>
        </w:tc>
        <w:tc>
          <w:tcPr>
            <w:tcW w:w="1588" w:type="dxa"/>
          </w:tcPr>
          <w:p>
            <w:pPr>
              <w:adjustRightInd w:val="0"/>
              <w:snapToGrid w:val="0"/>
              <w:spacing w:line="360" w:lineRule="auto"/>
              <w:rPr>
                <w:rFonts w:ascii="宋体" w:hAnsi="宋体"/>
                <w:kern w:val="0"/>
                <w:szCs w:val="21"/>
              </w:rPr>
            </w:pPr>
          </w:p>
        </w:tc>
        <w:tc>
          <w:tcPr>
            <w:tcW w:w="1842" w:type="dxa"/>
          </w:tcPr>
          <w:p>
            <w:pPr>
              <w:adjustRightInd w:val="0"/>
              <w:snapToGrid w:val="0"/>
              <w:spacing w:line="360" w:lineRule="auto"/>
              <w:rPr>
                <w:rFonts w:ascii="宋体" w:hAnsi="宋体"/>
                <w:kern w:val="0"/>
                <w:szCs w:val="21"/>
              </w:rPr>
            </w:pPr>
          </w:p>
        </w:tc>
        <w:tc>
          <w:tcPr>
            <w:tcW w:w="1418"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3</w:t>
            </w:r>
          </w:p>
        </w:tc>
        <w:tc>
          <w:tcPr>
            <w:tcW w:w="2664"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w:t>
            </w:r>
          </w:p>
        </w:tc>
        <w:tc>
          <w:tcPr>
            <w:tcW w:w="1588" w:type="dxa"/>
          </w:tcPr>
          <w:p>
            <w:pPr>
              <w:adjustRightInd w:val="0"/>
              <w:snapToGrid w:val="0"/>
              <w:spacing w:line="360" w:lineRule="auto"/>
              <w:rPr>
                <w:rFonts w:ascii="宋体" w:hAnsi="宋体"/>
                <w:kern w:val="0"/>
                <w:szCs w:val="21"/>
              </w:rPr>
            </w:pPr>
          </w:p>
        </w:tc>
        <w:tc>
          <w:tcPr>
            <w:tcW w:w="1842" w:type="dxa"/>
          </w:tcPr>
          <w:p>
            <w:pPr>
              <w:adjustRightInd w:val="0"/>
              <w:snapToGrid w:val="0"/>
              <w:spacing w:line="360" w:lineRule="auto"/>
              <w:rPr>
                <w:rFonts w:ascii="宋体" w:hAnsi="宋体"/>
                <w:kern w:val="0"/>
                <w:szCs w:val="21"/>
              </w:rPr>
            </w:pPr>
          </w:p>
        </w:tc>
        <w:tc>
          <w:tcPr>
            <w:tcW w:w="1418" w:type="dxa"/>
          </w:tcPr>
          <w:p>
            <w:pPr>
              <w:adjustRightInd w:val="0"/>
              <w:snapToGrid w:val="0"/>
              <w:spacing w:line="360" w:lineRule="auto"/>
              <w:rPr>
                <w:rFonts w:ascii="宋体" w:hAnsi="宋体"/>
                <w:kern w:val="0"/>
                <w:szCs w:val="21"/>
              </w:rPr>
            </w:pPr>
          </w:p>
        </w:tc>
      </w:tr>
    </w:tbl>
    <w:p>
      <w:pPr>
        <w:ind w:firstLine="482" w:firstLineChars="200"/>
        <w:rPr>
          <w:b/>
          <w:sz w:val="24"/>
          <w:szCs w:val="22"/>
        </w:rPr>
      </w:pPr>
    </w:p>
    <w:p>
      <w:pPr>
        <w:ind w:firstLine="482" w:firstLineChars="200"/>
        <w:rPr>
          <w:b/>
          <w:sz w:val="24"/>
          <w:szCs w:val="22"/>
        </w:rPr>
      </w:pPr>
      <w:r>
        <w:rPr>
          <w:rFonts w:hint="eastAsia"/>
          <w:b/>
          <w:sz w:val="24"/>
          <w:szCs w:val="22"/>
        </w:rPr>
        <w:t>注：1.上表所列各项均为不可负偏离条款。</w:t>
      </w:r>
    </w:p>
    <w:p>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pPr>
        <w:ind w:firstLine="482" w:firstLineChars="200"/>
        <w:rPr>
          <w:b/>
          <w:sz w:val="24"/>
        </w:rPr>
      </w:pPr>
      <w:r>
        <w:rPr>
          <w:b/>
          <w:sz w:val="24"/>
        </w:rPr>
        <w:t>4.</w:t>
      </w:r>
      <w:r>
        <w:rPr>
          <w:rFonts w:hint="eastAsia"/>
          <w:b/>
          <w:sz w:val="24"/>
        </w:rPr>
        <w:t>评审委员会有权对投标响应情况作出判断（作出评审结论）。</w:t>
      </w:r>
    </w:p>
    <w:p>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pPr>
        <w:ind w:firstLine="482" w:firstLineChars="200"/>
        <w:rPr>
          <w:b/>
          <w:sz w:val="24"/>
          <w:szCs w:val="22"/>
        </w:rPr>
      </w:pPr>
      <w:r>
        <w:rPr>
          <w:rFonts w:hint="eastAsia"/>
          <w:b/>
          <w:sz w:val="24"/>
          <w:szCs w:val="22"/>
        </w:rPr>
        <w:t>6.要求提供证明资料，在“说明”一栏中列明证明资料的位置,以便评审；未要求提供证明材料的，投标人可以不提供。</w:t>
      </w:r>
    </w:p>
    <w:p/>
    <w:p/>
    <w:p>
      <w:pPr>
        <w:rPr>
          <w:rFonts w:ascii="黑体" w:eastAsia="黑体"/>
          <w:sz w:val="24"/>
        </w:rPr>
      </w:pPr>
      <w:r>
        <w:rPr>
          <w:rFonts w:hint="eastAsia" w:ascii="黑体" w:eastAsia="黑体"/>
          <w:sz w:val="24"/>
        </w:rPr>
        <w:br w:type="page"/>
      </w:r>
    </w:p>
    <w:p>
      <w:pPr>
        <w:pStyle w:val="4"/>
        <w:jc w:val="center"/>
        <w:rPr>
          <w:sz w:val="24"/>
        </w:rPr>
      </w:pPr>
      <w:r>
        <w:rPr>
          <w:rFonts w:hint="eastAsia" w:ascii="黑体" w:eastAsia="黑体"/>
          <w:b w:val="0"/>
          <w:sz w:val="24"/>
          <w:szCs w:val="24"/>
        </w:rPr>
        <w:t>五、技术要求偏离表</w:t>
      </w:r>
    </w:p>
    <w:tbl>
      <w:tblPr>
        <w:tblStyle w:val="4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741"/>
        <w:gridCol w:w="5297"/>
        <w:gridCol w:w="938"/>
        <w:gridCol w:w="682"/>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5" w:type="pc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序号</w:t>
            </w:r>
          </w:p>
        </w:tc>
        <w:tc>
          <w:tcPr>
            <w:tcW w:w="440" w:type="pc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货物名称</w:t>
            </w:r>
          </w:p>
        </w:tc>
        <w:tc>
          <w:tcPr>
            <w:tcW w:w="3111" w:type="pc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招标技术要求</w:t>
            </w:r>
          </w:p>
        </w:tc>
        <w:tc>
          <w:tcPr>
            <w:tcW w:w="555" w:type="pc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投标技术响应</w:t>
            </w:r>
          </w:p>
        </w:tc>
        <w:tc>
          <w:tcPr>
            <w:tcW w:w="405" w:type="pc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偏离情况</w:t>
            </w:r>
          </w:p>
        </w:tc>
        <w:tc>
          <w:tcPr>
            <w:tcW w:w="222" w:type="pc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5" w:type="pct"/>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440" w:type="pct"/>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w:t>
            </w:r>
          </w:p>
        </w:tc>
        <w:tc>
          <w:tcPr>
            <w:tcW w:w="3111" w:type="pct"/>
          </w:tcPr>
          <w:p>
            <w:pPr>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（填写相关内容）</w:t>
            </w:r>
          </w:p>
        </w:tc>
        <w:tc>
          <w:tcPr>
            <w:tcW w:w="555" w:type="pct"/>
          </w:tcPr>
          <w:p>
            <w:pPr>
              <w:rPr>
                <w:rFonts w:ascii="宋体" w:hAnsi="宋体" w:cs="宋体"/>
                <w:color w:val="000000" w:themeColor="text1"/>
                <w:szCs w:val="21"/>
                <w14:textFill>
                  <w14:solidFill>
                    <w14:schemeClr w14:val="tx1"/>
                  </w14:solidFill>
                </w14:textFill>
              </w:rPr>
            </w:pPr>
          </w:p>
        </w:tc>
        <w:tc>
          <w:tcPr>
            <w:tcW w:w="405" w:type="pct"/>
          </w:tcPr>
          <w:p>
            <w:pPr>
              <w:rPr>
                <w:rFonts w:ascii="宋体" w:hAnsi="宋体" w:cs="宋体"/>
                <w:color w:val="000000" w:themeColor="text1"/>
                <w:szCs w:val="21"/>
                <w14:textFill>
                  <w14:solidFill>
                    <w14:schemeClr w14:val="tx1"/>
                  </w14:solidFill>
                </w14:textFill>
              </w:rPr>
            </w:pPr>
          </w:p>
        </w:tc>
        <w:tc>
          <w:tcPr>
            <w:tcW w:w="222" w:type="pct"/>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5" w:type="pct"/>
            <w:vMerge w:val="continue"/>
            <w:vAlign w:val="center"/>
          </w:tcPr>
          <w:p>
            <w:pPr>
              <w:jc w:val="center"/>
              <w:rPr>
                <w:rFonts w:ascii="宋体" w:hAnsi="宋体" w:cs="宋体"/>
                <w:color w:val="000000" w:themeColor="text1"/>
                <w:szCs w:val="21"/>
                <w14:textFill>
                  <w14:solidFill>
                    <w14:schemeClr w14:val="tx1"/>
                  </w14:solidFill>
                </w14:textFill>
              </w:rPr>
            </w:pPr>
          </w:p>
        </w:tc>
        <w:tc>
          <w:tcPr>
            <w:tcW w:w="440" w:type="pct"/>
            <w:vMerge w:val="continue"/>
            <w:vAlign w:val="center"/>
          </w:tcPr>
          <w:p>
            <w:pPr>
              <w:jc w:val="center"/>
              <w:rPr>
                <w:rFonts w:ascii="宋体" w:hAnsi="宋体" w:cs="宋体"/>
                <w:color w:val="000000" w:themeColor="text1"/>
                <w:szCs w:val="21"/>
                <w14:textFill>
                  <w14:solidFill>
                    <w14:schemeClr w14:val="tx1"/>
                  </w14:solidFill>
                </w14:textFill>
              </w:rPr>
            </w:pPr>
          </w:p>
        </w:tc>
        <w:tc>
          <w:tcPr>
            <w:tcW w:w="3111" w:type="pct"/>
          </w:tcPr>
          <w:p>
            <w:pPr>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（填写相关内容）</w:t>
            </w:r>
          </w:p>
        </w:tc>
        <w:tc>
          <w:tcPr>
            <w:tcW w:w="555" w:type="pct"/>
          </w:tcPr>
          <w:p>
            <w:pPr>
              <w:rPr>
                <w:rFonts w:ascii="宋体" w:hAnsi="宋体" w:cs="宋体"/>
                <w:color w:val="000000" w:themeColor="text1"/>
                <w:szCs w:val="21"/>
                <w14:textFill>
                  <w14:solidFill>
                    <w14:schemeClr w14:val="tx1"/>
                  </w14:solidFill>
                </w14:textFill>
              </w:rPr>
            </w:pPr>
          </w:p>
        </w:tc>
        <w:tc>
          <w:tcPr>
            <w:tcW w:w="405" w:type="pct"/>
          </w:tcPr>
          <w:p>
            <w:pPr>
              <w:rPr>
                <w:rFonts w:ascii="宋体" w:hAnsi="宋体" w:cs="宋体"/>
                <w:color w:val="000000" w:themeColor="text1"/>
                <w:szCs w:val="21"/>
                <w14:textFill>
                  <w14:solidFill>
                    <w14:schemeClr w14:val="tx1"/>
                  </w14:solidFill>
                </w14:textFill>
              </w:rPr>
            </w:pPr>
          </w:p>
        </w:tc>
        <w:tc>
          <w:tcPr>
            <w:tcW w:w="222" w:type="pct"/>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5" w:type="pct"/>
            <w:vMerge w:val="continue"/>
            <w:vAlign w:val="center"/>
          </w:tcPr>
          <w:p>
            <w:pPr>
              <w:jc w:val="center"/>
              <w:rPr>
                <w:rFonts w:ascii="宋体" w:hAnsi="宋体" w:cs="宋体"/>
                <w:color w:val="000000" w:themeColor="text1"/>
                <w:szCs w:val="21"/>
                <w14:textFill>
                  <w14:solidFill>
                    <w14:schemeClr w14:val="tx1"/>
                  </w14:solidFill>
                </w14:textFill>
              </w:rPr>
            </w:pPr>
          </w:p>
        </w:tc>
        <w:tc>
          <w:tcPr>
            <w:tcW w:w="440" w:type="pct"/>
            <w:vMerge w:val="continue"/>
            <w:vAlign w:val="center"/>
          </w:tcPr>
          <w:p>
            <w:pPr>
              <w:jc w:val="center"/>
              <w:rPr>
                <w:rFonts w:ascii="宋体" w:hAnsi="宋体" w:cs="宋体"/>
                <w:color w:val="000000" w:themeColor="text1"/>
                <w:szCs w:val="21"/>
                <w14:textFill>
                  <w14:solidFill>
                    <w14:schemeClr w14:val="tx1"/>
                  </w14:solidFill>
                </w14:textFill>
              </w:rPr>
            </w:pPr>
          </w:p>
        </w:tc>
        <w:tc>
          <w:tcPr>
            <w:tcW w:w="3111" w:type="pct"/>
          </w:tcPr>
          <w:p>
            <w:pPr>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（填写相关内容）</w:t>
            </w:r>
          </w:p>
        </w:tc>
        <w:tc>
          <w:tcPr>
            <w:tcW w:w="555" w:type="pct"/>
          </w:tcPr>
          <w:p>
            <w:pPr>
              <w:rPr>
                <w:rFonts w:ascii="宋体" w:hAnsi="宋体" w:cs="宋体"/>
                <w:color w:val="000000" w:themeColor="text1"/>
                <w:szCs w:val="21"/>
                <w14:textFill>
                  <w14:solidFill>
                    <w14:schemeClr w14:val="tx1"/>
                  </w14:solidFill>
                </w14:textFill>
              </w:rPr>
            </w:pPr>
          </w:p>
        </w:tc>
        <w:tc>
          <w:tcPr>
            <w:tcW w:w="405" w:type="pct"/>
          </w:tcPr>
          <w:p>
            <w:pPr>
              <w:rPr>
                <w:rFonts w:ascii="宋体" w:hAnsi="宋体" w:cs="宋体"/>
                <w:color w:val="000000" w:themeColor="text1"/>
                <w:szCs w:val="21"/>
                <w14:textFill>
                  <w14:solidFill>
                    <w14:schemeClr w14:val="tx1"/>
                  </w14:solidFill>
                </w14:textFill>
              </w:rPr>
            </w:pPr>
          </w:p>
        </w:tc>
        <w:tc>
          <w:tcPr>
            <w:tcW w:w="222" w:type="pct"/>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5" w:type="pct"/>
            <w:vMerge w:val="continue"/>
            <w:vAlign w:val="center"/>
          </w:tcPr>
          <w:p>
            <w:pPr>
              <w:jc w:val="center"/>
              <w:rPr>
                <w:rFonts w:ascii="宋体" w:hAnsi="宋体" w:cs="宋体"/>
                <w:color w:val="000000" w:themeColor="text1"/>
                <w:szCs w:val="21"/>
                <w14:textFill>
                  <w14:solidFill>
                    <w14:schemeClr w14:val="tx1"/>
                  </w14:solidFill>
                </w14:textFill>
              </w:rPr>
            </w:pPr>
          </w:p>
        </w:tc>
        <w:tc>
          <w:tcPr>
            <w:tcW w:w="440" w:type="pct"/>
            <w:vMerge w:val="continue"/>
            <w:vAlign w:val="center"/>
          </w:tcPr>
          <w:p>
            <w:pPr>
              <w:jc w:val="center"/>
              <w:rPr>
                <w:rFonts w:ascii="宋体" w:hAnsi="宋体" w:cs="宋体"/>
                <w:color w:val="000000" w:themeColor="text1"/>
                <w:szCs w:val="21"/>
                <w14:textFill>
                  <w14:solidFill>
                    <w14:schemeClr w14:val="tx1"/>
                  </w14:solidFill>
                </w14:textFill>
              </w:rPr>
            </w:pPr>
          </w:p>
        </w:tc>
        <w:tc>
          <w:tcPr>
            <w:tcW w:w="3111" w:type="pct"/>
          </w:tcPr>
          <w:p>
            <w:pPr>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（填写相关内容）</w:t>
            </w:r>
          </w:p>
        </w:tc>
        <w:tc>
          <w:tcPr>
            <w:tcW w:w="555" w:type="pct"/>
          </w:tcPr>
          <w:p>
            <w:pPr>
              <w:rPr>
                <w:rFonts w:ascii="宋体" w:hAnsi="宋体" w:cs="宋体"/>
                <w:color w:val="000000" w:themeColor="text1"/>
                <w:szCs w:val="21"/>
                <w14:textFill>
                  <w14:solidFill>
                    <w14:schemeClr w14:val="tx1"/>
                  </w14:solidFill>
                </w14:textFill>
              </w:rPr>
            </w:pPr>
          </w:p>
        </w:tc>
        <w:tc>
          <w:tcPr>
            <w:tcW w:w="405" w:type="pct"/>
          </w:tcPr>
          <w:p>
            <w:pPr>
              <w:rPr>
                <w:rFonts w:ascii="宋体" w:hAnsi="宋体" w:cs="宋体"/>
                <w:color w:val="000000" w:themeColor="text1"/>
                <w:szCs w:val="21"/>
                <w14:textFill>
                  <w14:solidFill>
                    <w14:schemeClr w14:val="tx1"/>
                  </w14:solidFill>
                </w14:textFill>
              </w:rPr>
            </w:pPr>
          </w:p>
        </w:tc>
        <w:tc>
          <w:tcPr>
            <w:tcW w:w="222" w:type="pct"/>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265" w:type="pct"/>
            <w:vMerge w:val="continue"/>
            <w:vAlign w:val="center"/>
          </w:tcPr>
          <w:p>
            <w:pPr>
              <w:jc w:val="center"/>
              <w:rPr>
                <w:rFonts w:ascii="宋体" w:hAnsi="宋体" w:cs="宋体"/>
                <w:color w:val="000000" w:themeColor="text1"/>
                <w:szCs w:val="21"/>
                <w14:textFill>
                  <w14:solidFill>
                    <w14:schemeClr w14:val="tx1"/>
                  </w14:solidFill>
                </w14:textFill>
              </w:rPr>
            </w:pPr>
          </w:p>
        </w:tc>
        <w:tc>
          <w:tcPr>
            <w:tcW w:w="440" w:type="pct"/>
            <w:vMerge w:val="continue"/>
            <w:vAlign w:val="center"/>
          </w:tcPr>
          <w:p>
            <w:pPr>
              <w:jc w:val="center"/>
              <w:rPr>
                <w:rFonts w:ascii="宋体" w:hAnsi="宋体" w:cs="宋体"/>
                <w:color w:val="000000" w:themeColor="text1"/>
                <w:szCs w:val="21"/>
                <w14:textFill>
                  <w14:solidFill>
                    <w14:schemeClr w14:val="tx1"/>
                  </w14:solidFill>
                </w14:textFill>
              </w:rPr>
            </w:pPr>
          </w:p>
        </w:tc>
        <w:tc>
          <w:tcPr>
            <w:tcW w:w="3111" w:type="pct"/>
          </w:tcPr>
          <w:p>
            <w:pPr>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（填写相关内容）</w:t>
            </w:r>
          </w:p>
        </w:tc>
        <w:tc>
          <w:tcPr>
            <w:tcW w:w="555" w:type="pct"/>
          </w:tcPr>
          <w:p>
            <w:pPr>
              <w:rPr>
                <w:rStyle w:val="48"/>
                <w:rFonts w:ascii="宋体" w:hAnsi="宋体" w:cs="宋体"/>
                <w:b w:val="0"/>
                <w:bCs w:val="0"/>
                <w:color w:val="000000" w:themeColor="text1"/>
                <w:szCs w:val="21"/>
                <w14:textFill>
                  <w14:solidFill>
                    <w14:schemeClr w14:val="tx1"/>
                  </w14:solidFill>
                </w14:textFill>
              </w:rPr>
            </w:pPr>
          </w:p>
        </w:tc>
        <w:tc>
          <w:tcPr>
            <w:tcW w:w="405" w:type="pct"/>
          </w:tcPr>
          <w:p>
            <w:pPr>
              <w:rPr>
                <w:rStyle w:val="48"/>
                <w:rFonts w:ascii="宋体" w:hAnsi="宋体" w:cs="宋体"/>
                <w:b w:val="0"/>
                <w:bCs w:val="0"/>
                <w:color w:val="000000" w:themeColor="text1"/>
                <w:szCs w:val="21"/>
                <w14:textFill>
                  <w14:solidFill>
                    <w14:schemeClr w14:val="tx1"/>
                  </w14:solidFill>
                </w14:textFill>
              </w:rPr>
            </w:pPr>
          </w:p>
        </w:tc>
        <w:tc>
          <w:tcPr>
            <w:tcW w:w="222" w:type="pct"/>
          </w:tcPr>
          <w:p>
            <w:pPr>
              <w:rPr>
                <w:rStyle w:val="48"/>
                <w:rFonts w:ascii="宋体" w:hAnsi="宋体" w:cs="宋体"/>
                <w:b w:val="0"/>
                <w:bCs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5" w:type="pct"/>
            <w:vMerge w:val="continue"/>
            <w:vAlign w:val="center"/>
          </w:tcPr>
          <w:p>
            <w:pPr>
              <w:jc w:val="center"/>
              <w:rPr>
                <w:rFonts w:ascii="宋体" w:hAnsi="宋体" w:cs="宋体"/>
                <w:color w:val="000000" w:themeColor="text1"/>
                <w:szCs w:val="21"/>
                <w14:textFill>
                  <w14:solidFill>
                    <w14:schemeClr w14:val="tx1"/>
                  </w14:solidFill>
                </w14:textFill>
              </w:rPr>
            </w:pPr>
          </w:p>
        </w:tc>
        <w:tc>
          <w:tcPr>
            <w:tcW w:w="440" w:type="pct"/>
            <w:vMerge w:val="continue"/>
            <w:vAlign w:val="center"/>
          </w:tcPr>
          <w:p>
            <w:pPr>
              <w:jc w:val="center"/>
              <w:rPr>
                <w:rFonts w:ascii="宋体" w:hAnsi="宋体" w:cs="宋体"/>
                <w:color w:val="000000" w:themeColor="text1"/>
                <w:szCs w:val="21"/>
                <w14:textFill>
                  <w14:solidFill>
                    <w14:schemeClr w14:val="tx1"/>
                  </w14:solidFill>
                </w14:textFill>
              </w:rPr>
            </w:pPr>
          </w:p>
        </w:tc>
        <w:tc>
          <w:tcPr>
            <w:tcW w:w="3111" w:type="pct"/>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555" w:type="pct"/>
          </w:tcPr>
          <w:p>
            <w:pPr>
              <w:rPr>
                <w:rFonts w:ascii="宋体" w:hAnsi="宋体" w:cs="宋体"/>
                <w:color w:val="000000" w:themeColor="text1"/>
                <w:szCs w:val="21"/>
                <w14:textFill>
                  <w14:solidFill>
                    <w14:schemeClr w14:val="tx1"/>
                  </w14:solidFill>
                </w14:textFill>
              </w:rPr>
            </w:pPr>
          </w:p>
        </w:tc>
        <w:tc>
          <w:tcPr>
            <w:tcW w:w="405" w:type="pct"/>
          </w:tcPr>
          <w:p>
            <w:pPr>
              <w:rPr>
                <w:rFonts w:ascii="宋体" w:hAnsi="宋体" w:cs="宋体"/>
                <w:color w:val="000000" w:themeColor="text1"/>
                <w:szCs w:val="21"/>
                <w14:textFill>
                  <w14:solidFill>
                    <w14:schemeClr w14:val="tx1"/>
                  </w14:solidFill>
                </w14:textFill>
              </w:rPr>
            </w:pPr>
          </w:p>
        </w:tc>
        <w:tc>
          <w:tcPr>
            <w:tcW w:w="222" w:type="pct"/>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5" w:type="pct"/>
            <w:vMerge w:val="continue"/>
            <w:vAlign w:val="center"/>
          </w:tcPr>
          <w:p>
            <w:pPr>
              <w:jc w:val="center"/>
              <w:rPr>
                <w:rFonts w:ascii="宋体" w:hAnsi="宋体" w:cs="宋体"/>
                <w:color w:val="000000" w:themeColor="text1"/>
                <w:szCs w:val="21"/>
                <w14:textFill>
                  <w14:solidFill>
                    <w14:schemeClr w14:val="tx1"/>
                  </w14:solidFill>
                </w14:textFill>
              </w:rPr>
            </w:pPr>
          </w:p>
        </w:tc>
        <w:tc>
          <w:tcPr>
            <w:tcW w:w="440" w:type="pct"/>
            <w:vMerge w:val="continue"/>
            <w:vAlign w:val="center"/>
          </w:tcPr>
          <w:p>
            <w:pPr>
              <w:jc w:val="center"/>
              <w:rPr>
                <w:rFonts w:ascii="宋体" w:hAnsi="宋体" w:cs="宋体"/>
                <w:color w:val="000000" w:themeColor="text1"/>
                <w:szCs w:val="21"/>
                <w14:textFill>
                  <w14:solidFill>
                    <w14:schemeClr w14:val="tx1"/>
                  </w14:solidFill>
                </w14:textFill>
              </w:rPr>
            </w:pPr>
          </w:p>
        </w:tc>
        <w:tc>
          <w:tcPr>
            <w:tcW w:w="3111" w:type="pct"/>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555" w:type="pct"/>
          </w:tcPr>
          <w:p>
            <w:pPr>
              <w:rPr>
                <w:rFonts w:ascii="宋体" w:hAnsi="宋体" w:cs="宋体"/>
                <w:b/>
                <w:bCs/>
                <w:color w:val="FF0000"/>
                <w:szCs w:val="21"/>
              </w:rPr>
            </w:pPr>
          </w:p>
        </w:tc>
        <w:tc>
          <w:tcPr>
            <w:tcW w:w="405" w:type="pct"/>
          </w:tcPr>
          <w:p>
            <w:pPr>
              <w:rPr>
                <w:rFonts w:ascii="宋体" w:hAnsi="宋体" w:cs="宋体"/>
                <w:b/>
                <w:bCs/>
                <w:color w:val="FF0000"/>
                <w:szCs w:val="21"/>
              </w:rPr>
            </w:pPr>
          </w:p>
        </w:tc>
        <w:tc>
          <w:tcPr>
            <w:tcW w:w="222" w:type="pct"/>
          </w:tcPr>
          <w:p>
            <w:pPr>
              <w:rPr>
                <w:rFonts w:ascii="宋体" w:hAnsi="宋体" w:cs="宋体"/>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5" w:type="pct"/>
            <w:vMerge w:val="continue"/>
            <w:vAlign w:val="center"/>
          </w:tcPr>
          <w:p>
            <w:pPr>
              <w:jc w:val="center"/>
              <w:rPr>
                <w:rFonts w:ascii="宋体" w:hAnsi="宋体" w:cs="宋体"/>
                <w:color w:val="000000" w:themeColor="text1"/>
                <w:szCs w:val="21"/>
                <w14:textFill>
                  <w14:solidFill>
                    <w14:schemeClr w14:val="tx1"/>
                  </w14:solidFill>
                </w14:textFill>
              </w:rPr>
            </w:pPr>
          </w:p>
        </w:tc>
        <w:tc>
          <w:tcPr>
            <w:tcW w:w="440" w:type="pct"/>
            <w:vMerge w:val="continue"/>
            <w:vAlign w:val="center"/>
          </w:tcPr>
          <w:p>
            <w:pPr>
              <w:jc w:val="center"/>
              <w:rPr>
                <w:rFonts w:ascii="宋体" w:hAnsi="宋体" w:cs="宋体"/>
                <w:color w:val="000000" w:themeColor="text1"/>
                <w:szCs w:val="21"/>
                <w14:textFill>
                  <w14:solidFill>
                    <w14:schemeClr w14:val="tx1"/>
                  </w14:solidFill>
                </w14:textFill>
              </w:rPr>
            </w:pPr>
          </w:p>
        </w:tc>
        <w:tc>
          <w:tcPr>
            <w:tcW w:w="3111" w:type="pct"/>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555" w:type="pct"/>
          </w:tcPr>
          <w:p>
            <w:pPr>
              <w:rPr>
                <w:rFonts w:ascii="宋体" w:hAnsi="宋体" w:cs="宋体"/>
                <w:color w:val="000000" w:themeColor="text1"/>
                <w:szCs w:val="21"/>
                <w14:textFill>
                  <w14:solidFill>
                    <w14:schemeClr w14:val="tx1"/>
                  </w14:solidFill>
                </w14:textFill>
              </w:rPr>
            </w:pPr>
          </w:p>
        </w:tc>
        <w:tc>
          <w:tcPr>
            <w:tcW w:w="405" w:type="pct"/>
          </w:tcPr>
          <w:p>
            <w:pPr>
              <w:rPr>
                <w:rFonts w:ascii="宋体" w:hAnsi="宋体" w:cs="宋体"/>
                <w:color w:val="000000" w:themeColor="text1"/>
                <w:szCs w:val="21"/>
                <w14:textFill>
                  <w14:solidFill>
                    <w14:schemeClr w14:val="tx1"/>
                  </w14:solidFill>
                </w14:textFill>
              </w:rPr>
            </w:pPr>
          </w:p>
        </w:tc>
        <w:tc>
          <w:tcPr>
            <w:tcW w:w="222" w:type="pct"/>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65" w:type="pct"/>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440" w:type="pct"/>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w:t>
            </w:r>
          </w:p>
        </w:tc>
        <w:tc>
          <w:tcPr>
            <w:tcW w:w="3111" w:type="pct"/>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szCs w:val="21"/>
              </w:rPr>
              <w:t>（填写相关内容）</w:t>
            </w:r>
          </w:p>
        </w:tc>
        <w:tc>
          <w:tcPr>
            <w:tcW w:w="555" w:type="pct"/>
          </w:tcPr>
          <w:p>
            <w:pPr>
              <w:rPr>
                <w:rFonts w:ascii="宋体" w:hAnsi="宋体" w:cs="宋体"/>
                <w:b/>
                <w:bCs/>
                <w:color w:val="FF0000"/>
                <w:szCs w:val="21"/>
              </w:rPr>
            </w:pPr>
          </w:p>
        </w:tc>
        <w:tc>
          <w:tcPr>
            <w:tcW w:w="405" w:type="pct"/>
          </w:tcPr>
          <w:p>
            <w:pPr>
              <w:rPr>
                <w:rFonts w:ascii="宋体" w:hAnsi="宋体" w:cs="宋体"/>
                <w:b/>
                <w:bCs/>
                <w:color w:val="FF0000"/>
                <w:szCs w:val="21"/>
              </w:rPr>
            </w:pPr>
          </w:p>
        </w:tc>
        <w:tc>
          <w:tcPr>
            <w:tcW w:w="222" w:type="pct"/>
          </w:tcPr>
          <w:p>
            <w:pPr>
              <w:rPr>
                <w:rFonts w:ascii="宋体" w:hAnsi="宋体" w:cs="宋体"/>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5" w:type="pct"/>
            <w:vMerge w:val="continue"/>
          </w:tcPr>
          <w:p>
            <w:pPr>
              <w:jc w:val="center"/>
              <w:rPr>
                <w:rFonts w:ascii="宋体" w:hAnsi="宋体" w:cs="宋体"/>
                <w:color w:val="000000" w:themeColor="text1"/>
                <w:szCs w:val="21"/>
                <w14:textFill>
                  <w14:solidFill>
                    <w14:schemeClr w14:val="tx1"/>
                  </w14:solidFill>
                </w14:textFill>
              </w:rPr>
            </w:pPr>
          </w:p>
        </w:tc>
        <w:tc>
          <w:tcPr>
            <w:tcW w:w="440" w:type="pct"/>
            <w:vMerge w:val="continue"/>
          </w:tcPr>
          <w:p>
            <w:pPr>
              <w:rPr>
                <w:rFonts w:ascii="宋体" w:hAnsi="宋体" w:cs="宋体"/>
                <w:color w:val="000000" w:themeColor="text1"/>
                <w:szCs w:val="21"/>
                <w14:textFill>
                  <w14:solidFill>
                    <w14:schemeClr w14:val="tx1"/>
                  </w14:solidFill>
                </w14:textFill>
              </w:rPr>
            </w:pPr>
          </w:p>
        </w:tc>
        <w:tc>
          <w:tcPr>
            <w:tcW w:w="3111" w:type="pct"/>
          </w:tcPr>
          <w:p>
            <w:pPr>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（填写相关内容）</w:t>
            </w:r>
          </w:p>
        </w:tc>
        <w:tc>
          <w:tcPr>
            <w:tcW w:w="555" w:type="pct"/>
          </w:tcPr>
          <w:p>
            <w:pPr>
              <w:rPr>
                <w:rFonts w:ascii="宋体" w:hAnsi="宋体" w:cs="宋体"/>
                <w:color w:val="000000" w:themeColor="text1"/>
                <w:szCs w:val="21"/>
                <w14:textFill>
                  <w14:solidFill>
                    <w14:schemeClr w14:val="tx1"/>
                  </w14:solidFill>
                </w14:textFill>
              </w:rPr>
            </w:pPr>
          </w:p>
        </w:tc>
        <w:tc>
          <w:tcPr>
            <w:tcW w:w="405" w:type="pct"/>
          </w:tcPr>
          <w:p>
            <w:pPr>
              <w:rPr>
                <w:rFonts w:ascii="宋体" w:hAnsi="宋体" w:cs="宋体"/>
                <w:color w:val="000000" w:themeColor="text1"/>
                <w:szCs w:val="21"/>
                <w14:textFill>
                  <w14:solidFill>
                    <w14:schemeClr w14:val="tx1"/>
                  </w14:solidFill>
                </w14:textFill>
              </w:rPr>
            </w:pPr>
          </w:p>
        </w:tc>
        <w:tc>
          <w:tcPr>
            <w:tcW w:w="222" w:type="pct"/>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65" w:type="pct"/>
            <w:vMerge w:val="continue"/>
          </w:tcPr>
          <w:p>
            <w:pPr>
              <w:jc w:val="center"/>
              <w:rPr>
                <w:rFonts w:ascii="宋体" w:hAnsi="宋体" w:cs="宋体"/>
                <w:color w:val="000000" w:themeColor="text1"/>
                <w:szCs w:val="21"/>
                <w14:textFill>
                  <w14:solidFill>
                    <w14:schemeClr w14:val="tx1"/>
                  </w14:solidFill>
                </w14:textFill>
              </w:rPr>
            </w:pPr>
          </w:p>
        </w:tc>
        <w:tc>
          <w:tcPr>
            <w:tcW w:w="440" w:type="pct"/>
            <w:vMerge w:val="continue"/>
          </w:tcPr>
          <w:p>
            <w:pPr>
              <w:rPr>
                <w:rFonts w:ascii="宋体" w:hAnsi="宋体" w:cs="宋体"/>
                <w:color w:val="000000" w:themeColor="text1"/>
                <w:szCs w:val="21"/>
                <w14:textFill>
                  <w14:solidFill>
                    <w14:schemeClr w14:val="tx1"/>
                  </w14:solidFill>
                </w14:textFill>
              </w:rPr>
            </w:pPr>
          </w:p>
        </w:tc>
        <w:tc>
          <w:tcPr>
            <w:tcW w:w="3111" w:type="pct"/>
          </w:tcPr>
          <w:p>
            <w:pPr>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（填写相关内容）</w:t>
            </w:r>
          </w:p>
        </w:tc>
        <w:tc>
          <w:tcPr>
            <w:tcW w:w="555" w:type="pct"/>
          </w:tcPr>
          <w:p>
            <w:pPr>
              <w:rPr>
                <w:rFonts w:ascii="宋体" w:hAnsi="宋体" w:cs="宋体"/>
                <w:color w:val="000000" w:themeColor="text1"/>
                <w:szCs w:val="21"/>
                <w14:textFill>
                  <w14:solidFill>
                    <w14:schemeClr w14:val="tx1"/>
                  </w14:solidFill>
                </w14:textFill>
              </w:rPr>
            </w:pPr>
          </w:p>
        </w:tc>
        <w:tc>
          <w:tcPr>
            <w:tcW w:w="405" w:type="pct"/>
          </w:tcPr>
          <w:p>
            <w:pPr>
              <w:rPr>
                <w:rFonts w:ascii="宋体" w:hAnsi="宋体" w:cs="宋体"/>
                <w:color w:val="000000" w:themeColor="text1"/>
                <w:szCs w:val="21"/>
                <w14:textFill>
                  <w14:solidFill>
                    <w14:schemeClr w14:val="tx1"/>
                  </w14:solidFill>
                </w14:textFill>
              </w:rPr>
            </w:pPr>
          </w:p>
        </w:tc>
        <w:tc>
          <w:tcPr>
            <w:tcW w:w="222" w:type="pct"/>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65" w:type="pct"/>
            <w:vMerge w:val="continue"/>
          </w:tcPr>
          <w:p>
            <w:pPr>
              <w:jc w:val="center"/>
              <w:rPr>
                <w:rFonts w:ascii="宋体" w:hAnsi="宋体" w:cs="宋体"/>
                <w:color w:val="000000" w:themeColor="text1"/>
                <w:szCs w:val="21"/>
                <w14:textFill>
                  <w14:solidFill>
                    <w14:schemeClr w14:val="tx1"/>
                  </w14:solidFill>
                </w14:textFill>
              </w:rPr>
            </w:pPr>
          </w:p>
        </w:tc>
        <w:tc>
          <w:tcPr>
            <w:tcW w:w="440" w:type="pct"/>
            <w:vMerge w:val="continue"/>
          </w:tcPr>
          <w:p>
            <w:pPr>
              <w:rPr>
                <w:rFonts w:ascii="宋体" w:hAnsi="宋体" w:cs="宋体"/>
                <w:color w:val="000000" w:themeColor="text1"/>
                <w:szCs w:val="21"/>
                <w14:textFill>
                  <w14:solidFill>
                    <w14:schemeClr w14:val="tx1"/>
                  </w14:solidFill>
                </w14:textFill>
              </w:rPr>
            </w:pPr>
          </w:p>
        </w:tc>
        <w:tc>
          <w:tcPr>
            <w:tcW w:w="3111" w:type="pct"/>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555" w:type="pct"/>
          </w:tcPr>
          <w:p>
            <w:pPr>
              <w:rPr>
                <w:rFonts w:ascii="宋体" w:hAnsi="宋体" w:cs="宋体"/>
                <w:color w:val="000000" w:themeColor="text1"/>
                <w:szCs w:val="21"/>
                <w14:textFill>
                  <w14:solidFill>
                    <w14:schemeClr w14:val="tx1"/>
                  </w14:solidFill>
                </w14:textFill>
              </w:rPr>
            </w:pPr>
          </w:p>
        </w:tc>
        <w:tc>
          <w:tcPr>
            <w:tcW w:w="405" w:type="pct"/>
          </w:tcPr>
          <w:p>
            <w:pPr>
              <w:rPr>
                <w:rFonts w:ascii="宋体" w:hAnsi="宋体" w:cs="宋体"/>
                <w:color w:val="000000" w:themeColor="text1"/>
                <w:szCs w:val="21"/>
                <w14:textFill>
                  <w14:solidFill>
                    <w14:schemeClr w14:val="tx1"/>
                  </w14:solidFill>
                </w14:textFill>
              </w:rPr>
            </w:pPr>
          </w:p>
        </w:tc>
        <w:tc>
          <w:tcPr>
            <w:tcW w:w="222" w:type="pct"/>
          </w:tcPr>
          <w:p>
            <w:pPr>
              <w:rPr>
                <w:rFonts w:ascii="宋体" w:hAnsi="宋体" w:cs="宋体"/>
                <w:color w:val="000000" w:themeColor="text1"/>
                <w:szCs w:val="21"/>
                <w14:textFill>
                  <w14:solidFill>
                    <w14:schemeClr w14:val="tx1"/>
                  </w14:solidFill>
                </w14:textFill>
              </w:rPr>
            </w:pPr>
          </w:p>
        </w:tc>
      </w:tr>
    </w:tbl>
    <w:p>
      <w:pPr>
        <w:rPr>
          <w:sz w:val="24"/>
        </w:rPr>
      </w:pPr>
    </w:p>
    <w:p>
      <w:pPr>
        <w:rPr>
          <w:szCs w:val="21"/>
        </w:rPr>
      </w:pPr>
      <w:bookmarkStart w:id="65" w:name="_Hlk72095977"/>
      <w:r>
        <w:rPr>
          <w:rFonts w:hint="eastAsia"/>
          <w:szCs w:val="21"/>
        </w:rPr>
        <w:t>证明资料【如有的话，提供的证明资料应统一编号（排序），格式自定】</w:t>
      </w:r>
      <w:bookmarkEnd w:id="65"/>
      <w:r>
        <w:rPr>
          <w:rFonts w:hint="eastAsia"/>
          <w:szCs w:val="21"/>
        </w:rPr>
        <w:t>：</w:t>
      </w:r>
    </w:p>
    <w:p>
      <w:pPr>
        <w:ind w:firstLine="422" w:firstLineChars="200"/>
        <w:rPr>
          <w:b/>
          <w:szCs w:val="21"/>
        </w:rPr>
      </w:pPr>
    </w:p>
    <w:p>
      <w:pPr>
        <w:ind w:firstLine="422" w:firstLineChars="200"/>
        <w:rPr>
          <w:b/>
          <w:szCs w:val="21"/>
        </w:rPr>
      </w:pPr>
    </w:p>
    <w:p>
      <w:pPr>
        <w:ind w:firstLine="420" w:firstLineChars="200"/>
        <w:rPr>
          <w:bCs/>
          <w:szCs w:val="21"/>
        </w:rPr>
      </w:pPr>
      <w:r>
        <w:rPr>
          <w:rFonts w:hint="eastAsia"/>
          <w:bCs/>
          <w:szCs w:val="21"/>
        </w:rPr>
        <w:t>《技术要求偏离表》编制指引：</w:t>
      </w:r>
    </w:p>
    <w:p>
      <w:pPr>
        <w:ind w:firstLine="420" w:firstLineChars="200"/>
        <w:rPr>
          <w:bCs/>
          <w:szCs w:val="21"/>
        </w:rPr>
      </w:pPr>
      <w:r>
        <w:rPr>
          <w:rFonts w:hint="eastAsia"/>
          <w:bCs/>
          <w:szCs w:val="21"/>
        </w:rPr>
        <w:t>1、技术要求偏离表的序号、货物名称、招标技术要求等栏目</w:t>
      </w:r>
      <w:bookmarkStart w:id="66" w:name="_Hlk72094407"/>
      <w:r>
        <w:rPr>
          <w:rFonts w:hint="eastAsia"/>
          <w:bCs/>
          <w:szCs w:val="21"/>
        </w:rPr>
        <w:t>对应“用户需求书”中的“技术要求”章节</w:t>
      </w:r>
      <w:bookmarkEnd w:id="66"/>
      <w:r>
        <w:rPr>
          <w:rFonts w:hint="eastAsia"/>
          <w:bCs/>
          <w:szCs w:val="21"/>
        </w:rPr>
        <w:t>相关内容。</w:t>
      </w:r>
    </w:p>
    <w:p>
      <w:pPr>
        <w:pStyle w:val="40"/>
        <w:widowControl/>
        <w:spacing w:beforeAutospacing="0" w:afterAutospacing="0"/>
        <w:ind w:firstLine="420" w:firstLineChars="200"/>
        <w:jc w:val="both"/>
        <w:outlineLvl w:val="1"/>
        <w:rPr>
          <w:bCs/>
          <w:color w:val="FF0000"/>
          <w:kern w:val="2"/>
          <w:sz w:val="21"/>
          <w:szCs w:val="21"/>
        </w:rPr>
      </w:pPr>
      <w:r>
        <w:rPr>
          <w:bCs/>
          <w:sz w:val="21"/>
          <w:szCs w:val="21"/>
        </w:rPr>
        <w:t>2</w:t>
      </w:r>
      <w:r>
        <w:rPr>
          <w:rFonts w:hint="eastAsia"/>
          <w:bCs/>
          <w:sz w:val="21"/>
          <w:szCs w:val="21"/>
        </w:rPr>
        <w:t>、“投标技术响应”一栏必须一一对照“招标技术要求”，详细填写投标人自身投标货物的具体参数，而不能不合理照搬照抄招标文件的技术要求，以体现具体响应情况。</w:t>
      </w:r>
      <w:r>
        <w:rPr>
          <w:rFonts w:hint="eastAsia"/>
          <w:bCs/>
          <w:color w:val="FF0000"/>
          <w:kern w:val="2"/>
          <w:sz w:val="21"/>
          <w:szCs w:val="21"/>
        </w:rPr>
        <w:t>“投标技术响应”必须与所投产品客观实际保持一致，响应不实且情节严重的，经查实，将依法记入供应商诚信档案或受到行政处罚。</w:t>
      </w:r>
    </w:p>
    <w:p>
      <w:pPr>
        <w:ind w:firstLine="420" w:firstLineChars="200"/>
        <w:rPr>
          <w:bCs/>
          <w:color w:val="FF0000"/>
          <w:szCs w:val="21"/>
        </w:rPr>
      </w:pPr>
      <w:r>
        <w:rPr>
          <w:bCs/>
          <w:szCs w:val="21"/>
        </w:rPr>
        <w:t>3</w:t>
      </w:r>
      <w:r>
        <w:rPr>
          <w:rFonts w:hint="eastAsia"/>
          <w:bCs/>
          <w:szCs w:val="21"/>
        </w:rPr>
        <w:t>、</w:t>
      </w:r>
      <w:bookmarkStart w:id="67" w:name="_Hlk72158270"/>
      <w:r>
        <w:rPr>
          <w:rFonts w:hint="eastAsia"/>
          <w:bCs/>
          <w:szCs w:val="21"/>
        </w:rPr>
        <w:t>“偏离情况”</w:t>
      </w:r>
      <w:bookmarkEnd w:id="67"/>
      <w:r>
        <w:rPr>
          <w:rFonts w:hint="eastAsia"/>
          <w:bCs/>
          <w:szCs w:val="21"/>
        </w:rPr>
        <w:t>一栏填写如实填写“正偏离”、“负偏离”或“无偏离”，其中：</w:t>
      </w:r>
      <w:bookmarkStart w:id="68" w:name="_Hlk72093866"/>
      <w:r>
        <w:rPr>
          <w:rFonts w:hint="eastAsia"/>
          <w:bCs/>
          <w:szCs w:val="21"/>
        </w:rPr>
        <w:t>“正偏离”表示“投标响应优于招标技术要求”，“负偏离”表示“投标响应不满足招标技术要求”，“无偏离”表示“投标响应与招标技术要求一致”</w:t>
      </w:r>
      <w:bookmarkEnd w:id="68"/>
      <w:r>
        <w:rPr>
          <w:rFonts w:hint="eastAsia"/>
          <w:bCs/>
          <w:szCs w:val="21"/>
        </w:rPr>
        <w:t>。“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w:t>
      </w:r>
      <w:r>
        <w:rPr>
          <w:rFonts w:hint="eastAsia"/>
          <w:bCs/>
          <w:color w:val="FF0000"/>
          <w:szCs w:val="21"/>
        </w:rPr>
        <w:t>“偏离情况”必须与所投产品客观实际保持一致，响应不实且情节严重的，经查实，将依法记入供应商诚信档案或受到行政处罚。</w:t>
      </w:r>
    </w:p>
    <w:p>
      <w:pPr>
        <w:ind w:firstLine="420" w:firstLineChars="200"/>
        <w:rPr>
          <w:bCs/>
          <w:szCs w:val="21"/>
        </w:rPr>
      </w:pPr>
      <w:r>
        <w:rPr>
          <w:bCs/>
          <w:szCs w:val="21"/>
        </w:rPr>
        <w:t>4</w:t>
      </w:r>
      <w:r>
        <w:rPr>
          <w:rFonts w:hint="eastAsia"/>
          <w:bCs/>
          <w:szCs w:val="21"/>
        </w:rPr>
        <w:t>、未要求提供证明资料的招标技术要求，可以不提供证明资料（如实响应即可）。</w:t>
      </w:r>
    </w:p>
    <w:p>
      <w:pPr>
        <w:ind w:firstLine="420" w:firstLineChars="200"/>
        <w:rPr>
          <w:bCs/>
          <w:szCs w:val="21"/>
        </w:rPr>
      </w:pPr>
      <w:r>
        <w:rPr>
          <w:rFonts w:hint="eastAsia"/>
          <w:bCs/>
          <w:szCs w:val="21"/>
        </w:rPr>
        <w:t>5、</w:t>
      </w:r>
      <w:bookmarkStart w:id="69" w:name="_Hlk72096106"/>
      <w:r>
        <w:rPr>
          <w:rFonts w:hint="eastAsia"/>
          <w:bCs/>
          <w:szCs w:val="21"/>
        </w:rPr>
        <w:t>证明资料条款响应要求</w:t>
      </w:r>
      <w:bookmarkEnd w:id="69"/>
      <w:r>
        <w:rPr>
          <w:rFonts w:hint="eastAsia"/>
          <w:bCs/>
          <w:szCs w:val="21"/>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70" w:name="_Hlk73558782"/>
      <w:r>
        <w:rPr>
          <w:rFonts w:hint="eastAsia"/>
          <w:bCs/>
          <w:szCs w:val="21"/>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71" w:name="_Hlk73558164"/>
      <w:r>
        <w:rPr>
          <w:rFonts w:hint="eastAsia"/>
          <w:bCs/>
          <w:szCs w:val="21"/>
        </w:rPr>
        <w:t>且投标人在“偏离情况”一栏响应为“正偏离”或“无偏离”的，经评审委员会认定，将判定为负偏离。</w:t>
      </w:r>
      <w:bookmarkEnd w:id="70"/>
      <w:bookmarkEnd w:id="71"/>
    </w:p>
    <w:p>
      <w:pPr>
        <w:ind w:firstLine="420" w:firstLineChars="200"/>
        <w:rPr>
          <w:bCs/>
          <w:szCs w:val="21"/>
        </w:rPr>
      </w:pPr>
      <w:r>
        <w:rPr>
          <w:rFonts w:hint="eastAsia"/>
          <w:bCs/>
          <w:szCs w:val="21"/>
        </w:rPr>
        <w:t>6、</w:t>
      </w:r>
      <w:bookmarkStart w:id="72" w:name="_Hlk72096137"/>
      <w:r>
        <w:rPr>
          <w:rFonts w:hint="eastAsia"/>
          <w:bCs/>
          <w:szCs w:val="21"/>
        </w:rPr>
        <w:t>表后“证明资料”部分内容的编制</w:t>
      </w:r>
      <w:bookmarkEnd w:id="72"/>
      <w:r>
        <w:rPr>
          <w:rFonts w:hint="eastAsia"/>
          <w:bCs/>
          <w:szCs w:val="21"/>
        </w:rPr>
        <w:t>：提供的所有证明资料应当统一编号（排序），且证明资料的编号（顺序）、数量和名称（形式）均应与“说明”一栏所填内容保持一致（一一对应），以便评审委员会查看。</w:t>
      </w:r>
      <w:bookmarkStart w:id="73" w:name="_Hlk73558180"/>
      <w:r>
        <w:rPr>
          <w:rFonts w:hint="eastAsia"/>
          <w:bCs/>
          <w:szCs w:val="21"/>
        </w:rPr>
        <w:t>未按照招标文件要求在表后放置证明材料的供应商将承担不利后果，经评审委员会认定，相关技术要求将判定为负偏离。</w:t>
      </w:r>
      <w:bookmarkEnd w:id="73"/>
    </w:p>
    <w:p>
      <w:pPr>
        <w:ind w:firstLine="420" w:firstLineChars="200"/>
        <w:rPr>
          <w:bCs/>
          <w:szCs w:val="21"/>
        </w:rPr>
      </w:pPr>
      <w:r>
        <w:rPr>
          <w:rFonts w:hint="eastAsia"/>
          <w:bCs/>
          <w:szCs w:val="21"/>
        </w:rPr>
        <w:t>7、</w:t>
      </w:r>
      <w:bookmarkStart w:id="74" w:name="_Hlk72096176"/>
      <w:r>
        <w:rPr>
          <w:rFonts w:hint="eastAsia"/>
          <w:bCs/>
          <w:szCs w:val="21"/>
        </w:rPr>
        <w:t>证明资料的形式及其它具体要求</w:t>
      </w:r>
      <w:bookmarkEnd w:id="74"/>
      <w:r>
        <w:rPr>
          <w:rFonts w:hint="eastAsia"/>
          <w:bCs/>
          <w:szCs w:val="21"/>
        </w:rPr>
        <w:t>：</w:t>
      </w:r>
    </w:p>
    <w:p>
      <w:pPr>
        <w:ind w:firstLine="420" w:firstLineChars="200"/>
        <w:rPr>
          <w:bCs/>
          <w:szCs w:val="21"/>
        </w:rPr>
      </w:pPr>
      <w:r>
        <w:rPr>
          <w:rFonts w:hint="eastAsia"/>
          <w:bCs/>
          <w:szCs w:val="21"/>
        </w:rPr>
        <w:t>（1）除照片、图片（截图）及不需加盖公章的文字说明（技术说明）外，其它证明资料均要求为原件扫描件；</w:t>
      </w:r>
    </w:p>
    <w:p>
      <w:pPr>
        <w:ind w:firstLine="420" w:firstLineChars="200"/>
        <w:rPr>
          <w:bCs/>
          <w:szCs w:val="21"/>
        </w:rPr>
      </w:pPr>
      <w:r>
        <w:rPr>
          <w:rFonts w:hint="eastAsia"/>
          <w:bCs/>
          <w:szCs w:val="21"/>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pPr>
        <w:ind w:firstLine="420" w:firstLineChars="200"/>
        <w:rPr>
          <w:bCs/>
          <w:szCs w:val="21"/>
        </w:rPr>
      </w:pPr>
      <w:r>
        <w:rPr>
          <w:rFonts w:hint="eastAsia"/>
          <w:bCs/>
          <w:szCs w:val="21"/>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ind w:firstLine="420" w:firstLineChars="200"/>
        <w:rPr>
          <w:bCs/>
          <w:szCs w:val="21"/>
        </w:rPr>
      </w:pPr>
      <w:r>
        <w:rPr>
          <w:rFonts w:hint="eastAsia"/>
          <w:bCs/>
          <w:szCs w:val="21"/>
        </w:rPr>
        <w:t>我国政府机构出具的产品检验和核准证件应为证件正面、背面和附件标注的全部具体内容；产品检验和核准证件的尺寸和清晰度应该能够在电脑上被阅读、识别和判断；</w:t>
      </w:r>
    </w:p>
    <w:p>
      <w:pPr>
        <w:ind w:firstLine="420" w:firstLineChars="200"/>
        <w:rPr>
          <w:bCs/>
          <w:szCs w:val="21"/>
        </w:rPr>
      </w:pPr>
      <w:r>
        <w:rPr>
          <w:rFonts w:hint="eastAsia"/>
          <w:bCs/>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pPr>
        <w:ind w:firstLine="420" w:firstLineChars="200"/>
        <w:rPr>
          <w:bCs/>
          <w:szCs w:val="21"/>
        </w:rPr>
      </w:pPr>
      <w:r>
        <w:rPr>
          <w:rFonts w:hint="eastAsia"/>
          <w:bCs/>
          <w:szCs w:val="21"/>
        </w:rPr>
        <w:t>其它证明资料的形式要求参照以上要求执行；</w:t>
      </w:r>
    </w:p>
    <w:p>
      <w:pPr>
        <w:ind w:firstLine="420" w:firstLineChars="200"/>
        <w:rPr>
          <w:bCs/>
          <w:szCs w:val="21"/>
        </w:rPr>
      </w:pPr>
      <w:r>
        <w:rPr>
          <w:rFonts w:hint="eastAsia"/>
          <w:bCs/>
          <w:szCs w:val="21"/>
        </w:rPr>
        <w:t>（4）证明资料均要求原件备查。</w:t>
      </w:r>
    </w:p>
    <w:p>
      <w:pPr>
        <w:ind w:firstLine="420" w:firstLineChars="200"/>
        <w:rPr>
          <w:bCs/>
          <w:szCs w:val="21"/>
        </w:rPr>
      </w:pPr>
      <w:r>
        <w:rPr>
          <w:rFonts w:hint="eastAsia"/>
          <w:bCs/>
          <w:szCs w:val="21"/>
        </w:rPr>
        <w:t>8、其它注意事项：</w:t>
      </w:r>
    </w:p>
    <w:p>
      <w:pPr>
        <w:ind w:firstLine="420" w:firstLineChars="200"/>
        <w:rPr>
          <w:bCs/>
          <w:szCs w:val="21"/>
        </w:rPr>
      </w:pPr>
      <w:r>
        <w:rPr>
          <w:rFonts w:hint="eastAsia"/>
          <w:bCs/>
          <w:szCs w:val="21"/>
        </w:rPr>
        <w:t>（1）评审委员会有权对投标人的响应情况作出判断（评审结论）；</w:t>
      </w:r>
    </w:p>
    <w:p>
      <w:pPr>
        <w:ind w:firstLine="420" w:firstLineChars="200"/>
        <w:rPr>
          <w:bCs/>
          <w:szCs w:val="21"/>
        </w:rPr>
      </w:pPr>
      <w:r>
        <w:rPr>
          <w:rFonts w:hint="eastAsia"/>
          <w:bCs/>
          <w:szCs w:val="21"/>
        </w:rPr>
        <w:t>（2）</w:t>
      </w:r>
      <w:bookmarkStart w:id="75" w:name="_Hlk72158213"/>
      <w:r>
        <w:rPr>
          <w:rFonts w:hint="eastAsia"/>
          <w:bCs/>
          <w:szCs w:val="21"/>
        </w:rPr>
        <w:t>评审委员会有权对以谋取中标为目的的技术规格模糊响应（如有意不合理照搬照抄招标文件的技术要求）或虚假响应予以认定，并视情况经政府集中采购机构报主管部门进行处理。</w:t>
      </w:r>
      <w:bookmarkEnd w:id="75"/>
    </w:p>
    <w:p>
      <w:pPr>
        <w:ind w:firstLine="482" w:firstLineChars="200"/>
        <w:rPr>
          <w:b/>
          <w:sz w:val="24"/>
        </w:rPr>
      </w:pPr>
    </w:p>
    <w:p>
      <w:pPr>
        <w:rPr>
          <w:sz w:val="24"/>
        </w:rPr>
      </w:pPr>
    </w:p>
    <w:p>
      <w:pPr>
        <w:rPr>
          <w:rFonts w:ascii="黑体" w:eastAsia="黑体"/>
          <w:sz w:val="24"/>
          <w:szCs w:val="20"/>
        </w:rPr>
      </w:pPr>
      <w:r>
        <w:rPr>
          <w:rFonts w:hint="eastAsia" w:ascii="黑体" w:eastAsia="黑体"/>
          <w:sz w:val="24"/>
          <w:szCs w:val="20"/>
        </w:rPr>
        <w:br w:type="page"/>
      </w:r>
    </w:p>
    <w:p>
      <w:pPr>
        <w:pStyle w:val="4"/>
        <w:jc w:val="center"/>
        <w:rPr>
          <w:sz w:val="24"/>
        </w:rPr>
      </w:pPr>
      <w:r>
        <w:rPr>
          <w:rFonts w:hint="eastAsia" w:ascii="黑体" w:eastAsia="黑体"/>
          <w:b w:val="0"/>
          <w:bCs w:val="0"/>
          <w:sz w:val="24"/>
          <w:szCs w:val="20"/>
        </w:rPr>
        <w:t>六、商务要求偏离表</w:t>
      </w:r>
    </w:p>
    <w:tbl>
      <w:tblPr>
        <w:tblStyle w:val="4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1320"/>
        <w:gridCol w:w="4611"/>
        <w:gridCol w:w="910"/>
        <w:gridCol w:w="602"/>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 w:type="pct"/>
            <w:vAlign w:val="center"/>
          </w:tcPr>
          <w:p>
            <w:pPr>
              <w:jc w:val="center"/>
              <w:rPr>
                <w:rFonts w:ascii="宋体" w:hAnsi="宋体" w:cs="宋体"/>
                <w:b/>
                <w:szCs w:val="21"/>
              </w:rPr>
            </w:pPr>
            <w:r>
              <w:rPr>
                <w:rFonts w:hint="eastAsia" w:ascii="宋体" w:hAnsi="宋体" w:cs="宋体"/>
                <w:szCs w:val="21"/>
              </w:rPr>
              <w:t>序号</w:t>
            </w:r>
          </w:p>
        </w:tc>
        <w:tc>
          <w:tcPr>
            <w:tcW w:w="774" w:type="pct"/>
            <w:vAlign w:val="center"/>
          </w:tcPr>
          <w:p>
            <w:pPr>
              <w:jc w:val="center"/>
              <w:rPr>
                <w:rFonts w:ascii="宋体" w:hAnsi="宋体" w:cs="宋体"/>
                <w:b/>
                <w:szCs w:val="21"/>
              </w:rPr>
            </w:pPr>
            <w:r>
              <w:rPr>
                <w:rFonts w:hint="eastAsia" w:ascii="宋体" w:hAnsi="宋体" w:cs="宋体"/>
                <w:b/>
                <w:szCs w:val="21"/>
              </w:rPr>
              <w:t>商务需求项</w:t>
            </w:r>
          </w:p>
        </w:tc>
        <w:tc>
          <w:tcPr>
            <w:tcW w:w="2705" w:type="pct"/>
            <w:vAlign w:val="center"/>
          </w:tcPr>
          <w:p>
            <w:pPr>
              <w:jc w:val="center"/>
              <w:rPr>
                <w:rFonts w:ascii="宋体" w:hAnsi="宋体" w:cs="宋体"/>
                <w:b/>
                <w:szCs w:val="21"/>
              </w:rPr>
            </w:pPr>
            <w:r>
              <w:rPr>
                <w:rFonts w:hint="eastAsia" w:ascii="宋体" w:hAnsi="宋体" w:cs="宋体"/>
                <w:szCs w:val="21"/>
              </w:rPr>
              <w:t>招标商务要求</w:t>
            </w:r>
          </w:p>
        </w:tc>
        <w:tc>
          <w:tcPr>
            <w:tcW w:w="534" w:type="pct"/>
            <w:vAlign w:val="center"/>
          </w:tcPr>
          <w:p>
            <w:pPr>
              <w:jc w:val="center"/>
              <w:rPr>
                <w:rFonts w:ascii="宋体" w:hAnsi="宋体" w:cs="宋体"/>
                <w:b/>
                <w:szCs w:val="21"/>
              </w:rPr>
            </w:pPr>
            <w:r>
              <w:rPr>
                <w:rFonts w:hint="eastAsia" w:ascii="宋体" w:hAnsi="宋体" w:cs="宋体"/>
                <w:szCs w:val="21"/>
              </w:rPr>
              <w:t>投标商务响应</w:t>
            </w:r>
          </w:p>
        </w:tc>
        <w:tc>
          <w:tcPr>
            <w:tcW w:w="353" w:type="pct"/>
            <w:vAlign w:val="center"/>
          </w:tcPr>
          <w:p>
            <w:pPr>
              <w:jc w:val="center"/>
              <w:rPr>
                <w:rFonts w:ascii="宋体" w:hAnsi="宋体" w:cs="宋体"/>
                <w:b/>
                <w:szCs w:val="21"/>
              </w:rPr>
            </w:pPr>
            <w:r>
              <w:rPr>
                <w:rFonts w:hint="eastAsia" w:ascii="宋体" w:hAnsi="宋体" w:cs="宋体"/>
                <w:szCs w:val="21"/>
              </w:rPr>
              <w:t>偏离情况</w:t>
            </w:r>
          </w:p>
        </w:tc>
        <w:tc>
          <w:tcPr>
            <w:tcW w:w="296" w:type="pct"/>
            <w:vAlign w:val="center"/>
          </w:tcPr>
          <w:p>
            <w:pPr>
              <w:jc w:val="center"/>
              <w:rPr>
                <w:rFonts w:ascii="宋体" w:hAnsi="宋体" w:cs="宋体"/>
                <w:b/>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6"/>
          </w:tcPr>
          <w:p>
            <w:pPr>
              <w:rPr>
                <w:rFonts w:ascii="宋体" w:hAnsi="宋体" w:cs="宋体"/>
                <w:b/>
                <w:szCs w:val="21"/>
              </w:rPr>
            </w:pPr>
            <w:r>
              <w:rPr>
                <w:rFonts w:hint="eastAsia" w:ascii="宋体" w:hAnsi="宋体" w:cs="宋体"/>
                <w:b/>
                <w:szCs w:val="21"/>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35" w:type="pct"/>
            <w:vAlign w:val="center"/>
          </w:tcPr>
          <w:p>
            <w:pPr>
              <w:jc w:val="center"/>
              <w:rPr>
                <w:rFonts w:ascii="宋体" w:hAnsi="宋体" w:cs="宋体"/>
                <w:bCs/>
                <w:szCs w:val="21"/>
              </w:rPr>
            </w:pPr>
            <w:r>
              <w:rPr>
                <w:rFonts w:hint="eastAsia" w:ascii="宋体" w:hAnsi="宋体" w:cs="宋体"/>
                <w:bCs/>
                <w:szCs w:val="21"/>
              </w:rPr>
              <w:t>1</w:t>
            </w:r>
          </w:p>
        </w:tc>
        <w:tc>
          <w:tcPr>
            <w:tcW w:w="774" w:type="pct"/>
          </w:tcPr>
          <w:p>
            <w:pPr>
              <w:jc w:val="center"/>
              <w:rPr>
                <w:rFonts w:ascii="宋体" w:hAnsi="宋体" w:cs="宋体"/>
                <w:szCs w:val="21"/>
              </w:rPr>
            </w:pPr>
            <w:r>
              <w:rPr>
                <w:rFonts w:hint="eastAsia" w:ascii="宋体" w:hAnsi="宋体" w:cs="宋体"/>
                <w:szCs w:val="21"/>
              </w:rPr>
              <w:t>****</w:t>
            </w:r>
          </w:p>
        </w:tc>
        <w:tc>
          <w:tcPr>
            <w:tcW w:w="2705" w:type="pct"/>
          </w:tcPr>
          <w:p>
            <w:pPr>
              <w:jc w:val="center"/>
              <w:rPr>
                <w:rFonts w:ascii="宋体" w:hAnsi="宋体" w:cs="宋体"/>
                <w:b/>
                <w:szCs w:val="21"/>
              </w:rPr>
            </w:pPr>
            <w:r>
              <w:rPr>
                <w:rFonts w:hint="eastAsia" w:ascii="宋体" w:hAnsi="宋体" w:cs="宋体"/>
                <w:bCs/>
                <w:szCs w:val="21"/>
              </w:rPr>
              <w:t>（填写相关内容）</w:t>
            </w:r>
          </w:p>
        </w:tc>
        <w:tc>
          <w:tcPr>
            <w:tcW w:w="534" w:type="pct"/>
          </w:tcPr>
          <w:p>
            <w:pPr>
              <w:rPr>
                <w:rFonts w:ascii="宋体" w:hAnsi="宋体" w:cs="宋体"/>
                <w:bCs/>
                <w:szCs w:val="21"/>
              </w:rPr>
            </w:pPr>
          </w:p>
        </w:tc>
        <w:tc>
          <w:tcPr>
            <w:tcW w:w="353" w:type="pct"/>
          </w:tcPr>
          <w:p>
            <w:pPr>
              <w:rPr>
                <w:rFonts w:ascii="宋体" w:hAnsi="宋体" w:cs="宋体"/>
                <w:bCs/>
                <w:szCs w:val="21"/>
              </w:rPr>
            </w:pPr>
          </w:p>
        </w:tc>
        <w:tc>
          <w:tcPr>
            <w:tcW w:w="296" w:type="pct"/>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35" w:type="pct"/>
            <w:vAlign w:val="center"/>
          </w:tcPr>
          <w:p>
            <w:pPr>
              <w:jc w:val="center"/>
              <w:rPr>
                <w:rFonts w:ascii="宋体" w:hAnsi="宋体" w:cs="宋体"/>
                <w:bCs/>
                <w:szCs w:val="21"/>
              </w:rPr>
            </w:pPr>
            <w:r>
              <w:rPr>
                <w:rFonts w:hint="eastAsia" w:ascii="宋体" w:hAnsi="宋体" w:cs="宋体"/>
                <w:bCs/>
                <w:szCs w:val="21"/>
              </w:rPr>
              <w:t>2</w:t>
            </w:r>
          </w:p>
        </w:tc>
        <w:tc>
          <w:tcPr>
            <w:tcW w:w="774" w:type="pct"/>
          </w:tcPr>
          <w:p>
            <w:pPr>
              <w:jc w:val="center"/>
              <w:rPr>
                <w:rFonts w:ascii="宋体" w:hAnsi="宋体" w:cs="宋体"/>
                <w:szCs w:val="21"/>
              </w:rPr>
            </w:pPr>
            <w:r>
              <w:rPr>
                <w:rFonts w:hint="eastAsia" w:ascii="宋体" w:hAnsi="宋体" w:cs="宋体"/>
                <w:szCs w:val="21"/>
              </w:rPr>
              <w:t>****</w:t>
            </w:r>
          </w:p>
        </w:tc>
        <w:tc>
          <w:tcPr>
            <w:tcW w:w="2705" w:type="pct"/>
          </w:tcPr>
          <w:p>
            <w:pPr>
              <w:jc w:val="center"/>
              <w:rPr>
                <w:rFonts w:ascii="宋体" w:hAnsi="宋体" w:cs="宋体"/>
                <w:bCs/>
                <w:szCs w:val="21"/>
              </w:rPr>
            </w:pPr>
            <w:r>
              <w:rPr>
                <w:rFonts w:hint="eastAsia" w:ascii="宋体" w:hAnsi="宋体" w:cs="宋体"/>
                <w:szCs w:val="21"/>
              </w:rPr>
              <w:t>（填写相关内容）</w:t>
            </w:r>
          </w:p>
        </w:tc>
        <w:tc>
          <w:tcPr>
            <w:tcW w:w="534" w:type="pct"/>
          </w:tcPr>
          <w:p>
            <w:pPr>
              <w:rPr>
                <w:rFonts w:ascii="宋体" w:hAnsi="宋体" w:cs="宋体"/>
                <w:bCs/>
                <w:szCs w:val="21"/>
              </w:rPr>
            </w:pPr>
          </w:p>
        </w:tc>
        <w:tc>
          <w:tcPr>
            <w:tcW w:w="353" w:type="pct"/>
          </w:tcPr>
          <w:p>
            <w:pPr>
              <w:rPr>
                <w:rFonts w:ascii="宋体" w:hAnsi="宋体" w:cs="宋体"/>
                <w:bCs/>
                <w:szCs w:val="21"/>
              </w:rPr>
            </w:pPr>
          </w:p>
        </w:tc>
        <w:tc>
          <w:tcPr>
            <w:tcW w:w="296" w:type="pct"/>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000" w:type="pct"/>
            <w:gridSpan w:val="6"/>
            <w:vAlign w:val="center"/>
          </w:tcPr>
          <w:p>
            <w:pPr>
              <w:rPr>
                <w:rFonts w:ascii="宋体" w:hAnsi="宋体" w:cs="宋体"/>
                <w:bCs/>
                <w:szCs w:val="21"/>
              </w:rPr>
            </w:pPr>
            <w:r>
              <w:rPr>
                <w:rFonts w:hint="eastAsia" w:ascii="宋体" w:hAnsi="宋体" w:cs="宋体"/>
                <w:b/>
                <w:szCs w:val="21"/>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35" w:type="pct"/>
          </w:tcPr>
          <w:p>
            <w:pPr>
              <w:jc w:val="center"/>
              <w:rPr>
                <w:rFonts w:ascii="宋体" w:hAnsi="宋体" w:cs="宋体"/>
                <w:bCs/>
                <w:szCs w:val="21"/>
              </w:rPr>
            </w:pPr>
            <w:r>
              <w:rPr>
                <w:rFonts w:hint="eastAsia" w:ascii="宋体" w:hAnsi="宋体" w:cs="宋体"/>
                <w:szCs w:val="21"/>
              </w:rPr>
              <w:t>1</w:t>
            </w:r>
          </w:p>
        </w:tc>
        <w:tc>
          <w:tcPr>
            <w:tcW w:w="774" w:type="pct"/>
          </w:tcPr>
          <w:p>
            <w:pPr>
              <w:jc w:val="center"/>
              <w:rPr>
                <w:rFonts w:ascii="宋体" w:hAnsi="宋体" w:cs="宋体"/>
                <w:szCs w:val="21"/>
              </w:rPr>
            </w:pPr>
            <w:r>
              <w:rPr>
                <w:rFonts w:hint="eastAsia" w:ascii="宋体" w:hAnsi="宋体" w:cs="宋体"/>
                <w:szCs w:val="21"/>
              </w:rPr>
              <w:t>****</w:t>
            </w:r>
          </w:p>
        </w:tc>
        <w:tc>
          <w:tcPr>
            <w:tcW w:w="2705" w:type="pct"/>
          </w:tcPr>
          <w:p>
            <w:pPr>
              <w:jc w:val="center"/>
              <w:rPr>
                <w:rFonts w:ascii="宋体" w:hAnsi="宋体" w:cs="宋体"/>
                <w:szCs w:val="21"/>
              </w:rPr>
            </w:pPr>
            <w:r>
              <w:rPr>
                <w:rFonts w:hint="eastAsia" w:ascii="宋体" w:hAnsi="宋体" w:cs="宋体"/>
                <w:szCs w:val="21"/>
              </w:rPr>
              <w:t>（填写相关内容）</w:t>
            </w:r>
          </w:p>
        </w:tc>
        <w:tc>
          <w:tcPr>
            <w:tcW w:w="534" w:type="pct"/>
          </w:tcPr>
          <w:p>
            <w:pPr>
              <w:rPr>
                <w:rFonts w:ascii="宋体" w:hAnsi="宋体" w:cs="宋体"/>
                <w:bCs/>
                <w:szCs w:val="21"/>
              </w:rPr>
            </w:pPr>
          </w:p>
        </w:tc>
        <w:tc>
          <w:tcPr>
            <w:tcW w:w="353" w:type="pct"/>
          </w:tcPr>
          <w:p>
            <w:pPr>
              <w:rPr>
                <w:rFonts w:ascii="宋体" w:hAnsi="宋体" w:cs="宋体"/>
                <w:bCs/>
                <w:szCs w:val="21"/>
              </w:rPr>
            </w:pPr>
          </w:p>
        </w:tc>
        <w:tc>
          <w:tcPr>
            <w:tcW w:w="296" w:type="pct"/>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000" w:type="pct"/>
            <w:gridSpan w:val="6"/>
          </w:tcPr>
          <w:p>
            <w:pPr>
              <w:rPr>
                <w:rFonts w:ascii="宋体" w:hAnsi="宋体" w:cs="宋体"/>
                <w:bCs/>
                <w:szCs w:val="21"/>
              </w:rPr>
            </w:pPr>
            <w:r>
              <w:rPr>
                <w:rFonts w:hint="eastAsia" w:ascii="宋体" w:hAnsi="宋体" w:cs="宋体"/>
                <w:b/>
                <w:szCs w:val="21"/>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35" w:type="pct"/>
          </w:tcPr>
          <w:p>
            <w:pPr>
              <w:jc w:val="center"/>
              <w:rPr>
                <w:rFonts w:ascii="宋体" w:hAnsi="宋体" w:cs="宋体"/>
                <w:szCs w:val="21"/>
              </w:rPr>
            </w:pPr>
            <w:r>
              <w:rPr>
                <w:rFonts w:hint="eastAsia" w:ascii="宋体" w:hAnsi="宋体" w:cs="宋体"/>
                <w:szCs w:val="21"/>
              </w:rPr>
              <w:t>1</w:t>
            </w:r>
          </w:p>
        </w:tc>
        <w:tc>
          <w:tcPr>
            <w:tcW w:w="774" w:type="pct"/>
          </w:tcPr>
          <w:p>
            <w:pPr>
              <w:jc w:val="center"/>
              <w:rPr>
                <w:rFonts w:ascii="宋体" w:hAnsi="宋体" w:cs="宋体"/>
                <w:szCs w:val="21"/>
              </w:rPr>
            </w:pPr>
            <w:r>
              <w:rPr>
                <w:rFonts w:hint="eastAsia" w:ascii="宋体" w:hAnsi="宋体" w:cs="宋体"/>
                <w:szCs w:val="21"/>
              </w:rPr>
              <w:t>****</w:t>
            </w:r>
          </w:p>
        </w:tc>
        <w:tc>
          <w:tcPr>
            <w:tcW w:w="2705" w:type="pct"/>
          </w:tcPr>
          <w:p>
            <w:pPr>
              <w:jc w:val="center"/>
              <w:rPr>
                <w:rFonts w:ascii="宋体" w:hAnsi="宋体" w:cs="宋体"/>
                <w:szCs w:val="21"/>
              </w:rPr>
            </w:pPr>
            <w:r>
              <w:rPr>
                <w:rFonts w:hint="eastAsia" w:ascii="宋体" w:hAnsi="宋体" w:cs="宋体"/>
                <w:szCs w:val="21"/>
              </w:rPr>
              <w:t>（填写相关内容）</w:t>
            </w:r>
          </w:p>
        </w:tc>
        <w:tc>
          <w:tcPr>
            <w:tcW w:w="534" w:type="pct"/>
          </w:tcPr>
          <w:p>
            <w:pPr>
              <w:rPr>
                <w:rFonts w:ascii="宋体" w:hAnsi="宋体" w:cs="宋体"/>
                <w:bCs/>
                <w:szCs w:val="21"/>
              </w:rPr>
            </w:pPr>
          </w:p>
        </w:tc>
        <w:tc>
          <w:tcPr>
            <w:tcW w:w="353" w:type="pct"/>
          </w:tcPr>
          <w:p>
            <w:pPr>
              <w:rPr>
                <w:rFonts w:ascii="宋体" w:hAnsi="宋体" w:cs="宋体"/>
                <w:bCs/>
                <w:szCs w:val="21"/>
              </w:rPr>
            </w:pPr>
          </w:p>
        </w:tc>
        <w:tc>
          <w:tcPr>
            <w:tcW w:w="296" w:type="pct"/>
          </w:tcPr>
          <w:p>
            <w:pPr>
              <w:rPr>
                <w:rFonts w:ascii="宋体" w:hAnsi="宋体" w:cs="宋体"/>
                <w:bCs/>
                <w:szCs w:val="21"/>
              </w:rPr>
            </w:pPr>
          </w:p>
        </w:tc>
      </w:tr>
    </w:tbl>
    <w:p>
      <w:pPr>
        <w:ind w:firstLine="420" w:firstLineChars="200"/>
        <w:rPr>
          <w:bCs/>
          <w:szCs w:val="21"/>
        </w:rPr>
      </w:pPr>
      <w:r>
        <w:rPr>
          <w:rFonts w:hint="eastAsia"/>
          <w:bCs/>
          <w:szCs w:val="21"/>
        </w:rPr>
        <w:t>《商务要求偏离表》编制指引：</w:t>
      </w:r>
    </w:p>
    <w:p>
      <w:pPr>
        <w:ind w:firstLine="420" w:firstLineChars="200"/>
        <w:rPr>
          <w:bCs/>
          <w:szCs w:val="21"/>
        </w:rPr>
      </w:pPr>
      <w:r>
        <w:rPr>
          <w:rFonts w:hint="eastAsia"/>
          <w:bCs/>
          <w:szCs w:val="21"/>
        </w:rPr>
        <w:t>1、商务要求偏离表的序号、商务需求项、招标商务要求等栏目对应“用户需求书”中的“商务要求”章节相关内容。</w:t>
      </w:r>
    </w:p>
    <w:p>
      <w:pPr>
        <w:ind w:firstLine="420" w:firstLineChars="200"/>
        <w:rPr>
          <w:bCs/>
          <w:szCs w:val="21"/>
        </w:rPr>
      </w:pPr>
      <w:r>
        <w:rPr>
          <w:bCs/>
          <w:szCs w:val="21"/>
        </w:rPr>
        <w:t>2</w:t>
      </w:r>
      <w:r>
        <w:rPr>
          <w:rFonts w:hint="eastAsia"/>
          <w:bCs/>
          <w:szCs w:val="21"/>
        </w:rPr>
        <w:t>、“投标商务响应”一栏必须一一对照“招标商务要求”，详细填写自身响应情况，而不能不合理照搬照抄招标文件的商务要求，以体现具体响应情况。</w:t>
      </w:r>
    </w:p>
    <w:p>
      <w:pPr>
        <w:ind w:firstLine="420" w:firstLineChars="200"/>
        <w:rPr>
          <w:bCs/>
          <w:color w:val="FF0000"/>
          <w:szCs w:val="21"/>
        </w:rPr>
      </w:pPr>
      <w:r>
        <w:rPr>
          <w:bCs/>
          <w:szCs w:val="21"/>
        </w:rPr>
        <w:t>3</w:t>
      </w:r>
      <w:r>
        <w:rPr>
          <w:rFonts w:hint="eastAsia"/>
          <w:bCs/>
          <w:szCs w:val="21"/>
        </w:rPr>
        <w:t>、“偏离情况”一栏填写如实填写“正偏离”、“负偏离”或“无偏离”，其中：“正偏离”表示“投标响应优于招标商务要求”，“负偏离”表示“投标响应不满足招标商务要求”，“无偏离”表示“投标响应与招标商务要求一致”。</w:t>
      </w:r>
    </w:p>
    <w:p>
      <w:pPr>
        <w:rPr>
          <w:bCs/>
          <w:szCs w:val="21"/>
        </w:rPr>
      </w:pPr>
      <w:r>
        <w:rPr>
          <w:rFonts w:hint="eastAsia"/>
          <w:bCs/>
          <w:szCs w:val="21"/>
        </w:rPr>
        <w:t>“投标商务响应”对比“招标商务要求”存在响应不全（包括未响应整项招标商务要求或者未响应一项招标商务要求的部分内容），均视为“负偏离”。</w:t>
      </w:r>
    </w:p>
    <w:p>
      <w:pPr>
        <w:ind w:firstLine="420" w:firstLineChars="200"/>
        <w:rPr>
          <w:bCs/>
          <w:szCs w:val="21"/>
        </w:rPr>
      </w:pPr>
      <w:r>
        <w:rPr>
          <w:rFonts w:hint="eastAsia"/>
          <w:bCs/>
          <w:szCs w:val="21"/>
        </w:rPr>
        <w:t>4、带★号条款为不可偏离条款，如未响应或出现负偏离的，将作投标无效处理。</w:t>
      </w:r>
    </w:p>
    <w:p>
      <w:pPr>
        <w:rPr>
          <w:sz w:val="24"/>
        </w:rPr>
      </w:pPr>
    </w:p>
    <w:p>
      <w:pPr>
        <w:rPr>
          <w:b/>
          <w:bCs/>
          <w:sz w:val="24"/>
        </w:rPr>
      </w:pPr>
      <w:bookmarkStart w:id="76" w:name="_Hlk72260576"/>
    </w:p>
    <w:p>
      <w:pPr>
        <w:jc w:val="center"/>
        <w:rPr>
          <w:rFonts w:ascii="黑体" w:hAnsi="宋体" w:eastAsia="黑体"/>
          <w:sz w:val="24"/>
          <w:szCs w:val="20"/>
        </w:rPr>
      </w:pPr>
      <w:r>
        <w:rPr>
          <w:rFonts w:hint="eastAsia" w:ascii="黑体" w:hAnsi="宋体" w:eastAsia="黑体"/>
          <w:sz w:val="24"/>
          <w:szCs w:val="20"/>
        </w:rPr>
        <w:t>七、投标人认为需要加以说明的其他内容（附件部分）</w:t>
      </w:r>
    </w:p>
    <w:p>
      <w:pPr>
        <w:rPr>
          <w:rFonts w:ascii="黑体" w:eastAsia="黑体"/>
          <w:sz w:val="24"/>
          <w:szCs w:val="20"/>
        </w:rPr>
      </w:pPr>
      <w:r>
        <w:rPr>
          <w:rFonts w:hint="eastAsia" w:ascii="黑体" w:eastAsia="黑体"/>
          <w:sz w:val="24"/>
          <w:szCs w:val="20"/>
        </w:rPr>
        <w:br w:type="page"/>
      </w:r>
    </w:p>
    <w:bookmarkEnd w:id="76"/>
    <w:p>
      <w:pPr>
        <w:pStyle w:val="4"/>
        <w:rPr>
          <w:rFonts w:ascii="黑体" w:eastAsia="黑体"/>
          <w:b w:val="0"/>
          <w:bCs w:val="0"/>
          <w:sz w:val="24"/>
          <w:szCs w:val="20"/>
        </w:rPr>
      </w:pPr>
    </w:p>
    <w:p>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pPr>
        <w:widowControl/>
        <w:jc w:val="center"/>
        <w:rPr>
          <w:rFonts w:ascii="黑体" w:hAnsi="宋体" w:eastAsia="黑体"/>
          <w:kern w:val="0"/>
          <w:sz w:val="24"/>
          <w:szCs w:val="20"/>
        </w:rPr>
      </w:pPr>
    </w:p>
    <w:p>
      <w:pPr>
        <w:spacing w:after="120" w:afterLines="50" w:line="360" w:lineRule="exact"/>
        <w:ind w:firstLine="422" w:firstLineChars="200"/>
        <w:rPr>
          <w:rFonts w:ascii="宋体" w:hAnsi="宋体" w:cs="宋体"/>
          <w:b/>
          <w:bCs/>
          <w:szCs w:val="21"/>
        </w:rPr>
      </w:pPr>
      <w:r>
        <w:rPr>
          <w:rFonts w:hint="eastAsia" w:ascii="宋体" w:hAnsi="宋体" w:cs="宋体"/>
          <w:b/>
          <w:bCs/>
          <w:szCs w:val="21"/>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pPr>
              <w:spacing w:line="400" w:lineRule="exact"/>
              <w:jc w:val="center"/>
              <w:rPr>
                <w:rFonts w:ascii="宋体" w:hAnsi="宋体" w:cs="宋体"/>
                <w:szCs w:val="21"/>
              </w:rPr>
            </w:pPr>
            <w:r>
              <w:rPr>
                <w:rFonts w:hint="eastAsia" w:ascii="宋体" w:hAnsi="宋体" w:cs="宋体"/>
                <w:szCs w:val="21"/>
              </w:rPr>
              <w:t>序号</w:t>
            </w:r>
          </w:p>
        </w:tc>
        <w:tc>
          <w:tcPr>
            <w:tcW w:w="7811" w:type="dxa"/>
          </w:tcPr>
          <w:p>
            <w:pPr>
              <w:spacing w:line="400" w:lineRule="exact"/>
              <w:jc w:val="center"/>
              <w:rPr>
                <w:rFonts w:ascii="宋体" w:hAnsi="宋体" w:cs="宋体"/>
                <w:szCs w:val="21"/>
              </w:rPr>
            </w:pPr>
            <w:r>
              <w:rPr>
                <w:rFonts w:hint="eastAsia" w:ascii="宋体" w:hAnsi="宋体" w:cs="宋体"/>
                <w:b/>
                <w:bCs/>
                <w:szCs w:val="21"/>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pPr>
              <w:spacing w:line="400" w:lineRule="exact"/>
              <w:jc w:val="center"/>
              <w:rPr>
                <w:rFonts w:ascii="宋体" w:hAnsi="宋体" w:cs="宋体"/>
                <w:szCs w:val="21"/>
              </w:rPr>
            </w:pPr>
            <w:r>
              <w:rPr>
                <w:rFonts w:hint="eastAsia" w:ascii="宋体" w:hAnsi="宋体" w:cs="宋体"/>
                <w:szCs w:val="21"/>
              </w:rPr>
              <w:t>1</w:t>
            </w:r>
          </w:p>
        </w:tc>
        <w:tc>
          <w:tcPr>
            <w:tcW w:w="7811" w:type="dxa"/>
            <w:vAlign w:val="center"/>
          </w:tcPr>
          <w:p>
            <w:pPr>
              <w:spacing w:line="400" w:lineRule="exact"/>
              <w:jc w:val="left"/>
              <w:rPr>
                <w:rFonts w:ascii="宋体" w:hAnsi="宋体" w:cs="宋体"/>
                <w:szCs w:val="21"/>
              </w:rPr>
            </w:pPr>
            <w:r>
              <w:rPr>
                <w:rFonts w:hint="eastAsia" w:ascii="宋体" w:hAnsi="宋体" w:cs="宋体"/>
                <w:szCs w:val="21"/>
              </w:rPr>
              <w:t>与其他投标供应商的法定代表人、主要经营负责人、投标授权代表人、项目负责人、主要技术人员为</w:t>
            </w:r>
            <w:r>
              <w:rPr>
                <w:rFonts w:hint="eastAsia" w:ascii="宋体" w:hAnsi="宋体" w:cs="宋体"/>
                <w:b/>
                <w:bCs/>
                <w:szCs w:val="21"/>
              </w:rPr>
              <w:t>同一人、属同一单位或者在同一单位缴纳社会保险</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pPr>
              <w:spacing w:line="400" w:lineRule="exact"/>
              <w:jc w:val="center"/>
              <w:rPr>
                <w:rFonts w:ascii="宋体" w:hAnsi="宋体" w:cs="宋体"/>
                <w:szCs w:val="21"/>
              </w:rPr>
            </w:pPr>
            <w:r>
              <w:rPr>
                <w:rFonts w:hint="eastAsia" w:ascii="宋体" w:hAnsi="宋体" w:cs="宋体"/>
                <w:szCs w:val="21"/>
              </w:rPr>
              <w:t>2</w:t>
            </w:r>
          </w:p>
        </w:tc>
        <w:tc>
          <w:tcPr>
            <w:tcW w:w="7811" w:type="dxa"/>
            <w:vAlign w:val="center"/>
          </w:tcPr>
          <w:p>
            <w:pPr>
              <w:spacing w:line="400" w:lineRule="exact"/>
              <w:jc w:val="left"/>
              <w:rPr>
                <w:rFonts w:ascii="宋体" w:hAnsi="宋体" w:cs="宋体"/>
                <w:szCs w:val="21"/>
              </w:rPr>
            </w:pPr>
            <w:r>
              <w:rPr>
                <w:rFonts w:hint="eastAsia" w:ascii="宋体" w:hAnsi="宋体" w:cs="宋体"/>
                <w:szCs w:val="21"/>
              </w:rPr>
              <w:t>参与本项目政府采购活动时，与其他投标供应商存在单位负责人为</w:t>
            </w:r>
            <w:r>
              <w:rPr>
                <w:rFonts w:hint="eastAsia" w:ascii="宋体" w:hAnsi="宋体" w:cs="宋体"/>
                <w:b/>
                <w:bCs/>
                <w:szCs w:val="21"/>
              </w:rPr>
              <w:t>同一人或直接控股、管理关系</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pPr>
              <w:spacing w:line="400" w:lineRule="exact"/>
              <w:jc w:val="center"/>
              <w:rPr>
                <w:rFonts w:ascii="宋体" w:hAnsi="宋体" w:cs="宋体"/>
                <w:szCs w:val="21"/>
              </w:rPr>
            </w:pPr>
            <w:r>
              <w:rPr>
                <w:rFonts w:hint="eastAsia" w:ascii="宋体" w:hAnsi="宋体" w:cs="宋体"/>
                <w:szCs w:val="21"/>
              </w:rPr>
              <w:t>3</w:t>
            </w:r>
          </w:p>
        </w:tc>
        <w:tc>
          <w:tcPr>
            <w:tcW w:w="7811" w:type="dxa"/>
            <w:vAlign w:val="center"/>
          </w:tcPr>
          <w:p>
            <w:pPr>
              <w:spacing w:line="400" w:lineRule="exact"/>
              <w:jc w:val="left"/>
              <w:rPr>
                <w:rFonts w:ascii="宋体" w:hAnsi="宋体" w:cs="宋体"/>
                <w:szCs w:val="21"/>
              </w:rPr>
            </w:pPr>
            <w:r>
              <w:rPr>
                <w:rFonts w:hint="eastAsia" w:ascii="宋体" w:hAnsi="宋体" w:cs="宋体"/>
                <w:szCs w:val="21"/>
              </w:rPr>
              <w:t>与其他投标供应商的投标文件或部分投标文件</w:t>
            </w:r>
            <w:r>
              <w:rPr>
                <w:rFonts w:hint="eastAsia" w:ascii="宋体" w:hAnsi="宋体" w:cs="宋体"/>
                <w:b/>
                <w:bCs/>
                <w:szCs w:val="21"/>
              </w:rPr>
              <w:t>相互混装或存在非正常一致</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pPr>
              <w:spacing w:line="400" w:lineRule="exact"/>
              <w:jc w:val="center"/>
              <w:rPr>
                <w:rFonts w:ascii="宋体" w:hAnsi="宋体" w:cs="宋体"/>
                <w:szCs w:val="21"/>
              </w:rPr>
            </w:pPr>
            <w:r>
              <w:rPr>
                <w:rFonts w:hint="eastAsia" w:ascii="宋体" w:hAnsi="宋体" w:cs="宋体"/>
                <w:szCs w:val="21"/>
              </w:rPr>
              <w:t>4</w:t>
            </w:r>
          </w:p>
        </w:tc>
        <w:tc>
          <w:tcPr>
            <w:tcW w:w="7811" w:type="dxa"/>
            <w:vAlign w:val="center"/>
          </w:tcPr>
          <w:p>
            <w:pPr>
              <w:spacing w:line="400" w:lineRule="exact"/>
              <w:jc w:val="left"/>
              <w:rPr>
                <w:rFonts w:ascii="宋体" w:hAnsi="宋体" w:cs="宋体"/>
                <w:szCs w:val="21"/>
              </w:rPr>
            </w:pPr>
            <w:r>
              <w:rPr>
                <w:rFonts w:hint="eastAsia" w:ascii="宋体" w:hAnsi="宋体" w:cs="宋体"/>
                <w:szCs w:val="21"/>
              </w:rPr>
              <w:t>与其他投标供应商的投标文件由</w:t>
            </w:r>
            <w:r>
              <w:rPr>
                <w:rFonts w:hint="eastAsia" w:ascii="宋体" w:hAnsi="宋体" w:cs="宋体"/>
                <w:b/>
                <w:bCs/>
                <w:szCs w:val="21"/>
              </w:rPr>
              <w:t>同一单位或者同一人编制</w:t>
            </w:r>
            <w:r>
              <w:rPr>
                <w:rFonts w:hint="eastAsia" w:ascii="宋体" w:hAnsi="宋体" w:cs="宋体"/>
                <w:szCs w:val="21"/>
              </w:rPr>
              <w:t>，或者使用</w:t>
            </w:r>
            <w:r>
              <w:rPr>
                <w:rFonts w:hint="eastAsia" w:ascii="宋体" w:hAnsi="宋体" w:cs="宋体"/>
                <w:b/>
                <w:bCs/>
                <w:szCs w:val="21"/>
              </w:rPr>
              <w:t>同一设备编制</w:t>
            </w:r>
            <w:r>
              <w:rPr>
                <w:rFonts w:hint="eastAsia" w:ascii="宋体" w:hAnsi="宋体" w:cs="宋体"/>
                <w:szCs w:val="21"/>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pPr>
              <w:spacing w:line="400" w:lineRule="exact"/>
              <w:jc w:val="center"/>
              <w:rPr>
                <w:rFonts w:ascii="宋体" w:hAnsi="宋体" w:cs="宋体"/>
                <w:szCs w:val="21"/>
              </w:rPr>
            </w:pPr>
            <w:r>
              <w:rPr>
                <w:rFonts w:hint="eastAsia" w:ascii="宋体" w:hAnsi="宋体" w:cs="宋体"/>
                <w:szCs w:val="21"/>
              </w:rPr>
              <w:t>5</w:t>
            </w:r>
          </w:p>
        </w:tc>
        <w:tc>
          <w:tcPr>
            <w:tcW w:w="7811" w:type="dxa"/>
            <w:vAlign w:val="center"/>
          </w:tcPr>
          <w:p>
            <w:pPr>
              <w:spacing w:line="400" w:lineRule="exact"/>
              <w:jc w:val="left"/>
              <w:rPr>
                <w:rFonts w:ascii="宋体" w:hAnsi="宋体" w:cs="宋体"/>
                <w:szCs w:val="21"/>
              </w:rPr>
            </w:pPr>
            <w:r>
              <w:rPr>
                <w:rFonts w:hint="eastAsia" w:ascii="宋体" w:hAnsi="宋体" w:cs="宋体"/>
                <w:szCs w:val="21"/>
              </w:rPr>
              <w:t>提供</w:t>
            </w:r>
            <w:r>
              <w:rPr>
                <w:rFonts w:hint="eastAsia" w:ascii="宋体" w:hAnsi="宋体" w:cs="宋体"/>
                <w:b/>
                <w:bCs/>
                <w:szCs w:val="21"/>
              </w:rPr>
              <w:t>未经出具机构核实</w:t>
            </w:r>
            <w:r>
              <w:rPr>
                <w:rFonts w:hint="eastAsia" w:ascii="宋体" w:hAnsi="宋体" w:cs="宋体"/>
                <w:szCs w:val="21"/>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pPr>
              <w:spacing w:line="400" w:lineRule="exact"/>
              <w:jc w:val="center"/>
              <w:rPr>
                <w:rFonts w:ascii="宋体" w:hAnsi="宋体" w:cs="宋体"/>
                <w:szCs w:val="21"/>
              </w:rPr>
            </w:pPr>
            <w:r>
              <w:rPr>
                <w:rFonts w:hint="eastAsia" w:ascii="宋体" w:hAnsi="宋体" w:cs="宋体"/>
                <w:szCs w:val="21"/>
              </w:rPr>
              <w:t>6</w:t>
            </w:r>
          </w:p>
        </w:tc>
        <w:tc>
          <w:tcPr>
            <w:tcW w:w="7811" w:type="dxa"/>
            <w:vAlign w:val="center"/>
          </w:tcPr>
          <w:p>
            <w:pPr>
              <w:spacing w:line="400" w:lineRule="exact"/>
              <w:jc w:val="left"/>
              <w:rPr>
                <w:rFonts w:ascii="宋体" w:hAnsi="宋体" w:cs="宋体"/>
                <w:szCs w:val="21"/>
              </w:rPr>
            </w:pPr>
            <w:r>
              <w:rPr>
                <w:rFonts w:hint="eastAsia" w:ascii="宋体" w:hAnsi="宋体" w:cs="宋体"/>
                <w:szCs w:val="21"/>
              </w:rPr>
              <w:t>擅自将投标密钥或电子营业执照出借他人使用或未妥善保管。</w:t>
            </w:r>
          </w:p>
        </w:tc>
      </w:tr>
    </w:tbl>
    <w:p>
      <w:pPr>
        <w:spacing w:before="120" w:beforeLines="50" w:line="380" w:lineRule="exact"/>
        <w:ind w:firstLine="422" w:firstLineChars="200"/>
        <w:rPr>
          <w:rFonts w:ascii="宋体" w:hAnsi="宋体" w:cs="宋体"/>
          <w:b/>
          <w:szCs w:val="21"/>
        </w:rPr>
      </w:pPr>
      <w:r>
        <w:rPr>
          <w:rFonts w:hint="eastAsia" w:ascii="宋体" w:hAnsi="宋体" w:cs="宋体"/>
          <w:b/>
          <w:szCs w:val="21"/>
        </w:rPr>
        <w:t>一、我单位已充分知悉“隐瞒真实情况，提供虚假资料”的法定情形，包括但不限于：</w:t>
      </w:r>
    </w:p>
    <w:p>
      <w:pPr>
        <w:spacing w:line="380" w:lineRule="exact"/>
        <w:ind w:firstLine="420" w:firstLineChars="200"/>
        <w:rPr>
          <w:rFonts w:ascii="宋体" w:hAnsi="宋体" w:cs="宋体"/>
          <w:szCs w:val="21"/>
        </w:rPr>
      </w:pPr>
      <w:r>
        <w:rPr>
          <w:rFonts w:hint="eastAsia" w:ascii="宋体" w:hAnsi="宋体" w:cs="宋体"/>
          <w:szCs w:val="21"/>
        </w:rPr>
        <w:t>（一）通过转让或者租借等方式从其他单位获取资格或者资质证书投标的。</w:t>
      </w:r>
    </w:p>
    <w:p>
      <w:pPr>
        <w:spacing w:line="380" w:lineRule="exact"/>
        <w:ind w:firstLine="420" w:firstLineChars="200"/>
        <w:rPr>
          <w:rFonts w:ascii="宋体" w:hAnsi="宋体" w:cs="宋体"/>
          <w:szCs w:val="21"/>
        </w:rPr>
      </w:pPr>
      <w:r>
        <w:rPr>
          <w:rFonts w:hint="eastAsia" w:ascii="宋体" w:hAnsi="宋体" w:cs="宋体"/>
          <w:szCs w:val="21"/>
        </w:rPr>
        <w:t>（二）由其他单位或者其他单位负责人在投标供应商编制的投标文件上加盖印章或者签字的。</w:t>
      </w:r>
    </w:p>
    <w:p>
      <w:pPr>
        <w:spacing w:line="380" w:lineRule="exact"/>
        <w:ind w:firstLine="420" w:firstLineChars="200"/>
        <w:rPr>
          <w:rFonts w:ascii="宋体" w:hAnsi="宋体" w:cs="宋体"/>
          <w:szCs w:val="21"/>
        </w:rPr>
      </w:pPr>
      <w:r>
        <w:rPr>
          <w:rFonts w:hint="eastAsia" w:ascii="宋体" w:hAnsi="宋体" w:cs="宋体"/>
          <w:szCs w:val="21"/>
        </w:rPr>
        <w:t>（三）项目负责人或者主要技术人员不是本单位人员的。</w:t>
      </w:r>
    </w:p>
    <w:p>
      <w:pPr>
        <w:spacing w:line="380" w:lineRule="exact"/>
        <w:ind w:firstLine="420" w:firstLineChars="200"/>
        <w:rPr>
          <w:rFonts w:ascii="宋体" w:hAnsi="宋体" w:cs="宋体"/>
          <w:szCs w:val="21"/>
        </w:rPr>
      </w:pPr>
      <w:r>
        <w:rPr>
          <w:rFonts w:hint="eastAsia" w:ascii="宋体" w:hAnsi="宋体" w:cs="宋体"/>
          <w:szCs w:val="21"/>
        </w:rPr>
        <w:t>（四）投标保证金不是从投标供应商基本账户转出的。</w:t>
      </w:r>
    </w:p>
    <w:p>
      <w:pPr>
        <w:spacing w:line="380" w:lineRule="exact"/>
        <w:ind w:firstLine="420" w:firstLineChars="200"/>
        <w:rPr>
          <w:rFonts w:ascii="宋体" w:hAnsi="宋体" w:cs="宋体"/>
          <w:szCs w:val="21"/>
        </w:rPr>
      </w:pPr>
      <w:r>
        <w:rPr>
          <w:rFonts w:hint="eastAsia" w:ascii="宋体" w:hAnsi="宋体" w:cs="宋体"/>
          <w:szCs w:val="21"/>
        </w:rPr>
        <w:t>（五）其他隐瞒真实情况、提供虚假资料的行为。</w:t>
      </w:r>
    </w:p>
    <w:p>
      <w:pPr>
        <w:spacing w:line="380" w:lineRule="exact"/>
        <w:ind w:firstLine="422" w:firstLineChars="200"/>
        <w:rPr>
          <w:rFonts w:ascii="宋体" w:hAnsi="宋体" w:cs="宋体"/>
          <w:b/>
          <w:szCs w:val="21"/>
        </w:rPr>
      </w:pPr>
      <w:r>
        <w:rPr>
          <w:rFonts w:hint="eastAsia" w:ascii="宋体" w:hAnsi="宋体" w:cs="宋体"/>
          <w:b/>
          <w:szCs w:val="21"/>
        </w:rPr>
        <w:t>二、我单位已充分知悉“与其他采购参加人串通投标”的法定情形，包括但不限于：</w:t>
      </w:r>
    </w:p>
    <w:p>
      <w:pPr>
        <w:spacing w:line="380" w:lineRule="exact"/>
        <w:ind w:firstLine="420" w:firstLineChars="200"/>
        <w:rPr>
          <w:rFonts w:ascii="宋体" w:hAnsi="宋体" w:cs="宋体"/>
          <w:szCs w:val="21"/>
        </w:rPr>
      </w:pPr>
      <w:r>
        <w:rPr>
          <w:rFonts w:hint="eastAsia" w:ascii="宋体" w:hAnsi="宋体" w:cs="宋体"/>
          <w:szCs w:val="21"/>
        </w:rPr>
        <w:t>（一）投标供应商之间相互约定给予未中标的供应商利益补偿。</w:t>
      </w:r>
    </w:p>
    <w:p>
      <w:pPr>
        <w:spacing w:line="380" w:lineRule="exact"/>
        <w:ind w:firstLine="420" w:firstLineChars="200"/>
        <w:rPr>
          <w:rFonts w:ascii="宋体" w:hAnsi="宋体" w:cs="宋体"/>
          <w:szCs w:val="21"/>
        </w:rPr>
      </w:pPr>
      <w:r>
        <w:rPr>
          <w:rFonts w:hint="eastAsia" w:ascii="宋体" w:hAnsi="宋体" w:cs="宋体"/>
          <w:szCs w:val="21"/>
        </w:rPr>
        <w:t>（二）不同投标供应商的法定代表人、主要经营负责人、项目投标授权代表人、项目负责人、主要技术人员为同一人、属同一单位或者在同一单位缴纳社会保险。</w:t>
      </w:r>
    </w:p>
    <w:p>
      <w:pPr>
        <w:spacing w:line="340" w:lineRule="exact"/>
        <w:ind w:firstLine="420" w:firstLineChars="200"/>
        <w:rPr>
          <w:rFonts w:ascii="宋体" w:hAnsi="宋体" w:cs="宋体"/>
          <w:szCs w:val="21"/>
        </w:rPr>
      </w:pPr>
      <w:r>
        <w:rPr>
          <w:rFonts w:hint="eastAsia" w:ascii="宋体" w:hAnsi="宋体" w:cs="宋体"/>
          <w:szCs w:val="21"/>
        </w:rPr>
        <w:t>（三）不同投标供应商的投标文件由同一单位或者同一人编制，或者由同一人分阶段参与编制的。</w:t>
      </w:r>
    </w:p>
    <w:p>
      <w:pPr>
        <w:spacing w:line="340" w:lineRule="exact"/>
        <w:ind w:firstLine="420" w:firstLineChars="200"/>
        <w:rPr>
          <w:rFonts w:ascii="宋体" w:hAnsi="宋体" w:cs="宋体"/>
          <w:szCs w:val="21"/>
        </w:rPr>
      </w:pPr>
      <w:r>
        <w:rPr>
          <w:rFonts w:hint="eastAsia" w:ascii="宋体" w:hAnsi="宋体" w:cs="宋体"/>
          <w:szCs w:val="21"/>
        </w:rPr>
        <w:t>（四）不同投标供应商的投标文件或部分投标文件相互混装。</w:t>
      </w:r>
    </w:p>
    <w:p>
      <w:pPr>
        <w:spacing w:line="340" w:lineRule="exact"/>
        <w:ind w:firstLine="420" w:firstLineChars="200"/>
        <w:rPr>
          <w:rFonts w:ascii="宋体" w:hAnsi="宋体" w:cs="宋体"/>
          <w:szCs w:val="21"/>
        </w:rPr>
      </w:pPr>
      <w:r>
        <w:rPr>
          <w:rFonts w:hint="eastAsia" w:ascii="宋体" w:hAnsi="宋体" w:cs="宋体"/>
          <w:szCs w:val="21"/>
        </w:rPr>
        <w:t>（五）不同投标供应商的投标文件内容存在非正常一致。</w:t>
      </w:r>
    </w:p>
    <w:p>
      <w:pPr>
        <w:spacing w:line="340" w:lineRule="exact"/>
        <w:ind w:firstLine="420" w:firstLineChars="200"/>
        <w:rPr>
          <w:rFonts w:ascii="宋体" w:hAnsi="宋体" w:cs="宋体"/>
          <w:szCs w:val="21"/>
        </w:rPr>
      </w:pPr>
      <w:r>
        <w:rPr>
          <w:rFonts w:hint="eastAsia" w:ascii="宋体" w:hAnsi="宋体" w:cs="宋体"/>
          <w:szCs w:val="21"/>
        </w:rPr>
        <w:t>（六）由同一单位工作人员为两家以上（含两家）供应商进行同一项投标活动的。</w:t>
      </w:r>
    </w:p>
    <w:p>
      <w:pPr>
        <w:spacing w:line="340" w:lineRule="exact"/>
        <w:ind w:firstLine="420" w:firstLineChars="200"/>
        <w:rPr>
          <w:rFonts w:ascii="宋体" w:hAnsi="宋体" w:cs="宋体"/>
          <w:szCs w:val="21"/>
        </w:rPr>
      </w:pPr>
      <w:r>
        <w:rPr>
          <w:rFonts w:hint="eastAsia" w:ascii="宋体" w:hAnsi="宋体" w:cs="宋体"/>
          <w:szCs w:val="21"/>
        </w:rPr>
        <w:t>（七）不同投标人的投标报价呈规律性差异。</w:t>
      </w:r>
    </w:p>
    <w:p>
      <w:pPr>
        <w:spacing w:line="340" w:lineRule="exact"/>
        <w:ind w:firstLine="420" w:firstLineChars="200"/>
        <w:rPr>
          <w:rFonts w:ascii="宋体" w:hAnsi="宋体" w:cs="宋体"/>
          <w:szCs w:val="21"/>
        </w:rPr>
      </w:pPr>
      <w:r>
        <w:rPr>
          <w:rFonts w:hint="eastAsia" w:ascii="宋体" w:hAnsi="宋体" w:cs="宋体"/>
          <w:szCs w:val="21"/>
        </w:rPr>
        <w:t>（八）不同投标人的投标保证金从同一单位或者个人的账户转出。</w:t>
      </w:r>
    </w:p>
    <w:p>
      <w:pPr>
        <w:spacing w:line="340" w:lineRule="exact"/>
        <w:ind w:firstLine="420" w:firstLineChars="200"/>
        <w:rPr>
          <w:rFonts w:ascii="宋体" w:hAnsi="宋体" w:cs="宋体"/>
          <w:szCs w:val="21"/>
        </w:rPr>
      </w:pPr>
      <w:r>
        <w:rPr>
          <w:rFonts w:hint="eastAsia" w:ascii="宋体" w:hAnsi="宋体" w:cs="宋体"/>
          <w:szCs w:val="21"/>
        </w:rPr>
        <w:t>（九）主管部门依照法律、法规认定的其他情形。</w:t>
      </w:r>
    </w:p>
    <w:p>
      <w:pPr>
        <w:spacing w:line="340" w:lineRule="exact"/>
        <w:ind w:firstLine="422" w:firstLineChars="200"/>
        <w:rPr>
          <w:rFonts w:ascii="宋体" w:hAnsi="宋体" w:cs="宋体"/>
          <w:b/>
          <w:szCs w:val="21"/>
        </w:rPr>
      </w:pPr>
      <w:r>
        <w:rPr>
          <w:rFonts w:hint="eastAsia" w:ascii="宋体" w:hAnsi="宋体" w:cs="宋体"/>
          <w:b/>
          <w:szCs w:val="21"/>
        </w:rPr>
        <w:t>三、我单位已充分知悉下列情形存在法律风险，在投标前已对相关风险事项进行排查。</w:t>
      </w:r>
    </w:p>
    <w:p>
      <w:pPr>
        <w:spacing w:line="340" w:lineRule="exact"/>
        <w:ind w:firstLine="420" w:firstLineChars="200"/>
        <w:rPr>
          <w:rFonts w:ascii="宋体" w:hAnsi="宋体" w:cs="宋体"/>
          <w:b/>
          <w:szCs w:val="21"/>
        </w:rPr>
      </w:pPr>
      <w:r>
        <w:rPr>
          <w:rFonts w:hint="eastAsia" w:ascii="宋体" w:hAnsi="宋体" w:cs="宋体"/>
          <w:szCs w:val="21"/>
        </w:rPr>
        <w:t>（一）对于从其他主体获取的投标资料，我单位应审慎核查，确保其真实性。</w:t>
      </w:r>
      <w:r>
        <w:rPr>
          <w:rFonts w:hint="eastAsia" w:ascii="宋体" w:hAnsi="宋体" w:cs="宋体"/>
          <w:b/>
          <w:szCs w:val="21"/>
        </w:rPr>
        <w:t>如主管部门查实投标文件中存在虚假资料的，无论相关资料是否由第三方或本公司员工提供，均不影响主管部门对供应商存在“隐瞒真实情况，提供虚假资料”违法行为的认定。</w:t>
      </w:r>
    </w:p>
    <w:p>
      <w:pPr>
        <w:spacing w:line="340" w:lineRule="exact"/>
        <w:ind w:firstLine="420" w:firstLineChars="200"/>
        <w:rPr>
          <w:rFonts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（二）对于涉及国家机关出具的公文、证件、证明材料等文件，一旦涉嫌虚假，经查实，主管部门将依法从严处理，并移送有关部门追究法律责任；涉嫌犯罪的，移送司法机关处理。</w:t>
      </w:r>
    </w:p>
    <w:p>
      <w:pPr>
        <w:spacing w:line="340" w:lineRule="exact"/>
        <w:ind w:firstLine="420" w:firstLineChars="200"/>
        <w:rPr>
          <w:rFonts w:ascii="宋体" w:hAnsi="宋体" w:cs="宋体"/>
          <w:szCs w:val="21"/>
        </w:rPr>
      </w:pPr>
      <w:r>
        <w:rPr>
          <w:rFonts w:hint="eastAsia" w:ascii="宋体" w:hAnsi="宋体" w:cs="宋体"/>
          <w:szCs w:val="21"/>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cs="宋体"/>
          <w:b/>
          <w:bCs/>
          <w:szCs w:val="21"/>
        </w:rPr>
        <w:t>擅自将投标密钥或电子营业执照出借他人使用所造成的法律后果，由我单位自行承担</w:t>
      </w:r>
      <w:r>
        <w:rPr>
          <w:rFonts w:hint="eastAsia" w:ascii="宋体" w:hAnsi="宋体" w:cs="宋体"/>
          <w:szCs w:val="21"/>
        </w:rPr>
        <w:t>。</w:t>
      </w:r>
    </w:p>
    <w:p>
      <w:pPr>
        <w:spacing w:line="340" w:lineRule="exact"/>
        <w:ind w:firstLine="422" w:firstLineChars="200"/>
        <w:rPr>
          <w:rFonts w:ascii="宋体" w:hAnsi="宋体" w:cs="宋体"/>
          <w:b/>
          <w:szCs w:val="21"/>
        </w:rPr>
      </w:pPr>
      <w:r>
        <w:rPr>
          <w:rFonts w:hint="eastAsia" w:ascii="宋体" w:hAnsi="宋体" w:cs="宋体"/>
          <w:b/>
          <w:szCs w:val="21"/>
        </w:rPr>
        <w:t>四、我单位已充分知悉政府采购违法、违规行为的法律后果。</w:t>
      </w:r>
    </w:p>
    <w:p>
      <w:pPr>
        <w:spacing w:line="340" w:lineRule="exact"/>
        <w:ind w:firstLine="420" w:firstLineChars="200"/>
        <w:rPr>
          <w:rFonts w:ascii="宋体" w:hAnsi="宋体" w:cs="宋体"/>
          <w:szCs w:val="21"/>
        </w:rPr>
      </w:pPr>
      <w:r>
        <w:rPr>
          <w:rFonts w:hint="eastAsia" w:ascii="宋体" w:hAnsi="宋体" w:cs="宋体"/>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pPr>
        <w:spacing w:line="340" w:lineRule="exact"/>
        <w:ind w:firstLine="420" w:firstLineChars="200"/>
        <w:rPr>
          <w:rFonts w:ascii="宋体" w:hAnsi="宋体" w:cs="宋体"/>
          <w:szCs w:val="21"/>
          <w:highlight w:val="yellow"/>
        </w:rPr>
      </w:pPr>
      <w:r>
        <w:rPr>
          <w:rFonts w:hint="eastAsia" w:ascii="宋体" w:hAnsi="宋体" w:cs="宋体"/>
          <w:szCs w:val="21"/>
          <w:highlight w:val="yellow"/>
        </w:rPr>
        <w:t>以下文字请投标供应商抄写并确认：“我单位已仔细阅读《政府采购违法行为风险知悉确认书》，充分知悉违法行为的法律后果，并承诺将严谨、诚信、依法依规参与政府采购活动”。</w:t>
      </w:r>
    </w:p>
    <w:tbl>
      <w:tblPr>
        <w:tblStyle w:val="476"/>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340" w:lineRule="exact"/>
              <w:ind w:firstLine="1866"/>
              <w:rPr>
                <w:rFonts w:ascii="宋体" w:hAnsi="宋体" w:cs="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340" w:lineRule="exact"/>
              <w:ind w:firstLine="1866"/>
              <w:rPr>
                <w:rFonts w:ascii="宋体" w:hAnsi="宋体" w:cs="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340" w:lineRule="exact"/>
              <w:ind w:firstLine="1866"/>
              <w:rPr>
                <w:rFonts w:ascii="宋体" w:hAnsi="宋体" w:cs="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340" w:lineRule="exact"/>
              <w:ind w:firstLine="1866"/>
              <w:rPr>
                <w:rFonts w:ascii="宋体" w:hAnsi="宋体" w:cs="宋体" w:eastAsiaTheme="minorEastAsia"/>
                <w:spacing w:val="-4"/>
                <w:kern w:val="0"/>
                <w:szCs w:val="21"/>
              </w:rPr>
            </w:pPr>
          </w:p>
        </w:tc>
      </w:tr>
    </w:tbl>
    <w:p>
      <w:pPr>
        <w:widowControl/>
        <w:wordWrap w:val="0"/>
        <w:autoSpaceDE w:val="0"/>
        <w:autoSpaceDN w:val="0"/>
        <w:spacing w:line="340" w:lineRule="exact"/>
        <w:ind w:right="808" w:firstLine="404" w:firstLineChars="200"/>
        <w:jc w:val="right"/>
        <w:rPr>
          <w:rFonts w:ascii="宋体" w:hAnsi="宋体" w:cs="宋体"/>
          <w:spacing w:val="-4"/>
          <w:kern w:val="0"/>
          <w:szCs w:val="21"/>
        </w:rPr>
      </w:pPr>
    </w:p>
    <w:p>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单位负责人签名：</w:t>
      </w:r>
      <w:r>
        <w:rPr>
          <w:rFonts w:hint="eastAsia" w:ascii="宋体" w:hAnsi="宋体" w:cs="宋体"/>
          <w:spacing w:val="-4"/>
          <w:kern w:val="0"/>
          <w:szCs w:val="21"/>
          <w:u w:val="single"/>
        </w:rPr>
        <w:t xml:space="preserve">              </w:t>
      </w:r>
    </w:p>
    <w:p>
      <w:pPr>
        <w:widowControl/>
        <w:wordWrap w:val="0"/>
        <w:autoSpaceDE w:val="0"/>
        <w:autoSpaceDN w:val="0"/>
        <w:spacing w:line="340" w:lineRule="exact"/>
        <w:ind w:right="808" w:firstLine="404" w:firstLineChars="200"/>
        <w:jc w:val="center"/>
        <w:rPr>
          <w:rFonts w:ascii="宋体" w:hAnsi="宋体" w:cs="宋体"/>
          <w:spacing w:val="-4"/>
          <w:kern w:val="0"/>
          <w:szCs w:val="21"/>
          <w:u w:val="single"/>
        </w:rPr>
      </w:pPr>
      <w:r>
        <w:rPr>
          <w:rFonts w:hint="eastAsia" w:ascii="宋体" w:hAnsi="宋体" w:cs="宋体"/>
          <w:spacing w:val="-4"/>
          <w:kern w:val="0"/>
          <w:szCs w:val="21"/>
        </w:rPr>
        <w:t xml:space="preserve">                                 （加盖公章）</w:t>
      </w:r>
    </w:p>
    <w:p>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 xml:space="preserve">     日期：</w:t>
      </w:r>
      <w:r>
        <w:rPr>
          <w:rFonts w:hint="eastAsia" w:ascii="宋体" w:hAnsi="宋体" w:cs="宋体"/>
          <w:spacing w:val="-4"/>
          <w:kern w:val="0"/>
          <w:szCs w:val="21"/>
          <w:u w:val="single"/>
        </w:rPr>
        <w:t xml:space="preserve">              </w:t>
      </w:r>
    </w:p>
    <w:p>
      <w:pPr>
        <w:widowControl/>
        <w:autoSpaceDE w:val="0"/>
        <w:autoSpaceDN w:val="0"/>
        <w:spacing w:line="340" w:lineRule="exact"/>
        <w:ind w:firstLine="406" w:firstLineChars="200"/>
        <w:jc w:val="left"/>
        <w:rPr>
          <w:rFonts w:ascii="宋体" w:hAnsi="宋体" w:cs="宋体"/>
          <w:b/>
          <w:bCs/>
          <w:spacing w:val="-4"/>
          <w:kern w:val="0"/>
          <w:szCs w:val="21"/>
        </w:rPr>
      </w:pPr>
    </w:p>
    <w:p>
      <w:pPr>
        <w:widowControl/>
        <w:autoSpaceDE w:val="0"/>
        <w:autoSpaceDN w:val="0"/>
        <w:spacing w:line="340" w:lineRule="exact"/>
        <w:ind w:firstLine="406" w:firstLineChars="200"/>
        <w:jc w:val="left"/>
        <w:rPr>
          <w:rFonts w:ascii="宋体" w:hAnsi="宋体" w:cs="宋体"/>
          <w:b/>
          <w:bCs/>
          <w:spacing w:val="-4"/>
          <w:kern w:val="0"/>
          <w:szCs w:val="21"/>
        </w:rPr>
      </w:pPr>
      <w:r>
        <w:rPr>
          <w:rFonts w:hint="eastAsia" w:ascii="宋体" w:hAnsi="宋体" w:cs="宋体"/>
          <w:b/>
          <w:bCs/>
          <w:spacing w:val="-4"/>
          <w:kern w:val="0"/>
          <w:szCs w:val="21"/>
        </w:rPr>
        <w:t>注：1.《政府采购违法行为风险知悉确认书》需由投标供应商负责人签字并加盖单位公章后，扫描上传至投标文件一并提交。</w:t>
      </w:r>
    </w:p>
    <w:p>
      <w:pPr>
        <w:pStyle w:val="2"/>
        <w:rPr>
          <w:lang w:bidi="ar"/>
        </w:rPr>
      </w:pPr>
      <w:r>
        <w:rPr>
          <w:rFonts w:hint="eastAsia" w:ascii="宋体" w:hAnsi="宋体" w:cs="宋体"/>
          <w:b/>
          <w:bCs/>
          <w:spacing w:val="-4"/>
          <w:kern w:val="0"/>
          <w:szCs w:val="21"/>
        </w:rPr>
        <w:t>2.根据《深圳市财政局关于在采购文件及深圳政府采购智慧平台增设供应商投标特别警示条款等事宜的通知》（深财购〔2025〕7号）的要求，《政府采购违法行为风险知悉确认书》用于对供应商违法行为的提醒，不作为供应商资格性审查及符合性审查条件。</w:t>
      </w:r>
    </w:p>
    <w:p>
      <w:pPr>
        <w:widowControl/>
        <w:autoSpaceDE w:val="0"/>
        <w:autoSpaceDN w:val="0"/>
        <w:spacing w:line="400" w:lineRule="exact"/>
        <w:jc w:val="left"/>
        <w:rPr>
          <w:rFonts w:ascii="宋体" w:hAnsi="宋体" w:eastAsiaTheme="minorEastAsia"/>
          <w:color w:val="FF0000"/>
          <w:spacing w:val="-4"/>
          <w:kern w:val="0"/>
          <w:szCs w:val="21"/>
        </w:rPr>
      </w:pPr>
    </w:p>
    <w:p>
      <w:pPr>
        <w:widowControl/>
        <w:autoSpaceDE w:val="0"/>
        <w:autoSpaceDN w:val="0"/>
        <w:spacing w:line="400" w:lineRule="exact"/>
        <w:ind w:firstLine="482" w:firstLineChars="200"/>
        <w:jc w:val="left"/>
        <w:rPr>
          <w:rFonts w:eastAsiaTheme="minorEastAsia"/>
          <w:b/>
          <w:bCs/>
          <w:kern w:val="0"/>
          <w:sz w:val="24"/>
        </w:rPr>
      </w:pPr>
    </w:p>
    <w:p>
      <w:pPr>
        <w:rPr>
          <w:rFonts w:ascii="黑体" w:eastAsia="黑体"/>
          <w:sz w:val="24"/>
          <w:szCs w:val="20"/>
        </w:rPr>
      </w:pPr>
      <w:r>
        <w:rPr>
          <w:rFonts w:hint="eastAsia" w:ascii="黑体" w:eastAsia="黑体"/>
          <w:sz w:val="24"/>
          <w:szCs w:val="20"/>
        </w:rPr>
        <w:br w:type="page"/>
      </w:r>
    </w:p>
    <w:p>
      <w:pPr>
        <w:jc w:val="center"/>
        <w:rPr>
          <w:rFonts w:ascii="黑体" w:eastAsia="黑体"/>
          <w:sz w:val="24"/>
          <w:szCs w:val="20"/>
        </w:rPr>
      </w:pPr>
      <w:r>
        <w:rPr>
          <w:rFonts w:hint="eastAsia" w:ascii="黑体" w:eastAsia="黑体"/>
          <w:sz w:val="24"/>
          <w:szCs w:val="20"/>
        </w:rPr>
        <w:t>（二）订单融资情况</w:t>
      </w:r>
    </w:p>
    <w:p>
      <w:pPr>
        <w:ind w:firstLine="422" w:firstLineChars="200"/>
        <w:rPr>
          <w:rFonts w:ascii="宋体" w:hAnsi="宋体" w:cs="宋体"/>
          <w:b/>
          <w:bCs/>
        </w:rPr>
      </w:pPr>
      <w:r>
        <w:rPr>
          <w:rFonts w:hint="eastAsia" w:ascii="宋体" w:hAnsi="宋体" w:cs="宋体"/>
          <w:b/>
          <w:bCs/>
        </w:rPr>
        <w:t>1、关于政府采购订单融资政策</w:t>
      </w:r>
    </w:p>
    <w:p>
      <w:pPr>
        <w:pStyle w:val="9"/>
        <w:spacing w:line="240" w:lineRule="auto"/>
        <w:ind w:firstLine="420" w:firstLineChars="200"/>
        <w:rPr>
          <w:b w:val="0"/>
          <w:sz w:val="21"/>
          <w:szCs w:val="21"/>
        </w:rPr>
      </w:pPr>
      <w:r>
        <w:rPr>
          <w:rFonts w:hint="eastAsia"/>
          <w:b w:val="0"/>
          <w:sz w:val="21"/>
          <w:szCs w:val="21"/>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ind w:firstLine="422" w:firstLineChars="200"/>
        <w:rPr>
          <w:rFonts w:ascii="宋体" w:hAnsi="宋体" w:cs="宋体"/>
          <w:b/>
          <w:bCs/>
        </w:rPr>
      </w:pPr>
      <w:r>
        <w:rPr>
          <w:rFonts w:hint="eastAsia" w:ascii="宋体" w:hAnsi="宋体" w:cs="宋体"/>
          <w:b/>
          <w:bCs/>
        </w:rPr>
        <w:t>2、供应商账户信息</w:t>
      </w:r>
    </w:p>
    <w:p>
      <w:pPr>
        <w:ind w:left="420" w:leftChars="200" w:firstLine="210" w:firstLineChars="100"/>
        <w:rPr>
          <w:szCs w:val="21"/>
        </w:rPr>
      </w:pPr>
      <w:r>
        <w:rPr>
          <w:rFonts w:hint="eastAsia"/>
          <w:szCs w:val="21"/>
        </w:rPr>
        <w:t>投标人（单位全称）：</w:t>
      </w:r>
      <w:r>
        <w:rPr>
          <w:rFonts w:hint="eastAsia"/>
          <w:szCs w:val="21"/>
          <w:u w:val="thick"/>
        </w:rPr>
        <w:t xml:space="preserve">                                                          </w:t>
      </w:r>
      <w:r>
        <w:rPr>
          <w:rFonts w:hint="eastAsia"/>
          <w:szCs w:val="21"/>
        </w:rPr>
        <w:t xml:space="preserve">；  </w:t>
      </w:r>
    </w:p>
    <w:p>
      <w:pPr>
        <w:ind w:left="420" w:leftChars="200" w:firstLine="210" w:firstLineChars="100"/>
        <w:rPr>
          <w:szCs w:val="21"/>
        </w:rPr>
      </w:pPr>
      <w:r>
        <w:rPr>
          <w:rFonts w:hint="eastAsia"/>
          <w:szCs w:val="21"/>
        </w:rPr>
        <w:t>投标人单位地址：</w:t>
      </w:r>
      <w:r>
        <w:rPr>
          <w:rFonts w:hint="eastAsia"/>
          <w:szCs w:val="21"/>
          <w:u w:val="thick"/>
        </w:rPr>
        <w:t xml:space="preserve">                                          </w:t>
      </w:r>
      <w:r>
        <w:rPr>
          <w:rFonts w:hint="eastAsia"/>
          <w:szCs w:val="21"/>
        </w:rPr>
        <w:t>；</w:t>
      </w:r>
    </w:p>
    <w:p>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pPr>
        <w:ind w:left="420" w:leftChars="200" w:firstLine="210" w:firstLineChars="100"/>
        <w:rPr>
          <w:szCs w:val="21"/>
          <w:u w:val="thick"/>
        </w:rPr>
      </w:pPr>
      <w:r>
        <w:rPr>
          <w:rFonts w:hint="eastAsia"/>
          <w:szCs w:val="21"/>
        </w:rPr>
        <w:t>联系电话：</w:t>
      </w:r>
      <w:r>
        <w:rPr>
          <w:rFonts w:hint="eastAsia"/>
          <w:szCs w:val="21"/>
          <w:u w:val="thick"/>
        </w:rPr>
        <w:t xml:space="preserve">                                 </w:t>
      </w:r>
      <w:r>
        <w:rPr>
          <w:rFonts w:hint="eastAsia"/>
          <w:szCs w:val="21"/>
        </w:rPr>
        <w:t>；</w:t>
      </w:r>
      <w:r>
        <w:rPr>
          <w:rFonts w:hint="eastAsia"/>
          <w:szCs w:val="21"/>
          <w:u w:val="thick"/>
        </w:rPr>
        <w:t xml:space="preserve">               </w:t>
      </w:r>
    </w:p>
    <w:p>
      <w:pPr>
        <w:ind w:left="420" w:leftChars="200" w:firstLine="210" w:firstLineChars="100"/>
        <w:rPr>
          <w:szCs w:val="21"/>
        </w:rPr>
      </w:pPr>
      <w:r>
        <w:rPr>
          <w:rFonts w:hint="eastAsia"/>
          <w:szCs w:val="21"/>
        </w:rPr>
        <w:t>开户银行名称：</w:t>
      </w:r>
      <w:r>
        <w:rPr>
          <w:rFonts w:hint="eastAsia"/>
          <w:szCs w:val="21"/>
          <w:u w:val="thick"/>
        </w:rPr>
        <w:t xml:space="preserve">                                                           </w:t>
      </w:r>
      <w:r>
        <w:rPr>
          <w:rFonts w:hint="eastAsia"/>
          <w:szCs w:val="21"/>
        </w:rPr>
        <w:t>；</w:t>
      </w:r>
    </w:p>
    <w:p>
      <w:pPr>
        <w:ind w:left="420" w:leftChars="200" w:firstLine="210" w:firstLineChars="100"/>
        <w:rPr>
          <w:szCs w:val="21"/>
          <w:u w:val="thick"/>
        </w:rPr>
      </w:pPr>
      <w:r>
        <w:rPr>
          <w:rFonts w:hint="eastAsia"/>
          <w:szCs w:val="21"/>
        </w:rPr>
        <w:t>开户银行账号：</w:t>
      </w:r>
      <w:r>
        <w:rPr>
          <w:rFonts w:hint="eastAsia"/>
          <w:szCs w:val="21"/>
          <w:u w:val="thick"/>
        </w:rPr>
        <w:t xml:space="preserve">                                                           </w:t>
      </w:r>
      <w:r>
        <w:rPr>
          <w:rFonts w:hint="eastAsia"/>
          <w:szCs w:val="21"/>
        </w:rPr>
        <w:t>；</w:t>
      </w:r>
    </w:p>
    <w:p>
      <w:pPr>
        <w:ind w:left="420" w:leftChars="200" w:firstLine="210" w:firstLineChars="100"/>
        <w:rPr>
          <w:szCs w:val="21"/>
        </w:rPr>
      </w:pPr>
      <w:r>
        <w:rPr>
          <w:rFonts w:hint="eastAsia"/>
          <w:szCs w:val="21"/>
        </w:rPr>
        <w:t>开户银行地址：</w:t>
      </w:r>
      <w:r>
        <w:rPr>
          <w:rFonts w:hint="eastAsia"/>
          <w:szCs w:val="21"/>
          <w:u w:val="thick"/>
        </w:rPr>
        <w:t xml:space="preserve">                                                            </w:t>
      </w:r>
      <w:r>
        <w:rPr>
          <w:rFonts w:hint="eastAsia"/>
          <w:szCs w:val="21"/>
        </w:rPr>
        <w:t>。</w:t>
      </w:r>
    </w:p>
    <w:p>
      <w:pPr>
        <w:ind w:left="420" w:leftChars="200" w:firstLine="210" w:firstLineChars="100"/>
        <w:rPr>
          <w:szCs w:val="21"/>
        </w:rPr>
      </w:pPr>
      <w:r>
        <w:rPr>
          <w:rFonts w:hint="eastAsia"/>
          <w:szCs w:val="21"/>
        </w:rPr>
        <w:t xml:space="preserve"> </w:t>
      </w:r>
      <w:r>
        <w:rPr>
          <w:rFonts w:hint="eastAsia" w:ascii="宋体" w:hAnsi="宋体" w:eastAsiaTheme="minorEastAsia"/>
          <w:b/>
          <w:bCs/>
          <w:color w:val="FF0000"/>
          <w:spacing w:val="-4"/>
          <w:kern w:val="0"/>
          <w:szCs w:val="21"/>
        </w:rPr>
        <w:t>注：本项填写内容作为订单融资开展的参考信息，不作为供应商资格性审查及符合性审查条件。</w:t>
      </w:r>
    </w:p>
    <w:p>
      <w:pPr>
        <w:widowControl/>
        <w:tabs>
          <w:tab w:val="left" w:pos="8200"/>
        </w:tabs>
        <w:autoSpaceDE w:val="0"/>
        <w:autoSpaceDN w:val="0"/>
        <w:spacing w:line="400" w:lineRule="exact"/>
        <w:ind w:right="1414" w:firstLine="406" w:firstLineChars="200"/>
        <w:rPr>
          <w:rFonts w:ascii="宋体" w:hAnsi="宋体" w:eastAsiaTheme="minorEastAsia"/>
          <w:b/>
          <w:bCs/>
          <w:color w:val="FF0000"/>
          <w:spacing w:val="-4"/>
          <w:kern w:val="0"/>
          <w:szCs w:val="21"/>
        </w:rPr>
      </w:pPr>
    </w:p>
    <w:p>
      <w:pPr>
        <w:widowControl/>
        <w:tabs>
          <w:tab w:val="left" w:pos="6930"/>
          <w:tab w:val="left" w:pos="8200"/>
        </w:tabs>
        <w:autoSpaceDE w:val="0"/>
        <w:autoSpaceDN w:val="0"/>
        <w:spacing w:line="400" w:lineRule="exact"/>
        <w:ind w:right="1414" w:firstLine="480" w:firstLineChars="200"/>
        <w:rPr>
          <w:rFonts w:eastAsiaTheme="minorEastAsia"/>
          <w:kern w:val="0"/>
          <w:sz w:val="24"/>
        </w:rPr>
      </w:pPr>
    </w:p>
    <w:p>
      <w:pPr>
        <w:widowControl/>
        <w:autoSpaceDE w:val="0"/>
        <w:autoSpaceDN w:val="0"/>
        <w:spacing w:line="400" w:lineRule="exact"/>
        <w:ind w:right="1414" w:firstLine="480" w:firstLineChars="200"/>
        <w:jc w:val="right"/>
        <w:rPr>
          <w:rFonts w:eastAsiaTheme="minorEastAsia"/>
          <w:kern w:val="0"/>
          <w:sz w:val="24"/>
        </w:rPr>
      </w:pPr>
    </w:p>
    <w:p>
      <w:pPr>
        <w:ind w:firstLine="720" w:firstLineChars="300"/>
        <w:rPr>
          <w:sz w:val="24"/>
        </w:rPr>
      </w:pPr>
    </w:p>
    <w:p>
      <w:pPr>
        <w:widowControl/>
        <w:spacing w:line="360" w:lineRule="auto"/>
        <w:jc w:val="left"/>
        <w:rPr>
          <w:rFonts w:eastAsiaTheme="minorEastAsia"/>
          <w:b/>
          <w:bCs/>
          <w:kern w:val="0"/>
          <w:sz w:val="24"/>
        </w:rPr>
      </w:pPr>
    </w:p>
    <w:p>
      <w:pPr>
        <w:widowControl/>
        <w:jc w:val="center"/>
        <w:rPr>
          <w:rFonts w:ascii="黑体" w:hAnsi="宋体" w:eastAsia="黑体"/>
          <w:kern w:val="0"/>
          <w:sz w:val="24"/>
          <w:szCs w:val="20"/>
        </w:rPr>
      </w:pPr>
      <w:r>
        <w:rPr>
          <w:rFonts w:hint="eastAsia" w:ascii="黑体" w:hAnsi="宋体" w:eastAsia="黑体"/>
          <w:kern w:val="0"/>
          <w:sz w:val="24"/>
          <w:szCs w:val="20"/>
        </w:rPr>
        <w:t>（三）投标人认为需要加以说明的其他内容（格式自定）</w:t>
      </w:r>
    </w:p>
    <w:p>
      <w:pPr>
        <w:jc w:val="center"/>
        <w:rPr>
          <w:b/>
          <w:sz w:val="32"/>
          <w:szCs w:val="32"/>
        </w:rPr>
      </w:pPr>
    </w:p>
    <w:p>
      <w:pPr>
        <w:jc w:val="center"/>
        <w:rPr>
          <w:rFonts w:ascii="黑体" w:hAnsi="宋体" w:eastAsia="黑体"/>
          <w:bCs/>
          <w:kern w:val="0"/>
          <w:sz w:val="24"/>
        </w:rPr>
      </w:pPr>
    </w:p>
    <w:p>
      <w:pPr>
        <w:jc w:val="center"/>
        <w:rPr>
          <w:rFonts w:ascii="黑体" w:hAnsi="宋体" w:eastAsia="黑体"/>
          <w:bCs/>
          <w:kern w:val="0"/>
          <w:sz w:val="24"/>
        </w:rPr>
        <w:sectPr>
          <w:pgSz w:w="11907" w:h="16840"/>
          <w:pgMar w:top="1440" w:right="1797" w:bottom="1440" w:left="1797" w:header="851" w:footer="992" w:gutter="0"/>
          <w:cols w:space="425" w:num="1"/>
          <w:titlePg/>
          <w:docGrid w:linePitch="462" w:charSpace="0"/>
        </w:sectPr>
      </w:pPr>
    </w:p>
    <w:p>
      <w:pPr>
        <w:pStyle w:val="6"/>
        <w:rPr>
          <w:sz w:val="28"/>
          <w:szCs w:val="28"/>
        </w:rPr>
      </w:pPr>
      <w:r>
        <w:rPr>
          <w:rFonts w:hint="eastAsia"/>
          <w:sz w:val="28"/>
          <w:szCs w:val="28"/>
        </w:rPr>
        <w:t>第五章  合同条款及格式</w:t>
      </w:r>
    </w:p>
    <w:p>
      <w:pPr>
        <w:jc w:val="center"/>
        <w:outlineLvl w:val="0"/>
      </w:pPr>
      <w:r>
        <w:rPr>
          <w:rFonts w:hint="eastAsia"/>
          <w:b/>
          <w:sz w:val="24"/>
        </w:rPr>
        <w:t>（仅供参考，具体以项目需求及实际签订为准）</w:t>
      </w:r>
    </w:p>
    <w:p>
      <w:pPr>
        <w:jc w:val="center"/>
        <w:rPr>
          <w:rFonts w:ascii="宋体" w:hAnsi="宋体" w:cs="宋体"/>
          <w:b/>
          <w:bCs/>
          <w:spacing w:val="-20"/>
          <w:kern w:val="44"/>
          <w:sz w:val="48"/>
          <w:szCs w:val="48"/>
        </w:rPr>
      </w:pPr>
      <w:r>
        <w:rPr>
          <w:rFonts w:hint="eastAsia" w:ascii="宋体" w:hAnsi="宋体" w:cs="宋体"/>
          <w:b/>
          <w:bCs/>
          <w:spacing w:val="-20"/>
          <w:kern w:val="44"/>
          <w:sz w:val="48"/>
          <w:szCs w:val="48"/>
        </w:rPr>
        <w:t>自行采购货物买卖合同</w:t>
      </w:r>
    </w:p>
    <w:p>
      <w:pPr>
        <w:jc w:val="center"/>
        <w:rPr>
          <w:rFonts w:ascii="宋体" w:hAnsi="宋体" w:cs="宋体"/>
          <w:b/>
          <w:bCs/>
          <w:spacing w:val="-20"/>
          <w:kern w:val="44"/>
          <w:sz w:val="48"/>
          <w:szCs w:val="48"/>
        </w:rPr>
      </w:pPr>
      <w:r>
        <w:rPr>
          <w:rFonts w:hint="eastAsia" w:ascii="宋体" w:hAnsi="宋体" w:cs="宋体"/>
          <w:b/>
          <w:bCs/>
          <w:spacing w:val="-20"/>
          <w:kern w:val="44"/>
          <w:sz w:val="48"/>
          <w:szCs w:val="48"/>
        </w:rPr>
        <w:t>（试行）</w:t>
      </w:r>
    </w:p>
    <w:p>
      <w:pPr>
        <w:rPr>
          <w:rFonts w:ascii="宋体" w:hAnsi="宋体" w:cs="宋体"/>
          <w:b/>
          <w:bCs/>
          <w:spacing w:val="-20"/>
          <w:kern w:val="44"/>
          <w:sz w:val="40"/>
          <w:szCs w:val="40"/>
        </w:rPr>
      </w:pPr>
    </w:p>
    <w:p>
      <w:pPr>
        <w:rPr>
          <w:rFonts w:ascii="宋体" w:hAnsi="宋体" w:cs="宋体"/>
          <w:b/>
          <w:bCs/>
          <w:spacing w:val="-20"/>
          <w:kern w:val="44"/>
          <w:sz w:val="40"/>
          <w:szCs w:val="40"/>
        </w:rPr>
      </w:pPr>
    </w:p>
    <w:p>
      <w:pPr>
        <w:rPr>
          <w:rFonts w:ascii="宋体" w:hAnsi="宋体" w:cs="宋体"/>
          <w:b/>
          <w:bCs/>
          <w:spacing w:val="-20"/>
          <w:kern w:val="44"/>
          <w:sz w:val="40"/>
          <w:szCs w:val="40"/>
        </w:rPr>
      </w:pPr>
    </w:p>
    <w:p>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
      <w:pPr>
        <w:rPr>
          <w:rFonts w:eastAsia="黑体"/>
          <w:sz w:val="44"/>
          <w:szCs w:val="44"/>
        </w:rPr>
      </w:pPr>
      <w:r>
        <w:rPr>
          <w:rFonts w:eastAsia="黑体"/>
          <w:sz w:val="44"/>
          <w:szCs w:val="44"/>
        </w:rPr>
        <w:br w:type="page"/>
      </w:r>
    </w:p>
    <w:p>
      <w:pPr>
        <w:rPr>
          <w:rFonts w:eastAsia="黑体"/>
          <w:sz w:val="44"/>
          <w:szCs w:val="44"/>
        </w:rPr>
      </w:pPr>
    </w:p>
    <w:p>
      <w:pPr>
        <w:rPr>
          <w:rFonts w:eastAsia="黑体"/>
          <w:sz w:val="44"/>
          <w:szCs w:val="44"/>
        </w:rPr>
      </w:pPr>
    </w:p>
    <w:p>
      <w:pPr>
        <w:jc w:val="center"/>
        <w:rPr>
          <w:rFonts w:eastAsia="黑体"/>
          <w:sz w:val="44"/>
          <w:szCs w:val="44"/>
        </w:rPr>
      </w:pPr>
      <w:r>
        <w:rPr>
          <w:rFonts w:hint="eastAsia" w:eastAsia="黑体"/>
          <w:sz w:val="44"/>
          <w:szCs w:val="44"/>
        </w:rPr>
        <w:t>使 用 说 明</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pPr>
        <w:ind w:firstLine="640" w:firstLineChars="200"/>
        <w:rPr>
          <w:rFonts w:eastAsia="黑体"/>
          <w:sz w:val="44"/>
          <w:szCs w:val="44"/>
        </w:rPr>
      </w:pPr>
      <w:r>
        <w:rPr>
          <w:rFonts w:hint="eastAsia" w:ascii="仿宋_GB2312" w:hAnsi="仿宋_GB2312" w:eastAsia="仿宋_GB2312" w:cs="仿宋_GB2312"/>
          <w:sz w:val="32"/>
          <w:szCs w:val="32"/>
        </w:rPr>
        <w:t>2.本合同标准文本为采购货物买卖合同编制提供参考，可以结合采购项目具体情况，对文本作必要的调整修订后使用。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pPr>
        <w:ind w:firstLine="880" w:firstLineChars="200"/>
        <w:rPr>
          <w:rFonts w:eastAsia="黑体"/>
          <w:sz w:val="44"/>
          <w:szCs w:val="44"/>
        </w:rPr>
        <w:sectPr>
          <w:headerReference r:id="rId6" w:type="default"/>
          <w:footerReference r:id="rId7" w:type="default"/>
          <w:pgSz w:w="11906" w:h="16838"/>
          <w:pgMar w:top="1440" w:right="1701" w:bottom="1440" w:left="1701" w:header="851" w:footer="992" w:gutter="0"/>
          <w:cols w:space="425" w:num="1"/>
          <w:docGrid w:type="lines" w:linePitch="312" w:charSpace="0"/>
        </w:sectPr>
      </w:pPr>
    </w:p>
    <w:p>
      <w:bookmarkStart w:id="77" w:name="_Toc22209"/>
    </w:p>
    <w:p>
      <w:pPr>
        <w:keepNext/>
        <w:keepLines/>
        <w:adjustRightInd w:val="0"/>
        <w:snapToGrid w:val="0"/>
        <w:spacing w:line="400" w:lineRule="exact"/>
        <w:jc w:val="center"/>
        <w:outlineLvl w:val="1"/>
        <w:rPr>
          <w:rFonts w:ascii="黑体" w:hAnsi="华文中宋" w:eastAsia="黑体"/>
          <w:sz w:val="28"/>
          <w:szCs w:val="28"/>
        </w:rPr>
      </w:pPr>
      <w:r>
        <w:rPr>
          <w:rFonts w:hint="eastAsia" w:ascii="黑体" w:hAnsi="黑体" w:eastAsia="黑体"/>
          <w:sz w:val="28"/>
          <w:szCs w:val="28"/>
        </w:rPr>
        <w:t xml:space="preserve">第一节 </w:t>
      </w:r>
      <w:r>
        <w:rPr>
          <w:rFonts w:hint="eastAsia" w:ascii="黑体" w:hAnsi="华文中宋" w:eastAsia="黑体"/>
          <w:sz w:val="28"/>
          <w:szCs w:val="28"/>
        </w:rPr>
        <w:t>采购合同协议书</w:t>
      </w:r>
      <w:bookmarkEnd w:id="77"/>
    </w:p>
    <w:p/>
    <w:p>
      <w:pPr>
        <w:adjustRightInd w:val="0"/>
        <w:snapToGrid w:val="0"/>
        <w:spacing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pPr>
        <w:adjustRightInd w:val="0"/>
        <w:snapToGrid w:val="0"/>
        <w:spacing w:line="400" w:lineRule="exact"/>
        <w:rPr>
          <w:rFonts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pPr>
        <w:adjustRightInd w:val="0"/>
        <w:snapToGrid w:val="0"/>
        <w:spacing w:line="400" w:lineRule="exact"/>
        <w:rPr>
          <w:rFonts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pPr>
        <w:adjustRightInd w:val="0"/>
        <w:snapToGrid w:val="0"/>
        <w:spacing w:line="400" w:lineRule="exact"/>
        <w:rPr>
          <w:rFonts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pPr>
        <w:spacing w:line="400" w:lineRule="exact"/>
      </w:pPr>
    </w:p>
    <w:p>
      <w:pPr>
        <w:adjustRightInd w:val="0"/>
        <w:snapToGrid w:val="0"/>
        <w:spacing w:line="400" w:lineRule="exact"/>
        <w:ind w:firstLine="420" w:firstLineChars="200"/>
        <w:rPr>
          <w:rFonts w:ascii="宋体" w:hAnsi="宋体"/>
          <w:szCs w:val="21"/>
        </w:rPr>
      </w:pPr>
      <w:r>
        <w:rPr>
          <w:rFonts w:hint="eastAsia" w:ascii="宋体" w:hAnsi="宋体"/>
          <w:szCs w:val="21"/>
        </w:rPr>
        <w:t xml:space="preserve">依据《中华人民共和国民法典》《中华人民共和国政府采购法》《深圳经济特区政府采购条例》等有关的法律法规，以及本采购项目的招标文件等采购文件、乙方的《投标（响应）文件》及《中标（成交）通知书》，甲乙双方同意签订本合同。具体情况及要求如下：     </w:t>
      </w:r>
    </w:p>
    <w:p>
      <w:pPr>
        <w:numPr>
          <w:ilvl w:val="0"/>
          <w:numId w:val="12"/>
        </w:numPr>
        <w:adjustRightInd w:val="0"/>
        <w:snapToGrid w:val="0"/>
        <w:spacing w:line="400" w:lineRule="exact"/>
        <w:ind w:firstLine="422" w:firstLineChars="200"/>
        <w:rPr>
          <w:rFonts w:ascii="宋体" w:hAnsi="宋体"/>
          <w:b/>
          <w:szCs w:val="21"/>
        </w:rPr>
      </w:pPr>
      <w:r>
        <w:rPr>
          <w:rFonts w:hint="eastAsia" w:ascii="宋体" w:hAnsi="宋体"/>
          <w:b/>
          <w:szCs w:val="21"/>
        </w:rPr>
        <w:t>项目信息</w:t>
      </w:r>
    </w:p>
    <w:p>
      <w:pPr>
        <w:numPr>
          <w:ilvl w:val="0"/>
          <w:numId w:val="13"/>
        </w:numPr>
        <w:adjustRightInd w:val="0"/>
        <w:snapToGrid w:val="0"/>
        <w:spacing w:line="400" w:lineRule="exact"/>
        <w:ind w:firstLine="420" w:firstLineChars="200"/>
        <w:rPr>
          <w:rFonts w:ascii="宋体" w:hAnsi="宋体"/>
          <w:szCs w:val="21"/>
          <w:u w:val="single"/>
        </w:rPr>
      </w:pPr>
      <w:r>
        <w:rPr>
          <w:rFonts w:hint="eastAsia" w:ascii="宋体" w:hAnsi="宋体"/>
          <w:szCs w:val="21"/>
        </w:rPr>
        <w:t>采购项目名称：</w:t>
      </w:r>
      <w:r>
        <w:rPr>
          <w:rFonts w:hint="eastAsia" w:ascii="宋体" w:hAnsi="宋体"/>
          <w:szCs w:val="21"/>
          <w:u w:val="single"/>
        </w:rPr>
        <w:t xml:space="preserve">                                            </w:t>
      </w:r>
    </w:p>
    <w:p>
      <w:pPr>
        <w:numPr>
          <w:ilvl w:val="255"/>
          <w:numId w:val="0"/>
        </w:numPr>
        <w:tabs>
          <w:tab w:val="left" w:pos="999"/>
        </w:tabs>
        <w:adjustRightInd w:val="0"/>
        <w:snapToGrid w:val="0"/>
        <w:spacing w:line="400" w:lineRule="exact"/>
        <w:rPr>
          <w:rFonts w:ascii="宋体" w:hAnsi="宋体"/>
          <w:szCs w:val="21"/>
        </w:rPr>
      </w:pPr>
      <w:r>
        <w:rPr>
          <w:rFonts w:hint="eastAsia" w:ascii="宋体" w:hAnsi="宋体"/>
          <w:szCs w:val="21"/>
        </w:rPr>
        <w:t xml:space="preserve">         采购项目编号：</w:t>
      </w:r>
      <w:r>
        <w:rPr>
          <w:rFonts w:ascii="宋体" w:hAnsi="宋体"/>
          <w:szCs w:val="21"/>
          <w:u w:val="single"/>
        </w:rPr>
        <w:t xml:space="preserve">                                          </w:t>
      </w:r>
    </w:p>
    <w:p>
      <w:pPr>
        <w:adjustRightInd w:val="0"/>
        <w:snapToGrid w:val="0"/>
        <w:spacing w:line="400" w:lineRule="exact"/>
        <w:ind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adjustRightInd w:val="0"/>
        <w:snapToGrid w:val="0"/>
        <w:spacing w:line="400" w:lineRule="exact"/>
        <w:ind w:firstLine="420" w:firstLineChars="200"/>
        <w:rPr>
          <w:rFonts w:ascii="宋体" w:hAnsi="宋体"/>
          <w:szCs w:val="21"/>
        </w:rPr>
      </w:pPr>
      <w:r>
        <w:rPr>
          <w:rFonts w:hint="eastAsia" w:ascii="宋体" w:hAnsi="宋体"/>
          <w:szCs w:val="21"/>
        </w:rPr>
        <w:t>（3）项目内容：</w:t>
      </w:r>
    </w:p>
    <w:p>
      <w:pPr>
        <w:adjustRightInd w:val="0"/>
        <w:snapToGrid w:val="0"/>
        <w:spacing w:line="400" w:lineRule="exact"/>
        <w:ind w:firstLine="420" w:firstLineChars="200"/>
        <w:rPr>
          <w:rFonts w:ascii="宋体" w:hAnsi="宋体"/>
          <w:szCs w:val="21"/>
        </w:rPr>
      </w:pPr>
      <w:r>
        <w:rPr>
          <w:rFonts w:hint="eastAsia" w:ascii="宋体" w:hAnsi="宋体"/>
          <w:szCs w:val="21"/>
        </w:rPr>
        <w:t xml:space="preserve">     采购标的及数量（台/套</w:t>
      </w:r>
      <w:r>
        <w:rPr>
          <w:rFonts w:ascii="宋体" w:hAnsi="宋体"/>
          <w:szCs w:val="21"/>
          <w:lang w:val="en"/>
        </w:rPr>
        <w:t>/</w:t>
      </w:r>
      <w:r>
        <w:rPr>
          <w:rFonts w:hint="eastAsia" w:ascii="宋体" w:hAnsi="宋体"/>
          <w:szCs w:val="21"/>
          <w:lang w:val="en"/>
        </w:rPr>
        <w:t>个</w:t>
      </w:r>
      <w:r>
        <w:rPr>
          <w:rFonts w:ascii="宋体" w:hAnsi="宋体"/>
          <w:szCs w:val="21"/>
          <w:lang w:val="en"/>
        </w:rPr>
        <w:t>/</w:t>
      </w:r>
      <w:r>
        <w:rPr>
          <w:rFonts w:hint="eastAsia" w:ascii="宋体" w:hAnsi="宋体"/>
          <w:szCs w:val="21"/>
          <w:lang w:val="en"/>
        </w:rPr>
        <w:t>架</w:t>
      </w:r>
      <w:r>
        <w:rPr>
          <w:rFonts w:ascii="宋体" w:hAnsi="宋体"/>
          <w:szCs w:val="21"/>
          <w:lang w:val="en"/>
        </w:rPr>
        <w:t>/</w:t>
      </w:r>
      <w:r>
        <w:rPr>
          <w:rFonts w:hint="eastAsia" w:ascii="宋体" w:hAnsi="宋体"/>
          <w:szCs w:val="21"/>
          <w:lang w:val="en"/>
        </w:rPr>
        <w:t>组等</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 </w:t>
      </w:r>
    </w:p>
    <w:p>
      <w:pPr>
        <w:numPr>
          <w:ilvl w:val="255"/>
          <w:numId w:val="0"/>
        </w:numPr>
        <w:adjustRightInd w:val="0"/>
        <w:snapToGrid w:val="0"/>
        <w:spacing w:line="400" w:lineRule="exact"/>
        <w:ind w:firstLine="420" w:firstLineChars="200"/>
        <w:rPr>
          <w:rFonts w:ascii="宋体" w:hAnsi="宋体" w:cs="宋体"/>
          <w:szCs w:val="21"/>
          <w:lang w:val="en"/>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lang w:val="en"/>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p>
    <w:p>
      <w:pPr>
        <w:adjustRightInd w:val="0"/>
        <w:snapToGrid w:val="0"/>
        <w:spacing w:line="400" w:lineRule="exact"/>
        <w:ind w:firstLine="945" w:firstLineChars="450"/>
        <w:rPr>
          <w:rFonts w:ascii="宋体" w:hAnsi="宋体"/>
          <w:szCs w:val="21"/>
          <w:u w:val="single"/>
        </w:rPr>
      </w:pPr>
      <w:r>
        <w:rPr>
          <w:rFonts w:hint="eastAsia" w:ascii="宋体" w:hAnsi="宋体"/>
          <w:szCs w:val="21"/>
        </w:rPr>
        <w:t>采购标的的技术要求、商务要求具体见附件。</w:t>
      </w:r>
    </w:p>
    <w:p>
      <w:pPr>
        <w:numPr>
          <w:ilvl w:val="255"/>
          <w:numId w:val="0"/>
        </w:numPr>
        <w:adjustRightInd w:val="0"/>
        <w:snapToGrid w:val="0"/>
        <w:spacing w:line="400" w:lineRule="exact"/>
        <w:ind w:firstLine="945" w:firstLineChars="450"/>
        <w:rPr>
          <w:rFonts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pPr>
        <w:numPr>
          <w:ilvl w:val="255"/>
          <w:numId w:val="0"/>
        </w:numPr>
        <w:adjustRightInd w:val="0"/>
        <w:snapToGrid w:val="0"/>
        <w:spacing w:line="400" w:lineRule="exact"/>
        <w:ind w:firstLine="420" w:firstLineChars="20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lang w:val="en"/>
        </w:rPr>
        <w:t xml:space="preserve">               </w:t>
      </w:r>
      <w:r>
        <w:rPr>
          <w:rFonts w:hint="eastAsia" w:ascii="宋体" w:hAnsi="宋体" w:cs="宋体"/>
          <w:kern w:val="0"/>
          <w:szCs w:val="21"/>
          <w:u w:val="single"/>
        </w:rPr>
        <w:t xml:space="preserve">    </w:t>
      </w:r>
    </w:p>
    <w:p>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p>
    <w:p>
      <w:pPr>
        <w:numPr>
          <w:ilvl w:val="255"/>
          <w:numId w:val="0"/>
        </w:numPr>
        <w:autoSpaceDE w:val="0"/>
        <w:autoSpaceDN w:val="0"/>
        <w:adjustRightInd w:val="0"/>
        <w:snapToGrid w:val="0"/>
        <w:spacing w:line="400" w:lineRule="exact"/>
        <w:rPr>
          <w:rFonts w:ascii="宋体" w:hAnsi="宋体" w:cs="宋体"/>
          <w:szCs w:val="21"/>
        </w:rPr>
      </w:pPr>
      <w:r>
        <w:rPr>
          <w:rFonts w:hint="eastAsia" w:ascii="宋体" w:hAnsi="宋体" w:cs="宋体"/>
          <w:szCs w:val="21"/>
        </w:rPr>
        <w:t xml:space="preserve">   （注：关键部件是指财政部会同有关部门发布的采购需求标准规定的需要通过国家有关部门指定的测评机构开展的安全可靠测评的软硬件，如CPU芯片、操作系统、数据库等。）</w:t>
      </w:r>
    </w:p>
    <w:p>
      <w:pPr>
        <w:numPr>
          <w:ilvl w:val="255"/>
          <w:numId w:val="0"/>
        </w:numPr>
        <w:autoSpaceDE w:val="0"/>
        <w:autoSpaceDN w:val="0"/>
        <w:adjustRightInd w:val="0"/>
        <w:snapToGrid w:val="0"/>
        <w:spacing w:line="400" w:lineRule="exact"/>
        <w:rPr>
          <w:rFonts w:ascii="宋体" w:hAnsi="宋体" w:cs="宋体"/>
          <w:szCs w:val="21"/>
        </w:rPr>
      </w:pPr>
      <w:r>
        <w:rPr>
          <w:rFonts w:hint="eastAsia" w:ascii="宋体" w:hAnsi="宋体" w:cs="宋体"/>
          <w:szCs w:val="21"/>
        </w:rPr>
        <w:t xml:space="preserve">         </w:t>
      </w:r>
      <w:r>
        <w:rPr>
          <w:rFonts w:hint="eastAsia" w:ascii="汉仪书宋二S" w:hAnsi="汉仪书宋二S" w:eastAsia="汉仪书宋二S" w:cs="汉仪书宋二S"/>
          <w:szCs w:val="21"/>
        </w:rPr>
        <w:t>②</w:t>
      </w:r>
      <w:r>
        <w:rPr>
          <w:rFonts w:hint="eastAsia" w:ascii="宋体" w:hAnsi="宋体" w:cs="宋体"/>
          <w:szCs w:val="21"/>
        </w:rPr>
        <w:t>涉及车辆采购，请填写是否属于新能源汽车：</w:t>
      </w:r>
    </w:p>
    <w:p>
      <w:pPr>
        <w:numPr>
          <w:ilvl w:val="255"/>
          <w:numId w:val="0"/>
        </w:numPr>
        <w:autoSpaceDE w:val="0"/>
        <w:autoSpaceDN w:val="0"/>
        <w:adjustRightInd w:val="0"/>
        <w:snapToGrid w:val="0"/>
        <w:spacing w:line="400" w:lineRule="exact"/>
        <w:rPr>
          <w:rFonts w:ascii="宋体" w:hAnsi="宋体" w:cs="宋体"/>
          <w:szCs w:val="21"/>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数量：</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r>
        <w:rPr>
          <w:rFonts w:hint="eastAsia" w:ascii="宋体" w:hAnsi="宋体" w:cs="宋体"/>
          <w:szCs w:val="21"/>
        </w:rPr>
        <w:t xml:space="preserve"> </w:t>
      </w:r>
    </w:p>
    <w:p>
      <w:pPr>
        <w:numPr>
          <w:ilvl w:val="255"/>
          <w:numId w:val="0"/>
        </w:numPr>
        <w:autoSpaceDE w:val="0"/>
        <w:autoSpaceDN w:val="0"/>
        <w:adjustRightInd w:val="0"/>
        <w:snapToGrid w:val="0"/>
        <w:spacing w:line="400" w:lineRule="exact"/>
        <w:rPr>
          <w:rFonts w:ascii="宋体" w:hAnsi="宋体" w:cs="宋体"/>
          <w:szCs w:val="21"/>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否</w:t>
      </w:r>
    </w:p>
    <w:p>
      <w:pPr>
        <w:numPr>
          <w:ilvl w:val="255"/>
          <w:numId w:val="0"/>
        </w:numPr>
        <w:autoSpaceDE w:val="0"/>
        <w:autoSpaceDN w:val="0"/>
        <w:adjustRightInd w:val="0"/>
        <w:snapToGrid w:val="0"/>
        <w:spacing w:line="400" w:lineRule="exact"/>
        <w:rPr>
          <w:rFonts w:ascii="宋体" w:hAnsi="宋体" w:cs="宋体"/>
          <w:szCs w:val="21"/>
        </w:rPr>
      </w:pPr>
      <w:r>
        <w:rPr>
          <w:rFonts w:hint="eastAsia" w:ascii="宋体" w:hAnsi="宋体" w:cs="宋体"/>
          <w:szCs w:val="21"/>
        </w:rPr>
        <w:t xml:space="preserve">    （</w:t>
      </w:r>
      <w:r>
        <w:rPr>
          <w:rFonts w:ascii="宋体" w:hAnsi="宋体" w:cs="宋体"/>
          <w:szCs w:val="21"/>
          <w:lang w:val="en"/>
        </w:rPr>
        <w:t>4</w:t>
      </w:r>
      <w:r>
        <w:rPr>
          <w:rFonts w:hint="eastAsia" w:ascii="宋体" w:hAnsi="宋体" w:cs="宋体"/>
          <w:szCs w:val="21"/>
        </w:rPr>
        <w:t>）采购组织形式：</w:t>
      </w:r>
      <w:r>
        <w:rPr>
          <w:rFonts w:hint="eastAsia" w:ascii="宋体" w:hAnsi="宋体" w:cs="宋体"/>
          <w:szCs w:val="21"/>
        </w:rPr>
        <w:sym w:font="Wingdings" w:char="00A8"/>
      </w:r>
      <w:r>
        <w:rPr>
          <w:rFonts w:hint="eastAsia" w:ascii="宋体" w:hAnsi="宋体" w:cs="宋体"/>
          <w:szCs w:val="21"/>
        </w:rPr>
        <w:t xml:space="preserve">集中采购    </w:t>
      </w:r>
      <w:r>
        <w:rPr>
          <w:rFonts w:hint="eastAsia" w:ascii="宋体" w:hAnsi="宋体" w:cs="宋体"/>
          <w:szCs w:val="21"/>
        </w:rPr>
        <w:sym w:font="Wingdings" w:char="00A8"/>
      </w:r>
      <w:r>
        <w:rPr>
          <w:rFonts w:hint="eastAsia" w:ascii="宋体" w:hAnsi="宋体" w:cs="宋体"/>
          <w:szCs w:val="21"/>
        </w:rPr>
        <w:t>自行采购</w:t>
      </w:r>
    </w:p>
    <w:p>
      <w:pPr>
        <w:numPr>
          <w:ilvl w:val="255"/>
          <w:numId w:val="0"/>
        </w:numPr>
        <w:autoSpaceDE w:val="0"/>
        <w:autoSpaceDN w:val="0"/>
        <w:adjustRightInd w:val="0"/>
        <w:snapToGrid w:val="0"/>
        <w:spacing w:line="400" w:lineRule="exact"/>
        <w:ind w:left="210" w:leftChars="100" w:firstLine="210" w:firstLineChars="100"/>
        <w:rPr>
          <w:rFonts w:ascii="宋体" w:hAnsi="宋体" w:cs="宋体"/>
          <w:szCs w:val="21"/>
          <w:u w:val="single"/>
        </w:rPr>
      </w:pPr>
      <w:r>
        <w:rPr>
          <w:rFonts w:hint="eastAsia" w:ascii="宋体" w:hAnsi="宋体" w:cs="宋体"/>
          <w:szCs w:val="21"/>
        </w:rPr>
        <w:t>（</w:t>
      </w:r>
      <w:r>
        <w:rPr>
          <w:rFonts w:ascii="宋体" w:hAnsi="宋体" w:cs="宋体"/>
          <w:szCs w:val="21"/>
          <w:lang w:val="en"/>
        </w:rPr>
        <w:t>5</w:t>
      </w:r>
      <w:r>
        <w:rPr>
          <w:rFonts w:hint="eastAsia" w:ascii="宋体" w:hAnsi="宋体" w:cs="宋体"/>
          <w:szCs w:val="21"/>
        </w:rPr>
        <w:t>）采购方式：</w:t>
      </w:r>
      <w:r>
        <w:rPr>
          <w:rFonts w:hint="eastAsia" w:ascii="宋体" w:hAnsi="宋体" w:cs="宋体"/>
          <w:szCs w:val="21"/>
        </w:rPr>
        <w:sym w:font="Wingdings" w:char="00A8"/>
      </w:r>
      <w:r>
        <w:rPr>
          <w:rFonts w:hint="eastAsia" w:ascii="宋体" w:hAnsi="宋体" w:cs="宋体"/>
          <w:szCs w:val="21"/>
        </w:rPr>
        <w:t xml:space="preserve">公开招标  </w:t>
      </w:r>
      <w:r>
        <w:rPr>
          <w:rFonts w:hint="eastAsia" w:ascii="宋体" w:hAnsi="宋体" w:cs="宋体"/>
          <w:szCs w:val="21"/>
        </w:rPr>
        <w:sym w:font="Wingdings" w:char="00A8"/>
      </w:r>
      <w:r>
        <w:rPr>
          <w:rFonts w:hint="eastAsia" w:ascii="宋体" w:hAnsi="宋体" w:cs="宋体"/>
          <w:szCs w:val="21"/>
        </w:rPr>
        <w:t>竞争性谈判</w:t>
      </w:r>
      <w:r>
        <w:rPr>
          <w:rFonts w:hint="eastAsia" w:ascii="宋体" w:hAnsi="宋体" w:eastAsia="华文楷体" w:cs="宋体"/>
          <w:sz w:val="22"/>
          <w:szCs w:val="21"/>
        </w:rPr>
        <w:t xml:space="preserve">  </w:t>
      </w:r>
      <w:r>
        <w:rPr>
          <w:rFonts w:hint="eastAsia" w:ascii="宋体" w:hAnsi="宋体" w:cs="宋体"/>
          <w:szCs w:val="21"/>
        </w:rPr>
        <w:sym w:font="Wingdings" w:char="00A8"/>
      </w:r>
      <w:r>
        <w:rPr>
          <w:rFonts w:hint="eastAsia" w:ascii="宋体" w:hAnsi="宋体" w:cs="宋体"/>
          <w:szCs w:val="21"/>
        </w:rPr>
        <w:t xml:space="preserve">单一来源  </w:t>
      </w:r>
      <w:r>
        <w:rPr>
          <w:rFonts w:hint="eastAsia" w:ascii="宋体" w:hAnsi="宋体" w:cs="宋体"/>
          <w:szCs w:val="21"/>
        </w:rPr>
        <w:sym w:font="Wingdings" w:char="00A8"/>
      </w:r>
      <w:r>
        <w:rPr>
          <w:rFonts w:hint="eastAsia" w:ascii="宋体" w:hAnsi="宋体" w:cs="宋体"/>
          <w:szCs w:val="21"/>
        </w:rPr>
        <w:t xml:space="preserve">竞价  </w:t>
      </w:r>
      <w:r>
        <w:rPr>
          <w:rFonts w:hint="eastAsia" w:ascii="宋体" w:hAnsi="宋体" w:cs="宋体"/>
          <w:szCs w:val="21"/>
        </w:rPr>
        <w:sym w:font="Wingdings" w:char="00A8"/>
      </w:r>
      <w:r>
        <w:rPr>
          <w:rFonts w:hint="eastAsia" w:ascii="宋体" w:hAnsi="宋体" w:cs="宋体"/>
          <w:szCs w:val="21"/>
        </w:rPr>
        <w:t xml:space="preserve">框架协议 </w:t>
      </w:r>
      <w:r>
        <w:rPr>
          <w:rFonts w:hint="eastAsia" w:ascii="宋体" w:hAnsi="宋体" w:cs="宋体"/>
          <w:szCs w:val="21"/>
        </w:rPr>
        <w:sym w:font="Wingdings" w:char="00A8"/>
      </w:r>
      <w:r>
        <w:rPr>
          <w:rFonts w:hint="eastAsia" w:ascii="宋体" w:hAnsi="宋体" w:cs="宋体"/>
          <w:szCs w:val="21"/>
        </w:rPr>
        <w:t>其他：</w:t>
      </w:r>
      <w:r>
        <w:rPr>
          <w:rFonts w:hint="eastAsia" w:ascii="宋体" w:hAnsi="宋体" w:cs="宋体"/>
          <w:szCs w:val="21"/>
          <w:u w:val="single"/>
        </w:rPr>
        <w:t xml:space="preserve">          </w:t>
      </w:r>
    </w:p>
    <w:p>
      <w:pPr>
        <w:numPr>
          <w:ilvl w:val="255"/>
          <w:numId w:val="0"/>
        </w:numPr>
        <w:autoSpaceDE w:val="0"/>
        <w:autoSpaceDN w:val="0"/>
        <w:adjustRightInd w:val="0"/>
        <w:snapToGrid w:val="0"/>
        <w:spacing w:line="400" w:lineRule="exact"/>
        <w:ind w:firstLine="420"/>
        <w:rPr>
          <w:rFonts w:ascii="宋体" w:hAnsi="宋体" w:cs="宋体"/>
          <w:szCs w:val="21"/>
        </w:rPr>
      </w:pPr>
      <w:r>
        <w:rPr>
          <w:rFonts w:hint="eastAsia" w:ascii="宋体" w:hAnsi="宋体" w:cs="宋体"/>
          <w:szCs w:val="21"/>
        </w:rPr>
        <w:t>（注：在框架协议采购的第二阶段，可选择使用该合同文本）</w:t>
      </w:r>
    </w:p>
    <w:p>
      <w:pPr>
        <w:numPr>
          <w:ilvl w:val="255"/>
          <w:numId w:val="0"/>
        </w:numPr>
        <w:autoSpaceDE w:val="0"/>
        <w:autoSpaceDN w:val="0"/>
        <w:adjustRightInd w:val="0"/>
        <w:snapToGrid w:val="0"/>
        <w:spacing w:line="400" w:lineRule="exact"/>
        <w:ind w:firstLine="220" w:firstLineChars="100"/>
        <w:rPr>
          <w:rFonts w:ascii="宋体" w:hAnsi="宋体"/>
          <w:szCs w:val="21"/>
        </w:rPr>
      </w:pPr>
      <w:r>
        <w:rPr>
          <w:rFonts w:hint="eastAsia" w:ascii="宋体" w:hAnsi="宋体" w:eastAsia="华文楷体" w:cs="华文楷体"/>
          <w:sz w:val="22"/>
          <w:szCs w:val="21"/>
        </w:rPr>
        <w:t xml:space="preserve"> （</w:t>
      </w:r>
      <w:r>
        <w:rPr>
          <w:rFonts w:ascii="宋体" w:hAnsi="宋体" w:eastAsia="华文楷体" w:cs="华文楷体"/>
          <w:sz w:val="22"/>
          <w:szCs w:val="21"/>
          <w:lang w:val="en"/>
        </w:rPr>
        <w:t>6</w:t>
      </w:r>
      <w:r>
        <w:rPr>
          <w:rFonts w:hint="eastAsia" w:ascii="宋体" w:hAnsi="宋体" w:eastAsia="华文楷体" w:cs="华文楷体"/>
          <w:sz w:val="22"/>
          <w:szCs w:val="21"/>
        </w:rPr>
        <w:t>）</w:t>
      </w:r>
      <w:r>
        <w:rPr>
          <w:rFonts w:hint="eastAsia" w:ascii="宋体" w:hAnsi="宋体"/>
          <w:szCs w:val="21"/>
        </w:rPr>
        <w:t>中标（成交）采购标的制造商是否为中小企业：</w:t>
      </w: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否</w:t>
      </w:r>
    </w:p>
    <w:p>
      <w:pPr>
        <w:numPr>
          <w:ilvl w:val="255"/>
          <w:numId w:val="0"/>
        </w:numPr>
        <w:adjustRightInd w:val="0"/>
        <w:snapToGrid w:val="0"/>
        <w:spacing w:line="400" w:lineRule="exact"/>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255"/>
          <w:numId w:val="0"/>
        </w:numPr>
        <w:adjustRightInd w:val="0"/>
        <w:snapToGrid w:val="0"/>
        <w:spacing w:line="400" w:lineRule="exact"/>
        <w:rPr>
          <w:rFonts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255"/>
          <w:numId w:val="0"/>
        </w:numPr>
        <w:adjustRightInd w:val="0"/>
        <w:snapToGrid w:val="0"/>
        <w:spacing w:line="400" w:lineRule="exact"/>
        <w:rPr>
          <w:rFonts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snapToGrid w:val="0"/>
        <w:spacing w:line="40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lang w:val="e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line="400" w:lineRule="exact"/>
        <w:ind w:firstLine="840" w:firstLineChars="400"/>
        <w:rPr>
          <w:rFonts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pPr>
        <w:adjustRightInd w:val="0"/>
        <w:snapToGrid w:val="0"/>
        <w:spacing w:line="400" w:lineRule="exact"/>
        <w:ind w:firstLine="840" w:firstLineChars="400"/>
        <w:rPr>
          <w:rFonts w:ascii="宋体" w:hAnsi="宋体"/>
          <w:szCs w:val="21"/>
        </w:rPr>
      </w:pPr>
      <w:r>
        <w:rPr>
          <w:rFonts w:hint="eastAsia" w:ascii="宋体" w:hAnsi="宋体"/>
          <w:szCs w:val="21"/>
        </w:rPr>
        <w:t xml:space="preserve"> 分包供应商/制造商名称（如供应商和制造商不同，请分别填写）：</w:t>
      </w:r>
    </w:p>
    <w:p>
      <w:pPr>
        <w:adjustRightInd w:val="0"/>
        <w:snapToGrid w:val="0"/>
        <w:spacing w:line="400" w:lineRule="exact"/>
        <w:ind w:firstLine="840" w:firstLineChars="4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adjustRightInd w:val="0"/>
        <w:snapToGrid w:val="0"/>
        <w:spacing w:line="400" w:lineRule="exact"/>
        <w:ind w:firstLine="840" w:firstLineChars="400"/>
        <w:rPr>
          <w:rFonts w:ascii="宋体" w:hAnsi="宋体"/>
          <w:szCs w:val="21"/>
        </w:rPr>
      </w:pPr>
      <w:r>
        <w:rPr>
          <w:rFonts w:hint="eastAsia" w:ascii="宋体" w:hAnsi="宋体"/>
          <w:szCs w:val="21"/>
        </w:rPr>
        <w:t xml:space="preserve"> 分包供应商/制造商类型（如果供应商和制造商不同，只填写制造商类型）：</w:t>
      </w:r>
    </w:p>
    <w:p>
      <w:pPr>
        <w:adjustRightInd w:val="0"/>
        <w:snapToGrid w:val="0"/>
        <w:spacing w:line="400" w:lineRule="exact"/>
        <w:ind w:firstLine="840" w:firstLineChars="400"/>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pPr>
        <w:adjustRightInd w:val="0"/>
        <w:snapToGrid w:val="0"/>
        <w:spacing w:line="400" w:lineRule="exact"/>
        <w:ind w:firstLine="840"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pPr>
        <w:numPr>
          <w:ilvl w:val="255"/>
          <w:numId w:val="0"/>
        </w:numPr>
        <w:adjustRightInd w:val="0"/>
        <w:snapToGrid w:val="0"/>
        <w:spacing w:line="400" w:lineRule="exact"/>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lang w:val="en"/>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pPr>
        <w:tabs>
          <w:tab w:val="left" w:pos="1340"/>
        </w:tabs>
        <w:autoSpaceDE w:val="0"/>
        <w:autoSpaceDN w:val="0"/>
        <w:adjustRightInd w:val="0"/>
        <w:spacing w:line="400" w:lineRule="exact"/>
        <w:ind w:firstLine="420" w:firstLineChars="200"/>
        <w:rPr>
          <w:rFonts w:ascii="宋体" w:hAnsi="宋体" w:cs="宋体"/>
          <w:szCs w:val="21"/>
          <w:u w:val="single"/>
        </w:rPr>
      </w:pPr>
      <w:r>
        <w:rPr>
          <w:rFonts w:hint="eastAsia" w:ascii="宋体" w:hAnsi="宋体" w:cs="宋体"/>
          <w:szCs w:val="21"/>
        </w:rPr>
        <w:t xml:space="preserve">     外商投资企业类型：</w:t>
      </w:r>
      <w:r>
        <w:rPr>
          <w:rFonts w:hint="eastAsia" w:ascii="宋体" w:hAnsi="宋体" w:cs="宋体"/>
          <w:iCs/>
          <w:szCs w:val="21"/>
        </w:rPr>
        <w:sym w:font="Wingdings" w:char="00A8"/>
      </w:r>
      <w:r>
        <w:rPr>
          <w:rFonts w:hint="eastAsia" w:ascii="宋体" w:hAnsi="宋体" w:cs="宋体"/>
          <w:szCs w:val="21"/>
        </w:rPr>
        <w:t xml:space="preserve">全部由外国投资者投资  </w:t>
      </w:r>
      <w:r>
        <w:rPr>
          <w:rFonts w:hint="eastAsia" w:ascii="宋体" w:hAnsi="宋体" w:cs="宋体"/>
          <w:iCs/>
          <w:szCs w:val="21"/>
        </w:rPr>
        <w:sym w:font="Wingdings" w:char="00A8"/>
      </w:r>
      <w:r>
        <w:rPr>
          <w:rFonts w:hint="eastAsia" w:ascii="宋体" w:hAnsi="宋体" w:cs="宋体"/>
          <w:iCs/>
          <w:szCs w:val="21"/>
        </w:rPr>
        <w:t>部分由外国投资者投资</w:t>
      </w:r>
    </w:p>
    <w:p>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lang w:val="en"/>
        </w:rPr>
        <w:t>9</w:t>
      </w:r>
      <w:r>
        <w:rPr>
          <w:rFonts w:hint="eastAsia" w:ascii="宋体" w:hAnsi="宋体" w:cs="宋体"/>
          <w:szCs w:val="21"/>
        </w:rPr>
        <w:t>）是否涉及进口产品：</w:t>
      </w:r>
    </w:p>
    <w:p>
      <w:pPr>
        <w:numPr>
          <w:ilvl w:val="255"/>
          <w:numId w:val="0"/>
        </w:numPr>
        <w:adjustRightInd w:val="0"/>
        <w:snapToGrid w:val="0"/>
        <w:spacing w:line="400" w:lineRule="exact"/>
        <w:ind w:firstLine="840"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pPr>
        <w:numPr>
          <w:ilvl w:val="255"/>
          <w:numId w:val="0"/>
        </w:numPr>
        <w:adjustRightInd w:val="0"/>
        <w:snapToGrid w:val="0"/>
        <w:spacing w:line="400" w:lineRule="exact"/>
        <w:ind w:firstLine="840" w:firstLineChars="400"/>
        <w:rPr>
          <w:rFonts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pPr>
        <w:adjustRightInd w:val="0"/>
        <w:snapToGrid w:val="0"/>
        <w:spacing w:line="400" w:lineRule="exact"/>
        <w:ind w:firstLine="840" w:firstLineChars="400"/>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否</w:t>
      </w:r>
    </w:p>
    <w:p>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lang w:val="en"/>
        </w:rPr>
        <w:t>0</w:t>
      </w:r>
      <w:r>
        <w:rPr>
          <w:rFonts w:hint="eastAsia" w:ascii="宋体" w:hAnsi="宋体"/>
          <w:szCs w:val="21"/>
        </w:rPr>
        <w:t>）是否涉及节能产品：</w:t>
      </w:r>
    </w:p>
    <w:p>
      <w:pPr>
        <w:numPr>
          <w:ilvl w:val="255"/>
          <w:numId w:val="0"/>
        </w:numPr>
        <w:tabs>
          <w:tab w:val="left" w:pos="740"/>
        </w:tabs>
        <w:adjustRightInd w:val="0"/>
        <w:snapToGrid w:val="0"/>
        <w:spacing w:line="400" w:lineRule="exact"/>
        <w:rPr>
          <w:rFonts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pPr>
        <w:numPr>
          <w:ilvl w:val="255"/>
          <w:numId w:val="0"/>
        </w:num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是否涉及环境标志产品：</w:t>
      </w:r>
    </w:p>
    <w:p>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pPr>
        <w:numPr>
          <w:ilvl w:val="255"/>
          <w:numId w:val="0"/>
        </w:num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pPr>
        <w:numPr>
          <w:ilvl w:val="255"/>
          <w:numId w:val="0"/>
        </w:numPr>
        <w:autoSpaceDE w:val="0"/>
        <w:autoSpaceDN w:val="0"/>
        <w:adjustRightInd w:val="0"/>
        <w:snapToGrid w:val="0"/>
        <w:spacing w:line="400" w:lineRule="exact"/>
        <w:rPr>
          <w:rFonts w:ascii="宋体" w:hAnsi="宋体"/>
          <w:szCs w:val="21"/>
        </w:rPr>
      </w:pPr>
      <w:r>
        <w:rPr>
          <w:rFonts w:hint="eastAsia" w:ascii="宋体" w:hAnsi="宋体" w:eastAsia="华文楷体" w:cs="华文楷体"/>
          <w:szCs w:val="21"/>
        </w:rPr>
        <w:t xml:space="preserve">          </w:t>
      </w:r>
      <w:r>
        <w:rPr>
          <w:rFonts w:hint="eastAsia" w:ascii="宋体" w:hAnsi="宋体"/>
          <w:szCs w:val="21"/>
        </w:rPr>
        <w:t xml:space="preserve">是否涉及绿色产品： </w:t>
      </w:r>
    </w:p>
    <w:p>
      <w:pPr>
        <w:autoSpaceDE w:val="0"/>
        <w:autoSpaceDN w:val="0"/>
        <w:adjustRightInd w:val="0"/>
        <w:spacing w:line="400" w:lineRule="exact"/>
        <w:ind w:firstLine="420"/>
        <w:rPr>
          <w:rFonts w:ascii="宋体" w:hAnsi="宋体" w:cs="华文楷体"/>
          <w:sz w:val="22"/>
          <w:szCs w:val="21"/>
          <w:u w:val="single"/>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是，绿色产品政府采购相关政策确定的底级品目名称：</w:t>
      </w:r>
      <w:r>
        <w:rPr>
          <w:rFonts w:hint="eastAsia" w:ascii="宋体" w:hAnsi="宋体" w:cs="华文楷体"/>
          <w:sz w:val="22"/>
          <w:szCs w:val="21"/>
          <w:u w:val="single"/>
        </w:rPr>
        <w:t xml:space="preserve">         </w:t>
      </w:r>
    </w:p>
    <w:p>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pPr>
        <w:autoSpaceDE w:val="0"/>
        <w:autoSpaceDN w:val="0"/>
        <w:adjustRightInd w:val="0"/>
        <w:spacing w:line="400" w:lineRule="exact"/>
        <w:ind w:firstLine="420"/>
        <w:rPr>
          <w:rFonts w:ascii="宋体" w:hAnsi="宋体" w:eastAsia="华文楷体" w:cs="华文楷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否</w:t>
      </w:r>
    </w:p>
    <w:p>
      <w:pPr>
        <w:numPr>
          <w:ilvl w:val="255"/>
          <w:numId w:val="0"/>
        </w:numPr>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lang w:val="en"/>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pPr>
        <w:numPr>
          <w:ilvl w:val="255"/>
          <w:numId w:val="0"/>
        </w:numPr>
        <w:adjustRightInd w:val="0"/>
        <w:snapToGrid w:val="0"/>
        <w:spacing w:line="400" w:lineRule="exact"/>
        <w:ind w:firstLine="840" w:firstLineChars="400"/>
        <w:rPr>
          <w:rFonts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pPr>
        <w:numPr>
          <w:ilvl w:val="0"/>
          <w:numId w:val="12"/>
        </w:numPr>
        <w:adjustRightInd w:val="0"/>
        <w:snapToGrid w:val="0"/>
        <w:spacing w:line="400" w:lineRule="exact"/>
        <w:ind w:firstLine="422" w:firstLineChars="200"/>
        <w:rPr>
          <w:rFonts w:ascii="宋体" w:hAnsi="宋体"/>
          <w:b/>
          <w:szCs w:val="21"/>
        </w:rPr>
      </w:pPr>
      <w:r>
        <w:rPr>
          <w:rFonts w:hint="eastAsia" w:ascii="宋体" w:hAnsi="宋体"/>
          <w:b/>
          <w:szCs w:val="21"/>
        </w:rPr>
        <w:t>合同金额</w:t>
      </w:r>
    </w:p>
    <w:p>
      <w:pPr>
        <w:adjustRightInd w:val="0"/>
        <w:snapToGrid w:val="0"/>
        <w:spacing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pPr>
        <w:adjustRightInd w:val="0"/>
        <w:snapToGrid w:val="0"/>
        <w:spacing w:line="400" w:lineRule="exact"/>
        <w:rPr>
          <w:rFonts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pPr>
        <w:adjustRightInd w:val="0"/>
        <w:snapToGrid w:val="0"/>
        <w:spacing w:line="400" w:lineRule="exact"/>
        <w:rPr>
          <w:rFonts w:ascii="宋体" w:hAnsi="宋体"/>
          <w:szCs w:val="21"/>
        </w:rPr>
      </w:pPr>
      <w:r>
        <w:rPr>
          <w:rFonts w:hint="eastAsia" w:ascii="宋体" w:hAnsi="宋体"/>
          <w:szCs w:val="21"/>
        </w:rPr>
        <w:t xml:space="preserve">    （注：固定单价合同应填写单价和最高限价）</w:t>
      </w:r>
    </w:p>
    <w:p>
      <w:pPr>
        <w:numPr>
          <w:ilvl w:val="255"/>
          <w:numId w:val="0"/>
        </w:numPr>
        <w:adjustRightInd w:val="0"/>
        <w:snapToGrid w:val="0"/>
        <w:spacing w:line="400" w:lineRule="exact"/>
        <w:rPr>
          <w:rFonts w:ascii="宋体" w:hAnsi="宋体"/>
          <w:szCs w:val="21"/>
        </w:rPr>
      </w:pPr>
      <w:r>
        <w:rPr>
          <w:rFonts w:hint="eastAsia" w:ascii="宋体" w:hAnsi="宋体"/>
          <w:szCs w:val="21"/>
        </w:rPr>
        <w:t xml:space="preserve">    （2）合同定价方式（采用组合定价方式的，可以勾选多项）：</w:t>
      </w:r>
    </w:p>
    <w:p>
      <w:pPr>
        <w:adjustRightInd w:val="0"/>
        <w:snapToGrid w:val="0"/>
        <w:spacing w:line="400" w:lineRule="exact"/>
        <w:ind w:firstLine="420" w:firstLineChars="200"/>
        <w:rPr>
          <w:rFonts w:ascii="宋体" w:hAnsi="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pPr>
        <w:spacing w:line="400" w:lineRule="exact"/>
        <w:ind w:firstLine="420" w:firstLineChars="200"/>
        <w:rPr>
          <w:szCs w:val="21"/>
        </w:rPr>
      </w:pPr>
      <w:r>
        <w:rPr>
          <w:rFonts w:hint="eastAsia" w:ascii="宋体" w:hAnsi="宋体"/>
          <w:szCs w:val="21"/>
        </w:rPr>
        <w:t>（3）付款方式（按项目实际勾选填写）：</w:t>
      </w:r>
    </w:p>
    <w:p>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pPr>
        <w:snapToGrid w:val="0"/>
        <w:spacing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（应明确分期支付合同款项的各期比例和支付条件，各期支付条件应与分期履约验收情况挂钩） </w:t>
      </w:r>
      <w:r>
        <w:rPr>
          <w:rFonts w:hint="eastAsia" w:ascii="宋体" w:hAnsi="宋体"/>
          <w:szCs w:val="21"/>
        </w:rPr>
        <w:t>，其中涉及预付款的：</w:t>
      </w:r>
      <w:r>
        <w:rPr>
          <w:rFonts w:hint="eastAsia" w:ascii="宋体" w:hAnsi="宋体"/>
          <w:szCs w:val="21"/>
          <w:u w:val="single"/>
        </w:rPr>
        <w:t xml:space="preserve"> （应明确预付款的支付比例和支付条件） </w:t>
      </w:r>
    </w:p>
    <w:p>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pPr>
        <w:adjustRightInd w:val="0"/>
        <w:snapToGrid w:val="0"/>
        <w:spacing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pPr>
        <w:numPr>
          <w:ilvl w:val="0"/>
          <w:numId w:val="12"/>
        </w:numPr>
        <w:adjustRightInd w:val="0"/>
        <w:snapToGrid w:val="0"/>
        <w:spacing w:line="400" w:lineRule="exact"/>
        <w:ind w:firstLine="422" w:firstLineChars="200"/>
        <w:rPr>
          <w:rFonts w:ascii="宋体" w:hAnsi="宋体"/>
          <w:b/>
          <w:szCs w:val="21"/>
          <w:u w:val="single"/>
        </w:rPr>
      </w:pPr>
      <w:r>
        <w:rPr>
          <w:rFonts w:hint="eastAsia" w:ascii="宋体" w:hAnsi="宋体"/>
          <w:b/>
          <w:szCs w:val="21"/>
        </w:rPr>
        <w:t>合同履行</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line="400" w:lineRule="exact"/>
        <w:ind w:firstLine="420" w:firstLineChars="20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pPr>
        <w:adjustRightInd w:val="0"/>
        <w:snapToGrid w:val="0"/>
        <w:spacing w:line="400" w:lineRule="exact"/>
        <w:ind w:firstLine="420" w:firstLineChars="200"/>
        <w:rPr>
          <w:rFonts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pPr>
        <w:autoSpaceDE w:val="0"/>
        <w:autoSpaceDN w:val="0"/>
        <w:adjustRightInd w:val="0"/>
        <w:spacing w:line="400" w:lineRule="exact"/>
        <w:ind w:firstLine="440" w:firstLineChars="200"/>
        <w:rPr>
          <w:rFonts w:ascii="宋体" w:hAnsi="宋体" w:cs="宋体"/>
          <w:szCs w:val="21"/>
        </w:rPr>
      </w:pPr>
      <w:r>
        <w:rPr>
          <w:rFonts w:hint="eastAsia" w:ascii="宋体" w:hAnsi="宋体" w:eastAsia="华文楷体" w:cs="宋体"/>
          <w:bCs/>
          <w:sz w:val="22"/>
          <w:szCs w:val="21"/>
        </w:rPr>
        <w:t xml:space="preserve">  </w:t>
      </w:r>
      <w:r>
        <w:rPr>
          <w:rFonts w:hint="eastAsia" w:ascii="宋体" w:hAnsi="宋体" w:cs="宋体"/>
          <w:szCs w:val="21"/>
        </w:rPr>
        <w:t xml:space="preserve">  收取履约保证金形式：</w:t>
      </w:r>
      <w:r>
        <w:rPr>
          <w:rFonts w:hint="eastAsia" w:ascii="宋体" w:hAnsi="宋体" w:cs="宋体"/>
          <w:bCs/>
          <w:szCs w:val="21"/>
          <w:u w:val="single"/>
        </w:rPr>
        <w:t xml:space="preserve">                            </w:t>
      </w:r>
    </w:p>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 xml:space="preserve">    收取履约保证金金额：</w:t>
      </w:r>
      <w:r>
        <w:rPr>
          <w:rFonts w:hint="eastAsia" w:ascii="宋体" w:hAnsi="宋体" w:cs="宋体"/>
          <w:bCs/>
          <w:szCs w:val="21"/>
          <w:u w:val="single"/>
        </w:rPr>
        <w:t xml:space="preserve">                            </w:t>
      </w:r>
    </w:p>
    <w:p>
      <w:pPr>
        <w:snapToGrid w:val="0"/>
        <w:spacing w:line="400" w:lineRule="exact"/>
        <w:ind w:firstLine="420" w:firstLineChars="200"/>
        <w:rPr>
          <w:rFonts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pPr>
        <w:adjustRightInd w:val="0"/>
        <w:snapToGrid w:val="0"/>
        <w:spacing w:line="400" w:lineRule="exact"/>
        <w:ind w:firstLine="420" w:firstLineChars="200"/>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color w:val="0000FF"/>
          <w:szCs w:val="21"/>
          <w:u w:val="single"/>
        </w:rPr>
        <w:t xml:space="preserve"> </w:t>
      </w:r>
      <w:r>
        <w:rPr>
          <w:rFonts w:hint="eastAsia" w:ascii="宋体" w:hAnsi="宋体" w:cs="宋体"/>
          <w:color w:val="000000"/>
          <w:szCs w:val="21"/>
          <w:u w:val="single"/>
        </w:rPr>
        <w:t xml:space="preserve">              </w:t>
      </w:r>
      <w:r>
        <w:rPr>
          <w:rFonts w:hint="eastAsia" w:ascii="宋体" w:hAnsi="宋体" w:cs="宋体"/>
          <w:szCs w:val="21"/>
          <w:u w:val="single"/>
        </w:rPr>
        <w:t xml:space="preserve">                                                </w:t>
      </w:r>
    </w:p>
    <w:p>
      <w:pPr>
        <w:numPr>
          <w:ilvl w:val="0"/>
          <w:numId w:val="12"/>
        </w:numPr>
        <w:adjustRightInd w:val="0"/>
        <w:snapToGrid w:val="0"/>
        <w:spacing w:line="400" w:lineRule="exact"/>
        <w:ind w:firstLine="422" w:firstLineChars="200"/>
        <w:rPr>
          <w:rFonts w:ascii="宋体" w:hAnsi="宋体"/>
          <w:b/>
          <w:szCs w:val="21"/>
        </w:rPr>
      </w:pPr>
      <w:r>
        <w:rPr>
          <w:rFonts w:hint="eastAsia" w:ascii="宋体" w:hAnsi="宋体"/>
          <w:b/>
          <w:szCs w:val="21"/>
        </w:rPr>
        <w:t>合同验收</w:t>
      </w:r>
    </w:p>
    <w:p>
      <w:pPr>
        <w:numPr>
          <w:ilvl w:val="0"/>
          <w:numId w:val="14"/>
        </w:numPr>
        <w:adjustRightInd w:val="0"/>
        <w:snapToGrid w:val="0"/>
        <w:spacing w:line="400" w:lineRule="exact"/>
        <w:ind w:firstLine="420" w:firstLineChars="200"/>
        <w:rPr>
          <w:rFonts w:ascii="宋体" w:hAnsi="宋体"/>
          <w:bCs/>
          <w:szCs w:val="21"/>
        </w:rPr>
      </w:pPr>
      <w:r>
        <w:rPr>
          <w:rFonts w:hint="eastAsia" w:ascii="宋体" w:hAnsi="宋体"/>
          <w:bCs/>
          <w:szCs w:val="21"/>
        </w:rPr>
        <w:t>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pPr>
        <w:adjustRightInd w:val="0"/>
        <w:snapToGrid w:val="0"/>
        <w:spacing w:line="400" w:lineRule="exact"/>
        <w:rPr>
          <w:rFonts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pPr>
        <w:adjustRightInd w:val="0"/>
        <w:snapToGrid w:val="0"/>
        <w:spacing w:line="400" w:lineRule="exact"/>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pPr>
        <w:adjustRightInd w:val="0"/>
        <w:snapToGrid w:val="0"/>
        <w:spacing w:line="400" w:lineRule="exact"/>
        <w:ind w:firstLine="840" w:firstLineChars="400"/>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pPr>
        <w:adjustRightInd w:val="0"/>
        <w:snapToGrid w:val="0"/>
        <w:spacing w:line="400" w:lineRule="exact"/>
        <w:ind w:firstLine="420" w:firstLineChars="20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pPr>
        <w:adjustRightInd w:val="0"/>
        <w:snapToGrid w:val="0"/>
        <w:spacing w:line="400" w:lineRule="exact"/>
        <w:ind w:firstLine="420" w:firstLineChars="200"/>
        <w:rPr>
          <w:rFonts w:ascii="宋体" w:hAnsi="宋体"/>
          <w:bCs/>
          <w:szCs w:val="21"/>
        </w:rPr>
      </w:pPr>
      <w:r>
        <w:rPr>
          <w:rFonts w:hint="eastAsia" w:ascii="宋体" w:hAnsi="宋体"/>
          <w:bCs/>
          <w:szCs w:val="21"/>
        </w:rPr>
        <w:t>（3）履约验收方式：</w:t>
      </w:r>
      <w:r>
        <w:rPr>
          <w:rFonts w:hint="eastAsia" w:ascii="宋体" w:hAnsi="宋体" w:cs="宋体"/>
          <w:szCs w:val="21"/>
        </w:rPr>
        <w:sym w:font="Wingdings" w:char="00A8"/>
      </w:r>
      <w:r>
        <w:rPr>
          <w:rFonts w:hint="eastAsia" w:ascii="宋体" w:hAnsi="宋体"/>
          <w:bCs/>
          <w:szCs w:val="21"/>
        </w:rPr>
        <w:t xml:space="preserve">一次性验收         </w:t>
      </w:r>
    </w:p>
    <w:p>
      <w:pPr>
        <w:adjustRightInd w:val="0"/>
        <w:snapToGrid w:val="0"/>
        <w:spacing w:line="400" w:lineRule="exact"/>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lang w:val="en"/>
        </w:rPr>
        <w:t>/</w:t>
      </w:r>
      <w:r>
        <w:rPr>
          <w:rFonts w:hint="eastAsia" w:ascii="宋体" w:hAnsi="宋体"/>
          <w:bCs/>
          <w:szCs w:val="21"/>
          <w:u w:val="single"/>
          <w:lang w:val="en"/>
        </w:rPr>
        <w:t>分项验收的工作安排</w:t>
      </w:r>
      <w:r>
        <w:rPr>
          <w:rFonts w:hint="eastAsia" w:ascii="宋体" w:hAnsi="宋体"/>
          <w:bCs/>
          <w:szCs w:val="21"/>
          <w:u w:val="single"/>
        </w:rPr>
        <w:t xml:space="preserve">）  </w:t>
      </w:r>
    </w:p>
    <w:p>
      <w:pPr>
        <w:adjustRightInd w:val="0"/>
        <w:snapToGrid w:val="0"/>
        <w:spacing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pPr>
        <w:adjustRightInd w:val="0"/>
        <w:snapToGrid w:val="0"/>
        <w:spacing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pPr>
        <w:adjustRightInd w:val="0"/>
        <w:snapToGrid w:val="0"/>
        <w:spacing w:line="400" w:lineRule="exact"/>
        <w:ind w:firstLine="420" w:firstLineChars="200"/>
        <w:rPr>
          <w:rFonts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pPr>
        <w:autoSpaceDE w:val="0"/>
        <w:autoSpaceDN w:val="0"/>
        <w:adjustRightInd w:val="0"/>
        <w:spacing w:line="400" w:lineRule="exact"/>
        <w:ind w:firstLine="420" w:firstLineChars="200"/>
        <w:rPr>
          <w:rFonts w:ascii="宋体" w:hAnsi="宋体" w:cs="宋体"/>
          <w:szCs w:val="21"/>
        </w:rPr>
      </w:pPr>
      <w:r>
        <w:rPr>
          <w:rFonts w:hint="eastAsia" w:ascii="宋体" w:hAnsi="宋体" w:cs="宋体"/>
          <w:bCs/>
          <w:szCs w:val="21"/>
        </w:rPr>
        <w:t>（7）是否以采购活动中供应商提供的样品作为参考：</w:t>
      </w:r>
      <w:r>
        <w:rPr>
          <w:rFonts w:hint="eastAsia" w:ascii="宋体" w:hAnsi="宋体" w:cs="宋体"/>
          <w:szCs w:val="21"/>
        </w:rPr>
        <w:sym w:font="Wingdings" w:char="00A8"/>
      </w:r>
      <w:r>
        <w:rPr>
          <w:rFonts w:hint="eastAsia" w:ascii="宋体" w:hAnsi="宋体" w:cs="宋体"/>
          <w:bCs/>
          <w:szCs w:val="21"/>
        </w:rPr>
        <w:t xml:space="preserve">是  </w:t>
      </w:r>
      <w:r>
        <w:rPr>
          <w:rFonts w:hint="eastAsia" w:ascii="宋体" w:hAnsi="宋体" w:cs="宋体"/>
          <w:szCs w:val="21"/>
        </w:rPr>
        <w:sym w:font="Wingdings" w:char="00A8"/>
      </w:r>
      <w:r>
        <w:rPr>
          <w:rFonts w:hint="eastAsia" w:ascii="宋体" w:hAnsi="宋体" w:cs="宋体"/>
          <w:bCs/>
          <w:szCs w:val="21"/>
        </w:rPr>
        <w:t>否</w:t>
      </w:r>
    </w:p>
    <w:p>
      <w:pPr>
        <w:adjustRightInd w:val="0"/>
        <w:snapToGrid w:val="0"/>
        <w:spacing w:line="400" w:lineRule="exact"/>
        <w:ind w:firstLine="420" w:firstLineChars="2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pPr>
        <w:numPr>
          <w:ilvl w:val="0"/>
          <w:numId w:val="12"/>
        </w:numPr>
        <w:adjustRightInd w:val="0"/>
        <w:snapToGrid w:val="0"/>
        <w:spacing w:line="400" w:lineRule="exact"/>
        <w:ind w:firstLine="422" w:firstLineChars="200"/>
        <w:rPr>
          <w:rFonts w:ascii="宋体" w:hAnsi="宋体"/>
          <w:b/>
          <w:szCs w:val="21"/>
        </w:rPr>
      </w:pPr>
      <w:r>
        <w:rPr>
          <w:rFonts w:hint="eastAsia" w:ascii="宋体" w:hAnsi="宋体"/>
          <w:b/>
          <w:szCs w:val="21"/>
        </w:rPr>
        <w:t>组成合同的文件</w:t>
      </w:r>
    </w:p>
    <w:p>
      <w:pPr>
        <w:adjustRightInd w:val="0"/>
        <w:snapToGrid w:val="0"/>
        <w:spacing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pPr>
        <w:adjustRightInd w:val="0"/>
        <w:snapToGrid w:val="0"/>
        <w:spacing w:line="400" w:lineRule="exact"/>
        <w:ind w:firstLine="420" w:firstLineChars="200"/>
        <w:rPr>
          <w:rFonts w:ascii="宋体" w:hAnsi="宋体"/>
          <w:szCs w:val="21"/>
        </w:rPr>
      </w:pPr>
      <w:r>
        <w:rPr>
          <w:rFonts w:hint="eastAsia" w:ascii="宋体" w:hAnsi="宋体"/>
          <w:szCs w:val="21"/>
        </w:rPr>
        <w:t>（1）采购合同协议书及其变更、补充协议</w:t>
      </w:r>
    </w:p>
    <w:p>
      <w:pPr>
        <w:adjustRightInd w:val="0"/>
        <w:snapToGrid w:val="0"/>
        <w:spacing w:line="400" w:lineRule="exact"/>
        <w:ind w:firstLine="420" w:firstLineChars="200"/>
        <w:rPr>
          <w:rFonts w:ascii="宋体" w:hAnsi="宋体"/>
          <w:szCs w:val="21"/>
        </w:rPr>
      </w:pPr>
      <w:r>
        <w:rPr>
          <w:rFonts w:hint="eastAsia" w:ascii="宋体" w:hAnsi="宋体"/>
          <w:szCs w:val="21"/>
        </w:rPr>
        <w:t>（2）采购合同专用条款</w:t>
      </w:r>
    </w:p>
    <w:p>
      <w:pPr>
        <w:adjustRightInd w:val="0"/>
        <w:snapToGrid w:val="0"/>
        <w:spacing w:line="400" w:lineRule="exact"/>
        <w:ind w:firstLine="420" w:firstLineChars="200"/>
        <w:rPr>
          <w:rFonts w:ascii="宋体" w:hAnsi="宋体"/>
          <w:szCs w:val="21"/>
        </w:rPr>
      </w:pPr>
      <w:r>
        <w:rPr>
          <w:rFonts w:hint="eastAsia" w:ascii="宋体" w:hAnsi="宋体"/>
          <w:szCs w:val="21"/>
        </w:rPr>
        <w:t>（3）采购合同通用条款</w:t>
      </w:r>
    </w:p>
    <w:p>
      <w:pPr>
        <w:adjustRightInd w:val="0"/>
        <w:snapToGrid w:val="0"/>
        <w:spacing w:line="400" w:lineRule="exact"/>
        <w:ind w:firstLine="420" w:firstLineChars="200"/>
        <w:rPr>
          <w:rFonts w:ascii="宋体" w:hAnsi="宋体"/>
          <w:szCs w:val="21"/>
        </w:rPr>
      </w:pPr>
      <w:r>
        <w:rPr>
          <w:rFonts w:hint="eastAsia" w:ascii="宋体" w:hAnsi="宋体"/>
          <w:szCs w:val="21"/>
        </w:rPr>
        <w:t>（4）中标（成交）通知书</w:t>
      </w:r>
    </w:p>
    <w:p>
      <w:pPr>
        <w:adjustRightInd w:val="0"/>
        <w:snapToGrid w:val="0"/>
        <w:spacing w:line="400" w:lineRule="exact"/>
        <w:ind w:firstLine="420" w:firstLineChars="200"/>
        <w:rPr>
          <w:rFonts w:ascii="宋体" w:hAnsi="宋体"/>
          <w:szCs w:val="21"/>
        </w:rPr>
      </w:pPr>
      <w:r>
        <w:rPr>
          <w:rFonts w:hint="eastAsia" w:ascii="宋体" w:hAnsi="宋体"/>
          <w:szCs w:val="21"/>
        </w:rPr>
        <w:t>（5）投标（响应）文件</w:t>
      </w:r>
    </w:p>
    <w:p>
      <w:pPr>
        <w:adjustRightInd w:val="0"/>
        <w:snapToGrid w:val="0"/>
        <w:spacing w:line="400" w:lineRule="exact"/>
        <w:ind w:firstLine="420" w:firstLineChars="200"/>
        <w:rPr>
          <w:rFonts w:ascii="宋体" w:hAnsi="宋体"/>
          <w:szCs w:val="21"/>
        </w:rPr>
      </w:pPr>
      <w:r>
        <w:rPr>
          <w:rFonts w:hint="eastAsia" w:ascii="宋体" w:hAnsi="宋体"/>
          <w:szCs w:val="21"/>
        </w:rPr>
        <w:t>（6）采购文件</w:t>
      </w:r>
    </w:p>
    <w:p>
      <w:pPr>
        <w:adjustRightInd w:val="0"/>
        <w:snapToGrid w:val="0"/>
        <w:spacing w:line="400" w:lineRule="exact"/>
        <w:ind w:firstLine="420" w:firstLineChars="200"/>
        <w:rPr>
          <w:rFonts w:ascii="宋体" w:hAnsi="宋体"/>
          <w:szCs w:val="21"/>
        </w:rPr>
      </w:pPr>
      <w:r>
        <w:rPr>
          <w:rFonts w:hint="eastAsia" w:ascii="宋体" w:hAnsi="宋体"/>
          <w:szCs w:val="21"/>
        </w:rPr>
        <w:t>（7）有关技术文件，图纸</w:t>
      </w:r>
    </w:p>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（8）</w:t>
      </w:r>
      <w:r>
        <w:rPr>
          <w:rFonts w:hint="eastAsia" w:ascii="宋体" w:hAnsi="宋体" w:cs="宋体"/>
          <w:color w:val="000000"/>
          <w:szCs w:val="21"/>
        </w:rPr>
        <w:t>国家法律、行政法规和规章制度规定或合同约定的作为合同组成部分的其他文件</w:t>
      </w:r>
    </w:p>
    <w:p>
      <w:pPr>
        <w:numPr>
          <w:ilvl w:val="0"/>
          <w:numId w:val="12"/>
        </w:numPr>
        <w:adjustRightInd w:val="0"/>
        <w:snapToGrid w:val="0"/>
        <w:spacing w:line="400" w:lineRule="exact"/>
        <w:ind w:firstLine="422" w:firstLineChars="200"/>
        <w:rPr>
          <w:rFonts w:ascii="宋体" w:hAnsi="宋体"/>
          <w:b/>
          <w:szCs w:val="21"/>
        </w:rPr>
      </w:pPr>
      <w:r>
        <w:rPr>
          <w:rFonts w:hint="eastAsia" w:ascii="宋体" w:hAnsi="宋体"/>
          <w:b/>
          <w:szCs w:val="21"/>
        </w:rPr>
        <w:t>合同生效</w:t>
      </w:r>
    </w:p>
    <w:p>
      <w:pPr>
        <w:adjustRightInd w:val="0"/>
        <w:snapToGrid w:val="0"/>
        <w:spacing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pPr>
        <w:numPr>
          <w:ilvl w:val="0"/>
          <w:numId w:val="12"/>
        </w:numPr>
        <w:adjustRightInd w:val="0"/>
        <w:snapToGrid w:val="0"/>
        <w:spacing w:line="400" w:lineRule="exact"/>
        <w:ind w:firstLine="422" w:firstLineChars="200"/>
        <w:rPr>
          <w:rFonts w:ascii="宋体" w:hAnsi="宋体"/>
          <w:b/>
          <w:szCs w:val="21"/>
        </w:rPr>
      </w:pPr>
      <w:r>
        <w:rPr>
          <w:rFonts w:hint="eastAsia" w:ascii="宋体" w:hAnsi="宋体"/>
          <w:b/>
          <w:szCs w:val="21"/>
        </w:rPr>
        <w:t>合同份数</w:t>
      </w:r>
    </w:p>
    <w:p>
      <w:pPr>
        <w:adjustRightInd w:val="0"/>
        <w:snapToGrid w:val="0"/>
        <w:spacing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pPr>
        <w:adjustRightInd w:val="0"/>
        <w:snapToGrid w:val="0"/>
        <w:spacing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pPr>
        <w:adjustRightInd w:val="0"/>
        <w:snapToGrid w:val="0"/>
        <w:spacing w:line="400" w:lineRule="exact"/>
        <w:ind w:firstLine="420" w:firstLineChars="200"/>
      </w:pPr>
      <w:r>
        <w:rPr>
          <w:rFonts w:hint="eastAsia" w:ascii="宋体" w:hAnsi="宋体"/>
          <w:szCs w:val="21"/>
        </w:rPr>
        <w:t>附件：具体标的及其技术要求和商务要求、联合协议、分包意向协议等。</w:t>
      </w:r>
    </w:p>
    <w:p>
      <w:r>
        <w:rPr>
          <w:rFonts w:hint="eastAsia"/>
        </w:rPr>
        <w:br w:type="page"/>
      </w:r>
    </w:p>
    <w:p>
      <w:pPr>
        <w:ind w:firstLine="420" w:firstLineChars="200"/>
        <w:rPr>
          <w:szCs w:val="21"/>
        </w:rPr>
      </w:pPr>
    </w:p>
    <w:tbl>
      <w:tblPr>
        <w:tblStyle w:val="44"/>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pPr>
              <w:adjustRightInd w:val="0"/>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4095" w:type="dxa"/>
            <w:gridSpan w:val="2"/>
            <w:tcBorders>
              <w:left w:val="single" w:color="auto" w:sz="2" w:space="0"/>
              <w:bottom w:val="single" w:color="auto" w:sz="2" w:space="0"/>
            </w:tcBorders>
            <w:vAlign w:val="center"/>
          </w:tcPr>
          <w:p>
            <w:pPr>
              <w:adjustRightInd w:val="0"/>
              <w:snapToGrid w:val="0"/>
              <w:spacing w:line="300" w:lineRule="exact"/>
              <w:jc w:val="center"/>
            </w:pPr>
            <w:r>
              <w:rPr>
                <w:szCs w:val="21"/>
              </w:rPr>
              <w:t>乙方</w:t>
            </w:r>
            <w:r>
              <w:rPr>
                <w:rFonts w:hint="eastAsia"/>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（公章或合同章）</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（公章或合同章）</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pPr>
              <w:adjustRightInd w:val="0"/>
              <w:snapToGrid w:val="0"/>
              <w:spacing w:line="300" w:lineRule="exact"/>
              <w:jc w:val="center"/>
              <w:rPr>
                <w:szCs w:val="21"/>
              </w:rPr>
            </w:pPr>
          </w:p>
        </w:tc>
        <w:tc>
          <w:tcPr>
            <w:tcW w:w="2412" w:type="dxa"/>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拥有者性别</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住  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住  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通信地址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开户名称</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开户银行</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银行账号</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pPr>
              <w:adjustRightInd w:val="0"/>
              <w:snapToGrid w:val="0"/>
              <w:spacing w:before="120" w:beforeLines="50" w:line="360" w:lineRule="auto"/>
              <w:jc w:val="left"/>
              <w:rPr>
                <w:spacing w:val="20"/>
                <w:szCs w:val="21"/>
              </w:rPr>
            </w:pPr>
            <w:r>
              <w:rPr>
                <w:rFonts w:hint="eastAsia" w:ascii="宋体" w:hAnsi="宋体"/>
                <w:szCs w:val="21"/>
              </w:rPr>
              <w:t>注：涉及联合体或其他合同主体的信息应按上表格式加列。</w:t>
            </w:r>
          </w:p>
        </w:tc>
      </w:tr>
    </w:tbl>
    <w:p>
      <w:pPr>
        <w:keepNext/>
        <w:keepLines/>
        <w:adjustRightInd w:val="0"/>
        <w:snapToGrid w:val="0"/>
        <w:spacing w:before="120" w:beforeLines="50" w:line="360" w:lineRule="auto"/>
        <w:jc w:val="center"/>
        <w:outlineLvl w:val="1"/>
        <w:rPr>
          <w:rFonts w:ascii="黑体" w:hAnsi="黑体" w:eastAsia="黑体"/>
          <w:b/>
          <w:bCs/>
          <w:sz w:val="28"/>
          <w:szCs w:val="28"/>
        </w:rPr>
      </w:pPr>
      <w:r>
        <w:rPr>
          <w:rFonts w:ascii="宋体" w:hAnsi="宋体"/>
          <w:b/>
          <w:bCs/>
          <w:szCs w:val="21"/>
          <w:u w:val="single"/>
        </w:rPr>
        <w:br w:type="page"/>
      </w:r>
      <w:bookmarkStart w:id="78" w:name="_Toc27624"/>
      <w:r>
        <w:rPr>
          <w:rFonts w:hint="eastAsia" w:ascii="黑体" w:hAnsi="黑体" w:eastAsia="黑体"/>
          <w:sz w:val="28"/>
          <w:szCs w:val="28"/>
        </w:rPr>
        <w:t>第二节 采购合同通用条款</w:t>
      </w:r>
      <w:bookmarkEnd w:id="78"/>
    </w:p>
    <w:p>
      <w:pPr>
        <w:tabs>
          <w:tab w:val="left" w:pos="8820"/>
          <w:tab w:val="left" w:pos="9345"/>
          <w:tab w:val="left" w:pos="9765"/>
        </w:tabs>
        <w:adjustRightInd w:val="0"/>
        <w:snapToGrid w:val="0"/>
        <w:spacing w:line="400" w:lineRule="exact"/>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1.1合同当事人</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（1）采购人（以下称甲方）是指使用财政性资金，通过采购方式向供应商购买货物及其相关服务的国家机关、事业单位、团体组织。</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（2）供应商（以下称乙方）是指参加采购活动并且中标（成交），向采购人提供合同约定的货物及其相关服务的法人、非法人组织或者自然人。</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（3）其他合同主体是指除采购人和供应商以外，</w:t>
      </w:r>
      <w:r>
        <w:rPr>
          <w:rFonts w:hint="eastAsia" w:ascii="宋体" w:hAnsi="宋体" w:cs="宋体"/>
          <w:bCs/>
          <w:color w:val="000000"/>
          <w:szCs w:val="21"/>
        </w:rPr>
        <w:t>依法参与合同缔结或履行，享有权利、承担义务的合同当事人</w:t>
      </w:r>
      <w:r>
        <w:rPr>
          <w:rFonts w:hint="eastAsia" w:ascii="宋体" w:hAnsi="宋体"/>
          <w:szCs w:val="21"/>
        </w:rPr>
        <w:t>。</w:t>
      </w:r>
    </w:p>
    <w:p>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1.2本合同下列术语应解释为：</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（1）“合同”系指</w:t>
      </w:r>
      <w:r>
        <w:rPr>
          <w:rFonts w:hint="eastAsia" w:ascii="宋体" w:hAnsi="宋体" w:cs="宋体"/>
          <w:bCs/>
          <w:color w:val="000000"/>
          <w:szCs w:val="21"/>
        </w:rPr>
        <w:t>合同当事人意思表示达成一致的任何协议，包括签署的</w:t>
      </w:r>
      <w:r>
        <w:rPr>
          <w:rFonts w:hint="eastAsia" w:ascii="宋体" w:hAnsi="宋体"/>
          <w:szCs w:val="21"/>
        </w:rPr>
        <w:t>采购合同协议书及其变更、补充协议，采购合同专用条款，采购合同通用条款，中标（成交）通知书，投标（响应）文件，采购文件，有关技术文件和图纸，以及</w:t>
      </w:r>
      <w:r>
        <w:rPr>
          <w:rFonts w:hint="eastAsia" w:ascii="宋体" w:hAnsi="宋体" w:cs="宋体"/>
          <w:color w:val="000000"/>
          <w:szCs w:val="21"/>
        </w:rPr>
        <w:t>国家法律、行政法规和规章制度规定或合同约定的作为合同组成部分的其他文件</w:t>
      </w:r>
      <w:r>
        <w:rPr>
          <w:rFonts w:hint="eastAsia" w:ascii="宋体" w:hAnsi="宋体"/>
          <w:szCs w:val="21"/>
        </w:rPr>
        <w:t>。</w:t>
      </w:r>
    </w:p>
    <w:p>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（2）“合同价款”系指根据本合同规定乙方在全面履行合同义务后甲方应支付给乙方的价款。</w:t>
      </w:r>
    </w:p>
    <w:p>
      <w:pPr>
        <w:tabs>
          <w:tab w:val="left" w:pos="570"/>
          <w:tab w:val="left" w:pos="9240"/>
          <w:tab w:val="left" w:pos="9555"/>
        </w:tabs>
        <w:adjustRightInd w:val="0"/>
        <w:snapToGrid w:val="0"/>
        <w:spacing w:line="400" w:lineRule="exact"/>
        <w:ind w:firstLine="420" w:firstLineChars="200"/>
        <w:jc w:val="left"/>
        <w:rPr>
          <w:rFonts w:ascii="宋体" w:hAnsi="宋体"/>
          <w:color w:val="000000"/>
          <w:szCs w:val="21"/>
        </w:rPr>
      </w:pPr>
      <w:r>
        <w:rPr>
          <w:rFonts w:hint="eastAsia" w:ascii="宋体" w:hAnsi="宋体"/>
          <w:szCs w:val="21"/>
        </w:rPr>
        <w:t>（3）“货物”系指乙方根据本合同规定须向甲方提供的各种形态和种类的物品，包括原材料、设备、产品（</w:t>
      </w:r>
      <w:r>
        <w:rPr>
          <w:rFonts w:hint="eastAsia" w:ascii="宋体" w:hAnsi="宋体"/>
          <w:color w:val="000000"/>
          <w:szCs w:val="21"/>
        </w:rPr>
        <w:t>包括软件）及相关的其备品备件、工具、手册及</w:t>
      </w:r>
      <w:r>
        <w:rPr>
          <w:rFonts w:ascii="宋体" w:hAnsi="宋体"/>
          <w:color w:val="000000"/>
          <w:szCs w:val="21"/>
          <w:lang w:val="en"/>
        </w:rPr>
        <w:t>其他</w:t>
      </w:r>
      <w:r>
        <w:rPr>
          <w:rFonts w:hint="eastAsia" w:ascii="宋体" w:hAnsi="宋体"/>
          <w:color w:val="000000"/>
          <w:szCs w:val="21"/>
        </w:rPr>
        <w:t>技术资料和材料等。</w:t>
      </w:r>
    </w:p>
    <w:p>
      <w:pPr>
        <w:adjustRightInd w:val="0"/>
        <w:snapToGrid w:val="0"/>
        <w:spacing w:line="400" w:lineRule="exact"/>
        <w:ind w:firstLine="420" w:firstLineChars="200"/>
        <w:jc w:val="left"/>
        <w:rPr>
          <w:rFonts w:ascii="宋体" w:hAnsi="宋体"/>
          <w:color w:val="000000"/>
          <w:szCs w:val="21"/>
          <w:highlight w:val="yellow"/>
        </w:rPr>
      </w:pPr>
      <w:r>
        <w:rPr>
          <w:rFonts w:hint="eastAsia" w:ascii="宋体" w:hAnsi="宋体"/>
          <w:color w:val="000000"/>
          <w:szCs w:val="21"/>
        </w:rPr>
        <w:t>（4）“</w:t>
      </w:r>
      <w:r>
        <w:rPr>
          <w:rFonts w:hint="eastAsia" w:ascii="宋体" w:hAnsi="宋体"/>
          <w:szCs w:val="21"/>
        </w:rPr>
        <w:t>相关</w:t>
      </w:r>
      <w:r>
        <w:rPr>
          <w:rFonts w:hint="eastAsia" w:ascii="宋体" w:hAnsi="宋体"/>
          <w:color w:val="000000"/>
          <w:szCs w:val="21"/>
        </w:rPr>
        <w:t>服务”系指根据合同规定，乙方应提供的与货物有关的技术、管理和</w:t>
      </w:r>
      <w:r>
        <w:rPr>
          <w:rFonts w:ascii="宋体" w:hAnsi="宋体"/>
          <w:color w:val="000000"/>
          <w:szCs w:val="21"/>
          <w:lang w:val="en"/>
        </w:rPr>
        <w:t>其他</w:t>
      </w:r>
      <w:r>
        <w:rPr>
          <w:rFonts w:hint="eastAsia" w:ascii="宋体" w:hAnsi="宋体"/>
          <w:color w:val="000000"/>
          <w:szCs w:val="21"/>
        </w:rPr>
        <w:t>服务，包括但不限于：管理和质量保证、运输、保险、检验、现场准备、安装、集成、调试、培训、维修、废弃处置、技术支持等以及合同中规定乙方应承担的</w:t>
      </w:r>
      <w:r>
        <w:rPr>
          <w:rFonts w:ascii="宋体" w:hAnsi="宋体"/>
          <w:color w:val="000000"/>
          <w:szCs w:val="21"/>
          <w:lang w:val="en"/>
        </w:rPr>
        <w:t>其他</w:t>
      </w:r>
      <w:r>
        <w:rPr>
          <w:rFonts w:hint="eastAsia" w:ascii="宋体" w:hAnsi="宋体"/>
          <w:color w:val="000000"/>
          <w:szCs w:val="21"/>
        </w:rPr>
        <w:t>义务。</w:t>
      </w:r>
    </w:p>
    <w:p>
      <w:pPr>
        <w:adjustRightInd w:val="0"/>
        <w:snapToGrid w:val="0"/>
        <w:spacing w:line="400" w:lineRule="exact"/>
        <w:ind w:firstLine="420" w:firstLineChars="200"/>
        <w:jc w:val="left"/>
        <w:rPr>
          <w:rFonts w:ascii="宋体" w:hAnsi="宋体"/>
          <w:color w:val="000000"/>
          <w:szCs w:val="21"/>
          <w:highlight w:val="yellow"/>
        </w:rPr>
      </w:pPr>
      <w:r>
        <w:rPr>
          <w:rFonts w:hint="eastAsia" w:ascii="宋体" w:hAnsi="宋体"/>
          <w:color w:val="000000"/>
          <w:szCs w:val="21"/>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（6）</w:t>
      </w:r>
      <w:r>
        <w:rPr>
          <w:rFonts w:hint="eastAsia" w:ascii="宋体" w:hAnsi="宋体"/>
          <w:szCs w:val="21"/>
        </w:rPr>
        <w:t>“联合体”系指由两个以上的自然人、法人或者非法人组织组成，以一个供应商的身份共同参加采购的主体</w:t>
      </w:r>
      <w:r>
        <w:rPr>
          <w:rFonts w:hint="eastAsia" w:ascii="宋体" w:hAnsi="宋体"/>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000000"/>
          <w:szCs w:val="21"/>
        </w:rPr>
        <w:t>采购合同专用条款</w:t>
      </w:r>
      <w:r>
        <w:rPr>
          <w:rFonts w:hint="eastAsia" w:ascii="宋体" w:hAnsi="宋体"/>
          <w:color w:val="000000"/>
          <w:szCs w:val="21"/>
        </w:rPr>
        <w:t>】。</w:t>
      </w:r>
    </w:p>
    <w:p>
      <w:pPr>
        <w:tabs>
          <w:tab w:val="left" w:pos="570"/>
          <w:tab w:val="left" w:pos="9240"/>
          <w:tab w:val="left" w:pos="9555"/>
        </w:tabs>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（7）其他术语解释，见【</w:t>
      </w:r>
      <w:r>
        <w:rPr>
          <w:rFonts w:hint="eastAsia" w:ascii="宋体" w:hAnsi="宋体"/>
          <w:b/>
          <w:bCs/>
          <w:color w:val="000000"/>
          <w:szCs w:val="21"/>
        </w:rPr>
        <w:t>采购合同专用条款</w:t>
      </w:r>
      <w:r>
        <w:rPr>
          <w:rFonts w:hint="eastAsia" w:ascii="宋体" w:hAnsi="宋体"/>
          <w:color w:val="000000"/>
          <w:szCs w:val="21"/>
        </w:rPr>
        <w:t>】。</w:t>
      </w:r>
    </w:p>
    <w:p>
      <w:pPr>
        <w:numPr>
          <w:ilvl w:val="0"/>
          <w:numId w:val="15"/>
        </w:numPr>
        <w:autoSpaceDE w:val="0"/>
        <w:autoSpaceDN w:val="0"/>
        <w:adjustRightInd w:val="0"/>
        <w:snapToGrid w:val="0"/>
        <w:spacing w:line="400" w:lineRule="exact"/>
        <w:jc w:val="left"/>
        <w:rPr>
          <w:rFonts w:ascii="宋体" w:hAnsi="宋体"/>
          <w:b/>
          <w:bCs/>
          <w:color w:val="000000"/>
          <w:sz w:val="24"/>
        </w:rPr>
      </w:pPr>
      <w:r>
        <w:rPr>
          <w:rFonts w:hint="eastAsia" w:ascii="宋体" w:hAnsi="宋体"/>
          <w:b/>
          <w:color w:val="000000"/>
          <w:sz w:val="24"/>
        </w:rPr>
        <w:t>合同标的及金额</w:t>
      </w:r>
    </w:p>
    <w:p>
      <w:pPr>
        <w:autoSpaceDE w:val="0"/>
        <w:autoSpaceDN w:val="0"/>
        <w:adjustRightInd w:val="0"/>
        <w:snapToGrid w:val="0"/>
        <w:spacing w:line="400" w:lineRule="exact"/>
        <w:ind w:firstLine="420" w:firstLineChars="200"/>
        <w:jc w:val="left"/>
        <w:rPr>
          <w:rFonts w:ascii="宋体" w:hAnsi="宋体"/>
          <w:b/>
          <w:bCs/>
          <w:i/>
          <w:iCs/>
          <w:color w:val="000000"/>
          <w:szCs w:val="21"/>
        </w:rPr>
      </w:pPr>
      <w:r>
        <w:rPr>
          <w:rFonts w:hint="eastAsia" w:ascii="宋体" w:hAnsi="宋体"/>
          <w:color w:val="000000"/>
          <w:szCs w:val="21"/>
        </w:rPr>
        <w:t>2.1 合同标的及金额应与中标（成交）结果一致。乙方为履行本合同而发生的所有费用均应包含在合同价款中，甲方不再另行支付</w:t>
      </w:r>
      <w:r>
        <w:rPr>
          <w:rFonts w:ascii="宋体" w:hAnsi="宋体"/>
          <w:color w:val="000000"/>
          <w:szCs w:val="21"/>
          <w:lang w:val="en"/>
        </w:rPr>
        <w:t>其他</w:t>
      </w:r>
      <w:r>
        <w:rPr>
          <w:rFonts w:hint="eastAsia" w:ascii="宋体" w:hAnsi="宋体"/>
          <w:color w:val="000000"/>
          <w:szCs w:val="21"/>
        </w:rPr>
        <w:t>任何费用。</w:t>
      </w:r>
    </w:p>
    <w:p>
      <w:pPr>
        <w:adjustRightInd w:val="0"/>
        <w:snapToGrid w:val="0"/>
        <w:spacing w:line="400" w:lineRule="exact"/>
        <w:jc w:val="left"/>
        <w:rPr>
          <w:rFonts w:ascii="宋体" w:hAnsi="宋体"/>
          <w:b/>
          <w:color w:val="000000"/>
          <w:sz w:val="24"/>
        </w:rPr>
      </w:pPr>
      <w:r>
        <w:rPr>
          <w:rFonts w:hint="eastAsia" w:ascii="宋体" w:hAnsi="宋体"/>
          <w:b/>
          <w:color w:val="000000"/>
          <w:sz w:val="24"/>
        </w:rPr>
        <w:t>3. 履行合同的时间、地点和方式</w:t>
      </w:r>
    </w:p>
    <w:p>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 xml:space="preserve">3.1 </w:t>
      </w:r>
      <w:r>
        <w:rPr>
          <w:rFonts w:hint="eastAsia" w:ascii="宋体" w:hAnsi="宋体" w:cs="宋体"/>
          <w:szCs w:val="21"/>
        </w:rPr>
        <w:t>乙方应当在约定的时间、地点，按照约定方式履行合同。</w:t>
      </w:r>
    </w:p>
    <w:p>
      <w:pPr>
        <w:autoSpaceDE w:val="0"/>
        <w:autoSpaceDN w:val="0"/>
        <w:adjustRightInd w:val="0"/>
        <w:snapToGrid w:val="0"/>
        <w:spacing w:line="400" w:lineRule="exact"/>
        <w:jc w:val="left"/>
        <w:rPr>
          <w:rFonts w:ascii="宋体" w:hAnsi="宋体"/>
          <w:b/>
          <w:bCs/>
          <w:color w:val="000000"/>
          <w:sz w:val="24"/>
        </w:rPr>
      </w:pPr>
      <w:r>
        <w:rPr>
          <w:rFonts w:hint="eastAsia" w:ascii="宋体" w:hAnsi="宋体"/>
          <w:b/>
          <w:bCs/>
          <w:color w:val="000000"/>
          <w:sz w:val="24"/>
        </w:rPr>
        <w:t>4. 甲方的权利和义务</w:t>
      </w:r>
    </w:p>
    <w:p>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4.1</w:t>
      </w:r>
      <w:r>
        <w:rPr>
          <w:rFonts w:ascii="宋体" w:hAnsi="宋体"/>
          <w:color w:val="000000"/>
          <w:szCs w:val="21"/>
        </w:rPr>
        <w:t xml:space="preserve"> 签署合同后，甲方</w:t>
      </w:r>
      <w:r>
        <w:rPr>
          <w:rFonts w:hint="eastAsia" w:ascii="宋体" w:hAnsi="宋体"/>
          <w:color w:val="000000"/>
          <w:szCs w:val="21"/>
        </w:rPr>
        <w:t>应</w:t>
      </w:r>
      <w:r>
        <w:rPr>
          <w:rFonts w:ascii="宋体" w:hAnsi="宋体"/>
          <w:color w:val="000000"/>
          <w:szCs w:val="21"/>
        </w:rPr>
        <w:t>确定</w:t>
      </w:r>
      <w:r>
        <w:rPr>
          <w:rFonts w:hint="eastAsia" w:ascii="宋体" w:hAnsi="宋体"/>
          <w:color w:val="000000"/>
          <w:szCs w:val="21"/>
        </w:rPr>
        <w:t>项目负责人（或项目联系人）</w:t>
      </w:r>
      <w:r>
        <w:rPr>
          <w:rFonts w:ascii="宋体" w:hAnsi="宋体"/>
          <w:color w:val="000000"/>
          <w:szCs w:val="21"/>
        </w:rPr>
        <w:t>，负责与本合同有关的事务。</w:t>
      </w:r>
      <w:r>
        <w:rPr>
          <w:rFonts w:hint="eastAsia" w:ascii="宋体" w:hAnsi="宋体"/>
          <w:color w:val="000000"/>
          <w:szCs w:val="21"/>
        </w:rPr>
        <w:t>甲方有权对乙方的履约行为进行检查，并</w:t>
      </w:r>
      <w:r>
        <w:rPr>
          <w:rFonts w:ascii="宋体" w:hAnsi="宋体"/>
          <w:color w:val="000000"/>
          <w:szCs w:val="21"/>
        </w:rPr>
        <w:t>及时确认乙方提交的事项</w:t>
      </w:r>
      <w:r>
        <w:rPr>
          <w:rFonts w:hint="eastAsia" w:ascii="宋体" w:hAnsi="宋体"/>
          <w:color w:val="000000"/>
          <w:szCs w:val="21"/>
        </w:rPr>
        <w:t>。甲方应当</w:t>
      </w:r>
      <w:r>
        <w:rPr>
          <w:rFonts w:ascii="宋体" w:hAnsi="宋体"/>
          <w:color w:val="000000"/>
          <w:szCs w:val="21"/>
        </w:rPr>
        <w:t>配合乙方完成</w:t>
      </w:r>
      <w:r>
        <w:rPr>
          <w:rFonts w:hint="eastAsia" w:ascii="宋体" w:hAnsi="宋体"/>
          <w:color w:val="000000"/>
          <w:szCs w:val="21"/>
        </w:rPr>
        <w:t>相关项目</w:t>
      </w:r>
      <w:r>
        <w:rPr>
          <w:rFonts w:ascii="宋体" w:hAnsi="宋体"/>
          <w:color w:val="000000"/>
          <w:szCs w:val="21"/>
        </w:rPr>
        <w:t>实施工作。</w:t>
      </w:r>
    </w:p>
    <w:p>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 xml:space="preserve">4.2 </w:t>
      </w:r>
      <w:r>
        <w:rPr>
          <w:rFonts w:ascii="宋体" w:hAnsi="宋体"/>
          <w:color w:val="000000"/>
          <w:szCs w:val="21"/>
        </w:rPr>
        <w:t>甲方有权要求乙方按时提交各阶段有关</w:t>
      </w:r>
      <w:r>
        <w:rPr>
          <w:rFonts w:hint="eastAsia" w:ascii="宋体" w:hAnsi="宋体"/>
          <w:color w:val="000000"/>
          <w:szCs w:val="21"/>
        </w:rPr>
        <w:t>安排计划</w:t>
      </w:r>
      <w:r>
        <w:rPr>
          <w:rFonts w:ascii="宋体" w:hAnsi="宋体"/>
          <w:color w:val="000000"/>
          <w:szCs w:val="21"/>
        </w:rPr>
        <w:t>，并有权</w:t>
      </w:r>
      <w:r>
        <w:rPr>
          <w:rFonts w:hint="eastAsia" w:ascii="宋体" w:hAnsi="宋体"/>
          <w:color w:val="000000"/>
          <w:szCs w:val="21"/>
        </w:rPr>
        <w:t>定期核对乙方提供货物数量、规格、质量等内容。甲方</w:t>
      </w:r>
      <w:r>
        <w:rPr>
          <w:rFonts w:ascii="宋体" w:hAnsi="宋体"/>
          <w:color w:val="000000"/>
          <w:szCs w:val="21"/>
        </w:rPr>
        <w:t>有权督促乙方工作并要求乙方</w:t>
      </w:r>
      <w:r>
        <w:rPr>
          <w:rFonts w:hint="eastAsia" w:ascii="宋体" w:hAnsi="宋体"/>
          <w:color w:val="000000"/>
          <w:szCs w:val="21"/>
        </w:rPr>
        <w:t>更</w:t>
      </w:r>
      <w:r>
        <w:rPr>
          <w:rFonts w:ascii="宋体" w:hAnsi="宋体"/>
          <w:color w:val="000000"/>
          <w:szCs w:val="21"/>
        </w:rPr>
        <w:t>换不符合要求的</w:t>
      </w:r>
      <w:r>
        <w:rPr>
          <w:rFonts w:hint="eastAsia" w:ascii="宋体" w:hAnsi="宋体"/>
          <w:color w:val="000000"/>
          <w:szCs w:val="21"/>
        </w:rPr>
        <w:t>货物</w:t>
      </w:r>
      <w:r>
        <w:rPr>
          <w:rFonts w:ascii="宋体" w:hAnsi="宋体"/>
          <w:color w:val="000000"/>
          <w:szCs w:val="21"/>
        </w:rPr>
        <w:t>。</w:t>
      </w:r>
    </w:p>
    <w:p>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4.</w:t>
      </w:r>
      <w:r>
        <w:rPr>
          <w:rFonts w:ascii="宋体" w:hAnsi="宋体"/>
          <w:color w:val="000000"/>
          <w:szCs w:val="21"/>
        </w:rPr>
        <w:t>3</w:t>
      </w:r>
      <w:r>
        <w:rPr>
          <w:rFonts w:hint="eastAsia" w:ascii="宋体" w:hAnsi="宋体"/>
          <w:color w:val="000000"/>
          <w:szCs w:val="21"/>
        </w:rPr>
        <w:t xml:space="preserve"> </w:t>
      </w:r>
      <w:r>
        <w:rPr>
          <w:rFonts w:ascii="宋体" w:hAnsi="宋体"/>
          <w:color w:val="000000"/>
          <w:szCs w:val="21"/>
        </w:rPr>
        <w:t>甲方</w:t>
      </w:r>
      <w:r>
        <w:rPr>
          <w:rFonts w:hint="eastAsia" w:ascii="宋体" w:hAnsi="宋体"/>
          <w:color w:val="000000"/>
          <w:szCs w:val="21"/>
        </w:rPr>
        <w:t>有权要求乙方对缺陷部分予以修复，并按合同约定享有货物保修及其他合同约定的权利。</w:t>
      </w:r>
    </w:p>
    <w:p>
      <w:pPr>
        <w:snapToGrid w:val="0"/>
        <w:spacing w:line="400" w:lineRule="exact"/>
        <w:ind w:firstLine="420" w:firstLineChars="200"/>
        <w:rPr>
          <w:rFonts w:eastAsia="华文楷体"/>
        </w:rPr>
      </w:pPr>
      <w:r>
        <w:rPr>
          <w:rFonts w:ascii="宋体" w:hAnsi="宋体"/>
          <w:color w:val="000000"/>
          <w:szCs w:val="21"/>
        </w:rPr>
        <w:t>4.4 甲方应当按照合同约定及时对交付的货物进行验收</w:t>
      </w:r>
      <w:r>
        <w:rPr>
          <w:rFonts w:hint="eastAsia" w:ascii="宋体" w:hAnsi="宋体"/>
          <w:color w:val="000000"/>
          <w:szCs w:val="21"/>
        </w:rPr>
        <w:t>，</w:t>
      </w:r>
      <w:r>
        <w:rPr>
          <w:rFonts w:hint="eastAsia" w:ascii="宋体" w:hAnsi="宋体" w:cs="宋体"/>
          <w:szCs w:val="21"/>
        </w:rPr>
        <w:t>未</w:t>
      </w:r>
      <w:r>
        <w:rPr>
          <w:rFonts w:hint="eastAsia" w:ascii="宋体" w:hAnsi="宋体"/>
          <w:color w:val="000000"/>
          <w:szCs w:val="21"/>
        </w:rPr>
        <w:t>在</w:t>
      </w:r>
      <w:r>
        <w:rPr>
          <w:rFonts w:hint="eastAsia" w:ascii="宋体" w:hAnsi="宋体" w:cs="宋体"/>
          <w:b/>
          <w:bCs/>
          <w:szCs w:val="21"/>
        </w:rPr>
        <w:t>【采购合同专用条款】</w:t>
      </w:r>
      <w:r>
        <w:rPr>
          <w:rFonts w:hint="eastAsia" w:ascii="宋体" w:hAnsi="宋体" w:cs="宋体"/>
          <w:szCs w:val="21"/>
        </w:rPr>
        <w:t>约定的期限内对乙方履约提出任何异议或者向乙方作出任何说明的，</w:t>
      </w:r>
      <w:r>
        <w:rPr>
          <w:rFonts w:hint="eastAsia" w:ascii="宋体" w:hAnsi="宋体"/>
          <w:color w:val="000000"/>
          <w:szCs w:val="21"/>
        </w:rPr>
        <w:t>视为验收通过。</w:t>
      </w:r>
    </w:p>
    <w:p>
      <w:pPr>
        <w:autoSpaceDE w:val="0"/>
        <w:autoSpaceDN w:val="0"/>
        <w:adjustRightInd w:val="0"/>
        <w:snapToGrid w:val="0"/>
        <w:spacing w:line="400" w:lineRule="exact"/>
        <w:ind w:firstLine="420" w:firstLineChars="200"/>
        <w:jc w:val="left"/>
        <w:rPr>
          <w:rFonts w:ascii="宋体" w:hAnsi="宋体"/>
          <w:color w:val="00000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 xml:space="preserve">5 </w:t>
      </w:r>
      <w:r>
        <w:rPr>
          <w:rFonts w:hint="eastAsia" w:ascii="宋体" w:hAnsi="宋体"/>
          <w:color w:val="000000"/>
          <w:szCs w:val="21"/>
        </w:rPr>
        <w:t>甲方应当根据合同约定及时向乙方支付合同价款</w:t>
      </w:r>
      <w:r>
        <w:rPr>
          <w:rFonts w:ascii="宋体" w:hAnsi="宋体"/>
          <w:color w:val="000000"/>
          <w:szCs w:val="21"/>
        </w:rPr>
        <w:t>，不得以内部人员变更、履行内部付款流程等为由，拒绝或迟延支付。</w:t>
      </w:r>
    </w:p>
    <w:p>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4.6</w:t>
      </w:r>
      <w:r>
        <w:rPr>
          <w:rFonts w:ascii="宋体" w:hAnsi="宋体"/>
          <w:color w:val="000000"/>
          <w:szCs w:val="21"/>
        </w:rPr>
        <w:t xml:space="preserve"> </w:t>
      </w:r>
      <w:r>
        <w:rPr>
          <w:rFonts w:hint="eastAsia" w:ascii="宋体" w:hAnsi="宋体"/>
          <w:color w:val="000000"/>
          <w:szCs w:val="21"/>
        </w:rPr>
        <w:t>国家法律法规规定及</w:t>
      </w:r>
      <w:r>
        <w:rPr>
          <w:rFonts w:hint="eastAsia" w:ascii="宋体" w:hAnsi="宋体" w:cs="宋体"/>
          <w:b/>
          <w:bCs/>
          <w:szCs w:val="21"/>
        </w:rPr>
        <w:t>【采购合同专用条款】</w:t>
      </w:r>
      <w:r>
        <w:rPr>
          <w:rFonts w:hint="eastAsia" w:ascii="宋体" w:hAnsi="宋体"/>
          <w:color w:val="000000"/>
          <w:szCs w:val="21"/>
        </w:rPr>
        <w:t>约定应由甲方承担的其他义务和责任。</w:t>
      </w:r>
    </w:p>
    <w:p>
      <w:pPr>
        <w:autoSpaceDE w:val="0"/>
        <w:autoSpaceDN w:val="0"/>
        <w:adjustRightInd w:val="0"/>
        <w:snapToGrid w:val="0"/>
        <w:spacing w:line="400" w:lineRule="exact"/>
        <w:jc w:val="left"/>
        <w:rPr>
          <w:rFonts w:ascii="宋体" w:hAnsi="宋体"/>
          <w:b/>
          <w:bCs/>
          <w:color w:val="000000"/>
          <w:sz w:val="24"/>
        </w:rPr>
      </w:pPr>
      <w:r>
        <w:rPr>
          <w:rFonts w:hint="eastAsia" w:ascii="宋体" w:hAnsi="宋体"/>
          <w:b/>
          <w:bCs/>
          <w:color w:val="000000"/>
          <w:sz w:val="24"/>
        </w:rPr>
        <w:t>5. 乙方的权利和义务</w:t>
      </w:r>
    </w:p>
    <w:p>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 xml:space="preserve">5.1 </w:t>
      </w:r>
      <w:r>
        <w:rPr>
          <w:rFonts w:ascii="宋体" w:hAnsi="宋体"/>
          <w:color w:val="000000"/>
          <w:szCs w:val="21"/>
        </w:rPr>
        <w:t>签署合同后，乙方</w:t>
      </w:r>
      <w:r>
        <w:rPr>
          <w:rFonts w:hint="eastAsia" w:ascii="宋体" w:hAnsi="宋体"/>
          <w:color w:val="000000"/>
          <w:szCs w:val="21"/>
        </w:rPr>
        <w:t>应</w:t>
      </w:r>
      <w:r>
        <w:rPr>
          <w:rFonts w:ascii="宋体" w:hAnsi="宋体"/>
          <w:color w:val="000000"/>
          <w:szCs w:val="21"/>
        </w:rPr>
        <w:t>确定</w:t>
      </w:r>
      <w:r>
        <w:rPr>
          <w:rFonts w:hint="eastAsia" w:ascii="宋体" w:hAnsi="宋体"/>
          <w:color w:val="000000"/>
          <w:szCs w:val="21"/>
        </w:rPr>
        <w:t>项目负责人（或项目联系人）</w:t>
      </w:r>
      <w:r>
        <w:rPr>
          <w:rFonts w:ascii="宋体" w:hAnsi="宋体"/>
          <w:color w:val="000000"/>
          <w:szCs w:val="21"/>
        </w:rPr>
        <w:t>，负责与本合同有关的事务。</w:t>
      </w:r>
    </w:p>
    <w:p>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5.</w:t>
      </w:r>
      <w:r>
        <w:rPr>
          <w:rFonts w:ascii="宋体" w:hAnsi="宋体"/>
          <w:color w:val="000000"/>
          <w:szCs w:val="21"/>
        </w:rPr>
        <w:t>2 乙方应按照合同要求</w:t>
      </w:r>
      <w:r>
        <w:rPr>
          <w:rFonts w:hint="eastAsia" w:ascii="宋体" w:hAnsi="宋体"/>
          <w:color w:val="000000"/>
          <w:szCs w:val="21"/>
        </w:rPr>
        <w:t>履约</w:t>
      </w:r>
      <w:r>
        <w:rPr>
          <w:rFonts w:ascii="宋体" w:hAnsi="宋体"/>
          <w:color w:val="000000"/>
          <w:szCs w:val="21"/>
        </w:rPr>
        <w:t>，充分合理安排，确保</w:t>
      </w:r>
      <w:r>
        <w:rPr>
          <w:rFonts w:hint="eastAsia" w:ascii="宋体" w:hAnsi="宋体"/>
          <w:color w:val="000000"/>
          <w:szCs w:val="21"/>
        </w:rPr>
        <w:t>提供的货物及相关服务符合合同有关</w:t>
      </w:r>
      <w:r>
        <w:rPr>
          <w:rFonts w:ascii="宋体" w:hAnsi="宋体"/>
          <w:color w:val="000000"/>
          <w:szCs w:val="21"/>
        </w:rPr>
        <w:t>要求</w:t>
      </w:r>
      <w:r>
        <w:rPr>
          <w:rFonts w:hint="eastAsia" w:ascii="宋体" w:hAnsi="宋体"/>
          <w:color w:val="000000"/>
          <w:szCs w:val="21"/>
        </w:rPr>
        <w:t>。接受项目行业管理部门及政府有关部门的指导，配合甲方的履约检查及验收，并</w:t>
      </w:r>
      <w:r>
        <w:rPr>
          <w:rFonts w:ascii="宋体" w:hAnsi="宋体"/>
          <w:color w:val="000000"/>
          <w:szCs w:val="21"/>
        </w:rPr>
        <w:t>负责项目实施过程中的所有协调工作。</w:t>
      </w:r>
    </w:p>
    <w:p>
      <w:pPr>
        <w:spacing w:line="400" w:lineRule="exact"/>
        <w:ind w:firstLine="369" w:firstLineChars="176"/>
        <w:rPr>
          <w:rFonts w:ascii="宋体" w:hAnsi="宋体" w:cs="宋体"/>
          <w:color w:val="000000"/>
          <w:szCs w:val="21"/>
        </w:rPr>
      </w:pPr>
      <w:r>
        <w:rPr>
          <w:rFonts w:hint="eastAsia" w:ascii="宋体" w:hAnsi="宋体"/>
          <w:color w:val="000000"/>
          <w:szCs w:val="21"/>
        </w:rPr>
        <w:t>5.</w:t>
      </w:r>
      <w:r>
        <w:rPr>
          <w:rFonts w:ascii="宋体" w:hAnsi="宋体"/>
          <w:color w:val="000000"/>
          <w:szCs w:val="21"/>
        </w:rPr>
        <w:t>3</w:t>
      </w:r>
      <w:r>
        <w:rPr>
          <w:rFonts w:hint="eastAsia" w:ascii="宋体" w:hAnsi="宋体"/>
          <w:color w:val="000000"/>
          <w:szCs w:val="21"/>
        </w:rPr>
        <w:t>乙方有权</w:t>
      </w:r>
      <w:r>
        <w:rPr>
          <w:rFonts w:hint="eastAsia" w:ascii="宋体" w:hAnsi="宋体" w:cs="宋体"/>
          <w:color w:val="000000"/>
          <w:szCs w:val="21"/>
        </w:rPr>
        <w:t>根据合同约定向甲方收取合同价款。</w:t>
      </w:r>
    </w:p>
    <w:p>
      <w:pPr>
        <w:spacing w:line="400" w:lineRule="exact"/>
        <w:ind w:firstLine="369" w:firstLineChars="176"/>
        <w:rPr>
          <w:rFonts w:ascii="宋体" w:hAnsi="宋体" w:cs="宋体"/>
          <w:color w:val="000000"/>
          <w:szCs w:val="21"/>
        </w:rPr>
      </w:pPr>
      <w:r>
        <w:rPr>
          <w:rFonts w:hint="eastAsia" w:ascii="宋体" w:hAnsi="宋体"/>
          <w:color w:val="000000"/>
          <w:szCs w:val="21"/>
        </w:rPr>
        <w:t>5.</w:t>
      </w:r>
      <w:r>
        <w:rPr>
          <w:rFonts w:ascii="宋体" w:hAnsi="宋体"/>
          <w:color w:val="000000"/>
          <w:szCs w:val="21"/>
        </w:rPr>
        <w:t>4</w:t>
      </w:r>
      <w:r>
        <w:rPr>
          <w:rFonts w:hint="eastAsia" w:ascii="宋体" w:hAnsi="宋体" w:cs="宋体"/>
          <w:color w:val="000000"/>
          <w:szCs w:val="21"/>
        </w:rPr>
        <w:t>国家法律法规规定</w:t>
      </w:r>
      <w:r>
        <w:rPr>
          <w:rFonts w:hint="eastAsia" w:ascii="宋体" w:hAnsi="宋体"/>
          <w:color w:val="000000"/>
          <w:szCs w:val="21"/>
        </w:rPr>
        <w:t>及</w:t>
      </w:r>
      <w:r>
        <w:rPr>
          <w:rFonts w:hint="eastAsia" w:ascii="宋体" w:hAnsi="宋体" w:cs="宋体"/>
          <w:b/>
          <w:bCs/>
          <w:szCs w:val="21"/>
        </w:rPr>
        <w:t>【采购合同专用条款】</w:t>
      </w:r>
      <w:r>
        <w:rPr>
          <w:rFonts w:hint="eastAsia" w:ascii="宋体" w:hAnsi="宋体" w:cs="宋体"/>
          <w:szCs w:val="21"/>
        </w:rPr>
        <w:t>约定应</w:t>
      </w:r>
      <w:r>
        <w:rPr>
          <w:rFonts w:hint="eastAsia" w:ascii="宋体" w:hAnsi="宋体" w:cs="宋体"/>
          <w:color w:val="000000"/>
          <w:szCs w:val="21"/>
        </w:rPr>
        <w:t>由乙方承担的其他义务和责任。</w:t>
      </w:r>
    </w:p>
    <w:p>
      <w:pPr>
        <w:numPr>
          <w:ilvl w:val="0"/>
          <w:numId w:val="16"/>
        </w:numPr>
        <w:autoSpaceDE w:val="0"/>
        <w:autoSpaceDN w:val="0"/>
        <w:adjustRightInd w:val="0"/>
        <w:snapToGrid w:val="0"/>
        <w:spacing w:line="400" w:lineRule="exact"/>
        <w:jc w:val="left"/>
        <w:rPr>
          <w:rFonts w:ascii="宋体" w:hAnsi="宋体"/>
          <w:b/>
          <w:bCs/>
          <w:color w:val="000000"/>
          <w:sz w:val="24"/>
        </w:rPr>
      </w:pPr>
      <w:r>
        <w:rPr>
          <w:rFonts w:hint="eastAsia" w:ascii="宋体" w:hAnsi="宋体"/>
          <w:b/>
          <w:bCs/>
          <w:color w:val="000000"/>
          <w:sz w:val="24"/>
        </w:rPr>
        <w:t>合同履行</w:t>
      </w:r>
    </w:p>
    <w:p>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6.1 甲乙双方应当按照</w:t>
      </w:r>
      <w:r>
        <w:rPr>
          <w:rFonts w:hint="eastAsia" w:ascii="宋体" w:hAnsi="宋体" w:cs="宋体"/>
          <w:b/>
          <w:bCs/>
          <w:szCs w:val="21"/>
        </w:rPr>
        <w:t>【采购合同专用条款】</w:t>
      </w:r>
      <w:r>
        <w:rPr>
          <w:rFonts w:hint="eastAsia" w:ascii="宋体" w:hAnsi="宋体"/>
          <w:color w:val="000000"/>
          <w:szCs w:val="21"/>
        </w:rPr>
        <w:t>约定顺序履行合同义务；如果没有先后顺序的，应当同时履行。</w:t>
      </w:r>
    </w:p>
    <w:p>
      <w:pPr>
        <w:autoSpaceDE w:val="0"/>
        <w:autoSpaceDN w:val="0"/>
        <w:adjustRightInd w:val="0"/>
        <w:snapToGrid w:val="0"/>
        <w:spacing w:line="400" w:lineRule="exact"/>
        <w:ind w:firstLine="420" w:firstLineChars="200"/>
        <w:jc w:val="left"/>
      </w:pPr>
      <w:r>
        <w:rPr>
          <w:rFonts w:hint="eastAsia" w:ascii="宋体" w:hAnsi="宋体"/>
          <w:color w:val="000000"/>
          <w:szCs w:val="21"/>
        </w:rPr>
        <w:t>6.2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line="400" w:lineRule="exact"/>
        <w:jc w:val="left"/>
        <w:rPr>
          <w:rFonts w:ascii="宋体" w:hAnsi="宋体"/>
          <w:b/>
          <w:bCs/>
          <w:color w:val="000000"/>
          <w:sz w:val="24"/>
        </w:rPr>
      </w:pPr>
      <w:r>
        <w:rPr>
          <w:rFonts w:hint="eastAsia" w:ascii="宋体" w:hAnsi="宋体"/>
          <w:b/>
          <w:bCs/>
          <w:color w:val="000000"/>
          <w:sz w:val="24"/>
        </w:rPr>
        <w:t>7. 货物包装、运输、保险和交付要求</w:t>
      </w:r>
    </w:p>
    <w:p>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7.1 本合同</w:t>
      </w:r>
      <w:r>
        <w:rPr>
          <w:rFonts w:hint="eastAsia" w:ascii="宋体" w:hAnsi="宋体"/>
          <w:bCs/>
          <w:color w:val="000000"/>
          <w:szCs w:val="21"/>
        </w:rPr>
        <w:t>涉及商品包装、快递包装的，</w:t>
      </w:r>
      <w:r>
        <w:rPr>
          <w:rFonts w:hint="eastAsia" w:ascii="宋体" w:hAnsi="宋体"/>
          <w:color w:val="000000"/>
          <w:szCs w:val="21"/>
        </w:rPr>
        <w:t>除</w:t>
      </w:r>
      <w:r>
        <w:rPr>
          <w:rFonts w:hint="eastAsia" w:ascii="宋体" w:hAnsi="宋体"/>
          <w:b/>
          <w:color w:val="000000"/>
          <w:szCs w:val="21"/>
        </w:rPr>
        <w:t>【采购合同专用条款】</w:t>
      </w:r>
      <w:r>
        <w:rPr>
          <w:rFonts w:hint="eastAsia" w:ascii="宋体" w:hAnsi="宋体"/>
          <w:bCs/>
          <w:color w:val="000000"/>
          <w:szCs w:val="21"/>
        </w:rPr>
        <w:t>另有约定外，</w:t>
      </w:r>
      <w:r>
        <w:rPr>
          <w:rFonts w:hint="eastAsia" w:ascii="宋体" w:hAnsi="宋体"/>
          <w:color w:val="000000"/>
          <w:szCs w:val="21"/>
        </w:rPr>
        <w:t>包装应适应远距离运输、防潮、防震、防锈和防野蛮装卸等要求，确保货物安全无损地运抵</w:t>
      </w:r>
      <w:r>
        <w:rPr>
          <w:rFonts w:hint="eastAsia" w:ascii="宋体" w:hAnsi="宋体"/>
          <w:b/>
          <w:color w:val="000000"/>
          <w:szCs w:val="21"/>
        </w:rPr>
        <w:t>【采购合同专用条款】</w:t>
      </w:r>
      <w:r>
        <w:rPr>
          <w:rFonts w:hint="eastAsia" w:ascii="宋体" w:hAnsi="宋体"/>
          <w:bCs/>
          <w:color w:val="000000"/>
          <w:szCs w:val="21"/>
        </w:rPr>
        <w:t>约定的</w:t>
      </w:r>
      <w:r>
        <w:rPr>
          <w:rFonts w:hint="eastAsia" w:ascii="宋体" w:hAnsi="宋体"/>
          <w:color w:val="000000"/>
          <w:szCs w:val="21"/>
        </w:rPr>
        <w:t>指定现场。</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7.2 除</w:t>
      </w:r>
      <w:r>
        <w:rPr>
          <w:rFonts w:hint="eastAsia" w:ascii="宋体" w:hAnsi="宋体"/>
          <w:b/>
          <w:color w:val="000000"/>
          <w:szCs w:val="21"/>
        </w:rPr>
        <w:t>【采购合同专用条款】</w:t>
      </w:r>
      <w:r>
        <w:rPr>
          <w:rFonts w:hint="eastAsia" w:ascii="宋体" w:hAnsi="宋体"/>
          <w:bCs/>
          <w:color w:val="000000"/>
          <w:szCs w:val="21"/>
        </w:rPr>
        <w:t>另有约定外，</w:t>
      </w:r>
      <w:r>
        <w:rPr>
          <w:rFonts w:hint="eastAsia" w:ascii="宋体" w:hAnsi="宋体"/>
          <w:color w:val="000000"/>
          <w:szCs w:val="21"/>
        </w:rPr>
        <w:t>乙方负责办理将货物运抵本合同规定的交货地点，并装卸、交付至甲方的一切运输事项，相关费用应包含在合同价款中。</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7.3 货物保险要求按</w:t>
      </w:r>
      <w:r>
        <w:rPr>
          <w:rFonts w:hint="eastAsia" w:ascii="宋体" w:hAnsi="宋体"/>
          <w:b/>
          <w:color w:val="000000"/>
          <w:szCs w:val="21"/>
        </w:rPr>
        <w:t>【采购合同专用条款】</w:t>
      </w:r>
      <w:r>
        <w:rPr>
          <w:rFonts w:hint="eastAsia" w:ascii="宋体" w:hAnsi="宋体"/>
          <w:bCs/>
          <w:color w:val="000000"/>
          <w:szCs w:val="21"/>
        </w:rPr>
        <w:t>规定执行</w:t>
      </w:r>
      <w:r>
        <w:rPr>
          <w:rFonts w:hint="eastAsia" w:ascii="宋体" w:hAnsi="宋体"/>
          <w:color w:val="000000"/>
          <w:szCs w:val="21"/>
        </w:rPr>
        <w:t>。</w:t>
      </w:r>
    </w:p>
    <w:p>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 xml:space="preserve">7.5 </w:t>
      </w:r>
      <w:r>
        <w:rPr>
          <w:rFonts w:hint="eastAsia" w:ascii="宋体" w:hAnsi="宋体" w:cs="宋体"/>
          <w:color w:val="000000"/>
          <w:szCs w:val="21"/>
        </w:rPr>
        <w:t>乙方在运输到达之前应提前通知甲方，并提示货物运输装卸的注意事项，甲方配合乙方做好货物的接收工作。</w:t>
      </w:r>
    </w:p>
    <w:p>
      <w:pPr>
        <w:autoSpaceDE w:val="0"/>
        <w:autoSpaceDN w:val="0"/>
        <w:adjustRightInd w:val="0"/>
        <w:spacing w:line="400" w:lineRule="exact"/>
        <w:ind w:firstLine="420" w:firstLineChars="200"/>
        <w:rPr>
          <w:rFonts w:ascii="华文楷体" w:hAnsi="华文楷体" w:eastAsia="华文楷体" w:cs="华文楷体"/>
          <w:szCs w:val="21"/>
        </w:rPr>
      </w:pPr>
      <w:r>
        <w:rPr>
          <w:rFonts w:hint="eastAsia" w:ascii="宋体" w:hAnsi="宋体"/>
          <w:color w:val="000000"/>
          <w:szCs w:val="21"/>
        </w:rPr>
        <w:t>7.6 如因包装、运输问题导致货物损毁、丢失或者品质下降，甲方有权要求降价、换货、拒收部分或整批货物，由此产生的费用和损失，均由乙方承担。</w:t>
      </w:r>
    </w:p>
    <w:p>
      <w:pPr>
        <w:adjustRightInd w:val="0"/>
        <w:snapToGrid w:val="0"/>
        <w:spacing w:line="400" w:lineRule="exact"/>
        <w:jc w:val="left"/>
        <w:rPr>
          <w:rFonts w:ascii="宋体" w:hAnsi="宋体"/>
          <w:b/>
          <w:sz w:val="24"/>
        </w:rPr>
      </w:pPr>
      <w:r>
        <w:rPr>
          <w:rFonts w:hint="eastAsia" w:ascii="宋体" w:hAnsi="宋体"/>
          <w:b/>
          <w:color w:val="000000"/>
          <w:sz w:val="24"/>
        </w:rPr>
        <w:t xml:space="preserve">8. </w:t>
      </w:r>
      <w:r>
        <w:rPr>
          <w:rFonts w:hint="eastAsia" w:ascii="宋体" w:hAnsi="宋体"/>
          <w:b/>
          <w:sz w:val="24"/>
        </w:rPr>
        <w:t>质量标准和保证</w:t>
      </w:r>
    </w:p>
    <w:p>
      <w:pPr>
        <w:adjustRightInd w:val="0"/>
        <w:snapToGrid w:val="0"/>
        <w:spacing w:line="400" w:lineRule="exact"/>
        <w:ind w:firstLine="420" w:firstLineChars="200"/>
        <w:jc w:val="left"/>
        <w:rPr>
          <w:rFonts w:ascii="宋体" w:hAnsi="宋体" w:cs="Courier New"/>
          <w:b/>
          <w:szCs w:val="21"/>
        </w:rPr>
      </w:pPr>
      <w:r>
        <w:rPr>
          <w:rFonts w:hint="eastAsia" w:ascii="宋体" w:hAnsi="宋体" w:cs="Courier New"/>
          <w:szCs w:val="21"/>
        </w:rPr>
        <w:t>8.1 质量标准</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（1）本合同下提供的货物应符合合同</w:t>
      </w:r>
      <w:r>
        <w:rPr>
          <w:rFonts w:hint="eastAsia" w:ascii="宋体" w:hAnsi="宋体" w:cs="宋体"/>
          <w:color w:val="000000"/>
          <w:szCs w:val="21"/>
        </w:rPr>
        <w:t>约定的</w:t>
      </w:r>
      <w:r>
        <w:rPr>
          <w:rFonts w:hint="eastAsia" w:ascii="宋体" w:hAnsi="宋体" w:cs="宋体"/>
          <w:szCs w:val="21"/>
        </w:rPr>
        <w:t>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adjustRightInd w:val="0"/>
        <w:snapToGrid w:val="0"/>
        <w:spacing w:line="400" w:lineRule="exact"/>
        <w:ind w:firstLine="420" w:firstLineChars="200"/>
        <w:jc w:val="left"/>
        <w:rPr>
          <w:rFonts w:ascii="宋体" w:hAnsi="宋体" w:cs="Courier New"/>
          <w:szCs w:val="21"/>
        </w:rPr>
      </w:pPr>
      <w:r>
        <w:rPr>
          <w:rFonts w:hint="eastAsia" w:ascii="宋体" w:hAnsi="宋体" w:cs="Courier New"/>
          <w:szCs w:val="21"/>
        </w:rPr>
        <w:t>（2）采用中华人民共和国法定计量单位。</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（3）乙方所提供的货物应符合国家有关安全、环保、卫生的规定。</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8.2 保证</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【采购合同专用条款】</w:t>
      </w:r>
      <w:r>
        <w:rPr>
          <w:rFonts w:hint="eastAsia" w:ascii="宋体" w:hAnsi="宋体"/>
          <w:szCs w:val="21"/>
        </w:rPr>
        <w:t>规定或乙方书面承诺（两者以较长的为准）的质量保证期内，本保证保持有效。</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（2）在质量保证期内所发现的缺陷，甲方应尽快以书面形式通知乙方。</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（3）乙方收到通知后，应在</w:t>
      </w:r>
      <w:r>
        <w:rPr>
          <w:rFonts w:hint="eastAsia" w:ascii="宋体" w:hAnsi="宋体"/>
          <w:b/>
          <w:szCs w:val="21"/>
        </w:rPr>
        <w:t>【采购合同专用条款】</w:t>
      </w:r>
      <w:r>
        <w:rPr>
          <w:rFonts w:hint="eastAsia" w:ascii="宋体" w:hAnsi="宋体"/>
          <w:szCs w:val="21"/>
        </w:rPr>
        <w:t>规定的响应时间内以合理的速度免费维修或更换有缺陷的货物或部件。</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w:t>
      </w:r>
      <w:r>
        <w:rPr>
          <w:rFonts w:hint="eastAsia" w:ascii="宋体" w:hAnsi="宋体"/>
          <w:color w:val="000000"/>
          <w:szCs w:val="21"/>
        </w:rPr>
        <w:t>5</w:t>
      </w:r>
      <w:r>
        <w:rPr>
          <w:rFonts w:hint="eastAsia" w:ascii="宋体" w:hAnsi="宋体"/>
          <w:szCs w:val="21"/>
        </w:rPr>
        <w:t>.1条规定以书面形式</w:t>
      </w:r>
      <w:r>
        <w:rPr>
          <w:rFonts w:hint="eastAsia" w:ascii="宋体" w:hAnsi="宋体"/>
          <w:color w:val="000000"/>
          <w:szCs w:val="21"/>
        </w:rPr>
        <w:t>追究</w:t>
      </w:r>
      <w:r>
        <w:rPr>
          <w:rFonts w:hint="eastAsia" w:ascii="宋体" w:hAnsi="宋体"/>
          <w:szCs w:val="21"/>
        </w:rPr>
        <w:t>乙方</w:t>
      </w:r>
      <w:r>
        <w:rPr>
          <w:rFonts w:hint="eastAsia" w:ascii="宋体" w:hAnsi="宋体"/>
          <w:color w:val="000000"/>
          <w:szCs w:val="21"/>
        </w:rPr>
        <w:t>的违约责任</w:t>
      </w:r>
      <w:r>
        <w:rPr>
          <w:rFonts w:hint="eastAsia" w:ascii="宋体" w:hAnsi="宋体"/>
          <w:szCs w:val="21"/>
        </w:rPr>
        <w:t>。</w:t>
      </w:r>
    </w:p>
    <w:p>
      <w:pPr>
        <w:adjustRightInd w:val="0"/>
        <w:snapToGrid w:val="0"/>
        <w:spacing w:line="400" w:lineRule="exact"/>
        <w:ind w:firstLine="420"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pPr>
        <w:adjustRightInd w:val="0"/>
        <w:snapToGrid w:val="0"/>
        <w:spacing w:line="400" w:lineRule="exact"/>
        <w:jc w:val="left"/>
        <w:rPr>
          <w:rFonts w:ascii="宋体" w:hAnsi="宋体"/>
          <w:b/>
          <w:bCs/>
          <w:sz w:val="24"/>
        </w:rPr>
      </w:pPr>
      <w:r>
        <w:rPr>
          <w:rFonts w:hint="eastAsia" w:ascii="宋体" w:hAnsi="宋体"/>
          <w:b/>
          <w:bCs/>
          <w:color w:val="000000"/>
          <w:sz w:val="24"/>
        </w:rPr>
        <w:t>9</w:t>
      </w:r>
      <w:r>
        <w:rPr>
          <w:rFonts w:hint="eastAsia" w:ascii="宋体" w:hAnsi="宋体"/>
          <w:b/>
          <w:bCs/>
          <w:sz w:val="24"/>
        </w:rPr>
        <w:t>.</w:t>
      </w:r>
      <w:r>
        <w:rPr>
          <w:rFonts w:hint="eastAsia" w:ascii="宋体" w:hAnsi="宋体"/>
          <w:b/>
          <w:bCs/>
          <w:color w:val="000000"/>
          <w:sz w:val="24"/>
        </w:rPr>
        <w:t xml:space="preserve"> </w:t>
      </w:r>
      <w:r>
        <w:rPr>
          <w:rFonts w:hint="eastAsia" w:ascii="宋体" w:hAnsi="宋体"/>
          <w:b/>
          <w:bCs/>
          <w:sz w:val="24"/>
        </w:rPr>
        <w:t>权利瑕疵担保</w:t>
      </w:r>
    </w:p>
    <w:p>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9.1 乙方保证对其出售的货物享有合法的权利。</w:t>
      </w:r>
    </w:p>
    <w:p>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 xml:space="preserve">9.2 </w:t>
      </w:r>
      <w:r>
        <w:rPr>
          <w:rFonts w:hint="eastAsia" w:ascii="宋体" w:hAnsi="宋体" w:cs="宋体"/>
          <w:szCs w:val="15"/>
        </w:rPr>
        <w:t>乙方保证在交付的货物上不存在抵押权等担保物权。</w:t>
      </w:r>
    </w:p>
    <w:p>
      <w:pPr>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9.3 如甲方使用上述货物构成对第三人侵权的，则由乙方承担全部责任。</w:t>
      </w:r>
    </w:p>
    <w:p>
      <w:pPr>
        <w:autoSpaceDE w:val="0"/>
        <w:autoSpaceDN w:val="0"/>
        <w:adjustRightInd w:val="0"/>
        <w:snapToGrid w:val="0"/>
        <w:spacing w:line="400" w:lineRule="exact"/>
        <w:jc w:val="left"/>
        <w:rPr>
          <w:rFonts w:ascii="宋体" w:hAnsi="宋体"/>
          <w:b/>
          <w:bCs/>
          <w:color w:val="000000"/>
          <w:sz w:val="24"/>
        </w:rPr>
      </w:pPr>
      <w:r>
        <w:rPr>
          <w:rFonts w:hint="eastAsia" w:ascii="宋体" w:hAnsi="宋体"/>
          <w:b/>
          <w:bCs/>
          <w:color w:val="000000"/>
          <w:sz w:val="24"/>
        </w:rPr>
        <w:t>10. 知识产权保护</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color w:val="000000"/>
          <w:szCs w:val="21"/>
        </w:rPr>
        <w:t>10.1 乙方对其所销售的货物应当享有知识产权或经权利人合法授权，保证没有侵犯任</w:t>
      </w:r>
      <w:r>
        <w:rPr>
          <w:rFonts w:hint="eastAsia" w:ascii="宋体" w:hAnsi="宋体"/>
          <w:szCs w:val="21"/>
        </w:rPr>
        <w:t>何第三人的知识产权等权利。</w:t>
      </w:r>
      <w:bookmarkStart w:id="79"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79"/>
      <w:r>
        <w:rPr>
          <w:rFonts w:hint="eastAsia" w:ascii="宋体" w:hAnsi="宋体"/>
          <w:szCs w:val="21"/>
        </w:rPr>
        <w:t>。</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11. 保密义务</w:t>
      </w:r>
    </w:p>
    <w:p>
      <w:pPr>
        <w:autoSpaceDE w:val="0"/>
        <w:autoSpaceDN w:val="0"/>
        <w:adjustRightInd w:val="0"/>
        <w:snapToGrid w:val="0"/>
        <w:spacing w:line="400" w:lineRule="exact"/>
        <w:ind w:firstLine="420" w:firstLineChars="20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【采购合同专用条款】</w:t>
      </w:r>
      <w:r>
        <w:rPr>
          <w:rFonts w:hint="eastAsia" w:ascii="宋体" w:hAnsi="宋体" w:cs="宋体"/>
          <w:szCs w:val="15"/>
        </w:rPr>
        <w:t>中约定。</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12. 合同价款支付</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12.1 合同价款支付按照国库集中支付制度及财政管理相关规定执行。</w:t>
      </w:r>
    </w:p>
    <w:p>
      <w:pPr>
        <w:autoSpaceDE w:val="0"/>
        <w:autoSpaceDN w:val="0"/>
        <w:adjustRightInd w:val="0"/>
        <w:snapToGrid w:val="0"/>
        <w:spacing w:line="400" w:lineRule="exact"/>
        <w:ind w:firstLine="420" w:firstLineChars="200"/>
        <w:jc w:val="left"/>
        <w:rPr>
          <w:rFonts w:ascii="Arial" w:hAnsi="Arial"/>
          <w:b/>
          <w:bCs/>
          <w:sz w:val="24"/>
          <w:szCs w:val="32"/>
        </w:rPr>
      </w:pPr>
      <w:r>
        <w:rPr>
          <w:rFonts w:hint="eastAsia" w:ascii="宋体" w:hAnsi="宋体"/>
          <w:szCs w:val="21"/>
        </w:rPr>
        <w:t>12.2 对于满足合同约定支付条件的，甲方原则上应当自收到发票后10个工作日内将资金</w:t>
      </w:r>
      <w:r>
        <w:rPr>
          <w:rFonts w:hint="eastAsia" w:ascii="宋体" w:hAnsi="宋体" w:cs="宋体"/>
          <w:szCs w:val="15"/>
        </w:rPr>
        <w:t>支付</w:t>
      </w:r>
      <w:r>
        <w:rPr>
          <w:rFonts w:hint="eastAsia" w:ascii="宋体" w:hAnsi="宋体"/>
          <w:szCs w:val="21"/>
        </w:rPr>
        <w:t>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szCs w:val="21"/>
        </w:rPr>
        <w:t>采购合同专用条款</w:t>
      </w:r>
      <w:r>
        <w:rPr>
          <w:rFonts w:hint="eastAsia" w:ascii="宋体" w:hAnsi="宋体"/>
          <w:szCs w:val="21"/>
        </w:rPr>
        <w:t>】中约定。</w:t>
      </w:r>
    </w:p>
    <w:p>
      <w:pPr>
        <w:spacing w:line="400" w:lineRule="exact"/>
        <w:rPr>
          <w:rFonts w:ascii="宋体" w:hAnsi="宋体"/>
          <w:b/>
          <w:bCs/>
          <w:sz w:val="24"/>
        </w:rPr>
      </w:pPr>
      <w:r>
        <w:rPr>
          <w:rFonts w:hint="eastAsia" w:ascii="宋体" w:hAnsi="宋体"/>
          <w:b/>
          <w:bCs/>
          <w:sz w:val="24"/>
        </w:rPr>
        <w:t>13. 履约保证金</w:t>
      </w:r>
    </w:p>
    <w:p>
      <w:pPr>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13.2 如果乙方出现</w:t>
      </w:r>
      <w:r>
        <w:rPr>
          <w:rFonts w:hint="eastAsia" w:ascii="宋体" w:hAnsi="宋体" w:cs="宋体"/>
          <w:b/>
          <w:bCs/>
          <w:szCs w:val="15"/>
        </w:rPr>
        <w:t>【采购合同专用条款】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pPr>
        <w:spacing w:line="400" w:lineRule="exact"/>
        <w:ind w:firstLine="420"/>
      </w:pPr>
      <w:r>
        <w:rPr>
          <w:rFonts w:hint="eastAsia" w:ascii="宋体" w:hAnsi="宋体"/>
          <w:szCs w:val="21"/>
        </w:rPr>
        <w:t>13.3 甲方在项目通过验收后按照</w:t>
      </w:r>
      <w:r>
        <w:rPr>
          <w:rFonts w:hint="eastAsia" w:ascii="宋体" w:hAnsi="宋体"/>
          <w:b/>
          <w:szCs w:val="21"/>
        </w:rPr>
        <w:t>【采购合同专用条款】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【采购合同专用条款】</w:t>
      </w:r>
      <w:r>
        <w:rPr>
          <w:rFonts w:hint="eastAsia" w:ascii="宋体" w:hAnsi="宋体"/>
          <w:szCs w:val="21"/>
        </w:rPr>
        <w:t>规定支付。</w:t>
      </w:r>
    </w:p>
    <w:p>
      <w:pPr>
        <w:autoSpaceDE w:val="0"/>
        <w:autoSpaceDN w:val="0"/>
        <w:adjustRightInd w:val="0"/>
        <w:snapToGrid w:val="0"/>
        <w:spacing w:line="400" w:lineRule="exact"/>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14.1 除项目不涉及或采购活动中明确约定无须承担外，乙方还应提供下列服务：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（1）货物的现场移动、安装、调试、启动监督及技术支持；</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（2）提供货物组装和维修所需的专用工具和辅助材料；</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（3）在</w:t>
      </w:r>
      <w:r>
        <w:rPr>
          <w:rFonts w:hint="eastAsia" w:ascii="宋体" w:hAnsi="宋体" w:cs="宋体"/>
          <w:b/>
          <w:bCs/>
          <w:szCs w:val="15"/>
        </w:rPr>
        <w:t>【采购合同专用条款】</w:t>
      </w:r>
      <w:r>
        <w:rPr>
          <w:rFonts w:hint="eastAsia" w:ascii="宋体" w:hAnsi="宋体"/>
          <w:szCs w:val="21"/>
        </w:rPr>
        <w:t>约定的期限内对所有的货物实施运行监督、维修，但前提条件是该服务并不能免除乙方在质量保证期内所承担的义务；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（5）依照法律、行政法规的规定或者按照</w:t>
      </w:r>
      <w:r>
        <w:rPr>
          <w:rFonts w:hint="eastAsia" w:ascii="宋体" w:hAnsi="宋体" w:cs="宋体"/>
          <w:b/>
          <w:bCs/>
          <w:szCs w:val="21"/>
        </w:rPr>
        <w:t>【采购合同专用条款】</w:t>
      </w:r>
      <w:r>
        <w:rPr>
          <w:rFonts w:hint="eastAsia" w:ascii="宋体" w:hAnsi="宋体" w:cs="宋体"/>
          <w:szCs w:val="21"/>
        </w:rPr>
        <w:t>约定，货物在有效使用年限届满后应予回收的，乙方负有自行或者委托第三人对货物予以回收的义务；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（6）</w:t>
      </w:r>
      <w:r>
        <w:rPr>
          <w:rFonts w:hint="eastAsia" w:ascii="宋体" w:hAnsi="宋体"/>
          <w:b/>
          <w:szCs w:val="21"/>
        </w:rPr>
        <w:t>【采购合同专用条款】</w:t>
      </w:r>
      <w:r>
        <w:rPr>
          <w:rFonts w:hint="eastAsia" w:ascii="宋体" w:hAnsi="宋体"/>
          <w:szCs w:val="21"/>
        </w:rPr>
        <w:t>规定由乙方提供的其他服务。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14.2 乙方提供的售后服务的费用已包含在合同价款中，甲方不再另行支付。</w:t>
      </w:r>
    </w:p>
    <w:p>
      <w:pPr>
        <w:adjustRightInd w:val="0"/>
        <w:snapToGrid w:val="0"/>
        <w:spacing w:line="400" w:lineRule="exact"/>
        <w:jc w:val="left"/>
        <w:rPr>
          <w:rFonts w:ascii="宋体" w:hAnsi="宋体"/>
          <w:b/>
          <w:bCs/>
          <w:sz w:val="24"/>
        </w:rPr>
      </w:pPr>
      <w:r>
        <w:rPr>
          <w:rFonts w:hint="eastAsia" w:ascii="宋体" w:hAnsi="宋体"/>
          <w:b/>
          <w:bCs/>
          <w:sz w:val="24"/>
        </w:rPr>
        <w:t>15. 违约责任</w:t>
      </w:r>
    </w:p>
    <w:p>
      <w:pPr>
        <w:adjustRightInd w:val="0"/>
        <w:snapToGrid w:val="0"/>
        <w:spacing w:line="400" w:lineRule="exact"/>
        <w:ind w:firstLine="420" w:firstLineChars="200"/>
        <w:jc w:val="left"/>
        <w:rPr>
          <w:rFonts w:ascii="宋体" w:hAnsi="宋体"/>
          <w:bCs/>
          <w:szCs w:val="21"/>
        </w:rPr>
      </w:pPr>
      <w:r>
        <w:rPr>
          <w:rFonts w:hint="eastAsia" w:ascii="宋体" w:hAnsi="宋体"/>
          <w:bCs/>
          <w:szCs w:val="21"/>
        </w:rPr>
        <w:t>15.1质量瑕疵的违约责任</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【采购合同专用条款】</w:t>
      </w:r>
      <w:r>
        <w:rPr>
          <w:rFonts w:hint="eastAsia" w:ascii="宋体" w:hAnsi="宋体"/>
          <w:bCs/>
          <w:szCs w:val="21"/>
        </w:rPr>
        <w:t>要求</w:t>
      </w:r>
      <w:r>
        <w:rPr>
          <w:rFonts w:hint="eastAsia" w:ascii="宋体" w:hAnsi="宋体"/>
          <w:szCs w:val="21"/>
        </w:rPr>
        <w:t>及时修理、重作、更换，并承担由此给甲方造成的损失。</w:t>
      </w:r>
    </w:p>
    <w:p>
      <w:pPr>
        <w:autoSpaceDE w:val="0"/>
        <w:autoSpaceDN w:val="0"/>
        <w:adjustRightInd w:val="0"/>
        <w:snapToGrid w:val="0"/>
        <w:spacing w:line="400" w:lineRule="exact"/>
        <w:ind w:firstLine="420" w:firstLineChars="200"/>
        <w:jc w:val="left"/>
        <w:rPr>
          <w:rFonts w:ascii="宋体" w:hAnsi="宋体"/>
          <w:bCs/>
          <w:szCs w:val="21"/>
        </w:rPr>
      </w:pPr>
      <w:r>
        <w:rPr>
          <w:rFonts w:hint="eastAsia" w:ascii="宋体" w:hAnsi="宋体"/>
          <w:bCs/>
          <w:szCs w:val="21"/>
        </w:rPr>
        <w:t>15.2 迟延交货的违约责任</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【采购合同专用条款】</w:t>
      </w:r>
      <w:r>
        <w:rPr>
          <w:rFonts w:hint="eastAsia" w:ascii="宋体" w:hAnsi="宋体"/>
          <w:szCs w:val="21"/>
        </w:rPr>
        <w:t>规定执行。如果涉及公共利益，且赔偿金额无法弥补公共利益损失，甲方可要求继续履行或者采取其他补救措施。</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15.3 迟延支付的违约责任</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【采购合同专用条款】</w:t>
      </w:r>
      <w:r>
        <w:rPr>
          <w:rFonts w:hint="eastAsia" w:ascii="宋体" w:hAnsi="宋体"/>
          <w:szCs w:val="21"/>
        </w:rPr>
        <w:t>规定的逾期付款利息。</w:t>
      </w:r>
    </w:p>
    <w:p>
      <w:pPr>
        <w:adjustRightInd w:val="0"/>
        <w:snapToGrid w:val="0"/>
        <w:spacing w:line="400" w:lineRule="exact"/>
        <w:ind w:firstLine="420" w:firstLineChars="200"/>
        <w:jc w:val="left"/>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【采购合同专用条款】</w:t>
      </w:r>
      <w:r>
        <w:rPr>
          <w:rFonts w:hint="eastAsia" w:ascii="宋体" w:hAnsi="宋体"/>
          <w:szCs w:val="21"/>
        </w:rPr>
        <w:t>规定执行。</w:t>
      </w:r>
    </w:p>
    <w:p>
      <w:pPr>
        <w:numPr>
          <w:ilvl w:val="0"/>
          <w:numId w:val="17"/>
        </w:numPr>
        <w:autoSpaceDE w:val="0"/>
        <w:autoSpaceDN w:val="0"/>
        <w:adjustRightInd w:val="0"/>
        <w:snapToGrid w:val="0"/>
        <w:spacing w:line="400" w:lineRule="exact"/>
        <w:jc w:val="left"/>
        <w:rPr>
          <w:rFonts w:ascii="宋体" w:hAnsi="宋体"/>
          <w:b/>
          <w:sz w:val="24"/>
        </w:rPr>
      </w:pPr>
      <w:r>
        <w:rPr>
          <w:rFonts w:hint="eastAsia" w:ascii="宋体" w:hAnsi="宋体"/>
          <w:b/>
          <w:sz w:val="24"/>
        </w:rPr>
        <w:t>合同变更、中止与终止</w:t>
      </w:r>
    </w:p>
    <w:p>
      <w:pPr>
        <w:adjustRightInd w:val="0"/>
        <w:snapToGrid w:val="0"/>
        <w:spacing w:line="400" w:lineRule="exact"/>
        <w:jc w:val="left"/>
        <w:rPr>
          <w:rFonts w:ascii="宋体" w:hAnsi="宋体"/>
          <w:szCs w:val="21"/>
        </w:rPr>
      </w:pPr>
      <w:r>
        <w:rPr>
          <w:rFonts w:hint="eastAsia" w:ascii="宋体" w:hAnsi="宋体"/>
          <w:szCs w:val="21"/>
        </w:rPr>
        <w:t xml:space="preserve">    16.1合同的变更</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采购合同履行中，在不改变合同其他条款的前提下，甲方可以在合同价款10%的范围内追加与合同标的相同的货物，并就此与乙方协商一致后签订补充协议。</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16.2合同的中止</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autoSpaceDE w:val="0"/>
        <w:autoSpaceDN w:val="0"/>
        <w:adjustRightInd w:val="0"/>
        <w:spacing w:line="400" w:lineRule="exact"/>
        <w:ind w:firstLine="420" w:firstLineChars="200"/>
        <w:rPr>
          <w:rFonts w:ascii="华文楷体" w:hAnsi="华文楷体" w:eastAsia="华文楷体" w:cs="华文楷体"/>
          <w:szCs w:val="21"/>
        </w:rPr>
      </w:pPr>
      <w:r>
        <w:rPr>
          <w:rFonts w:hint="eastAsia" w:ascii="宋体" w:hAnsi="宋体" w:cs="宋体"/>
          <w:szCs w:val="21"/>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0" w:lineRule="exact"/>
        <w:ind w:firstLine="420" w:firstLineChars="200"/>
        <w:jc w:val="left"/>
      </w:pPr>
      <w:r>
        <w:rPr>
          <w:rFonts w:hint="eastAsia" w:ascii="宋体" w:hAnsi="宋体"/>
          <w:szCs w:val="21"/>
        </w:rPr>
        <w:t>（4）甲方不得以行政区划调整、政府换届、机构或者职能调整以及相关责任人更替为由中止合同。</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16.3合同的终止</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（1）合同因有效期限届满而终止；</w:t>
      </w:r>
    </w:p>
    <w:p>
      <w:pPr>
        <w:snapToGrid w:val="0"/>
        <w:spacing w:line="400" w:lineRule="exact"/>
        <w:ind w:firstLine="420" w:firstLineChars="200"/>
        <w:rPr>
          <w:rFonts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pPr>
        <w:autoSpaceDE w:val="0"/>
        <w:autoSpaceDN w:val="0"/>
        <w:adjustRightInd w:val="0"/>
        <w:spacing w:line="400" w:lineRule="exact"/>
        <w:ind w:firstLine="440" w:firstLineChars="200"/>
        <w:rPr>
          <w:rFonts w:ascii="宋体" w:hAnsi="宋体" w:eastAsia="华文楷体" w:cs="华文楷体"/>
          <w:sz w:val="22"/>
          <w:szCs w:val="21"/>
        </w:rPr>
      </w:pPr>
      <w:r>
        <w:rPr>
          <w:rFonts w:hint="eastAsia" w:ascii="宋体" w:hAnsi="宋体" w:eastAsia="华文楷体" w:cs="华文楷体"/>
          <w:sz w:val="22"/>
          <w:szCs w:val="21"/>
        </w:rPr>
        <w:t xml:space="preserve">16.4 </w:t>
      </w:r>
      <w:r>
        <w:rPr>
          <w:rFonts w:hint="eastAsia" w:ascii="宋体" w:hAnsi="宋体"/>
          <w:szCs w:val="21"/>
        </w:rPr>
        <w:t>涉及国家利益、社会公共利益的情形</w:t>
      </w:r>
    </w:p>
    <w:p>
      <w:pPr>
        <w:autoSpaceDE w:val="0"/>
        <w:autoSpaceDN w:val="0"/>
        <w:adjustRightInd w:val="0"/>
        <w:spacing w:line="400" w:lineRule="exact"/>
        <w:ind w:firstLine="420" w:firstLineChars="200"/>
        <w:rPr>
          <w:rFonts w:ascii="华文楷体" w:hAnsi="华文楷体" w:eastAsia="华文楷体" w:cs="华文楷体"/>
          <w:szCs w:val="21"/>
        </w:rPr>
      </w:pPr>
      <w:r>
        <w:rPr>
          <w:rFonts w:hint="eastAsia" w:ascii="宋体" w:hAnsi="宋体" w:cs="宋体"/>
          <w:szCs w:val="21"/>
        </w:rPr>
        <w:t>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17. 合同分包</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17.2 乙方执行采购政策向中小企业依法分包的，乙方应当按采购文件和投标（响应）文件签订分包意向协议，分包意向协议属于本合同组成部分。</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18. 不可抗力</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18.1 不可抗力是指合同双方不能预见、不能避免且不能克服的客观情况。</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19. 解决争议的方法</w:t>
      </w:r>
    </w:p>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19.1 因本合同及合同有关事项发生的争议，由甲乙双方友好协商解决。协商不成时，可以向有关组织申请调解。合同一方或双方不愿调解或调解不成的，可以通过仲裁或诉讼的方式解决争议。</w:t>
      </w:r>
    </w:p>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19.2 选择仲裁的，应在</w:t>
      </w:r>
      <w:r>
        <w:rPr>
          <w:rFonts w:hint="eastAsia" w:ascii="宋体" w:hAnsi="宋体" w:cs="宋体"/>
          <w:b/>
          <w:bCs/>
          <w:szCs w:val="21"/>
        </w:rPr>
        <w:t>【采购合同专用条款】</w:t>
      </w:r>
      <w:r>
        <w:rPr>
          <w:rFonts w:hint="eastAsia" w:ascii="宋体" w:hAnsi="宋体" w:cs="宋体"/>
          <w:szCs w:val="21"/>
        </w:rPr>
        <w:t>中明确仲裁机构及仲裁地；通过诉讼方式解决的，可以在</w:t>
      </w:r>
      <w:r>
        <w:rPr>
          <w:rFonts w:hint="eastAsia" w:ascii="宋体" w:hAnsi="宋体" w:cs="宋体"/>
          <w:b/>
          <w:bCs/>
          <w:szCs w:val="21"/>
        </w:rPr>
        <w:t>【采购合同专用条款】</w:t>
      </w:r>
      <w:r>
        <w:rPr>
          <w:rFonts w:hint="eastAsia" w:ascii="宋体" w:hAnsi="宋体" w:cs="宋体"/>
          <w:szCs w:val="21"/>
        </w:rPr>
        <w:t>中进一步约定选择与争议有实际联系的地点的人民法院管辖，但管辖法院的约定不得违反级别管辖和专属管辖的规定。</w:t>
      </w:r>
    </w:p>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19.3 如甲乙双方有争议的事项不影响合同其他部分的履行，在争议解决期间，合同其他部分应当继续履行。</w:t>
      </w:r>
    </w:p>
    <w:p>
      <w:pPr>
        <w:autoSpaceDE w:val="0"/>
        <w:autoSpaceDN w:val="0"/>
        <w:adjustRightInd w:val="0"/>
        <w:snapToGrid w:val="0"/>
        <w:spacing w:line="400" w:lineRule="exact"/>
        <w:jc w:val="left"/>
        <w:rPr>
          <w:rFonts w:ascii="宋体" w:hAnsi="宋体"/>
          <w:sz w:val="24"/>
        </w:rPr>
      </w:pPr>
      <w:r>
        <w:rPr>
          <w:rFonts w:hint="eastAsia" w:ascii="宋体" w:hAnsi="宋体"/>
          <w:b/>
          <w:sz w:val="24"/>
        </w:rPr>
        <w:t>20. 采购政策</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pPr>
        <w:spacing w:line="400" w:lineRule="exact"/>
        <w:ind w:firstLine="420" w:firstLineChars="200"/>
        <w:rPr>
          <w:rFonts w:ascii="Calibri" w:hAnsi="Calibri"/>
          <w:szCs w:val="22"/>
        </w:rPr>
      </w:pPr>
      <w:r>
        <w:rPr>
          <w:rFonts w:ascii="宋体" w:hAnsi="宋体"/>
          <w:szCs w:val="21"/>
        </w:rPr>
        <w:t>2</w:t>
      </w:r>
      <w:r>
        <w:rPr>
          <w:rFonts w:hint="eastAsia" w:ascii="宋体" w:hAnsi="宋体"/>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line="400" w:lineRule="exact"/>
        <w:jc w:val="left"/>
        <w:rPr>
          <w:rFonts w:ascii="宋体" w:hAnsi="宋体"/>
          <w:b/>
          <w:sz w:val="24"/>
        </w:rPr>
      </w:pPr>
      <w:r>
        <w:rPr>
          <w:rFonts w:hint="eastAsia" w:ascii="宋体" w:hAnsi="宋体"/>
          <w:b/>
          <w:sz w:val="24"/>
        </w:rPr>
        <w:t>21. 法律适用</w:t>
      </w:r>
    </w:p>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21.1 本合同的订立、生效、解释、履行及与本合同有关的争议解决，均适用法律、行政法规。</w:t>
      </w:r>
    </w:p>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21.2 本合同条款与法律、行政法规的强制性规定不一致的，双方当事人应按照法律、行政法规的强制性规定修改本合同的相关条款。</w:t>
      </w:r>
    </w:p>
    <w:p>
      <w:pPr>
        <w:numPr>
          <w:ilvl w:val="255"/>
          <w:numId w:val="0"/>
        </w:numPr>
        <w:autoSpaceDE w:val="0"/>
        <w:autoSpaceDN w:val="0"/>
        <w:adjustRightInd w:val="0"/>
        <w:snapToGrid w:val="0"/>
        <w:spacing w:line="400" w:lineRule="exact"/>
        <w:jc w:val="left"/>
        <w:rPr>
          <w:rFonts w:ascii="宋体" w:hAnsi="宋体"/>
          <w:b/>
          <w:sz w:val="24"/>
        </w:rPr>
      </w:pPr>
      <w:r>
        <w:rPr>
          <w:rFonts w:hint="eastAsia" w:ascii="宋体" w:hAnsi="宋体"/>
          <w:b/>
          <w:sz w:val="24"/>
        </w:rPr>
        <w:t>22. 通知</w:t>
      </w:r>
    </w:p>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22.1 本合同任何一方向对方发出的通知、信件、数据电文等，应当发送至本合同第一部分《采购合同协议书》所约定的通讯地址、联系人、联系电话或电子邮箱。</w:t>
      </w:r>
    </w:p>
    <w:p>
      <w:pPr>
        <w:autoSpaceDE w:val="0"/>
        <w:autoSpaceDN w:val="0"/>
        <w:adjustRightInd w:val="0"/>
        <w:spacing w:line="400" w:lineRule="exact"/>
        <w:rPr>
          <w:rFonts w:ascii="华文楷体" w:hAnsi="华文楷体" w:eastAsia="华文楷体" w:cs="华文楷体"/>
          <w:szCs w:val="21"/>
        </w:rPr>
      </w:pPr>
      <w:r>
        <w:rPr>
          <w:rFonts w:hint="eastAsia" w:ascii="宋体" w:hAnsi="宋体" w:cs="宋体"/>
          <w:szCs w:val="21"/>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line="400" w:lineRule="exact"/>
        <w:ind w:firstLine="420" w:firstLineChars="200"/>
        <w:jc w:val="left"/>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pPr>
        <w:adjustRightInd w:val="0"/>
        <w:snapToGrid w:val="0"/>
        <w:spacing w:line="400" w:lineRule="exact"/>
        <w:ind w:firstLine="420" w:firstLineChars="200"/>
        <w:jc w:val="left"/>
        <w:rPr>
          <w:rFonts w:ascii="宋体" w:hAnsi="宋体"/>
          <w:szCs w:val="21"/>
        </w:rPr>
      </w:pPr>
      <w:r>
        <w:rPr>
          <w:rFonts w:hint="eastAsia" w:ascii="宋体" w:hAnsi="宋体"/>
          <w:szCs w:val="21"/>
        </w:rPr>
        <w:t>22.4通知以送达之日或通知书中规定的生效之日起生效，两者中以较迟之日为准。</w:t>
      </w:r>
    </w:p>
    <w:p>
      <w:pPr>
        <w:numPr>
          <w:ilvl w:val="0"/>
          <w:numId w:val="18"/>
        </w:numPr>
        <w:adjustRightInd w:val="0"/>
        <w:snapToGrid w:val="0"/>
        <w:spacing w:line="400" w:lineRule="exact"/>
        <w:jc w:val="left"/>
        <w:rPr>
          <w:rFonts w:ascii="宋体" w:hAnsi="宋体"/>
          <w:b/>
          <w:bCs/>
          <w:sz w:val="24"/>
        </w:rPr>
      </w:pPr>
      <w:r>
        <w:rPr>
          <w:rFonts w:hint="eastAsia" w:ascii="宋体" w:hAnsi="宋体"/>
          <w:b/>
          <w:bCs/>
          <w:sz w:val="24"/>
        </w:rPr>
        <w:t>合同未尽事项</w:t>
      </w:r>
    </w:p>
    <w:p>
      <w:pPr>
        <w:adjustRightInd w:val="0"/>
        <w:snapToGrid w:val="0"/>
        <w:spacing w:line="400" w:lineRule="exact"/>
        <w:ind w:firstLine="420" w:firstLineChars="200"/>
        <w:jc w:val="left"/>
        <w:rPr>
          <w:rFonts w:ascii="宋体" w:hAnsi="宋体"/>
          <w:bCs/>
          <w:szCs w:val="21"/>
        </w:rPr>
      </w:pPr>
      <w:r>
        <w:rPr>
          <w:rFonts w:hint="eastAsia" w:ascii="宋体" w:hAnsi="宋体"/>
          <w:bCs/>
          <w:szCs w:val="21"/>
        </w:rPr>
        <w:t>23.1合同未尽事项见</w:t>
      </w:r>
      <w:r>
        <w:rPr>
          <w:rFonts w:hint="eastAsia" w:ascii="宋体" w:hAnsi="宋体"/>
          <w:b/>
          <w:szCs w:val="21"/>
        </w:rPr>
        <w:t>【采购合同专用条款】</w:t>
      </w:r>
      <w:r>
        <w:rPr>
          <w:rFonts w:hint="eastAsia" w:ascii="宋体" w:hAnsi="宋体"/>
          <w:bCs/>
          <w:szCs w:val="21"/>
        </w:rPr>
        <w:t>。</w:t>
      </w:r>
    </w:p>
    <w:p>
      <w:pPr>
        <w:adjustRightInd w:val="0"/>
        <w:snapToGrid w:val="0"/>
        <w:spacing w:line="400" w:lineRule="exact"/>
        <w:jc w:val="left"/>
        <w:rPr>
          <w:rFonts w:ascii="黑体" w:hAnsi="华文中宋" w:eastAsia="黑体"/>
          <w:sz w:val="28"/>
          <w:szCs w:val="28"/>
        </w:rPr>
      </w:pPr>
      <w:r>
        <w:rPr>
          <w:rFonts w:hint="eastAsia" w:ascii="宋体" w:hAnsi="宋体"/>
          <w:bCs/>
          <w:szCs w:val="21"/>
        </w:rPr>
        <w:t xml:space="preserve">    23.2 合同附件与合同正文具有同等的法律效力。</w:t>
      </w:r>
      <w:bookmarkStart w:id="80" w:name="_Toc20313"/>
    </w:p>
    <w:p>
      <w:pPr>
        <w:adjustRightInd w:val="0"/>
        <w:snapToGrid w:val="0"/>
        <w:jc w:val="center"/>
        <w:rPr>
          <w:rFonts w:ascii="黑体" w:hAnsi="华文中宋" w:eastAsia="黑体"/>
          <w:sz w:val="28"/>
          <w:szCs w:val="28"/>
        </w:rPr>
      </w:pPr>
      <w:r>
        <w:rPr>
          <w:rFonts w:hint="eastAsia" w:ascii="黑体" w:hAnsi="华文中宋" w:eastAsia="黑体"/>
          <w:sz w:val="28"/>
          <w:szCs w:val="28"/>
        </w:rPr>
        <w:br w:type="page"/>
      </w:r>
    </w:p>
    <w:p>
      <w:pPr>
        <w:keepNext/>
        <w:keepLines/>
        <w:adjustRightInd w:val="0"/>
        <w:snapToGrid w:val="0"/>
        <w:spacing w:line="360" w:lineRule="auto"/>
        <w:jc w:val="center"/>
        <w:outlineLvl w:val="1"/>
        <w:rPr>
          <w:rFonts w:ascii="黑体" w:hAnsi="华文中宋" w:eastAsia="黑体"/>
          <w:sz w:val="28"/>
          <w:szCs w:val="28"/>
        </w:rPr>
      </w:pPr>
      <w:r>
        <w:rPr>
          <w:rFonts w:hint="eastAsia" w:ascii="黑体" w:hAnsi="华文中宋" w:eastAsia="黑体"/>
          <w:sz w:val="28"/>
          <w:szCs w:val="28"/>
        </w:rPr>
        <w:t>第三节 采购合同专用条款</w:t>
      </w:r>
      <w:bookmarkEnd w:id="80"/>
    </w:p>
    <w:tbl>
      <w:tblPr>
        <w:tblStyle w:val="4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第1.2（6）项</w:t>
            </w:r>
          </w:p>
        </w:tc>
        <w:tc>
          <w:tcPr>
            <w:tcW w:w="1742" w:type="dxa"/>
            <w:vAlign w:val="center"/>
          </w:tcPr>
          <w:p>
            <w:pPr>
              <w:adjustRightInd w:val="0"/>
              <w:snapToGrid w:val="0"/>
              <w:jc w:val="left"/>
              <w:rPr>
                <w:rFonts w:ascii="宋体" w:hAnsi="宋体"/>
                <w:szCs w:val="21"/>
              </w:rPr>
            </w:pPr>
            <w:r>
              <w:rPr>
                <w:rFonts w:hint="eastAsia" w:ascii="宋体" w:hAnsi="宋体"/>
                <w:szCs w:val="21"/>
              </w:rPr>
              <w:t>联合体具体要求</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第1.2（7）项</w:t>
            </w:r>
          </w:p>
        </w:tc>
        <w:tc>
          <w:tcPr>
            <w:tcW w:w="1742" w:type="dxa"/>
            <w:vAlign w:val="center"/>
          </w:tcPr>
          <w:p>
            <w:pPr>
              <w:adjustRightInd w:val="0"/>
              <w:snapToGrid w:val="0"/>
              <w:jc w:val="left"/>
              <w:rPr>
                <w:rFonts w:ascii="宋体" w:hAnsi="宋体"/>
                <w:szCs w:val="21"/>
              </w:rPr>
            </w:pPr>
            <w:r>
              <w:rPr>
                <w:rFonts w:hint="eastAsia" w:ascii="宋体" w:hAnsi="宋体"/>
                <w:szCs w:val="21"/>
              </w:rPr>
              <w:t>其他术语解释</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第4.4款</w:t>
            </w:r>
          </w:p>
        </w:tc>
        <w:tc>
          <w:tcPr>
            <w:tcW w:w="1742" w:type="dxa"/>
            <w:vAlign w:val="center"/>
          </w:tcPr>
          <w:p>
            <w:pPr>
              <w:adjustRightInd w:val="0"/>
              <w:snapToGrid w:val="0"/>
              <w:jc w:val="left"/>
              <w:rPr>
                <w:rFonts w:ascii="宋体" w:hAnsi="宋体"/>
                <w:szCs w:val="21"/>
              </w:rPr>
            </w:pPr>
            <w:r>
              <w:rPr>
                <w:rFonts w:hint="eastAsia" w:ascii="宋体" w:hAnsi="宋体"/>
                <w:szCs w:val="21"/>
              </w:rPr>
              <w:t>履约验收中甲方提出异议或作出说明的期限</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第4.6款</w:t>
            </w:r>
          </w:p>
        </w:tc>
        <w:tc>
          <w:tcPr>
            <w:tcW w:w="1742" w:type="dxa"/>
            <w:vAlign w:val="center"/>
          </w:tcPr>
          <w:p>
            <w:pPr>
              <w:adjustRightInd w:val="0"/>
              <w:snapToGrid w:val="0"/>
              <w:jc w:val="left"/>
              <w:rPr>
                <w:rFonts w:ascii="宋体" w:hAnsi="宋体"/>
                <w:szCs w:val="21"/>
              </w:rPr>
            </w:pPr>
            <w:r>
              <w:rPr>
                <w:rFonts w:hint="eastAsia" w:ascii="宋体" w:hAnsi="宋体"/>
                <w:szCs w:val="21"/>
              </w:rPr>
              <w:t>约定甲方承担的其他义务和责任</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snapToGrid w:val="0"/>
              <w:jc w:val="center"/>
            </w:pPr>
            <w:r>
              <w:rPr>
                <w:rFonts w:hint="eastAsia" w:ascii="宋体" w:hAnsi="宋体"/>
                <w:szCs w:val="21"/>
              </w:rPr>
              <w:t>第5.4款</w:t>
            </w:r>
          </w:p>
        </w:tc>
        <w:tc>
          <w:tcPr>
            <w:tcW w:w="1742" w:type="dxa"/>
            <w:vAlign w:val="center"/>
          </w:tcPr>
          <w:p>
            <w:pPr>
              <w:adjustRightInd w:val="0"/>
              <w:snapToGrid w:val="0"/>
              <w:jc w:val="left"/>
              <w:rPr>
                <w:rFonts w:ascii="宋体" w:hAnsi="宋体"/>
                <w:szCs w:val="21"/>
              </w:rPr>
            </w:pPr>
            <w:r>
              <w:rPr>
                <w:rFonts w:hint="eastAsia" w:ascii="宋体" w:hAnsi="宋体"/>
                <w:szCs w:val="21"/>
              </w:rPr>
              <w:t>约定乙方承担的其他义务和责任</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snapToGrid w:val="0"/>
              <w:jc w:val="center"/>
              <w:rPr>
                <w:rFonts w:ascii="宋体" w:hAnsi="宋体"/>
                <w:szCs w:val="21"/>
              </w:rPr>
            </w:pPr>
            <w:r>
              <w:rPr>
                <w:rFonts w:hint="eastAsia" w:ascii="宋体" w:hAnsi="宋体"/>
                <w:szCs w:val="21"/>
              </w:rPr>
              <w:t>第6.1款</w:t>
            </w:r>
          </w:p>
        </w:tc>
        <w:tc>
          <w:tcPr>
            <w:tcW w:w="1742" w:type="dxa"/>
            <w:vAlign w:val="center"/>
          </w:tcPr>
          <w:p>
            <w:pPr>
              <w:adjustRightInd w:val="0"/>
              <w:snapToGrid w:val="0"/>
              <w:jc w:val="left"/>
              <w:rPr>
                <w:rFonts w:ascii="宋体" w:hAnsi="宋体"/>
                <w:szCs w:val="21"/>
              </w:rPr>
            </w:pPr>
            <w:r>
              <w:rPr>
                <w:rFonts w:hint="eastAsia" w:ascii="宋体" w:hAnsi="宋体"/>
                <w:szCs w:val="21"/>
              </w:rPr>
              <w:t>履行合同义务的顺序</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第7.1款</w:t>
            </w:r>
          </w:p>
        </w:tc>
        <w:tc>
          <w:tcPr>
            <w:tcW w:w="1742" w:type="dxa"/>
            <w:vAlign w:val="center"/>
          </w:tcPr>
          <w:p>
            <w:pPr>
              <w:adjustRightInd w:val="0"/>
              <w:snapToGrid w:val="0"/>
              <w:jc w:val="left"/>
              <w:rPr>
                <w:rFonts w:ascii="宋体" w:hAnsi="宋体"/>
                <w:szCs w:val="21"/>
              </w:rPr>
            </w:pPr>
            <w:r>
              <w:rPr>
                <w:rFonts w:hint="eastAsia" w:ascii="宋体" w:hAnsi="宋体"/>
                <w:szCs w:val="21"/>
              </w:rPr>
              <w:t>包装特殊要求</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ascii="宋体" w:hAnsi="宋体"/>
                <w:szCs w:val="21"/>
              </w:rPr>
            </w:pPr>
          </w:p>
        </w:tc>
        <w:tc>
          <w:tcPr>
            <w:tcW w:w="1742" w:type="dxa"/>
            <w:vAlign w:val="center"/>
          </w:tcPr>
          <w:p>
            <w:pPr>
              <w:adjustRightInd w:val="0"/>
              <w:snapToGrid w:val="0"/>
              <w:jc w:val="left"/>
              <w:rPr>
                <w:rFonts w:ascii="宋体" w:hAnsi="宋体"/>
                <w:szCs w:val="21"/>
              </w:rPr>
            </w:pPr>
            <w:r>
              <w:rPr>
                <w:rFonts w:hint="eastAsia" w:ascii="宋体" w:hAnsi="宋体"/>
                <w:szCs w:val="21"/>
              </w:rPr>
              <w:t>指定现场</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第7.2款</w:t>
            </w:r>
          </w:p>
        </w:tc>
        <w:tc>
          <w:tcPr>
            <w:tcW w:w="1742" w:type="dxa"/>
            <w:vAlign w:val="center"/>
          </w:tcPr>
          <w:p>
            <w:pPr>
              <w:adjustRightInd w:val="0"/>
              <w:snapToGrid w:val="0"/>
              <w:jc w:val="left"/>
              <w:rPr>
                <w:rFonts w:ascii="宋体" w:hAnsi="宋体"/>
                <w:szCs w:val="21"/>
              </w:rPr>
            </w:pPr>
            <w:r>
              <w:rPr>
                <w:rFonts w:hint="eastAsia" w:ascii="宋体" w:hAnsi="宋体"/>
                <w:szCs w:val="21"/>
              </w:rPr>
              <w:t>运输特殊要求</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第7.3款</w:t>
            </w:r>
          </w:p>
        </w:tc>
        <w:tc>
          <w:tcPr>
            <w:tcW w:w="1742" w:type="dxa"/>
            <w:vAlign w:val="center"/>
          </w:tcPr>
          <w:p>
            <w:pPr>
              <w:adjustRightInd w:val="0"/>
              <w:snapToGrid w:val="0"/>
              <w:jc w:val="left"/>
              <w:rPr>
                <w:rFonts w:ascii="宋体" w:hAnsi="宋体"/>
                <w:szCs w:val="21"/>
              </w:rPr>
            </w:pPr>
            <w:r>
              <w:rPr>
                <w:rFonts w:hint="eastAsia" w:ascii="宋体" w:hAnsi="宋体"/>
                <w:szCs w:val="21"/>
              </w:rPr>
              <w:t>保险要求</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第8.2（1）项</w:t>
            </w:r>
          </w:p>
        </w:tc>
        <w:tc>
          <w:tcPr>
            <w:tcW w:w="1742" w:type="dxa"/>
            <w:vAlign w:val="center"/>
          </w:tcPr>
          <w:p>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pPr>
              <w:autoSpaceDE w:val="0"/>
              <w:autoSpaceDN w:val="0"/>
              <w:adjustRightInd w:val="0"/>
              <w:snapToGrid w:val="0"/>
              <w:ind w:firstLine="420" w:firstLineChars="20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第8.2（3）项</w:t>
            </w:r>
          </w:p>
        </w:tc>
        <w:tc>
          <w:tcPr>
            <w:tcW w:w="1742" w:type="dxa"/>
            <w:vAlign w:val="center"/>
          </w:tcPr>
          <w:p>
            <w:pPr>
              <w:adjustRightInd w:val="0"/>
              <w:snapToGrid w:val="0"/>
              <w:jc w:val="left"/>
              <w:rPr>
                <w:rFonts w:ascii="宋体" w:hAnsi="宋体"/>
                <w:szCs w:val="21"/>
              </w:rPr>
            </w:pPr>
            <w:r>
              <w:rPr>
                <w:rFonts w:hint="eastAsia" w:ascii="宋体" w:hAnsi="宋体"/>
                <w:szCs w:val="21"/>
              </w:rPr>
              <w:t>货物质量缺陷</w:t>
            </w:r>
          </w:p>
          <w:p>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ascii="宋体" w:hAnsi="宋体" w:cs="宋体"/>
                <w:szCs w:val="21"/>
              </w:rPr>
            </w:pPr>
            <w:r>
              <w:rPr>
                <w:rFonts w:hint="eastAsia" w:ascii="宋体" w:hAnsi="宋体" w:cs="宋体"/>
                <w:szCs w:val="21"/>
              </w:rPr>
              <w:t>第二节</w:t>
            </w:r>
          </w:p>
          <w:p>
            <w:pPr>
              <w:autoSpaceDE w:val="0"/>
              <w:autoSpaceDN w:val="0"/>
              <w:adjustRightInd w:val="0"/>
              <w:spacing w:line="400" w:lineRule="exact"/>
              <w:jc w:val="center"/>
              <w:rPr>
                <w:rFonts w:ascii="华文楷体" w:hAnsi="华文楷体" w:eastAsia="华文楷体" w:cs="华文楷体"/>
                <w:sz w:val="22"/>
                <w:szCs w:val="21"/>
              </w:rPr>
            </w:pPr>
            <w:r>
              <w:rPr>
                <w:rFonts w:hint="eastAsia" w:ascii="宋体" w:hAnsi="宋体" w:cs="宋体"/>
                <w:sz w:val="22"/>
                <w:szCs w:val="21"/>
              </w:rPr>
              <w:t>第11.1款</w:t>
            </w:r>
          </w:p>
        </w:tc>
        <w:tc>
          <w:tcPr>
            <w:tcW w:w="1742" w:type="dxa"/>
            <w:vAlign w:val="center"/>
          </w:tcPr>
          <w:p>
            <w:pPr>
              <w:adjustRightInd w:val="0"/>
              <w:snapToGrid w:val="0"/>
              <w:rPr>
                <w:rFonts w:ascii="宋体" w:hAnsi="宋体"/>
                <w:szCs w:val="21"/>
              </w:rPr>
            </w:pPr>
            <w:r>
              <w:rPr>
                <w:rFonts w:hint="eastAsia" w:ascii="宋体" w:hAnsi="宋体"/>
                <w:szCs w:val="21"/>
              </w:rPr>
              <w:t>其他应当保密的信息</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第12.2款</w:t>
            </w:r>
          </w:p>
        </w:tc>
        <w:tc>
          <w:tcPr>
            <w:tcW w:w="1742" w:type="dxa"/>
            <w:vAlign w:val="center"/>
          </w:tcPr>
          <w:p>
            <w:pPr>
              <w:adjustRightInd w:val="0"/>
              <w:snapToGrid w:val="0"/>
              <w:jc w:val="left"/>
              <w:rPr>
                <w:rFonts w:ascii="宋体" w:hAnsi="宋体"/>
                <w:szCs w:val="21"/>
              </w:rPr>
            </w:pPr>
            <w:r>
              <w:rPr>
                <w:rFonts w:hint="eastAsia" w:ascii="宋体" w:hAnsi="宋体"/>
                <w:szCs w:val="21"/>
              </w:rPr>
              <w:t>合同价款支付时间</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第13.2款</w:t>
            </w:r>
          </w:p>
        </w:tc>
        <w:tc>
          <w:tcPr>
            <w:tcW w:w="1742" w:type="dxa"/>
            <w:vAlign w:val="center"/>
          </w:tcPr>
          <w:p>
            <w:pPr>
              <w:adjustRightInd w:val="0"/>
              <w:snapToGrid w:val="0"/>
              <w:jc w:val="left"/>
              <w:rPr>
                <w:rFonts w:ascii="宋体" w:hAnsi="宋体"/>
                <w:szCs w:val="21"/>
              </w:rPr>
            </w:pPr>
            <w:r>
              <w:rPr>
                <w:rFonts w:hint="eastAsia" w:ascii="宋体" w:hAnsi="宋体"/>
                <w:szCs w:val="21"/>
              </w:rPr>
              <w:t>履约保证金不予退还的情形</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第13.3款</w:t>
            </w:r>
          </w:p>
        </w:tc>
        <w:tc>
          <w:tcPr>
            <w:tcW w:w="1742" w:type="dxa"/>
            <w:vAlign w:val="center"/>
          </w:tcPr>
          <w:p>
            <w:pPr>
              <w:adjustRightInd w:val="0"/>
              <w:snapToGrid w:val="0"/>
              <w:jc w:val="left"/>
              <w:rPr>
                <w:rFonts w:ascii="宋体" w:hAnsi="宋体"/>
                <w:szCs w:val="21"/>
              </w:rPr>
            </w:pPr>
            <w:r>
              <w:rPr>
                <w:rFonts w:hint="eastAsia" w:ascii="宋体" w:hAnsi="宋体"/>
                <w:szCs w:val="21"/>
              </w:rPr>
              <w:t>履约保证金退还时间及逾期退还的违约金</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第14.1（3）项</w:t>
            </w:r>
          </w:p>
        </w:tc>
        <w:tc>
          <w:tcPr>
            <w:tcW w:w="1742" w:type="dxa"/>
            <w:vAlign w:val="center"/>
          </w:tcPr>
          <w:p>
            <w:pPr>
              <w:adjustRightInd w:val="0"/>
              <w:snapToGrid w:val="0"/>
              <w:jc w:val="left"/>
              <w:rPr>
                <w:rFonts w:ascii="宋体" w:hAnsi="宋体"/>
                <w:szCs w:val="21"/>
              </w:rPr>
            </w:pPr>
            <w:r>
              <w:rPr>
                <w:rFonts w:hint="eastAsia" w:ascii="宋体" w:hAnsi="宋体"/>
                <w:szCs w:val="21"/>
              </w:rPr>
              <w:t>运行监督、维修期限</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第14.1（5）项</w:t>
            </w:r>
          </w:p>
        </w:tc>
        <w:tc>
          <w:tcPr>
            <w:tcW w:w="1742" w:type="dxa"/>
            <w:vAlign w:val="center"/>
          </w:tcPr>
          <w:p>
            <w:pPr>
              <w:adjustRightInd w:val="0"/>
              <w:snapToGrid w:val="0"/>
              <w:jc w:val="left"/>
              <w:rPr>
                <w:rFonts w:ascii="宋体" w:hAnsi="宋体"/>
                <w:szCs w:val="21"/>
              </w:rPr>
            </w:pPr>
            <w:r>
              <w:rPr>
                <w:rFonts w:hint="eastAsia" w:ascii="宋体" w:hAnsi="宋体"/>
                <w:szCs w:val="21"/>
              </w:rPr>
              <w:t>货物回收的约定</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第14.1（6）项</w:t>
            </w:r>
          </w:p>
        </w:tc>
        <w:tc>
          <w:tcPr>
            <w:tcW w:w="1742" w:type="dxa"/>
            <w:vAlign w:val="center"/>
          </w:tcPr>
          <w:p>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第15.1款</w:t>
            </w:r>
          </w:p>
        </w:tc>
        <w:tc>
          <w:tcPr>
            <w:tcW w:w="1742" w:type="dxa"/>
            <w:vAlign w:val="center"/>
          </w:tcPr>
          <w:p>
            <w:pPr>
              <w:adjustRightInd w:val="0"/>
              <w:snapToGrid w:val="0"/>
              <w:jc w:val="left"/>
              <w:rPr>
                <w:rFonts w:ascii="宋体" w:hAnsi="宋体"/>
                <w:szCs w:val="21"/>
              </w:rPr>
            </w:pPr>
            <w:r>
              <w:rPr>
                <w:rFonts w:hint="eastAsia" w:ascii="宋体" w:hAnsi="宋体"/>
                <w:szCs w:val="21"/>
              </w:rPr>
              <w:t>修理、重作、更换相关具体规定</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第15.2（2）项</w:t>
            </w:r>
          </w:p>
        </w:tc>
        <w:tc>
          <w:tcPr>
            <w:tcW w:w="1742" w:type="dxa"/>
            <w:vAlign w:val="center"/>
          </w:tcPr>
          <w:p>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第15.3款</w:t>
            </w:r>
          </w:p>
        </w:tc>
        <w:tc>
          <w:tcPr>
            <w:tcW w:w="1742" w:type="dxa"/>
            <w:vAlign w:val="center"/>
          </w:tcPr>
          <w:p>
            <w:pPr>
              <w:adjustRightInd w:val="0"/>
              <w:snapToGrid w:val="0"/>
              <w:jc w:val="left"/>
              <w:rPr>
                <w:rFonts w:ascii="宋体" w:hAnsi="宋体"/>
                <w:szCs w:val="21"/>
              </w:rPr>
            </w:pPr>
            <w:r>
              <w:rPr>
                <w:rFonts w:hint="eastAsia" w:ascii="宋体" w:hAnsi="宋体"/>
                <w:szCs w:val="21"/>
              </w:rPr>
              <w:t>逾期付款利息</w:t>
            </w:r>
          </w:p>
        </w:tc>
        <w:tc>
          <w:tcPr>
            <w:tcW w:w="5170" w:type="dxa"/>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第15.4款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第19.2款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w:t>
            </w:r>
            <w:r>
              <w:rPr>
                <w:rFonts w:hint="eastAsia" w:ascii="宋体" w:hAnsi="宋体" w:cs="宋体"/>
                <w:iCs/>
                <w:szCs w:val="21"/>
              </w:rPr>
              <w:t>种方式解决：</w:t>
            </w:r>
          </w:p>
          <w:p>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w:t>
            </w:r>
            <w:r>
              <w:rPr>
                <w:rFonts w:hint="eastAsia" w:ascii="宋体" w:hAnsi="宋体" w:cs="宋体"/>
                <w:iCs/>
                <w:szCs w:val="21"/>
              </w:rPr>
              <w:t>仲裁委员会申请仲裁，仲裁地点为</w:t>
            </w:r>
            <w:r>
              <w:rPr>
                <w:rFonts w:hint="eastAsia" w:ascii="宋体" w:hAnsi="宋体" w:cs="宋体"/>
                <w:iCs/>
                <w:szCs w:val="21"/>
                <w:u w:val="single"/>
              </w:rPr>
              <w:t xml:space="preserve">           </w:t>
            </w:r>
            <w:r>
              <w:rPr>
                <w:rFonts w:hint="eastAsia" w:ascii="宋体" w:hAnsi="宋体" w:cs="宋体"/>
                <w:iCs/>
                <w:szCs w:val="21"/>
              </w:rPr>
              <w:t>；</w:t>
            </w:r>
          </w:p>
          <w:p>
            <w:pPr>
              <w:adjustRightInd w:val="0"/>
              <w:snapToGrid w:val="0"/>
              <w:jc w:val="left"/>
              <w:rPr>
                <w:rFonts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w:t>
            </w:r>
            <w:r>
              <w:rPr>
                <w:rFonts w:hint="eastAsia" w:ascii="宋体" w:hAnsi="宋体" w:cs="宋体"/>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第23.1款</w:t>
            </w:r>
          </w:p>
        </w:tc>
        <w:tc>
          <w:tcPr>
            <w:tcW w:w="1742" w:type="dxa"/>
            <w:vAlign w:val="center"/>
          </w:tcPr>
          <w:p>
            <w:pPr>
              <w:adjustRightInd w:val="0"/>
              <w:snapToGrid w:val="0"/>
              <w:jc w:val="left"/>
              <w:rPr>
                <w:rFonts w:ascii="宋体" w:hAnsi="宋体"/>
                <w:szCs w:val="21"/>
              </w:rPr>
            </w:pPr>
            <w:r>
              <w:rPr>
                <w:rFonts w:hint="eastAsia" w:ascii="宋体" w:hAnsi="宋体"/>
                <w:bCs/>
                <w:szCs w:val="21"/>
              </w:rPr>
              <w:t>其他专用条款</w:t>
            </w:r>
          </w:p>
        </w:tc>
        <w:tc>
          <w:tcPr>
            <w:tcW w:w="5170" w:type="dxa"/>
            <w:vAlign w:val="center"/>
          </w:tcPr>
          <w:p>
            <w:pPr>
              <w:adjustRightInd w:val="0"/>
              <w:snapToGrid w:val="0"/>
              <w:jc w:val="left"/>
              <w:rPr>
                <w:rFonts w:ascii="宋体" w:hAnsi="宋体"/>
                <w:szCs w:val="21"/>
              </w:rPr>
            </w:pPr>
          </w:p>
        </w:tc>
      </w:tr>
    </w:tbl>
    <w:p>
      <w:pPr>
        <w:widowControl/>
        <w:jc w:val="left"/>
        <w:rPr>
          <w:rFonts w:ascii="宋体" w:hAnsi="宋体"/>
          <w:szCs w:val="21"/>
        </w:rPr>
      </w:pPr>
      <w:r>
        <w:rPr>
          <w:rFonts w:ascii="宋体" w:hAnsi="宋体"/>
          <w:szCs w:val="21"/>
        </w:rPr>
        <w:br w:type="page"/>
      </w:r>
    </w:p>
    <w:p>
      <w:pPr>
        <w:pStyle w:val="6"/>
        <w:spacing w:before="120" w:beforeLines="50" w:after="120" w:afterLines="50"/>
        <w:ind w:left="562"/>
        <w:rPr>
          <w:sz w:val="28"/>
          <w:szCs w:val="28"/>
        </w:rPr>
      </w:pPr>
      <w:r>
        <w:rPr>
          <w:rFonts w:hint="eastAsia"/>
          <w:sz w:val="28"/>
          <w:szCs w:val="28"/>
        </w:rPr>
        <w:t>第二册  通用条款（公开招标）</w:t>
      </w:r>
    </w:p>
    <w:p>
      <w:pPr>
        <w:pStyle w:val="74"/>
        <w:keepNext/>
        <w:keepLines/>
        <w:numPr>
          <w:ilvl w:val="0"/>
          <w:numId w:val="19"/>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bookmarkStart w:id="81" w:name="_Hlk72399513"/>
      <w:bookmarkStart w:id="82" w:name="_Hlk72439706"/>
      <w:r>
        <w:rPr>
          <w:rFonts w:hint="eastAsia" w:ascii="Cambria" w:hAnsi="Cambria" w:cs="宋体"/>
          <w:b/>
          <w:bCs/>
          <w:sz w:val="28"/>
          <w:szCs w:val="28"/>
        </w:rPr>
        <w:t>总则</w:t>
      </w:r>
    </w:p>
    <w:bookmarkEnd w:id="81"/>
    <w:p>
      <w:pPr>
        <w:ind w:firstLine="420" w:firstLineChars="200"/>
        <w:rPr>
          <w:rFonts w:ascii="黑体" w:hAnsi="宋体" w:eastAsia="黑体"/>
          <w:szCs w:val="21"/>
        </w:rPr>
      </w:pPr>
      <w:r>
        <w:rPr>
          <w:rFonts w:hint="eastAsia" w:ascii="黑体" w:hAnsi="宋体" w:eastAsia="黑体"/>
          <w:szCs w:val="21"/>
        </w:rPr>
        <w:t>1. 通用条款说明</w:t>
      </w:r>
    </w:p>
    <w:p>
      <w:pPr>
        <w:ind w:firstLine="420" w:firstLineChars="200"/>
        <w:rPr>
          <w:rFonts w:ascii="宋体" w:hAnsi="宋体"/>
          <w:szCs w:val="21"/>
        </w:rPr>
      </w:pPr>
      <w:r>
        <w:rPr>
          <w:rFonts w:hint="eastAsia" w:ascii="宋体" w:hAnsi="宋体"/>
          <w:szCs w:val="21"/>
        </w:rPr>
        <w:t>1.1</w:t>
      </w:r>
      <w:r>
        <w:rPr>
          <w:rFonts w:hint="eastAsia" w:ascii="宋体" w:hAnsi="宋体"/>
          <w:szCs w:val="21"/>
          <w:highlight w:val="yellow"/>
        </w:rPr>
        <w:t>采购代理机构</w:t>
      </w:r>
      <w:r>
        <w:rPr>
          <w:rFonts w:hint="eastAsia" w:ascii="宋体" w:hAnsi="宋体"/>
          <w:szCs w:val="21"/>
        </w:rPr>
        <w:t>发出招标文件通用条款版本，列出深圳市自行采购项目进行招标采购所适用的通用条款内容。</w:t>
      </w:r>
      <w:bookmarkStart w:id="83" w:name="_Hlk72399729"/>
      <w:r>
        <w:rPr>
          <w:rFonts w:hint="eastAsia" w:ascii="宋体" w:hAnsi="宋体"/>
          <w:szCs w:val="21"/>
        </w:rPr>
        <w:t>如有需要，</w:t>
      </w:r>
      <w:r>
        <w:rPr>
          <w:rFonts w:hint="eastAsia" w:ascii="宋体" w:hAnsi="宋体"/>
          <w:szCs w:val="21"/>
          <w:highlight w:val="yellow"/>
        </w:rPr>
        <w:t>采购代理机构</w:t>
      </w:r>
      <w:r>
        <w:rPr>
          <w:rFonts w:hint="eastAsia" w:ascii="宋体" w:hAnsi="宋体"/>
          <w:szCs w:val="21"/>
        </w:rPr>
        <w:t>可以对通用条款的内容进行补充。</w:t>
      </w:r>
      <w:bookmarkEnd w:id="83"/>
    </w:p>
    <w:p>
      <w:pPr>
        <w:ind w:firstLine="420" w:firstLineChars="200"/>
        <w:rPr>
          <w:rFonts w:ascii="宋体" w:hAnsi="宋体"/>
          <w:szCs w:val="21"/>
        </w:rPr>
      </w:pPr>
      <w:r>
        <w:rPr>
          <w:rFonts w:hint="eastAsia" w:ascii="宋体" w:hAnsi="宋体"/>
          <w:szCs w:val="21"/>
        </w:rPr>
        <w:t>1.2招标文件分为第一册“专用条款”和第二册“通用条款”。</w:t>
      </w:r>
    </w:p>
    <w:p>
      <w:pPr>
        <w:ind w:firstLine="420" w:firstLineChars="200"/>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20" w:firstLineChars="200"/>
        <w:rPr>
          <w:rFonts w:ascii="宋体" w:hAnsi="宋体"/>
          <w:szCs w:val="21"/>
        </w:rPr>
      </w:pPr>
      <w:r>
        <w:rPr>
          <w:rFonts w:hint="eastAsia" w:ascii="宋体" w:hAnsi="宋体"/>
          <w:szCs w:val="21"/>
        </w:rPr>
        <w:t>1.4“通用条款”是适用于自行采购公开招标项目的基础性条款，具有普遍性和通用性。</w:t>
      </w:r>
    </w:p>
    <w:p>
      <w:pPr>
        <w:ind w:firstLine="420" w:firstLineChars="200"/>
        <w:rPr>
          <w:rFonts w:ascii="宋体" w:hAnsi="宋体"/>
          <w:szCs w:val="21"/>
        </w:rPr>
      </w:pPr>
      <w:r>
        <w:rPr>
          <w:rFonts w:hint="eastAsia" w:ascii="宋体" w:hAnsi="宋体"/>
          <w:szCs w:val="21"/>
        </w:rPr>
        <w:t>1.5 “专用条款”和“通用条款”表述不一致或有冲突时，以“专用条款”为准。</w:t>
      </w:r>
    </w:p>
    <w:p>
      <w:pPr>
        <w:ind w:firstLine="420" w:firstLineChars="200"/>
        <w:rPr>
          <w:rFonts w:ascii="黑体" w:hAnsi="宋体" w:eastAsia="黑体"/>
          <w:szCs w:val="21"/>
        </w:rPr>
      </w:pPr>
      <w:r>
        <w:rPr>
          <w:rFonts w:hint="eastAsia" w:ascii="黑体" w:hAnsi="宋体" w:eastAsia="黑体"/>
          <w:szCs w:val="21"/>
        </w:rPr>
        <w:t>2．招标说明</w:t>
      </w:r>
    </w:p>
    <w:p>
      <w:pPr>
        <w:ind w:firstLine="422" w:firstLineChars="200"/>
        <w:rPr>
          <w:rFonts w:ascii="宋体" w:hAnsi="宋体"/>
          <w:b/>
          <w:bCs/>
          <w:color w:val="FF0000"/>
          <w:szCs w:val="21"/>
        </w:rPr>
      </w:pPr>
      <w:r>
        <w:rPr>
          <w:rFonts w:hint="eastAsia" w:ascii="宋体" w:hAnsi="宋体"/>
          <w:b/>
          <w:bCs/>
          <w:color w:val="FF0000"/>
          <w:szCs w:val="21"/>
        </w:rPr>
        <w:t>本项目为自行采购项目，参照《深圳经济特区政府采购条例》、《深圳经济特区政府采购条例实施细则》及政府采购其他法律法规，通过公开招标方式确定中标供应商。</w:t>
      </w:r>
    </w:p>
    <w:p>
      <w:pPr>
        <w:ind w:firstLine="420" w:firstLineChars="200"/>
        <w:rPr>
          <w:rFonts w:ascii="黑体" w:hAnsi="宋体" w:eastAsia="黑体"/>
          <w:szCs w:val="21"/>
        </w:rPr>
      </w:pPr>
      <w:r>
        <w:rPr>
          <w:rFonts w:hint="eastAsia" w:ascii="黑体" w:hAnsi="宋体" w:eastAsia="黑体"/>
          <w:szCs w:val="21"/>
        </w:rPr>
        <w:t>3．定义</w:t>
      </w:r>
    </w:p>
    <w:p>
      <w:pPr>
        <w:ind w:firstLine="420" w:firstLineChars="200"/>
        <w:rPr>
          <w:rFonts w:ascii="宋体" w:hAnsi="宋体"/>
          <w:szCs w:val="21"/>
        </w:rPr>
      </w:pPr>
      <w:r>
        <w:rPr>
          <w:rFonts w:hint="eastAsia" w:ascii="宋体" w:hAnsi="宋体"/>
          <w:szCs w:val="21"/>
        </w:rPr>
        <w:t>招标文件中下列术语应解释为：</w:t>
      </w:r>
    </w:p>
    <w:p>
      <w:pPr>
        <w:ind w:firstLine="420" w:firstLineChars="200"/>
        <w:rPr>
          <w:rFonts w:ascii="宋体" w:hAnsi="宋体"/>
          <w:szCs w:val="21"/>
        </w:rPr>
      </w:pPr>
      <w:r>
        <w:rPr>
          <w:rFonts w:hint="eastAsia" w:ascii="宋体" w:hAnsi="宋体"/>
          <w:szCs w:val="21"/>
        </w:rPr>
        <w:t>3.1“采购人”：指利用财政性资金依法进行</w:t>
      </w:r>
      <w:r>
        <w:rPr>
          <w:rFonts w:hint="eastAsia" w:ascii="宋体" w:hAnsi="宋体"/>
          <w:b/>
          <w:bCs/>
          <w:color w:val="FF0000"/>
          <w:szCs w:val="21"/>
        </w:rPr>
        <w:t>自行采购</w:t>
      </w:r>
      <w:r>
        <w:rPr>
          <w:rFonts w:hint="eastAsia" w:ascii="宋体" w:hAnsi="宋体"/>
          <w:szCs w:val="21"/>
        </w:rPr>
        <w:t xml:space="preserve">的国家机关、事业单位、团体组织； </w:t>
      </w:r>
    </w:p>
    <w:p>
      <w:pPr>
        <w:ind w:firstLine="420" w:firstLineChars="200"/>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是指市政府设立的，组织实施采购项目，并对采购活动提供服务的专门机构；</w:t>
      </w:r>
      <w:r>
        <w:rPr>
          <w:rFonts w:hint="eastAsia" w:ascii="宋体" w:hAnsi="宋体"/>
          <w:szCs w:val="21"/>
        </w:rPr>
        <w:t>本文件所述的“</w:t>
      </w:r>
      <w:r>
        <w:rPr>
          <w:rFonts w:hint="eastAsia" w:ascii="宋体" w:hAnsi="宋体"/>
          <w:szCs w:val="21"/>
          <w:highlight w:val="yellow"/>
        </w:rPr>
        <w:t>采购代理机构</w:t>
      </w:r>
      <w:r>
        <w:rPr>
          <w:rFonts w:hint="eastAsia" w:ascii="宋体" w:hAnsi="宋体"/>
          <w:szCs w:val="21"/>
        </w:rPr>
        <w:t>”指</w:t>
      </w:r>
      <w:r>
        <w:rPr>
          <w:rFonts w:hint="eastAsia" w:ascii="宋体" w:hAnsi="宋体"/>
          <w:b/>
          <w:bCs/>
          <w:szCs w:val="21"/>
        </w:rPr>
        <w:t>深圳公共资源交易中心</w:t>
      </w:r>
      <w:r>
        <w:rPr>
          <w:rFonts w:hint="eastAsia" w:ascii="宋体" w:hAnsi="宋体"/>
          <w:b/>
          <w:bCs/>
          <w:szCs w:val="21"/>
          <w:highlight w:val="yellow"/>
        </w:rPr>
        <w:t>（</w:t>
      </w:r>
      <w:r>
        <w:rPr>
          <w:rFonts w:hint="eastAsia" w:asciiTheme="minorEastAsia" w:hAnsiTheme="minorEastAsia" w:eastAsiaTheme="minorEastAsia"/>
          <w:b/>
          <w:bCs/>
          <w:highlight w:val="yellow"/>
        </w:rPr>
        <w:t>深圳交易集团有限公司政府采购业务分公司）</w:t>
      </w:r>
      <w:r>
        <w:rPr>
          <w:rFonts w:hint="eastAsia" w:ascii="宋体" w:hAnsi="宋体"/>
          <w:szCs w:val="21"/>
        </w:rPr>
        <w:t>；</w:t>
      </w:r>
    </w:p>
    <w:p>
      <w:pPr>
        <w:ind w:firstLine="420" w:firstLineChars="200"/>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pPr>
        <w:ind w:firstLine="420" w:firstLineChars="200"/>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pPr>
        <w:ind w:firstLine="420" w:firstLineChars="200"/>
        <w:rPr>
          <w:rFonts w:ascii="宋体" w:hAnsi="宋体"/>
          <w:szCs w:val="21"/>
        </w:rPr>
      </w:pPr>
      <w:r>
        <w:rPr>
          <w:rFonts w:hint="eastAsia" w:ascii="宋体" w:hAnsi="宋体"/>
          <w:szCs w:val="21"/>
        </w:rPr>
        <w:t>3.5“日期”指公历日；</w:t>
      </w:r>
    </w:p>
    <w:p>
      <w:pPr>
        <w:ind w:firstLine="420" w:firstLineChars="200"/>
        <w:rPr>
          <w:rFonts w:ascii="宋体" w:hAnsi="宋体"/>
          <w:szCs w:val="21"/>
        </w:rPr>
      </w:pPr>
      <w:r>
        <w:rPr>
          <w:rFonts w:hint="eastAsia" w:ascii="宋体" w:hAnsi="宋体"/>
          <w:szCs w:val="21"/>
        </w:rPr>
        <w:t>3.6“合同”指由本次招标所产生的合同或合约文件；</w:t>
      </w:r>
    </w:p>
    <w:p>
      <w:pPr>
        <w:ind w:firstLine="420" w:firstLineChars="200"/>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pPr>
        <w:ind w:firstLine="420" w:firstLineChars="200"/>
        <w:rPr>
          <w:rFonts w:ascii="宋体" w:hAnsi="宋体"/>
          <w:szCs w:val="21"/>
        </w:rPr>
      </w:pPr>
      <w:r>
        <w:rPr>
          <w:rFonts w:hint="eastAsia" w:ascii="宋体" w:hAnsi="宋体"/>
          <w:szCs w:val="21"/>
        </w:rPr>
        <w:t>3.8“网上投标”指通过</w:t>
      </w:r>
      <w:r>
        <w:rPr>
          <w:rFonts w:hint="eastAsia" w:ascii="宋体" w:hAnsi="宋体"/>
          <w:b/>
          <w:bCs/>
          <w:color w:val="FF0000"/>
          <w:szCs w:val="21"/>
        </w:rPr>
        <w:t>深圳市自行采购系统</w:t>
      </w:r>
      <w:r>
        <w:rPr>
          <w:rFonts w:hint="eastAsia" w:ascii="宋体" w:hAnsi="宋体"/>
          <w:szCs w:val="21"/>
        </w:rPr>
        <w:t>网站上传电子投标文件；</w:t>
      </w:r>
    </w:p>
    <w:p>
      <w:pPr>
        <w:ind w:firstLine="420" w:firstLineChars="200"/>
        <w:rPr>
          <w:rFonts w:ascii="宋体" w:hAnsi="宋体"/>
          <w:szCs w:val="21"/>
        </w:rPr>
      </w:pPr>
      <w:r>
        <w:rPr>
          <w:rFonts w:hint="eastAsia" w:ascii="宋体" w:hAnsi="宋体"/>
          <w:szCs w:val="21"/>
        </w:rPr>
        <w:t>3.9招标文件中的标题或题名仅起引导作用，而不应视为对招标文件内容的理解和解释。</w:t>
      </w:r>
    </w:p>
    <w:p>
      <w:pPr>
        <w:ind w:firstLine="420" w:firstLineChars="200"/>
        <w:rPr>
          <w:rFonts w:ascii="黑体" w:hAnsi="宋体" w:eastAsia="黑体"/>
          <w:szCs w:val="21"/>
        </w:rPr>
      </w:pPr>
      <w:r>
        <w:rPr>
          <w:rFonts w:hint="eastAsia" w:ascii="黑体" w:hAnsi="宋体" w:eastAsia="黑体"/>
          <w:szCs w:val="21"/>
        </w:rPr>
        <w:t xml:space="preserve">4. </w:t>
      </w:r>
      <w:bookmarkStart w:id="84" w:name="_Hlk72398643"/>
      <w:r>
        <w:rPr>
          <w:rFonts w:hint="eastAsia" w:ascii="黑体" w:hAnsi="宋体" w:eastAsia="黑体"/>
          <w:szCs w:val="21"/>
        </w:rPr>
        <w:t>自行采购供应商责任</w:t>
      </w:r>
    </w:p>
    <w:p>
      <w:pPr>
        <w:ind w:firstLine="420" w:firstLineChars="200"/>
        <w:rPr>
          <w:rFonts w:ascii="宋体" w:hAnsi="宋体"/>
          <w:szCs w:val="21"/>
        </w:rPr>
      </w:pPr>
      <w:r>
        <w:rPr>
          <w:rFonts w:hint="eastAsia" w:ascii="宋体" w:hAnsi="宋体"/>
          <w:szCs w:val="21"/>
        </w:rPr>
        <w:t>4.1欢迎诚信、有实力和有社会责任心的供应商参与自行采购事业。</w:t>
      </w:r>
    </w:p>
    <w:p>
      <w:pPr>
        <w:ind w:firstLine="420" w:firstLineChars="200"/>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ind w:firstLine="420" w:firstLineChars="200"/>
        <w:rPr>
          <w:rFonts w:ascii="黑体" w:hAnsi="宋体" w:eastAsia="黑体"/>
          <w:szCs w:val="21"/>
        </w:rPr>
      </w:pPr>
      <w:r>
        <w:rPr>
          <w:rFonts w:hint="eastAsia" w:ascii="黑体" w:hAnsi="宋体" w:eastAsia="黑体"/>
          <w:szCs w:val="21"/>
        </w:rPr>
        <w:t>5．投标人参加自行采购的条件</w:t>
      </w:r>
    </w:p>
    <w:p>
      <w:pPr>
        <w:ind w:firstLine="420" w:firstLineChars="200"/>
        <w:jc w:val="left"/>
        <w:rPr>
          <w:rFonts w:ascii="宋体" w:hAnsi="宋体"/>
          <w:szCs w:val="21"/>
        </w:rPr>
      </w:pPr>
      <w:r>
        <w:rPr>
          <w:rFonts w:hint="eastAsia" w:ascii="宋体" w:hAnsi="宋体"/>
          <w:szCs w:val="21"/>
        </w:rPr>
        <w:t>5.1投标人应在投标前到</w:t>
      </w:r>
      <w:r>
        <w:rPr>
          <w:rFonts w:hint="eastAsia" w:ascii="宋体" w:hAnsi="宋体"/>
          <w:b/>
          <w:bCs/>
          <w:szCs w:val="21"/>
        </w:rPr>
        <w:t>深圳市自行采购系统（具体在深圳交易集团有限公司政府采购业务分公司进行办理）</w:t>
      </w:r>
      <w:r>
        <w:rPr>
          <w:rFonts w:hint="eastAsia" w:ascii="宋体" w:hAnsi="宋体"/>
          <w:szCs w:val="21"/>
        </w:rPr>
        <w:t>进行注册并办理电子密钥。《深圳政府采购自行采购系统用户操作指引（供应商）》详见www.szggzy.com网站“交易服务指南-政府采购-资料下载”。</w:t>
      </w:r>
    </w:p>
    <w:p>
      <w:pPr>
        <w:ind w:firstLine="420" w:firstLineChars="200"/>
        <w:rPr>
          <w:rFonts w:ascii="宋体" w:hAnsi="宋体"/>
          <w:szCs w:val="21"/>
        </w:rPr>
      </w:pPr>
      <w:r>
        <w:rPr>
          <w:rFonts w:hint="eastAsia" w:ascii="宋体" w:hAnsi="宋体"/>
          <w:szCs w:val="21"/>
        </w:rPr>
        <w:t>5.2投标人资格要求</w:t>
      </w:r>
    </w:p>
    <w:p>
      <w:pPr>
        <w:ind w:firstLine="420" w:firstLineChars="200"/>
        <w:rPr>
          <w:rFonts w:ascii="宋体" w:hAnsi="宋体"/>
          <w:szCs w:val="21"/>
        </w:rPr>
      </w:pPr>
      <w:r>
        <w:rPr>
          <w:rFonts w:hint="eastAsia" w:ascii="宋体" w:hAnsi="宋体"/>
          <w:szCs w:val="21"/>
        </w:rPr>
        <w:t>参加本项目的投标人应具备的资格条件详见本项目招标公告中 “投标人资格要求”的内容。</w:t>
      </w:r>
    </w:p>
    <w:p>
      <w:pPr>
        <w:ind w:firstLine="420" w:firstLineChars="200"/>
        <w:rPr>
          <w:rFonts w:ascii="宋体" w:hAnsi="宋体"/>
          <w:szCs w:val="21"/>
        </w:rPr>
      </w:pPr>
      <w:r>
        <w:rPr>
          <w:rFonts w:hint="eastAsia" w:ascii="宋体" w:hAnsi="宋体"/>
          <w:szCs w:val="21"/>
        </w:rPr>
        <w:t>5.3联合体投标</w:t>
      </w:r>
    </w:p>
    <w:p>
      <w:pPr>
        <w:ind w:firstLine="420" w:firstLineChars="200"/>
        <w:rPr>
          <w:rFonts w:ascii="宋体" w:hAnsi="宋体"/>
          <w:szCs w:val="21"/>
        </w:rPr>
      </w:pPr>
      <w:r>
        <w:rPr>
          <w:rFonts w:hint="eastAsia" w:ascii="宋体" w:hAnsi="宋体"/>
          <w:szCs w:val="21"/>
        </w:rPr>
        <w:t>5.3.1以下有关联合体投标的条款仅适用于允许投标人组成联合体投标的项目。</w:t>
      </w:r>
    </w:p>
    <w:p>
      <w:pPr>
        <w:ind w:firstLine="420" w:firstLineChars="200"/>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20" w:firstLineChars="200"/>
        <w:rPr>
          <w:rFonts w:ascii="宋体" w:hAnsi="宋体"/>
          <w:szCs w:val="21"/>
        </w:rPr>
      </w:pPr>
      <w:r>
        <w:rPr>
          <w:rFonts w:hint="eastAsia" w:ascii="宋体" w:hAnsi="宋体"/>
          <w:szCs w:val="21"/>
        </w:rPr>
        <w:t xml:space="preserve">（1）投标联合体各方参加采购活动应当具备下列条件： </w:t>
      </w:r>
    </w:p>
    <w:p>
      <w:pPr>
        <w:ind w:firstLine="420" w:firstLineChars="200"/>
        <w:rPr>
          <w:rFonts w:ascii="宋体" w:hAnsi="宋体"/>
          <w:szCs w:val="21"/>
        </w:rPr>
      </w:pPr>
      <w:r>
        <w:rPr>
          <w:rFonts w:hint="eastAsia" w:ascii="宋体" w:hAnsi="宋体"/>
          <w:szCs w:val="21"/>
        </w:rPr>
        <w:t xml:space="preserve">1、具有独立承担民事责任的能力； </w:t>
      </w:r>
    </w:p>
    <w:p>
      <w:pPr>
        <w:ind w:firstLine="420" w:firstLineChars="200"/>
        <w:rPr>
          <w:rFonts w:ascii="宋体" w:hAnsi="宋体"/>
          <w:szCs w:val="21"/>
        </w:rPr>
      </w:pPr>
      <w:r>
        <w:rPr>
          <w:rFonts w:hint="eastAsia" w:ascii="宋体" w:hAnsi="宋体"/>
          <w:szCs w:val="21"/>
        </w:rPr>
        <w:t xml:space="preserve">2、有良好的商业信誉和健全的财务会计制度； </w:t>
      </w:r>
    </w:p>
    <w:p>
      <w:pPr>
        <w:ind w:firstLine="420" w:firstLineChars="200"/>
        <w:rPr>
          <w:rFonts w:ascii="宋体" w:hAnsi="宋体"/>
          <w:szCs w:val="21"/>
        </w:rPr>
      </w:pPr>
      <w:r>
        <w:rPr>
          <w:rFonts w:hint="eastAsia" w:ascii="宋体" w:hAnsi="宋体"/>
          <w:szCs w:val="21"/>
        </w:rPr>
        <w:t xml:space="preserve">3、具有履行合同所必需的设备和专业技术能力； </w:t>
      </w:r>
    </w:p>
    <w:p>
      <w:pPr>
        <w:ind w:firstLine="420" w:firstLineChars="200"/>
        <w:rPr>
          <w:rFonts w:ascii="宋体" w:hAnsi="宋体"/>
          <w:szCs w:val="21"/>
        </w:rPr>
      </w:pPr>
      <w:r>
        <w:rPr>
          <w:rFonts w:hint="eastAsia" w:ascii="宋体" w:hAnsi="宋体"/>
          <w:szCs w:val="21"/>
        </w:rPr>
        <w:t xml:space="preserve">4、有依法缴纳税收和社会保障资金的良好记录； </w:t>
      </w:r>
    </w:p>
    <w:p>
      <w:pPr>
        <w:ind w:firstLine="420" w:firstLineChars="200"/>
        <w:rPr>
          <w:rFonts w:ascii="宋体" w:hAnsi="宋体"/>
          <w:szCs w:val="21"/>
        </w:rPr>
      </w:pPr>
      <w:r>
        <w:rPr>
          <w:rFonts w:hint="eastAsia" w:ascii="宋体" w:hAnsi="宋体"/>
          <w:szCs w:val="21"/>
        </w:rPr>
        <w:t xml:space="preserve">5、参加采购活动前三年内，在经营活动中没有重大违法记录； </w:t>
      </w:r>
    </w:p>
    <w:p>
      <w:pPr>
        <w:ind w:firstLine="420" w:firstLineChars="200"/>
        <w:rPr>
          <w:rFonts w:ascii="宋体" w:hAnsi="宋体"/>
          <w:szCs w:val="21"/>
        </w:rPr>
      </w:pPr>
      <w:r>
        <w:rPr>
          <w:rFonts w:hint="eastAsia" w:ascii="宋体" w:hAnsi="宋体"/>
          <w:szCs w:val="21"/>
        </w:rPr>
        <w:t xml:space="preserve">6、法律、行政法规规定的其他条件。 </w:t>
      </w:r>
    </w:p>
    <w:p>
      <w:pPr>
        <w:ind w:firstLine="420" w:firstLineChars="200"/>
        <w:rPr>
          <w:rFonts w:ascii="宋体" w:hAnsi="宋体"/>
          <w:szCs w:val="21"/>
        </w:rPr>
      </w:pPr>
      <w:r>
        <w:rPr>
          <w:rFonts w:hint="eastAsia" w:ascii="宋体" w:hAnsi="宋体"/>
          <w:szCs w:val="21"/>
        </w:rPr>
        <w:t>（2）在投标截止前，投标联合体各方均应注册成</w:t>
      </w:r>
      <w:r>
        <w:rPr>
          <w:rFonts w:hint="eastAsia" w:ascii="宋体" w:hAnsi="宋体"/>
          <w:b/>
          <w:bCs/>
          <w:color w:val="FF0000"/>
          <w:szCs w:val="21"/>
        </w:rPr>
        <w:t>深圳市自行采购系统</w:t>
      </w:r>
      <w:r>
        <w:rPr>
          <w:rFonts w:hint="eastAsia" w:ascii="宋体" w:hAnsi="宋体"/>
          <w:szCs w:val="21"/>
        </w:rPr>
        <w:t>供应商；</w:t>
      </w:r>
    </w:p>
    <w:p>
      <w:pPr>
        <w:ind w:firstLine="420" w:firstLineChars="200"/>
        <w:rPr>
          <w:rFonts w:ascii="宋体" w:hAnsi="宋体"/>
          <w:szCs w:val="21"/>
        </w:rPr>
      </w:pPr>
      <w:r>
        <w:rPr>
          <w:rFonts w:hint="eastAsia" w:ascii="宋体" w:hAnsi="宋体"/>
          <w:szCs w:val="21"/>
        </w:rPr>
        <w:t>（3）联合体中有同类资质的供应商按照联合体分工承担相同工作的，应当按照资质等级较低的供应商确定资质等级；</w:t>
      </w:r>
    </w:p>
    <w:p>
      <w:pPr>
        <w:ind w:firstLine="420" w:firstLineChars="200"/>
        <w:rPr>
          <w:szCs w:val="21"/>
        </w:rPr>
      </w:pPr>
      <w:r>
        <w:rPr>
          <w:rFonts w:hint="eastAsia"/>
          <w:szCs w:val="21"/>
        </w:rPr>
        <w:t>（</w:t>
      </w:r>
      <w:r>
        <w:rPr>
          <w:szCs w:val="21"/>
        </w:rPr>
        <w:t>4</w:t>
      </w:r>
      <w:r>
        <w:rPr>
          <w:rFonts w:hint="eastAsia"/>
          <w:szCs w:val="21"/>
        </w:rPr>
        <w:t>）是否允许联合体参加投标，应当由采购人和采购代理机构根据项目的实际情况和潜在供应商的数量自主决定，如果决定接受联合体投标则应当在招标公告中明示；</w:t>
      </w:r>
    </w:p>
    <w:p>
      <w:pPr>
        <w:ind w:firstLine="420" w:firstLineChars="200"/>
        <w:rPr>
          <w:rFonts w:ascii="宋体" w:hAnsi="宋体"/>
          <w:szCs w:val="21"/>
        </w:rPr>
      </w:pPr>
      <w:r>
        <w:rPr>
          <w:rFonts w:hint="eastAsia" w:ascii="宋体" w:hAnsi="宋体"/>
          <w:szCs w:val="21"/>
        </w:rPr>
        <w:t>（5）投标人的投标文件及中标后签署的合同协议对联合体各方均具法律约束力；</w:t>
      </w:r>
    </w:p>
    <w:p>
      <w:pPr>
        <w:ind w:firstLine="420" w:firstLineChars="200"/>
        <w:rPr>
          <w:rFonts w:ascii="宋体" w:hAnsi="宋体"/>
          <w:szCs w:val="21"/>
        </w:rPr>
      </w:pPr>
      <w:r>
        <w:rPr>
          <w:rFonts w:hint="eastAsia" w:ascii="宋体" w:hAnsi="宋体"/>
          <w:szCs w:val="21"/>
        </w:rPr>
        <w:t>（6）联合体各方应当签订联合体投标协议，明确约定各方拟承担的工作和责任，并将该协议随投标文件一并递交给</w:t>
      </w:r>
      <w:r>
        <w:rPr>
          <w:rFonts w:hint="eastAsia" w:ascii="宋体" w:hAnsi="宋体"/>
          <w:szCs w:val="21"/>
          <w:highlight w:val="yellow"/>
        </w:rPr>
        <w:t>采购代理机构</w:t>
      </w:r>
      <w:r>
        <w:rPr>
          <w:rFonts w:hint="eastAsia" w:ascii="宋体" w:hAnsi="宋体"/>
          <w:szCs w:val="21"/>
        </w:rPr>
        <w:t>；</w:t>
      </w:r>
    </w:p>
    <w:p>
      <w:pPr>
        <w:ind w:firstLine="420" w:firstLineChars="200"/>
        <w:rPr>
          <w:rFonts w:ascii="宋体" w:hAnsi="宋体"/>
          <w:szCs w:val="21"/>
        </w:rPr>
      </w:pPr>
      <w:r>
        <w:rPr>
          <w:rFonts w:hint="eastAsia" w:ascii="宋体" w:hAnsi="宋体"/>
          <w:szCs w:val="21"/>
        </w:rPr>
        <w:t>（7）联合体中标后，联合体各方应当共同与采购人签订合同，就中标项目向采购人承担连带责任；</w:t>
      </w:r>
    </w:p>
    <w:p>
      <w:pPr>
        <w:ind w:firstLine="420" w:firstLineChars="200"/>
        <w:rPr>
          <w:rFonts w:ascii="宋体" w:hAnsi="宋体"/>
          <w:szCs w:val="21"/>
        </w:rPr>
      </w:pPr>
      <w:r>
        <w:rPr>
          <w:rFonts w:hint="eastAsia" w:ascii="宋体" w:hAnsi="宋体"/>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pPr>
        <w:ind w:firstLine="420" w:firstLineChars="200"/>
        <w:rPr>
          <w:rFonts w:ascii="宋体" w:hAnsi="宋体"/>
          <w:szCs w:val="21"/>
        </w:rPr>
      </w:pPr>
      <w:r>
        <w:rPr>
          <w:rFonts w:hint="eastAsia" w:ascii="宋体" w:hAnsi="宋体"/>
          <w:szCs w:val="21"/>
        </w:rPr>
        <w:t>（9）本通用条款中“投标人”一词亦指联合体各方，专用条款另有规定或说明的除外。</w:t>
      </w:r>
    </w:p>
    <w:p>
      <w:pPr>
        <w:ind w:firstLine="420" w:firstLineChars="200"/>
        <w:rPr>
          <w:rFonts w:ascii="黑体" w:hAnsi="宋体" w:eastAsia="黑体"/>
          <w:szCs w:val="21"/>
        </w:rPr>
      </w:pPr>
      <w:r>
        <w:rPr>
          <w:rFonts w:hint="eastAsia" w:ascii="黑体" w:hAnsi="宋体" w:eastAsia="黑体"/>
          <w:szCs w:val="21"/>
        </w:rPr>
        <w:t>6．政策导向</w:t>
      </w:r>
    </w:p>
    <w:p>
      <w:pPr>
        <w:ind w:firstLine="420" w:firstLineChars="200"/>
        <w:rPr>
          <w:rFonts w:ascii="宋体" w:hAnsi="宋体"/>
          <w:szCs w:val="21"/>
        </w:rPr>
      </w:pPr>
      <w:r>
        <w:rPr>
          <w:rFonts w:hint="eastAsia" w:ascii="宋体" w:hAnsi="宋体"/>
          <w:szCs w:val="21"/>
        </w:rPr>
        <w:t>6.1  采购扶持贫困地区、中小企业、监狱企业和残疾人福利性单位发展，支持节能减排、环境保护。</w:t>
      </w:r>
    </w:p>
    <w:p>
      <w:pPr>
        <w:ind w:firstLine="420" w:firstLineChars="200"/>
        <w:rPr>
          <w:szCs w:val="21"/>
          <w:shd w:val="clear" w:color="auto" w:fill="FFFFFF"/>
        </w:rPr>
      </w:pPr>
      <w:r>
        <w:rPr>
          <w:rFonts w:hint="eastAsia" w:ascii="宋体" w:hAnsi="宋体"/>
          <w:szCs w:val="21"/>
        </w:rPr>
        <w:t>6.2  本项目落实深圳市政府采购供应商诚信管理政策要求。</w:t>
      </w:r>
    </w:p>
    <w:p>
      <w:pPr>
        <w:ind w:firstLine="420" w:firstLineChars="200"/>
        <w:rPr>
          <w:rFonts w:ascii="黑体" w:hAnsi="宋体" w:eastAsia="黑体"/>
          <w:szCs w:val="21"/>
        </w:rPr>
      </w:pPr>
      <w:r>
        <w:rPr>
          <w:rFonts w:hint="eastAsia" w:ascii="黑体" w:hAnsi="宋体" w:eastAsia="黑体"/>
          <w:szCs w:val="21"/>
        </w:rPr>
        <w:t>7. 本项目若涉及采购货物，则合格的货物及相应服务应满足以下要求：</w:t>
      </w:r>
    </w:p>
    <w:p>
      <w:pPr>
        <w:ind w:firstLine="420" w:firstLineChars="200"/>
        <w:rPr>
          <w:rFonts w:ascii="宋体" w:hAnsi="宋体"/>
          <w:szCs w:val="21"/>
        </w:rPr>
      </w:pPr>
      <w:r>
        <w:rPr>
          <w:rFonts w:hint="eastAsia" w:ascii="宋体" w:hAnsi="宋体"/>
          <w:szCs w:val="21"/>
        </w:rPr>
        <w:t>7.1  必须是全新、未使用过的原装合格正品（包括零部件），如安装或配置了软件的，须为正版软件。</w:t>
      </w:r>
    </w:p>
    <w:p>
      <w:pPr>
        <w:ind w:firstLine="420" w:firstLineChars="200"/>
        <w:rPr>
          <w:rFonts w:ascii="宋体" w:hAnsi="宋体"/>
          <w:szCs w:val="21"/>
        </w:rPr>
      </w:pPr>
      <w:r>
        <w:rPr>
          <w:rFonts w:hint="eastAsia" w:ascii="宋体" w:hAnsi="宋体"/>
          <w:szCs w:val="21"/>
        </w:rPr>
        <w:t>7.2  国产的货物及其有关服务必须符合中华人民共和国的设计、制造生产标准及行业标准。招标公告有其他要求的，亦应符合其要求。</w:t>
      </w:r>
    </w:p>
    <w:p>
      <w:pPr>
        <w:ind w:firstLine="420" w:firstLineChars="200"/>
        <w:rPr>
          <w:rFonts w:ascii="宋体" w:hAnsi="宋体"/>
          <w:szCs w:val="21"/>
        </w:rPr>
      </w:pPr>
      <w:r>
        <w:rPr>
          <w:rFonts w:hint="eastAsia" w:ascii="宋体" w:hAnsi="宋体"/>
          <w:szCs w:val="21"/>
        </w:rPr>
        <w:t>7.3  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20" w:firstLineChars="200"/>
        <w:rPr>
          <w:rFonts w:ascii="宋体" w:hAnsi="宋体"/>
          <w:szCs w:val="21"/>
        </w:rPr>
      </w:pPr>
      <w:r>
        <w:rPr>
          <w:rFonts w:hint="eastAsia" w:ascii="宋体" w:hAnsi="宋体"/>
          <w:szCs w:val="21"/>
        </w:rPr>
        <w:t>7.4  投标人</w:t>
      </w:r>
      <w:bookmarkStart w:id="85" w:name="_Hlk72152753"/>
      <w:r>
        <w:rPr>
          <w:rFonts w:hint="eastAsia" w:ascii="宋体" w:hAnsi="宋体"/>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85"/>
    </w:p>
    <w:p>
      <w:pPr>
        <w:ind w:firstLine="420" w:firstLineChars="200"/>
        <w:rPr>
          <w:rFonts w:ascii="宋体" w:hAnsi="宋体"/>
          <w:szCs w:val="21"/>
        </w:rPr>
      </w:pPr>
      <w:r>
        <w:rPr>
          <w:rFonts w:hint="eastAsia" w:ascii="宋体" w:hAnsi="宋体"/>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20" w:firstLineChars="200"/>
        <w:rPr>
          <w:rFonts w:ascii="宋体" w:hAnsi="宋体"/>
          <w:szCs w:val="21"/>
        </w:rPr>
      </w:pPr>
      <w:r>
        <w:rPr>
          <w:rFonts w:hint="eastAsia" w:ascii="宋体" w:hAnsi="宋体"/>
          <w:szCs w:val="21"/>
        </w:rPr>
        <w:t>7.6  工期要求：投标人在投标时对其所投项目应提交交货进度、交货计划等，在合同规定的时间内完成项目实施工作。</w:t>
      </w:r>
    </w:p>
    <w:p>
      <w:pPr>
        <w:ind w:firstLine="420" w:firstLineChars="200"/>
        <w:rPr>
          <w:rFonts w:ascii="宋体" w:hAnsi="宋体"/>
          <w:szCs w:val="21"/>
        </w:rPr>
      </w:pPr>
      <w:r>
        <w:rPr>
          <w:rFonts w:hint="eastAsia" w:ascii="宋体" w:hAnsi="宋体"/>
          <w:szCs w:val="21"/>
        </w:rPr>
        <w:t>7.7  投标人必须承担的设备运输、安装调试、验收检测和提供设备操作说明书、图纸等其他相关及类似的义务。</w:t>
      </w:r>
    </w:p>
    <w:p>
      <w:pPr>
        <w:ind w:firstLine="420" w:firstLineChars="200"/>
        <w:rPr>
          <w:rFonts w:ascii="黑体" w:hAnsi="宋体" w:eastAsia="黑体"/>
          <w:szCs w:val="21"/>
        </w:rPr>
      </w:pPr>
      <w:r>
        <w:rPr>
          <w:rFonts w:hint="eastAsia" w:ascii="黑体" w:hAnsi="宋体" w:eastAsia="黑体"/>
          <w:szCs w:val="21"/>
        </w:rPr>
        <w:t>8．投标费用</w:t>
      </w:r>
    </w:p>
    <w:p>
      <w:pPr>
        <w:ind w:firstLine="420" w:firstLineChars="200"/>
        <w:rPr>
          <w:rFonts w:ascii="宋体" w:hAnsi="宋体"/>
          <w:szCs w:val="21"/>
        </w:rPr>
      </w:pPr>
      <w:r>
        <w:rPr>
          <w:rFonts w:hint="eastAsia" w:ascii="宋体" w:hAnsi="宋体"/>
          <w:szCs w:val="21"/>
        </w:rPr>
        <w:t>不论投标结果如何，投标人应承担其编制投标文件与递交投标文件所涉及的一切费用。</w:t>
      </w:r>
    </w:p>
    <w:p>
      <w:pPr>
        <w:ind w:firstLine="420" w:firstLineChars="200"/>
        <w:rPr>
          <w:rFonts w:ascii="黑体" w:hAnsi="宋体" w:eastAsia="黑体"/>
          <w:szCs w:val="21"/>
        </w:rPr>
      </w:pPr>
      <w:r>
        <w:rPr>
          <w:rFonts w:hint="eastAsia" w:ascii="黑体" w:hAnsi="宋体" w:eastAsia="黑体"/>
          <w:szCs w:val="21"/>
        </w:rPr>
        <w:t>9．踏勘现场</w:t>
      </w:r>
    </w:p>
    <w:p>
      <w:pPr>
        <w:ind w:firstLine="420" w:firstLineChars="200"/>
        <w:rPr>
          <w:rFonts w:ascii="宋体" w:hAnsi="宋体"/>
          <w:szCs w:val="21"/>
        </w:rPr>
      </w:pPr>
      <w:r>
        <w:rPr>
          <w:rFonts w:hint="eastAsia" w:ascii="宋体" w:hAnsi="宋体"/>
          <w:szCs w:val="21"/>
        </w:rPr>
        <w:t>9.1如有需要（详见专用条款），采购人或</w:t>
      </w:r>
      <w:r>
        <w:rPr>
          <w:rFonts w:hint="eastAsia" w:ascii="宋体" w:hAnsi="宋体"/>
          <w:szCs w:val="21"/>
          <w:highlight w:val="yellow"/>
        </w:rPr>
        <w:t>采购代理机构</w:t>
      </w:r>
      <w:r>
        <w:rPr>
          <w:rFonts w:hint="eastAsia" w:ascii="宋体" w:hAnsi="宋体"/>
          <w:szCs w:val="21"/>
        </w:rPr>
        <w:t>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20" w:firstLineChars="200"/>
        <w:rPr>
          <w:rFonts w:ascii="宋体" w:hAnsi="宋体"/>
          <w:szCs w:val="21"/>
        </w:rPr>
      </w:pPr>
      <w:r>
        <w:rPr>
          <w:rFonts w:hint="eastAsia" w:ascii="宋体" w:hAnsi="宋体"/>
          <w:szCs w:val="21"/>
        </w:rPr>
        <w:t>9.2投标人及其人员经过采购人的允许，可以进入采购人的项目现场踏勘。若招标文件要求投标人于统一时间地点踏勘现场的，投标人应当按时前往。</w:t>
      </w:r>
    </w:p>
    <w:p>
      <w:pPr>
        <w:ind w:firstLine="420" w:firstLineChars="200"/>
        <w:rPr>
          <w:rFonts w:ascii="宋体" w:hAnsi="宋体"/>
          <w:szCs w:val="21"/>
        </w:rPr>
      </w:pPr>
      <w:r>
        <w:rPr>
          <w:rFonts w:hint="eastAsia" w:ascii="宋体" w:hAnsi="宋体"/>
          <w:szCs w:val="21"/>
        </w:rPr>
        <w:t>9.3采购人应当通过</w:t>
      </w:r>
      <w:r>
        <w:rPr>
          <w:rFonts w:hint="eastAsia" w:ascii="宋体" w:hAnsi="宋体"/>
          <w:szCs w:val="21"/>
          <w:highlight w:val="yellow"/>
        </w:rPr>
        <w:t>采购代理机构</w:t>
      </w:r>
      <w:r>
        <w:rPr>
          <w:rFonts w:hint="eastAsia" w:ascii="宋体" w:hAnsi="宋体"/>
          <w:szCs w:val="21"/>
        </w:rPr>
        <w:t>向投标人提供有关现场的书面资料和数据。</w:t>
      </w:r>
    </w:p>
    <w:p>
      <w:pPr>
        <w:ind w:firstLine="420" w:firstLineChars="200"/>
        <w:rPr>
          <w:rFonts w:ascii="宋体" w:hAnsi="宋体"/>
          <w:szCs w:val="21"/>
        </w:rPr>
      </w:pPr>
      <w:r>
        <w:rPr>
          <w:rFonts w:hint="eastAsia" w:ascii="宋体" w:hAnsi="宋体"/>
          <w:szCs w:val="21"/>
        </w:rPr>
        <w:t>9.4任何人或任何组织在踏勘现场时向投标人提供的任何书面资料或口头承诺，未经</w:t>
      </w:r>
      <w:r>
        <w:rPr>
          <w:rFonts w:hint="eastAsia" w:ascii="宋体" w:hAnsi="宋体"/>
          <w:szCs w:val="21"/>
          <w:highlight w:val="yellow"/>
        </w:rPr>
        <w:t>采购代理机构</w:t>
      </w:r>
      <w:r>
        <w:rPr>
          <w:rFonts w:hint="eastAsia" w:ascii="宋体" w:hAnsi="宋体"/>
          <w:szCs w:val="21"/>
        </w:rPr>
        <w:t>在网上发布或书面通知，均作无效处理。</w:t>
      </w:r>
    </w:p>
    <w:p>
      <w:pPr>
        <w:ind w:firstLine="420" w:firstLineChars="200"/>
        <w:rPr>
          <w:rFonts w:ascii="宋体" w:hAnsi="宋体"/>
          <w:szCs w:val="21"/>
        </w:rPr>
      </w:pPr>
      <w:r>
        <w:rPr>
          <w:rFonts w:hint="eastAsia" w:ascii="宋体" w:hAnsi="宋体"/>
          <w:szCs w:val="21"/>
        </w:rPr>
        <w:t>9.5未参与踏勘现场不作为否定投标人资格的理由。</w:t>
      </w:r>
    </w:p>
    <w:p>
      <w:pPr>
        <w:ind w:firstLine="420" w:firstLineChars="200"/>
        <w:rPr>
          <w:rFonts w:ascii="宋体" w:hAnsi="宋体"/>
          <w:szCs w:val="21"/>
        </w:rPr>
      </w:pPr>
      <w:r>
        <w:rPr>
          <w:rFonts w:hint="eastAsia" w:ascii="黑体" w:hAnsi="宋体" w:eastAsia="黑体"/>
          <w:szCs w:val="21"/>
        </w:rPr>
        <w:t>10．标前会议</w:t>
      </w:r>
    </w:p>
    <w:p>
      <w:pPr>
        <w:ind w:firstLine="420" w:firstLineChars="200"/>
        <w:rPr>
          <w:rFonts w:ascii="宋体" w:hAnsi="宋体"/>
          <w:szCs w:val="21"/>
        </w:rPr>
      </w:pPr>
      <w:r>
        <w:rPr>
          <w:rFonts w:hint="eastAsia" w:ascii="宋体" w:hAnsi="宋体"/>
          <w:szCs w:val="21"/>
        </w:rPr>
        <w:t>10.1如采购人或</w:t>
      </w:r>
      <w:r>
        <w:rPr>
          <w:rFonts w:hint="eastAsia" w:ascii="宋体" w:hAnsi="宋体"/>
          <w:szCs w:val="21"/>
          <w:highlight w:val="yellow"/>
        </w:rPr>
        <w:t>采购代理机构</w:t>
      </w:r>
      <w:r>
        <w:rPr>
          <w:rFonts w:hint="eastAsia" w:ascii="宋体" w:hAnsi="宋体"/>
          <w:szCs w:val="21"/>
        </w:rPr>
        <w:t>认为有必要组织标前会议，投标人应按照招标文件规定的时间或</w:t>
      </w:r>
      <w:r>
        <w:rPr>
          <w:rFonts w:hint="eastAsia" w:ascii="宋体" w:hAnsi="宋体"/>
          <w:szCs w:val="21"/>
          <w:highlight w:val="yellow"/>
        </w:rPr>
        <w:t>采购代理机构</w:t>
      </w:r>
      <w:r>
        <w:rPr>
          <w:rFonts w:hint="eastAsia" w:ascii="宋体" w:hAnsi="宋体"/>
          <w:szCs w:val="21"/>
        </w:rPr>
        <w:t>另行书面通知（包括</w:t>
      </w:r>
      <w:r>
        <w:rPr>
          <w:rFonts w:hint="eastAsia" w:ascii="宋体" w:hAnsi="宋体"/>
          <w:szCs w:val="21"/>
          <w:highlight w:val="yellow"/>
        </w:rPr>
        <w:t>采购代理机构</w:t>
      </w:r>
      <w:r>
        <w:rPr>
          <w:rFonts w:hint="eastAsia" w:ascii="宋体" w:hAnsi="宋体"/>
          <w:szCs w:val="21"/>
        </w:rPr>
        <w:t>网站发布方式，如更正公告等）的时间和地点，参与标前会议。</w:t>
      </w:r>
    </w:p>
    <w:p>
      <w:pPr>
        <w:ind w:firstLine="420" w:firstLineChars="200"/>
        <w:rPr>
          <w:rFonts w:ascii="宋体" w:hAnsi="宋体"/>
          <w:szCs w:val="21"/>
        </w:rPr>
      </w:pPr>
      <w:r>
        <w:rPr>
          <w:rFonts w:hint="eastAsia" w:ascii="宋体" w:hAnsi="宋体"/>
          <w:szCs w:val="21"/>
        </w:rPr>
        <w:t>10.2任何人或任何组织在标前会议时向投标人提供的任何书面资料或口头承诺，未经</w:t>
      </w:r>
      <w:r>
        <w:rPr>
          <w:rFonts w:hint="eastAsia" w:ascii="宋体" w:hAnsi="宋体"/>
          <w:szCs w:val="21"/>
          <w:highlight w:val="yellow"/>
        </w:rPr>
        <w:t>采购代理机构</w:t>
      </w:r>
      <w:r>
        <w:rPr>
          <w:rFonts w:hint="eastAsia" w:ascii="宋体" w:hAnsi="宋体"/>
          <w:szCs w:val="21"/>
        </w:rPr>
        <w:t>在网上发布或书面通知，均作无效处理。</w:t>
      </w:r>
    </w:p>
    <w:p>
      <w:pPr>
        <w:ind w:firstLine="420" w:firstLineChars="200"/>
        <w:rPr>
          <w:rFonts w:ascii="宋体" w:hAnsi="宋体"/>
          <w:szCs w:val="21"/>
        </w:rPr>
      </w:pPr>
      <w:r>
        <w:rPr>
          <w:rFonts w:hint="eastAsia" w:ascii="宋体" w:hAnsi="宋体"/>
          <w:szCs w:val="21"/>
        </w:rPr>
        <w:t>10.3未参与标前会议不作为否定投标人资格的理由。</w:t>
      </w:r>
    </w:p>
    <w:bookmarkEnd w:id="84"/>
    <w:p>
      <w:pPr>
        <w:ind w:firstLine="411" w:firstLineChars="196"/>
        <w:rPr>
          <w:rFonts w:ascii="宋体" w:hAnsi="宋体"/>
        </w:rPr>
      </w:pPr>
    </w:p>
    <w:p>
      <w:pPr>
        <w:pStyle w:val="74"/>
        <w:keepNext/>
        <w:keepLines/>
        <w:numPr>
          <w:ilvl w:val="0"/>
          <w:numId w:val="19"/>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招标文件</w:t>
      </w:r>
    </w:p>
    <w:p>
      <w:pPr>
        <w:ind w:firstLine="420" w:firstLineChars="200"/>
        <w:rPr>
          <w:rFonts w:ascii="黑体" w:hAnsi="宋体" w:eastAsia="黑体"/>
          <w:szCs w:val="21"/>
        </w:rPr>
      </w:pPr>
      <w:r>
        <w:rPr>
          <w:rFonts w:hint="eastAsia" w:ascii="黑体" w:hAnsi="宋体" w:eastAsia="黑体"/>
          <w:szCs w:val="21"/>
        </w:rPr>
        <w:t>11．</w:t>
      </w:r>
      <w:bookmarkStart w:id="86" w:name="_Hlk72399819"/>
      <w:r>
        <w:rPr>
          <w:rFonts w:hint="eastAsia" w:ascii="黑体" w:hAnsi="宋体" w:eastAsia="黑体"/>
          <w:szCs w:val="21"/>
        </w:rPr>
        <w:t>招标文件的编制与组成</w:t>
      </w:r>
    </w:p>
    <w:p>
      <w:pPr>
        <w:snapToGrid w:val="0"/>
        <w:ind w:firstLine="420" w:firstLineChars="200"/>
        <w:rPr>
          <w:rFonts w:ascii="宋体" w:hAnsi="宋体"/>
          <w:szCs w:val="21"/>
        </w:rPr>
      </w:pPr>
      <w:r>
        <w:rPr>
          <w:rFonts w:hint="eastAsia" w:ascii="宋体" w:hAnsi="宋体"/>
          <w:szCs w:val="21"/>
        </w:rPr>
        <w:t>11.1招标文件除以下内容外，</w:t>
      </w:r>
      <w:r>
        <w:rPr>
          <w:rFonts w:hint="eastAsia" w:ascii="宋体" w:hAnsi="宋体"/>
          <w:szCs w:val="21"/>
          <w:highlight w:val="yellow"/>
        </w:rPr>
        <w:t>采购代理机构</w:t>
      </w:r>
      <w:r>
        <w:rPr>
          <w:rFonts w:hint="eastAsia" w:ascii="宋体" w:hAnsi="宋体"/>
          <w:szCs w:val="21"/>
        </w:rPr>
        <w:t>在招标期间发出的澄清或修改等相关公告或通知内容，均是招标文件的组成部分，对投标人起约束作用；</w:t>
      </w:r>
    </w:p>
    <w:p>
      <w:pPr>
        <w:ind w:firstLine="420" w:firstLineChars="200"/>
        <w:rPr>
          <w:rFonts w:ascii="宋体" w:hAnsi="宋体"/>
          <w:szCs w:val="21"/>
        </w:rPr>
      </w:pPr>
      <w:r>
        <w:rPr>
          <w:rFonts w:hint="eastAsia" w:ascii="宋体" w:hAnsi="宋体"/>
          <w:szCs w:val="21"/>
        </w:rPr>
        <w:t>招标文件包括下列内容：</w:t>
      </w:r>
    </w:p>
    <w:p>
      <w:pPr>
        <w:ind w:firstLine="422" w:firstLineChars="200"/>
        <w:rPr>
          <w:rFonts w:ascii="宋体" w:hAnsi="宋体"/>
          <w:b/>
          <w:szCs w:val="21"/>
        </w:rPr>
      </w:pPr>
      <w:r>
        <w:rPr>
          <w:rFonts w:hint="eastAsia" w:ascii="宋体" w:hAnsi="宋体"/>
          <w:b/>
          <w:szCs w:val="21"/>
        </w:rPr>
        <w:t>第一册  专用条款</w:t>
      </w:r>
    </w:p>
    <w:p>
      <w:pPr>
        <w:ind w:firstLine="422" w:firstLineChars="200"/>
        <w:rPr>
          <w:rFonts w:ascii="宋体" w:hAnsi="宋体"/>
          <w:b/>
          <w:szCs w:val="21"/>
        </w:rPr>
      </w:pPr>
      <w:r>
        <w:rPr>
          <w:rFonts w:hint="eastAsia" w:ascii="宋体" w:hAnsi="宋体"/>
          <w:b/>
          <w:szCs w:val="21"/>
        </w:rPr>
        <w:t>关键信息</w:t>
      </w:r>
    </w:p>
    <w:p>
      <w:pPr>
        <w:ind w:firstLine="420" w:firstLineChars="200"/>
        <w:rPr>
          <w:rFonts w:ascii="宋体" w:hAnsi="宋体"/>
          <w:szCs w:val="21"/>
        </w:rPr>
      </w:pPr>
      <w:r>
        <w:rPr>
          <w:rFonts w:hint="eastAsia" w:ascii="宋体" w:hAnsi="宋体"/>
          <w:szCs w:val="21"/>
        </w:rPr>
        <w:t>第一章  招标公告</w:t>
      </w:r>
    </w:p>
    <w:p>
      <w:pPr>
        <w:ind w:firstLine="420" w:firstLineChars="200"/>
        <w:rPr>
          <w:rFonts w:ascii="宋体" w:hAnsi="宋体"/>
          <w:szCs w:val="21"/>
        </w:rPr>
      </w:pPr>
      <w:r>
        <w:rPr>
          <w:rFonts w:hint="eastAsia" w:ascii="宋体" w:hAnsi="宋体"/>
          <w:szCs w:val="21"/>
        </w:rPr>
        <w:t>第二章  对通用条款的补充内容及其他关键信息</w:t>
      </w:r>
    </w:p>
    <w:p>
      <w:pPr>
        <w:ind w:firstLine="420" w:firstLineChars="200"/>
        <w:rPr>
          <w:rFonts w:ascii="宋体" w:hAnsi="宋体"/>
          <w:szCs w:val="21"/>
        </w:rPr>
      </w:pPr>
      <w:r>
        <w:rPr>
          <w:rFonts w:hint="eastAsia" w:ascii="宋体" w:hAnsi="宋体"/>
          <w:szCs w:val="21"/>
        </w:rPr>
        <w:t>第三章  用户需求书</w:t>
      </w:r>
    </w:p>
    <w:p>
      <w:pPr>
        <w:ind w:firstLine="420" w:firstLineChars="200"/>
        <w:rPr>
          <w:rFonts w:ascii="宋体" w:hAnsi="宋体"/>
          <w:szCs w:val="21"/>
        </w:rPr>
      </w:pPr>
      <w:r>
        <w:rPr>
          <w:rFonts w:hint="eastAsia"/>
          <w:szCs w:val="21"/>
        </w:rPr>
        <w:t>第四章</w:t>
      </w:r>
      <w:r>
        <w:rPr>
          <w:szCs w:val="21"/>
        </w:rPr>
        <w:t xml:space="preserve">  </w:t>
      </w:r>
      <w:r>
        <w:rPr>
          <w:rFonts w:hint="eastAsia"/>
          <w:szCs w:val="21"/>
        </w:rPr>
        <w:t>投标文件格式及附件</w:t>
      </w:r>
    </w:p>
    <w:p>
      <w:pPr>
        <w:ind w:firstLine="420" w:firstLineChars="200"/>
        <w:rPr>
          <w:rFonts w:ascii="宋体" w:hAnsi="宋体"/>
          <w:szCs w:val="21"/>
        </w:rPr>
      </w:pPr>
      <w:r>
        <w:rPr>
          <w:rFonts w:hint="eastAsia" w:ascii="宋体" w:hAnsi="宋体"/>
          <w:szCs w:val="21"/>
        </w:rPr>
        <w:t>第五章  合同条款及格式</w:t>
      </w:r>
    </w:p>
    <w:p>
      <w:pPr>
        <w:ind w:firstLine="422" w:firstLineChars="200"/>
        <w:rPr>
          <w:rFonts w:ascii="宋体" w:hAnsi="宋体"/>
          <w:b/>
          <w:szCs w:val="21"/>
        </w:rPr>
      </w:pPr>
      <w:r>
        <w:rPr>
          <w:rFonts w:hint="eastAsia" w:ascii="宋体" w:hAnsi="宋体"/>
          <w:b/>
          <w:szCs w:val="21"/>
        </w:rPr>
        <w:t>第二册  通用条款</w:t>
      </w:r>
    </w:p>
    <w:p>
      <w:pPr>
        <w:ind w:firstLine="420" w:firstLineChars="200"/>
        <w:rPr>
          <w:rFonts w:ascii="宋体" w:hAnsi="宋体"/>
          <w:szCs w:val="21"/>
        </w:rPr>
      </w:pPr>
      <w:r>
        <w:rPr>
          <w:rFonts w:hint="eastAsia" w:ascii="宋体" w:hAnsi="宋体"/>
          <w:szCs w:val="21"/>
        </w:rPr>
        <w:t>第一章  总则</w:t>
      </w:r>
    </w:p>
    <w:p>
      <w:pPr>
        <w:ind w:firstLine="420" w:firstLineChars="200"/>
        <w:rPr>
          <w:rFonts w:ascii="宋体" w:hAnsi="宋体"/>
          <w:szCs w:val="21"/>
        </w:rPr>
      </w:pPr>
      <w:r>
        <w:rPr>
          <w:rFonts w:hint="eastAsia" w:ascii="宋体" w:hAnsi="宋体"/>
          <w:szCs w:val="21"/>
        </w:rPr>
        <w:t>第二章  招标文件</w:t>
      </w:r>
    </w:p>
    <w:p>
      <w:pPr>
        <w:ind w:firstLine="420" w:firstLineChars="200"/>
        <w:rPr>
          <w:rFonts w:ascii="宋体" w:hAnsi="宋体"/>
          <w:szCs w:val="21"/>
        </w:rPr>
      </w:pPr>
      <w:r>
        <w:rPr>
          <w:rFonts w:hint="eastAsia" w:ascii="宋体" w:hAnsi="宋体"/>
          <w:szCs w:val="21"/>
        </w:rPr>
        <w:t>第三章  投标文件的编制</w:t>
      </w:r>
    </w:p>
    <w:p>
      <w:pPr>
        <w:ind w:firstLine="420" w:firstLineChars="200"/>
        <w:rPr>
          <w:rFonts w:ascii="宋体" w:hAnsi="宋体"/>
          <w:szCs w:val="21"/>
        </w:rPr>
      </w:pPr>
      <w:r>
        <w:rPr>
          <w:rFonts w:hint="eastAsia" w:ascii="宋体" w:hAnsi="宋体"/>
          <w:szCs w:val="21"/>
        </w:rPr>
        <w:t>第四章  投标文件的递交</w:t>
      </w:r>
    </w:p>
    <w:p>
      <w:pPr>
        <w:ind w:firstLine="420" w:firstLineChars="200"/>
        <w:rPr>
          <w:rFonts w:ascii="宋体" w:hAnsi="宋体"/>
          <w:szCs w:val="21"/>
        </w:rPr>
      </w:pPr>
      <w:r>
        <w:rPr>
          <w:rFonts w:hint="eastAsia" w:ascii="宋体" w:hAnsi="宋体"/>
          <w:szCs w:val="21"/>
        </w:rPr>
        <w:t>第五章  开标</w:t>
      </w:r>
    </w:p>
    <w:p>
      <w:pPr>
        <w:ind w:firstLine="420" w:firstLineChars="200"/>
        <w:rPr>
          <w:rFonts w:ascii="宋体" w:hAnsi="宋体"/>
          <w:szCs w:val="21"/>
        </w:rPr>
      </w:pPr>
      <w:r>
        <w:rPr>
          <w:rFonts w:hint="eastAsia" w:ascii="宋体" w:hAnsi="宋体"/>
          <w:szCs w:val="21"/>
        </w:rPr>
        <w:t>第六章  评审要求</w:t>
      </w:r>
    </w:p>
    <w:p>
      <w:pPr>
        <w:ind w:firstLine="420" w:firstLineChars="200"/>
        <w:rPr>
          <w:rFonts w:ascii="宋体" w:hAnsi="宋体"/>
          <w:szCs w:val="21"/>
        </w:rPr>
      </w:pPr>
      <w:r>
        <w:rPr>
          <w:rFonts w:hint="eastAsia" w:ascii="宋体" w:hAnsi="宋体"/>
          <w:szCs w:val="21"/>
        </w:rPr>
        <w:t>第七章  评审程序及评审方法</w:t>
      </w:r>
    </w:p>
    <w:p>
      <w:pPr>
        <w:ind w:firstLine="420" w:firstLineChars="200"/>
        <w:rPr>
          <w:rFonts w:ascii="宋体" w:hAnsi="宋体"/>
          <w:szCs w:val="21"/>
        </w:rPr>
      </w:pPr>
      <w:r>
        <w:rPr>
          <w:rFonts w:hint="eastAsia" w:ascii="宋体" w:hAnsi="宋体"/>
          <w:szCs w:val="21"/>
        </w:rPr>
        <w:t>第八章  定标及公示</w:t>
      </w:r>
    </w:p>
    <w:p>
      <w:pPr>
        <w:ind w:firstLine="420" w:firstLineChars="200"/>
        <w:rPr>
          <w:rFonts w:ascii="宋体" w:hAnsi="宋体"/>
          <w:szCs w:val="21"/>
        </w:rPr>
      </w:pPr>
      <w:r>
        <w:rPr>
          <w:rFonts w:hint="eastAsia" w:ascii="宋体" w:hAnsi="宋体"/>
          <w:szCs w:val="21"/>
        </w:rPr>
        <w:t>第九章  公开招标失败的后续处理</w:t>
      </w:r>
    </w:p>
    <w:p>
      <w:pPr>
        <w:ind w:firstLine="420" w:firstLineChars="200"/>
        <w:rPr>
          <w:rFonts w:ascii="宋体" w:hAnsi="宋体"/>
          <w:szCs w:val="21"/>
        </w:rPr>
      </w:pPr>
      <w:r>
        <w:rPr>
          <w:rFonts w:hint="eastAsia" w:ascii="宋体" w:hAnsi="宋体"/>
          <w:szCs w:val="21"/>
        </w:rPr>
        <w:t>第十章  合同的授予与备案</w:t>
      </w:r>
    </w:p>
    <w:p>
      <w:pPr>
        <w:ind w:firstLine="420" w:firstLineChars="200"/>
        <w:rPr>
          <w:rFonts w:ascii="宋体" w:hAnsi="宋体"/>
          <w:szCs w:val="21"/>
        </w:rPr>
      </w:pPr>
      <w:r>
        <w:rPr>
          <w:rFonts w:hint="eastAsia" w:ascii="宋体" w:hAnsi="宋体"/>
          <w:szCs w:val="21"/>
        </w:rPr>
        <w:t>第十一章  质疑处理</w:t>
      </w:r>
    </w:p>
    <w:p>
      <w:pPr>
        <w:ind w:firstLine="420" w:firstLineChars="200"/>
        <w:rPr>
          <w:rFonts w:ascii="宋体" w:hAnsi="宋体"/>
          <w:szCs w:val="21"/>
        </w:rPr>
      </w:pPr>
      <w:r>
        <w:rPr>
          <w:rFonts w:hint="eastAsia" w:ascii="宋体" w:hAnsi="宋体"/>
          <w:szCs w:val="21"/>
        </w:rPr>
        <w:t>11.2 投标人下载招标文件后，应仔细检查招标文件的所有内容，如有疑问应在答疑截止时间之前向</w:t>
      </w:r>
      <w:r>
        <w:rPr>
          <w:rFonts w:hint="eastAsia" w:ascii="宋体" w:hAnsi="宋体"/>
          <w:szCs w:val="21"/>
          <w:highlight w:val="yellow"/>
        </w:rPr>
        <w:t>采购代理机构</w:t>
      </w:r>
      <w:r>
        <w:rPr>
          <w:rFonts w:hint="eastAsia" w:ascii="宋体" w:hAnsi="宋体"/>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20" w:firstLineChars="200"/>
        <w:rPr>
          <w:rFonts w:ascii="宋体" w:hAnsi="宋体"/>
          <w:szCs w:val="21"/>
        </w:rPr>
      </w:pPr>
      <w:r>
        <w:rPr>
          <w:rFonts w:hint="eastAsia" w:ascii="宋体" w:hAnsi="宋体"/>
          <w:szCs w:val="21"/>
        </w:rPr>
        <w:t>11.3任何人或任何组织向投标人提交的任何书面或口头资料，未经</w:t>
      </w:r>
      <w:r>
        <w:rPr>
          <w:rFonts w:hint="eastAsia" w:ascii="宋体" w:hAnsi="宋体"/>
          <w:szCs w:val="21"/>
          <w:highlight w:val="yellow"/>
        </w:rPr>
        <w:t>采购代理机构</w:t>
      </w:r>
      <w:r>
        <w:rPr>
          <w:rFonts w:hint="eastAsia" w:ascii="宋体" w:hAnsi="宋体"/>
          <w:szCs w:val="21"/>
        </w:rPr>
        <w:t>在网上发布或书面通知，均作无效处理，不得作为招标文件的组成部分。</w:t>
      </w:r>
      <w:r>
        <w:rPr>
          <w:rFonts w:hint="eastAsia" w:ascii="宋体" w:hAnsi="宋体"/>
          <w:szCs w:val="21"/>
          <w:highlight w:val="yellow"/>
        </w:rPr>
        <w:t>采购代理机构</w:t>
      </w:r>
      <w:r>
        <w:rPr>
          <w:rFonts w:hint="eastAsia" w:ascii="宋体" w:hAnsi="宋体"/>
          <w:szCs w:val="21"/>
        </w:rPr>
        <w:t>对投标人由此而做出的推论、理解和结论概不负责。</w:t>
      </w:r>
    </w:p>
    <w:p>
      <w:pPr>
        <w:ind w:firstLine="420" w:firstLineChars="200"/>
        <w:rPr>
          <w:rFonts w:ascii="黑体" w:hAnsi="宋体" w:eastAsia="黑体"/>
          <w:szCs w:val="21"/>
        </w:rPr>
      </w:pPr>
      <w:r>
        <w:rPr>
          <w:rFonts w:hint="eastAsia" w:ascii="黑体" w:hAnsi="宋体" w:eastAsia="黑体"/>
          <w:szCs w:val="21"/>
        </w:rPr>
        <w:t>12．招标文件的澄清</w:t>
      </w:r>
    </w:p>
    <w:p>
      <w:pPr>
        <w:ind w:firstLine="420" w:firstLineChars="200"/>
        <w:rPr>
          <w:rFonts w:ascii="宋体" w:hAnsi="宋体"/>
          <w:szCs w:val="21"/>
        </w:rPr>
      </w:pPr>
      <w:r>
        <w:rPr>
          <w:rFonts w:hint="eastAsia" w:ascii="宋体" w:hAnsi="宋体"/>
          <w:szCs w:val="21"/>
        </w:rPr>
        <w:t>12.1招标文件澄清的目的是澄清、解答投标人在查阅招标文件后或现场踏勘中可能提出的与投标有关的疑问或询问。</w:t>
      </w:r>
    </w:p>
    <w:p>
      <w:pPr>
        <w:ind w:firstLine="420" w:firstLineChars="200"/>
        <w:rPr>
          <w:rFonts w:ascii="宋体" w:hAnsi="宋体"/>
          <w:color w:val="FF0000"/>
          <w:szCs w:val="21"/>
        </w:rPr>
      </w:pPr>
      <w:r>
        <w:rPr>
          <w:rFonts w:hint="eastAsia" w:ascii="宋体" w:hAnsi="宋体"/>
          <w:color w:val="FF0000"/>
          <w:szCs w:val="21"/>
        </w:rPr>
        <w:t>12.2投标人如对招标文件内容有疑问，应当在招标公告规定的澄清（提问）截止时间前将疑问内容加盖公章书面提交至</w:t>
      </w:r>
      <w:r>
        <w:rPr>
          <w:rFonts w:hint="eastAsia" w:ascii="宋体" w:hAnsi="宋体"/>
          <w:color w:val="FF0000"/>
          <w:szCs w:val="21"/>
          <w:highlight w:val="yellow"/>
        </w:rPr>
        <w:t>采购代理机构</w:t>
      </w:r>
      <w:r>
        <w:rPr>
          <w:rFonts w:hint="eastAsia" w:ascii="宋体" w:hAnsi="宋体"/>
          <w:color w:val="FF0000"/>
          <w:szCs w:val="21"/>
        </w:rPr>
        <w:t>。</w:t>
      </w:r>
    </w:p>
    <w:p>
      <w:pPr>
        <w:ind w:firstLine="420" w:firstLineChars="200"/>
        <w:rPr>
          <w:rFonts w:ascii="宋体" w:hAnsi="宋体"/>
          <w:szCs w:val="21"/>
        </w:rPr>
      </w:pPr>
      <w:r>
        <w:rPr>
          <w:rFonts w:hint="eastAsia" w:ascii="宋体" w:hAnsi="宋体"/>
          <w:szCs w:val="21"/>
        </w:rPr>
        <w:t>12.3不论是</w:t>
      </w:r>
      <w:r>
        <w:rPr>
          <w:rFonts w:hint="eastAsia" w:ascii="宋体" w:hAnsi="宋体"/>
          <w:szCs w:val="21"/>
          <w:highlight w:val="yellow"/>
        </w:rPr>
        <w:t>采购代理机构</w:t>
      </w:r>
      <w:r>
        <w:rPr>
          <w:rFonts w:hint="eastAsia" w:ascii="宋体" w:hAnsi="宋体"/>
          <w:szCs w:val="21"/>
        </w:rPr>
        <w:t>根据需要主动对招标文件进行必要的澄清或是根据投标人的要求对招标文件做出澄清，</w:t>
      </w:r>
      <w:r>
        <w:rPr>
          <w:rFonts w:hint="eastAsia" w:ascii="宋体" w:hAnsi="宋体"/>
          <w:szCs w:val="21"/>
          <w:highlight w:val="yellow"/>
        </w:rPr>
        <w:t>采购代理机构</w:t>
      </w:r>
      <w:r>
        <w:rPr>
          <w:rFonts w:hint="eastAsia" w:ascii="宋体" w:hAnsi="宋体"/>
          <w:szCs w:val="21"/>
        </w:rPr>
        <w:t>都将在投标截止日期前以书面形式（包括</w:t>
      </w:r>
      <w:r>
        <w:rPr>
          <w:rFonts w:hint="eastAsia" w:ascii="宋体" w:hAnsi="宋体"/>
          <w:szCs w:val="21"/>
          <w:highlight w:val="yellow"/>
        </w:rPr>
        <w:t>采购代理机构</w:t>
      </w:r>
      <w:r>
        <w:rPr>
          <w:rFonts w:hint="eastAsia" w:ascii="宋体" w:hAnsi="宋体"/>
          <w:szCs w:val="21"/>
        </w:rPr>
        <w:t>网站发布方式）答复或发送给所有投标人。答复内容是招标文件的组成部分，对投标人起约束作用，其有效性按照本通用条款第13.3、13.4款规定执行。</w:t>
      </w:r>
    </w:p>
    <w:p>
      <w:pPr>
        <w:ind w:firstLine="420" w:firstLineChars="200"/>
        <w:rPr>
          <w:rFonts w:ascii="黑体" w:hAnsi="宋体" w:eastAsia="黑体"/>
          <w:szCs w:val="21"/>
        </w:rPr>
      </w:pPr>
      <w:r>
        <w:rPr>
          <w:rFonts w:hint="eastAsia" w:ascii="黑体" w:hAnsi="宋体" w:eastAsia="黑体"/>
          <w:szCs w:val="21"/>
        </w:rPr>
        <w:t>13．招标文件的修改</w:t>
      </w:r>
    </w:p>
    <w:p>
      <w:pPr>
        <w:ind w:firstLine="420" w:firstLineChars="200"/>
        <w:rPr>
          <w:rFonts w:ascii="宋体" w:hAnsi="宋体"/>
          <w:szCs w:val="21"/>
        </w:rPr>
      </w:pPr>
      <w:r>
        <w:rPr>
          <w:rFonts w:hint="eastAsia" w:ascii="宋体" w:hAnsi="宋体"/>
          <w:szCs w:val="21"/>
        </w:rPr>
        <w:t>13.1招标文件发出后，在投标截止日期前任何时候，确需要变更招标文件内容的，</w:t>
      </w:r>
      <w:r>
        <w:rPr>
          <w:rFonts w:hint="eastAsia" w:ascii="宋体" w:hAnsi="宋体"/>
          <w:szCs w:val="21"/>
          <w:highlight w:val="yellow"/>
        </w:rPr>
        <w:t>采购代理机构</w:t>
      </w:r>
      <w:r>
        <w:rPr>
          <w:rFonts w:hint="eastAsia" w:ascii="宋体" w:hAnsi="宋体"/>
          <w:szCs w:val="21"/>
        </w:rPr>
        <w:t>可主动或在解答投标人提出的澄清问题时对招标文件进行修改。</w:t>
      </w:r>
    </w:p>
    <w:p>
      <w:pPr>
        <w:ind w:firstLine="420" w:firstLineChars="200"/>
        <w:rPr>
          <w:rFonts w:ascii="宋体" w:hAnsi="宋体"/>
          <w:szCs w:val="21"/>
        </w:rPr>
      </w:pPr>
      <w:r>
        <w:rPr>
          <w:rFonts w:hint="eastAsia" w:ascii="宋体" w:hAnsi="宋体"/>
          <w:szCs w:val="21"/>
        </w:rPr>
        <w:t>13.2招标文件的修改以书面形式（包括</w:t>
      </w:r>
      <w:r>
        <w:rPr>
          <w:rFonts w:hint="eastAsia" w:ascii="宋体" w:hAnsi="宋体"/>
          <w:szCs w:val="21"/>
          <w:highlight w:val="yellow"/>
        </w:rPr>
        <w:t>采购代理机构</w:t>
      </w:r>
      <w:r>
        <w:rPr>
          <w:rFonts w:hint="eastAsia" w:ascii="宋体" w:hAnsi="宋体"/>
          <w:szCs w:val="21"/>
        </w:rPr>
        <w:t>网站发布方式，如更正公告等）发送给所有投标人，招标文件的修改内容作为招标文件的组成部分，并具有约束力。</w:t>
      </w:r>
    </w:p>
    <w:p>
      <w:pPr>
        <w:ind w:firstLine="420" w:firstLineChars="200"/>
        <w:rPr>
          <w:rFonts w:ascii="宋体" w:hAnsi="宋体"/>
          <w:szCs w:val="21"/>
        </w:rPr>
      </w:pPr>
      <w:r>
        <w:rPr>
          <w:rFonts w:hint="eastAsia" w:ascii="宋体" w:hAnsi="宋体"/>
          <w:szCs w:val="21"/>
        </w:rPr>
        <w:t>13.3招标文件、招标文件澄清答复内容、招标文件修改补充内容均以书面形式（包括</w:t>
      </w:r>
      <w:r>
        <w:rPr>
          <w:rFonts w:hint="eastAsia" w:ascii="宋体" w:hAnsi="宋体"/>
          <w:szCs w:val="21"/>
          <w:highlight w:val="yellow"/>
        </w:rPr>
        <w:t>采购代理机构</w:t>
      </w:r>
      <w:r>
        <w:rPr>
          <w:rFonts w:hint="eastAsia" w:ascii="宋体" w:hAnsi="宋体"/>
          <w:szCs w:val="21"/>
        </w:rPr>
        <w:t>网站公开发布方式，如更正公告等）明确的内容为准。当招标文件、修改补充通知、招标文件澄清答复内容相互矛盾时，以最后发出的内容为准。</w:t>
      </w:r>
    </w:p>
    <w:p>
      <w:pPr>
        <w:ind w:firstLine="420" w:firstLineChars="200"/>
        <w:rPr>
          <w:rFonts w:ascii="宋体" w:hAnsi="宋体"/>
          <w:szCs w:val="21"/>
        </w:rPr>
      </w:pPr>
      <w:r>
        <w:rPr>
          <w:rFonts w:hint="eastAsia" w:ascii="宋体" w:hAnsi="宋体"/>
          <w:szCs w:val="21"/>
        </w:rPr>
        <w:t>13.4</w:t>
      </w:r>
      <w:r>
        <w:rPr>
          <w:rFonts w:hint="eastAsia" w:ascii="宋体" w:hAnsi="宋体"/>
          <w:szCs w:val="21"/>
          <w:highlight w:val="yellow"/>
        </w:rPr>
        <w:t>采购代理机构</w:t>
      </w:r>
      <w:r>
        <w:rPr>
          <w:rFonts w:hint="eastAsia" w:ascii="宋体" w:hAnsi="宋体"/>
          <w:szCs w:val="21"/>
        </w:rPr>
        <w:t>保证招标文件澄清答复内容和招标文件修改补充内容在投标截止时间前以书面形式（包括</w:t>
      </w:r>
      <w:r>
        <w:rPr>
          <w:rFonts w:hint="eastAsia" w:ascii="宋体" w:hAnsi="宋体"/>
          <w:szCs w:val="21"/>
          <w:highlight w:val="yellow"/>
        </w:rPr>
        <w:t>采购代理机构</w:t>
      </w:r>
      <w:r>
        <w:rPr>
          <w:rFonts w:hint="eastAsia" w:ascii="宋体" w:hAnsi="宋体"/>
          <w:szCs w:val="21"/>
        </w:rPr>
        <w:t>网站发布方式，如更正公告等）发送给所有投标人。为使投标人在编制投标文件时有充分时间对招标文件的修改部分进行研究，</w:t>
      </w:r>
      <w:r>
        <w:rPr>
          <w:rFonts w:hint="eastAsia" w:ascii="宋体" w:hAnsi="宋体"/>
          <w:szCs w:val="21"/>
          <w:highlight w:val="yellow"/>
        </w:rPr>
        <w:t>采购代理机构</w:t>
      </w:r>
      <w:r>
        <w:rPr>
          <w:rFonts w:hint="eastAsia" w:ascii="宋体" w:hAnsi="宋体"/>
          <w:szCs w:val="21"/>
        </w:rPr>
        <w:t>可以酌情延长递交投标文件的截止日期。</w:t>
      </w:r>
      <w:bookmarkEnd w:id="86"/>
    </w:p>
    <w:p>
      <w:pPr>
        <w:rPr>
          <w:rFonts w:ascii="宋体" w:hAnsi="宋体"/>
          <w:szCs w:val="21"/>
        </w:rPr>
      </w:pPr>
    </w:p>
    <w:p>
      <w:pPr>
        <w:pStyle w:val="74"/>
        <w:keepNext/>
        <w:keepLines/>
        <w:numPr>
          <w:ilvl w:val="0"/>
          <w:numId w:val="19"/>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投标文件的编制</w:t>
      </w:r>
    </w:p>
    <w:p>
      <w:pPr>
        <w:ind w:firstLine="420" w:firstLineChars="200"/>
        <w:rPr>
          <w:rFonts w:ascii="黑体" w:hAnsi="宋体" w:eastAsia="黑体"/>
          <w:szCs w:val="21"/>
        </w:rPr>
      </w:pPr>
      <w:r>
        <w:rPr>
          <w:rFonts w:hint="eastAsia" w:ascii="黑体" w:hAnsi="宋体" w:eastAsia="黑体"/>
          <w:szCs w:val="21"/>
        </w:rPr>
        <w:t>14．</w:t>
      </w:r>
      <w:bookmarkStart w:id="87" w:name="_Hlk72400236"/>
      <w:r>
        <w:rPr>
          <w:rFonts w:hint="eastAsia" w:ascii="黑体" w:hAnsi="宋体" w:eastAsia="黑体"/>
          <w:szCs w:val="21"/>
        </w:rPr>
        <w:t>投标文件的语言及度量单位</w:t>
      </w:r>
    </w:p>
    <w:p>
      <w:pPr>
        <w:ind w:firstLine="420" w:firstLineChars="200"/>
        <w:rPr>
          <w:rFonts w:ascii="宋体" w:hAnsi="宋体"/>
          <w:szCs w:val="21"/>
        </w:rPr>
      </w:pPr>
      <w:r>
        <w:rPr>
          <w:rFonts w:hint="eastAsia" w:ascii="宋体" w:hAnsi="宋体"/>
          <w:szCs w:val="21"/>
        </w:rPr>
        <w:t>14.1 投标人与</w:t>
      </w:r>
      <w:r>
        <w:rPr>
          <w:rFonts w:hint="eastAsia" w:ascii="宋体" w:hAnsi="宋体"/>
          <w:szCs w:val="21"/>
          <w:highlight w:val="yellow"/>
        </w:rPr>
        <w:t>采购代理机构</w:t>
      </w:r>
      <w:r>
        <w:rPr>
          <w:rFonts w:hint="eastAsia" w:ascii="宋体" w:hAnsi="宋体"/>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20" w:firstLineChars="200"/>
        <w:rPr>
          <w:rFonts w:ascii="宋体" w:hAnsi="宋体"/>
          <w:szCs w:val="21"/>
        </w:rPr>
      </w:pPr>
      <w:r>
        <w:rPr>
          <w:rFonts w:hint="eastAsia" w:ascii="宋体" w:hAnsi="宋体"/>
          <w:szCs w:val="21"/>
        </w:rPr>
        <w:t>14.2 除技术规范另有规定外，投标文件使用的度量单位，均采用中华人民共和国法定计量单位。</w:t>
      </w:r>
    </w:p>
    <w:bookmarkEnd w:id="87"/>
    <w:p>
      <w:pPr>
        <w:ind w:firstLine="420" w:firstLineChars="200"/>
        <w:rPr>
          <w:rFonts w:ascii="黑体" w:hAnsi="宋体" w:eastAsia="黑体"/>
          <w:szCs w:val="21"/>
        </w:rPr>
      </w:pPr>
      <w:r>
        <w:rPr>
          <w:rFonts w:hint="eastAsia" w:ascii="黑体" w:hAnsi="宋体" w:eastAsia="黑体"/>
          <w:szCs w:val="21"/>
        </w:rPr>
        <w:t>15．</w:t>
      </w:r>
      <w:bookmarkStart w:id="88" w:name="_Hlk72401567"/>
      <w:r>
        <w:rPr>
          <w:rFonts w:hint="eastAsia" w:ascii="黑体" w:hAnsi="宋体" w:eastAsia="黑体"/>
          <w:szCs w:val="21"/>
        </w:rPr>
        <w:t>投标文件的组成</w:t>
      </w:r>
    </w:p>
    <w:p>
      <w:pPr>
        <w:ind w:firstLine="420" w:firstLineChars="200"/>
        <w:rPr>
          <w:rFonts w:ascii="宋体" w:hAnsi="宋体"/>
          <w:szCs w:val="21"/>
        </w:rPr>
      </w:pPr>
      <w:r>
        <w:rPr>
          <w:rFonts w:hint="eastAsia" w:ascii="宋体" w:hAnsi="宋体"/>
          <w:szCs w:val="21"/>
        </w:rPr>
        <w:t>具体内容在招标文件专用条款中进行规定。</w:t>
      </w:r>
    </w:p>
    <w:p>
      <w:pPr>
        <w:ind w:firstLine="420" w:firstLineChars="200"/>
        <w:rPr>
          <w:rFonts w:ascii="黑体" w:hAnsi="宋体" w:eastAsia="黑体"/>
          <w:szCs w:val="21"/>
        </w:rPr>
      </w:pPr>
      <w:r>
        <w:rPr>
          <w:rFonts w:hint="eastAsia" w:ascii="黑体" w:hAnsi="宋体" w:eastAsia="黑体"/>
          <w:szCs w:val="21"/>
        </w:rPr>
        <w:t>16．投标文件格式</w:t>
      </w:r>
    </w:p>
    <w:p>
      <w:pPr>
        <w:ind w:firstLine="420" w:firstLineChars="200"/>
        <w:rPr>
          <w:rFonts w:ascii="宋体" w:hAnsi="宋体"/>
          <w:szCs w:val="21"/>
        </w:rPr>
      </w:pPr>
      <w:r>
        <w:rPr>
          <w:rFonts w:hint="eastAsia" w:ascii="宋体" w:hAnsi="宋体"/>
          <w:szCs w:val="21"/>
        </w:rPr>
        <w:t>投标文件包括本通用条款第15条中规定的内容。如招标文件提供了投标文件格式，则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pPr>
        <w:ind w:firstLine="420" w:firstLineChars="200"/>
        <w:rPr>
          <w:rFonts w:ascii="黑体" w:hAnsi="宋体" w:eastAsia="黑体"/>
          <w:szCs w:val="21"/>
        </w:rPr>
      </w:pPr>
      <w:r>
        <w:rPr>
          <w:rFonts w:hint="eastAsia" w:ascii="黑体" w:hAnsi="宋体" w:eastAsia="黑体"/>
          <w:szCs w:val="21"/>
        </w:rPr>
        <w:t>17．投标货币</w:t>
      </w:r>
    </w:p>
    <w:p>
      <w:pPr>
        <w:ind w:firstLine="420" w:firstLineChars="200"/>
        <w:rPr>
          <w:rFonts w:ascii="宋体" w:hAnsi="宋体"/>
          <w:szCs w:val="21"/>
        </w:rPr>
      </w:pPr>
      <w:r>
        <w:rPr>
          <w:rFonts w:hint="eastAsia" w:ascii="宋体" w:hAnsi="宋体"/>
          <w:szCs w:val="21"/>
        </w:rPr>
        <w:t>本项目的投标报价应以人民币计。</w:t>
      </w:r>
    </w:p>
    <w:bookmarkEnd w:id="88"/>
    <w:p>
      <w:pPr>
        <w:ind w:firstLine="420" w:firstLineChars="200"/>
        <w:rPr>
          <w:rFonts w:ascii="黑体" w:hAnsi="宋体" w:eastAsia="黑体"/>
          <w:szCs w:val="21"/>
        </w:rPr>
      </w:pPr>
      <w:r>
        <w:rPr>
          <w:rFonts w:hint="eastAsia" w:ascii="黑体" w:hAnsi="宋体" w:eastAsia="黑体"/>
          <w:szCs w:val="21"/>
        </w:rPr>
        <w:t>18．</w:t>
      </w:r>
      <w:bookmarkStart w:id="89" w:name="_Hlk72401735"/>
      <w:r>
        <w:rPr>
          <w:rFonts w:hint="eastAsia" w:ascii="黑体" w:hAnsi="宋体" w:eastAsia="黑体"/>
          <w:szCs w:val="21"/>
        </w:rPr>
        <w:t>证明投标文件投标技术方案的合格性和符合招标文件规定的文件要求</w:t>
      </w:r>
    </w:p>
    <w:p>
      <w:pPr>
        <w:ind w:firstLine="420" w:firstLineChars="200"/>
        <w:rPr>
          <w:rFonts w:ascii="宋体" w:hAnsi="宋体"/>
          <w:szCs w:val="21"/>
        </w:rPr>
      </w:pPr>
      <w:r>
        <w:rPr>
          <w:rFonts w:hint="eastAsia" w:ascii="宋体" w:hAnsi="宋体"/>
          <w:szCs w:val="21"/>
        </w:rPr>
        <w:t>18.1 投标人应提交证明文件，证明其投标技术方案项下的货物和服务的合格性符合招标文件规定。该投标技术方案及其证明文件均作为投标文件组成部分。</w:t>
      </w:r>
    </w:p>
    <w:p>
      <w:pPr>
        <w:ind w:firstLine="420" w:firstLineChars="200"/>
        <w:rPr>
          <w:rFonts w:ascii="宋体" w:hAnsi="宋体"/>
          <w:szCs w:val="21"/>
        </w:rPr>
      </w:pPr>
      <w:r>
        <w:rPr>
          <w:rFonts w:hint="eastAsia" w:ascii="宋体" w:hAnsi="宋体"/>
          <w:szCs w:val="21"/>
        </w:rPr>
        <w:t>18.2 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20" w:firstLineChars="200"/>
        <w:rPr>
          <w:rFonts w:ascii="宋体" w:hAnsi="宋体"/>
          <w:szCs w:val="21"/>
        </w:rPr>
      </w:pPr>
      <w:r>
        <w:rPr>
          <w:rFonts w:hint="eastAsia" w:ascii="宋体" w:hAnsi="宋体"/>
          <w:szCs w:val="21"/>
        </w:rPr>
        <w:t>18.2.1主要技术指标和性能的详细说明。</w:t>
      </w:r>
    </w:p>
    <w:p>
      <w:pPr>
        <w:ind w:firstLine="420" w:firstLineChars="200"/>
        <w:rPr>
          <w:rFonts w:ascii="宋体" w:hAnsi="宋体"/>
          <w:szCs w:val="21"/>
        </w:rPr>
      </w:pPr>
      <w:r>
        <w:rPr>
          <w:rFonts w:hint="eastAsia" w:ascii="宋体" w:hAnsi="宋体"/>
          <w:szCs w:val="21"/>
        </w:rPr>
        <w:t>18.2.2投标产品从采购人开始使用至招标文件中规定的周期内正常、连续地使用所必须的备件和专用工具清单，包括备件和专用工具的货源及现行价格。</w:t>
      </w:r>
    </w:p>
    <w:p>
      <w:pPr>
        <w:ind w:firstLine="420" w:firstLineChars="200"/>
        <w:rPr>
          <w:rFonts w:ascii="宋体" w:hAnsi="宋体"/>
          <w:szCs w:val="21"/>
        </w:rPr>
      </w:pPr>
      <w:r>
        <w:rPr>
          <w:rFonts w:hint="eastAsia" w:ascii="宋体" w:hAnsi="宋体"/>
          <w:szCs w:val="21"/>
        </w:rPr>
        <w:t>18.2.3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20" w:firstLineChars="200"/>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hint="eastAsia" w:ascii="宋体" w:hAnsi="宋体"/>
          <w:szCs w:val="21"/>
        </w:rPr>
        <w:t>；</w:t>
      </w:r>
    </w:p>
    <w:p>
      <w:pPr>
        <w:ind w:firstLine="420" w:firstLineChars="200"/>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20" w:firstLineChars="200"/>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20" w:firstLineChars="200"/>
        <w:rPr>
          <w:rFonts w:ascii="宋体" w:hAnsi="宋体"/>
          <w:szCs w:val="21"/>
        </w:rPr>
      </w:pPr>
      <w:r>
        <w:rPr>
          <w:rFonts w:hint="eastAsia" w:ascii="宋体" w:hAnsi="宋体"/>
          <w:szCs w:val="21"/>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szCs w:val="21"/>
        </w:rPr>
        <w:t>满足要求</w:t>
      </w:r>
      <w:r>
        <w:rPr>
          <w:rFonts w:hint="eastAsia" w:ascii="宋体" w:hAnsi="宋体"/>
          <w:szCs w:val="21"/>
        </w:rPr>
        <w:t>，由评审委员会来评判。</w:t>
      </w:r>
    </w:p>
    <w:p>
      <w:pPr>
        <w:ind w:firstLine="420" w:firstLineChars="200"/>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89"/>
    <w:p>
      <w:pPr>
        <w:ind w:firstLine="420" w:firstLineChars="200"/>
        <w:rPr>
          <w:rFonts w:ascii="黑体" w:hAnsi="宋体" w:eastAsia="黑体"/>
          <w:szCs w:val="21"/>
        </w:rPr>
      </w:pPr>
      <w:r>
        <w:rPr>
          <w:rFonts w:hint="eastAsia" w:ascii="黑体" w:hAnsi="宋体" w:eastAsia="黑体"/>
          <w:szCs w:val="21"/>
        </w:rPr>
        <w:t>19．</w:t>
      </w:r>
      <w:bookmarkStart w:id="90" w:name="_Hlk72402034"/>
      <w:r>
        <w:rPr>
          <w:rFonts w:hint="eastAsia" w:ascii="黑体" w:hAnsi="宋体" w:eastAsia="黑体"/>
          <w:szCs w:val="21"/>
        </w:rPr>
        <w:t>投标文件其他证明文件的要求</w:t>
      </w:r>
    </w:p>
    <w:p>
      <w:pPr>
        <w:ind w:firstLine="420" w:firstLineChars="200"/>
        <w:rPr>
          <w:rFonts w:ascii="宋体" w:hAnsi="宋体"/>
          <w:color w:val="FF0000"/>
          <w:szCs w:val="21"/>
        </w:rPr>
      </w:pP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91" w:name="_Hlk71407299"/>
    </w:p>
    <w:bookmarkEnd w:id="91"/>
    <w:p>
      <w:pPr>
        <w:ind w:firstLine="420" w:firstLineChars="200"/>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ind w:firstLine="420" w:firstLineChars="200"/>
        <w:rPr>
          <w:rFonts w:ascii="黑体" w:hAnsi="宋体" w:eastAsia="黑体"/>
          <w:szCs w:val="21"/>
        </w:rPr>
      </w:pPr>
      <w:r>
        <w:rPr>
          <w:rFonts w:hint="eastAsia" w:ascii="黑体" w:hAnsi="宋体" w:eastAsia="黑体"/>
          <w:szCs w:val="21"/>
        </w:rPr>
        <w:t>20．投标有效期</w:t>
      </w:r>
    </w:p>
    <w:bookmarkEnd w:id="90"/>
    <w:p>
      <w:pPr>
        <w:ind w:firstLine="420" w:firstLineChars="200"/>
        <w:rPr>
          <w:rFonts w:ascii="宋体" w:hAnsi="宋体"/>
          <w:szCs w:val="21"/>
        </w:rPr>
      </w:pPr>
      <w:bookmarkStart w:id="92"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20" w:firstLineChars="200"/>
        <w:rPr>
          <w:rFonts w:ascii="宋体" w:hAnsi="宋体"/>
          <w:szCs w:val="21"/>
        </w:rPr>
      </w:pPr>
      <w:r>
        <w:rPr>
          <w:rFonts w:hint="eastAsia" w:ascii="宋体" w:hAnsi="宋体"/>
          <w:szCs w:val="21"/>
        </w:rPr>
        <w:t>20.2 在特殊情况下，</w:t>
      </w:r>
      <w:r>
        <w:rPr>
          <w:rFonts w:hint="eastAsia" w:ascii="宋体" w:hAnsi="宋体"/>
          <w:szCs w:val="21"/>
          <w:highlight w:val="yellow"/>
        </w:rPr>
        <w:t>采购代理机构</w:t>
      </w:r>
      <w:r>
        <w:rPr>
          <w:rFonts w:hint="eastAsia" w:ascii="宋体" w:hAnsi="宋体"/>
          <w:szCs w:val="21"/>
        </w:rPr>
        <w:t>在原定的投标有效期满之前，</w:t>
      </w:r>
      <w:r>
        <w:rPr>
          <w:rFonts w:hint="eastAsia" w:ascii="宋体" w:hAnsi="宋体"/>
          <w:szCs w:val="21"/>
          <w:highlight w:val="yellow"/>
        </w:rPr>
        <w:t>采购代理机构</w:t>
      </w:r>
      <w:r>
        <w:rPr>
          <w:rFonts w:hint="eastAsia" w:ascii="宋体" w:hAnsi="宋体"/>
          <w:szCs w:val="21"/>
        </w:rPr>
        <w:t>可以根据需要以书面形式（包括</w:t>
      </w:r>
      <w:r>
        <w:rPr>
          <w:rFonts w:hint="eastAsia" w:ascii="宋体" w:hAnsi="宋体"/>
          <w:szCs w:val="21"/>
          <w:highlight w:val="yellow"/>
        </w:rPr>
        <w:t>采购代理机构</w:t>
      </w:r>
      <w:r>
        <w:rPr>
          <w:rFonts w:hint="eastAsia" w:ascii="宋体" w:hAnsi="宋体"/>
          <w:szCs w:val="21"/>
        </w:rPr>
        <w:t>网站公开发布方式）向投标人提出延长投标有效期的要求，对此要求投标人须以书面形式予以答复，投标人可以拒绝</w:t>
      </w:r>
      <w:r>
        <w:rPr>
          <w:rFonts w:hint="eastAsia" w:ascii="宋体" w:hAnsi="宋体"/>
          <w:szCs w:val="21"/>
          <w:highlight w:val="yellow"/>
        </w:rPr>
        <w:t>采购代理机构</w:t>
      </w:r>
      <w:r>
        <w:rPr>
          <w:rFonts w:hint="eastAsia" w:ascii="宋体" w:hAnsi="宋体"/>
          <w:szCs w:val="21"/>
        </w:rPr>
        <w:t>此项要求，其投标在原投标有效期满后不再有效。同意延长投标有效期的投标人不能要求也不允许修改其投标文件。</w:t>
      </w:r>
    </w:p>
    <w:p>
      <w:pPr>
        <w:ind w:firstLine="420" w:firstLineChars="200"/>
        <w:rPr>
          <w:rFonts w:ascii="宋体" w:hAnsi="宋体"/>
          <w:szCs w:val="21"/>
        </w:rPr>
      </w:pPr>
      <w:r>
        <w:rPr>
          <w:rFonts w:hint="eastAsia" w:ascii="宋体" w:hAnsi="宋体"/>
          <w:szCs w:val="21"/>
        </w:rPr>
        <w:t>20.3 中标供应商的投标文件有效期，截止于完成本招标文件规定的全部项目内容，并通过竣工验收及保修期结束。</w:t>
      </w:r>
    </w:p>
    <w:bookmarkEnd w:id="92"/>
    <w:p>
      <w:pPr>
        <w:ind w:firstLine="420" w:firstLineChars="200"/>
        <w:rPr>
          <w:rFonts w:ascii="黑体" w:hAnsi="宋体" w:eastAsia="黑体"/>
          <w:szCs w:val="21"/>
        </w:rPr>
      </w:pPr>
      <w:r>
        <w:rPr>
          <w:rFonts w:hint="eastAsia" w:ascii="黑体" w:hAnsi="宋体" w:eastAsia="黑体"/>
          <w:szCs w:val="21"/>
        </w:rPr>
        <w:t>21．</w:t>
      </w:r>
      <w:bookmarkStart w:id="93" w:name="_Hlk72402325"/>
      <w:r>
        <w:rPr>
          <w:rFonts w:hint="eastAsia" w:ascii="黑体" w:hAnsi="宋体" w:eastAsia="黑体"/>
          <w:szCs w:val="21"/>
        </w:rPr>
        <w:t xml:space="preserve">关于投标保证金 </w:t>
      </w:r>
    </w:p>
    <w:p>
      <w:pPr>
        <w:ind w:firstLine="420" w:firstLineChars="200"/>
        <w:rPr>
          <w:rFonts w:ascii="宋体" w:hAnsi="宋体"/>
          <w:szCs w:val="21"/>
        </w:rPr>
      </w:pPr>
      <w:r>
        <w:rPr>
          <w:rFonts w:hint="eastAsia" w:ascii="宋体" w:hAnsi="宋体"/>
          <w:szCs w:val="21"/>
        </w:rPr>
        <w:t>21.1</w:t>
      </w:r>
      <w:r>
        <w:rPr>
          <w:rFonts w:hint="eastAsia"/>
          <w:szCs w:val="21"/>
        </w:rPr>
        <w:t>根据《深圳市财政局关于调整政府采购投标（响应）保证金管理政策的通知》（深财购〔</w:t>
      </w:r>
      <w:r>
        <w:rPr>
          <w:szCs w:val="21"/>
        </w:rPr>
        <w:t>2021</w:t>
      </w:r>
      <w:r>
        <w:rPr>
          <w:rFonts w:hint="eastAsia"/>
          <w:szCs w:val="21"/>
        </w:rPr>
        <w:t>〕</w:t>
      </w:r>
      <w:r>
        <w:rPr>
          <w:szCs w:val="21"/>
        </w:rPr>
        <w:t>51</w:t>
      </w:r>
      <w:r>
        <w:rPr>
          <w:rFonts w:hint="eastAsia"/>
          <w:szCs w:val="21"/>
        </w:rPr>
        <w:t>号）文的规定，本项目不收取投标保证金。</w:t>
      </w:r>
    </w:p>
    <w:p>
      <w:pPr>
        <w:ind w:firstLine="420" w:firstLineChars="200"/>
        <w:rPr>
          <w:rFonts w:ascii="黑体" w:hAnsi="宋体" w:eastAsia="黑体"/>
          <w:szCs w:val="21"/>
        </w:rPr>
      </w:pPr>
      <w:r>
        <w:rPr>
          <w:rFonts w:hint="eastAsia" w:ascii="黑体" w:hAnsi="宋体" w:eastAsia="黑体"/>
          <w:szCs w:val="21"/>
        </w:rPr>
        <w:t>22．投标人的替代方案</w:t>
      </w:r>
    </w:p>
    <w:p>
      <w:pPr>
        <w:ind w:firstLine="420" w:firstLineChars="200"/>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20" w:firstLineChars="200"/>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93"/>
    <w:p>
      <w:pPr>
        <w:ind w:firstLine="420" w:firstLineChars="200"/>
        <w:rPr>
          <w:rFonts w:ascii="黑体" w:hAnsi="宋体" w:eastAsia="黑体"/>
          <w:szCs w:val="21"/>
        </w:rPr>
      </w:pPr>
      <w:r>
        <w:rPr>
          <w:rFonts w:hint="eastAsia" w:ascii="黑体" w:hAnsi="宋体" w:eastAsia="黑体"/>
          <w:szCs w:val="21"/>
        </w:rPr>
        <w:t>23．</w:t>
      </w:r>
      <w:bookmarkStart w:id="94" w:name="_Hlk72402860"/>
      <w:r>
        <w:rPr>
          <w:rFonts w:hint="eastAsia" w:ascii="黑体" w:hAnsi="宋体" w:eastAsia="黑体"/>
          <w:szCs w:val="21"/>
        </w:rPr>
        <w:t>投标文件的制作要求</w:t>
      </w:r>
    </w:p>
    <w:p>
      <w:pPr>
        <w:ind w:firstLine="420" w:firstLineChars="200"/>
        <w:rPr>
          <w:rFonts w:ascii="宋体" w:hAnsi="宋体"/>
          <w:szCs w:val="21"/>
        </w:rPr>
      </w:pPr>
      <w:r>
        <w:rPr>
          <w:rFonts w:hint="eastAsia" w:ascii="宋体" w:hAnsi="宋体"/>
          <w:szCs w:val="21"/>
        </w:rPr>
        <w:t>23.1投标人应准备所投项目的电子投标文件一份。</w:t>
      </w:r>
    </w:p>
    <w:p>
      <w:pPr>
        <w:ind w:firstLine="420" w:firstLineChars="200"/>
        <w:rPr>
          <w:rFonts w:ascii="宋体" w:hAnsi="宋体"/>
          <w:szCs w:val="21"/>
        </w:rPr>
      </w:pPr>
      <w:r>
        <w:rPr>
          <w:rFonts w:hint="eastAsia" w:ascii="宋体" w:hAnsi="宋体"/>
          <w:szCs w:val="21"/>
        </w:rPr>
        <w:t>23.2投标人在使用《投标书编制软件》编制投标书时须注意：</w:t>
      </w:r>
    </w:p>
    <w:p>
      <w:pPr>
        <w:ind w:firstLine="420" w:firstLineChars="200"/>
        <w:rPr>
          <w:rFonts w:ascii="宋体" w:hAnsi="宋体"/>
          <w:szCs w:val="21"/>
        </w:rPr>
      </w:pPr>
      <w:r>
        <w:rPr>
          <w:rFonts w:hint="eastAsia" w:ascii="宋体" w:hAnsi="宋体"/>
          <w:szCs w:val="21"/>
        </w:rPr>
        <w:t>23.2.1导入《投标书编制软件》的招标文件项目编号、包号应与以此制作的投标文件项目编号、包号一致。例如，不能将甲项目A包的招标书导入《投标书编制软件》，制作乙项目B包的投标书。</w:t>
      </w:r>
    </w:p>
    <w:p>
      <w:pPr>
        <w:ind w:firstLine="420" w:firstLineChars="200"/>
        <w:rPr>
          <w:rFonts w:ascii="宋体" w:hAnsi="宋体"/>
          <w:szCs w:val="21"/>
        </w:rPr>
      </w:pPr>
      <w:r>
        <w:rPr>
          <w:rFonts w:hint="eastAsia" w:ascii="宋体" w:hAnsi="宋体"/>
          <w:szCs w:val="21"/>
        </w:rPr>
        <w:t>23.2.2不能用非本公司的电子密钥加密本公司的投标文件，或者用其它公司的登录用户上传本公司的投标文件。</w:t>
      </w:r>
    </w:p>
    <w:p>
      <w:pPr>
        <w:ind w:firstLine="420" w:firstLineChars="200"/>
        <w:rPr>
          <w:rFonts w:ascii="宋体" w:hAnsi="宋体"/>
          <w:szCs w:val="21"/>
        </w:rPr>
      </w:pPr>
      <w:r>
        <w:rPr>
          <w:rFonts w:hint="eastAsia" w:ascii="宋体" w:hAnsi="宋体"/>
          <w:szCs w:val="21"/>
        </w:rPr>
        <w:t>23.2.3要求用《投标书编制软件》编制投标书的包，不能用其它方式编制投标书。编制投标文件时，电脑须连通互联网。</w:t>
      </w:r>
    </w:p>
    <w:p>
      <w:pPr>
        <w:ind w:firstLine="420" w:firstLineChars="200"/>
        <w:rPr>
          <w:rFonts w:ascii="宋体" w:hAnsi="宋体"/>
          <w:szCs w:val="21"/>
        </w:rPr>
      </w:pPr>
      <w:r>
        <w:rPr>
          <w:rFonts w:hint="eastAsia" w:ascii="宋体" w:hAnsi="宋体"/>
          <w:szCs w:val="21"/>
        </w:rPr>
        <w:t>23.2.4投标文件不能带病毒。</w:t>
      </w:r>
      <w:r>
        <w:rPr>
          <w:rFonts w:hint="eastAsia" w:ascii="宋体" w:hAnsi="宋体"/>
          <w:szCs w:val="21"/>
          <w:highlight w:val="yellow"/>
        </w:rPr>
        <w:t>采购代理机构</w:t>
      </w:r>
      <w:r>
        <w:rPr>
          <w:rFonts w:hint="eastAsia" w:ascii="宋体" w:hAnsi="宋体"/>
          <w:szCs w:val="21"/>
        </w:rPr>
        <w:t>将用专业杀毒软件对投标文件进行病毒检测，如果这两种软件均报告发现病毒，则</w:t>
      </w:r>
      <w:r>
        <w:rPr>
          <w:rFonts w:hint="eastAsia" w:ascii="宋体" w:hAnsi="宋体"/>
          <w:szCs w:val="21"/>
          <w:highlight w:val="yellow"/>
        </w:rPr>
        <w:t>采购代理机构</w:t>
      </w:r>
      <w:r>
        <w:rPr>
          <w:rFonts w:hint="eastAsia" w:ascii="宋体" w:hAnsi="宋体"/>
          <w:szCs w:val="21"/>
        </w:rPr>
        <w:t>认为该投标文件带病毒。</w:t>
      </w:r>
    </w:p>
    <w:p>
      <w:pPr>
        <w:ind w:firstLine="420" w:firstLineChars="200"/>
        <w:rPr>
          <w:rFonts w:ascii="宋体" w:hAnsi="宋体"/>
          <w:szCs w:val="21"/>
        </w:rPr>
      </w:pPr>
      <w:r>
        <w:rPr>
          <w:rFonts w:hint="eastAsia" w:ascii="宋体" w:hAnsi="宋体"/>
          <w:szCs w:val="21"/>
        </w:rPr>
        <w:t>23.2.6投标人在编辑投标文件时，</w:t>
      </w:r>
      <w:r>
        <w:rPr>
          <w:rFonts w:hint="eastAsia" w:ascii="宋体" w:hAnsi="宋体"/>
          <w:b/>
          <w:szCs w:val="21"/>
        </w:rPr>
        <w:t>在投标文件目录中属于本节点内容的必须在本节点中填写，填写到其他节点或附件，</w:t>
      </w:r>
      <w:r>
        <w:rPr>
          <w:rFonts w:hint="eastAsia" w:ascii="宋体" w:hAnsi="宋体"/>
          <w:szCs w:val="21"/>
        </w:rPr>
        <w:t>一切后果由供应商自行承担。</w:t>
      </w:r>
    </w:p>
    <w:p>
      <w:pPr>
        <w:ind w:firstLine="420" w:firstLineChars="200"/>
        <w:rPr>
          <w:rFonts w:ascii="宋体" w:hAnsi="宋体"/>
          <w:szCs w:val="21"/>
        </w:rPr>
      </w:pPr>
      <w:r>
        <w:rPr>
          <w:rFonts w:hint="eastAsia" w:ascii="宋体" w:hAnsi="宋体"/>
          <w:szCs w:val="21"/>
        </w:rPr>
        <w:t>23.2.7</w:t>
      </w:r>
      <w:r>
        <w:rPr>
          <w:rFonts w:hint="eastAsia" w:ascii="宋体" w:hAnsi="宋体"/>
          <w:szCs w:val="21"/>
          <w:highlight w:val="yellow"/>
        </w:rPr>
        <w:t>采购代理机构</w:t>
      </w:r>
      <w:r>
        <w:rPr>
          <w:rFonts w:hint="eastAsia" w:ascii="宋体" w:hAnsi="宋体"/>
          <w:szCs w:val="21"/>
        </w:rPr>
        <w:t>不接受投标截止时间后递交的纸质、电子、传真等所有形式的投标文件。由于对网上自行采购系统操作不熟悉或自身电脑、网络等原因导致不能在投标截止时间之前上传投标文件，</w:t>
      </w:r>
      <w:r>
        <w:rPr>
          <w:rFonts w:hint="eastAsia" w:ascii="宋体" w:hAnsi="宋体"/>
          <w:szCs w:val="21"/>
          <w:highlight w:val="yellow"/>
        </w:rPr>
        <w:t>采购代理机构</w:t>
      </w:r>
      <w:r>
        <w:rPr>
          <w:rFonts w:hint="eastAsia" w:ascii="宋体" w:hAnsi="宋体"/>
          <w:szCs w:val="21"/>
        </w:rPr>
        <w:t>概不负责。建议于开标前一个工作日完成投标文件的制作与上传，如上传确有困难，请及时咨询。</w:t>
      </w:r>
    </w:p>
    <w:p>
      <w:pPr>
        <w:ind w:firstLine="420" w:firstLineChars="200"/>
        <w:rPr>
          <w:rFonts w:ascii="宋体" w:hAnsi="宋体"/>
          <w:szCs w:val="21"/>
        </w:rPr>
      </w:pPr>
      <w:r>
        <w:rPr>
          <w:rFonts w:hint="eastAsia" w:ascii="宋体" w:hAnsi="宋体"/>
          <w:szCs w:val="21"/>
        </w:rPr>
        <w:t>23.2.8如果开标时出现网络故障、技术故障，影响了采购活动，</w:t>
      </w:r>
      <w:r>
        <w:rPr>
          <w:rFonts w:hint="eastAsia" w:ascii="宋体" w:hAnsi="宋体"/>
          <w:szCs w:val="21"/>
          <w:highlight w:val="yellow"/>
        </w:rPr>
        <w:t>采购代理机构</w:t>
      </w:r>
      <w:r>
        <w:rPr>
          <w:rFonts w:hint="eastAsia" w:ascii="宋体" w:hAnsi="宋体"/>
          <w:szCs w:val="21"/>
        </w:rPr>
        <w:t>有权采取措施如延期、接受无法从网上上传的投标书等，以保障采购活动的公开、公平和公正。</w:t>
      </w:r>
    </w:p>
    <w:p>
      <w:pPr>
        <w:ind w:firstLine="420" w:firstLineChars="200"/>
        <w:rPr>
          <w:rFonts w:ascii="宋体" w:hAnsi="宋体"/>
          <w:szCs w:val="21"/>
        </w:rPr>
      </w:pPr>
      <w:r>
        <w:rPr>
          <w:rFonts w:hint="eastAsia" w:ascii="宋体" w:hAnsi="宋体"/>
          <w:szCs w:val="21"/>
        </w:rPr>
        <w:t>23.3电报、电话、传真形式的投标概不接受。</w:t>
      </w:r>
    </w:p>
    <w:p>
      <w:pPr>
        <w:ind w:firstLine="422" w:firstLineChars="200"/>
        <w:rPr>
          <w:rFonts w:ascii="宋体" w:hAnsi="宋体"/>
          <w:b/>
          <w:szCs w:val="21"/>
        </w:rPr>
      </w:pPr>
      <w:r>
        <w:rPr>
          <w:rFonts w:hint="eastAsia" w:ascii="宋体" w:hAnsi="宋体"/>
          <w:b/>
          <w:szCs w:val="21"/>
        </w:rPr>
        <w:t>23.4经投标人电子密钥加密的投标文件无须盖章或签字，</w:t>
      </w:r>
      <w:r>
        <w:rPr>
          <w:rFonts w:hint="eastAsia" w:ascii="宋体" w:hAnsi="宋体"/>
          <w:szCs w:val="21"/>
        </w:rPr>
        <w:t>专用条款另有要求的除外。</w:t>
      </w:r>
    </w:p>
    <w:p>
      <w:pPr>
        <w:ind w:firstLine="422" w:firstLineChars="200"/>
        <w:rPr>
          <w:rFonts w:ascii="宋体" w:hAnsi="宋体"/>
        </w:rPr>
      </w:pPr>
      <w:r>
        <w:rPr>
          <w:rFonts w:hint="eastAsia" w:ascii="宋体" w:hAnsi="宋体"/>
          <w:b/>
          <w:szCs w:val="21"/>
        </w:rPr>
        <w:t>23.5</w:t>
      </w:r>
      <w:r>
        <w:rPr>
          <w:rFonts w:hint="eastAsia" w:ascii="宋体" w:hAnsi="宋体"/>
          <w:szCs w:val="21"/>
        </w:rPr>
        <w:t xml:space="preserve"> 各类资格（资质）文件提供扫描件，专用条款另有要求的除外。</w:t>
      </w:r>
      <w:bookmarkEnd w:id="94"/>
    </w:p>
    <w:p>
      <w:pPr>
        <w:ind w:firstLine="411" w:firstLineChars="196"/>
        <w:rPr>
          <w:rFonts w:ascii="宋体" w:hAnsi="宋体"/>
          <w:szCs w:val="21"/>
        </w:rPr>
      </w:pPr>
    </w:p>
    <w:p>
      <w:pPr>
        <w:pStyle w:val="74"/>
        <w:keepNext/>
        <w:keepLines/>
        <w:numPr>
          <w:ilvl w:val="0"/>
          <w:numId w:val="19"/>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投标文件的递交</w:t>
      </w:r>
    </w:p>
    <w:p>
      <w:pPr>
        <w:ind w:firstLine="420" w:firstLineChars="200"/>
        <w:rPr>
          <w:rFonts w:ascii="黑体" w:hAnsi="宋体" w:eastAsia="黑体"/>
          <w:szCs w:val="21"/>
        </w:rPr>
      </w:pPr>
      <w:bookmarkStart w:id="95" w:name="_Hlk72405459"/>
      <w:r>
        <w:rPr>
          <w:rFonts w:hint="eastAsia" w:ascii="黑体" w:hAnsi="宋体" w:eastAsia="黑体"/>
          <w:szCs w:val="21"/>
        </w:rPr>
        <w:t>24．投标文件的保密</w:t>
      </w:r>
    </w:p>
    <w:p>
      <w:pPr>
        <w:ind w:firstLine="420" w:firstLineChars="200"/>
        <w:rPr>
          <w:rFonts w:ascii="宋体" w:hAnsi="宋体"/>
          <w:szCs w:val="21"/>
        </w:rPr>
      </w:pPr>
      <w:r>
        <w:rPr>
          <w:rFonts w:hint="eastAsia" w:ascii="宋体" w:hAnsi="宋体"/>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ind w:firstLine="422" w:firstLineChars="200"/>
        <w:rPr>
          <w:rFonts w:ascii="宋体" w:hAnsi="宋体"/>
          <w:b/>
          <w:szCs w:val="21"/>
        </w:rPr>
      </w:pPr>
      <w:r>
        <w:rPr>
          <w:rFonts w:hint="eastAsia" w:ascii="宋体" w:hAnsi="宋体"/>
          <w:b/>
          <w:szCs w:val="21"/>
        </w:rPr>
        <w:t>24.2若采购项目出现延期情况：</w:t>
      </w:r>
    </w:p>
    <w:p>
      <w:pPr>
        <w:ind w:firstLine="422" w:firstLineChars="200"/>
        <w:rPr>
          <w:rFonts w:ascii="黑体" w:hAnsi="宋体" w:eastAsia="黑体"/>
          <w:b/>
          <w:szCs w:val="21"/>
        </w:rPr>
      </w:pPr>
      <w:r>
        <w:rPr>
          <w:rFonts w:hint="eastAsia" w:ascii="宋体" w:hAnsi="宋体"/>
          <w:b/>
          <w:szCs w:val="21"/>
        </w:rPr>
        <w:t>如果供下载的招标文件有更新，投标人必须重新下载招标文件、重新制作投标文件、重新加密投标文件、重新上传投标文件。</w:t>
      </w:r>
    </w:p>
    <w:p>
      <w:pPr>
        <w:ind w:firstLine="420" w:firstLineChars="200"/>
        <w:rPr>
          <w:rFonts w:ascii="黑体" w:hAnsi="宋体" w:eastAsia="黑体"/>
          <w:szCs w:val="21"/>
        </w:rPr>
      </w:pPr>
      <w:r>
        <w:rPr>
          <w:rFonts w:hint="eastAsia" w:ascii="黑体" w:hAnsi="宋体" w:eastAsia="黑体"/>
          <w:szCs w:val="21"/>
        </w:rPr>
        <w:t>25．上传投标文件及投标截止日期</w:t>
      </w:r>
    </w:p>
    <w:p>
      <w:pPr>
        <w:ind w:firstLine="420" w:firstLineChars="200"/>
        <w:rPr>
          <w:rFonts w:ascii="宋体" w:hAnsi="宋体"/>
          <w:szCs w:val="21"/>
        </w:rPr>
      </w:pPr>
      <w:r>
        <w:rPr>
          <w:rFonts w:hint="eastAsia" w:ascii="宋体" w:hAnsi="宋体"/>
          <w:szCs w:val="21"/>
        </w:rPr>
        <w:t>25.1实行网上投标，投标人必须在招标文件规定的投标截止时间前用电子密钥登录“深圳市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政府采购业务分公司）3楼服务大厅（地址：深圳市南山区沙河西路3185号南山智谷A座深圳交易集团总部大楼）协助上传，但上传过程中投标截止时间到达仍无法上传成功的，由投标人自行负责</w:t>
      </w:r>
      <w:r>
        <w:rPr>
          <w:rFonts w:hint="eastAsia" w:ascii="宋体" w:hAnsi="宋体"/>
          <w:szCs w:val="21"/>
        </w:rPr>
        <w:t>。</w:t>
      </w:r>
    </w:p>
    <w:p>
      <w:pPr>
        <w:ind w:firstLine="420" w:firstLineChars="200"/>
        <w:rPr>
          <w:rFonts w:ascii="宋体" w:hAnsi="宋体"/>
          <w:szCs w:val="21"/>
        </w:rPr>
      </w:pPr>
      <w:r>
        <w:rPr>
          <w:rFonts w:hint="eastAsia" w:ascii="宋体" w:hAnsi="宋体"/>
          <w:szCs w:val="21"/>
        </w:rPr>
        <w:t>25.2</w:t>
      </w:r>
      <w:r>
        <w:rPr>
          <w:rFonts w:hint="eastAsia" w:ascii="宋体" w:hAnsi="宋体"/>
          <w:szCs w:val="21"/>
          <w:highlight w:val="yellow"/>
        </w:rPr>
        <w:t>采购代理机构</w:t>
      </w:r>
      <w:r>
        <w:rPr>
          <w:rFonts w:hint="eastAsia" w:ascii="宋体" w:hAnsi="宋体"/>
          <w:szCs w:val="21"/>
        </w:rPr>
        <w:t>可以按本通用条款第13条规定，通过修改招标文件自行决定酌情延长投标截止期。在此情况下，</w:t>
      </w:r>
      <w:r>
        <w:rPr>
          <w:rFonts w:hint="eastAsia" w:ascii="宋体" w:hAnsi="宋体"/>
          <w:szCs w:val="21"/>
          <w:highlight w:val="yellow"/>
        </w:rPr>
        <w:t>采购代理机构</w:t>
      </w:r>
      <w:r>
        <w:rPr>
          <w:rFonts w:hint="eastAsia" w:ascii="宋体" w:hAnsi="宋体"/>
          <w:szCs w:val="21"/>
        </w:rPr>
        <w:t>、采购人和投标人受投标截止期制约的所有权利和义务均应延长至新的截止期。</w:t>
      </w:r>
    </w:p>
    <w:p>
      <w:pPr>
        <w:ind w:firstLine="420" w:firstLineChars="200"/>
        <w:rPr>
          <w:rFonts w:ascii="宋体" w:hAnsi="宋体"/>
          <w:szCs w:val="21"/>
        </w:rPr>
      </w:pPr>
      <w:r>
        <w:rPr>
          <w:rFonts w:hint="eastAsia" w:ascii="宋体" w:hAnsi="宋体"/>
          <w:szCs w:val="21"/>
        </w:rPr>
        <w:t>25.3投标截止时间以后不得上传投标文件。</w:t>
      </w:r>
    </w:p>
    <w:bookmarkEnd w:id="95"/>
    <w:p>
      <w:pPr>
        <w:ind w:firstLine="420" w:firstLineChars="200"/>
        <w:rPr>
          <w:rFonts w:ascii="黑体" w:hAnsi="宋体" w:eastAsia="黑体"/>
          <w:szCs w:val="21"/>
        </w:rPr>
      </w:pPr>
      <w:r>
        <w:rPr>
          <w:rFonts w:hint="eastAsia" w:ascii="黑体" w:hAnsi="宋体" w:eastAsia="黑体"/>
          <w:szCs w:val="21"/>
        </w:rPr>
        <w:t>26. 样品、现场演示、方案讲解</w:t>
      </w:r>
    </w:p>
    <w:p>
      <w:pPr>
        <w:ind w:firstLine="420" w:firstLineChars="200"/>
        <w:rPr>
          <w:rFonts w:ascii="宋体" w:hAnsi="宋体"/>
          <w:szCs w:val="21"/>
        </w:rPr>
      </w:pPr>
      <w:r>
        <w:rPr>
          <w:rFonts w:hint="eastAsia" w:ascii="宋体" w:hAnsi="宋体"/>
          <w:szCs w:val="21"/>
        </w:rPr>
        <w:t>26.1 样品、现场演示、方案讲解等事项在招标文件专用条款中进行规定。</w:t>
      </w:r>
    </w:p>
    <w:p>
      <w:pPr>
        <w:ind w:firstLine="420" w:firstLineChars="200"/>
        <w:rPr>
          <w:rFonts w:ascii="黑体" w:hAnsi="宋体" w:eastAsia="黑体"/>
          <w:szCs w:val="21"/>
        </w:rPr>
      </w:pPr>
      <w:bookmarkStart w:id="96" w:name="_Hlk72428346"/>
      <w:r>
        <w:rPr>
          <w:rFonts w:hint="eastAsia" w:ascii="黑体" w:hAnsi="宋体" w:eastAsia="黑体"/>
          <w:szCs w:val="21"/>
        </w:rPr>
        <w:t>27．投标文件的修改和撤销</w:t>
      </w:r>
    </w:p>
    <w:p>
      <w:pPr>
        <w:ind w:firstLine="420" w:firstLineChars="200"/>
        <w:rPr>
          <w:rFonts w:ascii="宋体" w:hAnsi="宋体"/>
          <w:szCs w:val="21"/>
        </w:rPr>
      </w:pPr>
      <w:r>
        <w:rPr>
          <w:rFonts w:hint="eastAsia" w:ascii="宋体" w:hAnsi="宋体"/>
          <w:szCs w:val="21"/>
        </w:rPr>
        <w:t>27.1投标方在提交投标文件后可对其投标文件进行修改并重新上传投标文件或在网上进行撤销投标的操作。</w:t>
      </w:r>
    </w:p>
    <w:p>
      <w:pPr>
        <w:ind w:firstLine="420" w:firstLineChars="200"/>
        <w:rPr>
          <w:rFonts w:ascii="宋体" w:hAnsi="宋体"/>
          <w:szCs w:val="21"/>
        </w:rPr>
      </w:pPr>
      <w:r>
        <w:rPr>
          <w:rFonts w:hint="eastAsia" w:ascii="宋体" w:hAnsi="宋体"/>
          <w:szCs w:val="21"/>
        </w:rPr>
        <w:t>27.2投标截止时间以后不得修改投标文件。</w:t>
      </w:r>
    </w:p>
    <w:p>
      <w:pPr>
        <w:ind w:firstLine="420" w:firstLineChars="200"/>
        <w:rPr>
          <w:rFonts w:ascii="宋体" w:hAnsi="宋体"/>
          <w:szCs w:val="21"/>
        </w:rPr>
      </w:pPr>
      <w:r>
        <w:rPr>
          <w:rFonts w:hint="eastAsia" w:ascii="宋体" w:hAnsi="宋体"/>
          <w:szCs w:val="21"/>
        </w:rPr>
        <w:t>27.3从投标截止期至投标人在投标文件中确定的投标有效期之间的这段时间内，投标人不得撤回其投标。</w:t>
      </w:r>
    </w:p>
    <w:p>
      <w:pPr>
        <w:ind w:firstLine="420" w:firstLineChars="200"/>
        <w:rPr>
          <w:rFonts w:ascii="宋体" w:hAnsi="宋体"/>
          <w:szCs w:val="21"/>
        </w:rPr>
      </w:pPr>
      <w:r>
        <w:rPr>
          <w:rFonts w:hint="eastAsia" w:ascii="宋体" w:hAnsi="宋体"/>
          <w:szCs w:val="21"/>
        </w:rPr>
        <w:t>27.4</w:t>
      </w:r>
      <w:r>
        <w:rPr>
          <w:rFonts w:hint="eastAsia" w:ascii="宋体" w:hAnsi="宋体"/>
          <w:szCs w:val="21"/>
          <w:highlight w:val="yellow"/>
        </w:rPr>
        <w:t>采购代理机构</w:t>
      </w:r>
      <w:r>
        <w:rPr>
          <w:rFonts w:hint="eastAsia" w:ascii="宋体" w:hAnsi="宋体"/>
          <w:szCs w:val="21"/>
        </w:rPr>
        <w:t>不退还投标文件，专用条款另有规定的除外。</w:t>
      </w:r>
    </w:p>
    <w:bookmarkEnd w:id="96"/>
    <w:p>
      <w:pPr>
        <w:pStyle w:val="74"/>
        <w:keepNext/>
        <w:keepLines/>
        <w:numPr>
          <w:ilvl w:val="0"/>
          <w:numId w:val="19"/>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开标</w:t>
      </w:r>
    </w:p>
    <w:p>
      <w:pPr>
        <w:ind w:firstLine="420" w:firstLineChars="200"/>
        <w:rPr>
          <w:rFonts w:ascii="黑体" w:hAnsi="宋体" w:eastAsia="黑体"/>
          <w:szCs w:val="21"/>
        </w:rPr>
      </w:pPr>
      <w:r>
        <w:rPr>
          <w:rFonts w:hint="eastAsia" w:ascii="黑体" w:hAnsi="宋体" w:eastAsia="黑体"/>
          <w:szCs w:val="21"/>
        </w:rPr>
        <w:t>28．开标</w:t>
      </w:r>
    </w:p>
    <w:p>
      <w:pPr>
        <w:ind w:firstLine="420" w:firstLineChars="200"/>
        <w:rPr>
          <w:rFonts w:ascii="宋体" w:hAnsi="宋体"/>
          <w:szCs w:val="21"/>
        </w:rPr>
      </w:pPr>
      <w:r>
        <w:rPr>
          <w:rFonts w:hint="eastAsia" w:ascii="宋体" w:hAnsi="宋体"/>
          <w:szCs w:val="21"/>
        </w:rPr>
        <w:t>28.1如投标文件加密的，则投标人须在开标当日的开标时间至解密截止时间内进行解密，逾期未解密的作投标无效处理。解密方法：登录“深圳市自行采购系统（https://trade.szggzy.com/ggzy/center/#/login）”，使用本单位制作电子投标文件同一个电子密钥进行在线解密、查询开标情况。</w:t>
      </w:r>
    </w:p>
    <w:p>
      <w:pPr>
        <w:ind w:firstLine="420" w:firstLineChars="200"/>
        <w:rPr>
          <w:rFonts w:ascii="宋体" w:hAnsi="宋体"/>
          <w:szCs w:val="21"/>
        </w:rPr>
      </w:pPr>
      <w:r>
        <w:rPr>
          <w:rFonts w:hint="eastAsia" w:ascii="宋体" w:hAnsi="宋体"/>
          <w:szCs w:val="21"/>
        </w:rPr>
        <w:t>28.2</w:t>
      </w:r>
      <w:r>
        <w:rPr>
          <w:rFonts w:hint="eastAsia" w:ascii="宋体" w:hAnsi="宋体"/>
          <w:szCs w:val="21"/>
          <w:highlight w:val="yellow"/>
        </w:rPr>
        <w:t>采购代理机构</w:t>
      </w:r>
      <w:r>
        <w:rPr>
          <w:rFonts w:hint="eastAsia" w:ascii="宋体" w:hAnsi="宋体"/>
          <w:szCs w:val="21"/>
        </w:rPr>
        <w:t>将在满足开标条件（①解密时间结束，解密后的投标供应商数量满足开标要求或②解密时间结束前所有投标供应商均完成投标文件解密）后，对投标文件进行开标，并在网上公布开标结果。</w:t>
      </w:r>
    </w:p>
    <w:p>
      <w:pPr>
        <w:pStyle w:val="74"/>
        <w:keepNext/>
        <w:keepLines/>
        <w:numPr>
          <w:ilvl w:val="0"/>
          <w:numId w:val="19"/>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评审要求</w:t>
      </w:r>
    </w:p>
    <w:p>
      <w:pPr>
        <w:ind w:firstLine="420" w:firstLineChars="200"/>
        <w:rPr>
          <w:rFonts w:ascii="黑体" w:hAnsi="宋体" w:eastAsia="黑体"/>
          <w:szCs w:val="21"/>
        </w:rPr>
      </w:pPr>
      <w:r>
        <w:rPr>
          <w:rFonts w:hint="eastAsia" w:ascii="黑体" w:hAnsi="宋体" w:eastAsia="黑体"/>
          <w:szCs w:val="21"/>
        </w:rPr>
        <w:t>29．评审委员会组成</w:t>
      </w:r>
    </w:p>
    <w:p>
      <w:pPr>
        <w:ind w:firstLine="420" w:firstLineChars="200"/>
        <w:rPr>
          <w:rFonts w:ascii="宋体" w:hAnsi="宋体"/>
          <w:szCs w:val="21"/>
        </w:rPr>
      </w:pPr>
      <w:r>
        <w:rPr>
          <w:rFonts w:hint="eastAsia" w:ascii="宋体" w:hAnsi="宋体"/>
          <w:szCs w:val="21"/>
        </w:rPr>
        <w:t>29.1网上开标结束后召开评审会议，评审委员会由</w:t>
      </w:r>
      <w:r>
        <w:rPr>
          <w:rFonts w:hint="eastAsia" w:ascii="宋体" w:hAnsi="宋体"/>
          <w:szCs w:val="21"/>
          <w:highlight w:val="yellow"/>
        </w:rPr>
        <w:t>采购代理机构</w:t>
      </w:r>
      <w:r>
        <w:rPr>
          <w:rFonts w:hint="eastAsia" w:ascii="宋体" w:hAnsi="宋体"/>
          <w:szCs w:val="21"/>
        </w:rPr>
        <w:t>依法组建，负责评审活动。</w:t>
      </w:r>
    </w:p>
    <w:p>
      <w:pPr>
        <w:ind w:firstLine="420" w:firstLineChars="200"/>
        <w:rPr>
          <w:rFonts w:ascii="宋体" w:hAnsi="宋体"/>
          <w:color w:val="FF0000"/>
          <w:szCs w:val="21"/>
          <w:highlight w:val="yellow"/>
        </w:rPr>
      </w:pPr>
      <w:bookmarkStart w:id="97" w:name="_Hlk72436580"/>
      <w:r>
        <w:rPr>
          <w:rFonts w:hint="eastAsia" w:ascii="宋体" w:hAnsi="宋体"/>
          <w:szCs w:val="21"/>
        </w:rPr>
        <w:t>评审委员会由采购人代表和评审专家组成，成员人数应当为5人以上单数（部分条件下为7人以上单数），其中评审专家不得少于成员总数的三分之二。</w:t>
      </w:r>
      <w:bookmarkEnd w:id="97"/>
      <w:r>
        <w:rPr>
          <w:rFonts w:hint="eastAsia" w:ascii="宋体" w:hAnsi="宋体"/>
          <w:szCs w:val="21"/>
        </w:rPr>
        <w:t>评定</w:t>
      </w:r>
      <w:r>
        <w:rPr>
          <w:rFonts w:hint="eastAsia"/>
          <w:szCs w:val="21"/>
        </w:rPr>
        <w:t>分离项目评审专家均由评审专家组成。</w:t>
      </w:r>
      <w:r>
        <w:rPr>
          <w:rFonts w:hint="eastAsia" w:ascii="宋体" w:hAnsi="宋体"/>
          <w:szCs w:val="21"/>
        </w:rPr>
        <w:t>评审专家一般是从深圳市政府采购评审专家库中随机抽取。采购人代表须持本单位签发的《评审授权书》参加评审。</w:t>
      </w:r>
      <w:r>
        <w:rPr>
          <w:rFonts w:hint="eastAsia" w:ascii="宋体" w:hAnsi="宋体"/>
          <w:color w:val="FF0000"/>
          <w:szCs w:val="21"/>
          <w:highlight w:val="yellow"/>
        </w:rPr>
        <w:t>根据财政部门要求，将食材、物业管理、清扫保洁、保安服务、家具、窗帘、园林绿化、社工服务、“城市管家”九类采购项目作为严管项目，实行“通用品目+专业品目”组合抽取制。严管项目的范围由市财政部门根据监管需要适时调整。上述所称专业品目是指，与项目采购标的相对应的品目，具体由采购人商采购代理机构根据项目需求自主确定。通用品目具体由会计、审计、法律、人力资源管理、资产评估、金融服务品目下的所有专家合并组成。专业品目下产生的专家人数占抽取总人数的比例不得超过50%（含本数），除此之外的专家均从通用品目库中随机抽取。注：论证专家抽取规则无需按此要求执行，具体严管项目的范围由市财政部门根据监管需要适时调整。</w:t>
      </w:r>
    </w:p>
    <w:p>
      <w:pPr>
        <w:ind w:firstLine="420" w:firstLineChars="200"/>
        <w:rPr>
          <w:rFonts w:ascii="宋体" w:hAnsi="宋体"/>
          <w:szCs w:val="21"/>
        </w:rPr>
      </w:pPr>
      <w:r>
        <w:rPr>
          <w:rFonts w:hint="eastAsia" w:ascii="宋体" w:hAnsi="宋体"/>
          <w:szCs w:val="21"/>
        </w:rPr>
        <w:t>29.2评审定标应当遵循公平、公正、科学、择优的原则。</w:t>
      </w:r>
    </w:p>
    <w:p>
      <w:pPr>
        <w:ind w:firstLine="420" w:firstLineChars="200"/>
        <w:rPr>
          <w:rFonts w:ascii="宋体" w:hAnsi="宋体"/>
          <w:szCs w:val="21"/>
        </w:rPr>
      </w:pPr>
      <w:r>
        <w:rPr>
          <w:rFonts w:hint="eastAsia" w:ascii="宋体" w:hAnsi="宋体"/>
          <w:szCs w:val="21"/>
        </w:rPr>
        <w:t>29.3评审活动依法进行，任何单位和个人不得非法干预评标过程和结果。</w:t>
      </w:r>
    </w:p>
    <w:p>
      <w:pPr>
        <w:ind w:firstLine="420" w:firstLineChars="200"/>
        <w:rPr>
          <w:rFonts w:ascii="宋体" w:hAnsi="宋体"/>
          <w:szCs w:val="21"/>
        </w:rPr>
      </w:pPr>
      <w:r>
        <w:rPr>
          <w:rFonts w:hint="eastAsia" w:ascii="宋体" w:hAnsi="宋体"/>
          <w:szCs w:val="21"/>
        </w:rPr>
        <w:t>29.4评审过程中不允许违背评标程序或采用招标文件未载明的评标方法或评标因素进行评标。</w:t>
      </w:r>
    </w:p>
    <w:p>
      <w:pPr>
        <w:ind w:firstLine="420" w:firstLineChars="200"/>
        <w:rPr>
          <w:rFonts w:ascii="宋体" w:hAnsi="宋体"/>
          <w:bCs/>
          <w:szCs w:val="21"/>
        </w:rPr>
      </w:pPr>
      <w:r>
        <w:rPr>
          <w:rFonts w:hint="eastAsia" w:ascii="宋体" w:hAnsi="宋体"/>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hint="eastAsia" w:ascii="宋体" w:hAnsi="宋体"/>
          <w:bCs/>
          <w:szCs w:val="21"/>
        </w:rPr>
        <w:t>）。</w:t>
      </w:r>
    </w:p>
    <w:p>
      <w:pPr>
        <w:ind w:firstLine="420" w:firstLineChars="200"/>
        <w:rPr>
          <w:rFonts w:ascii="黑体" w:hAnsi="宋体" w:eastAsia="黑体"/>
          <w:szCs w:val="21"/>
        </w:rPr>
      </w:pPr>
      <w:r>
        <w:rPr>
          <w:rFonts w:hint="eastAsia" w:ascii="黑体" w:hAnsi="宋体" w:eastAsia="黑体"/>
          <w:szCs w:val="21"/>
        </w:rPr>
        <w:t>30．向评审委员会提供的资料</w:t>
      </w:r>
    </w:p>
    <w:p>
      <w:pPr>
        <w:ind w:firstLine="420" w:firstLineChars="200"/>
        <w:rPr>
          <w:rFonts w:ascii="宋体" w:hAnsi="宋体"/>
          <w:szCs w:val="21"/>
        </w:rPr>
      </w:pPr>
      <w:r>
        <w:rPr>
          <w:rFonts w:hint="eastAsia" w:ascii="宋体" w:hAnsi="宋体"/>
          <w:szCs w:val="21"/>
        </w:rPr>
        <w:t>30.1公开发布的招标文件，包括图纸、服务清单、答疑文件等；</w:t>
      </w:r>
    </w:p>
    <w:p>
      <w:pPr>
        <w:ind w:firstLine="420" w:firstLineChars="200"/>
        <w:rPr>
          <w:rFonts w:ascii="宋体" w:hAnsi="宋体"/>
          <w:szCs w:val="21"/>
        </w:rPr>
      </w:pPr>
      <w:r>
        <w:rPr>
          <w:rFonts w:hint="eastAsia" w:ascii="宋体" w:hAnsi="宋体"/>
          <w:szCs w:val="21"/>
        </w:rPr>
        <w:t>30.2其他评标必须的资料。</w:t>
      </w:r>
    </w:p>
    <w:p>
      <w:pPr>
        <w:ind w:firstLine="420" w:firstLineChars="200"/>
        <w:rPr>
          <w:rFonts w:ascii="宋体" w:hAnsi="宋体"/>
          <w:szCs w:val="21"/>
        </w:rPr>
      </w:pPr>
      <w:r>
        <w:rPr>
          <w:rFonts w:hint="eastAsia" w:ascii="宋体" w:hAnsi="宋体"/>
          <w:szCs w:val="21"/>
        </w:rPr>
        <w:t>30.3评审委员会应当认真研究招标文件，至少应了解熟悉以下内容：</w:t>
      </w:r>
    </w:p>
    <w:p>
      <w:pPr>
        <w:ind w:firstLine="420" w:firstLineChars="200"/>
        <w:rPr>
          <w:rFonts w:ascii="宋体" w:hAnsi="宋体"/>
          <w:szCs w:val="21"/>
        </w:rPr>
      </w:pPr>
      <w:r>
        <w:rPr>
          <w:rFonts w:hint="eastAsia" w:ascii="宋体" w:hAnsi="宋体"/>
          <w:szCs w:val="21"/>
        </w:rPr>
        <w:t>（1）招标的目的；</w:t>
      </w:r>
    </w:p>
    <w:p>
      <w:pPr>
        <w:ind w:firstLine="420" w:firstLineChars="200"/>
        <w:rPr>
          <w:rFonts w:ascii="宋体" w:hAnsi="宋体"/>
          <w:szCs w:val="21"/>
        </w:rPr>
      </w:pPr>
      <w:r>
        <w:rPr>
          <w:rFonts w:hint="eastAsia" w:ascii="宋体" w:hAnsi="宋体"/>
          <w:szCs w:val="21"/>
        </w:rPr>
        <w:t>（2）招标项目需求的范围和性质；</w:t>
      </w:r>
    </w:p>
    <w:p>
      <w:pPr>
        <w:ind w:firstLine="420" w:firstLineChars="200"/>
        <w:rPr>
          <w:rFonts w:ascii="宋体" w:hAnsi="宋体"/>
          <w:szCs w:val="21"/>
        </w:rPr>
      </w:pPr>
      <w:r>
        <w:rPr>
          <w:rFonts w:hint="eastAsia" w:ascii="宋体" w:hAnsi="宋体"/>
          <w:szCs w:val="21"/>
        </w:rPr>
        <w:t>（3）招标文件规定的投标人的资格、财政预算限额、商务条款；</w:t>
      </w:r>
    </w:p>
    <w:p>
      <w:pPr>
        <w:ind w:firstLine="420" w:firstLineChars="200"/>
        <w:rPr>
          <w:rFonts w:ascii="宋体" w:hAnsi="宋体"/>
          <w:szCs w:val="21"/>
        </w:rPr>
      </w:pPr>
      <w:r>
        <w:rPr>
          <w:rFonts w:hint="eastAsia" w:ascii="宋体" w:hAnsi="宋体"/>
          <w:szCs w:val="21"/>
        </w:rPr>
        <w:t>（4）招标文件规定的评标程序、评标方法和评标因素；</w:t>
      </w:r>
    </w:p>
    <w:p>
      <w:pPr>
        <w:ind w:firstLine="420" w:firstLineChars="200"/>
        <w:rPr>
          <w:rFonts w:ascii="宋体" w:hAnsi="宋体"/>
          <w:szCs w:val="21"/>
        </w:rPr>
      </w:pPr>
      <w:r>
        <w:rPr>
          <w:rFonts w:hint="eastAsia" w:ascii="宋体" w:hAnsi="宋体"/>
          <w:szCs w:val="21"/>
        </w:rPr>
        <w:t>（5）招标文件所列示的资格性审查表及符合性审查表。</w:t>
      </w:r>
    </w:p>
    <w:p>
      <w:pPr>
        <w:ind w:firstLine="420" w:firstLineChars="200"/>
        <w:rPr>
          <w:rFonts w:ascii="黑体" w:hAnsi="宋体" w:eastAsia="黑体"/>
          <w:szCs w:val="21"/>
        </w:rPr>
      </w:pPr>
      <w:r>
        <w:rPr>
          <w:rFonts w:hint="eastAsia" w:ascii="黑体" w:hAnsi="宋体" w:eastAsia="黑体"/>
          <w:szCs w:val="21"/>
        </w:rPr>
        <w:t>31．独立评审</w:t>
      </w:r>
    </w:p>
    <w:p>
      <w:pPr>
        <w:ind w:firstLine="420" w:firstLineChars="200"/>
        <w:rPr>
          <w:rFonts w:ascii="宋体" w:hAnsi="宋体"/>
          <w:bCs/>
          <w:szCs w:val="21"/>
        </w:rPr>
      </w:pPr>
      <w:r>
        <w:rPr>
          <w:rFonts w:hint="eastAsia" w:ascii="宋体" w:hAnsi="宋体"/>
          <w:bCs/>
          <w:szCs w:val="21"/>
        </w:rPr>
        <w:t>31.1</w:t>
      </w:r>
      <w:r>
        <w:rPr>
          <w:rFonts w:hint="eastAsia" w:ascii="宋体" w:hAnsi="宋体"/>
          <w:szCs w:val="21"/>
        </w:rPr>
        <w:t>评审委员会</w:t>
      </w:r>
      <w:r>
        <w:rPr>
          <w:rFonts w:hint="eastAsia" w:ascii="宋体" w:hAnsi="宋体"/>
          <w:bCs/>
          <w:szCs w:val="21"/>
        </w:rPr>
        <w:t>成员的评标活动应当独立进行，并应遵循投标文件初审、澄清有关问题、比较与评价、确定中标供应商、编写评审报告的工作程序。</w:t>
      </w:r>
    </w:p>
    <w:p>
      <w:pPr>
        <w:ind w:firstLine="411" w:firstLineChars="196"/>
        <w:rPr>
          <w:rFonts w:ascii="宋体" w:hAnsi="宋体"/>
          <w:bCs/>
          <w:szCs w:val="21"/>
        </w:rPr>
      </w:pPr>
    </w:p>
    <w:p>
      <w:pPr>
        <w:pStyle w:val="74"/>
        <w:keepNext/>
        <w:keepLines/>
        <w:numPr>
          <w:ilvl w:val="0"/>
          <w:numId w:val="19"/>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评审程序及评审方法</w:t>
      </w:r>
    </w:p>
    <w:p>
      <w:pPr>
        <w:ind w:firstLine="420" w:firstLineChars="200"/>
        <w:rPr>
          <w:rFonts w:ascii="黑体" w:hAnsi="宋体" w:eastAsia="黑体"/>
          <w:szCs w:val="21"/>
        </w:rPr>
      </w:pPr>
      <w:r>
        <w:rPr>
          <w:rFonts w:hint="eastAsia" w:ascii="黑体" w:hAnsi="宋体" w:eastAsia="黑体"/>
          <w:szCs w:val="21"/>
        </w:rPr>
        <w:t>32．投标文件初审</w:t>
      </w:r>
    </w:p>
    <w:p>
      <w:pPr>
        <w:ind w:firstLine="420" w:firstLineChars="200"/>
        <w:rPr>
          <w:rFonts w:ascii="宋体" w:hAnsi="宋体"/>
          <w:szCs w:val="21"/>
        </w:rPr>
      </w:pPr>
      <w:r>
        <w:rPr>
          <w:rFonts w:hint="eastAsia" w:ascii="宋体" w:hAnsi="宋体"/>
          <w:szCs w:val="21"/>
        </w:rPr>
        <w:t>32.1投标文件初审包括资格性审查和符合性审查。</w:t>
      </w:r>
    </w:p>
    <w:p>
      <w:pPr>
        <w:ind w:firstLine="420" w:firstLineChars="200"/>
        <w:rPr>
          <w:rFonts w:ascii="宋体" w:hAnsi="宋体"/>
          <w:szCs w:val="21"/>
        </w:rPr>
      </w:pPr>
      <w:r>
        <w:rPr>
          <w:rFonts w:hint="eastAsia" w:ascii="宋体" w:hAnsi="宋体"/>
          <w:szCs w:val="21"/>
        </w:rPr>
        <w:t>资格性审查：依据法律法规和招标文件的规定，对投标文件中的资格证明等进行审查，以确定投标供应商是否具备投标资格。</w:t>
      </w:r>
    </w:p>
    <w:p>
      <w:pPr>
        <w:ind w:firstLine="420" w:firstLineChars="200"/>
        <w:rPr>
          <w:rFonts w:ascii="宋体" w:hAnsi="宋体"/>
          <w:szCs w:val="21"/>
        </w:rPr>
      </w:pPr>
      <w:r>
        <w:rPr>
          <w:rFonts w:hint="eastAsia" w:ascii="宋体" w:hAnsi="宋体"/>
          <w:szCs w:val="21"/>
        </w:rPr>
        <w:t>符合性审查：依据招标文件的规定，对投标文件的有效性、完整性和对招标文件的响应程度进行审查，以确定是否满足符合性审查的要求。</w:t>
      </w:r>
    </w:p>
    <w:p>
      <w:pPr>
        <w:ind w:firstLine="420" w:firstLineChars="200"/>
        <w:rPr>
          <w:rFonts w:ascii="宋体" w:hAnsi="宋体"/>
          <w:szCs w:val="21"/>
        </w:rPr>
      </w:pPr>
      <w:r>
        <w:rPr>
          <w:rFonts w:hint="eastAsia" w:ascii="宋体" w:hAnsi="宋体"/>
          <w:szCs w:val="21"/>
        </w:rPr>
        <w:t>32.2 投标文件初审内容请详见《资格性审查表》和《符合性审查表》部分。投标人若有一条审查不通过则按投标无效处理。</w:t>
      </w:r>
    </w:p>
    <w:p>
      <w:pPr>
        <w:ind w:firstLine="420" w:firstLineChars="200"/>
        <w:rPr>
          <w:rFonts w:ascii="宋体" w:hAnsi="宋体"/>
          <w:bCs/>
          <w:szCs w:val="21"/>
        </w:rPr>
      </w:pPr>
      <w:r>
        <w:rPr>
          <w:rFonts w:hint="eastAsia" w:ascii="宋体" w:hAnsi="宋体"/>
          <w:bCs/>
          <w:szCs w:val="21"/>
        </w:rPr>
        <w:t>32.3 投标文件初审中关于供应商家数的计算:</w:t>
      </w:r>
    </w:p>
    <w:p>
      <w:pPr>
        <w:ind w:firstLine="420" w:firstLineChars="200"/>
        <w:rPr>
          <w:rFonts w:ascii="宋体" w:hAnsi="宋体"/>
          <w:bCs/>
          <w:szCs w:val="21"/>
        </w:rPr>
      </w:pPr>
      <w:r>
        <w:rPr>
          <w:rFonts w:hint="eastAsia" w:ascii="宋体" w:hAnsi="宋体"/>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20" w:firstLineChars="200"/>
        <w:rPr>
          <w:rFonts w:ascii="宋体" w:hAnsi="宋体"/>
          <w:bCs/>
          <w:szCs w:val="21"/>
        </w:rPr>
      </w:pPr>
      <w:r>
        <w:rPr>
          <w:rFonts w:hint="eastAsia" w:ascii="宋体" w:hAnsi="宋体"/>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ind w:firstLine="420" w:firstLineChars="200"/>
        <w:rPr>
          <w:rFonts w:ascii="宋体" w:hAnsi="宋体"/>
          <w:bCs/>
          <w:szCs w:val="21"/>
        </w:rPr>
      </w:pPr>
      <w:r>
        <w:rPr>
          <w:rFonts w:hint="eastAsia" w:ascii="宋体" w:hAnsi="宋体"/>
          <w:bCs/>
          <w:szCs w:val="21"/>
        </w:rPr>
        <w:t>32.3.3非单一产品采购项目，采购人应当根据采购项目技术构成、产品价格比重等合理确定核心产品，并在招标文件中载明。多家投标人提供的核心产品品牌相同的，按前两款规定处理。</w:t>
      </w:r>
    </w:p>
    <w:p>
      <w:pPr>
        <w:ind w:firstLine="420" w:firstLineChars="200"/>
        <w:rPr>
          <w:rFonts w:ascii="宋体" w:hAnsi="宋体"/>
          <w:szCs w:val="21"/>
        </w:rPr>
      </w:pPr>
      <w:r>
        <w:rPr>
          <w:rFonts w:hint="eastAsia" w:ascii="宋体" w:hAnsi="宋体"/>
          <w:szCs w:val="21"/>
        </w:rPr>
        <w:t>32.4投标人投标文件作无效处理的情形，具体包括但不限于以下：</w:t>
      </w:r>
    </w:p>
    <w:p>
      <w:pPr>
        <w:ind w:firstLine="420" w:firstLineChars="200"/>
        <w:rPr>
          <w:szCs w:val="21"/>
        </w:rPr>
      </w:pPr>
      <w:r>
        <w:rPr>
          <w:rFonts w:hint="eastAsia" w:ascii="宋体" w:hAnsi="宋体"/>
          <w:szCs w:val="21"/>
        </w:rPr>
        <w:t>32.4.1</w:t>
      </w:r>
      <w:r>
        <w:rPr>
          <w:rFonts w:hint="eastAsia"/>
          <w:szCs w:val="21"/>
        </w:rPr>
        <w:t>不同投标人的投标文件由同一单位或者同一个人编制，或者由同一个人分阶段参与编制；</w:t>
      </w:r>
    </w:p>
    <w:p>
      <w:pPr>
        <w:ind w:firstLine="420" w:firstLineChars="200"/>
        <w:rPr>
          <w:szCs w:val="21"/>
        </w:rPr>
      </w:pPr>
      <w:r>
        <w:rPr>
          <w:rFonts w:hint="eastAsia" w:ascii="宋体" w:hAnsi="宋体"/>
          <w:szCs w:val="21"/>
        </w:rPr>
        <w:t>32.4.2</w:t>
      </w:r>
      <w:r>
        <w:rPr>
          <w:rFonts w:hint="eastAsia"/>
          <w:szCs w:val="21"/>
        </w:rPr>
        <w:t>不同投标人委托同一单位或者个人办理投标事宜；</w:t>
      </w:r>
    </w:p>
    <w:p>
      <w:pPr>
        <w:ind w:firstLine="420" w:firstLineChars="200"/>
        <w:rPr>
          <w:rFonts w:ascii="宋体" w:hAnsi="宋体"/>
          <w:szCs w:val="21"/>
        </w:rPr>
      </w:pPr>
      <w:r>
        <w:rPr>
          <w:rFonts w:hint="eastAsia" w:ascii="宋体" w:hAnsi="宋体"/>
          <w:szCs w:val="21"/>
        </w:rPr>
        <w:t>32.4.3不同投标人的投标文件载明的项目管理成员或者联系人员为同一人；</w:t>
      </w:r>
    </w:p>
    <w:p>
      <w:pPr>
        <w:ind w:firstLine="420" w:firstLineChars="200"/>
        <w:rPr>
          <w:rFonts w:ascii="宋体" w:hAnsi="宋体"/>
          <w:szCs w:val="21"/>
        </w:rPr>
      </w:pPr>
      <w:r>
        <w:rPr>
          <w:rFonts w:hint="eastAsia" w:ascii="宋体" w:hAnsi="宋体"/>
          <w:szCs w:val="21"/>
        </w:rPr>
        <w:t>32.4.4不同投标人的投标文件异常一致或者投标报价呈规律性差异；</w:t>
      </w:r>
    </w:p>
    <w:p>
      <w:pPr>
        <w:ind w:firstLine="420" w:firstLineChars="200"/>
        <w:rPr>
          <w:rFonts w:ascii="宋体" w:hAnsi="宋体"/>
          <w:szCs w:val="21"/>
        </w:rPr>
      </w:pPr>
      <w:r>
        <w:rPr>
          <w:rFonts w:hint="eastAsia" w:ascii="宋体" w:hAnsi="宋体"/>
          <w:szCs w:val="21"/>
        </w:rPr>
        <w:t>32.4.5不同投标供应商的投标文件或部分投标文件相互混装；</w:t>
      </w:r>
    </w:p>
    <w:p>
      <w:pPr>
        <w:ind w:firstLine="420" w:firstLineChars="200"/>
        <w:rPr>
          <w:rFonts w:ascii="宋体" w:hAnsi="宋体"/>
          <w:szCs w:val="21"/>
        </w:rPr>
      </w:pPr>
      <w:r>
        <w:rPr>
          <w:rFonts w:hint="eastAsia" w:ascii="宋体" w:hAnsi="宋体"/>
          <w:szCs w:val="21"/>
        </w:rPr>
        <w:t>32.4.6投标供应商之间相互约定给予未中标的供应商利益补偿；</w:t>
      </w:r>
    </w:p>
    <w:p>
      <w:pPr>
        <w:ind w:firstLine="420" w:firstLineChars="200"/>
        <w:rPr>
          <w:rFonts w:ascii="宋体" w:hAnsi="宋体"/>
          <w:szCs w:val="21"/>
        </w:rPr>
      </w:pPr>
      <w:r>
        <w:rPr>
          <w:rFonts w:hint="eastAsia" w:ascii="宋体" w:hAnsi="宋体"/>
          <w:szCs w:val="21"/>
        </w:rPr>
        <w:t>32.4.7不同投标供应商的法定代表人、主要经营负责人、项目投标授权代表人、项目负责人、主要技术人员为同一人、属同一单位或者同一单位缴纳社会保险；</w:t>
      </w:r>
    </w:p>
    <w:p>
      <w:pPr>
        <w:ind w:firstLine="420" w:firstLineChars="200"/>
        <w:rPr>
          <w:rFonts w:ascii="宋体" w:hAnsi="宋体"/>
          <w:szCs w:val="21"/>
        </w:rPr>
      </w:pPr>
      <w:r>
        <w:rPr>
          <w:rFonts w:hint="eastAsia" w:ascii="宋体" w:hAnsi="宋体"/>
          <w:szCs w:val="21"/>
        </w:rPr>
        <w:t>32.4.8不同投标供应商的投标文件内容存在非正常一致；</w:t>
      </w:r>
    </w:p>
    <w:p>
      <w:pPr>
        <w:ind w:firstLine="420" w:firstLineChars="200"/>
        <w:rPr>
          <w:rFonts w:ascii="宋体" w:hAnsi="宋体"/>
          <w:szCs w:val="21"/>
        </w:rPr>
      </w:pPr>
      <w:r>
        <w:rPr>
          <w:rFonts w:hint="eastAsia" w:ascii="宋体" w:hAnsi="宋体"/>
          <w:szCs w:val="21"/>
        </w:rPr>
        <w:t>32.4.9在同一单位工作人员为两家以上（含两家）供应商进行同一项投标活动；</w:t>
      </w:r>
    </w:p>
    <w:p>
      <w:pPr>
        <w:ind w:firstLine="420" w:firstLineChars="200"/>
        <w:rPr>
          <w:rFonts w:ascii="宋体" w:hAnsi="宋体"/>
          <w:szCs w:val="21"/>
        </w:rPr>
      </w:pPr>
      <w:r>
        <w:rPr>
          <w:rFonts w:hint="eastAsia" w:ascii="宋体" w:hAnsi="宋体"/>
          <w:szCs w:val="21"/>
        </w:rPr>
        <w:t>32.4.10主管部门依照法律、法规认定的其他情形。</w:t>
      </w:r>
    </w:p>
    <w:p>
      <w:pPr>
        <w:ind w:firstLine="420" w:firstLineChars="200"/>
        <w:rPr>
          <w:rFonts w:ascii="宋体" w:hAnsi="宋体"/>
          <w:szCs w:val="21"/>
        </w:rPr>
      </w:pPr>
      <w:r>
        <w:rPr>
          <w:rFonts w:hint="eastAsia" w:ascii="宋体" w:hAnsi="宋体"/>
          <w:szCs w:val="21"/>
        </w:rPr>
        <w:t>32.5对不属于《资格性审查表》和《符合性审查表》所列的其他情形，除专用条款另有规定和32.4条款所列情形外，不得作为投标无效的理由。</w:t>
      </w:r>
    </w:p>
    <w:p>
      <w:pPr>
        <w:ind w:firstLine="420" w:firstLineChars="200"/>
        <w:rPr>
          <w:rFonts w:ascii="黑体" w:hAnsi="宋体" w:eastAsia="黑体"/>
          <w:szCs w:val="21"/>
        </w:rPr>
      </w:pPr>
      <w:r>
        <w:rPr>
          <w:rFonts w:hint="eastAsia" w:ascii="黑体" w:hAnsi="宋体" w:eastAsia="黑体"/>
          <w:szCs w:val="21"/>
        </w:rPr>
        <w:t>33．澄清有关问题</w:t>
      </w:r>
    </w:p>
    <w:p>
      <w:pPr>
        <w:ind w:firstLine="420" w:firstLineChars="200"/>
        <w:rPr>
          <w:rFonts w:ascii="宋体" w:hAnsi="宋体"/>
          <w:szCs w:val="21"/>
        </w:rPr>
      </w:pPr>
      <w:bookmarkStart w:id="98" w:name="_Hlk71407321"/>
      <w:r>
        <w:rPr>
          <w:rFonts w:hint="eastAsia" w:ascii="宋体" w:hAnsi="宋体"/>
          <w:szCs w:val="21"/>
        </w:rPr>
        <w:t>33.1对招标文件中描述有歧义或前后不一致的地方（不含</w:t>
      </w:r>
      <w:r>
        <w:rPr>
          <w:rFonts w:hint="eastAsia"/>
          <w:szCs w:val="21"/>
        </w:rPr>
        <w:t>招标文件存在歧义、重大缺陷导致评审工作无法进行的情况）</w:t>
      </w:r>
      <w:r>
        <w:rPr>
          <w:rFonts w:hint="eastAsia" w:ascii="宋体" w:hAnsi="宋体"/>
          <w:szCs w:val="21"/>
        </w:rPr>
        <w:t>，评审委员会有权进行评判，但对同一条款的评判应适用于每个投标人。</w:t>
      </w:r>
      <w:bookmarkEnd w:id="98"/>
    </w:p>
    <w:p>
      <w:pPr>
        <w:ind w:firstLine="420" w:firstLineChars="200"/>
        <w:rPr>
          <w:rFonts w:ascii="宋体" w:hAnsi="宋体"/>
          <w:szCs w:val="21"/>
        </w:rPr>
      </w:pPr>
      <w:r>
        <w:rPr>
          <w:rFonts w:hint="eastAsia" w:ascii="宋体" w:hAnsi="宋体"/>
          <w:szCs w:val="21"/>
        </w:rPr>
        <w:t>33.2</w:t>
      </w:r>
      <w:r>
        <w:rPr>
          <w:rFonts w:hint="eastAsia"/>
          <w:szCs w:val="21"/>
        </w:rPr>
        <w:t>评审委员会发现招标文件存在歧义、重大缺陷导致评审工作无法进行，或者招标文件内容违反国家有关强制性规定的，应当停止评审工作，与</w:t>
      </w:r>
      <w:r>
        <w:rPr>
          <w:rFonts w:hint="eastAsia" w:ascii="宋体" w:hAnsi="宋体"/>
          <w:szCs w:val="21"/>
          <w:highlight w:val="yellow"/>
        </w:rPr>
        <w:t>采购代理机构</w:t>
      </w:r>
      <w:r>
        <w:rPr>
          <w:rFonts w:hint="eastAsia"/>
          <w:szCs w:val="21"/>
        </w:rPr>
        <w:t>沟通并作书面记录。经确认后，项目应当修改招标文件，重新组织采购活动。</w:t>
      </w:r>
    </w:p>
    <w:p>
      <w:pPr>
        <w:ind w:firstLine="420" w:firstLineChars="200"/>
        <w:rPr>
          <w:rFonts w:ascii="宋体" w:hAnsi="宋体"/>
          <w:szCs w:val="21"/>
        </w:rPr>
      </w:pPr>
      <w:r>
        <w:rPr>
          <w:rFonts w:hint="eastAsia" w:ascii="宋体" w:hAnsi="宋体"/>
          <w:szCs w:val="21"/>
        </w:rPr>
        <w:t>33.3对于投标文件中含义不明确、同类问题表述不一致或者有明显文字和计算错误的内容，评审委员会应当以书面形式要求投标人作出必要的澄清、说明或者补正。</w:t>
      </w:r>
    </w:p>
    <w:p>
      <w:pPr>
        <w:ind w:firstLine="420" w:firstLineChars="200"/>
        <w:rPr>
          <w:rFonts w:ascii="宋体" w:hAnsi="宋体"/>
          <w:szCs w:val="21"/>
        </w:rPr>
      </w:pPr>
      <w:r>
        <w:rPr>
          <w:rFonts w:hint="eastAsia" w:ascii="宋体" w:hAnsi="宋体"/>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20" w:firstLineChars="200"/>
        <w:rPr>
          <w:rFonts w:ascii="宋体" w:hAnsi="宋体"/>
          <w:szCs w:val="21"/>
        </w:rPr>
      </w:pPr>
      <w:r>
        <w:rPr>
          <w:rFonts w:hint="eastAsia" w:ascii="宋体" w:hAnsi="宋体"/>
          <w:szCs w:val="21"/>
        </w:rPr>
        <w:t>根据本通用条款第34条，凡属于评审委员会在评审中发现的算术错误进行核实的修改不在此列。</w:t>
      </w:r>
    </w:p>
    <w:p>
      <w:pPr>
        <w:ind w:firstLine="420" w:firstLineChars="200"/>
        <w:rPr>
          <w:rFonts w:ascii="黑体" w:hAnsi="宋体" w:eastAsia="黑体"/>
          <w:szCs w:val="21"/>
        </w:rPr>
      </w:pPr>
      <w:bookmarkStart w:id="99" w:name="_Toc73521669"/>
      <w:bookmarkStart w:id="100" w:name="_Toc73518151"/>
      <w:bookmarkStart w:id="101" w:name="_Toc73521581"/>
      <w:bookmarkStart w:id="102" w:name="_Toc100052400"/>
      <w:bookmarkStart w:id="103" w:name="_Toc73517673"/>
      <w:r>
        <w:rPr>
          <w:rFonts w:hint="eastAsia" w:ascii="黑体" w:hAnsi="宋体" w:eastAsia="黑体"/>
          <w:szCs w:val="21"/>
        </w:rPr>
        <w:t>34．错误的修正</w:t>
      </w:r>
      <w:bookmarkEnd w:id="99"/>
      <w:bookmarkEnd w:id="100"/>
      <w:bookmarkEnd w:id="101"/>
      <w:bookmarkEnd w:id="102"/>
      <w:bookmarkEnd w:id="103"/>
    </w:p>
    <w:p>
      <w:pPr>
        <w:ind w:firstLine="420" w:firstLineChars="200"/>
        <w:rPr>
          <w:rFonts w:ascii="宋体" w:hAnsi="宋体"/>
          <w:szCs w:val="21"/>
        </w:rPr>
      </w:pPr>
      <w:r>
        <w:rPr>
          <w:rFonts w:hint="eastAsia" w:ascii="宋体" w:hAnsi="宋体"/>
          <w:szCs w:val="21"/>
        </w:rPr>
        <w:t>投标文件报价出现前后不一致的，除专用条款另有规定外，按照下列规定修正：</w:t>
      </w:r>
    </w:p>
    <w:p>
      <w:pPr>
        <w:ind w:firstLine="420" w:firstLineChars="200"/>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20" w:firstLineChars="200"/>
        <w:rPr>
          <w:rFonts w:ascii="宋体" w:hAnsi="宋体"/>
          <w:szCs w:val="21"/>
        </w:rPr>
      </w:pPr>
      <w:r>
        <w:rPr>
          <w:rFonts w:hint="eastAsia" w:ascii="宋体" w:hAnsi="宋体"/>
          <w:szCs w:val="21"/>
        </w:rPr>
        <w:t>34.2大写金额和小写金额不一致的，以大写金额为准；</w:t>
      </w:r>
    </w:p>
    <w:p>
      <w:pPr>
        <w:ind w:firstLine="420" w:firstLineChars="200"/>
        <w:rPr>
          <w:rFonts w:ascii="宋体" w:hAnsi="宋体"/>
          <w:szCs w:val="21"/>
        </w:rPr>
      </w:pPr>
      <w:r>
        <w:rPr>
          <w:rFonts w:hint="eastAsia" w:ascii="宋体" w:hAnsi="宋体"/>
          <w:szCs w:val="21"/>
        </w:rPr>
        <w:t>34.3单价金额小数点或者百分比有明显错位，以开标一览表的总价为准，并修改单价；</w:t>
      </w:r>
    </w:p>
    <w:p>
      <w:pPr>
        <w:ind w:firstLine="420" w:firstLineChars="200"/>
        <w:rPr>
          <w:rFonts w:ascii="宋体" w:hAnsi="宋体"/>
          <w:szCs w:val="21"/>
        </w:rPr>
      </w:pPr>
      <w:r>
        <w:rPr>
          <w:rFonts w:hint="eastAsia" w:ascii="宋体" w:hAnsi="宋体"/>
          <w:szCs w:val="21"/>
        </w:rPr>
        <w:t>34.4总价金额与按单价汇总金额不一致的，以单价金额计算结果为准。</w:t>
      </w:r>
    </w:p>
    <w:p>
      <w:pPr>
        <w:ind w:firstLine="420" w:firstLineChars="200"/>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ind w:firstLine="420" w:firstLineChars="200"/>
        <w:rPr>
          <w:rFonts w:ascii="黑体" w:hAnsi="宋体" w:eastAsia="黑体"/>
          <w:szCs w:val="21"/>
        </w:rPr>
      </w:pPr>
      <w:r>
        <w:rPr>
          <w:rFonts w:hint="eastAsia" w:ascii="黑体" w:hAnsi="宋体" w:eastAsia="黑体"/>
          <w:szCs w:val="21"/>
        </w:rPr>
        <w:t>35．投标文件的比较与评价</w:t>
      </w:r>
    </w:p>
    <w:p>
      <w:pPr>
        <w:ind w:firstLine="420" w:firstLineChars="200"/>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20" w:firstLineChars="200"/>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ind w:firstLine="420" w:firstLineChars="200"/>
        <w:rPr>
          <w:rFonts w:ascii="黑体" w:hAnsi="宋体" w:eastAsia="黑体"/>
          <w:szCs w:val="21"/>
        </w:rPr>
      </w:pPr>
      <w:r>
        <w:rPr>
          <w:rFonts w:hint="eastAsia" w:ascii="黑体" w:hAnsi="宋体" w:eastAsia="黑体"/>
          <w:szCs w:val="21"/>
        </w:rPr>
        <w:t>36. 实地考察或资料查验</w:t>
      </w:r>
    </w:p>
    <w:p>
      <w:pPr>
        <w:ind w:firstLine="420" w:firstLineChars="200"/>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ind w:firstLine="420" w:firstLineChars="200"/>
        <w:rPr>
          <w:rFonts w:ascii="黑体" w:hAnsi="宋体" w:eastAsia="黑体"/>
          <w:szCs w:val="21"/>
        </w:rPr>
      </w:pPr>
      <w:r>
        <w:rPr>
          <w:rFonts w:hint="eastAsia" w:ascii="黑体" w:hAnsi="宋体" w:eastAsia="黑体"/>
          <w:szCs w:val="21"/>
        </w:rPr>
        <w:t>37．评审方法</w:t>
      </w:r>
    </w:p>
    <w:p>
      <w:pPr>
        <w:ind w:firstLine="422" w:firstLineChars="200"/>
        <w:rPr>
          <w:rFonts w:ascii="宋体" w:hAnsi="宋体"/>
          <w:b/>
          <w:bCs/>
          <w:szCs w:val="21"/>
        </w:rPr>
      </w:pPr>
      <w:r>
        <w:rPr>
          <w:rFonts w:hint="eastAsia" w:ascii="宋体" w:hAnsi="宋体"/>
          <w:b/>
          <w:bCs/>
          <w:szCs w:val="21"/>
        </w:rPr>
        <w:t>37.1.1最低价法</w:t>
      </w:r>
    </w:p>
    <w:p>
      <w:pPr>
        <w:ind w:firstLine="420" w:firstLineChars="200"/>
        <w:rPr>
          <w:rFonts w:ascii="ˎ̥" w:hAnsi="ˎ̥"/>
          <w:szCs w:val="21"/>
        </w:rPr>
      </w:pPr>
      <w:bookmarkStart w:id="104" w:name="_Hlk72438142"/>
      <w:r>
        <w:rPr>
          <w:rFonts w:hint="eastAsia" w:ascii="ˎ̥" w:hAnsi="ˎ̥"/>
          <w:szCs w:val="21"/>
        </w:rPr>
        <w:t>最低价法，是指完全满足招标文件实质性要求，按照报价由低到高的顺序，依据招标文件中规定的数量或者比例推荐候选中标供应商。</w:t>
      </w:r>
    </w:p>
    <w:p>
      <w:pPr>
        <w:ind w:firstLine="422" w:firstLineChars="200"/>
        <w:rPr>
          <w:rFonts w:ascii="宋体" w:hAnsi="宋体"/>
          <w:b/>
          <w:bCs/>
          <w:szCs w:val="21"/>
        </w:rPr>
      </w:pPr>
      <w:r>
        <w:rPr>
          <w:rFonts w:hint="eastAsia" w:ascii="宋体" w:hAnsi="宋体"/>
          <w:b/>
          <w:bCs/>
          <w:szCs w:val="21"/>
        </w:rPr>
        <w:t>37.1.2综合评分法</w:t>
      </w:r>
    </w:p>
    <w:p>
      <w:pPr>
        <w:ind w:firstLine="420" w:firstLineChars="200"/>
        <w:rPr>
          <w:rFonts w:ascii="ˎ̥" w:hAnsi="ˎ̥"/>
          <w:szCs w:val="21"/>
        </w:rPr>
      </w:pPr>
      <w:r>
        <w:rPr>
          <w:rFonts w:hint="eastAsia" w:ascii="ˎ̥" w:hAnsi="ˎ̥"/>
          <w:szCs w:val="21"/>
        </w:rPr>
        <w:t>综合评分法，是指在满足招标文件全部实质性要求的前提下，按照招标文件中规定的各项因素进行综合评审，评审总得分排名前列的投标人，作为推荐的候选中标供应商。</w:t>
      </w:r>
      <w:bookmarkEnd w:id="104"/>
      <w:r>
        <w:rPr>
          <w:rFonts w:hint="eastAsia" w:ascii="宋体" w:hAnsi="宋体"/>
          <w:bCs/>
          <w:color w:val="FF0000"/>
          <w:szCs w:val="21"/>
        </w:rPr>
        <w:t xml:space="preserve">  </w:t>
      </w:r>
      <w:r>
        <w:rPr>
          <w:rFonts w:hint="eastAsia" w:ascii="宋体" w:hAnsi="宋体"/>
          <w:bCs/>
          <w:szCs w:val="21"/>
        </w:rPr>
        <w:t xml:space="preserve">                                                                                                                                                                                                                                                                                                                                                                                                                                                                                                                                                                                                                                                                                                                                                                                                                                                                                                                                                                                                                                                                                                                                                                                                                                                                                                                                                                                                                                                                                                                                                                                                                                                                                                                                                                                                                                                                                                                                                                                                                                                                                                                                                                                                                                                                                                                                                                                                                                                                                                                                                                                                                                                                                                                                                                                                                                                                                                                                                                                                                           </w:t>
      </w:r>
    </w:p>
    <w:p>
      <w:pPr>
        <w:ind w:firstLine="422" w:firstLineChars="200"/>
        <w:rPr>
          <w:rFonts w:ascii="宋体" w:hAnsi="宋体"/>
          <w:b/>
          <w:bCs/>
          <w:szCs w:val="21"/>
        </w:rPr>
      </w:pPr>
      <w:r>
        <w:rPr>
          <w:rFonts w:hint="eastAsia" w:ascii="宋体" w:hAnsi="宋体"/>
          <w:b/>
          <w:bCs/>
          <w:szCs w:val="21"/>
        </w:rPr>
        <w:t>37.2 本项目采用的评审方法见本项目招标文件第一册“专用条款”的相关内容。</w:t>
      </w:r>
    </w:p>
    <w:p>
      <w:pPr>
        <w:ind w:firstLine="422" w:firstLineChars="200"/>
        <w:rPr>
          <w:rFonts w:ascii="宋体" w:hAnsi="宋体"/>
          <w:b/>
          <w:bCs/>
          <w:szCs w:val="21"/>
        </w:rPr>
      </w:pPr>
      <w:r>
        <w:rPr>
          <w:rFonts w:hint="eastAsia" w:ascii="宋体" w:hAnsi="宋体"/>
          <w:b/>
          <w:bCs/>
          <w:szCs w:val="21"/>
        </w:rPr>
        <w:t>37.3重新评审的情形</w:t>
      </w:r>
    </w:p>
    <w:p>
      <w:pPr>
        <w:ind w:firstLine="420" w:firstLineChars="200"/>
        <w:rPr>
          <w:rFonts w:ascii="宋体" w:hAnsi="宋体"/>
          <w:b/>
          <w:bCs/>
          <w:szCs w:val="21"/>
        </w:rPr>
      </w:pPr>
      <w:r>
        <w:rPr>
          <w:rFonts w:hint="eastAsia" w:ascii="宋体" w:hAnsi="宋体" w:cs="宋体"/>
          <w:kern w:val="0"/>
          <w:szCs w:val="21"/>
        </w:rPr>
        <w:t>评审结果汇总完成后，除下列情形外，任何人不得修改评审结果：</w:t>
      </w:r>
    </w:p>
    <w:p>
      <w:pPr>
        <w:ind w:firstLine="420" w:firstLineChars="200"/>
        <w:rPr>
          <w:rFonts w:ascii="宋体" w:hAnsi="宋体" w:cs="宋体"/>
          <w:kern w:val="0"/>
          <w:szCs w:val="21"/>
        </w:rPr>
      </w:pPr>
      <w:r>
        <w:rPr>
          <w:rFonts w:hint="eastAsia" w:ascii="宋体" w:hAnsi="宋体" w:cs="宋体"/>
          <w:kern w:val="0"/>
          <w:szCs w:val="21"/>
        </w:rPr>
        <w:t>37.3.1分值汇总计算错误的；</w:t>
      </w:r>
    </w:p>
    <w:p>
      <w:pPr>
        <w:ind w:firstLine="420" w:firstLineChars="200"/>
        <w:rPr>
          <w:rFonts w:ascii="宋体" w:hAnsi="宋体" w:cs="宋体"/>
          <w:kern w:val="0"/>
          <w:szCs w:val="21"/>
        </w:rPr>
      </w:pPr>
      <w:r>
        <w:rPr>
          <w:rFonts w:hint="eastAsia" w:ascii="宋体" w:hAnsi="宋体" w:cs="宋体"/>
          <w:kern w:val="0"/>
          <w:szCs w:val="21"/>
        </w:rPr>
        <w:t>37.3.2分项评分超出评分标准范围的；</w:t>
      </w:r>
    </w:p>
    <w:p>
      <w:pPr>
        <w:ind w:firstLine="420" w:firstLineChars="200"/>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20" w:firstLineChars="200"/>
        <w:rPr>
          <w:rFonts w:ascii="宋体" w:hAnsi="宋体" w:cs="宋体"/>
          <w:kern w:val="0"/>
          <w:szCs w:val="21"/>
        </w:rPr>
      </w:pPr>
      <w:r>
        <w:rPr>
          <w:rFonts w:hint="eastAsia" w:ascii="宋体" w:hAnsi="宋体" w:cs="宋体"/>
          <w:kern w:val="0"/>
          <w:szCs w:val="21"/>
        </w:rPr>
        <w:t>37.3.4经评审委员会认定评分畸高、畸低的。</w:t>
      </w:r>
    </w:p>
    <w:p>
      <w:pPr>
        <w:ind w:firstLine="420" w:firstLineChars="200"/>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20" w:firstLineChars="200"/>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22" w:firstLineChars="200"/>
        <w:rPr>
          <w:rFonts w:ascii="宋体" w:hAnsi="宋体"/>
          <w:b/>
          <w:bCs/>
          <w:szCs w:val="21"/>
        </w:rPr>
      </w:pPr>
      <w:r>
        <w:rPr>
          <w:rFonts w:hint="eastAsia" w:ascii="宋体" w:hAnsi="宋体"/>
          <w:b/>
          <w:bCs/>
          <w:szCs w:val="21"/>
        </w:rPr>
        <w:t xml:space="preserve"> 37.4重新组建评审委员会的情形</w:t>
      </w:r>
    </w:p>
    <w:p>
      <w:pPr>
        <w:ind w:firstLine="420" w:firstLineChars="200"/>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20" w:firstLineChars="200"/>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20" w:firstLineChars="200"/>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20" w:firstLineChars="200"/>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20" w:firstLineChars="200"/>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20" w:firstLineChars="200"/>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ascii="宋体" w:hAnsi="宋体"/>
          <w:szCs w:val="21"/>
        </w:rPr>
      </w:pPr>
    </w:p>
    <w:p>
      <w:pPr>
        <w:pStyle w:val="74"/>
        <w:keepNext/>
        <w:keepLines/>
        <w:numPr>
          <w:ilvl w:val="0"/>
          <w:numId w:val="19"/>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定标及公示</w:t>
      </w:r>
    </w:p>
    <w:p>
      <w:pPr>
        <w:ind w:firstLine="420" w:firstLineChars="200"/>
        <w:rPr>
          <w:rFonts w:ascii="黑体" w:hAnsi="宋体" w:eastAsia="黑体"/>
          <w:szCs w:val="21"/>
        </w:rPr>
      </w:pPr>
      <w:r>
        <w:rPr>
          <w:rFonts w:hint="eastAsia" w:ascii="黑体" w:hAnsi="宋体" w:eastAsia="黑体"/>
          <w:szCs w:val="21"/>
        </w:rPr>
        <w:t>38．定标方法</w:t>
      </w:r>
    </w:p>
    <w:p>
      <w:pPr>
        <w:ind w:firstLine="420" w:firstLineChars="200"/>
        <w:rPr>
          <w:rFonts w:ascii="宋体" w:hAnsi="宋体"/>
          <w:szCs w:val="21"/>
        </w:rPr>
      </w:pPr>
      <w:bookmarkStart w:id="105" w:name="_Hlk73782795"/>
      <w:r>
        <w:rPr>
          <w:rFonts w:hint="eastAsia" w:ascii="宋体" w:hAnsi="宋体"/>
          <w:szCs w:val="21"/>
        </w:rPr>
        <w:t>38.1非评定分离项目定标方法</w:t>
      </w:r>
    </w:p>
    <w:p>
      <w:pPr>
        <w:ind w:firstLine="420" w:firstLineChars="200"/>
        <w:rPr>
          <w:rFonts w:ascii="宋体" w:hAnsi="宋体"/>
          <w:szCs w:val="21"/>
        </w:rPr>
      </w:pPr>
      <w:r>
        <w:rPr>
          <w:rFonts w:hint="eastAsia" w:ascii="宋体" w:hAnsi="宋体"/>
          <w:szCs w:val="21"/>
        </w:rPr>
        <w:t>38.1.1评审委员会依据本项目招标文件所约定的评审方法进行评审和比较，向</w:t>
      </w:r>
      <w:r>
        <w:rPr>
          <w:rFonts w:hint="eastAsia" w:ascii="宋体" w:hAnsi="宋体"/>
          <w:szCs w:val="21"/>
          <w:highlight w:val="yellow"/>
        </w:rPr>
        <w:t>采购代理机构</w:t>
      </w:r>
      <w:r>
        <w:rPr>
          <w:rFonts w:hint="eastAsia" w:ascii="宋体" w:hAnsi="宋体"/>
          <w:szCs w:val="21"/>
        </w:rPr>
        <w:t>提交书面评审报告，并根据评审方法比较评价结果从优到劣进行排序，确定候选中标供应商。</w:t>
      </w:r>
    </w:p>
    <w:p>
      <w:pPr>
        <w:ind w:firstLine="420" w:firstLineChars="200"/>
        <w:rPr>
          <w:rFonts w:ascii="ˎ̥" w:hAnsi="ˎ̥"/>
          <w:szCs w:val="21"/>
        </w:rPr>
      </w:pPr>
      <w:r>
        <w:rPr>
          <w:rFonts w:hint="eastAsia" w:ascii="宋体" w:hAnsi="宋体"/>
          <w:szCs w:val="21"/>
        </w:rPr>
        <w:t>38.1.2</w:t>
      </w:r>
      <w:r>
        <w:rPr>
          <w:rFonts w:hint="eastAsia" w:ascii="ˎ̥" w:hAnsi="ˎ̥"/>
          <w:szCs w:val="21"/>
        </w:rPr>
        <w:t>采用最低价法的，评审结果按投标报价由低到高顺序排列。投标报价相同的并列。投标文件满足招标文件全部实质性要求且投标报价最低的投标人为</w:t>
      </w:r>
      <w:bookmarkStart w:id="106" w:name="_Hlk73821177"/>
      <w:r>
        <w:rPr>
          <w:rFonts w:hint="eastAsia" w:ascii="ˎ̥" w:hAnsi="ˎ̥"/>
          <w:szCs w:val="21"/>
        </w:rPr>
        <w:t>唯一候选中标供应商</w:t>
      </w:r>
      <w:bookmarkEnd w:id="106"/>
      <w:r>
        <w:rPr>
          <w:rFonts w:hint="eastAsia" w:ascii="ˎ̥" w:hAnsi="ˎ̥"/>
          <w:szCs w:val="21"/>
        </w:rPr>
        <w:t>。</w:t>
      </w:r>
    </w:p>
    <w:p>
      <w:pPr>
        <w:ind w:firstLine="420" w:firstLineChars="200"/>
        <w:rPr>
          <w:rFonts w:ascii="ˎ̥" w:hAnsi="ˎ̥"/>
          <w:szCs w:val="21"/>
        </w:rPr>
      </w:pPr>
      <w:r>
        <w:rPr>
          <w:rFonts w:hint="eastAsia" w:ascii="宋体" w:hAnsi="宋体"/>
          <w:szCs w:val="21"/>
        </w:rPr>
        <w:t>38.1.3采</w:t>
      </w:r>
      <w:r>
        <w:rPr>
          <w:rFonts w:hint="eastAsia" w:ascii="ˎ̥" w:hAnsi="ˎ̥"/>
          <w:szCs w:val="21"/>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唯一候选中标供应商。出现得分且投标报价相同的并列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ind w:firstLine="420" w:firstLineChars="200"/>
        <w:rPr>
          <w:rFonts w:ascii="宋体" w:hAnsi="宋体"/>
          <w:szCs w:val="21"/>
        </w:rPr>
      </w:pPr>
      <w:r>
        <w:rPr>
          <w:rFonts w:hint="eastAsia" w:ascii="宋体" w:hAnsi="宋体"/>
          <w:szCs w:val="21"/>
        </w:rPr>
        <w:t>38.2评定分离项目定标方法</w:t>
      </w:r>
    </w:p>
    <w:p>
      <w:pPr>
        <w:ind w:firstLine="420" w:firstLineChars="200"/>
        <w:rPr>
          <w:rFonts w:ascii="宋体" w:hAnsi="宋体"/>
          <w:szCs w:val="21"/>
        </w:rPr>
      </w:pPr>
      <w:r>
        <w:rPr>
          <w:rFonts w:hint="eastAsia" w:ascii="宋体" w:hAnsi="宋体"/>
          <w:szCs w:val="21"/>
        </w:rPr>
        <w:t>38.2.1评定分离是指在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20" w:firstLineChars="200"/>
        <w:rPr>
          <w:szCs w:val="21"/>
        </w:rPr>
      </w:pPr>
      <w:r>
        <w:rPr>
          <w:rFonts w:hint="eastAsia" w:ascii="宋体" w:hAnsi="宋体"/>
          <w:szCs w:val="21"/>
        </w:rPr>
        <w:t xml:space="preserve">38.2.2 </w:t>
      </w:r>
      <w:bookmarkStart w:id="107" w:name="_Hlk71469733"/>
      <w:r>
        <w:rPr>
          <w:rFonts w:hint="eastAsia"/>
          <w:szCs w:val="21"/>
        </w:rPr>
        <w:t>适用评定分离的采购项目，采用综合评分法评审。</w:t>
      </w:r>
      <w:r>
        <w:rPr>
          <w:rFonts w:hint="eastAsia" w:ascii="宋体" w:hAnsi="宋体"/>
          <w:szCs w:val="21"/>
        </w:rPr>
        <w:t>评审委员会按照评审结果，推荐</w:t>
      </w:r>
      <w:r>
        <w:rPr>
          <w:rFonts w:hint="eastAsia"/>
          <w:szCs w:val="21"/>
        </w:rPr>
        <w:t>三个合格的候选中标供应商。</w:t>
      </w:r>
    </w:p>
    <w:p>
      <w:pPr>
        <w:ind w:firstLine="420" w:firstLineChars="200"/>
        <w:rPr>
          <w:rFonts w:ascii="宋体" w:hAnsi="宋体"/>
          <w:szCs w:val="21"/>
        </w:rPr>
      </w:pPr>
      <w:r>
        <w:rPr>
          <w:rFonts w:hint="eastAsia" w:ascii="宋体" w:hAnsi="宋体"/>
          <w:szCs w:val="21"/>
        </w:rPr>
        <w:t>38.2.3</w:t>
      </w:r>
      <w:bookmarkStart w:id="108" w:name="_Hlk71469688"/>
      <w:r>
        <w:rPr>
          <w:rFonts w:hint="eastAsia"/>
          <w:szCs w:val="21"/>
        </w:rPr>
        <w:t>适用评定分离的采购项目，</w:t>
      </w:r>
      <w:r>
        <w:rPr>
          <w:rFonts w:hint="eastAsia" w:ascii="宋体" w:hAnsi="宋体"/>
          <w:szCs w:val="21"/>
        </w:rPr>
        <w:t>按照自定法确定中标供应商：自定法是指采购人组织定标委员会，由定标委员会在三家候选中标供应商中确定中标供应商。</w:t>
      </w:r>
      <w:bookmarkEnd w:id="107"/>
      <w:bookmarkEnd w:id="108"/>
    </w:p>
    <w:p>
      <w:pPr>
        <w:ind w:firstLine="420" w:firstLineChars="200"/>
        <w:rPr>
          <w:rFonts w:ascii="宋体" w:hAnsi="宋体"/>
          <w:szCs w:val="21"/>
        </w:rPr>
      </w:pPr>
      <w:r>
        <w:rPr>
          <w:rFonts w:hint="eastAsia" w:ascii="宋体" w:hAnsi="宋体"/>
          <w:szCs w:val="21"/>
        </w:rPr>
        <w:t>38.2.4</w:t>
      </w:r>
      <w:r>
        <w:rPr>
          <w:rFonts w:hint="eastAsia" w:ascii="宋体" w:hAnsi="宋体"/>
          <w:szCs w:val="21"/>
          <w:highlight w:val="yellow"/>
        </w:rPr>
        <w:t>采购代理机构</w:t>
      </w:r>
      <w:r>
        <w:rPr>
          <w:rFonts w:hint="eastAsia"/>
          <w:szCs w:val="21"/>
        </w:rPr>
        <w:t>应当自评审结束之日起两个工作日内将候选中标供应商名单及其投标文件、评审报告送交采购人</w:t>
      </w:r>
      <w:r>
        <w:rPr>
          <w:rFonts w:hint="eastAsia" w:ascii="宋体" w:hAnsi="宋体"/>
          <w:szCs w:val="21"/>
        </w:rPr>
        <w:t>。</w:t>
      </w:r>
      <w:r>
        <w:rPr>
          <w:rFonts w:hint="eastAsia"/>
          <w:szCs w:val="21"/>
        </w:rPr>
        <w:t>采购人应当安排专人对定标过程进行书面记录，形成定标报告，作为采购文件的组成部分存档，并及时将定标结果反馈</w:t>
      </w:r>
      <w:r>
        <w:rPr>
          <w:rFonts w:hint="eastAsia" w:ascii="宋体" w:hAnsi="宋体"/>
          <w:szCs w:val="21"/>
          <w:highlight w:val="yellow"/>
        </w:rPr>
        <w:t>采购代理机构</w:t>
      </w:r>
      <w:r>
        <w:rPr>
          <w:rFonts w:hint="eastAsia"/>
          <w:szCs w:val="21"/>
        </w:rPr>
        <w:t>。具体定标程序及相关要求以参照《深圳市财政局关于印发</w:t>
      </w:r>
      <w:r>
        <w:rPr>
          <w:rFonts w:hint="eastAsia" w:ascii="宋体" w:hAnsi="宋体"/>
          <w:szCs w:val="21"/>
        </w:rPr>
        <w:t>〈</w:t>
      </w:r>
      <w:r>
        <w:rPr>
          <w:rFonts w:hint="eastAsia"/>
          <w:szCs w:val="21"/>
        </w:rPr>
        <w:t>深圳市政府采购评标定标分离管理办法</w:t>
      </w:r>
      <w:r>
        <w:rPr>
          <w:rFonts w:hint="eastAsia" w:ascii="宋体" w:hAnsi="宋体"/>
          <w:szCs w:val="21"/>
        </w:rPr>
        <w:t>〉</w:t>
      </w:r>
      <w:r>
        <w:rPr>
          <w:rFonts w:hint="eastAsia"/>
          <w:szCs w:val="21"/>
        </w:rPr>
        <w:t>的通知》（深财规【</w:t>
      </w:r>
      <w:r>
        <w:rPr>
          <w:szCs w:val="21"/>
        </w:rPr>
        <w:t>2020</w:t>
      </w:r>
      <w:r>
        <w:rPr>
          <w:rFonts w:hint="eastAsia"/>
          <w:szCs w:val="21"/>
        </w:rPr>
        <w:t>】</w:t>
      </w:r>
      <w:r>
        <w:rPr>
          <w:szCs w:val="21"/>
        </w:rPr>
        <w:t>1</w:t>
      </w:r>
      <w:r>
        <w:rPr>
          <w:rFonts w:hint="eastAsia"/>
          <w:szCs w:val="21"/>
        </w:rPr>
        <w:t>号）执行。</w:t>
      </w:r>
    </w:p>
    <w:p>
      <w:pPr>
        <w:ind w:firstLine="420" w:firstLineChars="200"/>
        <w:rPr>
          <w:rFonts w:ascii="宋体" w:hAnsi="宋体"/>
          <w:szCs w:val="21"/>
        </w:rPr>
      </w:pPr>
      <w:r>
        <w:rPr>
          <w:rFonts w:hint="eastAsia" w:ascii="宋体" w:hAnsi="宋体"/>
          <w:szCs w:val="21"/>
        </w:rPr>
        <w:t>说明：采购人及投标供应商应按照上述方法提前做好相关准备。</w:t>
      </w:r>
    </w:p>
    <w:p>
      <w:pPr>
        <w:ind w:firstLine="420" w:firstLineChars="200"/>
        <w:rPr>
          <w:rFonts w:ascii="宋体" w:hAnsi="宋体"/>
          <w:szCs w:val="21"/>
        </w:rPr>
      </w:pPr>
      <w:r>
        <w:rPr>
          <w:rFonts w:hint="eastAsia" w:ascii="宋体" w:hAnsi="宋体"/>
          <w:szCs w:val="21"/>
        </w:rPr>
        <w:t>38.3专用条款另有规定的，按专用条款相关要求定标。</w:t>
      </w:r>
      <w:bookmarkEnd w:id="105"/>
    </w:p>
    <w:p>
      <w:pPr>
        <w:ind w:firstLine="420" w:firstLineChars="200"/>
        <w:rPr>
          <w:rFonts w:ascii="黑体" w:hAnsi="宋体" w:eastAsia="黑体"/>
          <w:szCs w:val="21"/>
        </w:rPr>
      </w:pPr>
      <w:r>
        <w:rPr>
          <w:rFonts w:hint="eastAsia" w:ascii="黑体" w:hAnsi="宋体" w:eastAsia="黑体"/>
          <w:szCs w:val="21"/>
        </w:rPr>
        <w:t>39．编写评审报告</w:t>
      </w:r>
    </w:p>
    <w:p>
      <w:pPr>
        <w:ind w:firstLine="420" w:firstLineChars="200"/>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ind w:firstLine="420" w:firstLineChars="200"/>
        <w:rPr>
          <w:rFonts w:ascii="黑体" w:hAnsi="宋体" w:eastAsia="黑体"/>
          <w:szCs w:val="21"/>
        </w:rPr>
      </w:pPr>
      <w:r>
        <w:rPr>
          <w:rFonts w:hint="eastAsia" w:ascii="黑体" w:hAnsi="宋体" w:eastAsia="黑体"/>
          <w:szCs w:val="21"/>
        </w:rPr>
        <w:t>40．中标公告</w:t>
      </w:r>
    </w:p>
    <w:p>
      <w:pPr>
        <w:ind w:firstLine="420" w:firstLineChars="200"/>
        <w:rPr>
          <w:rFonts w:ascii="宋体" w:hAnsi="宋体"/>
          <w:szCs w:val="21"/>
        </w:rPr>
      </w:pPr>
      <w:r>
        <w:rPr>
          <w:rFonts w:hint="eastAsia" w:ascii="宋体" w:hAnsi="宋体"/>
          <w:szCs w:val="21"/>
        </w:rPr>
        <w:t>40.1</w:t>
      </w:r>
      <w:bookmarkStart w:id="109" w:name="_Hlk72438709"/>
      <w:r>
        <w:rPr>
          <w:rFonts w:hint="eastAsia" w:ascii="宋体" w:hAnsi="宋体"/>
          <w:szCs w:val="21"/>
        </w:rPr>
        <w:t>为体现“公开、公平、公正”的原则，评审结束后经采购人确认（确定）评审结果，</w:t>
      </w:r>
      <w:r>
        <w:rPr>
          <w:rFonts w:hint="eastAsia" w:ascii="宋体" w:hAnsi="宋体"/>
          <w:szCs w:val="21"/>
          <w:highlight w:val="yellow"/>
        </w:rPr>
        <w:t>采购代理机构</w:t>
      </w:r>
      <w:r>
        <w:rPr>
          <w:rFonts w:hint="eastAsia" w:ascii="宋体" w:hAnsi="宋体"/>
          <w:szCs w:val="21"/>
        </w:rPr>
        <w:t>将在深圳交易集团（深圳公共资源交易中心）官网</w:t>
      </w:r>
      <w:r>
        <w:rPr>
          <w:rFonts w:hint="eastAsia" w:ascii="宋体" w:hAnsi="宋体"/>
          <w:b/>
          <w:bCs/>
          <w:szCs w:val="21"/>
        </w:rPr>
        <w:t>https://www.szexgrp.com/jyfw/zfcg-view.html?id=zfcg</w:t>
      </w:r>
      <w:r>
        <w:rPr>
          <w:rFonts w:hint="eastAsia" w:ascii="宋体" w:hAnsi="宋体"/>
          <w:szCs w:val="21"/>
        </w:rPr>
        <w:t>上发布中标结果公告。</w:t>
      </w:r>
      <w:bookmarkEnd w:id="109"/>
      <w:bookmarkStart w:id="110" w:name="_Hlk72438751"/>
      <w:r>
        <w:rPr>
          <w:rFonts w:hint="eastAsia" w:ascii="宋体" w:hAnsi="宋体"/>
          <w:szCs w:val="21"/>
        </w:rPr>
        <w:t>供应商如对评审结果有异议，可在发布公示日期起七个工作日内向</w:t>
      </w:r>
      <w:r>
        <w:rPr>
          <w:rFonts w:hint="eastAsia" w:ascii="宋体" w:hAnsi="宋体"/>
          <w:szCs w:val="21"/>
          <w:highlight w:val="yellow"/>
        </w:rPr>
        <w:t>采购代理机构</w:t>
      </w:r>
      <w:r>
        <w:rPr>
          <w:rFonts w:hint="eastAsia" w:ascii="宋体" w:hAnsi="宋体"/>
          <w:szCs w:val="21"/>
        </w:rPr>
        <w:t>提出。监督电话：0755-86500050。若在公示期内未提出质疑，则视为认同该评审结果。</w:t>
      </w:r>
    </w:p>
    <w:bookmarkEnd w:id="110"/>
    <w:p>
      <w:pPr>
        <w:ind w:firstLine="420" w:firstLineChars="200"/>
        <w:rPr>
          <w:rFonts w:ascii="宋体" w:hAnsi="宋体"/>
          <w:szCs w:val="21"/>
        </w:rPr>
      </w:pPr>
      <w:r>
        <w:rPr>
          <w:rFonts w:hint="eastAsia" w:ascii="宋体" w:hAnsi="宋体"/>
          <w:szCs w:val="21"/>
        </w:rPr>
        <w:t>40.2质疑、投诉供应商应保证质疑、投诉内容的真实性和可靠性，并承担相应的法律责任。</w:t>
      </w:r>
    </w:p>
    <w:p>
      <w:pPr>
        <w:ind w:firstLine="420" w:firstLineChars="200"/>
        <w:rPr>
          <w:rFonts w:ascii="黑体" w:hAnsi="宋体" w:eastAsia="黑体"/>
          <w:szCs w:val="21"/>
        </w:rPr>
      </w:pPr>
      <w:r>
        <w:rPr>
          <w:rFonts w:hint="eastAsia" w:ascii="黑体" w:hAnsi="宋体" w:eastAsia="黑体"/>
          <w:szCs w:val="21"/>
        </w:rPr>
        <w:t>41．中标通知书</w:t>
      </w:r>
    </w:p>
    <w:p>
      <w:pPr>
        <w:ind w:firstLine="420" w:firstLineChars="200"/>
        <w:rPr>
          <w:rFonts w:ascii="宋体" w:hAnsi="宋体"/>
          <w:szCs w:val="21"/>
        </w:rPr>
      </w:pPr>
      <w:r>
        <w:rPr>
          <w:rFonts w:hint="eastAsia" w:ascii="宋体" w:hAnsi="宋体"/>
          <w:szCs w:val="21"/>
        </w:rPr>
        <w:t>41.1</w:t>
      </w:r>
      <w:bookmarkStart w:id="111"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szCs w:val="21"/>
        </w:rPr>
        <w:t>深圳市自行采购系统（https://trade.szggzy.com/ggzy/center/#/login）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111"/>
    </w:p>
    <w:p>
      <w:pPr>
        <w:ind w:firstLine="420" w:firstLineChars="200"/>
        <w:rPr>
          <w:rFonts w:ascii="宋体" w:hAnsi="宋体"/>
          <w:szCs w:val="21"/>
        </w:rPr>
      </w:pPr>
      <w:r>
        <w:rPr>
          <w:rFonts w:hint="eastAsia" w:ascii="宋体" w:hAnsi="宋体"/>
          <w:szCs w:val="21"/>
        </w:rPr>
        <w:t>41.2中标通知书是合同的重要组成部分。</w:t>
      </w:r>
    </w:p>
    <w:p>
      <w:pPr>
        <w:ind w:firstLine="420" w:firstLineChars="200"/>
        <w:rPr>
          <w:rFonts w:ascii="宋体" w:hAnsi="宋体"/>
          <w:szCs w:val="21"/>
        </w:rPr>
      </w:pPr>
      <w:bookmarkStart w:id="112" w:name="_Hlk71407340"/>
      <w:r>
        <w:rPr>
          <w:rFonts w:hint="eastAsia" w:ascii="宋体" w:hAnsi="宋体"/>
          <w:szCs w:val="21"/>
        </w:rPr>
        <w:t>41.3因质疑投诉或其它原因导致项目结果变更或采购终止的，</w:t>
      </w:r>
      <w:r>
        <w:rPr>
          <w:rFonts w:hint="eastAsia" w:ascii="宋体" w:hAnsi="宋体"/>
          <w:szCs w:val="21"/>
          <w:highlight w:val="yellow"/>
        </w:rPr>
        <w:t>采购代理机构</w:t>
      </w:r>
      <w:r>
        <w:rPr>
          <w:rFonts w:hint="eastAsia" w:ascii="宋体" w:hAnsi="宋体"/>
          <w:szCs w:val="21"/>
        </w:rPr>
        <w:t>有权吊销中标通知书。</w:t>
      </w:r>
      <w:bookmarkEnd w:id="112"/>
    </w:p>
    <w:p>
      <w:pPr>
        <w:pStyle w:val="74"/>
        <w:keepNext/>
        <w:keepLines/>
        <w:numPr>
          <w:ilvl w:val="0"/>
          <w:numId w:val="19"/>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公开招标失败的后续处理</w:t>
      </w:r>
    </w:p>
    <w:p>
      <w:pPr>
        <w:ind w:firstLine="420" w:firstLineChars="200"/>
        <w:rPr>
          <w:rFonts w:ascii="黑体" w:hAnsi="宋体" w:eastAsia="黑体"/>
          <w:szCs w:val="21"/>
        </w:rPr>
      </w:pPr>
      <w:r>
        <w:rPr>
          <w:rFonts w:hint="eastAsia" w:ascii="黑体" w:hAnsi="宋体" w:eastAsia="黑体"/>
          <w:szCs w:val="21"/>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实际递交投标文件的供应商数量不足、经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szCs w:val="21"/>
          <w:highlight w:val="yellow"/>
        </w:rPr>
        <w:t>采购代理机构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w:t>
      </w:r>
      <w:r>
        <w:rPr>
          <w:rFonts w:hint="eastAsia" w:ascii="宋体" w:hAnsi="宋体"/>
          <w:szCs w:val="21"/>
          <w:highlight w:val="yellow"/>
        </w:rPr>
        <w:t>采购代理机构</w:t>
      </w:r>
      <w:r>
        <w:rPr>
          <w:rFonts w:hint="eastAsia" w:ascii="宋体" w:hAnsi="宋体"/>
        </w:rPr>
        <w:t>重新组织公开招标；</w:t>
      </w:r>
    </w:p>
    <w:p>
      <w:pPr>
        <w:ind w:firstLine="411" w:firstLineChars="196"/>
        <w:rPr>
          <w:rFonts w:ascii="宋体" w:hAnsi="宋体"/>
        </w:rPr>
      </w:pPr>
      <w:r>
        <w:rPr>
          <w:rFonts w:hint="eastAsia" w:ascii="宋体" w:hAnsi="宋体"/>
        </w:rPr>
        <w:t>（2）根据实际情况需要向采购人主管部门提出非公开招标方式申请，经采购人主管部门批准，公开招标失败采购项目可转为竞争性谈判或单一来源谈判方式采购。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42.4公开招标失败的采购项目重新组织公开招标，由</w:t>
      </w:r>
      <w:r>
        <w:rPr>
          <w:rFonts w:hint="eastAsia" w:ascii="宋体" w:hAnsi="宋体"/>
          <w:szCs w:val="21"/>
          <w:highlight w:val="yellow"/>
        </w:rPr>
        <w:t>采购代理机构</w:t>
      </w:r>
      <w:r>
        <w:rPr>
          <w:rFonts w:hint="eastAsia" w:ascii="宋体" w:hAnsi="宋体"/>
        </w:rPr>
        <w:t>重新按公开招标流程组织采购活动。</w:t>
      </w:r>
    </w:p>
    <w:p>
      <w:pPr>
        <w:ind w:firstLine="420" w:firstLineChars="200"/>
        <w:rPr>
          <w:rFonts w:ascii="黑体" w:hAnsi="宋体" w:eastAsia="黑体"/>
          <w:sz w:val="24"/>
        </w:rPr>
      </w:pPr>
      <w:r>
        <w:rPr>
          <w:rFonts w:hint="eastAsia" w:ascii="宋体" w:hAnsi="宋体"/>
        </w:rPr>
        <w:t>42.5公开招标失败的采购项目经采购人主管部门批准转为竞争性谈判或单一来源谈判方式采购的，按规定要求组织自行采购工作。</w:t>
      </w:r>
    </w:p>
    <w:p>
      <w:pPr>
        <w:pStyle w:val="74"/>
        <w:keepNext/>
        <w:keepLines/>
        <w:numPr>
          <w:ilvl w:val="0"/>
          <w:numId w:val="19"/>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bookmarkStart w:id="113" w:name="_Hlk72439043"/>
      <w:r>
        <w:rPr>
          <w:rFonts w:hint="eastAsia" w:ascii="Cambria" w:hAnsi="Cambria" w:cs="宋体"/>
          <w:b/>
          <w:bCs/>
          <w:sz w:val="28"/>
          <w:szCs w:val="28"/>
        </w:rPr>
        <w:t>合同的授予与备案</w:t>
      </w:r>
      <w:bookmarkEnd w:id="113"/>
    </w:p>
    <w:p>
      <w:pPr>
        <w:ind w:firstLine="420" w:firstLineChars="200"/>
        <w:rPr>
          <w:rFonts w:ascii="黑体" w:hAnsi="宋体" w:eastAsia="黑体"/>
          <w:szCs w:val="21"/>
        </w:rPr>
      </w:pPr>
      <w:bookmarkStart w:id="114" w:name="_Toc73517679"/>
      <w:bookmarkStart w:id="115" w:name="_Toc100052408"/>
      <w:bookmarkStart w:id="116" w:name="_Toc73521674"/>
      <w:bookmarkStart w:id="117" w:name="_Toc73518157"/>
      <w:bookmarkStart w:id="118" w:name="_Toc73521586"/>
      <w:bookmarkStart w:id="119" w:name="_Hlk72439088"/>
      <w:r>
        <w:rPr>
          <w:rFonts w:hint="eastAsia" w:ascii="黑体" w:hAnsi="宋体" w:eastAsia="黑体"/>
          <w:szCs w:val="21"/>
        </w:rPr>
        <w:t>43．合同授予标准</w:t>
      </w:r>
      <w:bookmarkEnd w:id="114"/>
      <w:bookmarkEnd w:id="115"/>
      <w:bookmarkEnd w:id="116"/>
      <w:bookmarkEnd w:id="117"/>
      <w:bookmarkEnd w:id="118"/>
    </w:p>
    <w:p>
      <w:pPr>
        <w:ind w:firstLine="420" w:firstLineChars="200"/>
        <w:rPr>
          <w:rFonts w:ascii="宋体" w:hAnsi="宋体"/>
          <w:szCs w:val="21"/>
        </w:rPr>
      </w:pPr>
      <w:r>
        <w:rPr>
          <w:rFonts w:hint="eastAsia" w:ascii="宋体" w:hAnsi="宋体"/>
          <w:szCs w:val="21"/>
        </w:rPr>
        <w:t>本项目的合同将授予经本招标文件规定评审确定的中标供应商。</w:t>
      </w:r>
    </w:p>
    <w:p>
      <w:pPr>
        <w:ind w:firstLine="420" w:firstLineChars="200"/>
        <w:rPr>
          <w:rFonts w:ascii="黑体" w:hAnsi="宋体" w:eastAsia="黑体"/>
          <w:szCs w:val="21"/>
        </w:rPr>
      </w:pPr>
      <w:bookmarkStart w:id="120" w:name="_Toc73518158"/>
      <w:bookmarkStart w:id="121" w:name="_Toc73521675"/>
      <w:bookmarkStart w:id="122" w:name="_Toc73521587"/>
      <w:bookmarkStart w:id="123" w:name="_Toc100052409"/>
      <w:bookmarkStart w:id="124" w:name="_Toc73517680"/>
      <w:r>
        <w:rPr>
          <w:rFonts w:hint="eastAsia" w:ascii="黑体" w:hAnsi="宋体" w:eastAsia="黑体"/>
          <w:szCs w:val="21"/>
        </w:rPr>
        <w:t>44．</w:t>
      </w:r>
      <w:bookmarkEnd w:id="120"/>
      <w:bookmarkEnd w:id="121"/>
      <w:bookmarkEnd w:id="122"/>
      <w:bookmarkEnd w:id="123"/>
      <w:bookmarkEnd w:id="124"/>
      <w:r>
        <w:rPr>
          <w:rFonts w:hint="eastAsia" w:ascii="黑体" w:hAnsi="宋体" w:eastAsia="黑体"/>
          <w:szCs w:val="21"/>
        </w:rPr>
        <w:t>接受和拒绝任何或所有投标的权力</w:t>
      </w:r>
    </w:p>
    <w:p>
      <w:pPr>
        <w:ind w:firstLine="420" w:firstLineChars="200"/>
        <w:rPr>
          <w:rFonts w:ascii="宋体" w:hAnsi="宋体"/>
          <w:szCs w:val="21"/>
        </w:rPr>
      </w:pPr>
      <w:r>
        <w:rPr>
          <w:rFonts w:hint="eastAsia" w:ascii="宋体" w:hAnsi="宋体"/>
          <w:szCs w:val="21"/>
          <w:highlight w:val="yellow"/>
        </w:rPr>
        <w:t>采购代理机构</w:t>
      </w:r>
      <w:r>
        <w:rPr>
          <w:rFonts w:hint="eastAsia" w:ascii="宋体" w:hAnsi="宋体"/>
          <w:szCs w:val="21"/>
        </w:rPr>
        <w:t>和采购人保留在投标之前任何时候接受或拒绝任何投标或所有投标，以及宣布招标无效的权力，对受影响的投标人不承担任何责任，也无义务向受影响的投标人解释采取这一行动的理由。</w:t>
      </w:r>
    </w:p>
    <w:p>
      <w:pPr>
        <w:ind w:firstLine="420" w:firstLineChars="200"/>
        <w:rPr>
          <w:rFonts w:ascii="黑体" w:hAnsi="宋体" w:eastAsia="黑体"/>
          <w:szCs w:val="21"/>
        </w:rPr>
      </w:pPr>
      <w:bookmarkStart w:id="125" w:name="_Toc73521589"/>
      <w:bookmarkStart w:id="126" w:name="_Toc73517682"/>
      <w:bookmarkStart w:id="127" w:name="_Toc73521677"/>
      <w:bookmarkStart w:id="128" w:name="_Toc73518160"/>
      <w:bookmarkStart w:id="129" w:name="_Toc100052410"/>
      <w:r>
        <w:rPr>
          <w:rFonts w:hint="eastAsia" w:ascii="黑体" w:hAnsi="宋体" w:eastAsia="黑体"/>
          <w:szCs w:val="21"/>
        </w:rPr>
        <w:t>45．合同的签订</w:t>
      </w:r>
      <w:bookmarkEnd w:id="125"/>
      <w:bookmarkEnd w:id="126"/>
      <w:bookmarkEnd w:id="127"/>
      <w:bookmarkEnd w:id="128"/>
      <w:bookmarkEnd w:id="129"/>
    </w:p>
    <w:p>
      <w:pPr>
        <w:ind w:firstLine="420" w:firstLineChars="200"/>
        <w:rPr>
          <w:rFonts w:ascii="宋体" w:hAnsi="宋体"/>
          <w:szCs w:val="21"/>
        </w:rPr>
      </w:pPr>
      <w:r>
        <w:rPr>
          <w:rFonts w:hint="eastAsia" w:ascii="宋体" w:hAnsi="宋体"/>
          <w:szCs w:val="21"/>
        </w:rPr>
        <w:t>45.1中标人将于中标通知书发出之日起十个工作日内，按照采购文件（招标文件和投标文件等）内容与采购人签订采购合同；合同的实质性内容应当符合招标文件的规定；</w:t>
      </w:r>
    </w:p>
    <w:p>
      <w:pPr>
        <w:ind w:firstLine="420" w:firstLineChars="200"/>
        <w:rPr>
          <w:rFonts w:ascii="宋体" w:hAnsi="宋体"/>
          <w:szCs w:val="21"/>
        </w:rPr>
      </w:pPr>
      <w:r>
        <w:rPr>
          <w:rFonts w:hint="eastAsia" w:ascii="宋体" w:hAnsi="宋体"/>
          <w:szCs w:val="21"/>
        </w:rPr>
        <w:t>45.2中标人如不按本通用条款第45.1款的规定与采购人签订合同，</w:t>
      </w:r>
      <w:r>
        <w:rPr>
          <w:rFonts w:hint="eastAsia" w:ascii="宋体" w:hAnsi="宋体" w:cs="宋体"/>
          <w:kern w:val="0"/>
          <w:szCs w:val="21"/>
        </w:rPr>
        <w:t>情节严重的，由同级财政部门记入供应商诚信档案，予以通报</w:t>
      </w:r>
      <w:r>
        <w:rPr>
          <w:rFonts w:hint="eastAsia" w:ascii="宋体" w:hAnsi="宋体"/>
          <w:szCs w:val="21"/>
        </w:rPr>
        <w:t>；</w:t>
      </w:r>
    </w:p>
    <w:p>
      <w:pPr>
        <w:ind w:firstLine="420" w:firstLineChars="200"/>
        <w:rPr>
          <w:rFonts w:ascii="宋体" w:hAnsi="宋体"/>
          <w:szCs w:val="21"/>
        </w:rPr>
      </w:pPr>
      <w:r>
        <w:rPr>
          <w:rFonts w:hint="eastAsia" w:ascii="宋体" w:hAnsi="宋体"/>
          <w:szCs w:val="21"/>
        </w:rPr>
        <w:t>45.3中标人应当按照合同约定履行义务，完成中标项目，不得将中标项目转让（转包）给他人。</w:t>
      </w:r>
    </w:p>
    <w:p>
      <w:pPr>
        <w:ind w:firstLine="420" w:firstLineChars="200"/>
        <w:rPr>
          <w:rFonts w:ascii="黑体" w:hAnsi="宋体" w:eastAsia="黑体"/>
          <w:szCs w:val="21"/>
        </w:rPr>
      </w:pPr>
      <w:bookmarkStart w:id="130" w:name="_Toc73521678"/>
      <w:bookmarkStart w:id="131" w:name="_Toc73521590"/>
      <w:bookmarkStart w:id="132" w:name="_Toc73517683"/>
      <w:bookmarkStart w:id="133" w:name="_Toc73518161"/>
      <w:bookmarkStart w:id="134" w:name="_Toc100052411"/>
      <w:r>
        <w:rPr>
          <w:rFonts w:hint="eastAsia" w:ascii="黑体" w:hAnsi="宋体" w:eastAsia="黑体"/>
          <w:szCs w:val="21"/>
        </w:rPr>
        <w:t>46．履约担保</w:t>
      </w:r>
      <w:bookmarkEnd w:id="130"/>
      <w:bookmarkEnd w:id="131"/>
      <w:bookmarkEnd w:id="132"/>
      <w:bookmarkEnd w:id="133"/>
      <w:bookmarkEnd w:id="134"/>
    </w:p>
    <w:p>
      <w:pPr>
        <w:ind w:firstLine="420" w:firstLineChars="200"/>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20" w:firstLineChars="200"/>
        <w:rPr>
          <w:rFonts w:ascii="宋体" w:hAnsi="宋体"/>
          <w:szCs w:val="21"/>
        </w:rPr>
      </w:pPr>
      <w:r>
        <w:rPr>
          <w:rFonts w:hint="eastAsia" w:ascii="宋体" w:hAnsi="宋体"/>
          <w:szCs w:val="21"/>
        </w:rPr>
        <w:t>46.2，允许供应商自主选择以支票、汇票、本票、保函等非现金方式提交履约担保；</w:t>
      </w:r>
      <w:r>
        <w:rPr>
          <w:rFonts w:hint="eastAsia"/>
          <w:szCs w:val="21"/>
        </w:rPr>
        <w:t>中标人提交履约担保不是合同签订的前提条件，不要求中标人提供除法律、法规明确规定外的其他担保。</w:t>
      </w:r>
    </w:p>
    <w:p>
      <w:pPr>
        <w:ind w:firstLine="420" w:firstLineChars="200"/>
        <w:rPr>
          <w:rFonts w:ascii="黑体" w:hAnsi="宋体" w:eastAsia="黑体"/>
          <w:szCs w:val="21"/>
        </w:rPr>
      </w:pPr>
      <w:r>
        <w:rPr>
          <w:rFonts w:hint="eastAsia" w:ascii="黑体" w:hAnsi="宋体" w:eastAsia="黑体"/>
          <w:szCs w:val="21"/>
        </w:rPr>
        <w:t>47. 合同备案</w:t>
      </w:r>
    </w:p>
    <w:p>
      <w:pPr>
        <w:ind w:firstLine="420" w:firstLineChars="200"/>
        <w:rPr>
          <w:rFonts w:ascii="宋体" w:hAnsi="宋体"/>
          <w:szCs w:val="21"/>
        </w:rPr>
      </w:pPr>
      <w:r>
        <w:rPr>
          <w:rFonts w:hint="eastAsia" w:ascii="宋体" w:hAnsi="宋体"/>
          <w:szCs w:val="21"/>
        </w:rPr>
        <w:t>采购人与中标供应商自中标通知书发出之日起10个工作日内签订采购合同，并按采购人内控制度规定提交备案。</w:t>
      </w:r>
    </w:p>
    <w:p>
      <w:pPr>
        <w:ind w:firstLine="420" w:firstLineChars="200"/>
        <w:rPr>
          <w:rFonts w:ascii="黑体" w:hAnsi="宋体" w:eastAsia="黑体"/>
          <w:szCs w:val="21"/>
        </w:rPr>
      </w:pPr>
      <w:r>
        <w:rPr>
          <w:rFonts w:hint="eastAsia" w:ascii="黑体" w:hAnsi="宋体" w:eastAsia="黑体"/>
          <w:szCs w:val="21"/>
        </w:rPr>
        <w:t>48. 合同变更</w:t>
      </w:r>
    </w:p>
    <w:p>
      <w:pPr>
        <w:ind w:firstLine="420" w:firstLineChars="200"/>
        <w:rPr>
          <w:rFonts w:ascii="宋体" w:hAnsi="宋体"/>
          <w:szCs w:val="21"/>
        </w:rPr>
      </w:pPr>
      <w:r>
        <w:rPr>
          <w:rFonts w:hint="eastAsia" w:ascii="宋体" w:hAnsi="宋体"/>
          <w:szCs w:val="21"/>
        </w:rPr>
        <w:t>合同变更事宜参照《深圳市财政局关于优化政府采购合同备案的通知》（深财发保〔2022〕2号）相关规定，按采购人内控制度执行。</w:t>
      </w:r>
    </w:p>
    <w:p>
      <w:pPr>
        <w:ind w:firstLine="420" w:firstLineChars="200"/>
        <w:rPr>
          <w:rFonts w:ascii="黑体" w:hAnsi="宋体" w:eastAsia="黑体"/>
          <w:szCs w:val="21"/>
        </w:rPr>
      </w:pPr>
      <w:r>
        <w:rPr>
          <w:rFonts w:hint="eastAsia" w:ascii="黑体" w:hAnsi="宋体" w:eastAsia="黑体"/>
          <w:szCs w:val="21"/>
        </w:rPr>
        <w:t>49. 项目验收</w:t>
      </w:r>
    </w:p>
    <w:p>
      <w:pPr>
        <w:widowControl/>
        <w:ind w:firstLine="420" w:firstLineChars="200"/>
        <w:jc w:val="left"/>
        <w:rPr>
          <w:rFonts w:ascii="宋体" w:hAnsi="宋体"/>
          <w:szCs w:val="21"/>
        </w:rPr>
      </w:pPr>
      <w:r>
        <w:rPr>
          <w:rFonts w:hint="eastAsia" w:ascii="宋体" w:hAnsi="宋体"/>
          <w:szCs w:val="21"/>
        </w:rPr>
        <w:t xml:space="preserve">49.1采购人应当按照招标文件和合同规定的标准和方法，及时组织验收。 </w:t>
      </w:r>
    </w:p>
    <w:p>
      <w:pPr>
        <w:ind w:firstLine="420" w:firstLineChars="200"/>
        <w:rPr>
          <w:rFonts w:ascii="黑体" w:hAnsi="宋体" w:eastAsia="黑体"/>
          <w:szCs w:val="21"/>
        </w:rPr>
      </w:pPr>
      <w:r>
        <w:rPr>
          <w:rFonts w:hint="eastAsia" w:ascii="黑体" w:hAnsi="宋体" w:eastAsia="黑体"/>
          <w:szCs w:val="21"/>
        </w:rPr>
        <w:t>50. 宣传</w:t>
      </w:r>
    </w:p>
    <w:p>
      <w:pPr>
        <w:ind w:firstLine="420" w:firstLineChars="200"/>
        <w:rPr>
          <w:rFonts w:ascii="宋体" w:hAnsi="宋体"/>
          <w:szCs w:val="21"/>
        </w:rPr>
      </w:pPr>
      <w:r>
        <w:rPr>
          <w:rFonts w:hint="eastAsia" w:ascii="宋体" w:hAnsi="宋体"/>
          <w:szCs w:val="21"/>
        </w:rPr>
        <w:t>凡与采购活动有关的宣传或广告，若当中提及本项目采购，必须事先将具体对外宣传方案报采购人预算主管部门，并征得其同意。对外市场宣传包括但不限于以下形式：</w:t>
      </w:r>
    </w:p>
    <w:p>
      <w:pPr>
        <w:ind w:firstLine="420" w:firstLineChars="200"/>
        <w:rPr>
          <w:rFonts w:ascii="宋体" w:hAnsi="宋体"/>
          <w:szCs w:val="21"/>
        </w:rPr>
      </w:pPr>
      <w:r>
        <w:rPr>
          <w:rFonts w:hint="eastAsia" w:ascii="宋体" w:hAnsi="宋体"/>
          <w:szCs w:val="21"/>
        </w:rPr>
        <w:t>a.名片、宣传册、广告标语等；</w:t>
      </w:r>
    </w:p>
    <w:p>
      <w:pPr>
        <w:ind w:firstLine="420" w:firstLineChars="200"/>
        <w:rPr>
          <w:rFonts w:ascii="宋体" w:hAnsi="宋体"/>
          <w:szCs w:val="21"/>
        </w:rPr>
      </w:pPr>
      <w:r>
        <w:rPr>
          <w:rFonts w:hint="eastAsia" w:ascii="宋体" w:hAnsi="宋体"/>
          <w:szCs w:val="21"/>
        </w:rPr>
        <w:t>b.案例介绍、推广等；</w:t>
      </w:r>
    </w:p>
    <w:p>
      <w:pPr>
        <w:ind w:firstLine="420" w:firstLineChars="200"/>
        <w:rPr>
          <w:rFonts w:ascii="宋体" w:hAnsi="宋体"/>
          <w:szCs w:val="21"/>
        </w:rPr>
      </w:pPr>
      <w:r>
        <w:rPr>
          <w:rFonts w:hint="eastAsia" w:ascii="宋体" w:hAnsi="宋体"/>
          <w:szCs w:val="21"/>
        </w:rPr>
        <w:t>c.工作人员向其他消费群体宣传。</w:t>
      </w:r>
    </w:p>
    <w:p>
      <w:pPr>
        <w:ind w:firstLine="420" w:firstLineChars="200"/>
        <w:rPr>
          <w:rFonts w:ascii="黑体" w:hAnsi="宋体" w:eastAsia="黑体"/>
          <w:szCs w:val="21"/>
        </w:rPr>
      </w:pPr>
      <w:r>
        <w:rPr>
          <w:rFonts w:hint="eastAsia" w:ascii="黑体" w:hAnsi="宋体" w:eastAsia="黑体"/>
          <w:szCs w:val="21"/>
        </w:rPr>
        <w:t>51. 供应商违法责任</w:t>
      </w:r>
    </w:p>
    <w:p>
      <w:pPr>
        <w:ind w:firstLine="420" w:firstLineChars="200"/>
        <w:rPr>
          <w:rFonts w:ascii="宋体" w:hAnsi="宋体"/>
          <w:szCs w:val="21"/>
        </w:rPr>
      </w:pPr>
      <w:r>
        <w:rPr>
          <w:rFonts w:hint="eastAsia" w:ascii="宋体" w:hAnsi="宋体"/>
          <w:szCs w:val="21"/>
        </w:rPr>
        <w:t>51.1《深圳经济特区政府采购条例》第五十七条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20" w:firstLineChars="200"/>
        <w:rPr>
          <w:rFonts w:ascii="宋体" w:hAnsi="宋体"/>
          <w:szCs w:val="21"/>
        </w:rPr>
      </w:pPr>
      <w:r>
        <w:rPr>
          <w:rFonts w:hint="eastAsia" w:ascii="宋体" w:hAnsi="宋体"/>
          <w:szCs w:val="21"/>
        </w:rPr>
        <w:t>（1）在采购活动中应当回避而未回避的；</w:t>
      </w:r>
    </w:p>
    <w:p>
      <w:pPr>
        <w:ind w:firstLine="420" w:firstLineChars="200"/>
        <w:rPr>
          <w:rFonts w:ascii="宋体" w:hAnsi="宋体"/>
          <w:szCs w:val="21"/>
        </w:rPr>
      </w:pPr>
      <w:r>
        <w:rPr>
          <w:rFonts w:hint="eastAsia" w:ascii="宋体" w:hAnsi="宋体"/>
          <w:szCs w:val="21"/>
        </w:rPr>
        <w:t>（2）未按本条例规定签订、履行采购合同，造成严重后果的；</w:t>
      </w:r>
    </w:p>
    <w:p>
      <w:pPr>
        <w:ind w:firstLine="420" w:firstLineChars="200"/>
        <w:rPr>
          <w:rFonts w:ascii="宋体" w:hAnsi="宋体"/>
          <w:szCs w:val="21"/>
        </w:rPr>
      </w:pPr>
      <w:r>
        <w:rPr>
          <w:rFonts w:hint="eastAsia" w:ascii="宋体" w:hAnsi="宋体"/>
          <w:szCs w:val="21"/>
        </w:rPr>
        <w:t>（3）隐瞒真实情况，提供虚假资料的；</w:t>
      </w:r>
    </w:p>
    <w:p>
      <w:pPr>
        <w:ind w:firstLine="420" w:firstLineChars="200"/>
        <w:rPr>
          <w:rFonts w:ascii="宋体" w:hAnsi="宋体"/>
          <w:szCs w:val="21"/>
        </w:rPr>
      </w:pPr>
      <w:r>
        <w:rPr>
          <w:rFonts w:hint="eastAsia" w:ascii="宋体" w:hAnsi="宋体"/>
          <w:szCs w:val="21"/>
        </w:rPr>
        <w:t>（4）以非法手段排斥其他供应商参与竞争的；</w:t>
      </w:r>
    </w:p>
    <w:p>
      <w:pPr>
        <w:ind w:firstLine="420" w:firstLineChars="200"/>
        <w:rPr>
          <w:rFonts w:ascii="宋体" w:hAnsi="宋体"/>
          <w:szCs w:val="21"/>
        </w:rPr>
      </w:pPr>
      <w:r>
        <w:rPr>
          <w:rFonts w:hint="eastAsia" w:ascii="宋体" w:hAnsi="宋体"/>
          <w:szCs w:val="21"/>
        </w:rPr>
        <w:t>（5）与其他采购参加人串通投标的；</w:t>
      </w:r>
    </w:p>
    <w:p>
      <w:pPr>
        <w:ind w:firstLine="420" w:firstLineChars="200"/>
        <w:rPr>
          <w:rFonts w:ascii="宋体" w:hAnsi="宋体"/>
          <w:szCs w:val="21"/>
        </w:rPr>
      </w:pPr>
      <w:r>
        <w:rPr>
          <w:rFonts w:hint="eastAsia" w:ascii="宋体" w:hAnsi="宋体"/>
          <w:szCs w:val="21"/>
        </w:rPr>
        <w:t>（6）恶意投诉的；</w:t>
      </w:r>
    </w:p>
    <w:p>
      <w:pPr>
        <w:ind w:firstLine="420" w:firstLineChars="200"/>
        <w:rPr>
          <w:rFonts w:ascii="宋体" w:hAnsi="宋体"/>
          <w:szCs w:val="21"/>
        </w:rPr>
      </w:pPr>
      <w:r>
        <w:rPr>
          <w:rFonts w:hint="eastAsia" w:ascii="宋体" w:hAnsi="宋体"/>
          <w:szCs w:val="21"/>
        </w:rPr>
        <w:t>（7）向采购项目相关人行贿或者提供其他不当利益的；</w:t>
      </w:r>
    </w:p>
    <w:p>
      <w:pPr>
        <w:ind w:firstLine="420" w:firstLineChars="200"/>
        <w:rPr>
          <w:rFonts w:ascii="宋体" w:hAnsi="宋体"/>
          <w:szCs w:val="21"/>
        </w:rPr>
      </w:pPr>
      <w:r>
        <w:rPr>
          <w:rFonts w:hint="eastAsia" w:ascii="宋体" w:hAnsi="宋体"/>
          <w:szCs w:val="21"/>
        </w:rPr>
        <w:t>（8）阻碍、抗拒主管部门监督检查的；</w:t>
      </w:r>
    </w:p>
    <w:p>
      <w:pPr>
        <w:ind w:firstLine="420" w:firstLineChars="200"/>
        <w:rPr>
          <w:rFonts w:ascii="宋体" w:hAnsi="宋体"/>
          <w:szCs w:val="21"/>
        </w:rPr>
      </w:pPr>
      <w:r>
        <w:rPr>
          <w:rFonts w:hint="eastAsia" w:ascii="宋体" w:hAnsi="宋体"/>
          <w:szCs w:val="21"/>
        </w:rPr>
        <w:t>（9）其他违反本条例规定的行为。</w:t>
      </w:r>
    </w:p>
    <w:p>
      <w:pPr>
        <w:ind w:firstLine="420" w:firstLineChars="200"/>
        <w:rPr>
          <w:rFonts w:ascii="宋体" w:hAnsi="宋体"/>
          <w:szCs w:val="21"/>
        </w:rPr>
      </w:pPr>
      <w:r>
        <w:rPr>
          <w:rFonts w:hint="eastAsia" w:ascii="宋体" w:hAnsi="宋体"/>
          <w:szCs w:val="21"/>
        </w:rPr>
        <w:t>51.2 根据《深圳市财政局关于调整政府采购投标（响应）保证金管理政策的通知 》（深财购〔2021〕51 号）的要求，供应商在采购活动中出现《深圳经济特区政府采购条例实施细则》第八十条所列情形的，</w:t>
      </w:r>
      <w:bookmarkStart w:id="135" w:name="_Hlk72440769"/>
      <w:r>
        <w:rPr>
          <w:rFonts w:hint="eastAsia" w:ascii="宋体" w:hAnsi="宋体"/>
          <w:szCs w:val="21"/>
          <w:highlight w:val="yellow"/>
        </w:rPr>
        <w:t>采购代理机构</w:t>
      </w:r>
      <w:r>
        <w:rPr>
          <w:rFonts w:hint="eastAsia" w:ascii="宋体" w:hAnsi="宋体"/>
          <w:szCs w:val="21"/>
        </w:rPr>
        <w:t>或采购人不予退还其交纳的谈判保证金，情节严重的，并由主管部门</w:t>
      </w:r>
      <w:bookmarkEnd w:id="135"/>
      <w:r>
        <w:rPr>
          <w:rFonts w:hint="eastAsia" w:ascii="宋体" w:hAnsi="宋体"/>
          <w:szCs w:val="21"/>
        </w:rPr>
        <w:t>记入供应商诚信档案，予以通报：</w:t>
      </w:r>
    </w:p>
    <w:p>
      <w:pPr>
        <w:ind w:firstLine="420" w:firstLineChars="200"/>
        <w:rPr>
          <w:rFonts w:ascii="宋体" w:hAnsi="宋体"/>
          <w:szCs w:val="21"/>
        </w:rPr>
      </w:pPr>
      <w:r>
        <w:rPr>
          <w:rFonts w:hint="eastAsia" w:ascii="宋体" w:hAnsi="宋体"/>
          <w:szCs w:val="21"/>
        </w:rPr>
        <w:t>（1）投标截止后，撤销投标的；</w:t>
      </w:r>
    </w:p>
    <w:p>
      <w:pPr>
        <w:ind w:firstLine="420" w:firstLineChars="200"/>
        <w:rPr>
          <w:rFonts w:ascii="宋体" w:hAnsi="宋体"/>
          <w:szCs w:val="21"/>
        </w:rPr>
      </w:pPr>
      <w:r>
        <w:rPr>
          <w:rFonts w:hint="eastAsia" w:ascii="宋体" w:hAnsi="宋体"/>
          <w:szCs w:val="21"/>
        </w:rPr>
        <w:t>（2）中标后无正当理由未在规定期限内签订合同的；</w:t>
      </w:r>
    </w:p>
    <w:p>
      <w:pPr>
        <w:ind w:firstLine="420" w:firstLineChars="200"/>
        <w:rPr>
          <w:rFonts w:ascii="宋体" w:hAnsi="宋体"/>
          <w:szCs w:val="21"/>
        </w:rPr>
      </w:pPr>
      <w:r>
        <w:rPr>
          <w:rFonts w:hint="eastAsia" w:ascii="宋体" w:hAnsi="宋体"/>
          <w:szCs w:val="21"/>
        </w:rPr>
        <w:t>（3）将中标项目转让给他人、或者在投标文件中未说明且未经采购人、采购招标机构同意，将中标项目分包给他人的；</w:t>
      </w:r>
    </w:p>
    <w:p>
      <w:pPr>
        <w:ind w:firstLine="420" w:firstLineChars="200"/>
      </w:pPr>
      <w:r>
        <w:rPr>
          <w:rFonts w:hint="eastAsia" w:ascii="宋体" w:hAnsi="宋体"/>
          <w:szCs w:val="21"/>
        </w:rPr>
        <w:t>（4）拒绝履行合同义务的。</w:t>
      </w:r>
    </w:p>
    <w:bookmarkEnd w:id="119"/>
    <w:p>
      <w:pPr>
        <w:pStyle w:val="74"/>
        <w:keepNext/>
        <w:keepLines/>
        <w:numPr>
          <w:ilvl w:val="0"/>
          <w:numId w:val="19"/>
        </w:numPr>
        <w:tabs>
          <w:tab w:val="left" w:pos="720"/>
        </w:tabs>
        <w:adjustRightInd w:val="0"/>
        <w:spacing w:before="120" w:beforeLines="50" w:after="120" w:afterLines="50"/>
        <w:ind w:firstLineChars="0"/>
        <w:jc w:val="center"/>
        <w:textAlignment w:val="baseline"/>
        <w:outlineLvl w:val="1"/>
        <w:rPr>
          <w:rFonts w:ascii="Cambria" w:hAnsi="Cambria" w:cs="宋体"/>
          <w:b/>
          <w:bCs/>
          <w:sz w:val="28"/>
          <w:szCs w:val="28"/>
        </w:rPr>
      </w:pPr>
      <w:r>
        <w:rPr>
          <w:rFonts w:hint="eastAsia" w:ascii="Cambria" w:hAnsi="Cambria" w:cs="宋体"/>
          <w:b/>
          <w:bCs/>
          <w:sz w:val="28"/>
          <w:szCs w:val="28"/>
        </w:rPr>
        <w:t>质疑处理</w:t>
      </w:r>
    </w:p>
    <w:p>
      <w:pPr>
        <w:ind w:firstLine="420" w:firstLineChars="200"/>
        <w:rPr>
          <w:rFonts w:ascii="黑体" w:hAnsi="宋体" w:eastAsia="黑体"/>
          <w:szCs w:val="21"/>
        </w:rPr>
      </w:pPr>
      <w:r>
        <w:rPr>
          <w:rFonts w:hint="eastAsia" w:ascii="黑体" w:hAnsi="宋体" w:eastAsia="黑体"/>
          <w:szCs w:val="21"/>
        </w:rPr>
        <w:t>52.质疑提出与答复</w:t>
      </w:r>
    </w:p>
    <w:p>
      <w:pPr>
        <w:ind w:firstLine="420" w:firstLineChars="200"/>
        <w:rPr>
          <w:rFonts w:ascii="宋体" w:hAnsi="宋体"/>
          <w:szCs w:val="21"/>
        </w:rPr>
      </w:pPr>
      <w:r>
        <w:rPr>
          <w:rFonts w:hint="eastAsia" w:ascii="宋体" w:hAnsi="宋体"/>
          <w:szCs w:val="21"/>
        </w:rPr>
        <w:t>52.1提出质疑</w:t>
      </w:r>
    </w:p>
    <w:p>
      <w:pPr>
        <w:ind w:firstLine="420" w:firstLineChars="200"/>
        <w:rPr>
          <w:rFonts w:ascii="宋体" w:hAnsi="宋体"/>
          <w:szCs w:val="21"/>
        </w:rPr>
      </w:pPr>
      <w:r>
        <w:rPr>
          <w:rFonts w:hint="eastAsia" w:ascii="宋体" w:hAnsi="宋体"/>
          <w:szCs w:val="21"/>
        </w:rPr>
        <w:t>参与采购活动的供应商认为自己的权益在采购活动中受到损害的，应当自知道或者应当知道其权益受到损害之日起七个工作日内向采购人、</w:t>
      </w:r>
      <w:r>
        <w:rPr>
          <w:rFonts w:hint="eastAsia" w:ascii="宋体" w:hAnsi="宋体"/>
          <w:szCs w:val="21"/>
          <w:highlight w:val="yellow"/>
        </w:rPr>
        <w:t>采购代理机构</w:t>
      </w:r>
      <w:r>
        <w:rPr>
          <w:rFonts w:hint="eastAsia" w:ascii="宋体" w:hAnsi="宋体"/>
          <w:szCs w:val="21"/>
        </w:rPr>
        <w:t>以书面形式提出质疑。</w:t>
      </w:r>
    </w:p>
    <w:p>
      <w:pPr>
        <w:ind w:firstLine="420" w:firstLineChars="200"/>
        <w:rPr>
          <w:rFonts w:ascii="宋体" w:hAnsi="宋体"/>
          <w:szCs w:val="21"/>
        </w:rPr>
      </w:pPr>
      <w:r>
        <w:rPr>
          <w:rFonts w:hint="eastAsia" w:ascii="宋体" w:hAnsi="宋体"/>
          <w:szCs w:val="21"/>
        </w:rPr>
        <w:t>52.2法律依据</w:t>
      </w:r>
    </w:p>
    <w:p>
      <w:pPr>
        <w:ind w:firstLine="420" w:firstLineChars="200"/>
        <w:rPr>
          <w:rFonts w:ascii="宋体" w:hAnsi="宋体"/>
          <w:szCs w:val="21"/>
        </w:rPr>
      </w:pPr>
      <w:r>
        <w:rPr>
          <w:rFonts w:hint="eastAsia" w:ascii="宋体" w:hAnsi="宋体"/>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420" w:firstLineChars="200"/>
        <w:rPr>
          <w:rFonts w:ascii="宋体" w:hAnsi="宋体"/>
          <w:szCs w:val="21"/>
        </w:rPr>
      </w:pPr>
      <w:r>
        <w:rPr>
          <w:rFonts w:hint="eastAsia" w:ascii="宋体" w:hAnsi="宋体"/>
          <w:szCs w:val="21"/>
        </w:rPr>
        <w:t>52.3质疑条件</w:t>
      </w:r>
    </w:p>
    <w:p>
      <w:pPr>
        <w:ind w:firstLine="420" w:firstLineChars="200"/>
        <w:rPr>
          <w:rFonts w:ascii="宋体" w:hAnsi="宋体"/>
          <w:szCs w:val="21"/>
        </w:rPr>
      </w:pPr>
      <w:r>
        <w:rPr>
          <w:rFonts w:hint="eastAsia" w:ascii="宋体" w:hAnsi="宋体"/>
          <w:szCs w:val="21"/>
        </w:rPr>
        <w:t>52.3.1提出质疑的供应商应当是参与所质疑项目采购活动的供应商；</w:t>
      </w:r>
      <w:bookmarkStart w:id="136" w:name="_Hlk75374941"/>
      <w:r>
        <w:rPr>
          <w:rFonts w:hint="eastAsia" w:ascii="宋体" w:hAnsi="宋体"/>
          <w:szCs w:val="21"/>
        </w:rPr>
        <w:t>以联合体形式参与的，质疑应当由组成联合体的所有成员共同提出</w:t>
      </w:r>
      <w:bookmarkEnd w:id="136"/>
      <w:r>
        <w:rPr>
          <w:rFonts w:hint="eastAsia" w:ascii="宋体" w:hAnsi="宋体"/>
          <w:szCs w:val="21"/>
        </w:rPr>
        <w:t>；</w:t>
      </w:r>
    </w:p>
    <w:p>
      <w:pPr>
        <w:ind w:firstLine="420" w:firstLineChars="200"/>
        <w:rPr>
          <w:rFonts w:ascii="宋体" w:hAnsi="宋体"/>
          <w:szCs w:val="21"/>
        </w:rPr>
      </w:pPr>
      <w:r>
        <w:rPr>
          <w:rFonts w:hint="eastAsia" w:ascii="宋体" w:hAnsi="宋体"/>
          <w:szCs w:val="21"/>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firstLineChars="200"/>
        <w:rPr>
          <w:rFonts w:ascii="宋体" w:hAnsi="宋体"/>
          <w:szCs w:val="21"/>
        </w:rPr>
      </w:pPr>
      <w:r>
        <w:rPr>
          <w:rFonts w:hint="eastAsia" w:ascii="宋体" w:hAnsi="宋体"/>
          <w:szCs w:val="21"/>
        </w:rPr>
        <w:t xml:space="preserve">52.3.3应提交书面质疑函，质疑函应当包括以下内容： </w:t>
      </w:r>
    </w:p>
    <w:p>
      <w:pPr>
        <w:ind w:firstLine="420" w:firstLineChars="200"/>
        <w:rPr>
          <w:rFonts w:ascii="宋体" w:hAnsi="宋体"/>
          <w:szCs w:val="21"/>
        </w:rPr>
      </w:pPr>
      <w:r>
        <w:rPr>
          <w:rFonts w:hint="eastAsia" w:ascii="宋体" w:hAnsi="宋体"/>
          <w:szCs w:val="21"/>
        </w:rPr>
        <w:t>（1）供应商的名称（或者姓名）、地址、邮编、邮箱、联系人及联系电话；</w:t>
      </w:r>
    </w:p>
    <w:p>
      <w:pPr>
        <w:ind w:firstLine="420" w:firstLineChars="200"/>
        <w:rPr>
          <w:rFonts w:ascii="宋体" w:hAnsi="宋体"/>
          <w:szCs w:val="21"/>
        </w:rPr>
      </w:pPr>
      <w:r>
        <w:rPr>
          <w:rFonts w:hint="eastAsia" w:ascii="宋体" w:hAnsi="宋体"/>
          <w:szCs w:val="21"/>
        </w:rPr>
        <w:t>（2）质疑项目的名称、编号；</w:t>
      </w:r>
    </w:p>
    <w:p>
      <w:pPr>
        <w:ind w:firstLine="420" w:firstLineChars="200"/>
        <w:rPr>
          <w:rFonts w:ascii="宋体" w:hAnsi="宋体"/>
          <w:szCs w:val="21"/>
        </w:rPr>
      </w:pPr>
      <w:r>
        <w:rPr>
          <w:rFonts w:hint="eastAsia" w:ascii="宋体" w:hAnsi="宋体"/>
          <w:szCs w:val="21"/>
        </w:rPr>
        <w:t>（3）具体、明确的质疑对象、质疑事项和质疑请求；</w:t>
      </w:r>
    </w:p>
    <w:p>
      <w:pPr>
        <w:ind w:firstLine="420" w:firstLineChars="200"/>
        <w:rPr>
          <w:rFonts w:ascii="宋体" w:hAnsi="宋体"/>
          <w:szCs w:val="21"/>
        </w:rPr>
      </w:pPr>
      <w:r>
        <w:rPr>
          <w:rFonts w:hint="eastAsia" w:ascii="宋体" w:hAnsi="宋体"/>
          <w:szCs w:val="21"/>
        </w:rPr>
        <w:t>（4）因质疑事项而受损害的权益；</w:t>
      </w:r>
    </w:p>
    <w:p>
      <w:pPr>
        <w:ind w:firstLine="420" w:firstLineChars="200"/>
        <w:rPr>
          <w:rFonts w:ascii="宋体" w:hAnsi="宋体"/>
          <w:szCs w:val="21"/>
        </w:rPr>
      </w:pPr>
      <w:r>
        <w:rPr>
          <w:rFonts w:hint="eastAsia" w:ascii="宋体" w:hAnsi="宋体"/>
          <w:szCs w:val="21"/>
        </w:rPr>
        <w:t>（5）事实依据；</w:t>
      </w:r>
    </w:p>
    <w:p>
      <w:pPr>
        <w:ind w:firstLine="420" w:firstLineChars="200"/>
        <w:rPr>
          <w:rFonts w:ascii="宋体" w:hAnsi="宋体"/>
          <w:szCs w:val="21"/>
        </w:rPr>
      </w:pPr>
      <w:r>
        <w:rPr>
          <w:rFonts w:hint="eastAsia" w:ascii="宋体" w:hAnsi="宋体"/>
          <w:szCs w:val="21"/>
        </w:rPr>
        <w:t>（6）必要的法律依据；</w:t>
      </w:r>
    </w:p>
    <w:p>
      <w:pPr>
        <w:ind w:firstLine="420" w:firstLineChars="200"/>
        <w:rPr>
          <w:rFonts w:ascii="宋体" w:hAnsi="宋体"/>
          <w:szCs w:val="21"/>
        </w:rPr>
      </w:pPr>
      <w:r>
        <w:rPr>
          <w:rFonts w:hint="eastAsia" w:ascii="宋体" w:hAnsi="宋体"/>
          <w:szCs w:val="21"/>
        </w:rPr>
        <w:t>（7）提出质疑的日期。</w:t>
      </w:r>
    </w:p>
    <w:p>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hint="eastAsia" w:ascii="宋体" w:hAnsi="宋体"/>
          <w:szCs w:val="21"/>
        </w:rPr>
        <w:t>52.4提交材料</w:t>
      </w:r>
    </w:p>
    <w:p>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hint="eastAsia" w:ascii="宋体" w:hAnsi="宋体"/>
          <w:szCs w:val="21"/>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hint="eastAsia" w:ascii="宋体" w:hAnsi="宋体"/>
          <w:szCs w:val="21"/>
        </w:rPr>
        <w:t>52.5收文地点</w:t>
      </w:r>
    </w:p>
    <w:p>
      <w:pPr>
        <w:ind w:firstLine="422" w:firstLineChars="200"/>
        <w:rPr>
          <w:rFonts w:ascii="宋体" w:hAnsi="宋体"/>
          <w:b/>
          <w:bCs/>
          <w:szCs w:val="21"/>
        </w:rPr>
      </w:pPr>
      <w:r>
        <w:rPr>
          <w:rFonts w:hint="eastAsia" w:ascii="宋体" w:hAnsi="宋体"/>
          <w:b/>
          <w:bCs/>
          <w:szCs w:val="21"/>
        </w:rPr>
        <w:t>地址：深圳公共资源交易中心（深圳交易集团有限公司政府采购业务分公司）27楼，质疑咨询电话：0755-</w:t>
      </w:r>
      <w:r>
        <w:rPr>
          <w:rFonts w:hint="eastAsia" w:ascii="宋体" w:hAnsi="宋体"/>
          <w:b/>
        </w:rPr>
        <w:t>86500050</w:t>
      </w:r>
      <w:r>
        <w:rPr>
          <w:rFonts w:hint="eastAsia" w:ascii="宋体" w:hAnsi="宋体"/>
          <w:b/>
          <w:bCs/>
          <w:szCs w:val="21"/>
        </w:rPr>
        <w:t>。</w:t>
      </w:r>
    </w:p>
    <w:p>
      <w:pPr>
        <w:ind w:firstLine="420" w:firstLineChars="200"/>
        <w:rPr>
          <w:rFonts w:ascii="宋体" w:hAnsi="宋体"/>
          <w:szCs w:val="21"/>
        </w:rPr>
      </w:pPr>
      <w:r>
        <w:rPr>
          <w:rFonts w:hint="eastAsia" w:ascii="宋体" w:hAnsi="宋体"/>
          <w:szCs w:val="21"/>
        </w:rPr>
        <w:t>52.6收文办理程序</w:t>
      </w:r>
    </w:p>
    <w:p>
      <w:pPr>
        <w:ind w:firstLine="420" w:firstLineChars="200"/>
        <w:rPr>
          <w:rFonts w:ascii="宋体" w:hAnsi="宋体"/>
          <w:szCs w:val="21"/>
        </w:rPr>
      </w:pPr>
      <w:r>
        <w:rPr>
          <w:rFonts w:hint="eastAsia" w:ascii="宋体" w:hAnsi="宋体"/>
          <w:szCs w:val="21"/>
        </w:rPr>
        <w:t>52.6.1供应商提交的质疑符合受理条件的，</w:t>
      </w:r>
      <w:r>
        <w:rPr>
          <w:rFonts w:hint="eastAsia" w:ascii="宋体" w:hAnsi="宋体"/>
          <w:szCs w:val="21"/>
          <w:highlight w:val="yellow"/>
        </w:rPr>
        <w:t>采购代理机构</w:t>
      </w:r>
      <w:r>
        <w:rPr>
          <w:rFonts w:hint="eastAsia" w:ascii="宋体" w:hAnsi="宋体"/>
          <w:szCs w:val="21"/>
        </w:rPr>
        <w:t>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Cs w:val="21"/>
        </w:rPr>
      </w:pPr>
      <w:r>
        <w:rPr>
          <w:rFonts w:hint="eastAsia" w:ascii="宋体" w:hAnsi="宋体"/>
          <w:szCs w:val="21"/>
        </w:rPr>
        <w:t>52.6.2供应商提交的质疑材料不符合质疑条件的，视情况处理：</w:t>
      </w:r>
    </w:p>
    <w:p>
      <w:pPr>
        <w:ind w:firstLine="420" w:firstLineChars="200"/>
        <w:rPr>
          <w:rFonts w:ascii="宋体" w:hAnsi="宋体"/>
          <w:szCs w:val="21"/>
        </w:rPr>
      </w:pPr>
      <w:r>
        <w:rPr>
          <w:rFonts w:hint="eastAsia" w:ascii="宋体" w:hAnsi="宋体"/>
          <w:szCs w:val="21"/>
        </w:rPr>
        <w:t>供应商提交的质疑材料不全或者未按要求签字或者盖章的，</w:t>
      </w:r>
      <w:r>
        <w:rPr>
          <w:rFonts w:hint="eastAsia" w:ascii="宋体" w:hAnsi="宋体"/>
          <w:szCs w:val="21"/>
          <w:highlight w:val="yellow"/>
        </w:rPr>
        <w:t>采购代理机构</w:t>
      </w:r>
      <w:r>
        <w:rPr>
          <w:rFonts w:hint="eastAsia" w:ascii="宋体" w:hAnsi="宋体"/>
          <w:szCs w:val="21"/>
        </w:rPr>
        <w:t>应当一次性告知供应商需补正的内容和补正期限。</w:t>
      </w:r>
    </w:p>
    <w:p>
      <w:pPr>
        <w:ind w:firstLine="420" w:firstLineChars="200"/>
        <w:rPr>
          <w:rFonts w:ascii="宋体" w:hAnsi="宋体"/>
          <w:szCs w:val="21"/>
        </w:rPr>
      </w:pPr>
      <w:r>
        <w:rPr>
          <w:rFonts w:hint="eastAsia" w:ascii="宋体" w:hAnsi="宋体"/>
          <w:szCs w:val="21"/>
        </w:rPr>
        <w:t>供应商提交的质疑存在下列情形之一的，不予受理：</w:t>
      </w:r>
    </w:p>
    <w:p>
      <w:pPr>
        <w:ind w:firstLine="420" w:firstLineChars="200"/>
        <w:rPr>
          <w:rFonts w:ascii="宋体" w:hAnsi="宋体"/>
          <w:szCs w:val="21"/>
        </w:rPr>
      </w:pPr>
      <w:r>
        <w:rPr>
          <w:rFonts w:hint="eastAsia" w:ascii="宋体" w:hAnsi="宋体"/>
          <w:szCs w:val="21"/>
        </w:rPr>
        <w:t>（1）质疑主体不满足要求的；</w:t>
      </w:r>
    </w:p>
    <w:p>
      <w:pPr>
        <w:ind w:firstLine="420" w:firstLineChars="200"/>
        <w:rPr>
          <w:rFonts w:ascii="宋体" w:hAnsi="宋体"/>
          <w:szCs w:val="21"/>
        </w:rPr>
      </w:pPr>
      <w:r>
        <w:rPr>
          <w:rFonts w:hint="eastAsia" w:ascii="宋体" w:hAnsi="宋体"/>
          <w:szCs w:val="21"/>
        </w:rPr>
        <w:t>（2）供应商自身权益未受到损害的；</w:t>
      </w:r>
    </w:p>
    <w:p>
      <w:pPr>
        <w:ind w:firstLine="420" w:firstLineChars="200"/>
        <w:rPr>
          <w:rFonts w:ascii="宋体" w:hAnsi="宋体"/>
          <w:szCs w:val="21"/>
        </w:rPr>
      </w:pPr>
      <w:r>
        <w:rPr>
          <w:rFonts w:hint="eastAsia" w:ascii="宋体" w:hAnsi="宋体"/>
          <w:szCs w:val="21"/>
        </w:rPr>
        <w:t>（3）供应商未在法定质疑期限内提出质疑的；</w:t>
      </w:r>
    </w:p>
    <w:p>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hint="eastAsia" w:ascii="宋体" w:hAnsi="宋体"/>
          <w:szCs w:val="21"/>
        </w:rPr>
        <w:t>（5）其他不符合受理条件情形的。</w:t>
      </w:r>
    </w:p>
    <w:p>
      <w:pPr>
        <w:ind w:firstLine="420" w:firstLineChars="200"/>
        <w:rPr>
          <w:rFonts w:ascii="宋体" w:hAnsi="宋体"/>
          <w:szCs w:val="21"/>
        </w:rPr>
      </w:pPr>
      <w:r>
        <w:rPr>
          <w:rFonts w:hint="eastAsia" w:ascii="宋体" w:hAnsi="宋体"/>
          <w:szCs w:val="21"/>
        </w:rPr>
        <w:t>质疑事项不予受理的，</w:t>
      </w:r>
      <w:r>
        <w:rPr>
          <w:rFonts w:hint="eastAsia" w:ascii="宋体" w:hAnsi="宋体"/>
          <w:szCs w:val="21"/>
          <w:highlight w:val="yellow"/>
        </w:rPr>
        <w:t>采购代理机构</w:t>
      </w:r>
      <w:r>
        <w:rPr>
          <w:rFonts w:hint="eastAsia" w:ascii="宋体" w:hAnsi="宋体"/>
          <w:szCs w:val="21"/>
        </w:rPr>
        <w:t>应当向供应商出具不符合质疑条件告知书。</w:t>
      </w:r>
    </w:p>
    <w:p>
      <w:pPr>
        <w:ind w:firstLine="420" w:firstLineChars="200"/>
        <w:rPr>
          <w:rFonts w:ascii="宋体" w:hAnsi="宋体"/>
          <w:szCs w:val="21"/>
        </w:rPr>
      </w:pPr>
      <w:r>
        <w:rPr>
          <w:rFonts w:hint="eastAsia" w:ascii="宋体" w:hAnsi="宋体"/>
          <w:szCs w:val="21"/>
        </w:rPr>
        <w:t>52.7质疑答复时限</w:t>
      </w:r>
    </w:p>
    <w:p>
      <w:pPr>
        <w:ind w:firstLine="420" w:firstLineChars="200"/>
        <w:rPr>
          <w:rFonts w:ascii="宋体" w:hAnsi="宋体"/>
          <w:szCs w:val="21"/>
        </w:rPr>
      </w:pPr>
      <w:r>
        <w:rPr>
          <w:rFonts w:hint="eastAsia" w:ascii="宋体" w:hAnsi="宋体"/>
          <w:szCs w:val="21"/>
        </w:rPr>
        <w:t>自收文之日起七个工作日内。</w:t>
      </w:r>
    </w:p>
    <w:p>
      <w:pPr>
        <w:ind w:firstLine="420" w:firstLineChars="200"/>
        <w:rPr>
          <w:rFonts w:ascii="宋体" w:hAnsi="宋体"/>
          <w:szCs w:val="21"/>
        </w:rPr>
      </w:pPr>
      <w:r>
        <w:rPr>
          <w:rFonts w:hint="eastAsia" w:ascii="宋体" w:hAnsi="宋体"/>
          <w:szCs w:val="21"/>
        </w:rPr>
        <w:t>52.8投诉</w:t>
      </w:r>
    </w:p>
    <w:p>
      <w:pPr>
        <w:ind w:firstLine="420" w:firstLineChars="200"/>
        <w:rPr>
          <w:rFonts w:ascii="宋体" w:hAnsi="宋体"/>
          <w:szCs w:val="21"/>
        </w:rPr>
      </w:pPr>
      <w:r>
        <w:rPr>
          <w:rFonts w:hint="eastAsia" w:ascii="宋体" w:hAnsi="宋体"/>
          <w:szCs w:val="21"/>
        </w:rPr>
        <w:t>对质疑答复不满意或者未在规定时间内答复的，提出质疑的供应商可以在答复期满后15个工作日内向</w:t>
      </w:r>
      <w:r>
        <w:rPr>
          <w:rFonts w:hint="eastAsia" w:asciiTheme="minorEastAsia" w:hAnsiTheme="minorEastAsia" w:eastAsiaTheme="minorEastAsia"/>
        </w:rPr>
        <w:t>本项目</w:t>
      </w:r>
      <w:r>
        <w:rPr>
          <w:rFonts w:hint="eastAsia" w:asciiTheme="minorEastAsia" w:hAnsiTheme="minorEastAsia" w:eastAsiaTheme="minorEastAsia"/>
          <w:highlight w:val="yellow"/>
        </w:rPr>
        <w:t>采购人</w:t>
      </w:r>
      <w:r>
        <w:rPr>
          <w:rFonts w:hint="eastAsia" w:ascii="宋体" w:hAnsi="宋体"/>
          <w:szCs w:val="21"/>
        </w:rPr>
        <w:t>投诉。</w:t>
      </w:r>
    </w:p>
    <w:p>
      <w:pPr>
        <w:ind w:firstLine="420" w:firstLineChars="200"/>
        <w:rPr>
          <w:rFonts w:ascii="黑体" w:hAnsi="宋体" w:eastAsia="黑体"/>
          <w:szCs w:val="21"/>
        </w:rPr>
      </w:pPr>
      <w:r>
        <w:rPr>
          <w:rFonts w:hint="eastAsia" w:ascii="黑体" w:hAnsi="宋体" w:eastAsia="黑体"/>
          <w:szCs w:val="21"/>
        </w:rPr>
        <w:t>53.质疑后续处理</w:t>
      </w:r>
    </w:p>
    <w:p>
      <w:pPr>
        <w:ind w:firstLine="420" w:firstLineChars="200"/>
        <w:rPr>
          <w:rFonts w:ascii="宋体" w:hAnsi="宋体"/>
          <w:szCs w:val="21"/>
        </w:rPr>
      </w:pPr>
      <w:r>
        <w:rPr>
          <w:rFonts w:hint="eastAsia" w:ascii="宋体" w:hAnsi="宋体"/>
          <w:szCs w:val="21"/>
        </w:rPr>
        <w:t>53.1供应商质疑不成立，或者成立但未对中标、成交结果构成影响的，继续开展采购活动。</w:t>
      </w:r>
    </w:p>
    <w:p>
      <w:pPr>
        <w:ind w:firstLine="420" w:firstLineChars="200"/>
        <w:jc w:val="left"/>
        <w:rPr>
          <w:rFonts w:ascii="宋体" w:hAnsi="宋体"/>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ind w:firstLine="420" w:firstLineChars="200"/>
        <w:jc w:val="left"/>
        <w:rPr>
          <w:szCs w:val="21"/>
        </w:rPr>
      </w:pPr>
      <w:r>
        <w:rPr>
          <w:rFonts w:hint="eastAsia" w:ascii="宋体" w:hAnsi="宋体"/>
          <w:szCs w:val="21"/>
        </w:rPr>
        <w:t>53.3被质疑供应商应配合提供质疑答辩意见,并提供相关证据材料,逾期不作书面答辩的,视同放弃答辩权利,依法承担由此可能产生的不利法律后果。</w:t>
      </w:r>
    </w:p>
    <w:p>
      <w:pPr>
        <w:jc w:val="center"/>
      </w:pPr>
      <w:r>
        <w:t>---- END ----</w:t>
      </w:r>
      <w:bookmarkEnd w:id="82"/>
    </w:p>
    <w:p/>
    <w:sectPr>
      <w:headerReference r:id="rId8" w:type="default"/>
      <w:footerReference r:id="rId9" w:type="default"/>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长城仿宋">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Segoe UI Symbol">
    <w:panose1 w:val="020B0502040204020203"/>
    <w:charset w:val="00"/>
    <w:family w:val="swiss"/>
    <w:pitch w:val="default"/>
    <w:sig w:usb0="800001E3" w:usb1="1200FFEF" w:usb2="00040000" w:usb3="04000000" w:csb0="00000001" w:csb1="4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altName w:val="楷体_GB2312"/>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9"/>
      </w:rPr>
    </w:pPr>
    <w:r>
      <w:t xml:space="preserve">- </w:t>
    </w:r>
    <w:r>
      <w:fldChar w:fldCharType="begin"/>
    </w:r>
    <w:r>
      <w:instrText xml:space="preserve"> PAGE </w:instrText>
    </w:r>
    <w:r>
      <w:fldChar w:fldCharType="separate"/>
    </w:r>
    <w:r>
      <w:t>32</w:t>
    </w:r>
    <w:r>
      <w:fldChar w:fldCharType="end"/>
    </w:r>
    <w:r>
      <w:t xml:space="preserve"> -</w:t>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9"/>
      </w:rPr>
    </w:pPr>
    <w:r>
      <w:rPr>
        <w:rStyle w:val="49"/>
      </w:rPr>
      <w:fldChar w:fldCharType="begin"/>
    </w:r>
    <w:r>
      <w:rPr>
        <w:rStyle w:val="49"/>
      </w:rPr>
      <w:instrText xml:space="preserve">PAGE  </w:instrText>
    </w:r>
    <w:r>
      <w:rPr>
        <w:rStyle w:val="49"/>
      </w:rP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6AD0E"/>
    <w:multiLevelType w:val="singleLevel"/>
    <w:tmpl w:val="9A26AD0E"/>
    <w:lvl w:ilvl="0" w:tentative="0">
      <w:start w:val="1"/>
      <w:numFmt w:val="chineseCounting"/>
      <w:suff w:val="nothing"/>
      <w:lvlText w:val="（%1）"/>
      <w:lvlJc w:val="left"/>
      <w:rPr>
        <w:rFonts w:hint="eastAsia"/>
      </w:rPr>
    </w:lvl>
  </w:abstractNum>
  <w:abstractNum w:abstractNumId="1">
    <w:nsid w:val="B609221C"/>
    <w:multiLevelType w:val="singleLevel"/>
    <w:tmpl w:val="B609221C"/>
    <w:lvl w:ilvl="0" w:tentative="0">
      <w:start w:val="1"/>
      <w:numFmt w:val="decimal"/>
      <w:suff w:val="nothing"/>
      <w:lvlText w:val="%1、"/>
      <w:lvlJc w:val="left"/>
    </w:lvl>
  </w:abstractNum>
  <w:abstractNum w:abstractNumId="2">
    <w:nsid w:val="B9358C2E"/>
    <w:multiLevelType w:val="singleLevel"/>
    <w:tmpl w:val="B9358C2E"/>
    <w:lvl w:ilvl="0" w:tentative="0">
      <w:start w:val="2"/>
      <w:numFmt w:val="decimal"/>
      <w:suff w:val="nothing"/>
      <w:lvlText w:val="%1、"/>
      <w:lvlJc w:val="left"/>
    </w:lvl>
  </w:abstractNum>
  <w:abstractNum w:abstractNumId="3">
    <w:nsid w:val="BE62C70F"/>
    <w:multiLevelType w:val="singleLevel"/>
    <w:tmpl w:val="BE62C70F"/>
    <w:lvl w:ilvl="0" w:tentative="0">
      <w:start w:val="3"/>
      <w:numFmt w:val="decimal"/>
      <w:suff w:val="nothing"/>
      <w:lvlText w:val="（%1）"/>
      <w:lvlJc w:val="left"/>
    </w:lvl>
  </w:abstractNum>
  <w:abstractNum w:abstractNumId="4">
    <w:nsid w:val="BF6BC116"/>
    <w:multiLevelType w:val="singleLevel"/>
    <w:tmpl w:val="BF6BC116"/>
    <w:lvl w:ilvl="0" w:tentative="0">
      <w:start w:val="16"/>
      <w:numFmt w:val="decimal"/>
      <w:suff w:val="space"/>
      <w:lvlText w:val="%1."/>
      <w:lvlJc w:val="left"/>
    </w:lvl>
  </w:abstractNum>
  <w:abstractNum w:abstractNumId="5">
    <w:nsid w:val="CFE7C3F8"/>
    <w:multiLevelType w:val="singleLevel"/>
    <w:tmpl w:val="CFE7C3F8"/>
    <w:lvl w:ilvl="0" w:tentative="0">
      <w:start w:val="1"/>
      <w:numFmt w:val="decimal"/>
      <w:suff w:val="nothing"/>
      <w:lvlText w:val="（%1）"/>
      <w:lvlJc w:val="left"/>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FFFFFF7C"/>
    <w:multiLevelType w:val="singleLevel"/>
    <w:tmpl w:val="FFFFFF7C"/>
    <w:lvl w:ilvl="0" w:tentative="0">
      <w:start w:val="1"/>
      <w:numFmt w:val="decimal"/>
      <w:pStyle w:val="61"/>
      <w:lvlText w:val="%1."/>
      <w:lvlJc w:val="left"/>
      <w:pPr>
        <w:tabs>
          <w:tab w:val="left" w:pos="7994"/>
        </w:tabs>
        <w:ind w:left="7994" w:leftChars="800" w:hanging="360" w:hangingChars="200"/>
      </w:pPr>
    </w:lvl>
  </w:abstractNum>
  <w:abstractNum w:abstractNumId="11">
    <w:nsid w:val="FFFFFF89"/>
    <w:multiLevelType w:val="singleLevel"/>
    <w:tmpl w:val="FFFFFF89"/>
    <w:lvl w:ilvl="0" w:tentative="0">
      <w:start w:val="1"/>
      <w:numFmt w:val="bullet"/>
      <w:pStyle w:val="17"/>
      <w:lvlText w:val=""/>
      <w:lvlJc w:val="left"/>
      <w:pPr>
        <w:tabs>
          <w:tab w:val="left" w:pos="360"/>
        </w:tabs>
        <w:ind w:left="360" w:hanging="360" w:hangingChars="200"/>
      </w:pPr>
      <w:rPr>
        <w:rFonts w:hint="default" w:ascii="Wingdings" w:hAnsi="Wingdings"/>
      </w:rPr>
    </w:lvl>
  </w:abstractNum>
  <w:abstractNum w:abstractNumId="12">
    <w:nsid w:val="0000000B"/>
    <w:multiLevelType w:val="multilevel"/>
    <w:tmpl w:val="0000000B"/>
    <w:lvl w:ilvl="0" w:tentative="0">
      <w:start w:val="1"/>
      <w:numFmt w:val="japaneseCounting"/>
      <w:lvlText w:val="第%1章"/>
      <w:lvlJc w:val="left"/>
      <w:pPr>
        <w:ind w:left="1080" w:hanging="108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509B13F"/>
    <w:multiLevelType w:val="singleLevel"/>
    <w:tmpl w:val="0509B13F"/>
    <w:lvl w:ilvl="0" w:tentative="0">
      <w:start w:val="1"/>
      <w:numFmt w:val="decimal"/>
      <w:suff w:val="nothing"/>
      <w:lvlText w:val="%1、"/>
      <w:lvlJc w:val="left"/>
    </w:lvl>
  </w:abstractNum>
  <w:abstractNum w:abstractNumId="14">
    <w:nsid w:val="12503483"/>
    <w:multiLevelType w:val="multilevel"/>
    <w:tmpl w:val="12503483"/>
    <w:lvl w:ilvl="0" w:tentative="0">
      <w:start w:val="1"/>
      <w:numFmt w:val="bullet"/>
      <w:pStyle w:val="108"/>
      <w:lvlText w:val=""/>
      <w:lvlJc w:val="left"/>
      <w:pPr>
        <w:tabs>
          <w:tab w:val="left" w:pos="420"/>
        </w:tabs>
        <w:ind w:left="420" w:hanging="420"/>
      </w:pPr>
      <w:rPr>
        <w:rFonts w:hint="default" w:ascii="Wingdings" w:hAnsi="Wingdings"/>
      </w:rPr>
    </w:lvl>
    <w:lvl w:ilvl="1" w:tentative="0">
      <w:start w:val="1"/>
      <w:numFmt w:val="bullet"/>
      <w:pStyle w:val="107"/>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160D20D0"/>
    <w:multiLevelType w:val="multilevel"/>
    <w:tmpl w:val="160D20D0"/>
    <w:lvl w:ilvl="0" w:tentative="0">
      <w:start w:val="1"/>
      <w:numFmt w:val="bullet"/>
      <w:pStyle w:val="76"/>
      <w:lvlText w:val=""/>
      <w:lvlJc w:val="left"/>
      <w:pPr>
        <w:tabs>
          <w:tab w:val="left" w:pos="840"/>
        </w:tabs>
        <w:ind w:left="840" w:hanging="420"/>
      </w:pPr>
      <w:rPr>
        <w:rFonts w:hint="default" w:ascii="Wingdings" w:hAnsi="Wingdings"/>
      </w:rPr>
    </w:lvl>
    <w:lvl w:ilvl="1" w:tentative="0">
      <w:start w:val="1"/>
      <w:numFmt w:val="bullet"/>
      <w:pStyle w:val="77"/>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6">
    <w:nsid w:val="2F395B7B"/>
    <w:multiLevelType w:val="multilevel"/>
    <w:tmpl w:val="2F395B7B"/>
    <w:lvl w:ilvl="0" w:tentative="0">
      <w:start w:val="1"/>
      <w:numFmt w:val="bullet"/>
      <w:pStyle w:val="168"/>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7">
    <w:nsid w:val="7A0F6431"/>
    <w:multiLevelType w:val="singleLevel"/>
    <w:tmpl w:val="7A0F6431"/>
    <w:lvl w:ilvl="0" w:tentative="0">
      <w:start w:val="1"/>
      <w:numFmt w:val="decimal"/>
      <w:suff w:val="space"/>
      <w:lvlText w:val="%1."/>
      <w:lvlJc w:val="left"/>
    </w:lvl>
  </w:abstractNum>
  <w:abstractNum w:abstractNumId="18">
    <w:nsid w:val="7AEF7716"/>
    <w:multiLevelType w:val="multilevel"/>
    <w:tmpl w:val="7AEF7716"/>
    <w:lvl w:ilvl="0" w:tentative="0">
      <w:start w:val="1"/>
      <w:numFmt w:val="chineseCountingThousand"/>
      <w:pStyle w:val="121"/>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10"/>
  </w:num>
  <w:num w:numId="3">
    <w:abstractNumId w:val="15"/>
  </w:num>
  <w:num w:numId="4">
    <w:abstractNumId w:val="14"/>
  </w:num>
  <w:num w:numId="5">
    <w:abstractNumId w:val="18"/>
  </w:num>
  <w:num w:numId="6">
    <w:abstractNumId w:val="16"/>
  </w:num>
  <w:num w:numId="7">
    <w:abstractNumId w:val="0"/>
  </w:num>
  <w:num w:numId="8">
    <w:abstractNumId w:val="13"/>
  </w:num>
  <w:num w:numId="9">
    <w:abstractNumId w:val="3"/>
  </w:num>
  <w:num w:numId="10">
    <w:abstractNumId w:val="1"/>
  </w:num>
  <w:num w:numId="11">
    <w:abstractNumId w:val="2"/>
  </w:num>
  <w:num w:numId="12">
    <w:abstractNumId w:val="17"/>
  </w:num>
  <w:num w:numId="13">
    <w:abstractNumId w:val="5"/>
  </w:num>
  <w:num w:numId="14">
    <w:abstractNumId w:val="9"/>
  </w:num>
  <w:num w:numId="15">
    <w:abstractNumId w:val="7"/>
  </w:num>
  <w:num w:numId="16">
    <w:abstractNumId w:val="6"/>
  </w:num>
  <w:num w:numId="17">
    <w:abstractNumId w:val="4"/>
  </w:num>
  <w:num w:numId="18">
    <w:abstractNumId w:val="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0MmNkZGE2MGEwNWNiNjA4ZTFkMTI2N2Y4MzJjZTcifQ=="/>
    <w:docVar w:name="KSO_WPS_MARK_KEY" w:val="a5980290-81d1-4166-b591-31e4936b8684"/>
  </w:docVars>
  <w:rsids>
    <w:rsidRoot w:val="006C5683"/>
    <w:rsid w:val="000006EA"/>
    <w:rsid w:val="00000AD9"/>
    <w:rsid w:val="000043C0"/>
    <w:rsid w:val="00004F2D"/>
    <w:rsid w:val="000050CA"/>
    <w:rsid w:val="000051C6"/>
    <w:rsid w:val="00005215"/>
    <w:rsid w:val="00005A10"/>
    <w:rsid w:val="00005D3D"/>
    <w:rsid w:val="0000667D"/>
    <w:rsid w:val="00006F7B"/>
    <w:rsid w:val="00007951"/>
    <w:rsid w:val="0000796B"/>
    <w:rsid w:val="00010063"/>
    <w:rsid w:val="00010102"/>
    <w:rsid w:val="0001019E"/>
    <w:rsid w:val="00011EA6"/>
    <w:rsid w:val="00012640"/>
    <w:rsid w:val="00012B21"/>
    <w:rsid w:val="0001300F"/>
    <w:rsid w:val="0001336E"/>
    <w:rsid w:val="0001480D"/>
    <w:rsid w:val="00014A5C"/>
    <w:rsid w:val="00015388"/>
    <w:rsid w:val="0001716B"/>
    <w:rsid w:val="00017F81"/>
    <w:rsid w:val="000211EA"/>
    <w:rsid w:val="000234B2"/>
    <w:rsid w:val="00024FD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84"/>
    <w:rsid w:val="00042CB8"/>
    <w:rsid w:val="00043621"/>
    <w:rsid w:val="00043739"/>
    <w:rsid w:val="00043A89"/>
    <w:rsid w:val="00045739"/>
    <w:rsid w:val="00046D30"/>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0A3D"/>
    <w:rsid w:val="00060C1C"/>
    <w:rsid w:val="00061D20"/>
    <w:rsid w:val="0006267A"/>
    <w:rsid w:val="0006335B"/>
    <w:rsid w:val="00063C25"/>
    <w:rsid w:val="00064892"/>
    <w:rsid w:val="00066026"/>
    <w:rsid w:val="0006660A"/>
    <w:rsid w:val="0006670C"/>
    <w:rsid w:val="00067960"/>
    <w:rsid w:val="0007003A"/>
    <w:rsid w:val="00070210"/>
    <w:rsid w:val="000707BF"/>
    <w:rsid w:val="00072B70"/>
    <w:rsid w:val="00072CB4"/>
    <w:rsid w:val="000734CD"/>
    <w:rsid w:val="00074403"/>
    <w:rsid w:val="000750DC"/>
    <w:rsid w:val="00075497"/>
    <w:rsid w:val="0007583C"/>
    <w:rsid w:val="00075E26"/>
    <w:rsid w:val="00076057"/>
    <w:rsid w:val="000770EC"/>
    <w:rsid w:val="00080613"/>
    <w:rsid w:val="00082667"/>
    <w:rsid w:val="00082AD2"/>
    <w:rsid w:val="00083DC6"/>
    <w:rsid w:val="00084857"/>
    <w:rsid w:val="000849B8"/>
    <w:rsid w:val="000850AF"/>
    <w:rsid w:val="000852EB"/>
    <w:rsid w:val="000869D8"/>
    <w:rsid w:val="00086CA6"/>
    <w:rsid w:val="00090213"/>
    <w:rsid w:val="00092FC7"/>
    <w:rsid w:val="00093133"/>
    <w:rsid w:val="0009395E"/>
    <w:rsid w:val="00094C6E"/>
    <w:rsid w:val="000954D5"/>
    <w:rsid w:val="00095723"/>
    <w:rsid w:val="00095A74"/>
    <w:rsid w:val="0009618D"/>
    <w:rsid w:val="0009709B"/>
    <w:rsid w:val="000975E3"/>
    <w:rsid w:val="000A1DD1"/>
    <w:rsid w:val="000A21A5"/>
    <w:rsid w:val="000A3908"/>
    <w:rsid w:val="000A4C29"/>
    <w:rsid w:val="000A5B36"/>
    <w:rsid w:val="000A6E2B"/>
    <w:rsid w:val="000A79D3"/>
    <w:rsid w:val="000B05E2"/>
    <w:rsid w:val="000B2568"/>
    <w:rsid w:val="000B41BB"/>
    <w:rsid w:val="000B5357"/>
    <w:rsid w:val="000B597F"/>
    <w:rsid w:val="000B634D"/>
    <w:rsid w:val="000B73D2"/>
    <w:rsid w:val="000B7465"/>
    <w:rsid w:val="000C14CB"/>
    <w:rsid w:val="000C18BC"/>
    <w:rsid w:val="000C1D03"/>
    <w:rsid w:val="000C1EE4"/>
    <w:rsid w:val="000C1FF9"/>
    <w:rsid w:val="000C4151"/>
    <w:rsid w:val="000C4425"/>
    <w:rsid w:val="000C4B12"/>
    <w:rsid w:val="000C5FA7"/>
    <w:rsid w:val="000C7E71"/>
    <w:rsid w:val="000D0BCE"/>
    <w:rsid w:val="000D16AA"/>
    <w:rsid w:val="000D1A7D"/>
    <w:rsid w:val="000D2309"/>
    <w:rsid w:val="000D2CCA"/>
    <w:rsid w:val="000D366B"/>
    <w:rsid w:val="000D37B4"/>
    <w:rsid w:val="000D38F9"/>
    <w:rsid w:val="000D5D6B"/>
    <w:rsid w:val="000D7A20"/>
    <w:rsid w:val="000E161C"/>
    <w:rsid w:val="000E1994"/>
    <w:rsid w:val="000E2C39"/>
    <w:rsid w:val="000E355C"/>
    <w:rsid w:val="000E4445"/>
    <w:rsid w:val="000E470B"/>
    <w:rsid w:val="000E4DE8"/>
    <w:rsid w:val="000E4EF8"/>
    <w:rsid w:val="000E50F5"/>
    <w:rsid w:val="000E5E99"/>
    <w:rsid w:val="000E655B"/>
    <w:rsid w:val="000E6A66"/>
    <w:rsid w:val="000F0C3B"/>
    <w:rsid w:val="000F0E9F"/>
    <w:rsid w:val="000F1540"/>
    <w:rsid w:val="000F1D4A"/>
    <w:rsid w:val="000F2065"/>
    <w:rsid w:val="000F2A88"/>
    <w:rsid w:val="000F2C23"/>
    <w:rsid w:val="000F2D1B"/>
    <w:rsid w:val="000F3658"/>
    <w:rsid w:val="000F3B37"/>
    <w:rsid w:val="000F3C85"/>
    <w:rsid w:val="000F3F12"/>
    <w:rsid w:val="000F565B"/>
    <w:rsid w:val="000F5C6C"/>
    <w:rsid w:val="000F5F3F"/>
    <w:rsid w:val="000F64AD"/>
    <w:rsid w:val="00100570"/>
    <w:rsid w:val="00101CE5"/>
    <w:rsid w:val="00101DD0"/>
    <w:rsid w:val="00102555"/>
    <w:rsid w:val="0010291B"/>
    <w:rsid w:val="00102B4B"/>
    <w:rsid w:val="00103AB9"/>
    <w:rsid w:val="00103E80"/>
    <w:rsid w:val="00107187"/>
    <w:rsid w:val="00107272"/>
    <w:rsid w:val="00107D54"/>
    <w:rsid w:val="00110383"/>
    <w:rsid w:val="00110B62"/>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5689"/>
    <w:rsid w:val="00125C8A"/>
    <w:rsid w:val="001261FC"/>
    <w:rsid w:val="001306FE"/>
    <w:rsid w:val="00130827"/>
    <w:rsid w:val="001308A2"/>
    <w:rsid w:val="00131140"/>
    <w:rsid w:val="001317AD"/>
    <w:rsid w:val="00131FC3"/>
    <w:rsid w:val="0013281E"/>
    <w:rsid w:val="00132FD3"/>
    <w:rsid w:val="001339CF"/>
    <w:rsid w:val="00134E0F"/>
    <w:rsid w:val="0013673A"/>
    <w:rsid w:val="00136D81"/>
    <w:rsid w:val="001410EB"/>
    <w:rsid w:val="00141224"/>
    <w:rsid w:val="00143103"/>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091"/>
    <w:rsid w:val="001626BD"/>
    <w:rsid w:val="00162C33"/>
    <w:rsid w:val="0016340E"/>
    <w:rsid w:val="00164E23"/>
    <w:rsid w:val="0016595F"/>
    <w:rsid w:val="00165A4C"/>
    <w:rsid w:val="00166A2C"/>
    <w:rsid w:val="00166BF2"/>
    <w:rsid w:val="00166CC3"/>
    <w:rsid w:val="00167E68"/>
    <w:rsid w:val="00170A9E"/>
    <w:rsid w:val="00170ED1"/>
    <w:rsid w:val="0017121A"/>
    <w:rsid w:val="00171401"/>
    <w:rsid w:val="0017141F"/>
    <w:rsid w:val="00171777"/>
    <w:rsid w:val="001719FB"/>
    <w:rsid w:val="00172B65"/>
    <w:rsid w:val="00172EF5"/>
    <w:rsid w:val="001732E1"/>
    <w:rsid w:val="00174268"/>
    <w:rsid w:val="0017486B"/>
    <w:rsid w:val="0017613E"/>
    <w:rsid w:val="00177167"/>
    <w:rsid w:val="00177753"/>
    <w:rsid w:val="00177BE4"/>
    <w:rsid w:val="00180EDB"/>
    <w:rsid w:val="00181A71"/>
    <w:rsid w:val="00182329"/>
    <w:rsid w:val="0018261B"/>
    <w:rsid w:val="001834A7"/>
    <w:rsid w:val="0018373B"/>
    <w:rsid w:val="00183C79"/>
    <w:rsid w:val="00183C8B"/>
    <w:rsid w:val="00183E75"/>
    <w:rsid w:val="001845CF"/>
    <w:rsid w:val="001865BB"/>
    <w:rsid w:val="00186EAE"/>
    <w:rsid w:val="00186F7A"/>
    <w:rsid w:val="00187518"/>
    <w:rsid w:val="00187743"/>
    <w:rsid w:val="00187F07"/>
    <w:rsid w:val="0019096C"/>
    <w:rsid w:val="00191EA7"/>
    <w:rsid w:val="00192164"/>
    <w:rsid w:val="00192883"/>
    <w:rsid w:val="00194C98"/>
    <w:rsid w:val="00194FB7"/>
    <w:rsid w:val="00195D28"/>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1339"/>
    <w:rsid w:val="001B1B58"/>
    <w:rsid w:val="001B1F55"/>
    <w:rsid w:val="001B2049"/>
    <w:rsid w:val="001B2934"/>
    <w:rsid w:val="001B4A37"/>
    <w:rsid w:val="001B5963"/>
    <w:rsid w:val="001B6FAD"/>
    <w:rsid w:val="001C04B2"/>
    <w:rsid w:val="001C14C1"/>
    <w:rsid w:val="001C1FDE"/>
    <w:rsid w:val="001C2063"/>
    <w:rsid w:val="001C21E1"/>
    <w:rsid w:val="001C3426"/>
    <w:rsid w:val="001C4675"/>
    <w:rsid w:val="001C4768"/>
    <w:rsid w:val="001C5839"/>
    <w:rsid w:val="001C6AF6"/>
    <w:rsid w:val="001C7129"/>
    <w:rsid w:val="001C77E1"/>
    <w:rsid w:val="001C7ADA"/>
    <w:rsid w:val="001C7B48"/>
    <w:rsid w:val="001C7EA0"/>
    <w:rsid w:val="001D121D"/>
    <w:rsid w:val="001D3543"/>
    <w:rsid w:val="001D4151"/>
    <w:rsid w:val="001D58E5"/>
    <w:rsid w:val="001D7299"/>
    <w:rsid w:val="001E0FAB"/>
    <w:rsid w:val="001E2084"/>
    <w:rsid w:val="001E2502"/>
    <w:rsid w:val="001E292F"/>
    <w:rsid w:val="001E351C"/>
    <w:rsid w:val="001E474D"/>
    <w:rsid w:val="001E5194"/>
    <w:rsid w:val="001E5851"/>
    <w:rsid w:val="001E5A81"/>
    <w:rsid w:val="001E62FB"/>
    <w:rsid w:val="001E68FE"/>
    <w:rsid w:val="001E6A0B"/>
    <w:rsid w:val="001E77DA"/>
    <w:rsid w:val="001E7A2F"/>
    <w:rsid w:val="001E7AB0"/>
    <w:rsid w:val="001E7DD0"/>
    <w:rsid w:val="001F0349"/>
    <w:rsid w:val="001F077B"/>
    <w:rsid w:val="001F0B74"/>
    <w:rsid w:val="001F1045"/>
    <w:rsid w:val="001F2648"/>
    <w:rsid w:val="001F3E37"/>
    <w:rsid w:val="001F41B9"/>
    <w:rsid w:val="001F4BE8"/>
    <w:rsid w:val="001F4EB8"/>
    <w:rsid w:val="001F560A"/>
    <w:rsid w:val="001F6270"/>
    <w:rsid w:val="001F6318"/>
    <w:rsid w:val="001F65B1"/>
    <w:rsid w:val="001F6B83"/>
    <w:rsid w:val="001F6F6A"/>
    <w:rsid w:val="001F7595"/>
    <w:rsid w:val="002000B8"/>
    <w:rsid w:val="002005CD"/>
    <w:rsid w:val="00200B4C"/>
    <w:rsid w:val="00202F46"/>
    <w:rsid w:val="00203267"/>
    <w:rsid w:val="00203897"/>
    <w:rsid w:val="0020391D"/>
    <w:rsid w:val="00205F9C"/>
    <w:rsid w:val="002060F7"/>
    <w:rsid w:val="00207BC6"/>
    <w:rsid w:val="00210771"/>
    <w:rsid w:val="00210EE2"/>
    <w:rsid w:val="00211885"/>
    <w:rsid w:val="00212864"/>
    <w:rsid w:val="00212ADF"/>
    <w:rsid w:val="002134CF"/>
    <w:rsid w:val="00213A60"/>
    <w:rsid w:val="0021429B"/>
    <w:rsid w:val="00215699"/>
    <w:rsid w:val="002159DE"/>
    <w:rsid w:val="00215E99"/>
    <w:rsid w:val="0021667D"/>
    <w:rsid w:val="002166A1"/>
    <w:rsid w:val="002166A6"/>
    <w:rsid w:val="00216BB6"/>
    <w:rsid w:val="0022039D"/>
    <w:rsid w:val="0022048B"/>
    <w:rsid w:val="0022175C"/>
    <w:rsid w:val="00222261"/>
    <w:rsid w:val="002227DF"/>
    <w:rsid w:val="00223AC8"/>
    <w:rsid w:val="00223C96"/>
    <w:rsid w:val="00224852"/>
    <w:rsid w:val="00224BE4"/>
    <w:rsid w:val="0022634D"/>
    <w:rsid w:val="00227512"/>
    <w:rsid w:val="0022766E"/>
    <w:rsid w:val="0022777A"/>
    <w:rsid w:val="002278D5"/>
    <w:rsid w:val="00227C13"/>
    <w:rsid w:val="00227D49"/>
    <w:rsid w:val="00227FC7"/>
    <w:rsid w:val="0023110A"/>
    <w:rsid w:val="00233A54"/>
    <w:rsid w:val="00234440"/>
    <w:rsid w:val="002347C9"/>
    <w:rsid w:val="00236E72"/>
    <w:rsid w:val="0023738E"/>
    <w:rsid w:val="002411BD"/>
    <w:rsid w:val="00242ED3"/>
    <w:rsid w:val="00244711"/>
    <w:rsid w:val="00244AE4"/>
    <w:rsid w:val="00245EBE"/>
    <w:rsid w:val="002472C1"/>
    <w:rsid w:val="002473F4"/>
    <w:rsid w:val="00247D64"/>
    <w:rsid w:val="00250934"/>
    <w:rsid w:val="00250F42"/>
    <w:rsid w:val="00252EBA"/>
    <w:rsid w:val="0025361A"/>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702CD"/>
    <w:rsid w:val="00270B4E"/>
    <w:rsid w:val="00271500"/>
    <w:rsid w:val="00272E57"/>
    <w:rsid w:val="00274663"/>
    <w:rsid w:val="00275641"/>
    <w:rsid w:val="0027569A"/>
    <w:rsid w:val="002767D9"/>
    <w:rsid w:val="00280382"/>
    <w:rsid w:val="00280F4B"/>
    <w:rsid w:val="002816D0"/>
    <w:rsid w:val="002821E9"/>
    <w:rsid w:val="002827D2"/>
    <w:rsid w:val="002835B7"/>
    <w:rsid w:val="00284C1F"/>
    <w:rsid w:val="00284F69"/>
    <w:rsid w:val="002851AF"/>
    <w:rsid w:val="00285866"/>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2D4"/>
    <w:rsid w:val="002B3984"/>
    <w:rsid w:val="002B4BF3"/>
    <w:rsid w:val="002B55C8"/>
    <w:rsid w:val="002B5E4B"/>
    <w:rsid w:val="002B64E9"/>
    <w:rsid w:val="002B660D"/>
    <w:rsid w:val="002B7969"/>
    <w:rsid w:val="002C0031"/>
    <w:rsid w:val="002C0485"/>
    <w:rsid w:val="002C0762"/>
    <w:rsid w:val="002C257A"/>
    <w:rsid w:val="002C2BEC"/>
    <w:rsid w:val="002C30C0"/>
    <w:rsid w:val="002C4F4B"/>
    <w:rsid w:val="002C5233"/>
    <w:rsid w:val="002C6EC0"/>
    <w:rsid w:val="002C7258"/>
    <w:rsid w:val="002D0189"/>
    <w:rsid w:val="002D0356"/>
    <w:rsid w:val="002D07C0"/>
    <w:rsid w:val="002D0F98"/>
    <w:rsid w:val="002D1DFB"/>
    <w:rsid w:val="002D45BF"/>
    <w:rsid w:val="002D4A85"/>
    <w:rsid w:val="002D6162"/>
    <w:rsid w:val="002D64DF"/>
    <w:rsid w:val="002D750A"/>
    <w:rsid w:val="002E242E"/>
    <w:rsid w:val="002E2FEC"/>
    <w:rsid w:val="002E38DB"/>
    <w:rsid w:val="002E3BEB"/>
    <w:rsid w:val="002E441D"/>
    <w:rsid w:val="002E4AB1"/>
    <w:rsid w:val="002E4F11"/>
    <w:rsid w:val="002E4F8A"/>
    <w:rsid w:val="002E505D"/>
    <w:rsid w:val="002E6F69"/>
    <w:rsid w:val="002E7296"/>
    <w:rsid w:val="002E73B8"/>
    <w:rsid w:val="002F04A7"/>
    <w:rsid w:val="002F0545"/>
    <w:rsid w:val="002F0823"/>
    <w:rsid w:val="002F2471"/>
    <w:rsid w:val="002F2B7A"/>
    <w:rsid w:val="002F2E1D"/>
    <w:rsid w:val="002F3105"/>
    <w:rsid w:val="002F59F2"/>
    <w:rsid w:val="002F5E6C"/>
    <w:rsid w:val="002F72FF"/>
    <w:rsid w:val="00300BF3"/>
    <w:rsid w:val="0030143F"/>
    <w:rsid w:val="00301A2B"/>
    <w:rsid w:val="00301BCD"/>
    <w:rsid w:val="00302988"/>
    <w:rsid w:val="00303ACF"/>
    <w:rsid w:val="0030463E"/>
    <w:rsid w:val="00304ED6"/>
    <w:rsid w:val="00306654"/>
    <w:rsid w:val="00306D5D"/>
    <w:rsid w:val="00306FF4"/>
    <w:rsid w:val="00310EE1"/>
    <w:rsid w:val="003122B0"/>
    <w:rsid w:val="00312390"/>
    <w:rsid w:val="003123F4"/>
    <w:rsid w:val="00312EAF"/>
    <w:rsid w:val="00313487"/>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7BA"/>
    <w:rsid w:val="00324A1D"/>
    <w:rsid w:val="00324C55"/>
    <w:rsid w:val="003250B4"/>
    <w:rsid w:val="00325742"/>
    <w:rsid w:val="00327224"/>
    <w:rsid w:val="00327AB3"/>
    <w:rsid w:val="00327F9E"/>
    <w:rsid w:val="00330527"/>
    <w:rsid w:val="00330C9F"/>
    <w:rsid w:val="003318A6"/>
    <w:rsid w:val="003321A8"/>
    <w:rsid w:val="00332EB1"/>
    <w:rsid w:val="00333E63"/>
    <w:rsid w:val="00334044"/>
    <w:rsid w:val="00334CB0"/>
    <w:rsid w:val="00335188"/>
    <w:rsid w:val="00335234"/>
    <w:rsid w:val="003373B8"/>
    <w:rsid w:val="003413F4"/>
    <w:rsid w:val="00342DC1"/>
    <w:rsid w:val="00342EF7"/>
    <w:rsid w:val="003432B6"/>
    <w:rsid w:val="003434E9"/>
    <w:rsid w:val="00343F41"/>
    <w:rsid w:val="00344BF3"/>
    <w:rsid w:val="00345CC1"/>
    <w:rsid w:val="00345EA7"/>
    <w:rsid w:val="0034652C"/>
    <w:rsid w:val="00346606"/>
    <w:rsid w:val="00346E73"/>
    <w:rsid w:val="00346F27"/>
    <w:rsid w:val="0035067B"/>
    <w:rsid w:val="00350681"/>
    <w:rsid w:val="00350B6E"/>
    <w:rsid w:val="00350FA8"/>
    <w:rsid w:val="00351A4A"/>
    <w:rsid w:val="00351D95"/>
    <w:rsid w:val="00351FB4"/>
    <w:rsid w:val="00353860"/>
    <w:rsid w:val="00354CD9"/>
    <w:rsid w:val="003556C1"/>
    <w:rsid w:val="00355EEE"/>
    <w:rsid w:val="00356FC1"/>
    <w:rsid w:val="00357883"/>
    <w:rsid w:val="00360494"/>
    <w:rsid w:val="00360B7E"/>
    <w:rsid w:val="00360C00"/>
    <w:rsid w:val="00361243"/>
    <w:rsid w:val="00361633"/>
    <w:rsid w:val="00361935"/>
    <w:rsid w:val="003626AE"/>
    <w:rsid w:val="0036292A"/>
    <w:rsid w:val="00362AF3"/>
    <w:rsid w:val="0036467D"/>
    <w:rsid w:val="00364BEE"/>
    <w:rsid w:val="0036508D"/>
    <w:rsid w:val="003651C8"/>
    <w:rsid w:val="00366321"/>
    <w:rsid w:val="00366419"/>
    <w:rsid w:val="003665E3"/>
    <w:rsid w:val="003669F1"/>
    <w:rsid w:val="00366F10"/>
    <w:rsid w:val="003700A3"/>
    <w:rsid w:val="00370B40"/>
    <w:rsid w:val="00371A92"/>
    <w:rsid w:val="00371C15"/>
    <w:rsid w:val="00372CDF"/>
    <w:rsid w:val="00373411"/>
    <w:rsid w:val="0037369C"/>
    <w:rsid w:val="00373D40"/>
    <w:rsid w:val="003741F6"/>
    <w:rsid w:val="00374A29"/>
    <w:rsid w:val="00374FA4"/>
    <w:rsid w:val="003756C6"/>
    <w:rsid w:val="00376548"/>
    <w:rsid w:val="00376E35"/>
    <w:rsid w:val="003773AC"/>
    <w:rsid w:val="00377F6C"/>
    <w:rsid w:val="00380094"/>
    <w:rsid w:val="00380256"/>
    <w:rsid w:val="0038165D"/>
    <w:rsid w:val="00383071"/>
    <w:rsid w:val="00385175"/>
    <w:rsid w:val="00385444"/>
    <w:rsid w:val="00385F39"/>
    <w:rsid w:val="00386070"/>
    <w:rsid w:val="00387DCF"/>
    <w:rsid w:val="00390006"/>
    <w:rsid w:val="003900A5"/>
    <w:rsid w:val="0039012D"/>
    <w:rsid w:val="003917AD"/>
    <w:rsid w:val="003917D1"/>
    <w:rsid w:val="00391FAB"/>
    <w:rsid w:val="00392539"/>
    <w:rsid w:val="00392677"/>
    <w:rsid w:val="0039320C"/>
    <w:rsid w:val="00393431"/>
    <w:rsid w:val="00393633"/>
    <w:rsid w:val="003945E2"/>
    <w:rsid w:val="00394981"/>
    <w:rsid w:val="00395100"/>
    <w:rsid w:val="003953A8"/>
    <w:rsid w:val="003958E6"/>
    <w:rsid w:val="00395D76"/>
    <w:rsid w:val="00396F7B"/>
    <w:rsid w:val="00396FA3"/>
    <w:rsid w:val="0039788E"/>
    <w:rsid w:val="00397F0D"/>
    <w:rsid w:val="003A011D"/>
    <w:rsid w:val="003A0DC3"/>
    <w:rsid w:val="003A1675"/>
    <w:rsid w:val="003A1CA9"/>
    <w:rsid w:val="003A1CF5"/>
    <w:rsid w:val="003A2812"/>
    <w:rsid w:val="003A2D0C"/>
    <w:rsid w:val="003A3304"/>
    <w:rsid w:val="003A3551"/>
    <w:rsid w:val="003A38F0"/>
    <w:rsid w:val="003A3EBB"/>
    <w:rsid w:val="003A443D"/>
    <w:rsid w:val="003A4DE4"/>
    <w:rsid w:val="003A6A5A"/>
    <w:rsid w:val="003A72E9"/>
    <w:rsid w:val="003B11DA"/>
    <w:rsid w:val="003B175A"/>
    <w:rsid w:val="003B3231"/>
    <w:rsid w:val="003B357A"/>
    <w:rsid w:val="003B4274"/>
    <w:rsid w:val="003B499C"/>
    <w:rsid w:val="003B4CCD"/>
    <w:rsid w:val="003B53D4"/>
    <w:rsid w:val="003B56D7"/>
    <w:rsid w:val="003B7298"/>
    <w:rsid w:val="003C0FF8"/>
    <w:rsid w:val="003C1D0C"/>
    <w:rsid w:val="003C1F2E"/>
    <w:rsid w:val="003C42A3"/>
    <w:rsid w:val="003C49D5"/>
    <w:rsid w:val="003C4FD5"/>
    <w:rsid w:val="003C582B"/>
    <w:rsid w:val="003C6BFF"/>
    <w:rsid w:val="003D2333"/>
    <w:rsid w:val="003D2E1B"/>
    <w:rsid w:val="003D3241"/>
    <w:rsid w:val="003D39AE"/>
    <w:rsid w:val="003D3B44"/>
    <w:rsid w:val="003D4804"/>
    <w:rsid w:val="003D5413"/>
    <w:rsid w:val="003D7685"/>
    <w:rsid w:val="003D7E9A"/>
    <w:rsid w:val="003E0366"/>
    <w:rsid w:val="003E100C"/>
    <w:rsid w:val="003E1C0C"/>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C9D"/>
    <w:rsid w:val="003F5D2C"/>
    <w:rsid w:val="003F7679"/>
    <w:rsid w:val="00400C13"/>
    <w:rsid w:val="00401AD9"/>
    <w:rsid w:val="00401F48"/>
    <w:rsid w:val="00402311"/>
    <w:rsid w:val="0040239F"/>
    <w:rsid w:val="00402A5C"/>
    <w:rsid w:val="00402C97"/>
    <w:rsid w:val="00403364"/>
    <w:rsid w:val="0040415C"/>
    <w:rsid w:val="00404AA4"/>
    <w:rsid w:val="00404AF1"/>
    <w:rsid w:val="00404C61"/>
    <w:rsid w:val="004050C9"/>
    <w:rsid w:val="004051F0"/>
    <w:rsid w:val="00405C04"/>
    <w:rsid w:val="00406314"/>
    <w:rsid w:val="00406376"/>
    <w:rsid w:val="00406896"/>
    <w:rsid w:val="00411B37"/>
    <w:rsid w:val="0041244F"/>
    <w:rsid w:val="004125ED"/>
    <w:rsid w:val="0041353D"/>
    <w:rsid w:val="00413B39"/>
    <w:rsid w:val="0041450E"/>
    <w:rsid w:val="0041456E"/>
    <w:rsid w:val="00415370"/>
    <w:rsid w:val="00415781"/>
    <w:rsid w:val="00416485"/>
    <w:rsid w:val="00416F40"/>
    <w:rsid w:val="00417769"/>
    <w:rsid w:val="00417F0D"/>
    <w:rsid w:val="00420765"/>
    <w:rsid w:val="00421EF2"/>
    <w:rsid w:val="00422668"/>
    <w:rsid w:val="0042482B"/>
    <w:rsid w:val="00424946"/>
    <w:rsid w:val="0042602D"/>
    <w:rsid w:val="004261DA"/>
    <w:rsid w:val="00427004"/>
    <w:rsid w:val="00431540"/>
    <w:rsid w:val="00431AC1"/>
    <w:rsid w:val="00431DE1"/>
    <w:rsid w:val="004329C9"/>
    <w:rsid w:val="00432CD5"/>
    <w:rsid w:val="00432EF0"/>
    <w:rsid w:val="0043396E"/>
    <w:rsid w:val="00433CDB"/>
    <w:rsid w:val="00435D29"/>
    <w:rsid w:val="004363FA"/>
    <w:rsid w:val="004364CC"/>
    <w:rsid w:val="00437141"/>
    <w:rsid w:val="004405B0"/>
    <w:rsid w:val="00440853"/>
    <w:rsid w:val="00441905"/>
    <w:rsid w:val="00441FF9"/>
    <w:rsid w:val="0044382F"/>
    <w:rsid w:val="00443B96"/>
    <w:rsid w:val="00443E1D"/>
    <w:rsid w:val="004442EB"/>
    <w:rsid w:val="00444FA3"/>
    <w:rsid w:val="004459DC"/>
    <w:rsid w:val="00446553"/>
    <w:rsid w:val="00446A92"/>
    <w:rsid w:val="004501B4"/>
    <w:rsid w:val="0045082F"/>
    <w:rsid w:val="00450C00"/>
    <w:rsid w:val="0045135E"/>
    <w:rsid w:val="00452434"/>
    <w:rsid w:val="00452C53"/>
    <w:rsid w:val="004539C7"/>
    <w:rsid w:val="00454597"/>
    <w:rsid w:val="004548E6"/>
    <w:rsid w:val="0045543A"/>
    <w:rsid w:val="0045543C"/>
    <w:rsid w:val="004556FB"/>
    <w:rsid w:val="00455880"/>
    <w:rsid w:val="004561F9"/>
    <w:rsid w:val="0045637C"/>
    <w:rsid w:val="004563C4"/>
    <w:rsid w:val="004569A3"/>
    <w:rsid w:val="004578ED"/>
    <w:rsid w:val="00457EFC"/>
    <w:rsid w:val="0046064C"/>
    <w:rsid w:val="004611B6"/>
    <w:rsid w:val="00461997"/>
    <w:rsid w:val="00463F8B"/>
    <w:rsid w:val="004644C2"/>
    <w:rsid w:val="004649AD"/>
    <w:rsid w:val="004650E7"/>
    <w:rsid w:val="0046687B"/>
    <w:rsid w:val="00466CB4"/>
    <w:rsid w:val="00470418"/>
    <w:rsid w:val="004704EA"/>
    <w:rsid w:val="0047071D"/>
    <w:rsid w:val="004720F6"/>
    <w:rsid w:val="004727C4"/>
    <w:rsid w:val="00472F62"/>
    <w:rsid w:val="00473579"/>
    <w:rsid w:val="00473E50"/>
    <w:rsid w:val="00474E5A"/>
    <w:rsid w:val="00475355"/>
    <w:rsid w:val="0047558F"/>
    <w:rsid w:val="00475FD5"/>
    <w:rsid w:val="00476FED"/>
    <w:rsid w:val="0047725A"/>
    <w:rsid w:val="004812F4"/>
    <w:rsid w:val="0048231B"/>
    <w:rsid w:val="004838D4"/>
    <w:rsid w:val="004845AC"/>
    <w:rsid w:val="00484C31"/>
    <w:rsid w:val="00485E3C"/>
    <w:rsid w:val="00486F09"/>
    <w:rsid w:val="004877FB"/>
    <w:rsid w:val="004906DB"/>
    <w:rsid w:val="00490C0F"/>
    <w:rsid w:val="00491FF2"/>
    <w:rsid w:val="004925EE"/>
    <w:rsid w:val="00492735"/>
    <w:rsid w:val="00493926"/>
    <w:rsid w:val="004945E8"/>
    <w:rsid w:val="00494FC9"/>
    <w:rsid w:val="00495228"/>
    <w:rsid w:val="004963B6"/>
    <w:rsid w:val="004A1AB1"/>
    <w:rsid w:val="004A2013"/>
    <w:rsid w:val="004A201B"/>
    <w:rsid w:val="004A2B7A"/>
    <w:rsid w:val="004A3EB3"/>
    <w:rsid w:val="004A4377"/>
    <w:rsid w:val="004A57EB"/>
    <w:rsid w:val="004A5824"/>
    <w:rsid w:val="004A59D3"/>
    <w:rsid w:val="004A6156"/>
    <w:rsid w:val="004A6D7C"/>
    <w:rsid w:val="004A6F11"/>
    <w:rsid w:val="004A7224"/>
    <w:rsid w:val="004A74DD"/>
    <w:rsid w:val="004B00D1"/>
    <w:rsid w:val="004B0AC8"/>
    <w:rsid w:val="004B0B57"/>
    <w:rsid w:val="004B0BBE"/>
    <w:rsid w:val="004B0EB0"/>
    <w:rsid w:val="004B1246"/>
    <w:rsid w:val="004B1CAB"/>
    <w:rsid w:val="004B2FF9"/>
    <w:rsid w:val="004B3506"/>
    <w:rsid w:val="004B36ED"/>
    <w:rsid w:val="004B40DB"/>
    <w:rsid w:val="004B4EF6"/>
    <w:rsid w:val="004B612E"/>
    <w:rsid w:val="004B623B"/>
    <w:rsid w:val="004B6554"/>
    <w:rsid w:val="004B6B22"/>
    <w:rsid w:val="004B6C50"/>
    <w:rsid w:val="004C0DA0"/>
    <w:rsid w:val="004C3E02"/>
    <w:rsid w:val="004C422D"/>
    <w:rsid w:val="004C440E"/>
    <w:rsid w:val="004C4CEB"/>
    <w:rsid w:val="004C5CBA"/>
    <w:rsid w:val="004C64D8"/>
    <w:rsid w:val="004C64F7"/>
    <w:rsid w:val="004C6C09"/>
    <w:rsid w:val="004C6EA3"/>
    <w:rsid w:val="004C7BCD"/>
    <w:rsid w:val="004D000F"/>
    <w:rsid w:val="004D055D"/>
    <w:rsid w:val="004D1240"/>
    <w:rsid w:val="004D12B8"/>
    <w:rsid w:val="004D12F6"/>
    <w:rsid w:val="004D1946"/>
    <w:rsid w:val="004D238A"/>
    <w:rsid w:val="004D32ED"/>
    <w:rsid w:val="004D3E71"/>
    <w:rsid w:val="004D49EE"/>
    <w:rsid w:val="004D4AE0"/>
    <w:rsid w:val="004D4C0B"/>
    <w:rsid w:val="004D69FC"/>
    <w:rsid w:val="004D72BA"/>
    <w:rsid w:val="004D77BD"/>
    <w:rsid w:val="004D77DE"/>
    <w:rsid w:val="004D7BF4"/>
    <w:rsid w:val="004D7C92"/>
    <w:rsid w:val="004E295C"/>
    <w:rsid w:val="004E38B2"/>
    <w:rsid w:val="004E3936"/>
    <w:rsid w:val="004E490B"/>
    <w:rsid w:val="004E57F7"/>
    <w:rsid w:val="004E5D9C"/>
    <w:rsid w:val="004E6191"/>
    <w:rsid w:val="004E6707"/>
    <w:rsid w:val="004E6B8E"/>
    <w:rsid w:val="004F0543"/>
    <w:rsid w:val="004F0D33"/>
    <w:rsid w:val="004F2385"/>
    <w:rsid w:val="004F246C"/>
    <w:rsid w:val="004F3A97"/>
    <w:rsid w:val="004F5591"/>
    <w:rsid w:val="004F5D14"/>
    <w:rsid w:val="004F68DC"/>
    <w:rsid w:val="004F7F44"/>
    <w:rsid w:val="00500598"/>
    <w:rsid w:val="00500F52"/>
    <w:rsid w:val="00500F7A"/>
    <w:rsid w:val="005012AD"/>
    <w:rsid w:val="005016E5"/>
    <w:rsid w:val="00501A56"/>
    <w:rsid w:val="00502317"/>
    <w:rsid w:val="005027BB"/>
    <w:rsid w:val="00503415"/>
    <w:rsid w:val="005034C1"/>
    <w:rsid w:val="005037E1"/>
    <w:rsid w:val="00503B5C"/>
    <w:rsid w:val="0050456A"/>
    <w:rsid w:val="0050487B"/>
    <w:rsid w:val="00505C46"/>
    <w:rsid w:val="005068E1"/>
    <w:rsid w:val="005070B6"/>
    <w:rsid w:val="005077C5"/>
    <w:rsid w:val="00510111"/>
    <w:rsid w:val="00510B80"/>
    <w:rsid w:val="0051168A"/>
    <w:rsid w:val="005117D2"/>
    <w:rsid w:val="005118A6"/>
    <w:rsid w:val="005122F4"/>
    <w:rsid w:val="0051405F"/>
    <w:rsid w:val="00514277"/>
    <w:rsid w:val="0051444F"/>
    <w:rsid w:val="005156A6"/>
    <w:rsid w:val="00516393"/>
    <w:rsid w:val="00516669"/>
    <w:rsid w:val="005179A5"/>
    <w:rsid w:val="00520B4F"/>
    <w:rsid w:val="00522582"/>
    <w:rsid w:val="00524AD7"/>
    <w:rsid w:val="005254FD"/>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0B60"/>
    <w:rsid w:val="00541076"/>
    <w:rsid w:val="00541136"/>
    <w:rsid w:val="0054216F"/>
    <w:rsid w:val="00542F18"/>
    <w:rsid w:val="0054343C"/>
    <w:rsid w:val="00544853"/>
    <w:rsid w:val="00544CA5"/>
    <w:rsid w:val="005450E2"/>
    <w:rsid w:val="00545B19"/>
    <w:rsid w:val="00547404"/>
    <w:rsid w:val="005474A2"/>
    <w:rsid w:val="00547520"/>
    <w:rsid w:val="0055035F"/>
    <w:rsid w:val="005507FD"/>
    <w:rsid w:val="005511C0"/>
    <w:rsid w:val="00551D4B"/>
    <w:rsid w:val="00551E3C"/>
    <w:rsid w:val="0055232C"/>
    <w:rsid w:val="0055278E"/>
    <w:rsid w:val="00555488"/>
    <w:rsid w:val="0055549A"/>
    <w:rsid w:val="00555B18"/>
    <w:rsid w:val="00555C9C"/>
    <w:rsid w:val="00556A4D"/>
    <w:rsid w:val="00557319"/>
    <w:rsid w:val="0055764E"/>
    <w:rsid w:val="00560528"/>
    <w:rsid w:val="00560699"/>
    <w:rsid w:val="00561503"/>
    <w:rsid w:val="00561923"/>
    <w:rsid w:val="005622F8"/>
    <w:rsid w:val="0056310A"/>
    <w:rsid w:val="0056336F"/>
    <w:rsid w:val="00563B9D"/>
    <w:rsid w:val="00565AF7"/>
    <w:rsid w:val="00566024"/>
    <w:rsid w:val="005671C3"/>
    <w:rsid w:val="0057060C"/>
    <w:rsid w:val="00570C0B"/>
    <w:rsid w:val="0057189C"/>
    <w:rsid w:val="00571BD2"/>
    <w:rsid w:val="00571CD7"/>
    <w:rsid w:val="00571D59"/>
    <w:rsid w:val="00572E3E"/>
    <w:rsid w:val="0057332B"/>
    <w:rsid w:val="0057364D"/>
    <w:rsid w:val="005737FC"/>
    <w:rsid w:val="0057420B"/>
    <w:rsid w:val="0057593B"/>
    <w:rsid w:val="005762CE"/>
    <w:rsid w:val="00576DC0"/>
    <w:rsid w:val="00580280"/>
    <w:rsid w:val="00580B9E"/>
    <w:rsid w:val="00580DAB"/>
    <w:rsid w:val="0058135A"/>
    <w:rsid w:val="005817D9"/>
    <w:rsid w:val="00581F7C"/>
    <w:rsid w:val="00583358"/>
    <w:rsid w:val="005839BF"/>
    <w:rsid w:val="00584058"/>
    <w:rsid w:val="00584413"/>
    <w:rsid w:val="005844A5"/>
    <w:rsid w:val="005846B4"/>
    <w:rsid w:val="005850E5"/>
    <w:rsid w:val="005851E0"/>
    <w:rsid w:val="00585571"/>
    <w:rsid w:val="005856F9"/>
    <w:rsid w:val="00585B91"/>
    <w:rsid w:val="00586BB0"/>
    <w:rsid w:val="00586BF1"/>
    <w:rsid w:val="00587DC4"/>
    <w:rsid w:val="0059008F"/>
    <w:rsid w:val="005903E4"/>
    <w:rsid w:val="005907D5"/>
    <w:rsid w:val="005910C0"/>
    <w:rsid w:val="005913EE"/>
    <w:rsid w:val="00592461"/>
    <w:rsid w:val="005950D6"/>
    <w:rsid w:val="0059519C"/>
    <w:rsid w:val="00595524"/>
    <w:rsid w:val="005974F3"/>
    <w:rsid w:val="0059751C"/>
    <w:rsid w:val="00597919"/>
    <w:rsid w:val="00597F9F"/>
    <w:rsid w:val="005A0B9F"/>
    <w:rsid w:val="005A0EFC"/>
    <w:rsid w:val="005A44E7"/>
    <w:rsid w:val="005A5D8E"/>
    <w:rsid w:val="005A63D8"/>
    <w:rsid w:val="005A71A7"/>
    <w:rsid w:val="005A7420"/>
    <w:rsid w:val="005A7C14"/>
    <w:rsid w:val="005A7DBE"/>
    <w:rsid w:val="005B152C"/>
    <w:rsid w:val="005B1759"/>
    <w:rsid w:val="005B1C64"/>
    <w:rsid w:val="005B1DE8"/>
    <w:rsid w:val="005B2294"/>
    <w:rsid w:val="005B271E"/>
    <w:rsid w:val="005B2807"/>
    <w:rsid w:val="005B3606"/>
    <w:rsid w:val="005B388D"/>
    <w:rsid w:val="005B3E08"/>
    <w:rsid w:val="005B49B6"/>
    <w:rsid w:val="005B56EE"/>
    <w:rsid w:val="005B63E1"/>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C6CC6"/>
    <w:rsid w:val="005C6E71"/>
    <w:rsid w:val="005C7363"/>
    <w:rsid w:val="005D0B55"/>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3B04"/>
    <w:rsid w:val="005F4204"/>
    <w:rsid w:val="005F5574"/>
    <w:rsid w:val="005F5D1D"/>
    <w:rsid w:val="005F60C9"/>
    <w:rsid w:val="005F64C6"/>
    <w:rsid w:val="006008F1"/>
    <w:rsid w:val="00601714"/>
    <w:rsid w:val="00601735"/>
    <w:rsid w:val="00602BD2"/>
    <w:rsid w:val="00604980"/>
    <w:rsid w:val="0060614D"/>
    <w:rsid w:val="006100A4"/>
    <w:rsid w:val="00610871"/>
    <w:rsid w:val="00610E48"/>
    <w:rsid w:val="00610FE0"/>
    <w:rsid w:val="00613C47"/>
    <w:rsid w:val="00615086"/>
    <w:rsid w:val="00616201"/>
    <w:rsid w:val="00616225"/>
    <w:rsid w:val="00616BA2"/>
    <w:rsid w:val="0061705E"/>
    <w:rsid w:val="00617070"/>
    <w:rsid w:val="006170F1"/>
    <w:rsid w:val="00617914"/>
    <w:rsid w:val="00617A8B"/>
    <w:rsid w:val="00621904"/>
    <w:rsid w:val="00622248"/>
    <w:rsid w:val="00622FEA"/>
    <w:rsid w:val="00623CDF"/>
    <w:rsid w:val="00623DB1"/>
    <w:rsid w:val="006245F3"/>
    <w:rsid w:val="0062485E"/>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47673"/>
    <w:rsid w:val="00650F81"/>
    <w:rsid w:val="00650FC7"/>
    <w:rsid w:val="00651822"/>
    <w:rsid w:val="00651F86"/>
    <w:rsid w:val="00652D6B"/>
    <w:rsid w:val="0065395E"/>
    <w:rsid w:val="00653C24"/>
    <w:rsid w:val="00653D68"/>
    <w:rsid w:val="00653E4E"/>
    <w:rsid w:val="00654275"/>
    <w:rsid w:val="0065446D"/>
    <w:rsid w:val="00654891"/>
    <w:rsid w:val="00654894"/>
    <w:rsid w:val="00655104"/>
    <w:rsid w:val="00656067"/>
    <w:rsid w:val="00660693"/>
    <w:rsid w:val="006611D6"/>
    <w:rsid w:val="00661918"/>
    <w:rsid w:val="00662A5A"/>
    <w:rsid w:val="006636D0"/>
    <w:rsid w:val="00663834"/>
    <w:rsid w:val="00663BF1"/>
    <w:rsid w:val="006647D7"/>
    <w:rsid w:val="00664F1B"/>
    <w:rsid w:val="006653D7"/>
    <w:rsid w:val="00665BFF"/>
    <w:rsid w:val="006665BA"/>
    <w:rsid w:val="00666A4F"/>
    <w:rsid w:val="00667477"/>
    <w:rsid w:val="006703D9"/>
    <w:rsid w:val="00672DFC"/>
    <w:rsid w:val="00672F5B"/>
    <w:rsid w:val="00673DEE"/>
    <w:rsid w:val="00674E69"/>
    <w:rsid w:val="00675720"/>
    <w:rsid w:val="0067738E"/>
    <w:rsid w:val="00677F23"/>
    <w:rsid w:val="0068015A"/>
    <w:rsid w:val="0068055B"/>
    <w:rsid w:val="00680936"/>
    <w:rsid w:val="00680D8C"/>
    <w:rsid w:val="00680D99"/>
    <w:rsid w:val="006821B2"/>
    <w:rsid w:val="00682725"/>
    <w:rsid w:val="00682A1B"/>
    <w:rsid w:val="00682D73"/>
    <w:rsid w:val="00682ED3"/>
    <w:rsid w:val="00683126"/>
    <w:rsid w:val="00683993"/>
    <w:rsid w:val="006846E8"/>
    <w:rsid w:val="00685EBD"/>
    <w:rsid w:val="006861C3"/>
    <w:rsid w:val="00686AF3"/>
    <w:rsid w:val="00690F1F"/>
    <w:rsid w:val="006915BD"/>
    <w:rsid w:val="006915F2"/>
    <w:rsid w:val="00691DC2"/>
    <w:rsid w:val="00692582"/>
    <w:rsid w:val="00692592"/>
    <w:rsid w:val="00692A2F"/>
    <w:rsid w:val="0069322C"/>
    <w:rsid w:val="00693652"/>
    <w:rsid w:val="006939E7"/>
    <w:rsid w:val="00693D3E"/>
    <w:rsid w:val="006942F7"/>
    <w:rsid w:val="006956FB"/>
    <w:rsid w:val="00697D85"/>
    <w:rsid w:val="006A1A71"/>
    <w:rsid w:val="006A1D3D"/>
    <w:rsid w:val="006A2150"/>
    <w:rsid w:val="006A2216"/>
    <w:rsid w:val="006A241D"/>
    <w:rsid w:val="006A3288"/>
    <w:rsid w:val="006A43E6"/>
    <w:rsid w:val="006A47EB"/>
    <w:rsid w:val="006A4A22"/>
    <w:rsid w:val="006A4AEE"/>
    <w:rsid w:val="006A5E74"/>
    <w:rsid w:val="006A70BE"/>
    <w:rsid w:val="006A7290"/>
    <w:rsid w:val="006A7934"/>
    <w:rsid w:val="006A7BC8"/>
    <w:rsid w:val="006B0001"/>
    <w:rsid w:val="006B054B"/>
    <w:rsid w:val="006B059F"/>
    <w:rsid w:val="006B0E3A"/>
    <w:rsid w:val="006B2048"/>
    <w:rsid w:val="006B215A"/>
    <w:rsid w:val="006B2AD6"/>
    <w:rsid w:val="006B342E"/>
    <w:rsid w:val="006B3812"/>
    <w:rsid w:val="006B3B80"/>
    <w:rsid w:val="006B6EF0"/>
    <w:rsid w:val="006B6F32"/>
    <w:rsid w:val="006B7130"/>
    <w:rsid w:val="006B73CC"/>
    <w:rsid w:val="006B7695"/>
    <w:rsid w:val="006C0176"/>
    <w:rsid w:val="006C2994"/>
    <w:rsid w:val="006C35EC"/>
    <w:rsid w:val="006C4150"/>
    <w:rsid w:val="006C4382"/>
    <w:rsid w:val="006C4891"/>
    <w:rsid w:val="006C52BC"/>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386A"/>
    <w:rsid w:val="006D4242"/>
    <w:rsid w:val="006D45F0"/>
    <w:rsid w:val="006D4C8F"/>
    <w:rsid w:val="006D52A0"/>
    <w:rsid w:val="006D57CB"/>
    <w:rsid w:val="006D5819"/>
    <w:rsid w:val="006D5E6F"/>
    <w:rsid w:val="006D693F"/>
    <w:rsid w:val="006D6CDD"/>
    <w:rsid w:val="006D7604"/>
    <w:rsid w:val="006D765E"/>
    <w:rsid w:val="006D76CB"/>
    <w:rsid w:val="006E0455"/>
    <w:rsid w:val="006E4238"/>
    <w:rsid w:val="006E4551"/>
    <w:rsid w:val="006E5F01"/>
    <w:rsid w:val="006E7033"/>
    <w:rsid w:val="006E7404"/>
    <w:rsid w:val="006E7B97"/>
    <w:rsid w:val="006F05B9"/>
    <w:rsid w:val="006F1972"/>
    <w:rsid w:val="006F1EA3"/>
    <w:rsid w:val="006F2627"/>
    <w:rsid w:val="006F2A57"/>
    <w:rsid w:val="006F3187"/>
    <w:rsid w:val="006F3568"/>
    <w:rsid w:val="006F40AD"/>
    <w:rsid w:val="006F53EB"/>
    <w:rsid w:val="006F6360"/>
    <w:rsid w:val="006F6436"/>
    <w:rsid w:val="006F65C5"/>
    <w:rsid w:val="006F687A"/>
    <w:rsid w:val="006F68EF"/>
    <w:rsid w:val="006F6D4C"/>
    <w:rsid w:val="006F6E67"/>
    <w:rsid w:val="006F7157"/>
    <w:rsid w:val="006F78E0"/>
    <w:rsid w:val="007023EA"/>
    <w:rsid w:val="00702B1B"/>
    <w:rsid w:val="007032B3"/>
    <w:rsid w:val="00704164"/>
    <w:rsid w:val="007063BD"/>
    <w:rsid w:val="00706446"/>
    <w:rsid w:val="00706A58"/>
    <w:rsid w:val="00707517"/>
    <w:rsid w:val="007078ED"/>
    <w:rsid w:val="00710187"/>
    <w:rsid w:val="007101D7"/>
    <w:rsid w:val="00710D6E"/>
    <w:rsid w:val="007110E1"/>
    <w:rsid w:val="00711B18"/>
    <w:rsid w:val="007126D1"/>
    <w:rsid w:val="00714394"/>
    <w:rsid w:val="00714C87"/>
    <w:rsid w:val="00714ED6"/>
    <w:rsid w:val="00715E8D"/>
    <w:rsid w:val="00721C26"/>
    <w:rsid w:val="00721F7E"/>
    <w:rsid w:val="00722E29"/>
    <w:rsid w:val="00723ECB"/>
    <w:rsid w:val="00724606"/>
    <w:rsid w:val="00724A36"/>
    <w:rsid w:val="00724A60"/>
    <w:rsid w:val="00724E85"/>
    <w:rsid w:val="0072525D"/>
    <w:rsid w:val="00726E8A"/>
    <w:rsid w:val="00727047"/>
    <w:rsid w:val="00727A0E"/>
    <w:rsid w:val="00727C81"/>
    <w:rsid w:val="00730B33"/>
    <w:rsid w:val="00734510"/>
    <w:rsid w:val="00734887"/>
    <w:rsid w:val="007365B6"/>
    <w:rsid w:val="00737394"/>
    <w:rsid w:val="007401E2"/>
    <w:rsid w:val="00740205"/>
    <w:rsid w:val="007411E5"/>
    <w:rsid w:val="00741605"/>
    <w:rsid w:val="00742788"/>
    <w:rsid w:val="007436F2"/>
    <w:rsid w:val="00743B2E"/>
    <w:rsid w:val="0074436D"/>
    <w:rsid w:val="00746951"/>
    <w:rsid w:val="00746F65"/>
    <w:rsid w:val="007472C3"/>
    <w:rsid w:val="0074791E"/>
    <w:rsid w:val="00750948"/>
    <w:rsid w:val="00750A23"/>
    <w:rsid w:val="0075115D"/>
    <w:rsid w:val="00751A33"/>
    <w:rsid w:val="00751E0A"/>
    <w:rsid w:val="00753890"/>
    <w:rsid w:val="0075466D"/>
    <w:rsid w:val="007555DF"/>
    <w:rsid w:val="007569DC"/>
    <w:rsid w:val="0075711E"/>
    <w:rsid w:val="00757549"/>
    <w:rsid w:val="007579F2"/>
    <w:rsid w:val="00761434"/>
    <w:rsid w:val="00761FD5"/>
    <w:rsid w:val="00762BB6"/>
    <w:rsid w:val="0076341D"/>
    <w:rsid w:val="0076446D"/>
    <w:rsid w:val="007647EF"/>
    <w:rsid w:val="00765DD8"/>
    <w:rsid w:val="00766230"/>
    <w:rsid w:val="00766B33"/>
    <w:rsid w:val="00766D36"/>
    <w:rsid w:val="00767607"/>
    <w:rsid w:val="00767ACD"/>
    <w:rsid w:val="007705B5"/>
    <w:rsid w:val="0077270D"/>
    <w:rsid w:val="00773874"/>
    <w:rsid w:val="0077393B"/>
    <w:rsid w:val="00775D3B"/>
    <w:rsid w:val="0077615A"/>
    <w:rsid w:val="007806A0"/>
    <w:rsid w:val="00780FDB"/>
    <w:rsid w:val="007822E4"/>
    <w:rsid w:val="00782346"/>
    <w:rsid w:val="007838CD"/>
    <w:rsid w:val="007839A9"/>
    <w:rsid w:val="007840F3"/>
    <w:rsid w:val="007849BE"/>
    <w:rsid w:val="00785491"/>
    <w:rsid w:val="007858C0"/>
    <w:rsid w:val="0078679A"/>
    <w:rsid w:val="00786BDC"/>
    <w:rsid w:val="007871FE"/>
    <w:rsid w:val="00787C89"/>
    <w:rsid w:val="007908ED"/>
    <w:rsid w:val="00790F74"/>
    <w:rsid w:val="00792014"/>
    <w:rsid w:val="007921CD"/>
    <w:rsid w:val="00792288"/>
    <w:rsid w:val="00792447"/>
    <w:rsid w:val="007928C6"/>
    <w:rsid w:val="00792E73"/>
    <w:rsid w:val="0079694C"/>
    <w:rsid w:val="007A0187"/>
    <w:rsid w:val="007A19AC"/>
    <w:rsid w:val="007A23A3"/>
    <w:rsid w:val="007A268F"/>
    <w:rsid w:val="007A29EC"/>
    <w:rsid w:val="007A4A53"/>
    <w:rsid w:val="007A4C93"/>
    <w:rsid w:val="007A4E17"/>
    <w:rsid w:val="007A7F6D"/>
    <w:rsid w:val="007B0FBD"/>
    <w:rsid w:val="007B10EC"/>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827"/>
    <w:rsid w:val="007C294A"/>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2335"/>
    <w:rsid w:val="007D358B"/>
    <w:rsid w:val="007D370E"/>
    <w:rsid w:val="007D4624"/>
    <w:rsid w:val="007D4A8F"/>
    <w:rsid w:val="007D563E"/>
    <w:rsid w:val="007D5A49"/>
    <w:rsid w:val="007D5FC1"/>
    <w:rsid w:val="007D6EB6"/>
    <w:rsid w:val="007D715A"/>
    <w:rsid w:val="007D7EF9"/>
    <w:rsid w:val="007E002B"/>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E28"/>
    <w:rsid w:val="007F4F82"/>
    <w:rsid w:val="007F5143"/>
    <w:rsid w:val="007F6758"/>
    <w:rsid w:val="007F6D96"/>
    <w:rsid w:val="00800D05"/>
    <w:rsid w:val="00801D7A"/>
    <w:rsid w:val="008020F2"/>
    <w:rsid w:val="00803F74"/>
    <w:rsid w:val="00804653"/>
    <w:rsid w:val="00804C48"/>
    <w:rsid w:val="0080505A"/>
    <w:rsid w:val="008060B3"/>
    <w:rsid w:val="00806205"/>
    <w:rsid w:val="00806639"/>
    <w:rsid w:val="00806A84"/>
    <w:rsid w:val="00806EF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3C51"/>
    <w:rsid w:val="00834577"/>
    <w:rsid w:val="008349A6"/>
    <w:rsid w:val="00835271"/>
    <w:rsid w:val="00835679"/>
    <w:rsid w:val="008377DA"/>
    <w:rsid w:val="00841F21"/>
    <w:rsid w:val="00842991"/>
    <w:rsid w:val="008429B0"/>
    <w:rsid w:val="00843900"/>
    <w:rsid w:val="00844C5B"/>
    <w:rsid w:val="00845A15"/>
    <w:rsid w:val="0084632F"/>
    <w:rsid w:val="008474A9"/>
    <w:rsid w:val="00851180"/>
    <w:rsid w:val="00851D9E"/>
    <w:rsid w:val="00852528"/>
    <w:rsid w:val="0085434F"/>
    <w:rsid w:val="008543F7"/>
    <w:rsid w:val="008545DC"/>
    <w:rsid w:val="00854A7E"/>
    <w:rsid w:val="00855B06"/>
    <w:rsid w:val="00856B95"/>
    <w:rsid w:val="00856D1A"/>
    <w:rsid w:val="00857D29"/>
    <w:rsid w:val="00861313"/>
    <w:rsid w:val="0086161C"/>
    <w:rsid w:val="008617AF"/>
    <w:rsid w:val="00861DB0"/>
    <w:rsid w:val="00861E83"/>
    <w:rsid w:val="0086225C"/>
    <w:rsid w:val="008629A8"/>
    <w:rsid w:val="00863225"/>
    <w:rsid w:val="00863ADA"/>
    <w:rsid w:val="00865BAA"/>
    <w:rsid w:val="00865C83"/>
    <w:rsid w:val="008677CB"/>
    <w:rsid w:val="0087026D"/>
    <w:rsid w:val="0087056E"/>
    <w:rsid w:val="00870CB6"/>
    <w:rsid w:val="00870DF8"/>
    <w:rsid w:val="008722A6"/>
    <w:rsid w:val="008737AE"/>
    <w:rsid w:val="00873851"/>
    <w:rsid w:val="00873FEA"/>
    <w:rsid w:val="0087419B"/>
    <w:rsid w:val="008744CC"/>
    <w:rsid w:val="00874592"/>
    <w:rsid w:val="008751C1"/>
    <w:rsid w:val="0087595D"/>
    <w:rsid w:val="00876C1B"/>
    <w:rsid w:val="00876E70"/>
    <w:rsid w:val="008804E1"/>
    <w:rsid w:val="008815B6"/>
    <w:rsid w:val="008818F6"/>
    <w:rsid w:val="00881D45"/>
    <w:rsid w:val="0088398E"/>
    <w:rsid w:val="00885182"/>
    <w:rsid w:val="008858B7"/>
    <w:rsid w:val="0088647E"/>
    <w:rsid w:val="00886D52"/>
    <w:rsid w:val="00887215"/>
    <w:rsid w:val="00887E02"/>
    <w:rsid w:val="00890382"/>
    <w:rsid w:val="0089046A"/>
    <w:rsid w:val="00891106"/>
    <w:rsid w:val="00892833"/>
    <w:rsid w:val="00892DCB"/>
    <w:rsid w:val="00893479"/>
    <w:rsid w:val="0089375D"/>
    <w:rsid w:val="008943CB"/>
    <w:rsid w:val="008946B9"/>
    <w:rsid w:val="008A0882"/>
    <w:rsid w:val="008A10C1"/>
    <w:rsid w:val="008A181A"/>
    <w:rsid w:val="008A183F"/>
    <w:rsid w:val="008A1C47"/>
    <w:rsid w:val="008A2289"/>
    <w:rsid w:val="008A34BA"/>
    <w:rsid w:val="008A3766"/>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14"/>
    <w:rsid w:val="008C0867"/>
    <w:rsid w:val="008C08A5"/>
    <w:rsid w:val="008C1DD7"/>
    <w:rsid w:val="008C26FA"/>
    <w:rsid w:val="008C2BC1"/>
    <w:rsid w:val="008C4566"/>
    <w:rsid w:val="008C46B6"/>
    <w:rsid w:val="008C4935"/>
    <w:rsid w:val="008C522A"/>
    <w:rsid w:val="008C5E71"/>
    <w:rsid w:val="008C64E3"/>
    <w:rsid w:val="008C6A8B"/>
    <w:rsid w:val="008C77F7"/>
    <w:rsid w:val="008D00EA"/>
    <w:rsid w:val="008D04A7"/>
    <w:rsid w:val="008D0D1E"/>
    <w:rsid w:val="008D1175"/>
    <w:rsid w:val="008D1627"/>
    <w:rsid w:val="008D1DA0"/>
    <w:rsid w:val="008D2828"/>
    <w:rsid w:val="008D284E"/>
    <w:rsid w:val="008D4ED3"/>
    <w:rsid w:val="008D54BF"/>
    <w:rsid w:val="008D5DC6"/>
    <w:rsid w:val="008D6A11"/>
    <w:rsid w:val="008E0D4B"/>
    <w:rsid w:val="008E1C27"/>
    <w:rsid w:val="008E1E54"/>
    <w:rsid w:val="008E2057"/>
    <w:rsid w:val="008E31EC"/>
    <w:rsid w:val="008E3C88"/>
    <w:rsid w:val="008E488D"/>
    <w:rsid w:val="008E4E17"/>
    <w:rsid w:val="008E5337"/>
    <w:rsid w:val="008E610D"/>
    <w:rsid w:val="008E69A2"/>
    <w:rsid w:val="008E78F2"/>
    <w:rsid w:val="008E7B12"/>
    <w:rsid w:val="008F022C"/>
    <w:rsid w:val="008F152D"/>
    <w:rsid w:val="008F2A60"/>
    <w:rsid w:val="008F310D"/>
    <w:rsid w:val="008F3888"/>
    <w:rsid w:val="008F3B22"/>
    <w:rsid w:val="008F43C7"/>
    <w:rsid w:val="008F4823"/>
    <w:rsid w:val="008F606D"/>
    <w:rsid w:val="008F7150"/>
    <w:rsid w:val="008F71CC"/>
    <w:rsid w:val="008F721C"/>
    <w:rsid w:val="00900662"/>
    <w:rsid w:val="00900B2A"/>
    <w:rsid w:val="00901953"/>
    <w:rsid w:val="00902166"/>
    <w:rsid w:val="009034D4"/>
    <w:rsid w:val="00903C31"/>
    <w:rsid w:val="009040A1"/>
    <w:rsid w:val="0090473B"/>
    <w:rsid w:val="0090487F"/>
    <w:rsid w:val="00904A00"/>
    <w:rsid w:val="00904EAB"/>
    <w:rsid w:val="00904EAC"/>
    <w:rsid w:val="00905282"/>
    <w:rsid w:val="00905908"/>
    <w:rsid w:val="00906AD1"/>
    <w:rsid w:val="009075A4"/>
    <w:rsid w:val="009101AF"/>
    <w:rsid w:val="00911808"/>
    <w:rsid w:val="009145FB"/>
    <w:rsid w:val="0091555E"/>
    <w:rsid w:val="00915786"/>
    <w:rsid w:val="0091746C"/>
    <w:rsid w:val="00917816"/>
    <w:rsid w:val="00917D06"/>
    <w:rsid w:val="009207DB"/>
    <w:rsid w:val="00921202"/>
    <w:rsid w:val="00922024"/>
    <w:rsid w:val="009222A3"/>
    <w:rsid w:val="009224EE"/>
    <w:rsid w:val="00922D24"/>
    <w:rsid w:val="00924853"/>
    <w:rsid w:val="009248C9"/>
    <w:rsid w:val="009252E0"/>
    <w:rsid w:val="00925501"/>
    <w:rsid w:val="00926982"/>
    <w:rsid w:val="00926D4C"/>
    <w:rsid w:val="009270C4"/>
    <w:rsid w:val="0093083B"/>
    <w:rsid w:val="0093092B"/>
    <w:rsid w:val="00930C8D"/>
    <w:rsid w:val="009319D7"/>
    <w:rsid w:val="009325F7"/>
    <w:rsid w:val="00932BCF"/>
    <w:rsid w:val="00933396"/>
    <w:rsid w:val="00934D73"/>
    <w:rsid w:val="00935042"/>
    <w:rsid w:val="009354F5"/>
    <w:rsid w:val="0093740F"/>
    <w:rsid w:val="00937B4A"/>
    <w:rsid w:val="00937BE9"/>
    <w:rsid w:val="00937C1D"/>
    <w:rsid w:val="00940804"/>
    <w:rsid w:val="00940E9B"/>
    <w:rsid w:val="00940FC3"/>
    <w:rsid w:val="009410B3"/>
    <w:rsid w:val="0094131D"/>
    <w:rsid w:val="0094166C"/>
    <w:rsid w:val="00942120"/>
    <w:rsid w:val="00942292"/>
    <w:rsid w:val="0094245E"/>
    <w:rsid w:val="009425F7"/>
    <w:rsid w:val="00943BC0"/>
    <w:rsid w:val="00944BF0"/>
    <w:rsid w:val="00945EC2"/>
    <w:rsid w:val="00946136"/>
    <w:rsid w:val="00946CD9"/>
    <w:rsid w:val="00946E7C"/>
    <w:rsid w:val="00947046"/>
    <w:rsid w:val="00950297"/>
    <w:rsid w:val="009505F4"/>
    <w:rsid w:val="00951216"/>
    <w:rsid w:val="00951614"/>
    <w:rsid w:val="0095279B"/>
    <w:rsid w:val="009533C3"/>
    <w:rsid w:val="009535D3"/>
    <w:rsid w:val="00953807"/>
    <w:rsid w:val="00954282"/>
    <w:rsid w:val="00954427"/>
    <w:rsid w:val="0095611C"/>
    <w:rsid w:val="009564ED"/>
    <w:rsid w:val="00956CA2"/>
    <w:rsid w:val="0096079B"/>
    <w:rsid w:val="0096218D"/>
    <w:rsid w:val="00964509"/>
    <w:rsid w:val="0096501B"/>
    <w:rsid w:val="0096625E"/>
    <w:rsid w:val="0096662B"/>
    <w:rsid w:val="009666AF"/>
    <w:rsid w:val="00967180"/>
    <w:rsid w:val="0096797D"/>
    <w:rsid w:val="00970704"/>
    <w:rsid w:val="00970B65"/>
    <w:rsid w:val="00970D66"/>
    <w:rsid w:val="00971127"/>
    <w:rsid w:val="0097119E"/>
    <w:rsid w:val="009718E9"/>
    <w:rsid w:val="009734B8"/>
    <w:rsid w:val="00973514"/>
    <w:rsid w:val="009739F9"/>
    <w:rsid w:val="009741E7"/>
    <w:rsid w:val="00975C75"/>
    <w:rsid w:val="00977506"/>
    <w:rsid w:val="00977DFD"/>
    <w:rsid w:val="0098177A"/>
    <w:rsid w:val="00983583"/>
    <w:rsid w:val="00983EFD"/>
    <w:rsid w:val="009855B0"/>
    <w:rsid w:val="009859A8"/>
    <w:rsid w:val="00985F2F"/>
    <w:rsid w:val="00986257"/>
    <w:rsid w:val="00986564"/>
    <w:rsid w:val="0098658A"/>
    <w:rsid w:val="00986861"/>
    <w:rsid w:val="00987CBC"/>
    <w:rsid w:val="00991EB0"/>
    <w:rsid w:val="0099212B"/>
    <w:rsid w:val="0099245F"/>
    <w:rsid w:val="00993891"/>
    <w:rsid w:val="00995768"/>
    <w:rsid w:val="00995F21"/>
    <w:rsid w:val="00996203"/>
    <w:rsid w:val="00996326"/>
    <w:rsid w:val="009964FB"/>
    <w:rsid w:val="00996F95"/>
    <w:rsid w:val="00997B35"/>
    <w:rsid w:val="00997B6A"/>
    <w:rsid w:val="00997EA5"/>
    <w:rsid w:val="009A07D5"/>
    <w:rsid w:val="009A1FE7"/>
    <w:rsid w:val="009A2967"/>
    <w:rsid w:val="009A3274"/>
    <w:rsid w:val="009A36B7"/>
    <w:rsid w:val="009A3720"/>
    <w:rsid w:val="009A392B"/>
    <w:rsid w:val="009A3D58"/>
    <w:rsid w:val="009A42CF"/>
    <w:rsid w:val="009A44E8"/>
    <w:rsid w:val="009A581E"/>
    <w:rsid w:val="009A698D"/>
    <w:rsid w:val="009A6AB4"/>
    <w:rsid w:val="009A7461"/>
    <w:rsid w:val="009B0BF0"/>
    <w:rsid w:val="009B1DA5"/>
    <w:rsid w:val="009B1E1D"/>
    <w:rsid w:val="009B28FD"/>
    <w:rsid w:val="009B2AD6"/>
    <w:rsid w:val="009B3172"/>
    <w:rsid w:val="009B461D"/>
    <w:rsid w:val="009B4F1F"/>
    <w:rsid w:val="009B5594"/>
    <w:rsid w:val="009B59ED"/>
    <w:rsid w:val="009B6405"/>
    <w:rsid w:val="009B6D8D"/>
    <w:rsid w:val="009B729E"/>
    <w:rsid w:val="009B7498"/>
    <w:rsid w:val="009C217C"/>
    <w:rsid w:val="009C264B"/>
    <w:rsid w:val="009C34F1"/>
    <w:rsid w:val="009C3B80"/>
    <w:rsid w:val="009C3D84"/>
    <w:rsid w:val="009C3F5A"/>
    <w:rsid w:val="009C48C6"/>
    <w:rsid w:val="009C5D76"/>
    <w:rsid w:val="009C5DFB"/>
    <w:rsid w:val="009C5FDE"/>
    <w:rsid w:val="009C623B"/>
    <w:rsid w:val="009C667D"/>
    <w:rsid w:val="009C69E7"/>
    <w:rsid w:val="009C7B1D"/>
    <w:rsid w:val="009C7F10"/>
    <w:rsid w:val="009C7FF8"/>
    <w:rsid w:val="009D03F1"/>
    <w:rsid w:val="009D0741"/>
    <w:rsid w:val="009D0921"/>
    <w:rsid w:val="009D101B"/>
    <w:rsid w:val="009D118E"/>
    <w:rsid w:val="009D1CF4"/>
    <w:rsid w:val="009D271A"/>
    <w:rsid w:val="009D380F"/>
    <w:rsid w:val="009D57A7"/>
    <w:rsid w:val="009D65EE"/>
    <w:rsid w:val="009D6865"/>
    <w:rsid w:val="009D6903"/>
    <w:rsid w:val="009E02F1"/>
    <w:rsid w:val="009E0525"/>
    <w:rsid w:val="009E199C"/>
    <w:rsid w:val="009E1F76"/>
    <w:rsid w:val="009E20A6"/>
    <w:rsid w:val="009E233F"/>
    <w:rsid w:val="009E323A"/>
    <w:rsid w:val="009E328B"/>
    <w:rsid w:val="009E68C1"/>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25E5"/>
    <w:rsid w:val="00A04B2F"/>
    <w:rsid w:val="00A054CB"/>
    <w:rsid w:val="00A05E8F"/>
    <w:rsid w:val="00A06A54"/>
    <w:rsid w:val="00A10423"/>
    <w:rsid w:val="00A10A6F"/>
    <w:rsid w:val="00A115B1"/>
    <w:rsid w:val="00A118B4"/>
    <w:rsid w:val="00A129C6"/>
    <w:rsid w:val="00A14BDD"/>
    <w:rsid w:val="00A15A52"/>
    <w:rsid w:val="00A169FE"/>
    <w:rsid w:val="00A1706F"/>
    <w:rsid w:val="00A1721D"/>
    <w:rsid w:val="00A20630"/>
    <w:rsid w:val="00A20956"/>
    <w:rsid w:val="00A210DB"/>
    <w:rsid w:val="00A21667"/>
    <w:rsid w:val="00A220FB"/>
    <w:rsid w:val="00A223A5"/>
    <w:rsid w:val="00A22946"/>
    <w:rsid w:val="00A23770"/>
    <w:rsid w:val="00A241FD"/>
    <w:rsid w:val="00A24BC5"/>
    <w:rsid w:val="00A2504C"/>
    <w:rsid w:val="00A26CA4"/>
    <w:rsid w:val="00A26D2E"/>
    <w:rsid w:val="00A26E5D"/>
    <w:rsid w:val="00A276A6"/>
    <w:rsid w:val="00A276FF"/>
    <w:rsid w:val="00A27A41"/>
    <w:rsid w:val="00A30C82"/>
    <w:rsid w:val="00A31A01"/>
    <w:rsid w:val="00A32211"/>
    <w:rsid w:val="00A3279A"/>
    <w:rsid w:val="00A33842"/>
    <w:rsid w:val="00A33A1E"/>
    <w:rsid w:val="00A33FDC"/>
    <w:rsid w:val="00A34114"/>
    <w:rsid w:val="00A34C81"/>
    <w:rsid w:val="00A34E19"/>
    <w:rsid w:val="00A35C90"/>
    <w:rsid w:val="00A362F9"/>
    <w:rsid w:val="00A36BE7"/>
    <w:rsid w:val="00A36F35"/>
    <w:rsid w:val="00A373CC"/>
    <w:rsid w:val="00A3760C"/>
    <w:rsid w:val="00A37704"/>
    <w:rsid w:val="00A378A0"/>
    <w:rsid w:val="00A37E59"/>
    <w:rsid w:val="00A40108"/>
    <w:rsid w:val="00A404AF"/>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173"/>
    <w:rsid w:val="00A56547"/>
    <w:rsid w:val="00A57079"/>
    <w:rsid w:val="00A570E0"/>
    <w:rsid w:val="00A606A0"/>
    <w:rsid w:val="00A60943"/>
    <w:rsid w:val="00A60A2E"/>
    <w:rsid w:val="00A60A60"/>
    <w:rsid w:val="00A61263"/>
    <w:rsid w:val="00A614AD"/>
    <w:rsid w:val="00A61608"/>
    <w:rsid w:val="00A616BD"/>
    <w:rsid w:val="00A61886"/>
    <w:rsid w:val="00A61E92"/>
    <w:rsid w:val="00A63D89"/>
    <w:rsid w:val="00A63EF3"/>
    <w:rsid w:val="00A650F1"/>
    <w:rsid w:val="00A6526E"/>
    <w:rsid w:val="00A65DA4"/>
    <w:rsid w:val="00A66E04"/>
    <w:rsid w:val="00A67194"/>
    <w:rsid w:val="00A671B3"/>
    <w:rsid w:val="00A67864"/>
    <w:rsid w:val="00A70242"/>
    <w:rsid w:val="00A7040E"/>
    <w:rsid w:val="00A7286F"/>
    <w:rsid w:val="00A734F2"/>
    <w:rsid w:val="00A73DEE"/>
    <w:rsid w:val="00A74678"/>
    <w:rsid w:val="00A75AEA"/>
    <w:rsid w:val="00A76063"/>
    <w:rsid w:val="00A767EB"/>
    <w:rsid w:val="00A771BF"/>
    <w:rsid w:val="00A77299"/>
    <w:rsid w:val="00A803C1"/>
    <w:rsid w:val="00A815B6"/>
    <w:rsid w:val="00A815F6"/>
    <w:rsid w:val="00A81953"/>
    <w:rsid w:val="00A823D7"/>
    <w:rsid w:val="00A827C9"/>
    <w:rsid w:val="00A8350D"/>
    <w:rsid w:val="00A85B31"/>
    <w:rsid w:val="00A861F3"/>
    <w:rsid w:val="00A86C48"/>
    <w:rsid w:val="00A90DB1"/>
    <w:rsid w:val="00A90FB8"/>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1178"/>
    <w:rsid w:val="00AA11BA"/>
    <w:rsid w:val="00AA2755"/>
    <w:rsid w:val="00AA2D62"/>
    <w:rsid w:val="00AA2E2C"/>
    <w:rsid w:val="00AA2E90"/>
    <w:rsid w:val="00AA3077"/>
    <w:rsid w:val="00AA375B"/>
    <w:rsid w:val="00AA38AF"/>
    <w:rsid w:val="00AA450C"/>
    <w:rsid w:val="00AA4B62"/>
    <w:rsid w:val="00AA5EB3"/>
    <w:rsid w:val="00AA6916"/>
    <w:rsid w:val="00AB040A"/>
    <w:rsid w:val="00AB110E"/>
    <w:rsid w:val="00AB11CF"/>
    <w:rsid w:val="00AB1287"/>
    <w:rsid w:val="00AB1CE8"/>
    <w:rsid w:val="00AB2655"/>
    <w:rsid w:val="00AB2F06"/>
    <w:rsid w:val="00AB4FFF"/>
    <w:rsid w:val="00AB5190"/>
    <w:rsid w:val="00AB5513"/>
    <w:rsid w:val="00AB5A0C"/>
    <w:rsid w:val="00AB6070"/>
    <w:rsid w:val="00AB6DFC"/>
    <w:rsid w:val="00AB7354"/>
    <w:rsid w:val="00AB7BFE"/>
    <w:rsid w:val="00AB7C46"/>
    <w:rsid w:val="00AB7DD5"/>
    <w:rsid w:val="00AC05D0"/>
    <w:rsid w:val="00AC3637"/>
    <w:rsid w:val="00AC3D4F"/>
    <w:rsid w:val="00AC3DB7"/>
    <w:rsid w:val="00AC4699"/>
    <w:rsid w:val="00AC5650"/>
    <w:rsid w:val="00AC59DF"/>
    <w:rsid w:val="00AC72C7"/>
    <w:rsid w:val="00AC7899"/>
    <w:rsid w:val="00AD13D6"/>
    <w:rsid w:val="00AD4087"/>
    <w:rsid w:val="00AD4E84"/>
    <w:rsid w:val="00AD629C"/>
    <w:rsid w:val="00AD6A21"/>
    <w:rsid w:val="00AD6BE0"/>
    <w:rsid w:val="00AD752F"/>
    <w:rsid w:val="00AE0C8D"/>
    <w:rsid w:val="00AE0E2A"/>
    <w:rsid w:val="00AE1411"/>
    <w:rsid w:val="00AE19B4"/>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190C"/>
    <w:rsid w:val="00B01C3F"/>
    <w:rsid w:val="00B02315"/>
    <w:rsid w:val="00B02BF0"/>
    <w:rsid w:val="00B02EA8"/>
    <w:rsid w:val="00B034DD"/>
    <w:rsid w:val="00B03AB4"/>
    <w:rsid w:val="00B05B91"/>
    <w:rsid w:val="00B06ED4"/>
    <w:rsid w:val="00B077CC"/>
    <w:rsid w:val="00B07A28"/>
    <w:rsid w:val="00B102E7"/>
    <w:rsid w:val="00B12A63"/>
    <w:rsid w:val="00B13397"/>
    <w:rsid w:val="00B1400D"/>
    <w:rsid w:val="00B147C9"/>
    <w:rsid w:val="00B15BB2"/>
    <w:rsid w:val="00B16EBE"/>
    <w:rsid w:val="00B20E3B"/>
    <w:rsid w:val="00B21D0E"/>
    <w:rsid w:val="00B22C57"/>
    <w:rsid w:val="00B23C76"/>
    <w:rsid w:val="00B23EEE"/>
    <w:rsid w:val="00B27298"/>
    <w:rsid w:val="00B27384"/>
    <w:rsid w:val="00B276E4"/>
    <w:rsid w:val="00B27A6D"/>
    <w:rsid w:val="00B309F9"/>
    <w:rsid w:val="00B30DAD"/>
    <w:rsid w:val="00B31782"/>
    <w:rsid w:val="00B32D93"/>
    <w:rsid w:val="00B3402E"/>
    <w:rsid w:val="00B360B7"/>
    <w:rsid w:val="00B36928"/>
    <w:rsid w:val="00B37293"/>
    <w:rsid w:val="00B4076A"/>
    <w:rsid w:val="00B413EB"/>
    <w:rsid w:val="00B428F3"/>
    <w:rsid w:val="00B42C20"/>
    <w:rsid w:val="00B43287"/>
    <w:rsid w:val="00B43864"/>
    <w:rsid w:val="00B43AD9"/>
    <w:rsid w:val="00B443D5"/>
    <w:rsid w:val="00B44482"/>
    <w:rsid w:val="00B450D9"/>
    <w:rsid w:val="00B46FF2"/>
    <w:rsid w:val="00B51B75"/>
    <w:rsid w:val="00B52AD3"/>
    <w:rsid w:val="00B539EB"/>
    <w:rsid w:val="00B54B76"/>
    <w:rsid w:val="00B55ECC"/>
    <w:rsid w:val="00B560E5"/>
    <w:rsid w:val="00B5610F"/>
    <w:rsid w:val="00B576E1"/>
    <w:rsid w:val="00B6088D"/>
    <w:rsid w:val="00B608F1"/>
    <w:rsid w:val="00B60F79"/>
    <w:rsid w:val="00B61158"/>
    <w:rsid w:val="00B6252C"/>
    <w:rsid w:val="00B62CBE"/>
    <w:rsid w:val="00B62EFD"/>
    <w:rsid w:val="00B63999"/>
    <w:rsid w:val="00B63B4A"/>
    <w:rsid w:val="00B63E1F"/>
    <w:rsid w:val="00B641C5"/>
    <w:rsid w:val="00B64F8D"/>
    <w:rsid w:val="00B6533C"/>
    <w:rsid w:val="00B65388"/>
    <w:rsid w:val="00B65FD8"/>
    <w:rsid w:val="00B6731A"/>
    <w:rsid w:val="00B673CA"/>
    <w:rsid w:val="00B70903"/>
    <w:rsid w:val="00B7108D"/>
    <w:rsid w:val="00B7117A"/>
    <w:rsid w:val="00B713F0"/>
    <w:rsid w:val="00B72053"/>
    <w:rsid w:val="00B733A9"/>
    <w:rsid w:val="00B73BEF"/>
    <w:rsid w:val="00B74530"/>
    <w:rsid w:val="00B7458C"/>
    <w:rsid w:val="00B74E4D"/>
    <w:rsid w:val="00B75D3F"/>
    <w:rsid w:val="00B75D4C"/>
    <w:rsid w:val="00B76F2C"/>
    <w:rsid w:val="00B77723"/>
    <w:rsid w:val="00B77863"/>
    <w:rsid w:val="00B801AC"/>
    <w:rsid w:val="00B815D3"/>
    <w:rsid w:val="00B8270D"/>
    <w:rsid w:val="00B827F1"/>
    <w:rsid w:val="00B82B33"/>
    <w:rsid w:val="00B8384C"/>
    <w:rsid w:val="00B843A1"/>
    <w:rsid w:val="00B8441F"/>
    <w:rsid w:val="00B854BE"/>
    <w:rsid w:val="00B85704"/>
    <w:rsid w:val="00B86421"/>
    <w:rsid w:val="00B866BF"/>
    <w:rsid w:val="00B868D6"/>
    <w:rsid w:val="00B86D0A"/>
    <w:rsid w:val="00B8748B"/>
    <w:rsid w:val="00B87B3F"/>
    <w:rsid w:val="00B90972"/>
    <w:rsid w:val="00B91818"/>
    <w:rsid w:val="00B922D6"/>
    <w:rsid w:val="00B92819"/>
    <w:rsid w:val="00B93E18"/>
    <w:rsid w:val="00B93E2C"/>
    <w:rsid w:val="00B94BE5"/>
    <w:rsid w:val="00B95B44"/>
    <w:rsid w:val="00B96069"/>
    <w:rsid w:val="00BA0A76"/>
    <w:rsid w:val="00BA11A9"/>
    <w:rsid w:val="00BA1642"/>
    <w:rsid w:val="00BA30C2"/>
    <w:rsid w:val="00BA31C6"/>
    <w:rsid w:val="00BA4B0A"/>
    <w:rsid w:val="00BA4FE7"/>
    <w:rsid w:val="00BA699B"/>
    <w:rsid w:val="00BA76AB"/>
    <w:rsid w:val="00BB0225"/>
    <w:rsid w:val="00BB0423"/>
    <w:rsid w:val="00BB1D73"/>
    <w:rsid w:val="00BB2CE4"/>
    <w:rsid w:val="00BB2D17"/>
    <w:rsid w:val="00BB2D1B"/>
    <w:rsid w:val="00BB42D2"/>
    <w:rsid w:val="00BB6ECF"/>
    <w:rsid w:val="00BB74B3"/>
    <w:rsid w:val="00BB777A"/>
    <w:rsid w:val="00BC06FE"/>
    <w:rsid w:val="00BC1765"/>
    <w:rsid w:val="00BC1FD6"/>
    <w:rsid w:val="00BC25D7"/>
    <w:rsid w:val="00BC320C"/>
    <w:rsid w:val="00BC4883"/>
    <w:rsid w:val="00BC5454"/>
    <w:rsid w:val="00BC5F7F"/>
    <w:rsid w:val="00BC74EE"/>
    <w:rsid w:val="00BC777E"/>
    <w:rsid w:val="00BD056C"/>
    <w:rsid w:val="00BD219A"/>
    <w:rsid w:val="00BD2C42"/>
    <w:rsid w:val="00BD2EF9"/>
    <w:rsid w:val="00BD2F1D"/>
    <w:rsid w:val="00BD3997"/>
    <w:rsid w:val="00BD5D7E"/>
    <w:rsid w:val="00BD6EF9"/>
    <w:rsid w:val="00BD754C"/>
    <w:rsid w:val="00BD764C"/>
    <w:rsid w:val="00BD78C6"/>
    <w:rsid w:val="00BE01E1"/>
    <w:rsid w:val="00BE07A5"/>
    <w:rsid w:val="00BE15DA"/>
    <w:rsid w:val="00BE19AD"/>
    <w:rsid w:val="00BE369C"/>
    <w:rsid w:val="00BE4FBC"/>
    <w:rsid w:val="00BE5B7C"/>
    <w:rsid w:val="00BE6DBE"/>
    <w:rsid w:val="00BE72FD"/>
    <w:rsid w:val="00BE733C"/>
    <w:rsid w:val="00BE73D4"/>
    <w:rsid w:val="00BE7AF2"/>
    <w:rsid w:val="00BE7D56"/>
    <w:rsid w:val="00BF1EF8"/>
    <w:rsid w:val="00BF25A9"/>
    <w:rsid w:val="00BF2DE5"/>
    <w:rsid w:val="00BF4429"/>
    <w:rsid w:val="00BF4C49"/>
    <w:rsid w:val="00BF4D1A"/>
    <w:rsid w:val="00BF5168"/>
    <w:rsid w:val="00BF51C9"/>
    <w:rsid w:val="00BF5A5B"/>
    <w:rsid w:val="00BF62DF"/>
    <w:rsid w:val="00BF6338"/>
    <w:rsid w:val="00BF6D56"/>
    <w:rsid w:val="00BF7EB2"/>
    <w:rsid w:val="00C00D03"/>
    <w:rsid w:val="00C00D9C"/>
    <w:rsid w:val="00C01DFC"/>
    <w:rsid w:val="00C0270E"/>
    <w:rsid w:val="00C0282B"/>
    <w:rsid w:val="00C03262"/>
    <w:rsid w:val="00C047A4"/>
    <w:rsid w:val="00C05013"/>
    <w:rsid w:val="00C067E0"/>
    <w:rsid w:val="00C0773D"/>
    <w:rsid w:val="00C1025D"/>
    <w:rsid w:val="00C11733"/>
    <w:rsid w:val="00C12CC1"/>
    <w:rsid w:val="00C12D93"/>
    <w:rsid w:val="00C12EE2"/>
    <w:rsid w:val="00C12EE5"/>
    <w:rsid w:val="00C1324B"/>
    <w:rsid w:val="00C139DE"/>
    <w:rsid w:val="00C13B55"/>
    <w:rsid w:val="00C13CB8"/>
    <w:rsid w:val="00C151CE"/>
    <w:rsid w:val="00C1561B"/>
    <w:rsid w:val="00C15BBB"/>
    <w:rsid w:val="00C16087"/>
    <w:rsid w:val="00C2092E"/>
    <w:rsid w:val="00C20F37"/>
    <w:rsid w:val="00C213FD"/>
    <w:rsid w:val="00C21C42"/>
    <w:rsid w:val="00C23520"/>
    <w:rsid w:val="00C24AE3"/>
    <w:rsid w:val="00C25082"/>
    <w:rsid w:val="00C2570A"/>
    <w:rsid w:val="00C265D4"/>
    <w:rsid w:val="00C26DC6"/>
    <w:rsid w:val="00C27447"/>
    <w:rsid w:val="00C275FC"/>
    <w:rsid w:val="00C30615"/>
    <w:rsid w:val="00C30715"/>
    <w:rsid w:val="00C30D84"/>
    <w:rsid w:val="00C3131B"/>
    <w:rsid w:val="00C317A7"/>
    <w:rsid w:val="00C33614"/>
    <w:rsid w:val="00C33AEC"/>
    <w:rsid w:val="00C357CB"/>
    <w:rsid w:val="00C35C8E"/>
    <w:rsid w:val="00C36B1D"/>
    <w:rsid w:val="00C3742C"/>
    <w:rsid w:val="00C410D2"/>
    <w:rsid w:val="00C41363"/>
    <w:rsid w:val="00C42A78"/>
    <w:rsid w:val="00C437D6"/>
    <w:rsid w:val="00C4471B"/>
    <w:rsid w:val="00C45C94"/>
    <w:rsid w:val="00C4601D"/>
    <w:rsid w:val="00C46612"/>
    <w:rsid w:val="00C509D2"/>
    <w:rsid w:val="00C51CCA"/>
    <w:rsid w:val="00C523ED"/>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4FAE"/>
    <w:rsid w:val="00C66344"/>
    <w:rsid w:val="00C66EDC"/>
    <w:rsid w:val="00C674F7"/>
    <w:rsid w:val="00C67D05"/>
    <w:rsid w:val="00C714EE"/>
    <w:rsid w:val="00C731E1"/>
    <w:rsid w:val="00C73883"/>
    <w:rsid w:val="00C7443F"/>
    <w:rsid w:val="00C745D7"/>
    <w:rsid w:val="00C7702A"/>
    <w:rsid w:val="00C7732F"/>
    <w:rsid w:val="00C773C8"/>
    <w:rsid w:val="00C80A25"/>
    <w:rsid w:val="00C80E5E"/>
    <w:rsid w:val="00C82930"/>
    <w:rsid w:val="00C82C9E"/>
    <w:rsid w:val="00C841BF"/>
    <w:rsid w:val="00C84F61"/>
    <w:rsid w:val="00C8531E"/>
    <w:rsid w:val="00C85560"/>
    <w:rsid w:val="00C85A3E"/>
    <w:rsid w:val="00C85A50"/>
    <w:rsid w:val="00C85B6C"/>
    <w:rsid w:val="00C85ECE"/>
    <w:rsid w:val="00C86BFE"/>
    <w:rsid w:val="00C86D8A"/>
    <w:rsid w:val="00C86FF3"/>
    <w:rsid w:val="00C87E2F"/>
    <w:rsid w:val="00C900B0"/>
    <w:rsid w:val="00C9080B"/>
    <w:rsid w:val="00C90EA7"/>
    <w:rsid w:val="00C90EF9"/>
    <w:rsid w:val="00C9146C"/>
    <w:rsid w:val="00C91711"/>
    <w:rsid w:val="00C91A95"/>
    <w:rsid w:val="00C92931"/>
    <w:rsid w:val="00C92949"/>
    <w:rsid w:val="00C9312F"/>
    <w:rsid w:val="00C94499"/>
    <w:rsid w:val="00C9491A"/>
    <w:rsid w:val="00C94BE9"/>
    <w:rsid w:val="00C95701"/>
    <w:rsid w:val="00C95DD7"/>
    <w:rsid w:val="00C95ED6"/>
    <w:rsid w:val="00C96BBB"/>
    <w:rsid w:val="00CA04D5"/>
    <w:rsid w:val="00CA0F7D"/>
    <w:rsid w:val="00CA1AC8"/>
    <w:rsid w:val="00CA1FB0"/>
    <w:rsid w:val="00CA24D1"/>
    <w:rsid w:val="00CA2AD9"/>
    <w:rsid w:val="00CA39CC"/>
    <w:rsid w:val="00CA3C11"/>
    <w:rsid w:val="00CA403D"/>
    <w:rsid w:val="00CA4743"/>
    <w:rsid w:val="00CA57FE"/>
    <w:rsid w:val="00CA5FF6"/>
    <w:rsid w:val="00CA6F32"/>
    <w:rsid w:val="00CA735E"/>
    <w:rsid w:val="00CB01B1"/>
    <w:rsid w:val="00CB138F"/>
    <w:rsid w:val="00CB13CF"/>
    <w:rsid w:val="00CB13E0"/>
    <w:rsid w:val="00CB199A"/>
    <w:rsid w:val="00CB2282"/>
    <w:rsid w:val="00CB2F02"/>
    <w:rsid w:val="00CB44CC"/>
    <w:rsid w:val="00CB4522"/>
    <w:rsid w:val="00CB76B8"/>
    <w:rsid w:val="00CB7703"/>
    <w:rsid w:val="00CB77EE"/>
    <w:rsid w:val="00CB783B"/>
    <w:rsid w:val="00CB7AE2"/>
    <w:rsid w:val="00CC1C1E"/>
    <w:rsid w:val="00CC2611"/>
    <w:rsid w:val="00CC2803"/>
    <w:rsid w:val="00CC295E"/>
    <w:rsid w:val="00CC48D6"/>
    <w:rsid w:val="00CC4B7F"/>
    <w:rsid w:val="00CC544C"/>
    <w:rsid w:val="00CC559E"/>
    <w:rsid w:val="00CC707F"/>
    <w:rsid w:val="00CC708A"/>
    <w:rsid w:val="00CC79CD"/>
    <w:rsid w:val="00CD0365"/>
    <w:rsid w:val="00CD1447"/>
    <w:rsid w:val="00CD1841"/>
    <w:rsid w:val="00CD1BF1"/>
    <w:rsid w:val="00CD1D2E"/>
    <w:rsid w:val="00CD27CD"/>
    <w:rsid w:val="00CD4BF8"/>
    <w:rsid w:val="00CD52CD"/>
    <w:rsid w:val="00CD652E"/>
    <w:rsid w:val="00CD6828"/>
    <w:rsid w:val="00CD685C"/>
    <w:rsid w:val="00CD68DD"/>
    <w:rsid w:val="00CD7B8B"/>
    <w:rsid w:val="00CE01F8"/>
    <w:rsid w:val="00CE0D43"/>
    <w:rsid w:val="00CE19B6"/>
    <w:rsid w:val="00CE24B9"/>
    <w:rsid w:val="00CE2B04"/>
    <w:rsid w:val="00CE3E8B"/>
    <w:rsid w:val="00CE47DC"/>
    <w:rsid w:val="00CE5298"/>
    <w:rsid w:val="00CE5322"/>
    <w:rsid w:val="00CE58EB"/>
    <w:rsid w:val="00CE6939"/>
    <w:rsid w:val="00CE705F"/>
    <w:rsid w:val="00CE745E"/>
    <w:rsid w:val="00CF0041"/>
    <w:rsid w:val="00CF0D4B"/>
    <w:rsid w:val="00CF2605"/>
    <w:rsid w:val="00CF2804"/>
    <w:rsid w:val="00CF35B2"/>
    <w:rsid w:val="00CF36C4"/>
    <w:rsid w:val="00CF38D4"/>
    <w:rsid w:val="00CF5C07"/>
    <w:rsid w:val="00CF5CFC"/>
    <w:rsid w:val="00D00272"/>
    <w:rsid w:val="00D00AF5"/>
    <w:rsid w:val="00D00E75"/>
    <w:rsid w:val="00D00EE2"/>
    <w:rsid w:val="00D01917"/>
    <w:rsid w:val="00D01EBC"/>
    <w:rsid w:val="00D036AC"/>
    <w:rsid w:val="00D03DE1"/>
    <w:rsid w:val="00D03EDD"/>
    <w:rsid w:val="00D03EEF"/>
    <w:rsid w:val="00D04F08"/>
    <w:rsid w:val="00D050BB"/>
    <w:rsid w:val="00D058B9"/>
    <w:rsid w:val="00D07010"/>
    <w:rsid w:val="00D07087"/>
    <w:rsid w:val="00D07A1B"/>
    <w:rsid w:val="00D07E2A"/>
    <w:rsid w:val="00D11666"/>
    <w:rsid w:val="00D11D07"/>
    <w:rsid w:val="00D138F2"/>
    <w:rsid w:val="00D1489F"/>
    <w:rsid w:val="00D159F8"/>
    <w:rsid w:val="00D15DD2"/>
    <w:rsid w:val="00D16E55"/>
    <w:rsid w:val="00D16ECF"/>
    <w:rsid w:val="00D17564"/>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DF4"/>
    <w:rsid w:val="00D26113"/>
    <w:rsid w:val="00D27131"/>
    <w:rsid w:val="00D30B0E"/>
    <w:rsid w:val="00D31AD0"/>
    <w:rsid w:val="00D31BBD"/>
    <w:rsid w:val="00D34305"/>
    <w:rsid w:val="00D34E83"/>
    <w:rsid w:val="00D35189"/>
    <w:rsid w:val="00D352D0"/>
    <w:rsid w:val="00D37354"/>
    <w:rsid w:val="00D404B1"/>
    <w:rsid w:val="00D4104F"/>
    <w:rsid w:val="00D43988"/>
    <w:rsid w:val="00D4707E"/>
    <w:rsid w:val="00D47238"/>
    <w:rsid w:val="00D4762C"/>
    <w:rsid w:val="00D47867"/>
    <w:rsid w:val="00D47B4E"/>
    <w:rsid w:val="00D47EAF"/>
    <w:rsid w:val="00D50B2A"/>
    <w:rsid w:val="00D51517"/>
    <w:rsid w:val="00D52D4A"/>
    <w:rsid w:val="00D52D7F"/>
    <w:rsid w:val="00D53034"/>
    <w:rsid w:val="00D538B0"/>
    <w:rsid w:val="00D541A8"/>
    <w:rsid w:val="00D55A05"/>
    <w:rsid w:val="00D562A8"/>
    <w:rsid w:val="00D61A9F"/>
    <w:rsid w:val="00D61EDD"/>
    <w:rsid w:val="00D628AF"/>
    <w:rsid w:val="00D6294B"/>
    <w:rsid w:val="00D654F8"/>
    <w:rsid w:val="00D66697"/>
    <w:rsid w:val="00D676B3"/>
    <w:rsid w:val="00D6787A"/>
    <w:rsid w:val="00D67ACA"/>
    <w:rsid w:val="00D67F69"/>
    <w:rsid w:val="00D70FAD"/>
    <w:rsid w:val="00D71103"/>
    <w:rsid w:val="00D71213"/>
    <w:rsid w:val="00D713E4"/>
    <w:rsid w:val="00D72FAD"/>
    <w:rsid w:val="00D7314F"/>
    <w:rsid w:val="00D73259"/>
    <w:rsid w:val="00D732D3"/>
    <w:rsid w:val="00D73678"/>
    <w:rsid w:val="00D73AF1"/>
    <w:rsid w:val="00D73E64"/>
    <w:rsid w:val="00D74504"/>
    <w:rsid w:val="00D74639"/>
    <w:rsid w:val="00D74926"/>
    <w:rsid w:val="00D75407"/>
    <w:rsid w:val="00D75449"/>
    <w:rsid w:val="00D7563E"/>
    <w:rsid w:val="00D76E21"/>
    <w:rsid w:val="00D770D5"/>
    <w:rsid w:val="00D809B7"/>
    <w:rsid w:val="00D812A9"/>
    <w:rsid w:val="00D813B0"/>
    <w:rsid w:val="00D8141C"/>
    <w:rsid w:val="00D81A57"/>
    <w:rsid w:val="00D81A98"/>
    <w:rsid w:val="00D8269A"/>
    <w:rsid w:val="00D82962"/>
    <w:rsid w:val="00D82A4C"/>
    <w:rsid w:val="00D830B5"/>
    <w:rsid w:val="00D83A65"/>
    <w:rsid w:val="00D846CF"/>
    <w:rsid w:val="00D84999"/>
    <w:rsid w:val="00D85683"/>
    <w:rsid w:val="00D86D21"/>
    <w:rsid w:val="00D8772B"/>
    <w:rsid w:val="00D9031D"/>
    <w:rsid w:val="00D90824"/>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0A19"/>
    <w:rsid w:val="00DA16AA"/>
    <w:rsid w:val="00DA28A7"/>
    <w:rsid w:val="00DA2BB0"/>
    <w:rsid w:val="00DA2FCA"/>
    <w:rsid w:val="00DA348E"/>
    <w:rsid w:val="00DA373A"/>
    <w:rsid w:val="00DA4A4E"/>
    <w:rsid w:val="00DA59D2"/>
    <w:rsid w:val="00DA5A9C"/>
    <w:rsid w:val="00DA5F60"/>
    <w:rsid w:val="00DA6E9D"/>
    <w:rsid w:val="00DA6FF3"/>
    <w:rsid w:val="00DB0066"/>
    <w:rsid w:val="00DB0F33"/>
    <w:rsid w:val="00DB1595"/>
    <w:rsid w:val="00DB297D"/>
    <w:rsid w:val="00DB2B7E"/>
    <w:rsid w:val="00DB2BA7"/>
    <w:rsid w:val="00DB2F6C"/>
    <w:rsid w:val="00DB345D"/>
    <w:rsid w:val="00DB5719"/>
    <w:rsid w:val="00DB624E"/>
    <w:rsid w:val="00DB65FF"/>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E02"/>
    <w:rsid w:val="00DD45AF"/>
    <w:rsid w:val="00DD5654"/>
    <w:rsid w:val="00DD5E57"/>
    <w:rsid w:val="00DD60E3"/>
    <w:rsid w:val="00DD7F9B"/>
    <w:rsid w:val="00DE1C74"/>
    <w:rsid w:val="00DE1CCF"/>
    <w:rsid w:val="00DE3385"/>
    <w:rsid w:val="00DE3CA1"/>
    <w:rsid w:val="00DE4007"/>
    <w:rsid w:val="00DE4053"/>
    <w:rsid w:val="00DE4638"/>
    <w:rsid w:val="00DE4651"/>
    <w:rsid w:val="00DE4FEE"/>
    <w:rsid w:val="00DE534A"/>
    <w:rsid w:val="00DE55FD"/>
    <w:rsid w:val="00DE5637"/>
    <w:rsid w:val="00DE60A8"/>
    <w:rsid w:val="00DE7265"/>
    <w:rsid w:val="00DE7525"/>
    <w:rsid w:val="00DE787B"/>
    <w:rsid w:val="00DE7C1C"/>
    <w:rsid w:val="00DF0111"/>
    <w:rsid w:val="00DF01E6"/>
    <w:rsid w:val="00DF14DF"/>
    <w:rsid w:val="00DF2247"/>
    <w:rsid w:val="00DF2353"/>
    <w:rsid w:val="00DF3AB2"/>
    <w:rsid w:val="00DF4116"/>
    <w:rsid w:val="00DF5129"/>
    <w:rsid w:val="00DF5784"/>
    <w:rsid w:val="00DF58B8"/>
    <w:rsid w:val="00DF5FF8"/>
    <w:rsid w:val="00DF6EE5"/>
    <w:rsid w:val="00DF7E7E"/>
    <w:rsid w:val="00E0077B"/>
    <w:rsid w:val="00E00898"/>
    <w:rsid w:val="00E03634"/>
    <w:rsid w:val="00E050B6"/>
    <w:rsid w:val="00E0557E"/>
    <w:rsid w:val="00E05980"/>
    <w:rsid w:val="00E05D14"/>
    <w:rsid w:val="00E0628E"/>
    <w:rsid w:val="00E06460"/>
    <w:rsid w:val="00E073CF"/>
    <w:rsid w:val="00E07997"/>
    <w:rsid w:val="00E07A6A"/>
    <w:rsid w:val="00E07EB8"/>
    <w:rsid w:val="00E107B2"/>
    <w:rsid w:val="00E10EB1"/>
    <w:rsid w:val="00E114CF"/>
    <w:rsid w:val="00E120E4"/>
    <w:rsid w:val="00E13636"/>
    <w:rsid w:val="00E149F4"/>
    <w:rsid w:val="00E14A90"/>
    <w:rsid w:val="00E16CF1"/>
    <w:rsid w:val="00E17F53"/>
    <w:rsid w:val="00E20354"/>
    <w:rsid w:val="00E207DB"/>
    <w:rsid w:val="00E20BB5"/>
    <w:rsid w:val="00E21F5A"/>
    <w:rsid w:val="00E221D8"/>
    <w:rsid w:val="00E234F1"/>
    <w:rsid w:val="00E23ACB"/>
    <w:rsid w:val="00E23BDA"/>
    <w:rsid w:val="00E25124"/>
    <w:rsid w:val="00E261F8"/>
    <w:rsid w:val="00E26E25"/>
    <w:rsid w:val="00E27DF3"/>
    <w:rsid w:val="00E3110A"/>
    <w:rsid w:val="00E319DC"/>
    <w:rsid w:val="00E324AD"/>
    <w:rsid w:val="00E3342D"/>
    <w:rsid w:val="00E33683"/>
    <w:rsid w:val="00E33734"/>
    <w:rsid w:val="00E33F82"/>
    <w:rsid w:val="00E34AA9"/>
    <w:rsid w:val="00E36A4F"/>
    <w:rsid w:val="00E376C4"/>
    <w:rsid w:val="00E37D5F"/>
    <w:rsid w:val="00E429A0"/>
    <w:rsid w:val="00E42D39"/>
    <w:rsid w:val="00E44CD4"/>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BB7"/>
    <w:rsid w:val="00E64EEE"/>
    <w:rsid w:val="00E66F49"/>
    <w:rsid w:val="00E721A9"/>
    <w:rsid w:val="00E73549"/>
    <w:rsid w:val="00E7484F"/>
    <w:rsid w:val="00E74861"/>
    <w:rsid w:val="00E74B50"/>
    <w:rsid w:val="00E74EC9"/>
    <w:rsid w:val="00E75572"/>
    <w:rsid w:val="00E75733"/>
    <w:rsid w:val="00E75A9D"/>
    <w:rsid w:val="00E77754"/>
    <w:rsid w:val="00E80CF7"/>
    <w:rsid w:val="00E80FB4"/>
    <w:rsid w:val="00E81B8E"/>
    <w:rsid w:val="00E81ED7"/>
    <w:rsid w:val="00E8369B"/>
    <w:rsid w:val="00E8377F"/>
    <w:rsid w:val="00E83850"/>
    <w:rsid w:val="00E85244"/>
    <w:rsid w:val="00E85A96"/>
    <w:rsid w:val="00E86159"/>
    <w:rsid w:val="00E86741"/>
    <w:rsid w:val="00E87653"/>
    <w:rsid w:val="00E87AE4"/>
    <w:rsid w:val="00E90A5A"/>
    <w:rsid w:val="00E90C1F"/>
    <w:rsid w:val="00E9124A"/>
    <w:rsid w:val="00E9222C"/>
    <w:rsid w:val="00E9296D"/>
    <w:rsid w:val="00E92AA5"/>
    <w:rsid w:val="00E94509"/>
    <w:rsid w:val="00E94A0D"/>
    <w:rsid w:val="00E9558B"/>
    <w:rsid w:val="00E95A44"/>
    <w:rsid w:val="00E95D1B"/>
    <w:rsid w:val="00E969A4"/>
    <w:rsid w:val="00E9735C"/>
    <w:rsid w:val="00EA0266"/>
    <w:rsid w:val="00EA234B"/>
    <w:rsid w:val="00EA274B"/>
    <w:rsid w:val="00EA2EFA"/>
    <w:rsid w:val="00EA3184"/>
    <w:rsid w:val="00EA3732"/>
    <w:rsid w:val="00EA3794"/>
    <w:rsid w:val="00EA3CDD"/>
    <w:rsid w:val="00EA4124"/>
    <w:rsid w:val="00EA42EB"/>
    <w:rsid w:val="00EA5028"/>
    <w:rsid w:val="00EA50D6"/>
    <w:rsid w:val="00EA5714"/>
    <w:rsid w:val="00EA5E70"/>
    <w:rsid w:val="00EA60EF"/>
    <w:rsid w:val="00EA6A30"/>
    <w:rsid w:val="00EA6A41"/>
    <w:rsid w:val="00EA73C4"/>
    <w:rsid w:val="00EA7662"/>
    <w:rsid w:val="00EA7CC3"/>
    <w:rsid w:val="00EB016F"/>
    <w:rsid w:val="00EB04F4"/>
    <w:rsid w:val="00EB05E3"/>
    <w:rsid w:val="00EB212C"/>
    <w:rsid w:val="00EB2216"/>
    <w:rsid w:val="00EB27D1"/>
    <w:rsid w:val="00EB33F4"/>
    <w:rsid w:val="00EB3B9C"/>
    <w:rsid w:val="00EB40E0"/>
    <w:rsid w:val="00EB4C04"/>
    <w:rsid w:val="00EB6502"/>
    <w:rsid w:val="00EB7D9C"/>
    <w:rsid w:val="00EC01F0"/>
    <w:rsid w:val="00EC1406"/>
    <w:rsid w:val="00EC1526"/>
    <w:rsid w:val="00EC23F3"/>
    <w:rsid w:val="00EC2677"/>
    <w:rsid w:val="00EC2AB5"/>
    <w:rsid w:val="00EC36F2"/>
    <w:rsid w:val="00EC4B79"/>
    <w:rsid w:val="00EC4F33"/>
    <w:rsid w:val="00EC7E82"/>
    <w:rsid w:val="00ED0785"/>
    <w:rsid w:val="00ED0B81"/>
    <w:rsid w:val="00ED19B3"/>
    <w:rsid w:val="00ED1A64"/>
    <w:rsid w:val="00ED28DD"/>
    <w:rsid w:val="00ED421C"/>
    <w:rsid w:val="00ED43A6"/>
    <w:rsid w:val="00ED4E89"/>
    <w:rsid w:val="00ED502A"/>
    <w:rsid w:val="00ED69B3"/>
    <w:rsid w:val="00ED6AF3"/>
    <w:rsid w:val="00ED6FB9"/>
    <w:rsid w:val="00ED7371"/>
    <w:rsid w:val="00ED7E2F"/>
    <w:rsid w:val="00ED7EA8"/>
    <w:rsid w:val="00EE1162"/>
    <w:rsid w:val="00EE1313"/>
    <w:rsid w:val="00EE2126"/>
    <w:rsid w:val="00EE2FBF"/>
    <w:rsid w:val="00EE3363"/>
    <w:rsid w:val="00EE3725"/>
    <w:rsid w:val="00EE3F3C"/>
    <w:rsid w:val="00EE4C7E"/>
    <w:rsid w:val="00EE556D"/>
    <w:rsid w:val="00EE60A2"/>
    <w:rsid w:val="00EE6184"/>
    <w:rsid w:val="00EE679C"/>
    <w:rsid w:val="00EE686B"/>
    <w:rsid w:val="00EE7596"/>
    <w:rsid w:val="00EE7A2C"/>
    <w:rsid w:val="00EF06D3"/>
    <w:rsid w:val="00EF09D3"/>
    <w:rsid w:val="00EF108A"/>
    <w:rsid w:val="00EF1240"/>
    <w:rsid w:val="00EF1F75"/>
    <w:rsid w:val="00EF2240"/>
    <w:rsid w:val="00EF297A"/>
    <w:rsid w:val="00EF3069"/>
    <w:rsid w:val="00EF31A5"/>
    <w:rsid w:val="00EF3742"/>
    <w:rsid w:val="00EF3EB5"/>
    <w:rsid w:val="00EF57B9"/>
    <w:rsid w:val="00EF57DF"/>
    <w:rsid w:val="00EF632B"/>
    <w:rsid w:val="00EF6556"/>
    <w:rsid w:val="00EF689A"/>
    <w:rsid w:val="00F02BAD"/>
    <w:rsid w:val="00F0319D"/>
    <w:rsid w:val="00F07050"/>
    <w:rsid w:val="00F07890"/>
    <w:rsid w:val="00F07A4C"/>
    <w:rsid w:val="00F07B03"/>
    <w:rsid w:val="00F115A2"/>
    <w:rsid w:val="00F11635"/>
    <w:rsid w:val="00F11928"/>
    <w:rsid w:val="00F12D86"/>
    <w:rsid w:val="00F131AA"/>
    <w:rsid w:val="00F131FD"/>
    <w:rsid w:val="00F1350B"/>
    <w:rsid w:val="00F13B05"/>
    <w:rsid w:val="00F13B5A"/>
    <w:rsid w:val="00F13EED"/>
    <w:rsid w:val="00F15AF2"/>
    <w:rsid w:val="00F21290"/>
    <w:rsid w:val="00F2299F"/>
    <w:rsid w:val="00F231F0"/>
    <w:rsid w:val="00F24787"/>
    <w:rsid w:val="00F25311"/>
    <w:rsid w:val="00F259A5"/>
    <w:rsid w:val="00F263E5"/>
    <w:rsid w:val="00F301E0"/>
    <w:rsid w:val="00F307CC"/>
    <w:rsid w:val="00F30BBA"/>
    <w:rsid w:val="00F31630"/>
    <w:rsid w:val="00F31A8F"/>
    <w:rsid w:val="00F320C0"/>
    <w:rsid w:val="00F32C7D"/>
    <w:rsid w:val="00F32D63"/>
    <w:rsid w:val="00F33C8D"/>
    <w:rsid w:val="00F34012"/>
    <w:rsid w:val="00F343A3"/>
    <w:rsid w:val="00F34C99"/>
    <w:rsid w:val="00F3531A"/>
    <w:rsid w:val="00F353E8"/>
    <w:rsid w:val="00F35AB2"/>
    <w:rsid w:val="00F400FB"/>
    <w:rsid w:val="00F41DB0"/>
    <w:rsid w:val="00F43631"/>
    <w:rsid w:val="00F43947"/>
    <w:rsid w:val="00F439BB"/>
    <w:rsid w:val="00F43CEB"/>
    <w:rsid w:val="00F449D7"/>
    <w:rsid w:val="00F460C4"/>
    <w:rsid w:val="00F461AE"/>
    <w:rsid w:val="00F467F9"/>
    <w:rsid w:val="00F47426"/>
    <w:rsid w:val="00F50D6C"/>
    <w:rsid w:val="00F5184D"/>
    <w:rsid w:val="00F51B88"/>
    <w:rsid w:val="00F51CB2"/>
    <w:rsid w:val="00F534D3"/>
    <w:rsid w:val="00F5421D"/>
    <w:rsid w:val="00F55022"/>
    <w:rsid w:val="00F55184"/>
    <w:rsid w:val="00F5704A"/>
    <w:rsid w:val="00F60DF3"/>
    <w:rsid w:val="00F62057"/>
    <w:rsid w:val="00F62597"/>
    <w:rsid w:val="00F6264B"/>
    <w:rsid w:val="00F6290C"/>
    <w:rsid w:val="00F646C8"/>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1A48"/>
    <w:rsid w:val="00F82021"/>
    <w:rsid w:val="00F82080"/>
    <w:rsid w:val="00F82A7B"/>
    <w:rsid w:val="00F8476C"/>
    <w:rsid w:val="00F850A1"/>
    <w:rsid w:val="00F85CBD"/>
    <w:rsid w:val="00F87810"/>
    <w:rsid w:val="00F905B8"/>
    <w:rsid w:val="00F91164"/>
    <w:rsid w:val="00F91292"/>
    <w:rsid w:val="00F91BFE"/>
    <w:rsid w:val="00F91D47"/>
    <w:rsid w:val="00F92B0F"/>
    <w:rsid w:val="00F9354E"/>
    <w:rsid w:val="00F941FC"/>
    <w:rsid w:val="00F96D24"/>
    <w:rsid w:val="00F97093"/>
    <w:rsid w:val="00F97FF3"/>
    <w:rsid w:val="00FA0091"/>
    <w:rsid w:val="00FA1AA9"/>
    <w:rsid w:val="00FA2C8B"/>
    <w:rsid w:val="00FA3E0C"/>
    <w:rsid w:val="00FA4DBA"/>
    <w:rsid w:val="00FA4FBA"/>
    <w:rsid w:val="00FA5580"/>
    <w:rsid w:val="00FA655A"/>
    <w:rsid w:val="00FA69C3"/>
    <w:rsid w:val="00FA6AAC"/>
    <w:rsid w:val="00FA6CBC"/>
    <w:rsid w:val="00FA6D48"/>
    <w:rsid w:val="00FA7027"/>
    <w:rsid w:val="00FA7775"/>
    <w:rsid w:val="00FA7EC0"/>
    <w:rsid w:val="00FB1729"/>
    <w:rsid w:val="00FB30A2"/>
    <w:rsid w:val="00FB4993"/>
    <w:rsid w:val="00FC072E"/>
    <w:rsid w:val="00FC1364"/>
    <w:rsid w:val="00FC4323"/>
    <w:rsid w:val="00FC51AE"/>
    <w:rsid w:val="00FC550A"/>
    <w:rsid w:val="00FC551E"/>
    <w:rsid w:val="00FC5790"/>
    <w:rsid w:val="00FC6275"/>
    <w:rsid w:val="00FD039F"/>
    <w:rsid w:val="00FD053B"/>
    <w:rsid w:val="00FD0910"/>
    <w:rsid w:val="00FD0A92"/>
    <w:rsid w:val="00FD0AF0"/>
    <w:rsid w:val="00FD1234"/>
    <w:rsid w:val="00FD18F3"/>
    <w:rsid w:val="00FD194F"/>
    <w:rsid w:val="00FD1995"/>
    <w:rsid w:val="00FD2333"/>
    <w:rsid w:val="00FD25E1"/>
    <w:rsid w:val="00FD4A75"/>
    <w:rsid w:val="00FD54E6"/>
    <w:rsid w:val="00FD5688"/>
    <w:rsid w:val="00FD5725"/>
    <w:rsid w:val="00FD5E1C"/>
    <w:rsid w:val="00FD5F36"/>
    <w:rsid w:val="00FD6624"/>
    <w:rsid w:val="00FD7F6B"/>
    <w:rsid w:val="00FE0948"/>
    <w:rsid w:val="00FE1880"/>
    <w:rsid w:val="00FE3256"/>
    <w:rsid w:val="00FE3F8E"/>
    <w:rsid w:val="00FE445D"/>
    <w:rsid w:val="00FE47ED"/>
    <w:rsid w:val="00FE5101"/>
    <w:rsid w:val="00FE61DC"/>
    <w:rsid w:val="00FE67D0"/>
    <w:rsid w:val="00FE689B"/>
    <w:rsid w:val="00FE7081"/>
    <w:rsid w:val="00FE79CE"/>
    <w:rsid w:val="00FF06FA"/>
    <w:rsid w:val="00FF081E"/>
    <w:rsid w:val="00FF145C"/>
    <w:rsid w:val="00FF26EE"/>
    <w:rsid w:val="00FF28EC"/>
    <w:rsid w:val="00FF2AA0"/>
    <w:rsid w:val="00FF47A3"/>
    <w:rsid w:val="00FF4B3F"/>
    <w:rsid w:val="00FF4B43"/>
    <w:rsid w:val="00FF574F"/>
    <w:rsid w:val="011E42FB"/>
    <w:rsid w:val="012146C6"/>
    <w:rsid w:val="014024E9"/>
    <w:rsid w:val="015D35F5"/>
    <w:rsid w:val="01717E31"/>
    <w:rsid w:val="01E55D35"/>
    <w:rsid w:val="01F72B36"/>
    <w:rsid w:val="02095687"/>
    <w:rsid w:val="02743188"/>
    <w:rsid w:val="02AC10D3"/>
    <w:rsid w:val="034033B2"/>
    <w:rsid w:val="03B866D0"/>
    <w:rsid w:val="03C40B3F"/>
    <w:rsid w:val="03E11E16"/>
    <w:rsid w:val="04833B9D"/>
    <w:rsid w:val="04E22DDD"/>
    <w:rsid w:val="04FC5581"/>
    <w:rsid w:val="05117A0C"/>
    <w:rsid w:val="05821997"/>
    <w:rsid w:val="05891928"/>
    <w:rsid w:val="05BF24C9"/>
    <w:rsid w:val="05DF0DF0"/>
    <w:rsid w:val="06C559AF"/>
    <w:rsid w:val="0775586D"/>
    <w:rsid w:val="081C64DD"/>
    <w:rsid w:val="083E1B6F"/>
    <w:rsid w:val="08435461"/>
    <w:rsid w:val="08435AFA"/>
    <w:rsid w:val="090C7C1B"/>
    <w:rsid w:val="0929095D"/>
    <w:rsid w:val="09493091"/>
    <w:rsid w:val="09B74C81"/>
    <w:rsid w:val="0A914C01"/>
    <w:rsid w:val="0AD31787"/>
    <w:rsid w:val="0AF96D6A"/>
    <w:rsid w:val="0B912479"/>
    <w:rsid w:val="0B9B55A1"/>
    <w:rsid w:val="0BCC39BB"/>
    <w:rsid w:val="0C2520CA"/>
    <w:rsid w:val="0C4C5587"/>
    <w:rsid w:val="0C7777A9"/>
    <w:rsid w:val="0D490A8D"/>
    <w:rsid w:val="0DC93D4A"/>
    <w:rsid w:val="0E5643EF"/>
    <w:rsid w:val="0E5C6181"/>
    <w:rsid w:val="0E6E6F80"/>
    <w:rsid w:val="0E7E13A1"/>
    <w:rsid w:val="0EFB75CE"/>
    <w:rsid w:val="0F7A7451"/>
    <w:rsid w:val="0FF94323"/>
    <w:rsid w:val="10080685"/>
    <w:rsid w:val="10512115"/>
    <w:rsid w:val="107A34BF"/>
    <w:rsid w:val="107A51CD"/>
    <w:rsid w:val="108D4A90"/>
    <w:rsid w:val="10993984"/>
    <w:rsid w:val="10E376EA"/>
    <w:rsid w:val="10E67EAB"/>
    <w:rsid w:val="11925F20"/>
    <w:rsid w:val="11C91423"/>
    <w:rsid w:val="123821EC"/>
    <w:rsid w:val="12D70AFF"/>
    <w:rsid w:val="12E96032"/>
    <w:rsid w:val="12EC0F8D"/>
    <w:rsid w:val="13D4431F"/>
    <w:rsid w:val="14A17474"/>
    <w:rsid w:val="151D38BF"/>
    <w:rsid w:val="15265EBE"/>
    <w:rsid w:val="15BA18F1"/>
    <w:rsid w:val="15BF1762"/>
    <w:rsid w:val="160650C5"/>
    <w:rsid w:val="161A1EE6"/>
    <w:rsid w:val="16BA40A9"/>
    <w:rsid w:val="16E54E7B"/>
    <w:rsid w:val="16F47498"/>
    <w:rsid w:val="17051BB8"/>
    <w:rsid w:val="171338FD"/>
    <w:rsid w:val="175C01F8"/>
    <w:rsid w:val="17727A45"/>
    <w:rsid w:val="181638D8"/>
    <w:rsid w:val="18841AD7"/>
    <w:rsid w:val="18A015D3"/>
    <w:rsid w:val="19743955"/>
    <w:rsid w:val="198859A8"/>
    <w:rsid w:val="198E1224"/>
    <w:rsid w:val="19B1604A"/>
    <w:rsid w:val="19B95C26"/>
    <w:rsid w:val="19E46AD9"/>
    <w:rsid w:val="1A126E19"/>
    <w:rsid w:val="1A4D0F5B"/>
    <w:rsid w:val="1A612954"/>
    <w:rsid w:val="1A652503"/>
    <w:rsid w:val="1A88002F"/>
    <w:rsid w:val="1AC668AF"/>
    <w:rsid w:val="1B325F2A"/>
    <w:rsid w:val="1B3A138A"/>
    <w:rsid w:val="1B62301A"/>
    <w:rsid w:val="1C1F1E0E"/>
    <w:rsid w:val="1CF12935"/>
    <w:rsid w:val="1D190873"/>
    <w:rsid w:val="1D4B710C"/>
    <w:rsid w:val="1DA1240A"/>
    <w:rsid w:val="1E330E9C"/>
    <w:rsid w:val="1E340CEE"/>
    <w:rsid w:val="1E9C6591"/>
    <w:rsid w:val="1F1B0776"/>
    <w:rsid w:val="1F507A92"/>
    <w:rsid w:val="1FD21930"/>
    <w:rsid w:val="20043B19"/>
    <w:rsid w:val="20163076"/>
    <w:rsid w:val="20D17B68"/>
    <w:rsid w:val="2112344B"/>
    <w:rsid w:val="21481A39"/>
    <w:rsid w:val="219A1B7F"/>
    <w:rsid w:val="21B22A5C"/>
    <w:rsid w:val="21E65C8F"/>
    <w:rsid w:val="22D61F72"/>
    <w:rsid w:val="235220CD"/>
    <w:rsid w:val="23AA6A32"/>
    <w:rsid w:val="23C9229F"/>
    <w:rsid w:val="24195A43"/>
    <w:rsid w:val="245D31B5"/>
    <w:rsid w:val="24826101"/>
    <w:rsid w:val="25784A9C"/>
    <w:rsid w:val="25E16A45"/>
    <w:rsid w:val="25F11338"/>
    <w:rsid w:val="25F46AB0"/>
    <w:rsid w:val="27217B54"/>
    <w:rsid w:val="27610059"/>
    <w:rsid w:val="277D1EE5"/>
    <w:rsid w:val="27A31B59"/>
    <w:rsid w:val="27B87AF2"/>
    <w:rsid w:val="27EE3E21"/>
    <w:rsid w:val="286C3B37"/>
    <w:rsid w:val="289002C6"/>
    <w:rsid w:val="28C71A62"/>
    <w:rsid w:val="293801B5"/>
    <w:rsid w:val="296C6D18"/>
    <w:rsid w:val="297C731B"/>
    <w:rsid w:val="298A23AD"/>
    <w:rsid w:val="2B033371"/>
    <w:rsid w:val="2B3A56AF"/>
    <w:rsid w:val="2BB71443"/>
    <w:rsid w:val="2BF00047"/>
    <w:rsid w:val="2C0853D9"/>
    <w:rsid w:val="2C240F34"/>
    <w:rsid w:val="2C64115C"/>
    <w:rsid w:val="2C973052"/>
    <w:rsid w:val="2CF32227"/>
    <w:rsid w:val="2D0B54A3"/>
    <w:rsid w:val="2D230138"/>
    <w:rsid w:val="2D6F4378"/>
    <w:rsid w:val="2DC54313"/>
    <w:rsid w:val="2DDF223B"/>
    <w:rsid w:val="2DED1D9C"/>
    <w:rsid w:val="2E590BD6"/>
    <w:rsid w:val="2EA0509E"/>
    <w:rsid w:val="2EED420C"/>
    <w:rsid w:val="2F2B1BEC"/>
    <w:rsid w:val="2F3F3850"/>
    <w:rsid w:val="2F815A0A"/>
    <w:rsid w:val="2FF73D1D"/>
    <w:rsid w:val="300801AF"/>
    <w:rsid w:val="30104524"/>
    <w:rsid w:val="30113460"/>
    <w:rsid w:val="30204AC3"/>
    <w:rsid w:val="304B4E50"/>
    <w:rsid w:val="3063463F"/>
    <w:rsid w:val="308F3CFA"/>
    <w:rsid w:val="31051781"/>
    <w:rsid w:val="312B1B35"/>
    <w:rsid w:val="31A11AE9"/>
    <w:rsid w:val="31FB7211"/>
    <w:rsid w:val="31FC3EF9"/>
    <w:rsid w:val="322E5E24"/>
    <w:rsid w:val="32472AC4"/>
    <w:rsid w:val="32487D6A"/>
    <w:rsid w:val="324B16F5"/>
    <w:rsid w:val="32CF303F"/>
    <w:rsid w:val="3350673E"/>
    <w:rsid w:val="33977D4F"/>
    <w:rsid w:val="33B67A9F"/>
    <w:rsid w:val="33E02E1C"/>
    <w:rsid w:val="341D63B4"/>
    <w:rsid w:val="34512560"/>
    <w:rsid w:val="345C7C4E"/>
    <w:rsid w:val="34E60A39"/>
    <w:rsid w:val="351D0A98"/>
    <w:rsid w:val="354F755A"/>
    <w:rsid w:val="355C0DE1"/>
    <w:rsid w:val="35893F26"/>
    <w:rsid w:val="361D3B28"/>
    <w:rsid w:val="36383DD0"/>
    <w:rsid w:val="36F1018E"/>
    <w:rsid w:val="376857B1"/>
    <w:rsid w:val="377622CB"/>
    <w:rsid w:val="3780685D"/>
    <w:rsid w:val="37BA2F63"/>
    <w:rsid w:val="37C81053"/>
    <w:rsid w:val="37E817A5"/>
    <w:rsid w:val="38704532"/>
    <w:rsid w:val="38AA04E2"/>
    <w:rsid w:val="38B04014"/>
    <w:rsid w:val="38D77AF6"/>
    <w:rsid w:val="38DA1EF9"/>
    <w:rsid w:val="38E050B1"/>
    <w:rsid w:val="394E75C1"/>
    <w:rsid w:val="398A2C99"/>
    <w:rsid w:val="39B41E0D"/>
    <w:rsid w:val="39B853D1"/>
    <w:rsid w:val="39DB34A5"/>
    <w:rsid w:val="3A3C23C2"/>
    <w:rsid w:val="3AA207F7"/>
    <w:rsid w:val="3B040851"/>
    <w:rsid w:val="3B0C6205"/>
    <w:rsid w:val="3BA76A03"/>
    <w:rsid w:val="3BE30FA7"/>
    <w:rsid w:val="3C002C09"/>
    <w:rsid w:val="3C56385D"/>
    <w:rsid w:val="3C895347"/>
    <w:rsid w:val="3CDF3135"/>
    <w:rsid w:val="3D1D0F09"/>
    <w:rsid w:val="3D4153BD"/>
    <w:rsid w:val="3D605B64"/>
    <w:rsid w:val="3DB66D48"/>
    <w:rsid w:val="3E42676A"/>
    <w:rsid w:val="3F26350E"/>
    <w:rsid w:val="3F2B5786"/>
    <w:rsid w:val="3F3E428E"/>
    <w:rsid w:val="3F513CB1"/>
    <w:rsid w:val="3FA86688"/>
    <w:rsid w:val="3FB269C3"/>
    <w:rsid w:val="3FD032C7"/>
    <w:rsid w:val="3FDB1D7E"/>
    <w:rsid w:val="406D3E71"/>
    <w:rsid w:val="40767C0D"/>
    <w:rsid w:val="40B7508E"/>
    <w:rsid w:val="40E45FD9"/>
    <w:rsid w:val="40FE05AE"/>
    <w:rsid w:val="410061AC"/>
    <w:rsid w:val="413E22CD"/>
    <w:rsid w:val="41571D6E"/>
    <w:rsid w:val="41804842"/>
    <w:rsid w:val="41B06223"/>
    <w:rsid w:val="41B77043"/>
    <w:rsid w:val="41B829D4"/>
    <w:rsid w:val="41E77728"/>
    <w:rsid w:val="41F8244F"/>
    <w:rsid w:val="421F601D"/>
    <w:rsid w:val="42482AD4"/>
    <w:rsid w:val="42896114"/>
    <w:rsid w:val="42BE5CDC"/>
    <w:rsid w:val="430C0C47"/>
    <w:rsid w:val="432B6014"/>
    <w:rsid w:val="43A73423"/>
    <w:rsid w:val="43E62EC8"/>
    <w:rsid w:val="44B00772"/>
    <w:rsid w:val="451275EF"/>
    <w:rsid w:val="463B6DC0"/>
    <w:rsid w:val="46CC258D"/>
    <w:rsid w:val="46E42C4A"/>
    <w:rsid w:val="472C7633"/>
    <w:rsid w:val="47385FC3"/>
    <w:rsid w:val="474256D1"/>
    <w:rsid w:val="475D2AB1"/>
    <w:rsid w:val="47D965EA"/>
    <w:rsid w:val="48D43EA7"/>
    <w:rsid w:val="48EA0098"/>
    <w:rsid w:val="496738D5"/>
    <w:rsid w:val="496D4057"/>
    <w:rsid w:val="49807693"/>
    <w:rsid w:val="49D82CEC"/>
    <w:rsid w:val="49FF7A59"/>
    <w:rsid w:val="4ADA6DED"/>
    <w:rsid w:val="4ADA6E80"/>
    <w:rsid w:val="4B706B53"/>
    <w:rsid w:val="4BC16430"/>
    <w:rsid w:val="4BFD54DB"/>
    <w:rsid w:val="4C1338E7"/>
    <w:rsid w:val="4C164FBE"/>
    <w:rsid w:val="4C271A49"/>
    <w:rsid w:val="4C325CE4"/>
    <w:rsid w:val="4C623D84"/>
    <w:rsid w:val="4CC571B7"/>
    <w:rsid w:val="4CE5320D"/>
    <w:rsid w:val="4CE935CD"/>
    <w:rsid w:val="4DC55A54"/>
    <w:rsid w:val="4DD637A3"/>
    <w:rsid w:val="4DEA0C18"/>
    <w:rsid w:val="4DF60365"/>
    <w:rsid w:val="4E0D2787"/>
    <w:rsid w:val="4E0D453F"/>
    <w:rsid w:val="4E3A27E2"/>
    <w:rsid w:val="4E537D88"/>
    <w:rsid w:val="4E5E2A3C"/>
    <w:rsid w:val="4E7B22CD"/>
    <w:rsid w:val="4E9427AC"/>
    <w:rsid w:val="4ECD27ED"/>
    <w:rsid w:val="4F227A3B"/>
    <w:rsid w:val="4F2B0C9E"/>
    <w:rsid w:val="4FCD0FCF"/>
    <w:rsid w:val="4FEC07C0"/>
    <w:rsid w:val="4FF813ED"/>
    <w:rsid w:val="50043987"/>
    <w:rsid w:val="50072F3E"/>
    <w:rsid w:val="502F5B05"/>
    <w:rsid w:val="505144B9"/>
    <w:rsid w:val="509960DB"/>
    <w:rsid w:val="50F67A62"/>
    <w:rsid w:val="510E78E7"/>
    <w:rsid w:val="51BC1A0E"/>
    <w:rsid w:val="51D73B45"/>
    <w:rsid w:val="51F21254"/>
    <w:rsid w:val="51F97B0F"/>
    <w:rsid w:val="523258FE"/>
    <w:rsid w:val="52DF6974"/>
    <w:rsid w:val="53292792"/>
    <w:rsid w:val="53B57275"/>
    <w:rsid w:val="53E04E4F"/>
    <w:rsid w:val="540A2A63"/>
    <w:rsid w:val="54A27FE5"/>
    <w:rsid w:val="54D540CC"/>
    <w:rsid w:val="551A77A3"/>
    <w:rsid w:val="552B71DA"/>
    <w:rsid w:val="55C80ACA"/>
    <w:rsid w:val="55F9355F"/>
    <w:rsid w:val="5606548A"/>
    <w:rsid w:val="56562CF2"/>
    <w:rsid w:val="572A016E"/>
    <w:rsid w:val="573D71DF"/>
    <w:rsid w:val="577D0663"/>
    <w:rsid w:val="57AE734F"/>
    <w:rsid w:val="58236A15"/>
    <w:rsid w:val="58321EC6"/>
    <w:rsid w:val="58501D07"/>
    <w:rsid w:val="585A3C87"/>
    <w:rsid w:val="58620FD6"/>
    <w:rsid w:val="586757C9"/>
    <w:rsid w:val="58807305"/>
    <w:rsid w:val="58A446B9"/>
    <w:rsid w:val="591341A5"/>
    <w:rsid w:val="597C3E85"/>
    <w:rsid w:val="59A44566"/>
    <w:rsid w:val="5A010A8E"/>
    <w:rsid w:val="5ABF28B9"/>
    <w:rsid w:val="5AC22B45"/>
    <w:rsid w:val="5ADD3C34"/>
    <w:rsid w:val="5B24477E"/>
    <w:rsid w:val="5B7128F8"/>
    <w:rsid w:val="5CCE757F"/>
    <w:rsid w:val="5CD31049"/>
    <w:rsid w:val="5D12364D"/>
    <w:rsid w:val="5D4E2C73"/>
    <w:rsid w:val="5D5F6EC4"/>
    <w:rsid w:val="5D6121B1"/>
    <w:rsid w:val="5D652999"/>
    <w:rsid w:val="5D6730F6"/>
    <w:rsid w:val="5D8D7C8E"/>
    <w:rsid w:val="5DC61182"/>
    <w:rsid w:val="5E123C25"/>
    <w:rsid w:val="5E2935C7"/>
    <w:rsid w:val="5E643D94"/>
    <w:rsid w:val="5E6E14AE"/>
    <w:rsid w:val="5E8F0F8E"/>
    <w:rsid w:val="5EB43E99"/>
    <w:rsid w:val="5EB54CAB"/>
    <w:rsid w:val="5EC74A26"/>
    <w:rsid w:val="5EEC4F2C"/>
    <w:rsid w:val="5F137888"/>
    <w:rsid w:val="5F3118C0"/>
    <w:rsid w:val="5F362174"/>
    <w:rsid w:val="5F465530"/>
    <w:rsid w:val="5F751DF8"/>
    <w:rsid w:val="5FAD15EE"/>
    <w:rsid w:val="5FD953AB"/>
    <w:rsid w:val="60103A97"/>
    <w:rsid w:val="60C1328E"/>
    <w:rsid w:val="610C012A"/>
    <w:rsid w:val="61237EB8"/>
    <w:rsid w:val="61FC3A17"/>
    <w:rsid w:val="623A3232"/>
    <w:rsid w:val="624C3ACF"/>
    <w:rsid w:val="633C34A4"/>
    <w:rsid w:val="63BA64B1"/>
    <w:rsid w:val="63F2576A"/>
    <w:rsid w:val="64232B20"/>
    <w:rsid w:val="64365814"/>
    <w:rsid w:val="64CB312C"/>
    <w:rsid w:val="64DB3FFC"/>
    <w:rsid w:val="64E32783"/>
    <w:rsid w:val="65007F4E"/>
    <w:rsid w:val="6585379C"/>
    <w:rsid w:val="658A3520"/>
    <w:rsid w:val="65A34B99"/>
    <w:rsid w:val="662D4763"/>
    <w:rsid w:val="664513D6"/>
    <w:rsid w:val="664B644A"/>
    <w:rsid w:val="666B09B5"/>
    <w:rsid w:val="66885224"/>
    <w:rsid w:val="67236729"/>
    <w:rsid w:val="672D1F69"/>
    <w:rsid w:val="677360E3"/>
    <w:rsid w:val="67F65590"/>
    <w:rsid w:val="68D357B0"/>
    <w:rsid w:val="69962BD5"/>
    <w:rsid w:val="69CB7493"/>
    <w:rsid w:val="69D4537F"/>
    <w:rsid w:val="6A365264"/>
    <w:rsid w:val="6A9A3873"/>
    <w:rsid w:val="6AB30BF4"/>
    <w:rsid w:val="6B981DF8"/>
    <w:rsid w:val="6B9D025C"/>
    <w:rsid w:val="6BA75FB6"/>
    <w:rsid w:val="6BBC143D"/>
    <w:rsid w:val="6BCA0C7C"/>
    <w:rsid w:val="6BFE0F28"/>
    <w:rsid w:val="6BFF52D4"/>
    <w:rsid w:val="6C59487A"/>
    <w:rsid w:val="6D0A4853"/>
    <w:rsid w:val="6D9B19E5"/>
    <w:rsid w:val="6DB67308"/>
    <w:rsid w:val="6F5E0FC0"/>
    <w:rsid w:val="6F6F4E5B"/>
    <w:rsid w:val="6FCD69D4"/>
    <w:rsid w:val="70A80E7F"/>
    <w:rsid w:val="70E241C6"/>
    <w:rsid w:val="71034F30"/>
    <w:rsid w:val="71436BE3"/>
    <w:rsid w:val="71603DA0"/>
    <w:rsid w:val="728B1D53"/>
    <w:rsid w:val="72991E28"/>
    <w:rsid w:val="73985F56"/>
    <w:rsid w:val="73D2063C"/>
    <w:rsid w:val="74564E86"/>
    <w:rsid w:val="753D3F57"/>
    <w:rsid w:val="75853E71"/>
    <w:rsid w:val="759D086F"/>
    <w:rsid w:val="75BA3232"/>
    <w:rsid w:val="76480505"/>
    <w:rsid w:val="76A16BB3"/>
    <w:rsid w:val="76D10E3F"/>
    <w:rsid w:val="76E35326"/>
    <w:rsid w:val="76EB17F6"/>
    <w:rsid w:val="7734249D"/>
    <w:rsid w:val="776D5049"/>
    <w:rsid w:val="77747E1D"/>
    <w:rsid w:val="778411AD"/>
    <w:rsid w:val="77901832"/>
    <w:rsid w:val="77B9304C"/>
    <w:rsid w:val="78440AD8"/>
    <w:rsid w:val="786B73C0"/>
    <w:rsid w:val="78857573"/>
    <w:rsid w:val="789442E7"/>
    <w:rsid w:val="78D570E1"/>
    <w:rsid w:val="78E74F63"/>
    <w:rsid w:val="79B506DE"/>
    <w:rsid w:val="79F41288"/>
    <w:rsid w:val="7A03546E"/>
    <w:rsid w:val="7A6B1587"/>
    <w:rsid w:val="7AC4414F"/>
    <w:rsid w:val="7B1E65F5"/>
    <w:rsid w:val="7B9B0BBC"/>
    <w:rsid w:val="7B9F5272"/>
    <w:rsid w:val="7BAF3E81"/>
    <w:rsid w:val="7BBB7C03"/>
    <w:rsid w:val="7BC17D85"/>
    <w:rsid w:val="7C0741E9"/>
    <w:rsid w:val="7C103856"/>
    <w:rsid w:val="7C230F73"/>
    <w:rsid w:val="7C6C58C7"/>
    <w:rsid w:val="7D1B52B4"/>
    <w:rsid w:val="7D3744CD"/>
    <w:rsid w:val="7D6D1934"/>
    <w:rsid w:val="7D7173A1"/>
    <w:rsid w:val="7D872C89"/>
    <w:rsid w:val="7DB23C95"/>
    <w:rsid w:val="7E433576"/>
    <w:rsid w:val="7EED3340"/>
    <w:rsid w:val="7EF14E95"/>
    <w:rsid w:val="7F727327"/>
    <w:rsid w:val="7FCB4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58"/>
    <w:qFormat/>
    <w:uiPriority w:val="0"/>
    <w:pPr>
      <w:spacing w:before="340" w:after="330" w:line="360" w:lineRule="auto"/>
      <w:jc w:val="center"/>
      <w:outlineLvl w:val="0"/>
    </w:pPr>
    <w:rPr>
      <w:rFonts w:eastAsia="黑体"/>
      <w:kern w:val="44"/>
      <w:szCs w:val="44"/>
    </w:rPr>
  </w:style>
  <w:style w:type="paragraph" w:styleId="6">
    <w:name w:val="heading 2"/>
    <w:basedOn w:val="4"/>
    <w:next w:val="5"/>
    <w:link w:val="72"/>
    <w:qFormat/>
    <w:uiPriority w:val="0"/>
    <w:pPr>
      <w:adjustRightInd w:val="0"/>
      <w:jc w:val="center"/>
      <w:textAlignment w:val="baseline"/>
      <w:outlineLvl w:val="1"/>
    </w:pPr>
    <w:rPr>
      <w:kern w:val="0"/>
      <w:sz w:val="24"/>
      <w:szCs w:val="20"/>
    </w:rPr>
  </w:style>
  <w:style w:type="paragraph" w:styleId="4">
    <w:name w:val="heading 3"/>
    <w:basedOn w:val="5"/>
    <w:next w:val="1"/>
    <w:link w:val="57"/>
    <w:qFormat/>
    <w:uiPriority w:val="9"/>
    <w:pPr>
      <w:spacing w:before="260" w:after="260" w:line="240" w:lineRule="auto"/>
      <w:outlineLvl w:val="2"/>
    </w:pPr>
    <w:rPr>
      <w:rFonts w:ascii="宋体" w:hAnsi="宋体" w:eastAsia="宋体"/>
      <w:szCs w:val="32"/>
    </w:rPr>
  </w:style>
  <w:style w:type="paragraph" w:styleId="5">
    <w:name w:val="heading 4"/>
    <w:basedOn w:val="1"/>
    <w:next w:val="1"/>
    <w:link w:val="55"/>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1"/>
    <w:qFormat/>
    <w:uiPriority w:val="0"/>
    <w:pPr>
      <w:keepNext/>
      <w:keepLines/>
      <w:spacing w:before="280" w:after="290" w:line="376" w:lineRule="auto"/>
      <w:outlineLvl w:val="4"/>
    </w:pPr>
    <w:rPr>
      <w:b/>
      <w:sz w:val="28"/>
      <w:szCs w:val="20"/>
    </w:rPr>
  </w:style>
  <w:style w:type="paragraph" w:styleId="11">
    <w:name w:val="heading 6"/>
    <w:basedOn w:val="1"/>
    <w:next w:val="8"/>
    <w:link w:val="84"/>
    <w:qFormat/>
    <w:uiPriority w:val="0"/>
    <w:pPr>
      <w:keepNext/>
      <w:keepLines/>
      <w:spacing w:before="240" w:after="64" w:line="320" w:lineRule="auto"/>
      <w:outlineLvl w:val="5"/>
    </w:pPr>
    <w:rPr>
      <w:rFonts w:ascii="Arial" w:hAnsi="Arial" w:eastAsia="黑体"/>
      <w:b/>
      <w:sz w:val="24"/>
      <w:szCs w:val="20"/>
    </w:rPr>
  </w:style>
  <w:style w:type="paragraph" w:styleId="12">
    <w:name w:val="heading 7"/>
    <w:basedOn w:val="1"/>
    <w:next w:val="8"/>
    <w:link w:val="85"/>
    <w:qFormat/>
    <w:uiPriority w:val="0"/>
    <w:pPr>
      <w:keepNext/>
      <w:keepLines/>
      <w:spacing w:before="240" w:after="64" w:line="320" w:lineRule="auto"/>
      <w:outlineLvl w:val="6"/>
    </w:pPr>
    <w:rPr>
      <w:b/>
      <w:sz w:val="24"/>
      <w:szCs w:val="20"/>
    </w:rPr>
  </w:style>
  <w:style w:type="paragraph" w:styleId="13">
    <w:name w:val="heading 8"/>
    <w:basedOn w:val="1"/>
    <w:next w:val="8"/>
    <w:link w:val="86"/>
    <w:qFormat/>
    <w:uiPriority w:val="0"/>
    <w:pPr>
      <w:keepNext/>
      <w:keepLines/>
      <w:spacing w:before="240" w:after="64" w:line="320" w:lineRule="auto"/>
      <w:outlineLvl w:val="7"/>
    </w:pPr>
    <w:rPr>
      <w:rFonts w:ascii="Arial" w:hAnsi="Arial" w:eastAsia="黑体"/>
      <w:sz w:val="24"/>
      <w:szCs w:val="20"/>
    </w:rPr>
  </w:style>
  <w:style w:type="paragraph" w:styleId="14">
    <w:name w:val="heading 9"/>
    <w:basedOn w:val="1"/>
    <w:next w:val="8"/>
    <w:link w:val="87"/>
    <w:qFormat/>
    <w:uiPriority w:val="0"/>
    <w:pPr>
      <w:keepNext/>
      <w:keepLines/>
      <w:spacing w:before="240" w:after="64" w:line="320" w:lineRule="auto"/>
      <w:outlineLvl w:val="8"/>
    </w:pPr>
    <w:rPr>
      <w:rFonts w:ascii="Arial" w:hAnsi="Arial" w:eastAsia="黑体"/>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8">
    <w:name w:val="Normal Indent"/>
    <w:basedOn w:val="1"/>
    <w:next w:val="9"/>
    <w:link w:val="59"/>
    <w:qFormat/>
    <w:uiPriority w:val="0"/>
    <w:pPr>
      <w:ind w:firstLine="420"/>
    </w:pPr>
    <w:rPr>
      <w:szCs w:val="20"/>
    </w:rPr>
  </w:style>
  <w:style w:type="paragraph" w:styleId="9">
    <w:name w:val="Body Text"/>
    <w:basedOn w:val="1"/>
    <w:next w:val="10"/>
    <w:link w:val="93"/>
    <w:qFormat/>
    <w:uiPriority w:val="0"/>
    <w:pPr>
      <w:spacing w:line="360" w:lineRule="auto"/>
    </w:pPr>
    <w:rPr>
      <w:b/>
      <w:bCs/>
      <w:sz w:val="24"/>
    </w:rPr>
  </w:style>
  <w:style w:type="paragraph" w:styleId="10">
    <w:name w:val="Title"/>
    <w:basedOn w:val="1"/>
    <w:link w:val="88"/>
    <w:qFormat/>
    <w:uiPriority w:val="0"/>
    <w:pPr>
      <w:spacing w:before="240" w:after="60"/>
      <w:jc w:val="center"/>
      <w:outlineLvl w:val="0"/>
    </w:pPr>
    <w:rPr>
      <w:rFonts w:ascii="Arial" w:hAnsi="Arial" w:eastAsia="隶书" w:cs="Arial"/>
      <w:b/>
      <w:bCs/>
      <w:sz w:val="32"/>
      <w:szCs w:val="32"/>
    </w:rPr>
  </w:style>
  <w:style w:type="paragraph" w:styleId="15">
    <w:name w:val="toc 7"/>
    <w:basedOn w:val="1"/>
    <w:next w:val="1"/>
    <w:semiHidden/>
    <w:qFormat/>
    <w:uiPriority w:val="0"/>
    <w:pPr>
      <w:ind w:left="1260"/>
      <w:jc w:val="left"/>
    </w:pPr>
    <w:rPr>
      <w:szCs w:val="21"/>
    </w:rPr>
  </w:style>
  <w:style w:type="paragraph" w:styleId="16">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7">
    <w:name w:val="List Bullet"/>
    <w:basedOn w:val="1"/>
    <w:qFormat/>
    <w:uiPriority w:val="0"/>
    <w:pPr>
      <w:numPr>
        <w:ilvl w:val="0"/>
        <w:numId w:val="1"/>
      </w:numPr>
    </w:pPr>
    <w:rPr>
      <w:szCs w:val="20"/>
    </w:rPr>
  </w:style>
  <w:style w:type="paragraph" w:styleId="18">
    <w:name w:val="Document Map"/>
    <w:basedOn w:val="1"/>
    <w:semiHidden/>
    <w:qFormat/>
    <w:uiPriority w:val="0"/>
    <w:pPr>
      <w:shd w:val="clear" w:color="auto" w:fill="000080"/>
    </w:pPr>
  </w:style>
  <w:style w:type="paragraph" w:styleId="19">
    <w:name w:val="annotation text"/>
    <w:basedOn w:val="1"/>
    <w:link w:val="185"/>
    <w:semiHidden/>
    <w:qFormat/>
    <w:uiPriority w:val="99"/>
    <w:pPr>
      <w:autoSpaceDE w:val="0"/>
      <w:autoSpaceDN w:val="0"/>
      <w:adjustRightInd w:val="0"/>
      <w:jc w:val="left"/>
      <w:textAlignment w:val="baseline"/>
    </w:pPr>
    <w:rPr>
      <w:rFonts w:ascii="宋体"/>
      <w:kern w:val="0"/>
      <w:sz w:val="34"/>
      <w:szCs w:val="20"/>
    </w:rPr>
  </w:style>
  <w:style w:type="paragraph" w:styleId="20">
    <w:name w:val="Body Text 3"/>
    <w:basedOn w:val="1"/>
    <w:link w:val="99"/>
    <w:qFormat/>
    <w:uiPriority w:val="0"/>
    <w:pPr>
      <w:spacing w:after="120"/>
    </w:pPr>
    <w:rPr>
      <w:sz w:val="16"/>
      <w:szCs w:val="16"/>
    </w:rPr>
  </w:style>
  <w:style w:type="paragraph" w:styleId="21">
    <w:name w:val="Body Text Indent"/>
    <w:basedOn w:val="1"/>
    <w:link w:val="80"/>
    <w:qFormat/>
    <w:uiPriority w:val="0"/>
    <w:pPr>
      <w:spacing w:line="360" w:lineRule="auto"/>
      <w:ind w:firstLine="420" w:firstLineChars="200"/>
    </w:pPr>
  </w:style>
  <w:style w:type="paragraph" w:styleId="22">
    <w:name w:val="toc 5"/>
    <w:basedOn w:val="1"/>
    <w:next w:val="1"/>
    <w:semiHidden/>
    <w:qFormat/>
    <w:uiPriority w:val="0"/>
    <w:pPr>
      <w:ind w:left="840"/>
      <w:jc w:val="left"/>
    </w:pPr>
    <w:rPr>
      <w:szCs w:val="21"/>
    </w:rPr>
  </w:style>
  <w:style w:type="paragraph" w:styleId="23">
    <w:name w:val="toc 3"/>
    <w:basedOn w:val="1"/>
    <w:next w:val="1"/>
    <w:semiHidden/>
    <w:qFormat/>
    <w:uiPriority w:val="0"/>
    <w:pPr>
      <w:ind w:left="420"/>
      <w:jc w:val="left"/>
    </w:pPr>
    <w:rPr>
      <w:i/>
      <w:iCs/>
    </w:rPr>
  </w:style>
  <w:style w:type="paragraph" w:styleId="24">
    <w:name w:val="Plain Text"/>
    <w:basedOn w:val="1"/>
    <w:link w:val="91"/>
    <w:qFormat/>
    <w:uiPriority w:val="0"/>
    <w:rPr>
      <w:rFonts w:ascii="宋体" w:hAnsi="Courier New"/>
      <w:szCs w:val="20"/>
    </w:rPr>
  </w:style>
  <w:style w:type="paragraph" w:styleId="25">
    <w:name w:val="toc 8"/>
    <w:basedOn w:val="1"/>
    <w:next w:val="1"/>
    <w:semiHidden/>
    <w:qFormat/>
    <w:uiPriority w:val="0"/>
    <w:pPr>
      <w:ind w:left="1470"/>
      <w:jc w:val="left"/>
    </w:pPr>
    <w:rPr>
      <w:szCs w:val="21"/>
    </w:rPr>
  </w:style>
  <w:style w:type="paragraph" w:styleId="26">
    <w:name w:val="Date"/>
    <w:basedOn w:val="1"/>
    <w:next w:val="1"/>
    <w:link w:val="89"/>
    <w:qFormat/>
    <w:uiPriority w:val="0"/>
    <w:rPr>
      <w:rFonts w:ascii="宋体" w:hAnsi="Courier New"/>
      <w:sz w:val="32"/>
      <w:szCs w:val="20"/>
    </w:rPr>
  </w:style>
  <w:style w:type="paragraph" w:styleId="27">
    <w:name w:val="Body Text Indent 2"/>
    <w:basedOn w:val="1"/>
    <w:link w:val="94"/>
    <w:qFormat/>
    <w:uiPriority w:val="0"/>
    <w:pPr>
      <w:spacing w:beforeLines="50" w:afterLines="50" w:line="120" w:lineRule="auto"/>
      <w:ind w:firstLine="840" w:firstLineChars="400"/>
      <w:jc w:val="left"/>
    </w:pPr>
    <w:rPr>
      <w:rFonts w:ascii="宋体" w:hAnsi="宋体"/>
    </w:rPr>
  </w:style>
  <w:style w:type="paragraph" w:styleId="28">
    <w:name w:val="Balloon Text"/>
    <w:basedOn w:val="1"/>
    <w:link w:val="100"/>
    <w:semiHidden/>
    <w:qFormat/>
    <w:uiPriority w:val="99"/>
    <w:rPr>
      <w:sz w:val="18"/>
      <w:szCs w:val="18"/>
    </w:rPr>
  </w:style>
  <w:style w:type="paragraph" w:styleId="29">
    <w:name w:val="footer"/>
    <w:basedOn w:val="1"/>
    <w:link w:val="98"/>
    <w:qFormat/>
    <w:uiPriority w:val="0"/>
    <w:pPr>
      <w:tabs>
        <w:tab w:val="center" w:pos="4153"/>
        <w:tab w:val="right" w:pos="8306"/>
      </w:tabs>
      <w:snapToGrid w:val="0"/>
      <w:jc w:val="left"/>
    </w:pPr>
    <w:rPr>
      <w:sz w:val="18"/>
      <w:szCs w:val="18"/>
    </w:rPr>
  </w:style>
  <w:style w:type="paragraph" w:styleId="30">
    <w:name w:val="header"/>
    <w:basedOn w:val="1"/>
    <w:link w:val="95"/>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pPr>
      <w:spacing w:before="120" w:after="120"/>
      <w:jc w:val="left"/>
    </w:pPr>
    <w:rPr>
      <w:b/>
      <w:bCs/>
      <w:caps/>
    </w:rPr>
  </w:style>
  <w:style w:type="paragraph" w:styleId="32">
    <w:name w:val="toc 4"/>
    <w:basedOn w:val="1"/>
    <w:next w:val="1"/>
    <w:semiHidden/>
    <w:qFormat/>
    <w:uiPriority w:val="0"/>
    <w:pPr>
      <w:ind w:left="630"/>
      <w:jc w:val="left"/>
    </w:pPr>
    <w:rPr>
      <w:szCs w:val="21"/>
    </w:rPr>
  </w:style>
  <w:style w:type="paragraph" w:styleId="33">
    <w:name w:val="Subtitle"/>
    <w:next w:val="1"/>
    <w:link w:val="310"/>
    <w:qFormat/>
    <w:uiPriority w:val="0"/>
    <w:pPr>
      <w:wordWrap w:val="0"/>
      <w:spacing w:after="60"/>
      <w:jc w:val="center"/>
    </w:pPr>
    <w:rPr>
      <w:rFonts w:ascii="Calibri" w:hAnsi="Calibri" w:eastAsia="宋体" w:cs="Times New Roman"/>
      <w:sz w:val="24"/>
      <w:lang w:val="en-US" w:eastAsia="zh-CN" w:bidi="ar-SA"/>
    </w:rPr>
  </w:style>
  <w:style w:type="paragraph" w:styleId="34">
    <w:name w:val="toc 6"/>
    <w:basedOn w:val="1"/>
    <w:next w:val="1"/>
    <w:semiHidden/>
    <w:qFormat/>
    <w:uiPriority w:val="0"/>
    <w:pPr>
      <w:ind w:left="1050"/>
      <w:jc w:val="left"/>
    </w:pPr>
    <w:rPr>
      <w:szCs w:val="21"/>
    </w:rPr>
  </w:style>
  <w:style w:type="paragraph" w:styleId="35">
    <w:name w:val="Body Text Indent 3"/>
    <w:basedOn w:val="1"/>
    <w:link w:val="96"/>
    <w:qFormat/>
    <w:uiPriority w:val="0"/>
    <w:pPr>
      <w:spacing w:line="360" w:lineRule="auto"/>
      <w:ind w:firstLine="482" w:firstLineChars="200"/>
    </w:pPr>
    <w:rPr>
      <w:rFonts w:ascii="宋体"/>
      <w:b/>
      <w:bCs/>
      <w:sz w:val="24"/>
    </w:rPr>
  </w:style>
  <w:style w:type="paragraph" w:styleId="36">
    <w:name w:val="toc 2"/>
    <w:basedOn w:val="1"/>
    <w:next w:val="1"/>
    <w:semiHidden/>
    <w:qFormat/>
    <w:uiPriority w:val="0"/>
    <w:pPr>
      <w:tabs>
        <w:tab w:val="right" w:leader="dot" w:pos="8296"/>
      </w:tabs>
      <w:ind w:left="210"/>
      <w:jc w:val="left"/>
    </w:pPr>
    <w:rPr>
      <w:smallCaps/>
    </w:rPr>
  </w:style>
  <w:style w:type="paragraph" w:styleId="37">
    <w:name w:val="toc 9"/>
    <w:basedOn w:val="1"/>
    <w:next w:val="1"/>
    <w:semiHidden/>
    <w:qFormat/>
    <w:uiPriority w:val="0"/>
    <w:pPr>
      <w:ind w:left="1680"/>
      <w:jc w:val="left"/>
    </w:pPr>
    <w:rPr>
      <w:szCs w:val="21"/>
    </w:rPr>
  </w:style>
  <w:style w:type="paragraph" w:styleId="38">
    <w:name w:val="Body Text 2"/>
    <w:basedOn w:val="1"/>
    <w:link w:val="97"/>
    <w:qFormat/>
    <w:uiPriority w:val="0"/>
    <w:pPr>
      <w:spacing w:line="360" w:lineRule="auto"/>
    </w:pPr>
    <w:rPr>
      <w:sz w:val="24"/>
    </w:rPr>
  </w:style>
  <w:style w:type="paragraph" w:styleId="39">
    <w:name w:val="HTML Preformatted"/>
    <w:basedOn w:val="1"/>
    <w:link w:val="9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40">
    <w:name w:val="Normal (Web)"/>
    <w:basedOn w:val="1"/>
    <w:qFormat/>
    <w:uiPriority w:val="99"/>
    <w:pPr>
      <w:spacing w:beforeAutospacing="1" w:afterAutospacing="1"/>
      <w:jc w:val="left"/>
    </w:pPr>
    <w:rPr>
      <w:kern w:val="0"/>
      <w:sz w:val="24"/>
    </w:rPr>
  </w:style>
  <w:style w:type="paragraph" w:styleId="41">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2">
    <w:name w:val="annotation subject"/>
    <w:basedOn w:val="19"/>
    <w:next w:val="19"/>
    <w:link w:val="186"/>
    <w:qFormat/>
    <w:uiPriority w:val="99"/>
    <w:pPr>
      <w:autoSpaceDE/>
      <w:autoSpaceDN/>
      <w:adjustRightInd/>
      <w:textAlignment w:val="auto"/>
    </w:pPr>
    <w:rPr>
      <w:rFonts w:ascii="Times New Roman"/>
      <w:b/>
      <w:bCs/>
      <w:kern w:val="2"/>
      <w:sz w:val="21"/>
      <w:szCs w:val="24"/>
    </w:rPr>
  </w:style>
  <w:style w:type="paragraph" w:styleId="43">
    <w:name w:val="Body Text First Indent"/>
    <w:basedOn w:val="9"/>
    <w:link w:val="131"/>
    <w:qFormat/>
    <w:uiPriority w:val="0"/>
    <w:pPr>
      <w:spacing w:after="120" w:line="240" w:lineRule="auto"/>
      <w:ind w:firstLine="420" w:firstLineChars="100"/>
    </w:pPr>
    <w:rPr>
      <w:sz w:val="21"/>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Elegant"/>
    <w:basedOn w:val="44"/>
    <w:qFormat/>
    <w:uiPriority w:val="0"/>
    <w:pPr>
      <w:widowControl w:val="0"/>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basedOn w:val="47"/>
    <w:qFormat/>
    <w:uiPriority w:val="0"/>
    <w:rPr>
      <w:sz w:val="20"/>
    </w:rPr>
  </w:style>
  <w:style w:type="character" w:styleId="52">
    <w:name w:val="Hyperlink"/>
    <w:qFormat/>
    <w:uiPriority w:val="0"/>
    <w:rPr>
      <w:color w:val="0000FF"/>
      <w:u w:val="single"/>
    </w:rPr>
  </w:style>
  <w:style w:type="character" w:styleId="53">
    <w:name w:val="annotation reference"/>
    <w:basedOn w:val="47"/>
    <w:qFormat/>
    <w:uiPriority w:val="99"/>
    <w:rPr>
      <w:sz w:val="21"/>
      <w:szCs w:val="21"/>
    </w:rPr>
  </w:style>
  <w:style w:type="paragraph" w:customStyle="1" w:styleId="54">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character" w:customStyle="1" w:styleId="55">
    <w:name w:val="标题 4 字符"/>
    <w:link w:val="5"/>
    <w:qFormat/>
    <w:uiPriority w:val="9"/>
    <w:rPr>
      <w:rFonts w:ascii="Arial" w:hAnsi="Arial" w:eastAsia="黑体"/>
      <w:b/>
      <w:bCs/>
      <w:kern w:val="2"/>
      <w:sz w:val="28"/>
      <w:szCs w:val="28"/>
      <w:lang w:val="en-US" w:eastAsia="zh-CN" w:bidi="ar-SA"/>
    </w:rPr>
  </w:style>
  <w:style w:type="paragraph" w:customStyle="1" w:styleId="5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7">
    <w:name w:val="标题 3 字符"/>
    <w:link w:val="4"/>
    <w:qFormat/>
    <w:uiPriority w:val="9"/>
    <w:rPr>
      <w:rFonts w:ascii="宋体" w:hAnsi="宋体" w:eastAsia="宋体"/>
      <w:b/>
      <w:bCs/>
      <w:kern w:val="2"/>
      <w:sz w:val="28"/>
      <w:szCs w:val="32"/>
      <w:lang w:val="en-US" w:eastAsia="zh-CN" w:bidi="ar-SA"/>
    </w:rPr>
  </w:style>
  <w:style w:type="character" w:customStyle="1" w:styleId="58">
    <w:name w:val="标题 1 字符"/>
    <w:link w:val="3"/>
    <w:qFormat/>
    <w:uiPriority w:val="0"/>
    <w:rPr>
      <w:rFonts w:ascii="宋体" w:hAnsi="宋体" w:eastAsia="黑体"/>
      <w:b/>
      <w:bCs/>
      <w:kern w:val="44"/>
      <w:sz w:val="28"/>
      <w:szCs w:val="44"/>
      <w:lang w:val="en-US" w:eastAsia="zh-CN" w:bidi="ar-SA"/>
    </w:rPr>
  </w:style>
  <w:style w:type="character" w:customStyle="1" w:styleId="59">
    <w:name w:val="正文缩进 字符"/>
    <w:link w:val="8"/>
    <w:qFormat/>
    <w:uiPriority w:val="0"/>
    <w:rPr>
      <w:rFonts w:eastAsia="宋体"/>
      <w:kern w:val="2"/>
      <w:sz w:val="21"/>
      <w:lang w:val="en-US" w:eastAsia="zh-CN" w:bidi="ar-SA"/>
    </w:rPr>
  </w:style>
  <w:style w:type="character" w:customStyle="1" w:styleId="60">
    <w:name w:val="标题 3 Char"/>
    <w:qFormat/>
    <w:uiPriority w:val="0"/>
    <w:rPr>
      <w:rFonts w:ascii="黑体" w:eastAsia="黑体"/>
      <w:bCs/>
      <w:sz w:val="30"/>
    </w:rPr>
  </w:style>
  <w:style w:type="paragraph" w:customStyle="1" w:styleId="61">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2">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7">
    <w:name w:val="自定义正文"/>
    <w:basedOn w:val="1"/>
    <w:qFormat/>
    <w:uiPriority w:val="0"/>
    <w:pPr>
      <w:spacing w:afterLines="50"/>
      <w:ind w:left="600" w:leftChars="600"/>
    </w:pPr>
  </w:style>
  <w:style w:type="paragraph" w:customStyle="1" w:styleId="68">
    <w:name w:val="Char Char Char Char Char"/>
    <w:basedOn w:val="1"/>
    <w:qFormat/>
    <w:uiPriority w:val="0"/>
    <w:rPr>
      <w:rFonts w:ascii="Tahoma" w:hAnsi="Tahoma"/>
      <w:sz w:val="24"/>
      <w:szCs w:val="20"/>
    </w:rPr>
  </w:style>
  <w:style w:type="paragraph" w:customStyle="1" w:styleId="69">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0">
    <w:name w:val="Char Char"/>
    <w:basedOn w:val="1"/>
    <w:qFormat/>
    <w:uiPriority w:val="0"/>
    <w:rPr>
      <w:rFonts w:ascii="Tahoma" w:hAnsi="Tahoma"/>
      <w:sz w:val="24"/>
      <w:szCs w:val="20"/>
    </w:rPr>
  </w:style>
  <w:style w:type="paragraph" w:customStyle="1" w:styleId="71">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2">
    <w:name w:val="标题 2 字符"/>
    <w:link w:val="6"/>
    <w:qFormat/>
    <w:uiPriority w:val="0"/>
    <w:rPr>
      <w:rFonts w:ascii="宋体" w:hAnsi="宋体" w:eastAsia="宋体"/>
      <w:b/>
      <w:bCs/>
      <w:sz w:val="24"/>
      <w:lang w:val="en-US" w:eastAsia="zh-CN" w:bidi="ar-SA"/>
    </w:rPr>
  </w:style>
  <w:style w:type="paragraph" w:customStyle="1" w:styleId="7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4">
    <w:name w:val="List Paragraph"/>
    <w:basedOn w:val="1"/>
    <w:qFormat/>
    <w:uiPriority w:val="0"/>
    <w:pPr>
      <w:ind w:firstLine="420" w:firstLineChars="200"/>
    </w:pPr>
    <w:rPr>
      <w:rFonts w:ascii="Calibri" w:hAnsi="Calibri"/>
      <w:szCs w:val="22"/>
    </w:rPr>
  </w:style>
  <w:style w:type="paragraph" w:customStyle="1" w:styleId="75">
    <w:name w:val="USE 1"/>
    <w:basedOn w:val="1"/>
    <w:qFormat/>
    <w:uiPriority w:val="0"/>
    <w:pPr>
      <w:spacing w:line="200" w:lineRule="atLeast"/>
      <w:jc w:val="left"/>
    </w:pPr>
    <w:rPr>
      <w:rFonts w:ascii="宋体" w:hAnsi="宋体"/>
      <w:b/>
      <w:sz w:val="24"/>
      <w:szCs w:val="28"/>
    </w:rPr>
  </w:style>
  <w:style w:type="paragraph" w:customStyle="1" w:styleId="76">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7">
    <w:name w:val="正文文字缩进项目"/>
    <w:basedOn w:val="21"/>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8">
    <w:name w:val="样式 标题 2 + 段前: 13 磅 段后: 13 磅 行距: 单倍行距"/>
    <w:basedOn w:val="6"/>
    <w:qFormat/>
    <w:uiPriority w:val="0"/>
    <w:pPr>
      <w:adjustRightInd/>
      <w:spacing w:before="0" w:after="0"/>
      <w:jc w:val="both"/>
      <w:textAlignment w:val="auto"/>
    </w:pPr>
    <w:rPr>
      <w:rFonts w:ascii="Cambria" w:hAnsi="Cambria" w:cs="宋体"/>
      <w:kern w:val="2"/>
      <w:sz w:val="32"/>
    </w:rPr>
  </w:style>
  <w:style w:type="character" w:customStyle="1" w:styleId="79">
    <w:name w:val="H4 Char2"/>
    <w:qFormat/>
    <w:uiPriority w:val="0"/>
    <w:rPr>
      <w:rFonts w:ascii="Arial" w:hAnsi="Arial" w:eastAsia="黑体"/>
      <w:b/>
      <w:bCs/>
      <w:kern w:val="2"/>
      <w:sz w:val="28"/>
      <w:szCs w:val="28"/>
      <w:lang w:val="en-US" w:eastAsia="zh-CN" w:bidi="ar-SA"/>
    </w:rPr>
  </w:style>
  <w:style w:type="character" w:customStyle="1" w:styleId="80">
    <w:name w:val="正文文本缩进 字符"/>
    <w:link w:val="21"/>
    <w:qFormat/>
    <w:uiPriority w:val="0"/>
    <w:rPr>
      <w:rFonts w:eastAsia="宋体"/>
      <w:kern w:val="2"/>
      <w:sz w:val="21"/>
      <w:szCs w:val="24"/>
      <w:lang w:val="en-US" w:eastAsia="zh-CN" w:bidi="ar-SA"/>
    </w:rPr>
  </w:style>
  <w:style w:type="character" w:customStyle="1" w:styleId="81">
    <w:name w:val="标题 5 字符"/>
    <w:link w:val="7"/>
    <w:qFormat/>
    <w:uiPriority w:val="0"/>
    <w:rPr>
      <w:rFonts w:eastAsia="宋体"/>
      <w:b/>
      <w:kern w:val="2"/>
      <w:sz w:val="28"/>
      <w:lang w:val="en-US" w:eastAsia="zh-CN" w:bidi="ar-SA"/>
    </w:rPr>
  </w:style>
  <w:style w:type="character" w:customStyle="1" w:styleId="82">
    <w:name w:val="第*章 Char"/>
    <w:qFormat/>
    <w:uiPriority w:val="0"/>
    <w:rPr>
      <w:rFonts w:ascii="Arial" w:hAnsi="Arial" w:eastAsia="黑体"/>
      <w:b/>
      <w:bCs/>
      <w:kern w:val="2"/>
      <w:sz w:val="32"/>
      <w:szCs w:val="32"/>
    </w:rPr>
  </w:style>
  <w:style w:type="character" w:customStyle="1" w:styleId="83">
    <w:name w:val="章标题1 Char"/>
    <w:qFormat/>
    <w:uiPriority w:val="0"/>
    <w:rPr>
      <w:rFonts w:eastAsia="宋体"/>
      <w:b/>
      <w:bCs/>
      <w:kern w:val="2"/>
      <w:sz w:val="32"/>
      <w:szCs w:val="32"/>
      <w:lang w:val="en-US" w:eastAsia="zh-CN" w:bidi="ar-SA"/>
    </w:rPr>
  </w:style>
  <w:style w:type="character" w:customStyle="1" w:styleId="84">
    <w:name w:val="标题 6 字符"/>
    <w:link w:val="11"/>
    <w:qFormat/>
    <w:uiPriority w:val="0"/>
    <w:rPr>
      <w:rFonts w:ascii="Arial" w:hAnsi="Arial" w:eastAsia="黑体"/>
      <w:b/>
      <w:kern w:val="2"/>
      <w:sz w:val="24"/>
      <w:lang w:val="en-US" w:eastAsia="zh-CN" w:bidi="ar-SA"/>
    </w:rPr>
  </w:style>
  <w:style w:type="character" w:customStyle="1" w:styleId="85">
    <w:name w:val="标题 7 字符"/>
    <w:link w:val="12"/>
    <w:qFormat/>
    <w:uiPriority w:val="0"/>
    <w:rPr>
      <w:rFonts w:eastAsia="宋体"/>
      <w:b/>
      <w:kern w:val="2"/>
      <w:sz w:val="24"/>
      <w:lang w:val="en-US" w:eastAsia="zh-CN" w:bidi="ar-SA"/>
    </w:rPr>
  </w:style>
  <w:style w:type="character" w:customStyle="1" w:styleId="86">
    <w:name w:val="标题 8 字符"/>
    <w:link w:val="13"/>
    <w:qFormat/>
    <w:uiPriority w:val="0"/>
    <w:rPr>
      <w:rFonts w:ascii="Arial" w:hAnsi="Arial" w:eastAsia="黑体"/>
      <w:kern w:val="2"/>
      <w:sz w:val="24"/>
      <w:lang w:val="en-US" w:eastAsia="zh-CN" w:bidi="ar-SA"/>
    </w:rPr>
  </w:style>
  <w:style w:type="character" w:customStyle="1" w:styleId="87">
    <w:name w:val="标题 9 字符"/>
    <w:link w:val="14"/>
    <w:qFormat/>
    <w:uiPriority w:val="0"/>
    <w:rPr>
      <w:rFonts w:ascii="Arial" w:hAnsi="Arial" w:eastAsia="黑体"/>
      <w:kern w:val="2"/>
      <w:sz w:val="21"/>
      <w:lang w:val="en-US" w:eastAsia="zh-CN" w:bidi="ar-SA"/>
    </w:rPr>
  </w:style>
  <w:style w:type="character" w:customStyle="1" w:styleId="88">
    <w:name w:val="标题 字符"/>
    <w:link w:val="10"/>
    <w:qFormat/>
    <w:uiPriority w:val="0"/>
    <w:rPr>
      <w:rFonts w:ascii="Arial" w:hAnsi="Arial" w:eastAsia="隶书" w:cs="Arial"/>
      <w:b/>
      <w:bCs/>
      <w:kern w:val="2"/>
      <w:sz w:val="32"/>
      <w:szCs w:val="32"/>
      <w:lang w:val="en-US" w:eastAsia="zh-CN" w:bidi="ar-SA"/>
    </w:rPr>
  </w:style>
  <w:style w:type="character" w:customStyle="1" w:styleId="89">
    <w:name w:val="日期 字符"/>
    <w:link w:val="26"/>
    <w:qFormat/>
    <w:uiPriority w:val="0"/>
    <w:rPr>
      <w:rFonts w:ascii="宋体" w:hAnsi="Courier New" w:eastAsia="宋体"/>
      <w:kern w:val="2"/>
      <w:sz w:val="32"/>
      <w:lang w:val="en-US" w:eastAsia="zh-CN" w:bidi="ar-SA"/>
    </w:rPr>
  </w:style>
  <w:style w:type="character" w:customStyle="1" w:styleId="90">
    <w:name w:val="HTML 预设格式 字符"/>
    <w:link w:val="39"/>
    <w:qFormat/>
    <w:uiPriority w:val="0"/>
    <w:rPr>
      <w:rFonts w:ascii="Arial Unicode MS" w:hAnsi="Arial Unicode MS" w:eastAsia="Arial Unicode MS"/>
      <w:color w:val="000000"/>
      <w:lang w:val="en-US" w:eastAsia="zh-CN" w:bidi="ar-SA"/>
    </w:rPr>
  </w:style>
  <w:style w:type="character" w:customStyle="1" w:styleId="91">
    <w:name w:val="纯文本 字符"/>
    <w:link w:val="24"/>
    <w:qFormat/>
    <w:uiPriority w:val="0"/>
    <w:rPr>
      <w:rFonts w:ascii="宋体" w:hAnsi="Courier New" w:eastAsia="宋体"/>
      <w:kern w:val="2"/>
      <w:sz w:val="21"/>
      <w:lang w:val="en-US" w:eastAsia="zh-CN" w:bidi="ar-SA"/>
    </w:rPr>
  </w:style>
  <w:style w:type="character" w:customStyle="1" w:styleId="92">
    <w:name w:val="正文文字首行缩进 Char"/>
    <w:qFormat/>
    <w:uiPriority w:val="0"/>
    <w:rPr>
      <w:kern w:val="2"/>
      <w:sz w:val="21"/>
      <w:szCs w:val="24"/>
    </w:rPr>
  </w:style>
  <w:style w:type="character" w:customStyle="1" w:styleId="93">
    <w:name w:val="正文文本 字符"/>
    <w:link w:val="9"/>
    <w:qFormat/>
    <w:uiPriority w:val="0"/>
    <w:rPr>
      <w:rFonts w:eastAsia="宋体"/>
      <w:b/>
      <w:bCs/>
      <w:kern w:val="2"/>
      <w:sz w:val="24"/>
      <w:szCs w:val="24"/>
      <w:lang w:val="en-US" w:eastAsia="zh-CN" w:bidi="ar-SA"/>
    </w:rPr>
  </w:style>
  <w:style w:type="character" w:customStyle="1" w:styleId="94">
    <w:name w:val="正文文本缩进 2 字符"/>
    <w:link w:val="27"/>
    <w:qFormat/>
    <w:uiPriority w:val="0"/>
    <w:rPr>
      <w:rFonts w:ascii="宋体" w:hAnsi="宋体" w:eastAsia="宋体"/>
      <w:kern w:val="2"/>
      <w:sz w:val="21"/>
      <w:szCs w:val="24"/>
      <w:lang w:val="en-US" w:eastAsia="zh-CN" w:bidi="ar-SA"/>
    </w:rPr>
  </w:style>
  <w:style w:type="character" w:customStyle="1" w:styleId="95">
    <w:name w:val="页眉 字符"/>
    <w:link w:val="30"/>
    <w:qFormat/>
    <w:uiPriority w:val="99"/>
    <w:rPr>
      <w:rFonts w:eastAsia="宋体"/>
      <w:kern w:val="2"/>
      <w:sz w:val="18"/>
      <w:szCs w:val="18"/>
      <w:lang w:val="en-US" w:eastAsia="zh-CN" w:bidi="ar-SA"/>
    </w:rPr>
  </w:style>
  <w:style w:type="character" w:customStyle="1" w:styleId="96">
    <w:name w:val="正文文本缩进 3 字符"/>
    <w:link w:val="35"/>
    <w:qFormat/>
    <w:uiPriority w:val="0"/>
    <w:rPr>
      <w:rFonts w:ascii="宋体" w:eastAsia="宋体"/>
      <w:b/>
      <w:bCs/>
      <w:kern w:val="2"/>
      <w:sz w:val="24"/>
      <w:szCs w:val="24"/>
      <w:lang w:val="en-US" w:eastAsia="zh-CN" w:bidi="ar-SA"/>
    </w:rPr>
  </w:style>
  <w:style w:type="character" w:customStyle="1" w:styleId="97">
    <w:name w:val="正文文本 2 字符"/>
    <w:link w:val="38"/>
    <w:qFormat/>
    <w:uiPriority w:val="0"/>
    <w:rPr>
      <w:rFonts w:eastAsia="宋体"/>
      <w:kern w:val="2"/>
      <w:sz w:val="24"/>
      <w:szCs w:val="24"/>
      <w:lang w:val="en-US" w:eastAsia="zh-CN" w:bidi="ar-SA"/>
    </w:rPr>
  </w:style>
  <w:style w:type="character" w:customStyle="1" w:styleId="98">
    <w:name w:val="页脚 字符"/>
    <w:link w:val="29"/>
    <w:qFormat/>
    <w:uiPriority w:val="0"/>
    <w:rPr>
      <w:rFonts w:eastAsia="宋体"/>
      <w:kern w:val="2"/>
      <w:sz w:val="18"/>
      <w:szCs w:val="18"/>
      <w:lang w:val="en-US" w:eastAsia="zh-CN" w:bidi="ar-SA"/>
    </w:rPr>
  </w:style>
  <w:style w:type="character" w:customStyle="1" w:styleId="99">
    <w:name w:val="正文文本 3 字符"/>
    <w:link w:val="20"/>
    <w:qFormat/>
    <w:uiPriority w:val="0"/>
    <w:rPr>
      <w:rFonts w:eastAsia="宋体"/>
      <w:kern w:val="2"/>
      <w:sz w:val="16"/>
      <w:szCs w:val="16"/>
      <w:lang w:val="en-US" w:eastAsia="zh-CN" w:bidi="ar-SA"/>
    </w:rPr>
  </w:style>
  <w:style w:type="character" w:customStyle="1" w:styleId="100">
    <w:name w:val="批注框文本 字符"/>
    <w:link w:val="28"/>
    <w:semiHidden/>
    <w:qFormat/>
    <w:uiPriority w:val="99"/>
    <w:rPr>
      <w:rFonts w:eastAsia="宋体"/>
      <w:kern w:val="2"/>
      <w:sz w:val="18"/>
      <w:szCs w:val="18"/>
      <w:lang w:val="en-US" w:eastAsia="zh-CN" w:bidi="ar-SA"/>
    </w:rPr>
  </w:style>
  <w:style w:type="paragraph" w:customStyle="1" w:styleId="101">
    <w:name w:val="样式1"/>
    <w:basedOn w:val="10"/>
    <w:qFormat/>
    <w:uiPriority w:val="0"/>
    <w:pPr>
      <w:spacing w:before="120" w:after="120"/>
    </w:pPr>
    <w:rPr>
      <w:rFonts w:eastAsia="黑体"/>
      <w:b w:val="0"/>
      <w:sz w:val="30"/>
      <w:szCs w:val="21"/>
    </w:rPr>
  </w:style>
  <w:style w:type="paragraph" w:customStyle="1" w:styleId="102">
    <w:name w:val="样式2"/>
    <w:basedOn w:val="10"/>
    <w:next w:val="101"/>
    <w:qFormat/>
    <w:uiPriority w:val="0"/>
    <w:pPr>
      <w:spacing w:before="120" w:after="120"/>
    </w:pPr>
    <w:rPr>
      <w:rFonts w:eastAsia="黑体"/>
      <w:b w:val="0"/>
      <w:sz w:val="30"/>
      <w:szCs w:val="30"/>
    </w:rPr>
  </w:style>
  <w:style w:type="character" w:customStyle="1" w:styleId="103">
    <w:name w:val="标题 3 Char Char"/>
    <w:qFormat/>
    <w:uiPriority w:val="0"/>
    <w:rPr>
      <w:rFonts w:eastAsia="宋体"/>
      <w:b/>
      <w:bCs/>
      <w:kern w:val="2"/>
      <w:sz w:val="32"/>
      <w:szCs w:val="32"/>
      <w:lang w:val="en-US" w:eastAsia="zh-CN" w:bidi="ar-SA"/>
    </w:rPr>
  </w:style>
  <w:style w:type="paragraph" w:customStyle="1" w:styleId="104">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5">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6">
    <w:name w:val="--规划正文"/>
    <w:basedOn w:val="1"/>
    <w:qFormat/>
    <w:uiPriority w:val="0"/>
    <w:pPr>
      <w:spacing w:line="360" w:lineRule="auto"/>
      <w:ind w:firstLine="200" w:firstLineChars="200"/>
    </w:pPr>
    <w:rPr>
      <w:szCs w:val="20"/>
    </w:rPr>
  </w:style>
  <w:style w:type="paragraph" w:customStyle="1" w:styleId="107">
    <w:name w:val="设计依据"/>
    <w:basedOn w:val="9"/>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8">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9">
    <w:name w:val="样式4"/>
    <w:basedOn w:val="1"/>
    <w:qFormat/>
    <w:uiPriority w:val="0"/>
    <w:pPr>
      <w:tabs>
        <w:tab w:val="left" w:pos="842"/>
      </w:tabs>
      <w:spacing w:line="360" w:lineRule="auto"/>
      <w:ind w:left="842" w:hanging="420"/>
    </w:pPr>
    <w:rPr>
      <w:sz w:val="24"/>
    </w:rPr>
  </w:style>
  <w:style w:type="paragraph" w:customStyle="1" w:styleId="110">
    <w:name w:val="文字"/>
    <w:basedOn w:val="1"/>
    <w:qFormat/>
    <w:uiPriority w:val="0"/>
    <w:pPr>
      <w:tabs>
        <w:tab w:val="left" w:pos="8520"/>
      </w:tabs>
      <w:spacing w:line="312" w:lineRule="auto"/>
      <w:ind w:right="-210" w:firstLine="556"/>
    </w:pPr>
    <w:rPr>
      <w:rFonts w:ascii="宋体"/>
      <w:sz w:val="28"/>
      <w:szCs w:val="20"/>
    </w:rPr>
  </w:style>
  <w:style w:type="paragraph" w:customStyle="1" w:styleId="111">
    <w:name w:val="--规划-表格-居左"/>
    <w:basedOn w:val="106"/>
    <w:qFormat/>
    <w:uiPriority w:val="0"/>
    <w:pPr>
      <w:spacing w:line="240" w:lineRule="auto"/>
      <w:ind w:firstLine="0" w:firstLineChars="0"/>
    </w:pPr>
    <w:rPr>
      <w:sz w:val="20"/>
    </w:rPr>
  </w:style>
  <w:style w:type="paragraph" w:customStyle="1" w:styleId="112">
    <w:name w:val="--规划-表格-居中"/>
    <w:basedOn w:val="106"/>
    <w:qFormat/>
    <w:uiPriority w:val="0"/>
    <w:pPr>
      <w:spacing w:line="240" w:lineRule="auto"/>
      <w:ind w:firstLine="0" w:firstLineChars="0"/>
      <w:jc w:val="center"/>
    </w:pPr>
    <w:rPr>
      <w:sz w:val="20"/>
    </w:rPr>
  </w:style>
  <w:style w:type="paragraph" w:customStyle="1" w:styleId="113">
    <w:name w:val="--编号内缩进"/>
    <w:basedOn w:val="1"/>
    <w:qFormat/>
    <w:uiPriority w:val="0"/>
    <w:pPr>
      <w:spacing w:line="360" w:lineRule="auto"/>
      <w:ind w:left="420" w:firstLine="200" w:firstLineChars="200"/>
    </w:pPr>
    <w:rPr>
      <w:szCs w:val="21"/>
    </w:rPr>
  </w:style>
  <w:style w:type="paragraph" w:customStyle="1" w:styleId="114">
    <w:name w:val="--规划-题注"/>
    <w:basedOn w:val="1"/>
    <w:next w:val="106"/>
    <w:qFormat/>
    <w:uiPriority w:val="0"/>
    <w:pPr>
      <w:spacing w:line="360" w:lineRule="auto"/>
      <w:jc w:val="center"/>
    </w:pPr>
    <w:rPr>
      <w:rFonts w:eastAsia="黑体"/>
    </w:rPr>
  </w:style>
  <w:style w:type="paragraph" w:customStyle="1" w:styleId="115">
    <w:name w:val="--规划-图和表"/>
    <w:next w:val="106"/>
    <w:qFormat/>
    <w:uiPriority w:val="0"/>
    <w:pPr>
      <w:jc w:val="center"/>
    </w:pPr>
    <w:rPr>
      <w:rFonts w:ascii="Times New Roman" w:hAnsi="Times New Roman" w:eastAsia="宋体" w:cs="Times New Roman"/>
      <w:kern w:val="2"/>
      <w:sz w:val="21"/>
      <w:lang w:val="en-US" w:eastAsia="zh-CN" w:bidi="ar-SA"/>
    </w:rPr>
  </w:style>
  <w:style w:type="paragraph" w:customStyle="1" w:styleId="116">
    <w:name w:val="--规划-小标题"/>
    <w:basedOn w:val="1"/>
    <w:next w:val="106"/>
    <w:qFormat/>
    <w:uiPriority w:val="0"/>
    <w:pPr>
      <w:keepNext/>
      <w:keepLines/>
      <w:spacing w:line="360" w:lineRule="auto"/>
      <w:outlineLvl w:val="4"/>
    </w:pPr>
    <w:rPr>
      <w:rFonts w:eastAsia="黑体"/>
    </w:rPr>
  </w:style>
  <w:style w:type="paragraph" w:customStyle="1" w:styleId="117">
    <w:name w:val="--规划正文 Char"/>
    <w:basedOn w:val="1"/>
    <w:qFormat/>
    <w:uiPriority w:val="0"/>
    <w:pPr>
      <w:spacing w:line="360" w:lineRule="auto"/>
      <w:ind w:firstLine="200" w:firstLineChars="200"/>
    </w:pPr>
    <w:rPr>
      <w:sz w:val="24"/>
    </w:rPr>
  </w:style>
  <w:style w:type="paragraph" w:customStyle="1" w:styleId="118">
    <w:name w:val="缺省文本"/>
    <w:basedOn w:val="1"/>
    <w:qFormat/>
    <w:uiPriority w:val="0"/>
    <w:pPr>
      <w:autoSpaceDE w:val="0"/>
      <w:autoSpaceDN w:val="0"/>
      <w:adjustRightInd w:val="0"/>
      <w:jc w:val="left"/>
    </w:pPr>
    <w:rPr>
      <w:kern w:val="0"/>
    </w:rPr>
  </w:style>
  <w:style w:type="paragraph" w:customStyle="1" w:styleId="119">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0">
    <w:name w:val="--规划正文 Char Char"/>
    <w:qFormat/>
    <w:uiPriority w:val="0"/>
    <w:rPr>
      <w:rFonts w:eastAsia="宋体"/>
      <w:kern w:val="2"/>
      <w:sz w:val="24"/>
      <w:szCs w:val="24"/>
      <w:lang w:val="en-US" w:eastAsia="zh-CN" w:bidi="ar-SA"/>
    </w:rPr>
  </w:style>
  <w:style w:type="paragraph" w:customStyle="1" w:styleId="121">
    <w:name w:val="样式3"/>
    <w:basedOn w:val="3"/>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2">
    <w:name w:val="--规划正文 Char1"/>
    <w:qFormat/>
    <w:uiPriority w:val="0"/>
    <w:rPr>
      <w:rFonts w:eastAsia="宋体"/>
      <w:kern w:val="2"/>
      <w:sz w:val="21"/>
      <w:lang w:val="en-US" w:eastAsia="zh-CN" w:bidi="ar-SA"/>
    </w:rPr>
  </w:style>
  <w:style w:type="paragraph" w:customStyle="1" w:styleId="123">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4">
    <w:name w:val="列表项目"/>
    <w:basedOn w:val="1"/>
    <w:qFormat/>
    <w:uiPriority w:val="0"/>
    <w:pPr>
      <w:tabs>
        <w:tab w:val="left" w:pos="420"/>
        <w:tab w:val="left" w:pos="1080"/>
      </w:tabs>
      <w:spacing w:line="288" w:lineRule="auto"/>
      <w:ind w:left="1080" w:hanging="360"/>
    </w:pPr>
    <w:rPr>
      <w:sz w:val="24"/>
      <w:szCs w:val="20"/>
    </w:rPr>
  </w:style>
  <w:style w:type="character" w:customStyle="1" w:styleId="125">
    <w:name w:val="content1"/>
    <w:qFormat/>
    <w:uiPriority w:val="0"/>
    <w:rPr>
      <w:rFonts w:hint="default" w:ascii="??" w:hAnsi="??"/>
      <w:sz w:val="16"/>
      <w:szCs w:val="16"/>
      <w:u w:val="none"/>
    </w:rPr>
  </w:style>
  <w:style w:type="character" w:customStyle="1" w:styleId="126">
    <w:name w:val="unnamed4"/>
    <w:basedOn w:val="47"/>
    <w:qFormat/>
    <w:uiPriority w:val="0"/>
  </w:style>
  <w:style w:type="character" w:customStyle="1" w:styleId="127">
    <w:name w:val="font2"/>
    <w:basedOn w:val="47"/>
    <w:qFormat/>
    <w:uiPriority w:val="0"/>
  </w:style>
  <w:style w:type="character" w:customStyle="1" w:styleId="128">
    <w:name w:val="font41"/>
    <w:qFormat/>
    <w:uiPriority w:val="0"/>
    <w:rPr>
      <w:color w:val="000000"/>
      <w:spacing w:val="260"/>
      <w:sz w:val="18"/>
      <w:szCs w:val="18"/>
      <w:u w:val="none"/>
    </w:rPr>
  </w:style>
  <w:style w:type="paragraph" w:customStyle="1" w:styleId="12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0">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1">
    <w:name w:val="正文文本首行缩进 字符"/>
    <w:link w:val="43"/>
    <w:qFormat/>
    <w:uiPriority w:val="0"/>
    <w:rPr>
      <w:rFonts w:eastAsia="宋体"/>
      <w:b/>
      <w:bCs/>
      <w:kern w:val="2"/>
      <w:sz w:val="21"/>
      <w:szCs w:val="24"/>
      <w:lang w:val="en-US" w:eastAsia="zh-CN" w:bidi="ar-SA"/>
    </w:rPr>
  </w:style>
  <w:style w:type="paragraph" w:customStyle="1" w:styleId="132">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3">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4">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5">
    <w:name w:val="mode"/>
    <w:basedOn w:val="47"/>
    <w:qFormat/>
    <w:uiPriority w:val="0"/>
  </w:style>
  <w:style w:type="paragraph" w:customStyle="1" w:styleId="136">
    <w:name w:val="9"/>
    <w:basedOn w:val="1"/>
    <w:next w:val="8"/>
    <w:qFormat/>
    <w:uiPriority w:val="0"/>
    <w:pPr>
      <w:autoSpaceDE w:val="0"/>
      <w:autoSpaceDN w:val="0"/>
      <w:adjustRightInd w:val="0"/>
      <w:ind w:firstLine="420"/>
      <w:jc w:val="left"/>
      <w:textAlignment w:val="baseline"/>
    </w:pPr>
    <w:rPr>
      <w:rFonts w:ascii="宋体"/>
      <w:kern w:val="0"/>
      <w:sz w:val="34"/>
      <w:szCs w:val="20"/>
    </w:rPr>
  </w:style>
  <w:style w:type="character" w:customStyle="1" w:styleId="137">
    <w:name w:val="unnamed3"/>
    <w:basedOn w:val="47"/>
    <w:qFormat/>
    <w:uiPriority w:val="0"/>
  </w:style>
  <w:style w:type="paragraph" w:customStyle="1" w:styleId="138">
    <w:name w:val="8"/>
    <w:basedOn w:val="1"/>
    <w:next w:val="21"/>
    <w:qFormat/>
    <w:uiPriority w:val="0"/>
    <w:pPr>
      <w:spacing w:after="120"/>
      <w:ind w:left="420" w:leftChars="200"/>
    </w:pPr>
  </w:style>
  <w:style w:type="paragraph" w:customStyle="1" w:styleId="139">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0">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1">
    <w:name w:val="5"/>
    <w:basedOn w:val="1"/>
    <w:qFormat/>
    <w:uiPriority w:val="0"/>
    <w:pPr>
      <w:autoSpaceDE w:val="0"/>
      <w:autoSpaceDN w:val="0"/>
      <w:adjustRightInd w:val="0"/>
      <w:jc w:val="left"/>
    </w:pPr>
    <w:rPr>
      <w:rFonts w:ascii="宋体"/>
      <w:b/>
      <w:bCs/>
      <w:kern w:val="0"/>
      <w:sz w:val="18"/>
      <w:szCs w:val="18"/>
    </w:rPr>
  </w:style>
  <w:style w:type="paragraph" w:customStyle="1" w:styleId="142">
    <w:name w:val="6"/>
    <w:basedOn w:val="141"/>
    <w:qFormat/>
    <w:uiPriority w:val="0"/>
    <w:pPr>
      <w:spacing w:line="270" w:lineRule="atLeast"/>
      <w:jc w:val="both"/>
    </w:pPr>
    <w:rPr>
      <w:b w:val="0"/>
      <w:bCs w:val="0"/>
    </w:rPr>
  </w:style>
  <w:style w:type="paragraph" w:customStyle="1" w:styleId="143">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4">
    <w:name w:val="姜文清定义的正文"/>
    <w:basedOn w:val="1"/>
    <w:qFormat/>
    <w:uiPriority w:val="0"/>
    <w:pPr>
      <w:spacing w:line="240" w:lineRule="atLeast"/>
      <w:ind w:firstLine="567"/>
    </w:pPr>
    <w:rPr>
      <w:szCs w:val="20"/>
    </w:rPr>
  </w:style>
  <w:style w:type="paragraph" w:customStyle="1" w:styleId="145">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6">
    <w:name w:val="CM2"/>
    <w:basedOn w:val="145"/>
    <w:next w:val="145"/>
    <w:qFormat/>
    <w:uiPriority w:val="0"/>
    <w:pPr>
      <w:spacing w:line="200" w:lineRule="atLeast"/>
    </w:pPr>
    <w:rPr>
      <w:rFonts w:ascii="Arial" w:hAnsi="Arial" w:eastAsia="宋体" w:cs="Times New Roman"/>
      <w:color w:val="auto"/>
    </w:rPr>
  </w:style>
  <w:style w:type="paragraph" w:customStyle="1" w:styleId="147">
    <w:name w:val="Normal Paragraph"/>
    <w:basedOn w:val="1"/>
    <w:qFormat/>
    <w:uiPriority w:val="0"/>
    <w:pPr>
      <w:widowControl/>
      <w:spacing w:before="120" w:line="360" w:lineRule="auto"/>
      <w:ind w:firstLine="425"/>
    </w:pPr>
    <w:rPr>
      <w:kern w:val="0"/>
      <w:sz w:val="24"/>
    </w:rPr>
  </w:style>
  <w:style w:type="character" w:customStyle="1" w:styleId="148">
    <w:name w:val="blue"/>
    <w:basedOn w:val="47"/>
    <w:qFormat/>
    <w:uiPriority w:val="0"/>
  </w:style>
  <w:style w:type="paragraph" w:customStyle="1" w:styleId="149">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0">
    <w:name w:val="font"/>
    <w:basedOn w:val="47"/>
    <w:qFormat/>
    <w:uiPriority w:val="0"/>
  </w:style>
  <w:style w:type="character" w:customStyle="1" w:styleId="151">
    <w:name w:val="font11"/>
    <w:qFormat/>
    <w:uiPriority w:val="0"/>
    <w:rPr>
      <w:rFonts w:hint="default" w:ascii="ˎ̥" w:hAnsi="ˎ̥"/>
    </w:rPr>
  </w:style>
  <w:style w:type="paragraph" w:customStyle="1" w:styleId="152">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3">
    <w:name w:val="proddescription"/>
    <w:basedOn w:val="47"/>
    <w:qFormat/>
    <w:uiPriority w:val="0"/>
  </w:style>
  <w:style w:type="character" w:customStyle="1" w:styleId="154">
    <w:name w:val="prodheadlines"/>
    <w:basedOn w:val="47"/>
    <w:qFormat/>
    <w:uiPriority w:val="0"/>
  </w:style>
  <w:style w:type="character" w:customStyle="1" w:styleId="155">
    <w:name w:val="text"/>
    <w:basedOn w:val="47"/>
    <w:qFormat/>
    <w:uiPriority w:val="0"/>
  </w:style>
  <w:style w:type="paragraph" w:customStyle="1" w:styleId="156">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7">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8">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9">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0">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1">
    <w:name w:val="段落正文"/>
    <w:basedOn w:val="24"/>
    <w:qFormat/>
    <w:uiPriority w:val="0"/>
    <w:pPr>
      <w:ind w:firstLine="560" w:firstLineChars="200"/>
    </w:pPr>
    <w:rPr>
      <w:sz w:val="28"/>
    </w:rPr>
  </w:style>
  <w:style w:type="character" w:customStyle="1" w:styleId="162">
    <w:name w:val="gray6"/>
    <w:basedOn w:val="47"/>
    <w:qFormat/>
    <w:uiPriority w:val="0"/>
  </w:style>
  <w:style w:type="character" w:customStyle="1" w:styleId="163">
    <w:name w:val="style9"/>
    <w:basedOn w:val="47"/>
    <w:qFormat/>
    <w:uiPriority w:val="0"/>
  </w:style>
  <w:style w:type="paragraph" w:customStyle="1" w:styleId="164">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5">
    <w:name w:val="grame"/>
    <w:basedOn w:val="47"/>
    <w:qFormat/>
    <w:uiPriority w:val="0"/>
  </w:style>
  <w:style w:type="paragraph" w:customStyle="1" w:styleId="166">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7">
    <w:name w:val="Char1"/>
    <w:basedOn w:val="1"/>
    <w:qFormat/>
    <w:uiPriority w:val="0"/>
    <w:pPr>
      <w:jc w:val="left"/>
    </w:pPr>
    <w:rPr>
      <w:rFonts w:ascii="Tahoma" w:hAnsi="Tahoma"/>
      <w:sz w:val="24"/>
      <w:szCs w:val="20"/>
    </w:rPr>
  </w:style>
  <w:style w:type="paragraph" w:customStyle="1" w:styleId="168">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9">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0">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2">
    <w:name w:val="font6"/>
    <w:basedOn w:val="1"/>
    <w:qFormat/>
    <w:uiPriority w:val="0"/>
    <w:pPr>
      <w:widowControl/>
      <w:spacing w:before="100" w:beforeAutospacing="1" w:after="100" w:afterAutospacing="1"/>
      <w:jc w:val="left"/>
    </w:pPr>
    <w:rPr>
      <w:kern w:val="0"/>
      <w:sz w:val="24"/>
    </w:rPr>
  </w:style>
  <w:style w:type="paragraph" w:customStyle="1" w:styleId="17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5">
    <w:name w:val="表格字"/>
    <w:basedOn w:val="1"/>
    <w:qFormat/>
    <w:uiPriority w:val="0"/>
    <w:pPr>
      <w:adjustRightInd w:val="0"/>
      <w:jc w:val="center"/>
    </w:pPr>
    <w:rPr>
      <w:rFonts w:ascii="宋体"/>
      <w:sz w:val="24"/>
      <w:szCs w:val="20"/>
    </w:rPr>
  </w:style>
  <w:style w:type="character" w:customStyle="1" w:styleId="176">
    <w:name w:val="样式 小三 加粗"/>
    <w:qFormat/>
    <w:uiPriority w:val="0"/>
    <w:rPr>
      <w:rFonts w:eastAsia="宋体"/>
      <w:b/>
      <w:bCs/>
      <w:sz w:val="32"/>
    </w:rPr>
  </w:style>
  <w:style w:type="paragraph" w:customStyle="1" w:styleId="17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9">
    <w:name w:val="Char Char Char"/>
    <w:basedOn w:val="1"/>
    <w:qFormat/>
    <w:uiPriority w:val="0"/>
    <w:rPr>
      <w:rFonts w:ascii="Tahoma" w:hAnsi="Tahoma"/>
      <w:sz w:val="24"/>
      <w:szCs w:val="20"/>
    </w:rPr>
  </w:style>
  <w:style w:type="paragraph" w:customStyle="1" w:styleId="180">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1">
    <w:name w:val="info4"/>
    <w:basedOn w:val="47"/>
    <w:qFormat/>
    <w:uiPriority w:val="0"/>
  </w:style>
  <w:style w:type="paragraph" w:customStyle="1" w:styleId="182">
    <w:name w:val="缩进正文"/>
    <w:basedOn w:val="1"/>
    <w:link w:val="183"/>
    <w:qFormat/>
    <w:uiPriority w:val="0"/>
    <w:pPr>
      <w:ind w:firstLine="560" w:firstLineChars="200"/>
    </w:pPr>
    <w:rPr>
      <w:rFonts w:eastAsia="仿宋_GB2312" w:cs="宋体"/>
      <w:sz w:val="28"/>
      <w:szCs w:val="20"/>
    </w:rPr>
  </w:style>
  <w:style w:type="character" w:customStyle="1" w:styleId="183">
    <w:name w:val="缩进正文 Char"/>
    <w:link w:val="182"/>
    <w:qFormat/>
    <w:uiPriority w:val="0"/>
    <w:rPr>
      <w:rFonts w:eastAsia="仿宋_GB2312" w:cs="宋体"/>
      <w:kern w:val="2"/>
      <w:sz w:val="28"/>
      <w:lang w:val="en-US" w:eastAsia="zh-CN" w:bidi="ar-SA"/>
    </w:rPr>
  </w:style>
  <w:style w:type="paragraph" w:customStyle="1" w:styleId="184">
    <w:name w:val="列出段落1"/>
    <w:basedOn w:val="1"/>
    <w:qFormat/>
    <w:uiPriority w:val="0"/>
    <w:pPr>
      <w:ind w:firstLine="420" w:firstLineChars="200"/>
    </w:pPr>
    <w:rPr>
      <w:rFonts w:ascii="Calibri" w:hAnsi="Calibri" w:cs="Calibri"/>
      <w:szCs w:val="21"/>
    </w:rPr>
  </w:style>
  <w:style w:type="character" w:customStyle="1" w:styleId="185">
    <w:name w:val="批注文字 字符"/>
    <w:basedOn w:val="47"/>
    <w:link w:val="19"/>
    <w:semiHidden/>
    <w:qFormat/>
    <w:uiPriority w:val="99"/>
    <w:rPr>
      <w:rFonts w:ascii="宋体"/>
      <w:sz w:val="34"/>
    </w:rPr>
  </w:style>
  <w:style w:type="character" w:customStyle="1" w:styleId="186">
    <w:name w:val="批注主题 字符"/>
    <w:basedOn w:val="185"/>
    <w:link w:val="42"/>
    <w:qFormat/>
    <w:uiPriority w:val="99"/>
    <w:rPr>
      <w:rFonts w:ascii="宋体"/>
      <w:sz w:val="34"/>
    </w:rPr>
  </w:style>
  <w:style w:type="paragraph" w:customStyle="1" w:styleId="187">
    <w:name w:val="评价"/>
    <w:basedOn w:val="1"/>
    <w:qFormat/>
    <w:uiPriority w:val="0"/>
    <w:pPr>
      <w:spacing w:afterLines="20"/>
      <w:ind w:firstLine="1446" w:firstLineChars="200"/>
    </w:pPr>
    <w:rPr>
      <w:rFonts w:ascii="Calibri" w:hAnsi="Calibri"/>
      <w:sz w:val="24"/>
    </w:rPr>
  </w:style>
  <w:style w:type="paragraph" w:customStyle="1" w:styleId="18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9">
    <w:name w:val="alt-edited1"/>
    <w:qFormat/>
    <w:uiPriority w:val="0"/>
    <w:rPr>
      <w:color w:val="4D90F0"/>
    </w:rPr>
  </w:style>
  <w:style w:type="paragraph" w:customStyle="1" w:styleId="190">
    <w:name w:val="toc 14"/>
    <w:next w:val="1"/>
    <w:qFormat/>
    <w:uiPriority w:val="0"/>
    <w:pPr>
      <w:wordWrap w:val="0"/>
      <w:jc w:val="both"/>
    </w:pPr>
    <w:rPr>
      <w:rFonts w:ascii="Calibri" w:hAnsi="Calibri" w:eastAsia="宋体" w:cs="Times New Roman"/>
      <w:sz w:val="21"/>
      <w:lang w:val="en-US" w:eastAsia="zh-CN" w:bidi="ar-SA"/>
    </w:rPr>
  </w:style>
  <w:style w:type="character" w:customStyle="1" w:styleId="191">
    <w:name w:val="文档结构图 Char1"/>
    <w:semiHidden/>
    <w:qFormat/>
    <w:uiPriority w:val="0"/>
    <w:rPr>
      <w:sz w:val="20"/>
    </w:rPr>
  </w:style>
  <w:style w:type="character" w:customStyle="1" w:styleId="192">
    <w:name w:val="文档结构图 Char"/>
    <w:semiHidden/>
    <w:qFormat/>
    <w:uiPriority w:val="0"/>
    <w:rPr>
      <w:sz w:val="20"/>
    </w:rPr>
  </w:style>
  <w:style w:type="character" w:customStyle="1" w:styleId="193">
    <w:name w:val="short_text"/>
    <w:basedOn w:val="47"/>
    <w:qFormat/>
    <w:uiPriority w:val="0"/>
    <w:rPr>
      <w:sz w:val="20"/>
    </w:rPr>
  </w:style>
  <w:style w:type="character" w:customStyle="1" w:styleId="194">
    <w:name w:val="标题 Char1"/>
    <w:qFormat/>
    <w:uiPriority w:val="0"/>
    <w:rPr>
      <w:b/>
      <w:sz w:val="20"/>
    </w:rPr>
  </w:style>
  <w:style w:type="character" w:customStyle="1" w:styleId="195">
    <w:name w:val="正文文本缩进 3 Char1"/>
    <w:semiHidden/>
    <w:qFormat/>
    <w:uiPriority w:val="0"/>
    <w:rPr>
      <w:sz w:val="20"/>
    </w:rPr>
  </w:style>
  <w:style w:type="character" w:customStyle="1" w:styleId="196">
    <w:name w:val="font21"/>
    <w:qFormat/>
    <w:uiPriority w:val="0"/>
    <w:rPr>
      <w:color w:val="FF0000"/>
      <w:sz w:val="20"/>
      <w:u w:val="none"/>
    </w:rPr>
  </w:style>
  <w:style w:type="character" w:customStyle="1" w:styleId="197">
    <w:name w:val="不明显强调1"/>
    <w:qFormat/>
    <w:uiPriority w:val="0"/>
    <w:rPr>
      <w:i/>
      <w:sz w:val="20"/>
    </w:rPr>
  </w:style>
  <w:style w:type="character" w:customStyle="1" w:styleId="198">
    <w:name w:val="font71"/>
    <w:qFormat/>
    <w:uiPriority w:val="0"/>
    <w:rPr>
      <w:sz w:val="20"/>
      <w:u w:val="none"/>
    </w:rPr>
  </w:style>
  <w:style w:type="character" w:customStyle="1" w:styleId="199">
    <w:name w:val="页眉 Char1"/>
    <w:semiHidden/>
    <w:qFormat/>
    <w:uiPriority w:val="0"/>
    <w:rPr>
      <w:sz w:val="20"/>
    </w:rPr>
  </w:style>
  <w:style w:type="character" w:customStyle="1" w:styleId="200">
    <w:name w:val="正文文本缩进 2 Char1"/>
    <w:semiHidden/>
    <w:qFormat/>
    <w:uiPriority w:val="0"/>
    <w:rPr>
      <w:sz w:val="20"/>
    </w:rPr>
  </w:style>
  <w:style w:type="character" w:customStyle="1" w:styleId="201">
    <w:name w:val="font61"/>
    <w:qFormat/>
    <w:uiPriority w:val="0"/>
    <w:rPr>
      <w:sz w:val="20"/>
      <w:u w:val="none"/>
    </w:rPr>
  </w:style>
  <w:style w:type="character" w:customStyle="1" w:styleId="202">
    <w:name w:val="纯文本 Char1"/>
    <w:semiHidden/>
    <w:qFormat/>
    <w:uiPriority w:val="0"/>
    <w:rPr>
      <w:sz w:val="20"/>
    </w:rPr>
  </w:style>
  <w:style w:type="character" w:customStyle="1" w:styleId="203">
    <w:name w:val="正文文本 3 Char1"/>
    <w:semiHidden/>
    <w:qFormat/>
    <w:uiPriority w:val="0"/>
    <w:rPr>
      <w:sz w:val="20"/>
    </w:rPr>
  </w:style>
  <w:style w:type="character" w:customStyle="1" w:styleId="204">
    <w:name w:val="正文文本缩进 Char1"/>
    <w:semiHidden/>
    <w:qFormat/>
    <w:uiPriority w:val="0"/>
    <w:rPr>
      <w:sz w:val="20"/>
    </w:rPr>
  </w:style>
  <w:style w:type="character" w:customStyle="1" w:styleId="205">
    <w:name w:val="明显参考1"/>
    <w:qFormat/>
    <w:uiPriority w:val="0"/>
    <w:rPr>
      <w:b/>
      <w:sz w:val="20"/>
    </w:rPr>
  </w:style>
  <w:style w:type="character" w:customStyle="1" w:styleId="206">
    <w:name w:val="apple-converted-space"/>
    <w:qFormat/>
    <w:uiPriority w:val="0"/>
    <w:rPr>
      <w:sz w:val="20"/>
    </w:rPr>
  </w:style>
  <w:style w:type="character" w:customStyle="1" w:styleId="207">
    <w:name w:val="书籍标题1"/>
    <w:qFormat/>
    <w:uiPriority w:val="0"/>
    <w:rPr>
      <w:b/>
      <w:i/>
      <w:sz w:val="20"/>
    </w:rPr>
  </w:style>
  <w:style w:type="character" w:customStyle="1" w:styleId="208">
    <w:name w:val="long_text"/>
    <w:qFormat/>
    <w:uiPriority w:val="0"/>
    <w:rPr>
      <w:sz w:val="20"/>
    </w:rPr>
  </w:style>
  <w:style w:type="character" w:customStyle="1" w:styleId="209">
    <w:name w:val="日期 Char1"/>
    <w:semiHidden/>
    <w:qFormat/>
    <w:uiPriority w:val="0"/>
    <w:rPr>
      <w:sz w:val="20"/>
    </w:rPr>
  </w:style>
  <w:style w:type="character" w:customStyle="1" w:styleId="210">
    <w:name w:val="批注文字 Char1"/>
    <w:semiHidden/>
    <w:qFormat/>
    <w:uiPriority w:val="0"/>
    <w:rPr>
      <w:sz w:val="20"/>
    </w:rPr>
  </w:style>
  <w:style w:type="character" w:customStyle="1" w:styleId="211">
    <w:name w:val="明显强调1"/>
    <w:qFormat/>
    <w:uiPriority w:val="0"/>
    <w:rPr>
      <w:i/>
      <w:sz w:val="20"/>
    </w:rPr>
  </w:style>
  <w:style w:type="character" w:customStyle="1" w:styleId="212">
    <w:name w:val="16"/>
    <w:qFormat/>
    <w:uiPriority w:val="0"/>
    <w:rPr>
      <w:b/>
      <w:color w:val="FF0356"/>
      <w:sz w:val="20"/>
    </w:rPr>
  </w:style>
  <w:style w:type="character" w:customStyle="1" w:styleId="213">
    <w:name w:val="批注主题 Char1"/>
    <w:semiHidden/>
    <w:qFormat/>
    <w:uiPriority w:val="0"/>
    <w:rPr>
      <w:b/>
      <w:sz w:val="20"/>
    </w:rPr>
  </w:style>
  <w:style w:type="character" w:customStyle="1" w:styleId="214">
    <w:name w:val="正文文本 2 Char1"/>
    <w:semiHidden/>
    <w:qFormat/>
    <w:uiPriority w:val="0"/>
    <w:rPr>
      <w:sz w:val="20"/>
    </w:rPr>
  </w:style>
  <w:style w:type="character" w:customStyle="1" w:styleId="215">
    <w:name w:val="font31"/>
    <w:qFormat/>
    <w:uiPriority w:val="0"/>
    <w:rPr>
      <w:color w:val="FF0000"/>
      <w:sz w:val="20"/>
      <w:u w:val="none"/>
      <w:vertAlign w:val="superscript"/>
    </w:rPr>
  </w:style>
  <w:style w:type="character" w:customStyle="1" w:styleId="216">
    <w:name w:val="不明显参考1"/>
    <w:qFormat/>
    <w:uiPriority w:val="0"/>
    <w:rPr>
      <w:sz w:val="20"/>
    </w:rPr>
  </w:style>
  <w:style w:type="character" w:customStyle="1" w:styleId="217">
    <w:name w:val="HTML 预设格式 Char1"/>
    <w:semiHidden/>
    <w:qFormat/>
    <w:uiPriority w:val="0"/>
    <w:rPr>
      <w:sz w:val="20"/>
    </w:rPr>
  </w:style>
  <w:style w:type="character" w:customStyle="1" w:styleId="218">
    <w:name w:val="font01"/>
    <w:basedOn w:val="47"/>
    <w:qFormat/>
    <w:uiPriority w:val="0"/>
    <w:rPr>
      <w:color w:val="FF0000"/>
      <w:sz w:val="20"/>
      <w:u w:val="none"/>
      <w:vertAlign w:val="superscript"/>
    </w:rPr>
  </w:style>
  <w:style w:type="character" w:customStyle="1" w:styleId="219">
    <w:name w:val="页脚 Char1"/>
    <w:semiHidden/>
    <w:qFormat/>
    <w:uiPriority w:val="0"/>
    <w:rPr>
      <w:sz w:val="20"/>
    </w:rPr>
  </w:style>
  <w:style w:type="character" w:customStyle="1" w:styleId="220">
    <w:name w:val="批注框文本 Char1"/>
    <w:semiHidden/>
    <w:qFormat/>
    <w:uiPriority w:val="0"/>
    <w:rPr>
      <w:sz w:val="20"/>
    </w:rPr>
  </w:style>
  <w:style w:type="paragraph" w:customStyle="1" w:styleId="221">
    <w:name w:val="列出段落2"/>
    <w:basedOn w:val="1"/>
    <w:next w:val="222"/>
    <w:qFormat/>
    <w:uiPriority w:val="0"/>
    <w:pPr>
      <w:ind w:firstLine="420"/>
    </w:pPr>
    <w:rPr>
      <w:rFonts w:hAnsi="Calibri"/>
      <w:kern w:val="0"/>
      <w:szCs w:val="20"/>
    </w:rPr>
  </w:style>
  <w:style w:type="paragraph" w:customStyle="1" w:styleId="222">
    <w:name w:val="toc 814"/>
    <w:next w:val="1"/>
    <w:qFormat/>
    <w:uiPriority w:val="0"/>
    <w:pPr>
      <w:wordWrap w:val="0"/>
      <w:ind w:left="2975"/>
      <w:jc w:val="both"/>
    </w:pPr>
    <w:rPr>
      <w:rFonts w:ascii="Calibri" w:hAnsi="Calibri" w:eastAsia="宋体" w:cs="Times New Roman"/>
      <w:sz w:val="21"/>
      <w:lang w:val="en-US" w:eastAsia="zh-CN" w:bidi="ar-SA"/>
    </w:rPr>
  </w:style>
  <w:style w:type="paragraph" w:customStyle="1" w:styleId="223">
    <w:name w:val="toc 62"/>
    <w:next w:val="1"/>
    <w:qFormat/>
    <w:uiPriority w:val="0"/>
    <w:pPr>
      <w:wordWrap w:val="0"/>
      <w:ind w:left="2125"/>
      <w:jc w:val="both"/>
    </w:pPr>
    <w:rPr>
      <w:rFonts w:ascii="Calibri" w:hAnsi="Calibri" w:eastAsia="宋体" w:cs="Times New Roman"/>
      <w:sz w:val="21"/>
      <w:lang w:val="en-US" w:eastAsia="zh-CN" w:bidi="ar-SA"/>
    </w:rPr>
  </w:style>
  <w:style w:type="paragraph" w:customStyle="1" w:styleId="224">
    <w:name w:val="toc 414"/>
    <w:next w:val="1"/>
    <w:qFormat/>
    <w:uiPriority w:val="0"/>
    <w:pPr>
      <w:wordWrap w:val="0"/>
      <w:ind w:left="1275"/>
      <w:jc w:val="both"/>
    </w:pPr>
    <w:rPr>
      <w:rFonts w:ascii="Calibri" w:hAnsi="Calibri" w:eastAsia="宋体" w:cs="Times New Roman"/>
      <w:sz w:val="21"/>
      <w:lang w:val="en-US" w:eastAsia="zh-CN" w:bidi="ar-SA"/>
    </w:rPr>
  </w:style>
  <w:style w:type="paragraph" w:customStyle="1" w:styleId="225">
    <w:name w:val="toc 411"/>
    <w:next w:val="1"/>
    <w:qFormat/>
    <w:uiPriority w:val="0"/>
    <w:pPr>
      <w:wordWrap w:val="0"/>
      <w:ind w:left="1275"/>
      <w:jc w:val="both"/>
    </w:pPr>
    <w:rPr>
      <w:rFonts w:ascii="Calibri" w:hAnsi="Calibri" w:eastAsia="宋体" w:cs="Times New Roman"/>
      <w:sz w:val="21"/>
      <w:lang w:val="en-US" w:eastAsia="zh-CN" w:bidi="ar-SA"/>
    </w:rPr>
  </w:style>
  <w:style w:type="paragraph" w:customStyle="1" w:styleId="226">
    <w:name w:val="xl86"/>
    <w:basedOn w:val="1"/>
    <w:next w:val="227"/>
    <w:qFormat/>
    <w:uiPriority w:val="0"/>
    <w:pPr>
      <w:widowControl/>
      <w:shd w:val="clear" w:color="000000" w:fill="FFFFFF"/>
      <w:spacing w:before="280" w:after="280"/>
      <w:jc w:val="center"/>
    </w:pPr>
    <w:rPr>
      <w:rFonts w:ascii="宋体" w:hAnsi="Calibri"/>
      <w:kern w:val="0"/>
      <w:sz w:val="20"/>
      <w:szCs w:val="20"/>
    </w:rPr>
  </w:style>
  <w:style w:type="paragraph" w:customStyle="1" w:styleId="227">
    <w:name w:val="toc 515"/>
    <w:next w:val="1"/>
    <w:qFormat/>
    <w:uiPriority w:val="0"/>
    <w:pPr>
      <w:wordWrap w:val="0"/>
      <w:ind w:left="1700"/>
      <w:jc w:val="both"/>
    </w:pPr>
    <w:rPr>
      <w:rFonts w:ascii="Calibri" w:hAnsi="Calibri" w:eastAsia="宋体" w:cs="Times New Roman"/>
      <w:sz w:val="21"/>
      <w:lang w:val="en-US" w:eastAsia="zh-CN" w:bidi="ar-SA"/>
    </w:rPr>
  </w:style>
  <w:style w:type="paragraph" w:customStyle="1" w:styleId="228">
    <w:name w:val="TOC Heading4"/>
    <w:next w:val="1"/>
    <w:qFormat/>
    <w:uiPriority w:val="0"/>
    <w:pPr>
      <w:wordWrap w:val="0"/>
    </w:pPr>
    <w:rPr>
      <w:rFonts w:ascii="Calibri" w:hAnsi="Calibri" w:eastAsia="宋体" w:cs="Times New Roman"/>
      <w:sz w:val="32"/>
      <w:lang w:val="en-US" w:eastAsia="zh-CN" w:bidi="ar-SA"/>
    </w:rPr>
  </w:style>
  <w:style w:type="paragraph" w:customStyle="1" w:styleId="229">
    <w:name w:val="toc 15"/>
    <w:next w:val="1"/>
    <w:qFormat/>
    <w:uiPriority w:val="0"/>
    <w:pPr>
      <w:wordWrap w:val="0"/>
      <w:jc w:val="both"/>
    </w:pPr>
    <w:rPr>
      <w:rFonts w:ascii="Calibri" w:hAnsi="Calibri" w:eastAsia="宋体" w:cs="Times New Roman"/>
      <w:sz w:val="21"/>
      <w:lang w:val="en-US" w:eastAsia="zh-CN" w:bidi="ar-SA"/>
    </w:rPr>
  </w:style>
  <w:style w:type="paragraph" w:customStyle="1" w:styleId="230">
    <w:name w:val="TOC Heading2"/>
    <w:next w:val="1"/>
    <w:qFormat/>
    <w:uiPriority w:val="0"/>
    <w:pPr>
      <w:wordWrap w:val="0"/>
    </w:pPr>
    <w:rPr>
      <w:rFonts w:ascii="Calibri" w:hAnsi="Calibri" w:eastAsia="宋体" w:cs="Times New Roman"/>
      <w:sz w:val="32"/>
      <w:lang w:val="en-US" w:eastAsia="zh-CN" w:bidi="ar-SA"/>
    </w:rPr>
  </w:style>
  <w:style w:type="paragraph" w:customStyle="1" w:styleId="231">
    <w:name w:val="TOC Heading1"/>
    <w:next w:val="1"/>
    <w:qFormat/>
    <w:uiPriority w:val="0"/>
    <w:pPr>
      <w:wordWrap w:val="0"/>
    </w:pPr>
    <w:rPr>
      <w:rFonts w:ascii="Calibri" w:hAnsi="Calibri" w:eastAsia="宋体" w:cs="Times New Roman"/>
      <w:sz w:val="32"/>
      <w:lang w:val="en-US" w:eastAsia="zh-CN" w:bidi="ar-SA"/>
    </w:rPr>
  </w:style>
  <w:style w:type="paragraph" w:customStyle="1" w:styleId="232">
    <w:name w:val="toc 73"/>
    <w:next w:val="1"/>
    <w:qFormat/>
    <w:uiPriority w:val="0"/>
    <w:pPr>
      <w:wordWrap w:val="0"/>
      <w:ind w:left="2550"/>
      <w:jc w:val="both"/>
    </w:pPr>
    <w:rPr>
      <w:rFonts w:ascii="Calibri" w:hAnsi="Calibri" w:eastAsia="宋体" w:cs="Times New Roman"/>
      <w:sz w:val="21"/>
      <w:lang w:val="en-US" w:eastAsia="zh-CN" w:bidi="ar-SA"/>
    </w:rPr>
  </w:style>
  <w:style w:type="paragraph" w:customStyle="1" w:styleId="233">
    <w:name w:val="font7"/>
    <w:basedOn w:val="1"/>
    <w:next w:val="234"/>
    <w:qFormat/>
    <w:uiPriority w:val="0"/>
    <w:pPr>
      <w:widowControl/>
      <w:spacing w:before="280" w:after="280"/>
    </w:pPr>
    <w:rPr>
      <w:rFonts w:ascii="Arial" w:hAnsi="Calibri"/>
      <w:kern w:val="0"/>
      <w:sz w:val="18"/>
      <w:szCs w:val="20"/>
    </w:rPr>
  </w:style>
  <w:style w:type="paragraph" w:customStyle="1" w:styleId="234">
    <w:name w:val="toc 810"/>
    <w:next w:val="1"/>
    <w:qFormat/>
    <w:uiPriority w:val="0"/>
    <w:pPr>
      <w:wordWrap w:val="0"/>
      <w:ind w:left="2975"/>
      <w:jc w:val="both"/>
    </w:pPr>
    <w:rPr>
      <w:rFonts w:ascii="Calibri" w:hAnsi="Calibri" w:eastAsia="宋体" w:cs="Times New Roman"/>
      <w:sz w:val="21"/>
      <w:lang w:val="en-US" w:eastAsia="zh-CN" w:bidi="ar-SA"/>
    </w:rPr>
  </w:style>
  <w:style w:type="paragraph" w:customStyle="1" w:styleId="235">
    <w:name w:val="xl113"/>
    <w:basedOn w:val="1"/>
    <w:next w:val="236"/>
    <w:qFormat/>
    <w:uiPriority w:val="0"/>
    <w:pPr>
      <w:widowControl/>
      <w:shd w:val="clear" w:color="000000" w:fill="FFFFFF"/>
      <w:spacing w:before="280" w:after="280"/>
      <w:jc w:val="center"/>
    </w:pPr>
    <w:rPr>
      <w:rFonts w:ascii="宋体" w:hAnsi="Calibri"/>
      <w:b/>
      <w:kern w:val="0"/>
      <w:sz w:val="20"/>
      <w:szCs w:val="20"/>
    </w:rPr>
  </w:style>
  <w:style w:type="paragraph" w:customStyle="1" w:styleId="236">
    <w:name w:val="TOC Heading10"/>
    <w:next w:val="1"/>
    <w:qFormat/>
    <w:uiPriority w:val="0"/>
    <w:pPr>
      <w:wordWrap w:val="0"/>
    </w:pPr>
    <w:rPr>
      <w:rFonts w:ascii="Calibri" w:hAnsi="Calibri" w:eastAsia="宋体" w:cs="Times New Roman"/>
      <w:sz w:val="32"/>
      <w:lang w:val="en-US" w:eastAsia="zh-CN" w:bidi="ar-SA"/>
    </w:rPr>
  </w:style>
  <w:style w:type="paragraph" w:customStyle="1" w:styleId="237">
    <w:name w:val="toc 89"/>
    <w:next w:val="1"/>
    <w:qFormat/>
    <w:uiPriority w:val="0"/>
    <w:pPr>
      <w:wordWrap w:val="0"/>
      <w:ind w:left="2975"/>
      <w:jc w:val="both"/>
    </w:pPr>
    <w:rPr>
      <w:rFonts w:ascii="Calibri" w:hAnsi="Calibri" w:eastAsia="宋体" w:cs="Times New Roman"/>
      <w:sz w:val="21"/>
      <w:lang w:val="en-US" w:eastAsia="zh-CN" w:bidi="ar-SA"/>
    </w:rPr>
  </w:style>
  <w:style w:type="paragraph" w:customStyle="1" w:styleId="238">
    <w:name w:val="xl73"/>
    <w:basedOn w:val="1"/>
    <w:next w:val="239"/>
    <w:qFormat/>
    <w:uiPriority w:val="0"/>
    <w:pPr>
      <w:widowControl/>
      <w:shd w:val="clear" w:color="000000" w:fill="FFFFFF"/>
      <w:spacing w:before="280" w:after="280"/>
      <w:jc w:val="center"/>
    </w:pPr>
    <w:rPr>
      <w:rFonts w:ascii="宋体" w:hAnsi="Calibri"/>
      <w:kern w:val="0"/>
      <w:sz w:val="20"/>
      <w:szCs w:val="20"/>
    </w:rPr>
  </w:style>
  <w:style w:type="paragraph" w:customStyle="1" w:styleId="239">
    <w:name w:val="toc 613"/>
    <w:next w:val="1"/>
    <w:qFormat/>
    <w:uiPriority w:val="0"/>
    <w:pPr>
      <w:wordWrap w:val="0"/>
      <w:ind w:left="2125"/>
      <w:jc w:val="both"/>
    </w:pPr>
    <w:rPr>
      <w:rFonts w:ascii="Calibri" w:hAnsi="Calibri" w:eastAsia="宋体" w:cs="Times New Roman"/>
      <w:sz w:val="21"/>
      <w:lang w:val="en-US" w:eastAsia="zh-CN" w:bidi="ar-SA"/>
    </w:rPr>
  </w:style>
  <w:style w:type="paragraph" w:customStyle="1" w:styleId="240">
    <w:name w:val="xl79"/>
    <w:basedOn w:val="1"/>
    <w:next w:val="241"/>
    <w:qFormat/>
    <w:uiPriority w:val="0"/>
    <w:pPr>
      <w:widowControl/>
      <w:shd w:val="clear" w:color="000000" w:fill="FFFFFF"/>
      <w:spacing w:before="280" w:after="280"/>
    </w:pPr>
    <w:rPr>
      <w:rFonts w:ascii="宋体" w:hAnsi="Calibri"/>
      <w:b/>
      <w:kern w:val="0"/>
      <w:sz w:val="20"/>
      <w:szCs w:val="20"/>
    </w:rPr>
  </w:style>
  <w:style w:type="paragraph" w:customStyle="1" w:styleId="241">
    <w:name w:val="toc 87"/>
    <w:next w:val="1"/>
    <w:qFormat/>
    <w:uiPriority w:val="0"/>
    <w:pPr>
      <w:wordWrap w:val="0"/>
      <w:ind w:left="2975"/>
      <w:jc w:val="both"/>
    </w:pPr>
    <w:rPr>
      <w:rFonts w:ascii="Calibri" w:hAnsi="Calibri" w:eastAsia="宋体" w:cs="Times New Roman"/>
      <w:sz w:val="21"/>
      <w:lang w:val="en-US" w:eastAsia="zh-CN" w:bidi="ar-SA"/>
    </w:rPr>
  </w:style>
  <w:style w:type="paragraph" w:customStyle="1" w:styleId="242">
    <w:name w:val="toc 11"/>
    <w:next w:val="1"/>
    <w:qFormat/>
    <w:uiPriority w:val="0"/>
    <w:pPr>
      <w:wordWrap w:val="0"/>
      <w:jc w:val="both"/>
    </w:pPr>
    <w:rPr>
      <w:rFonts w:ascii="Calibri" w:hAnsi="Calibri" w:eastAsia="宋体" w:cs="Times New Roman"/>
      <w:sz w:val="21"/>
      <w:lang w:val="en-US" w:eastAsia="zh-CN" w:bidi="ar-SA"/>
    </w:rPr>
  </w:style>
  <w:style w:type="paragraph" w:customStyle="1" w:styleId="243">
    <w:name w:val="toc 410"/>
    <w:next w:val="1"/>
    <w:qFormat/>
    <w:uiPriority w:val="0"/>
    <w:pPr>
      <w:wordWrap w:val="0"/>
      <w:ind w:left="1275"/>
      <w:jc w:val="both"/>
    </w:pPr>
    <w:rPr>
      <w:rFonts w:ascii="Calibri" w:hAnsi="Calibri" w:eastAsia="宋体" w:cs="Times New Roman"/>
      <w:sz w:val="21"/>
      <w:lang w:val="en-US" w:eastAsia="zh-CN" w:bidi="ar-SA"/>
    </w:rPr>
  </w:style>
  <w:style w:type="paragraph" w:customStyle="1" w:styleId="244">
    <w:name w:val="toc 611"/>
    <w:next w:val="1"/>
    <w:qFormat/>
    <w:uiPriority w:val="0"/>
    <w:pPr>
      <w:wordWrap w:val="0"/>
      <w:ind w:left="2125"/>
      <w:jc w:val="both"/>
    </w:pPr>
    <w:rPr>
      <w:rFonts w:ascii="Calibri" w:hAnsi="Calibri" w:eastAsia="宋体" w:cs="Times New Roman"/>
      <w:sz w:val="21"/>
      <w:lang w:val="en-US" w:eastAsia="zh-CN" w:bidi="ar-SA"/>
    </w:rPr>
  </w:style>
  <w:style w:type="paragraph" w:customStyle="1" w:styleId="245">
    <w:name w:val="xl112"/>
    <w:basedOn w:val="1"/>
    <w:next w:val="244"/>
    <w:qFormat/>
    <w:uiPriority w:val="0"/>
    <w:pPr>
      <w:widowControl/>
      <w:shd w:val="clear" w:color="000000" w:fill="FFFFFF"/>
      <w:spacing w:before="280" w:after="280"/>
      <w:jc w:val="center"/>
    </w:pPr>
    <w:rPr>
      <w:rFonts w:ascii="宋体" w:hAnsi="Calibri"/>
      <w:b/>
      <w:kern w:val="0"/>
      <w:sz w:val="20"/>
      <w:szCs w:val="20"/>
    </w:rPr>
  </w:style>
  <w:style w:type="paragraph" w:customStyle="1" w:styleId="246">
    <w:name w:val="toc 514"/>
    <w:next w:val="1"/>
    <w:qFormat/>
    <w:uiPriority w:val="0"/>
    <w:pPr>
      <w:wordWrap w:val="0"/>
      <w:ind w:left="1700"/>
      <w:jc w:val="both"/>
    </w:pPr>
    <w:rPr>
      <w:rFonts w:ascii="Calibri" w:hAnsi="Calibri" w:eastAsia="宋体" w:cs="Times New Roman"/>
      <w:sz w:val="21"/>
      <w:lang w:val="en-US" w:eastAsia="zh-CN" w:bidi="ar-SA"/>
    </w:rPr>
  </w:style>
  <w:style w:type="paragraph" w:customStyle="1" w:styleId="247">
    <w:name w:val="toc 44"/>
    <w:next w:val="1"/>
    <w:qFormat/>
    <w:uiPriority w:val="0"/>
    <w:pPr>
      <w:wordWrap w:val="0"/>
      <w:ind w:left="1275"/>
      <w:jc w:val="both"/>
    </w:pPr>
    <w:rPr>
      <w:rFonts w:ascii="Calibri" w:hAnsi="Calibri" w:eastAsia="宋体" w:cs="Times New Roman"/>
      <w:sz w:val="21"/>
      <w:lang w:val="en-US" w:eastAsia="zh-CN" w:bidi="ar-SA"/>
    </w:rPr>
  </w:style>
  <w:style w:type="paragraph" w:customStyle="1" w:styleId="248">
    <w:name w:val="toc 412"/>
    <w:next w:val="1"/>
    <w:qFormat/>
    <w:uiPriority w:val="0"/>
    <w:pPr>
      <w:wordWrap w:val="0"/>
      <w:ind w:left="1275"/>
      <w:jc w:val="both"/>
    </w:pPr>
    <w:rPr>
      <w:rFonts w:ascii="Calibri" w:hAnsi="Calibri" w:eastAsia="宋体" w:cs="Times New Roman"/>
      <w:sz w:val="21"/>
      <w:lang w:val="en-US" w:eastAsia="zh-CN" w:bidi="ar-SA"/>
    </w:rPr>
  </w:style>
  <w:style w:type="paragraph" w:customStyle="1" w:styleId="249">
    <w:name w:val="xl74"/>
    <w:basedOn w:val="1"/>
    <w:next w:val="250"/>
    <w:qFormat/>
    <w:uiPriority w:val="0"/>
    <w:pPr>
      <w:widowControl/>
      <w:shd w:val="clear" w:color="000000" w:fill="FFFFFF"/>
      <w:spacing w:before="280" w:after="280"/>
    </w:pPr>
    <w:rPr>
      <w:rFonts w:ascii="宋体" w:hAnsi="Calibri"/>
      <w:kern w:val="0"/>
      <w:sz w:val="20"/>
      <w:szCs w:val="20"/>
    </w:rPr>
  </w:style>
  <w:style w:type="paragraph" w:customStyle="1" w:styleId="250">
    <w:name w:val="toc 57"/>
    <w:next w:val="1"/>
    <w:qFormat/>
    <w:uiPriority w:val="0"/>
    <w:pPr>
      <w:wordWrap w:val="0"/>
      <w:ind w:left="1700"/>
      <w:jc w:val="both"/>
    </w:pPr>
    <w:rPr>
      <w:rFonts w:ascii="Calibri" w:hAnsi="Calibri" w:eastAsia="宋体" w:cs="Times New Roman"/>
      <w:sz w:val="21"/>
      <w:lang w:val="en-US" w:eastAsia="zh-CN" w:bidi="ar-SA"/>
    </w:rPr>
  </w:style>
  <w:style w:type="paragraph" w:customStyle="1" w:styleId="251">
    <w:name w:val="toc 912"/>
    <w:next w:val="1"/>
    <w:qFormat/>
    <w:uiPriority w:val="0"/>
    <w:pPr>
      <w:wordWrap w:val="0"/>
      <w:ind w:left="3400"/>
      <w:jc w:val="both"/>
    </w:pPr>
    <w:rPr>
      <w:rFonts w:ascii="Calibri" w:hAnsi="Calibri" w:eastAsia="宋体" w:cs="Times New Roman"/>
      <w:sz w:val="21"/>
      <w:lang w:val="en-US" w:eastAsia="zh-CN" w:bidi="ar-SA"/>
    </w:rPr>
  </w:style>
  <w:style w:type="paragraph" w:customStyle="1" w:styleId="252">
    <w:name w:val="toc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53">
    <w:name w:val="toc 38"/>
    <w:next w:val="1"/>
    <w:qFormat/>
    <w:uiPriority w:val="0"/>
    <w:pPr>
      <w:wordWrap w:val="0"/>
      <w:ind w:left="850"/>
      <w:jc w:val="both"/>
    </w:pPr>
    <w:rPr>
      <w:rFonts w:ascii="Calibri" w:hAnsi="Calibri" w:eastAsia="宋体" w:cs="Times New Roman"/>
      <w:sz w:val="21"/>
      <w:lang w:val="en-US" w:eastAsia="zh-CN" w:bidi="ar-SA"/>
    </w:rPr>
  </w:style>
  <w:style w:type="paragraph" w:customStyle="1" w:styleId="254">
    <w:name w:val="toc 95"/>
    <w:next w:val="1"/>
    <w:qFormat/>
    <w:uiPriority w:val="0"/>
    <w:pPr>
      <w:wordWrap w:val="0"/>
      <w:ind w:left="3400"/>
      <w:jc w:val="both"/>
    </w:pPr>
    <w:rPr>
      <w:rFonts w:ascii="Calibri" w:hAnsi="Calibri" w:eastAsia="宋体" w:cs="Times New Roman"/>
      <w:sz w:val="21"/>
      <w:lang w:val="en-US" w:eastAsia="zh-CN" w:bidi="ar-SA"/>
    </w:rPr>
  </w:style>
  <w:style w:type="paragraph" w:customStyle="1" w:styleId="255">
    <w:name w:val="列出段落5"/>
    <w:basedOn w:val="1"/>
    <w:next w:val="256"/>
    <w:qFormat/>
    <w:uiPriority w:val="0"/>
    <w:pPr>
      <w:ind w:firstLine="420"/>
    </w:pPr>
    <w:rPr>
      <w:rFonts w:hAnsi="Calibri"/>
      <w:kern w:val="0"/>
      <w:szCs w:val="20"/>
    </w:rPr>
  </w:style>
  <w:style w:type="paragraph" w:customStyle="1" w:styleId="256">
    <w:name w:val="toc 312"/>
    <w:next w:val="1"/>
    <w:qFormat/>
    <w:uiPriority w:val="0"/>
    <w:pPr>
      <w:wordWrap w:val="0"/>
      <w:ind w:left="850"/>
      <w:jc w:val="both"/>
    </w:pPr>
    <w:rPr>
      <w:rFonts w:ascii="Calibri" w:hAnsi="Calibri" w:eastAsia="宋体" w:cs="Times New Roman"/>
      <w:sz w:val="21"/>
      <w:lang w:val="en-US" w:eastAsia="zh-CN" w:bidi="ar-SA"/>
    </w:rPr>
  </w:style>
  <w:style w:type="paragraph" w:customStyle="1" w:styleId="257">
    <w:name w:val="xl66"/>
    <w:basedOn w:val="1"/>
    <w:next w:val="258"/>
    <w:qFormat/>
    <w:uiPriority w:val="0"/>
    <w:pPr>
      <w:widowControl/>
      <w:shd w:val="clear" w:color="000000" w:fill="FFFFFF"/>
      <w:spacing w:before="280" w:after="280"/>
    </w:pPr>
    <w:rPr>
      <w:rFonts w:ascii="宋体" w:hAnsi="Calibri"/>
      <w:kern w:val="0"/>
      <w:sz w:val="20"/>
      <w:szCs w:val="20"/>
    </w:rPr>
  </w:style>
  <w:style w:type="paragraph" w:customStyle="1" w:styleId="258">
    <w:name w:val="toc 56"/>
    <w:next w:val="1"/>
    <w:qFormat/>
    <w:uiPriority w:val="0"/>
    <w:pPr>
      <w:wordWrap w:val="0"/>
      <w:ind w:left="1700"/>
      <w:jc w:val="both"/>
    </w:pPr>
    <w:rPr>
      <w:rFonts w:ascii="Calibri" w:hAnsi="Calibri" w:eastAsia="宋体" w:cs="Times New Roman"/>
      <w:sz w:val="21"/>
      <w:lang w:val="en-US" w:eastAsia="zh-CN" w:bidi="ar-SA"/>
    </w:rPr>
  </w:style>
  <w:style w:type="paragraph" w:customStyle="1" w:styleId="259">
    <w:name w:val="TOC Heading3"/>
    <w:next w:val="1"/>
    <w:qFormat/>
    <w:uiPriority w:val="0"/>
    <w:pPr>
      <w:wordWrap w:val="0"/>
    </w:pPr>
    <w:rPr>
      <w:rFonts w:ascii="Calibri" w:hAnsi="Calibri" w:eastAsia="宋体" w:cs="Times New Roman"/>
      <w:sz w:val="32"/>
      <w:lang w:val="en-US" w:eastAsia="zh-CN" w:bidi="ar-SA"/>
    </w:rPr>
  </w:style>
  <w:style w:type="paragraph" w:customStyle="1" w:styleId="260">
    <w:name w:val="toc 65"/>
    <w:next w:val="1"/>
    <w:qFormat/>
    <w:uiPriority w:val="0"/>
    <w:pPr>
      <w:wordWrap w:val="0"/>
      <w:ind w:left="2125"/>
      <w:jc w:val="both"/>
    </w:pPr>
    <w:rPr>
      <w:rFonts w:ascii="Calibri" w:hAnsi="Calibri" w:eastAsia="宋体" w:cs="Times New Roman"/>
      <w:sz w:val="21"/>
      <w:lang w:val="en-US" w:eastAsia="zh-CN" w:bidi="ar-SA"/>
    </w:rPr>
  </w:style>
  <w:style w:type="paragraph" w:customStyle="1" w:styleId="261">
    <w:name w:val="toc 25"/>
    <w:next w:val="1"/>
    <w:qFormat/>
    <w:uiPriority w:val="0"/>
    <w:pPr>
      <w:wordWrap w:val="0"/>
      <w:ind w:left="425"/>
      <w:jc w:val="both"/>
    </w:pPr>
    <w:rPr>
      <w:rFonts w:ascii="Calibri" w:hAnsi="Calibri" w:eastAsia="宋体" w:cs="Times New Roman"/>
      <w:sz w:val="21"/>
      <w:lang w:val="en-US" w:eastAsia="zh-CN" w:bidi="ar-SA"/>
    </w:rPr>
  </w:style>
  <w:style w:type="paragraph" w:customStyle="1" w:styleId="262">
    <w:name w:val="xl84"/>
    <w:basedOn w:val="1"/>
    <w:next w:val="263"/>
    <w:qFormat/>
    <w:uiPriority w:val="0"/>
    <w:pPr>
      <w:widowControl/>
      <w:shd w:val="clear" w:color="000000" w:fill="FFFFFF"/>
      <w:spacing w:before="280" w:after="280"/>
      <w:jc w:val="center"/>
    </w:pPr>
    <w:rPr>
      <w:rFonts w:ascii="宋体" w:hAnsi="Calibri"/>
      <w:kern w:val="0"/>
      <w:sz w:val="20"/>
      <w:szCs w:val="20"/>
    </w:rPr>
  </w:style>
  <w:style w:type="paragraph" w:customStyle="1" w:styleId="263">
    <w:name w:val="toc 99"/>
    <w:next w:val="1"/>
    <w:qFormat/>
    <w:uiPriority w:val="0"/>
    <w:pPr>
      <w:wordWrap w:val="0"/>
      <w:ind w:left="3400"/>
      <w:jc w:val="both"/>
    </w:pPr>
    <w:rPr>
      <w:rFonts w:ascii="Calibri" w:hAnsi="Calibri" w:eastAsia="宋体" w:cs="Times New Roman"/>
      <w:sz w:val="21"/>
      <w:lang w:val="en-US" w:eastAsia="zh-CN" w:bidi="ar-SA"/>
    </w:rPr>
  </w:style>
  <w:style w:type="paragraph" w:customStyle="1" w:styleId="264">
    <w:name w:val="xl81"/>
    <w:basedOn w:val="1"/>
    <w:next w:val="265"/>
    <w:qFormat/>
    <w:uiPriority w:val="0"/>
    <w:pPr>
      <w:widowControl/>
      <w:shd w:val="clear" w:color="000000" w:fill="FFFFFF"/>
      <w:spacing w:before="280" w:after="280"/>
    </w:pPr>
    <w:rPr>
      <w:rFonts w:ascii="宋体" w:hAnsi="Calibri"/>
      <w:kern w:val="0"/>
      <w:sz w:val="20"/>
      <w:szCs w:val="20"/>
    </w:rPr>
  </w:style>
  <w:style w:type="paragraph" w:customStyle="1" w:styleId="265">
    <w:name w:val="toc 59"/>
    <w:next w:val="1"/>
    <w:qFormat/>
    <w:uiPriority w:val="0"/>
    <w:pPr>
      <w:wordWrap w:val="0"/>
      <w:ind w:left="1700"/>
      <w:jc w:val="both"/>
    </w:pPr>
    <w:rPr>
      <w:rFonts w:ascii="Calibri" w:hAnsi="Calibri" w:eastAsia="宋体" w:cs="Times New Roman"/>
      <w:sz w:val="21"/>
      <w:lang w:val="en-US" w:eastAsia="zh-CN" w:bidi="ar-SA"/>
    </w:rPr>
  </w:style>
  <w:style w:type="paragraph" w:customStyle="1" w:styleId="266">
    <w:name w:val="目录 11"/>
    <w:next w:val="1"/>
    <w:qFormat/>
    <w:uiPriority w:val="0"/>
    <w:pPr>
      <w:wordWrap w:val="0"/>
      <w:jc w:val="both"/>
    </w:pPr>
    <w:rPr>
      <w:rFonts w:ascii="Calibri" w:hAnsi="Calibri" w:eastAsia="宋体" w:cs="Times New Roman"/>
      <w:sz w:val="21"/>
      <w:lang w:val="en-US" w:eastAsia="zh-CN" w:bidi="ar-SA"/>
    </w:rPr>
  </w:style>
  <w:style w:type="paragraph" w:customStyle="1" w:styleId="267">
    <w:name w:val="toc 513"/>
    <w:next w:val="1"/>
    <w:qFormat/>
    <w:uiPriority w:val="0"/>
    <w:pPr>
      <w:wordWrap w:val="0"/>
      <w:ind w:left="1700"/>
      <w:jc w:val="both"/>
    </w:pPr>
    <w:rPr>
      <w:rFonts w:ascii="Calibri" w:hAnsi="Calibri" w:eastAsia="宋体" w:cs="Times New Roman"/>
      <w:sz w:val="21"/>
      <w:lang w:val="en-US" w:eastAsia="zh-CN" w:bidi="ar-SA"/>
    </w:rPr>
  </w:style>
  <w:style w:type="paragraph" w:customStyle="1" w:styleId="268">
    <w:name w:val="TOC Heading12"/>
    <w:next w:val="1"/>
    <w:qFormat/>
    <w:uiPriority w:val="0"/>
    <w:pPr>
      <w:wordWrap w:val="0"/>
    </w:pPr>
    <w:rPr>
      <w:rFonts w:ascii="Calibri" w:hAnsi="Calibri" w:eastAsia="宋体" w:cs="Times New Roman"/>
      <w:sz w:val="32"/>
      <w:lang w:val="en-US" w:eastAsia="zh-CN" w:bidi="ar-SA"/>
    </w:rPr>
  </w:style>
  <w:style w:type="paragraph" w:customStyle="1" w:styleId="269">
    <w:name w:val="TOC Heading8"/>
    <w:next w:val="1"/>
    <w:qFormat/>
    <w:uiPriority w:val="0"/>
    <w:pPr>
      <w:wordWrap w:val="0"/>
    </w:pPr>
    <w:rPr>
      <w:rFonts w:ascii="Calibri" w:hAnsi="Calibri" w:eastAsia="宋体" w:cs="Times New Roman"/>
      <w:sz w:val="32"/>
      <w:lang w:val="en-US" w:eastAsia="zh-CN" w:bidi="ar-SA"/>
    </w:rPr>
  </w:style>
  <w:style w:type="paragraph" w:customStyle="1" w:styleId="270">
    <w:name w:val="toc 711"/>
    <w:next w:val="1"/>
    <w:qFormat/>
    <w:uiPriority w:val="0"/>
    <w:pPr>
      <w:wordWrap w:val="0"/>
      <w:ind w:left="2550"/>
      <w:jc w:val="both"/>
    </w:pPr>
    <w:rPr>
      <w:rFonts w:ascii="Calibri" w:hAnsi="Calibri" w:eastAsia="宋体" w:cs="Times New Roman"/>
      <w:sz w:val="21"/>
      <w:lang w:val="en-US" w:eastAsia="zh-CN" w:bidi="ar-SA"/>
    </w:rPr>
  </w:style>
  <w:style w:type="paragraph" w:customStyle="1" w:styleId="271">
    <w:name w:val="toc 212"/>
    <w:next w:val="1"/>
    <w:qFormat/>
    <w:uiPriority w:val="0"/>
    <w:pPr>
      <w:wordWrap w:val="0"/>
      <w:ind w:left="425"/>
      <w:jc w:val="both"/>
    </w:pPr>
    <w:rPr>
      <w:rFonts w:ascii="Calibri" w:hAnsi="Calibri" w:eastAsia="宋体" w:cs="Times New Roman"/>
      <w:sz w:val="21"/>
      <w:lang w:val="en-US" w:eastAsia="zh-CN" w:bidi="ar-SA"/>
    </w:rPr>
  </w:style>
  <w:style w:type="paragraph" w:customStyle="1" w:styleId="272">
    <w:name w:val="目录 21"/>
    <w:next w:val="1"/>
    <w:qFormat/>
    <w:uiPriority w:val="0"/>
    <w:pPr>
      <w:wordWrap w:val="0"/>
      <w:ind w:left="425"/>
      <w:jc w:val="both"/>
    </w:pPr>
    <w:rPr>
      <w:rFonts w:ascii="Calibri" w:hAnsi="Calibri" w:eastAsia="宋体" w:cs="Times New Roman"/>
      <w:sz w:val="21"/>
      <w:lang w:val="en-US" w:eastAsia="zh-CN" w:bidi="ar-SA"/>
    </w:rPr>
  </w:style>
  <w:style w:type="paragraph" w:customStyle="1" w:styleId="273">
    <w:name w:val="toc 45"/>
    <w:next w:val="1"/>
    <w:qFormat/>
    <w:uiPriority w:val="0"/>
    <w:pPr>
      <w:wordWrap w:val="0"/>
      <w:ind w:left="1275"/>
      <w:jc w:val="both"/>
    </w:pPr>
    <w:rPr>
      <w:rFonts w:ascii="Calibri" w:hAnsi="Calibri" w:eastAsia="宋体" w:cs="Times New Roman"/>
      <w:sz w:val="21"/>
      <w:lang w:val="en-US" w:eastAsia="zh-CN" w:bidi="ar-SA"/>
    </w:rPr>
  </w:style>
  <w:style w:type="paragraph" w:customStyle="1" w:styleId="274">
    <w:name w:val="xl116"/>
    <w:basedOn w:val="1"/>
    <w:next w:val="275"/>
    <w:qFormat/>
    <w:uiPriority w:val="0"/>
    <w:pPr>
      <w:widowControl/>
      <w:shd w:val="clear" w:color="000000" w:fill="FFFFFF"/>
      <w:spacing w:before="280" w:after="280"/>
      <w:jc w:val="center"/>
    </w:pPr>
    <w:rPr>
      <w:rFonts w:ascii="Arial Narrow" w:hAnsi="Calibri"/>
      <w:kern w:val="0"/>
      <w:sz w:val="20"/>
      <w:szCs w:val="20"/>
    </w:rPr>
  </w:style>
  <w:style w:type="paragraph" w:customStyle="1" w:styleId="275">
    <w:name w:val="toc 78"/>
    <w:next w:val="1"/>
    <w:qFormat/>
    <w:uiPriority w:val="0"/>
    <w:pPr>
      <w:wordWrap w:val="0"/>
      <w:ind w:left="2550"/>
      <w:jc w:val="both"/>
    </w:pPr>
    <w:rPr>
      <w:rFonts w:ascii="Calibri" w:hAnsi="Calibri" w:eastAsia="宋体" w:cs="Times New Roman"/>
      <w:sz w:val="21"/>
      <w:lang w:val="en-US" w:eastAsia="zh-CN" w:bidi="ar-SA"/>
    </w:rPr>
  </w:style>
  <w:style w:type="paragraph" w:customStyle="1" w:styleId="276">
    <w:name w:val="font8"/>
    <w:basedOn w:val="1"/>
    <w:next w:val="277"/>
    <w:qFormat/>
    <w:uiPriority w:val="0"/>
    <w:pPr>
      <w:widowControl/>
      <w:spacing w:before="280" w:after="280"/>
    </w:pPr>
    <w:rPr>
      <w:rFonts w:ascii="Arial" w:hAnsi="Calibri"/>
      <w:kern w:val="0"/>
      <w:sz w:val="20"/>
      <w:szCs w:val="20"/>
    </w:rPr>
  </w:style>
  <w:style w:type="paragraph" w:customStyle="1" w:styleId="277">
    <w:name w:val="TOC Heading11"/>
    <w:next w:val="1"/>
    <w:qFormat/>
    <w:uiPriority w:val="0"/>
    <w:pPr>
      <w:wordWrap w:val="0"/>
    </w:pPr>
    <w:rPr>
      <w:rFonts w:ascii="Calibri" w:hAnsi="Calibri" w:eastAsia="宋体" w:cs="Times New Roman"/>
      <w:sz w:val="32"/>
      <w:lang w:val="en-US" w:eastAsia="zh-CN" w:bidi="ar-SA"/>
    </w:rPr>
  </w:style>
  <w:style w:type="paragraph" w:customStyle="1" w:styleId="278">
    <w:name w:val="xl69"/>
    <w:basedOn w:val="1"/>
    <w:next w:val="279"/>
    <w:qFormat/>
    <w:uiPriority w:val="0"/>
    <w:pPr>
      <w:widowControl/>
      <w:shd w:val="clear" w:color="000000" w:fill="FFFFFF"/>
      <w:spacing w:before="280" w:after="280"/>
    </w:pPr>
    <w:rPr>
      <w:rFonts w:ascii="宋体" w:hAnsi="Calibri"/>
      <w:b/>
      <w:kern w:val="0"/>
      <w:sz w:val="20"/>
      <w:szCs w:val="20"/>
    </w:rPr>
  </w:style>
  <w:style w:type="paragraph" w:customStyle="1" w:styleId="279">
    <w:name w:val="toc 48"/>
    <w:next w:val="1"/>
    <w:qFormat/>
    <w:uiPriority w:val="0"/>
    <w:pPr>
      <w:wordWrap w:val="0"/>
      <w:ind w:left="1275"/>
      <w:jc w:val="both"/>
    </w:pPr>
    <w:rPr>
      <w:rFonts w:ascii="Calibri" w:hAnsi="Calibri" w:eastAsia="宋体" w:cs="Times New Roman"/>
      <w:sz w:val="21"/>
      <w:lang w:val="en-US" w:eastAsia="zh-CN" w:bidi="ar-SA"/>
    </w:rPr>
  </w:style>
  <w:style w:type="paragraph" w:customStyle="1" w:styleId="280">
    <w:name w:val="toc 813"/>
    <w:next w:val="1"/>
    <w:qFormat/>
    <w:uiPriority w:val="0"/>
    <w:pPr>
      <w:wordWrap w:val="0"/>
      <w:ind w:left="2975"/>
      <w:jc w:val="both"/>
    </w:pPr>
    <w:rPr>
      <w:rFonts w:ascii="Calibri" w:hAnsi="Calibri" w:eastAsia="宋体" w:cs="Times New Roman"/>
      <w:sz w:val="21"/>
      <w:lang w:val="en-US" w:eastAsia="zh-CN" w:bidi="ar-SA"/>
    </w:rPr>
  </w:style>
  <w:style w:type="paragraph" w:customStyle="1" w:styleId="281">
    <w:name w:val="目录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82">
    <w:name w:val="列出段落3"/>
    <w:basedOn w:val="1"/>
    <w:next w:val="283"/>
    <w:qFormat/>
    <w:uiPriority w:val="0"/>
    <w:pPr>
      <w:ind w:firstLine="420"/>
    </w:pPr>
    <w:rPr>
      <w:rFonts w:hAnsi="Calibri"/>
      <w:kern w:val="0"/>
      <w:szCs w:val="20"/>
    </w:rPr>
  </w:style>
  <w:style w:type="paragraph" w:customStyle="1" w:styleId="283">
    <w:name w:val="toc 213"/>
    <w:next w:val="1"/>
    <w:qFormat/>
    <w:uiPriority w:val="0"/>
    <w:pPr>
      <w:wordWrap w:val="0"/>
      <w:ind w:left="425"/>
      <w:jc w:val="both"/>
    </w:pPr>
    <w:rPr>
      <w:rFonts w:ascii="Calibri" w:hAnsi="Calibri" w:eastAsia="宋体" w:cs="Times New Roman"/>
      <w:sz w:val="21"/>
      <w:lang w:val="en-US" w:eastAsia="zh-CN" w:bidi="ar-SA"/>
    </w:rPr>
  </w:style>
  <w:style w:type="paragraph" w:customStyle="1" w:styleId="284">
    <w:name w:val="TOC 标题1"/>
    <w:next w:val="1"/>
    <w:qFormat/>
    <w:uiPriority w:val="0"/>
    <w:pPr>
      <w:wordWrap w:val="0"/>
    </w:pPr>
    <w:rPr>
      <w:rFonts w:ascii="Calibri" w:hAnsi="Calibri" w:eastAsia="宋体" w:cs="Times New Roman"/>
      <w:sz w:val="32"/>
      <w:lang w:val="en-US" w:eastAsia="zh-CN" w:bidi="ar-SA"/>
    </w:rPr>
  </w:style>
  <w:style w:type="paragraph" w:customStyle="1" w:styleId="285">
    <w:name w:val="TOC Heading5"/>
    <w:next w:val="1"/>
    <w:qFormat/>
    <w:uiPriority w:val="0"/>
    <w:pPr>
      <w:wordWrap w:val="0"/>
    </w:pPr>
    <w:rPr>
      <w:rFonts w:ascii="Calibri" w:hAnsi="Calibri" w:eastAsia="宋体" w:cs="Times New Roman"/>
      <w:sz w:val="32"/>
      <w:lang w:val="en-US" w:eastAsia="zh-CN" w:bidi="ar-SA"/>
    </w:rPr>
  </w:style>
  <w:style w:type="paragraph" w:customStyle="1" w:styleId="286">
    <w:name w:val="toc 313"/>
    <w:next w:val="1"/>
    <w:qFormat/>
    <w:uiPriority w:val="0"/>
    <w:pPr>
      <w:wordWrap w:val="0"/>
      <w:ind w:left="850"/>
      <w:jc w:val="both"/>
    </w:pPr>
    <w:rPr>
      <w:rFonts w:ascii="Calibri" w:hAnsi="Calibri" w:eastAsia="宋体" w:cs="Times New Roman"/>
      <w:sz w:val="21"/>
      <w:lang w:val="en-US" w:eastAsia="zh-CN" w:bidi="ar-SA"/>
    </w:rPr>
  </w:style>
  <w:style w:type="paragraph" w:customStyle="1" w:styleId="287">
    <w:name w:val="toc 716"/>
    <w:next w:val="1"/>
    <w:qFormat/>
    <w:uiPriority w:val="0"/>
    <w:pPr>
      <w:wordWrap w:val="0"/>
      <w:ind w:left="2550"/>
      <w:jc w:val="both"/>
    </w:pPr>
    <w:rPr>
      <w:rFonts w:ascii="Calibri" w:hAnsi="Calibri" w:eastAsia="宋体" w:cs="Times New Roman"/>
      <w:sz w:val="21"/>
      <w:lang w:val="en-US" w:eastAsia="zh-CN" w:bidi="ar-SA"/>
    </w:rPr>
  </w:style>
  <w:style w:type="paragraph" w:customStyle="1" w:styleId="288">
    <w:name w:val="xl115"/>
    <w:basedOn w:val="1"/>
    <w:next w:val="289"/>
    <w:qFormat/>
    <w:uiPriority w:val="0"/>
    <w:pPr>
      <w:widowControl/>
      <w:shd w:val="clear" w:color="000000" w:fill="FFFFFF"/>
      <w:spacing w:before="280" w:after="280"/>
      <w:jc w:val="center"/>
    </w:pPr>
    <w:rPr>
      <w:rFonts w:ascii="宋体" w:hAnsi="Calibri"/>
      <w:b/>
      <w:kern w:val="0"/>
      <w:sz w:val="20"/>
      <w:szCs w:val="20"/>
    </w:rPr>
  </w:style>
  <w:style w:type="paragraph" w:customStyle="1" w:styleId="289">
    <w:name w:val="toc 712"/>
    <w:next w:val="1"/>
    <w:qFormat/>
    <w:uiPriority w:val="0"/>
    <w:pPr>
      <w:wordWrap w:val="0"/>
      <w:ind w:left="2550"/>
      <w:jc w:val="both"/>
    </w:pPr>
    <w:rPr>
      <w:rFonts w:ascii="Calibri" w:hAnsi="Calibri" w:eastAsia="宋体" w:cs="Times New Roman"/>
      <w:sz w:val="21"/>
      <w:lang w:val="en-US" w:eastAsia="zh-CN" w:bidi="ar-SA"/>
    </w:rPr>
  </w:style>
  <w:style w:type="paragraph" w:customStyle="1" w:styleId="290">
    <w:name w:val="toc 64"/>
    <w:next w:val="1"/>
    <w:qFormat/>
    <w:uiPriority w:val="0"/>
    <w:pPr>
      <w:wordWrap w:val="0"/>
      <w:ind w:left="2125"/>
      <w:jc w:val="both"/>
    </w:pPr>
    <w:rPr>
      <w:rFonts w:ascii="Calibri" w:hAnsi="Calibri" w:eastAsia="宋体" w:cs="Times New Roman"/>
      <w:sz w:val="21"/>
      <w:lang w:val="en-US" w:eastAsia="zh-CN" w:bidi="ar-SA"/>
    </w:rPr>
  </w:style>
  <w:style w:type="paragraph" w:customStyle="1" w:styleId="291">
    <w:name w:val="toc 24"/>
    <w:next w:val="1"/>
    <w:qFormat/>
    <w:uiPriority w:val="0"/>
    <w:pPr>
      <w:wordWrap w:val="0"/>
      <w:ind w:left="425"/>
      <w:jc w:val="both"/>
    </w:pPr>
    <w:rPr>
      <w:rFonts w:ascii="Calibri" w:hAnsi="Calibri" w:eastAsia="宋体" w:cs="Times New Roman"/>
      <w:sz w:val="21"/>
      <w:lang w:val="en-US" w:eastAsia="zh-CN" w:bidi="ar-SA"/>
    </w:rPr>
  </w:style>
  <w:style w:type="paragraph" w:customStyle="1" w:styleId="292">
    <w:name w:val="toc 54"/>
    <w:next w:val="1"/>
    <w:qFormat/>
    <w:uiPriority w:val="0"/>
    <w:pPr>
      <w:wordWrap w:val="0"/>
      <w:ind w:left="1700"/>
      <w:jc w:val="both"/>
    </w:pPr>
    <w:rPr>
      <w:rFonts w:ascii="Calibri" w:hAnsi="Calibri" w:eastAsia="宋体" w:cs="Times New Roman"/>
      <w:sz w:val="21"/>
      <w:lang w:val="en-US" w:eastAsia="zh-CN" w:bidi="ar-SA"/>
    </w:rPr>
  </w:style>
  <w:style w:type="paragraph" w:customStyle="1" w:styleId="293">
    <w:name w:val="xl93"/>
    <w:basedOn w:val="1"/>
    <w:next w:val="294"/>
    <w:qFormat/>
    <w:uiPriority w:val="0"/>
    <w:pPr>
      <w:widowControl/>
      <w:shd w:val="clear" w:color="000000" w:fill="FFFFFF"/>
      <w:spacing w:before="280" w:after="280"/>
      <w:jc w:val="center"/>
    </w:pPr>
    <w:rPr>
      <w:rFonts w:ascii="宋体" w:hAnsi="Calibri"/>
      <w:kern w:val="0"/>
      <w:sz w:val="20"/>
      <w:szCs w:val="20"/>
    </w:rPr>
  </w:style>
  <w:style w:type="paragraph" w:customStyle="1" w:styleId="294">
    <w:name w:val="toc 112"/>
    <w:next w:val="1"/>
    <w:qFormat/>
    <w:uiPriority w:val="0"/>
    <w:pPr>
      <w:wordWrap w:val="0"/>
      <w:jc w:val="both"/>
    </w:pPr>
    <w:rPr>
      <w:rFonts w:ascii="Calibri" w:hAnsi="Calibri" w:eastAsia="宋体" w:cs="Times New Roman"/>
      <w:sz w:val="21"/>
      <w:lang w:val="en-US" w:eastAsia="zh-CN" w:bidi="ar-SA"/>
    </w:rPr>
  </w:style>
  <w:style w:type="paragraph" w:customStyle="1" w:styleId="295">
    <w:name w:val="xl96"/>
    <w:basedOn w:val="1"/>
    <w:next w:val="246"/>
    <w:qFormat/>
    <w:uiPriority w:val="0"/>
    <w:pPr>
      <w:widowControl/>
      <w:shd w:val="clear" w:color="000000" w:fill="FFFFFF"/>
      <w:spacing w:before="280" w:after="280"/>
      <w:jc w:val="center"/>
    </w:pPr>
    <w:rPr>
      <w:rFonts w:ascii="宋体" w:hAnsi="Calibri"/>
      <w:kern w:val="0"/>
      <w:sz w:val="20"/>
      <w:szCs w:val="20"/>
    </w:rPr>
  </w:style>
  <w:style w:type="paragraph" w:customStyle="1" w:styleId="296">
    <w:name w:val="xl106"/>
    <w:basedOn w:val="1"/>
    <w:next w:val="280"/>
    <w:qFormat/>
    <w:uiPriority w:val="0"/>
    <w:pPr>
      <w:widowControl/>
      <w:shd w:val="clear" w:color="000000" w:fill="FFFFFF"/>
      <w:spacing w:before="280" w:after="280"/>
    </w:pPr>
    <w:rPr>
      <w:rFonts w:ascii="宋体" w:hAnsi="Calibri"/>
      <w:kern w:val="0"/>
      <w:sz w:val="20"/>
      <w:szCs w:val="20"/>
    </w:rPr>
  </w:style>
  <w:style w:type="paragraph" w:customStyle="1" w:styleId="297">
    <w:name w:val="toc 35"/>
    <w:next w:val="1"/>
    <w:qFormat/>
    <w:uiPriority w:val="0"/>
    <w:pPr>
      <w:wordWrap w:val="0"/>
      <w:ind w:left="850"/>
      <w:jc w:val="both"/>
    </w:pPr>
    <w:rPr>
      <w:rFonts w:ascii="Calibri" w:hAnsi="Calibri" w:eastAsia="宋体" w:cs="Times New Roman"/>
      <w:sz w:val="21"/>
      <w:lang w:val="en-US" w:eastAsia="zh-CN" w:bidi="ar-SA"/>
    </w:rPr>
  </w:style>
  <w:style w:type="paragraph" w:customStyle="1" w:styleId="298">
    <w:name w:val="TOC Heading14"/>
    <w:next w:val="1"/>
    <w:qFormat/>
    <w:uiPriority w:val="0"/>
    <w:pPr>
      <w:wordWrap w:val="0"/>
    </w:pPr>
    <w:rPr>
      <w:rFonts w:ascii="Calibri" w:hAnsi="Calibri" w:eastAsia="宋体" w:cs="Times New Roman"/>
      <w:sz w:val="32"/>
      <w:lang w:val="en-US" w:eastAsia="zh-CN" w:bidi="ar-SA"/>
    </w:rPr>
  </w:style>
  <w:style w:type="paragraph" w:customStyle="1" w:styleId="299">
    <w:name w:val="Char Char Char Char Char Char Char1"/>
    <w:basedOn w:val="1"/>
    <w:next w:val="300"/>
    <w:qFormat/>
    <w:uiPriority w:val="0"/>
    <w:pPr>
      <w:widowControl/>
      <w:spacing w:after="160" w:line="240" w:lineRule="exact"/>
    </w:pPr>
    <w:rPr>
      <w:rFonts w:hAnsi="Calibri"/>
      <w:kern w:val="0"/>
      <w:szCs w:val="20"/>
    </w:rPr>
  </w:style>
  <w:style w:type="paragraph" w:customStyle="1" w:styleId="300">
    <w:name w:val="toc 67"/>
    <w:next w:val="1"/>
    <w:qFormat/>
    <w:uiPriority w:val="0"/>
    <w:pPr>
      <w:wordWrap w:val="0"/>
      <w:ind w:left="2125"/>
      <w:jc w:val="both"/>
    </w:pPr>
    <w:rPr>
      <w:rFonts w:ascii="Calibri" w:hAnsi="Calibri" w:eastAsia="宋体" w:cs="Times New Roman"/>
      <w:sz w:val="21"/>
      <w:lang w:val="en-US" w:eastAsia="zh-CN" w:bidi="ar-SA"/>
    </w:rPr>
  </w:style>
  <w:style w:type="paragraph" w:customStyle="1" w:styleId="301">
    <w:name w:val="列出段落4"/>
    <w:basedOn w:val="1"/>
    <w:next w:val="302"/>
    <w:qFormat/>
    <w:uiPriority w:val="0"/>
    <w:pPr>
      <w:ind w:firstLine="420"/>
    </w:pPr>
    <w:rPr>
      <w:rFonts w:hAnsi="Calibri"/>
      <w:kern w:val="0"/>
      <w:szCs w:val="20"/>
    </w:rPr>
  </w:style>
  <w:style w:type="paragraph" w:customStyle="1" w:styleId="302">
    <w:name w:val="TOC Heading9"/>
    <w:next w:val="1"/>
    <w:qFormat/>
    <w:uiPriority w:val="0"/>
    <w:pPr>
      <w:wordWrap w:val="0"/>
    </w:pPr>
    <w:rPr>
      <w:rFonts w:ascii="Calibri" w:hAnsi="Calibri" w:eastAsia="宋体" w:cs="Times New Roman"/>
      <w:sz w:val="32"/>
      <w:lang w:val="en-US" w:eastAsia="zh-CN" w:bidi="ar-SA"/>
    </w:rPr>
  </w:style>
  <w:style w:type="paragraph" w:customStyle="1" w:styleId="303">
    <w:name w:val="xl71"/>
    <w:basedOn w:val="1"/>
    <w:next w:val="304"/>
    <w:qFormat/>
    <w:uiPriority w:val="0"/>
    <w:pPr>
      <w:widowControl/>
      <w:shd w:val="clear" w:color="000000" w:fill="FFFFFF"/>
      <w:spacing w:before="280" w:after="280"/>
    </w:pPr>
    <w:rPr>
      <w:rFonts w:ascii="宋体" w:hAnsi="Calibri"/>
      <w:kern w:val="0"/>
      <w:sz w:val="24"/>
      <w:szCs w:val="20"/>
    </w:rPr>
  </w:style>
  <w:style w:type="paragraph" w:customStyle="1" w:styleId="304">
    <w:name w:val="toc 115"/>
    <w:next w:val="1"/>
    <w:qFormat/>
    <w:uiPriority w:val="0"/>
    <w:pPr>
      <w:wordWrap w:val="0"/>
      <w:jc w:val="both"/>
    </w:pPr>
    <w:rPr>
      <w:rFonts w:ascii="Calibri" w:hAnsi="Calibri" w:eastAsia="宋体" w:cs="Times New Roman"/>
      <w:sz w:val="21"/>
      <w:lang w:val="en-US" w:eastAsia="zh-CN" w:bidi="ar-SA"/>
    </w:rPr>
  </w:style>
  <w:style w:type="paragraph" w:customStyle="1" w:styleId="305">
    <w:name w:val="toc 51"/>
    <w:next w:val="1"/>
    <w:qFormat/>
    <w:uiPriority w:val="0"/>
    <w:pPr>
      <w:wordWrap w:val="0"/>
      <w:ind w:left="1700"/>
      <w:jc w:val="both"/>
    </w:pPr>
    <w:rPr>
      <w:rFonts w:ascii="Calibri" w:hAnsi="Calibri" w:eastAsia="宋体" w:cs="Times New Roman"/>
      <w:sz w:val="21"/>
      <w:lang w:val="en-US" w:eastAsia="zh-CN" w:bidi="ar-SA"/>
    </w:rPr>
  </w:style>
  <w:style w:type="paragraph" w:customStyle="1" w:styleId="306">
    <w:name w:val="toc 47"/>
    <w:next w:val="1"/>
    <w:qFormat/>
    <w:uiPriority w:val="0"/>
    <w:pPr>
      <w:wordWrap w:val="0"/>
      <w:ind w:left="1275"/>
      <w:jc w:val="both"/>
    </w:pPr>
    <w:rPr>
      <w:rFonts w:ascii="Calibri" w:hAnsi="Calibri" w:eastAsia="宋体" w:cs="Times New Roman"/>
      <w:sz w:val="21"/>
      <w:lang w:val="en-US" w:eastAsia="zh-CN" w:bidi="ar-SA"/>
    </w:rPr>
  </w:style>
  <w:style w:type="paragraph" w:customStyle="1" w:styleId="307">
    <w:name w:val="xl108"/>
    <w:basedOn w:val="1"/>
    <w:next w:val="308"/>
    <w:qFormat/>
    <w:uiPriority w:val="0"/>
    <w:pPr>
      <w:widowControl/>
      <w:shd w:val="clear" w:color="000000" w:fill="FFFFFF"/>
      <w:spacing w:before="280" w:after="280"/>
    </w:pPr>
    <w:rPr>
      <w:rFonts w:ascii="宋体" w:hAnsi="Calibri"/>
      <w:kern w:val="0"/>
      <w:sz w:val="18"/>
      <w:szCs w:val="20"/>
    </w:rPr>
  </w:style>
  <w:style w:type="paragraph" w:customStyle="1" w:styleId="308">
    <w:name w:val="toc 18"/>
    <w:next w:val="1"/>
    <w:qFormat/>
    <w:uiPriority w:val="0"/>
    <w:pPr>
      <w:wordWrap w:val="0"/>
      <w:jc w:val="both"/>
    </w:pPr>
    <w:rPr>
      <w:rFonts w:ascii="Calibri" w:hAnsi="Calibri" w:eastAsia="宋体" w:cs="Times New Roman"/>
      <w:sz w:val="21"/>
      <w:lang w:val="en-US" w:eastAsia="zh-CN" w:bidi="ar-SA"/>
    </w:rPr>
  </w:style>
  <w:style w:type="paragraph" w:customStyle="1" w:styleId="309">
    <w:name w:val="TOC Heading7"/>
    <w:next w:val="1"/>
    <w:qFormat/>
    <w:uiPriority w:val="0"/>
    <w:pPr>
      <w:wordWrap w:val="0"/>
    </w:pPr>
    <w:rPr>
      <w:rFonts w:ascii="Calibri" w:hAnsi="Calibri" w:eastAsia="宋体" w:cs="Times New Roman"/>
      <w:sz w:val="32"/>
      <w:lang w:val="en-US" w:eastAsia="zh-CN" w:bidi="ar-SA"/>
    </w:rPr>
  </w:style>
  <w:style w:type="character" w:customStyle="1" w:styleId="310">
    <w:name w:val="副标题 字符"/>
    <w:basedOn w:val="47"/>
    <w:link w:val="33"/>
    <w:qFormat/>
    <w:uiPriority w:val="0"/>
    <w:rPr>
      <w:rFonts w:ascii="Calibri" w:hAnsi="Calibri"/>
      <w:sz w:val="24"/>
    </w:rPr>
  </w:style>
  <w:style w:type="paragraph" w:customStyle="1" w:styleId="311">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312">
    <w:name w:val="toc 413"/>
    <w:next w:val="1"/>
    <w:qFormat/>
    <w:uiPriority w:val="0"/>
    <w:pPr>
      <w:wordWrap w:val="0"/>
      <w:ind w:left="1275"/>
      <w:jc w:val="both"/>
    </w:pPr>
    <w:rPr>
      <w:rFonts w:ascii="Calibri" w:hAnsi="Calibri" w:eastAsia="宋体" w:cs="Times New Roman"/>
      <w:sz w:val="21"/>
      <w:lang w:val="en-US" w:eastAsia="zh-CN" w:bidi="ar-SA"/>
    </w:rPr>
  </w:style>
  <w:style w:type="paragraph" w:customStyle="1" w:styleId="313">
    <w:name w:val="toc 85"/>
    <w:next w:val="1"/>
    <w:qFormat/>
    <w:uiPriority w:val="0"/>
    <w:pPr>
      <w:wordWrap w:val="0"/>
      <w:ind w:left="2975"/>
      <w:jc w:val="both"/>
    </w:pPr>
    <w:rPr>
      <w:rFonts w:ascii="Calibri" w:hAnsi="Calibri" w:eastAsia="宋体" w:cs="Times New Roman"/>
      <w:sz w:val="21"/>
      <w:lang w:val="en-US" w:eastAsia="zh-CN" w:bidi="ar-SA"/>
    </w:rPr>
  </w:style>
  <w:style w:type="paragraph" w:customStyle="1" w:styleId="314">
    <w:name w:val="列出段落6"/>
    <w:basedOn w:val="1"/>
    <w:next w:val="315"/>
    <w:qFormat/>
    <w:uiPriority w:val="0"/>
    <w:pPr>
      <w:ind w:firstLine="420"/>
    </w:pPr>
    <w:rPr>
      <w:rFonts w:hAnsi="Calibri"/>
      <w:kern w:val="0"/>
      <w:szCs w:val="20"/>
    </w:rPr>
  </w:style>
  <w:style w:type="paragraph" w:customStyle="1" w:styleId="315">
    <w:name w:val="toc 86"/>
    <w:next w:val="1"/>
    <w:qFormat/>
    <w:uiPriority w:val="0"/>
    <w:pPr>
      <w:wordWrap w:val="0"/>
      <w:ind w:left="2975"/>
      <w:jc w:val="both"/>
    </w:pPr>
    <w:rPr>
      <w:rFonts w:ascii="Calibri" w:hAnsi="Calibri" w:eastAsia="宋体" w:cs="Times New Roman"/>
      <w:sz w:val="21"/>
      <w:lang w:val="en-US" w:eastAsia="zh-CN" w:bidi="ar-SA"/>
    </w:rPr>
  </w:style>
  <w:style w:type="paragraph" w:customStyle="1" w:styleId="316">
    <w:name w:val="xl80"/>
    <w:basedOn w:val="1"/>
    <w:next w:val="317"/>
    <w:qFormat/>
    <w:uiPriority w:val="0"/>
    <w:pPr>
      <w:widowControl/>
      <w:shd w:val="clear" w:color="000000" w:fill="FFFFFF"/>
      <w:spacing w:before="280" w:after="280"/>
      <w:jc w:val="center"/>
    </w:pPr>
    <w:rPr>
      <w:rFonts w:ascii="宋体" w:hAnsi="Calibri"/>
      <w:b/>
      <w:kern w:val="0"/>
      <w:sz w:val="20"/>
      <w:szCs w:val="20"/>
    </w:rPr>
  </w:style>
  <w:style w:type="paragraph" w:customStyle="1" w:styleId="317">
    <w:name w:val="toc 49"/>
    <w:next w:val="1"/>
    <w:qFormat/>
    <w:uiPriority w:val="0"/>
    <w:pPr>
      <w:wordWrap w:val="0"/>
      <w:ind w:left="1275"/>
      <w:jc w:val="both"/>
    </w:pPr>
    <w:rPr>
      <w:rFonts w:ascii="Calibri" w:hAnsi="Calibri" w:eastAsia="宋体" w:cs="Times New Roman"/>
      <w:sz w:val="21"/>
      <w:lang w:val="en-US" w:eastAsia="zh-CN" w:bidi="ar-SA"/>
    </w:rPr>
  </w:style>
  <w:style w:type="paragraph" w:customStyle="1" w:styleId="318">
    <w:name w:val="Char Char Char Char1"/>
    <w:basedOn w:val="1"/>
    <w:next w:val="319"/>
    <w:qFormat/>
    <w:uiPriority w:val="0"/>
    <w:pPr>
      <w:widowControl/>
      <w:spacing w:after="160" w:line="240" w:lineRule="exact"/>
    </w:pPr>
    <w:rPr>
      <w:rFonts w:ascii="Verdana" w:hAnsi="Calibri" w:eastAsia="仿宋_GB2312"/>
      <w:kern w:val="0"/>
      <w:sz w:val="24"/>
      <w:szCs w:val="20"/>
    </w:rPr>
  </w:style>
  <w:style w:type="paragraph" w:customStyle="1" w:styleId="319">
    <w:name w:val="toc 713"/>
    <w:next w:val="1"/>
    <w:qFormat/>
    <w:uiPriority w:val="0"/>
    <w:pPr>
      <w:wordWrap w:val="0"/>
      <w:ind w:left="2550"/>
      <w:jc w:val="both"/>
    </w:pPr>
    <w:rPr>
      <w:rFonts w:ascii="Calibri" w:hAnsi="Calibri" w:eastAsia="宋体" w:cs="Times New Roman"/>
      <w:sz w:val="21"/>
      <w:lang w:val="en-US" w:eastAsia="zh-CN" w:bidi="ar-SA"/>
    </w:rPr>
  </w:style>
  <w:style w:type="paragraph" w:customStyle="1" w:styleId="320">
    <w:name w:val="xl102"/>
    <w:basedOn w:val="1"/>
    <w:next w:val="321"/>
    <w:qFormat/>
    <w:uiPriority w:val="0"/>
    <w:pPr>
      <w:widowControl/>
      <w:shd w:val="clear" w:color="000000" w:fill="FFFFFF"/>
      <w:spacing w:before="280" w:after="280"/>
      <w:jc w:val="right"/>
    </w:pPr>
    <w:rPr>
      <w:rFonts w:ascii="宋体" w:hAnsi="Calibri"/>
      <w:kern w:val="0"/>
      <w:sz w:val="20"/>
      <w:szCs w:val="20"/>
    </w:rPr>
  </w:style>
  <w:style w:type="paragraph" w:customStyle="1" w:styleId="321">
    <w:name w:val="toc 17"/>
    <w:next w:val="1"/>
    <w:qFormat/>
    <w:uiPriority w:val="0"/>
    <w:pPr>
      <w:wordWrap w:val="0"/>
      <w:jc w:val="both"/>
    </w:pPr>
    <w:rPr>
      <w:rFonts w:ascii="Calibri" w:hAnsi="Calibri" w:eastAsia="宋体" w:cs="Times New Roman"/>
      <w:sz w:val="21"/>
      <w:lang w:val="en-US" w:eastAsia="zh-CN" w:bidi="ar-SA"/>
    </w:rPr>
  </w:style>
  <w:style w:type="paragraph" w:customStyle="1" w:styleId="322">
    <w:name w:val="toc 46"/>
    <w:next w:val="1"/>
    <w:qFormat/>
    <w:uiPriority w:val="0"/>
    <w:pPr>
      <w:wordWrap w:val="0"/>
      <w:ind w:left="1275"/>
      <w:jc w:val="both"/>
    </w:pPr>
    <w:rPr>
      <w:rFonts w:ascii="Calibri" w:hAnsi="Calibri" w:eastAsia="宋体" w:cs="Times New Roman"/>
      <w:sz w:val="21"/>
      <w:lang w:val="en-US" w:eastAsia="zh-CN" w:bidi="ar-SA"/>
    </w:rPr>
  </w:style>
  <w:style w:type="paragraph" w:customStyle="1" w:styleId="323">
    <w:name w:val="toc 311"/>
    <w:next w:val="1"/>
    <w:qFormat/>
    <w:uiPriority w:val="0"/>
    <w:pPr>
      <w:wordWrap w:val="0"/>
      <w:ind w:left="850"/>
      <w:jc w:val="both"/>
    </w:pPr>
    <w:rPr>
      <w:rFonts w:ascii="Calibri" w:hAnsi="Calibri" w:eastAsia="宋体" w:cs="Times New Roman"/>
      <w:sz w:val="21"/>
      <w:lang w:val="en-US" w:eastAsia="zh-CN" w:bidi="ar-SA"/>
    </w:rPr>
  </w:style>
  <w:style w:type="paragraph" w:customStyle="1" w:styleId="324">
    <w:name w:val="xl65"/>
    <w:basedOn w:val="1"/>
    <w:next w:val="225"/>
    <w:qFormat/>
    <w:uiPriority w:val="0"/>
    <w:pPr>
      <w:widowControl/>
      <w:shd w:val="clear" w:color="000000" w:fill="FFFFFF"/>
      <w:spacing w:before="280" w:after="280"/>
      <w:jc w:val="center"/>
    </w:pPr>
    <w:rPr>
      <w:rFonts w:ascii="宋体" w:hAnsi="Calibri"/>
      <w:kern w:val="0"/>
      <w:sz w:val="20"/>
      <w:szCs w:val="20"/>
    </w:rPr>
  </w:style>
  <w:style w:type="paragraph" w:customStyle="1" w:styleId="325">
    <w:name w:val="toc 94"/>
    <w:next w:val="1"/>
    <w:qFormat/>
    <w:uiPriority w:val="0"/>
    <w:pPr>
      <w:wordWrap w:val="0"/>
      <w:ind w:left="3400"/>
      <w:jc w:val="both"/>
    </w:pPr>
    <w:rPr>
      <w:rFonts w:ascii="Calibri" w:hAnsi="Calibri" w:eastAsia="宋体" w:cs="Times New Roman"/>
      <w:sz w:val="21"/>
      <w:lang w:val="en-US" w:eastAsia="zh-CN" w:bidi="ar-SA"/>
    </w:rPr>
  </w:style>
  <w:style w:type="paragraph" w:customStyle="1" w:styleId="326">
    <w:name w:val="toc 55"/>
    <w:next w:val="1"/>
    <w:qFormat/>
    <w:uiPriority w:val="0"/>
    <w:pPr>
      <w:wordWrap w:val="0"/>
      <w:ind w:left="1700"/>
      <w:jc w:val="both"/>
    </w:pPr>
    <w:rPr>
      <w:rFonts w:ascii="Calibri" w:hAnsi="Calibri" w:eastAsia="宋体" w:cs="Times New Roman"/>
      <w:sz w:val="21"/>
      <w:lang w:val="en-US" w:eastAsia="zh-CN" w:bidi="ar-SA"/>
    </w:rPr>
  </w:style>
  <w:style w:type="paragraph" w:customStyle="1" w:styleId="327">
    <w:name w:val="toc 812"/>
    <w:next w:val="1"/>
    <w:qFormat/>
    <w:uiPriority w:val="0"/>
    <w:pPr>
      <w:wordWrap w:val="0"/>
      <w:ind w:left="2975"/>
      <w:jc w:val="both"/>
    </w:pPr>
    <w:rPr>
      <w:rFonts w:ascii="Calibri" w:hAnsi="Calibri" w:eastAsia="宋体" w:cs="Times New Roman"/>
      <w:sz w:val="21"/>
      <w:lang w:val="en-US" w:eastAsia="zh-CN" w:bidi="ar-SA"/>
    </w:rPr>
  </w:style>
  <w:style w:type="paragraph" w:customStyle="1" w:styleId="328">
    <w:name w:val="xl75"/>
    <w:basedOn w:val="1"/>
    <w:next w:val="329"/>
    <w:qFormat/>
    <w:uiPriority w:val="0"/>
    <w:pPr>
      <w:widowControl/>
      <w:shd w:val="clear" w:color="000000" w:fill="FFFFFF"/>
      <w:spacing w:before="280" w:after="280"/>
    </w:pPr>
    <w:rPr>
      <w:rFonts w:ascii="宋体" w:hAnsi="Calibri"/>
      <w:kern w:val="0"/>
      <w:sz w:val="20"/>
      <w:szCs w:val="20"/>
    </w:rPr>
  </w:style>
  <w:style w:type="paragraph" w:customStyle="1" w:styleId="329">
    <w:name w:val="toc 914"/>
    <w:next w:val="1"/>
    <w:qFormat/>
    <w:uiPriority w:val="0"/>
    <w:pPr>
      <w:wordWrap w:val="0"/>
      <w:ind w:left="3400"/>
      <w:jc w:val="both"/>
    </w:pPr>
    <w:rPr>
      <w:rFonts w:ascii="Calibri" w:hAnsi="Calibri" w:eastAsia="宋体" w:cs="Times New Roman"/>
      <w:sz w:val="21"/>
      <w:lang w:val="en-US" w:eastAsia="zh-CN" w:bidi="ar-SA"/>
    </w:rPr>
  </w:style>
  <w:style w:type="paragraph" w:customStyle="1" w:styleId="330">
    <w:name w:val="toc 19"/>
    <w:next w:val="1"/>
    <w:qFormat/>
    <w:uiPriority w:val="0"/>
    <w:pPr>
      <w:wordWrap w:val="0"/>
      <w:jc w:val="both"/>
    </w:pPr>
    <w:rPr>
      <w:rFonts w:ascii="Calibri" w:hAnsi="Calibri" w:eastAsia="宋体" w:cs="Times New Roman"/>
      <w:sz w:val="21"/>
      <w:lang w:val="en-US" w:eastAsia="zh-CN" w:bidi="ar-SA"/>
    </w:rPr>
  </w:style>
  <w:style w:type="paragraph" w:customStyle="1" w:styleId="331">
    <w:name w:val="TOC Heading6"/>
    <w:next w:val="1"/>
    <w:qFormat/>
    <w:uiPriority w:val="0"/>
    <w:pPr>
      <w:wordWrap w:val="0"/>
    </w:pPr>
    <w:rPr>
      <w:rFonts w:ascii="Calibri" w:hAnsi="Calibri" w:eastAsia="宋体" w:cs="Times New Roman"/>
      <w:sz w:val="32"/>
      <w:lang w:val="en-US" w:eastAsia="zh-CN" w:bidi="ar-SA"/>
    </w:rPr>
  </w:style>
  <w:style w:type="paragraph" w:customStyle="1" w:styleId="332">
    <w:name w:val="toc 52"/>
    <w:next w:val="1"/>
    <w:qFormat/>
    <w:uiPriority w:val="0"/>
    <w:pPr>
      <w:wordWrap w:val="0"/>
      <w:ind w:left="1700"/>
      <w:jc w:val="both"/>
    </w:pPr>
    <w:rPr>
      <w:rFonts w:ascii="Calibri" w:hAnsi="Calibri" w:eastAsia="宋体" w:cs="Times New Roman"/>
      <w:sz w:val="21"/>
      <w:lang w:val="en-US" w:eastAsia="zh-CN" w:bidi="ar-SA"/>
    </w:rPr>
  </w:style>
  <w:style w:type="paragraph" w:customStyle="1" w:styleId="333">
    <w:name w:val="toc 36"/>
    <w:next w:val="1"/>
    <w:qFormat/>
    <w:uiPriority w:val="0"/>
    <w:pPr>
      <w:wordWrap w:val="0"/>
      <w:ind w:left="850"/>
      <w:jc w:val="both"/>
    </w:pPr>
    <w:rPr>
      <w:rFonts w:ascii="Calibri" w:hAnsi="Calibri" w:eastAsia="宋体" w:cs="Times New Roman"/>
      <w:sz w:val="21"/>
      <w:lang w:val="en-US" w:eastAsia="zh-CN" w:bidi="ar-SA"/>
    </w:rPr>
  </w:style>
  <w:style w:type="paragraph" w:customStyle="1" w:styleId="334">
    <w:name w:val="toc 82"/>
    <w:next w:val="1"/>
    <w:qFormat/>
    <w:uiPriority w:val="0"/>
    <w:pPr>
      <w:wordWrap w:val="0"/>
      <w:ind w:left="2975"/>
      <w:jc w:val="both"/>
    </w:pPr>
    <w:rPr>
      <w:rFonts w:ascii="Calibri" w:hAnsi="Calibri" w:eastAsia="宋体" w:cs="Times New Roman"/>
      <w:sz w:val="21"/>
      <w:lang w:val="en-US" w:eastAsia="zh-CN" w:bidi="ar-SA"/>
    </w:rPr>
  </w:style>
  <w:style w:type="paragraph" w:customStyle="1" w:styleId="335">
    <w:name w:val="xl104"/>
    <w:basedOn w:val="1"/>
    <w:next w:val="336"/>
    <w:qFormat/>
    <w:uiPriority w:val="0"/>
    <w:pPr>
      <w:widowControl/>
      <w:shd w:val="clear" w:color="000000" w:fill="FFFFFF"/>
      <w:spacing w:before="280" w:after="280"/>
      <w:jc w:val="center"/>
    </w:pPr>
    <w:rPr>
      <w:rFonts w:ascii="宋体" w:hAnsi="Calibri"/>
      <w:kern w:val="0"/>
      <w:sz w:val="20"/>
      <w:szCs w:val="20"/>
    </w:rPr>
  </w:style>
  <w:style w:type="paragraph" w:customStyle="1" w:styleId="336">
    <w:name w:val="toc 210"/>
    <w:next w:val="1"/>
    <w:qFormat/>
    <w:uiPriority w:val="0"/>
    <w:pPr>
      <w:wordWrap w:val="0"/>
      <w:ind w:left="425"/>
      <w:jc w:val="both"/>
    </w:pPr>
    <w:rPr>
      <w:rFonts w:ascii="Calibri" w:hAnsi="Calibri" w:eastAsia="宋体" w:cs="Times New Roman"/>
      <w:sz w:val="21"/>
      <w:lang w:val="en-US" w:eastAsia="zh-CN" w:bidi="ar-SA"/>
    </w:rPr>
  </w:style>
  <w:style w:type="paragraph" w:customStyle="1" w:styleId="337">
    <w:name w:val="toc 110"/>
    <w:next w:val="1"/>
    <w:qFormat/>
    <w:uiPriority w:val="0"/>
    <w:pPr>
      <w:wordWrap w:val="0"/>
      <w:jc w:val="both"/>
    </w:pPr>
    <w:rPr>
      <w:rFonts w:ascii="Calibri" w:hAnsi="Calibri" w:eastAsia="宋体" w:cs="Times New Roman"/>
      <w:sz w:val="21"/>
      <w:lang w:val="en-US" w:eastAsia="zh-CN" w:bidi="ar-SA"/>
    </w:rPr>
  </w:style>
  <w:style w:type="paragraph" w:customStyle="1" w:styleId="338">
    <w:name w:val="toc 66"/>
    <w:next w:val="1"/>
    <w:qFormat/>
    <w:uiPriority w:val="0"/>
    <w:pPr>
      <w:wordWrap w:val="0"/>
      <w:ind w:left="2125"/>
      <w:jc w:val="both"/>
    </w:pPr>
    <w:rPr>
      <w:rFonts w:ascii="Calibri" w:hAnsi="Calibri" w:eastAsia="宋体" w:cs="Times New Roman"/>
      <w:sz w:val="21"/>
      <w:lang w:val="en-US" w:eastAsia="zh-CN" w:bidi="ar-SA"/>
    </w:rPr>
  </w:style>
  <w:style w:type="paragraph" w:customStyle="1" w:styleId="339">
    <w:name w:val="toc 31"/>
    <w:next w:val="1"/>
    <w:qFormat/>
    <w:uiPriority w:val="0"/>
    <w:pPr>
      <w:wordWrap w:val="0"/>
      <w:ind w:left="850"/>
      <w:jc w:val="both"/>
    </w:pPr>
    <w:rPr>
      <w:rFonts w:ascii="Calibri" w:hAnsi="Calibri" w:eastAsia="宋体" w:cs="Times New Roman"/>
      <w:sz w:val="21"/>
      <w:lang w:val="en-US" w:eastAsia="zh-CN" w:bidi="ar-SA"/>
    </w:rPr>
  </w:style>
  <w:style w:type="paragraph" w:customStyle="1" w:styleId="340">
    <w:name w:val="toc 93"/>
    <w:next w:val="1"/>
    <w:qFormat/>
    <w:uiPriority w:val="0"/>
    <w:pPr>
      <w:wordWrap w:val="0"/>
      <w:ind w:left="3400"/>
      <w:jc w:val="both"/>
    </w:pPr>
    <w:rPr>
      <w:rFonts w:ascii="Calibri" w:hAnsi="Calibri" w:eastAsia="宋体" w:cs="Times New Roman"/>
      <w:sz w:val="21"/>
      <w:lang w:val="en-US" w:eastAsia="zh-CN" w:bidi="ar-SA"/>
    </w:rPr>
  </w:style>
  <w:style w:type="paragraph" w:customStyle="1" w:styleId="341">
    <w:name w:val="toc 614"/>
    <w:next w:val="1"/>
    <w:qFormat/>
    <w:uiPriority w:val="0"/>
    <w:pPr>
      <w:wordWrap w:val="0"/>
      <w:ind w:left="2125"/>
      <w:jc w:val="both"/>
    </w:pPr>
    <w:rPr>
      <w:rFonts w:ascii="Calibri" w:hAnsi="Calibri" w:eastAsia="宋体" w:cs="Times New Roman"/>
      <w:sz w:val="21"/>
      <w:lang w:val="en-US" w:eastAsia="zh-CN" w:bidi="ar-SA"/>
    </w:rPr>
  </w:style>
  <w:style w:type="paragraph" w:customStyle="1" w:styleId="342">
    <w:name w:val="无间隔1"/>
    <w:next w:val="337"/>
    <w:qFormat/>
    <w:uiPriority w:val="0"/>
    <w:pPr>
      <w:widowControl w:val="0"/>
      <w:jc w:val="both"/>
    </w:pPr>
    <w:rPr>
      <w:rFonts w:ascii="Calibri" w:hAnsi="Calibri" w:eastAsia="宋体" w:cs="Times New Roman"/>
      <w:sz w:val="22"/>
      <w:lang w:val="en-US" w:eastAsia="zh-CN" w:bidi="ar-SA"/>
    </w:rPr>
  </w:style>
  <w:style w:type="paragraph" w:customStyle="1" w:styleId="343">
    <w:name w:val="目录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4">
    <w:name w:val="xl105"/>
    <w:basedOn w:val="1"/>
    <w:next w:val="345"/>
    <w:qFormat/>
    <w:uiPriority w:val="0"/>
    <w:pPr>
      <w:widowControl/>
      <w:shd w:val="clear" w:color="000000" w:fill="FFFFFF"/>
      <w:spacing w:before="280" w:after="280"/>
    </w:pPr>
    <w:rPr>
      <w:rFonts w:ascii="宋体" w:hAnsi="Calibri"/>
      <w:kern w:val="0"/>
      <w:sz w:val="18"/>
      <w:szCs w:val="20"/>
    </w:rPr>
  </w:style>
  <w:style w:type="paragraph" w:customStyle="1" w:styleId="345">
    <w:name w:val="toc 615"/>
    <w:next w:val="1"/>
    <w:qFormat/>
    <w:uiPriority w:val="0"/>
    <w:pPr>
      <w:wordWrap w:val="0"/>
      <w:ind w:left="2125"/>
      <w:jc w:val="both"/>
    </w:pPr>
    <w:rPr>
      <w:rFonts w:ascii="Calibri" w:hAnsi="Calibri" w:eastAsia="宋体" w:cs="Times New Roman"/>
      <w:sz w:val="21"/>
      <w:lang w:val="en-US" w:eastAsia="zh-CN" w:bidi="ar-SA"/>
    </w:rPr>
  </w:style>
  <w:style w:type="paragraph" w:customStyle="1" w:styleId="346">
    <w:name w:val="toc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7">
    <w:name w:val="toc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48">
    <w:name w:val="xl111"/>
    <w:basedOn w:val="1"/>
    <w:next w:val="349"/>
    <w:qFormat/>
    <w:uiPriority w:val="0"/>
    <w:pPr>
      <w:widowControl/>
      <w:shd w:val="clear" w:color="000000" w:fill="FFFFFF"/>
      <w:spacing w:before="280" w:after="280"/>
      <w:jc w:val="center"/>
    </w:pPr>
    <w:rPr>
      <w:rFonts w:ascii="宋体" w:hAnsi="Calibri"/>
      <w:b/>
      <w:kern w:val="0"/>
      <w:sz w:val="20"/>
      <w:szCs w:val="20"/>
    </w:rPr>
  </w:style>
  <w:style w:type="paragraph" w:customStyle="1" w:styleId="349">
    <w:name w:val="toc 88"/>
    <w:next w:val="1"/>
    <w:qFormat/>
    <w:uiPriority w:val="0"/>
    <w:pPr>
      <w:wordWrap w:val="0"/>
      <w:ind w:left="2975"/>
      <w:jc w:val="both"/>
    </w:pPr>
    <w:rPr>
      <w:rFonts w:ascii="Calibri" w:hAnsi="Calibri" w:eastAsia="宋体" w:cs="Times New Roman"/>
      <w:sz w:val="21"/>
      <w:lang w:val="en-US" w:eastAsia="zh-CN" w:bidi="ar-SA"/>
    </w:rPr>
  </w:style>
  <w:style w:type="paragraph" w:customStyle="1" w:styleId="350">
    <w:name w:val="toc 84"/>
    <w:next w:val="1"/>
    <w:qFormat/>
    <w:uiPriority w:val="0"/>
    <w:pPr>
      <w:wordWrap w:val="0"/>
      <w:ind w:left="2975"/>
      <w:jc w:val="both"/>
    </w:pPr>
    <w:rPr>
      <w:rFonts w:ascii="Calibri" w:hAnsi="Calibri" w:eastAsia="宋体" w:cs="Times New Roman"/>
      <w:sz w:val="21"/>
      <w:lang w:val="en-US" w:eastAsia="zh-CN" w:bidi="ar-SA"/>
    </w:rPr>
  </w:style>
  <w:style w:type="paragraph" w:customStyle="1" w:styleId="351">
    <w:name w:val="p0"/>
    <w:basedOn w:val="1"/>
    <w:next w:val="352"/>
    <w:qFormat/>
    <w:uiPriority w:val="0"/>
    <w:pPr>
      <w:widowControl/>
      <w:spacing w:before="280" w:after="280"/>
    </w:pPr>
    <w:rPr>
      <w:rFonts w:ascii="宋体" w:hAnsi="Calibri"/>
      <w:kern w:val="0"/>
      <w:sz w:val="24"/>
      <w:szCs w:val="20"/>
    </w:rPr>
  </w:style>
  <w:style w:type="paragraph" w:customStyle="1" w:styleId="352">
    <w:name w:val="toc 69"/>
    <w:next w:val="1"/>
    <w:qFormat/>
    <w:uiPriority w:val="0"/>
    <w:pPr>
      <w:wordWrap w:val="0"/>
      <w:ind w:left="2125"/>
      <w:jc w:val="both"/>
    </w:pPr>
    <w:rPr>
      <w:rFonts w:ascii="Calibri" w:hAnsi="Calibri" w:eastAsia="宋体" w:cs="Times New Roman"/>
      <w:sz w:val="21"/>
      <w:lang w:val="en-US" w:eastAsia="zh-CN" w:bidi="ar-SA"/>
    </w:rPr>
  </w:style>
  <w:style w:type="paragraph" w:customStyle="1" w:styleId="353">
    <w:name w:val="列出段落11"/>
    <w:basedOn w:val="1"/>
    <w:next w:val="354"/>
    <w:qFormat/>
    <w:uiPriority w:val="0"/>
    <w:pPr>
      <w:widowControl/>
      <w:spacing w:line="360" w:lineRule="auto"/>
      <w:ind w:firstLine="420"/>
    </w:pPr>
    <w:rPr>
      <w:rFonts w:hAnsi="Calibri" w:eastAsia="微软雅黑"/>
      <w:kern w:val="0"/>
      <w:sz w:val="24"/>
      <w:szCs w:val="20"/>
    </w:rPr>
  </w:style>
  <w:style w:type="paragraph" w:customStyle="1" w:styleId="354">
    <w:name w:val="toc 214"/>
    <w:next w:val="1"/>
    <w:qFormat/>
    <w:uiPriority w:val="0"/>
    <w:pPr>
      <w:wordWrap w:val="0"/>
      <w:ind w:left="425"/>
      <w:jc w:val="both"/>
    </w:pPr>
    <w:rPr>
      <w:rFonts w:ascii="Calibri" w:hAnsi="Calibri" w:eastAsia="宋体" w:cs="Times New Roman"/>
      <w:sz w:val="21"/>
      <w:lang w:val="en-US" w:eastAsia="zh-CN" w:bidi="ar-SA"/>
    </w:rPr>
  </w:style>
  <w:style w:type="paragraph" w:customStyle="1" w:styleId="355">
    <w:name w:val="toc 63"/>
    <w:next w:val="1"/>
    <w:qFormat/>
    <w:uiPriority w:val="0"/>
    <w:pPr>
      <w:wordWrap w:val="0"/>
      <w:ind w:left="2125"/>
      <w:jc w:val="both"/>
    </w:pPr>
    <w:rPr>
      <w:rFonts w:ascii="Calibri" w:hAnsi="Calibri" w:eastAsia="宋体" w:cs="Times New Roman"/>
      <w:sz w:val="21"/>
      <w:lang w:val="en-US" w:eastAsia="zh-CN" w:bidi="ar-SA"/>
    </w:rPr>
  </w:style>
  <w:style w:type="paragraph" w:customStyle="1" w:styleId="356">
    <w:name w:val="xl91"/>
    <w:basedOn w:val="1"/>
    <w:next w:val="253"/>
    <w:qFormat/>
    <w:uiPriority w:val="0"/>
    <w:pPr>
      <w:widowControl/>
      <w:shd w:val="clear" w:color="000000" w:fill="FFFFFF"/>
      <w:spacing w:before="280" w:after="280"/>
    </w:pPr>
    <w:rPr>
      <w:rFonts w:ascii="宋体" w:hAnsi="Calibri"/>
      <w:kern w:val="0"/>
      <w:sz w:val="20"/>
      <w:szCs w:val="20"/>
    </w:rPr>
  </w:style>
  <w:style w:type="paragraph" w:customStyle="1" w:styleId="357">
    <w:name w:val="toc 316"/>
    <w:next w:val="1"/>
    <w:qFormat/>
    <w:uiPriority w:val="0"/>
    <w:pPr>
      <w:wordWrap w:val="0"/>
      <w:ind w:left="850"/>
      <w:jc w:val="both"/>
    </w:pPr>
    <w:rPr>
      <w:rFonts w:ascii="Calibri" w:hAnsi="Calibri" w:eastAsia="宋体" w:cs="Times New Roman"/>
      <w:sz w:val="21"/>
      <w:lang w:val="en-US" w:eastAsia="zh-CN" w:bidi="ar-SA"/>
    </w:rPr>
  </w:style>
  <w:style w:type="paragraph" w:customStyle="1" w:styleId="358">
    <w:name w:val="_Style 1"/>
    <w:basedOn w:val="1"/>
    <w:next w:val="359"/>
    <w:qFormat/>
    <w:uiPriority w:val="0"/>
    <w:pPr>
      <w:ind w:firstLine="420"/>
    </w:pPr>
    <w:rPr>
      <w:rFonts w:hAnsi="Calibri"/>
      <w:kern w:val="0"/>
      <w:szCs w:val="20"/>
    </w:rPr>
  </w:style>
  <w:style w:type="paragraph" w:customStyle="1" w:styleId="359">
    <w:name w:val="TOC Heading13"/>
    <w:next w:val="1"/>
    <w:qFormat/>
    <w:uiPriority w:val="0"/>
    <w:pPr>
      <w:wordWrap w:val="0"/>
    </w:pPr>
    <w:rPr>
      <w:rFonts w:ascii="Calibri" w:hAnsi="Calibri" w:eastAsia="宋体" w:cs="Times New Roman"/>
      <w:sz w:val="32"/>
      <w:lang w:val="en-US" w:eastAsia="zh-CN" w:bidi="ar-SA"/>
    </w:rPr>
  </w:style>
  <w:style w:type="paragraph" w:customStyle="1" w:styleId="360">
    <w:name w:val="toc 116"/>
    <w:next w:val="1"/>
    <w:qFormat/>
    <w:uiPriority w:val="0"/>
    <w:pPr>
      <w:wordWrap w:val="0"/>
      <w:jc w:val="both"/>
    </w:pPr>
    <w:rPr>
      <w:rFonts w:ascii="Calibri" w:hAnsi="Calibri" w:eastAsia="宋体" w:cs="Times New Roman"/>
      <w:sz w:val="21"/>
      <w:lang w:val="en-US" w:eastAsia="zh-CN" w:bidi="ar-SA"/>
    </w:rPr>
  </w:style>
  <w:style w:type="paragraph" w:customStyle="1" w:styleId="361">
    <w:name w:val="toc 72"/>
    <w:next w:val="1"/>
    <w:qFormat/>
    <w:uiPriority w:val="0"/>
    <w:pPr>
      <w:wordWrap w:val="0"/>
      <w:ind w:left="2550"/>
      <w:jc w:val="both"/>
    </w:pPr>
    <w:rPr>
      <w:rFonts w:ascii="Calibri" w:hAnsi="Calibri" w:eastAsia="宋体" w:cs="Times New Roman"/>
      <w:sz w:val="21"/>
      <w:lang w:val="en-US" w:eastAsia="zh-CN" w:bidi="ar-SA"/>
    </w:rPr>
  </w:style>
  <w:style w:type="paragraph" w:customStyle="1" w:styleId="362">
    <w:name w:val="x_msonormal"/>
    <w:basedOn w:val="1"/>
    <w:next w:val="312"/>
    <w:qFormat/>
    <w:uiPriority w:val="0"/>
    <w:pPr>
      <w:widowControl/>
      <w:spacing w:before="280" w:after="280"/>
    </w:pPr>
    <w:rPr>
      <w:rFonts w:ascii="PMingLiU" w:hAnsi="Calibri" w:eastAsia="PMingLiU"/>
      <w:kern w:val="0"/>
      <w:sz w:val="24"/>
      <w:szCs w:val="20"/>
    </w:rPr>
  </w:style>
  <w:style w:type="paragraph" w:customStyle="1" w:styleId="363">
    <w:name w:val="toc 310"/>
    <w:next w:val="1"/>
    <w:qFormat/>
    <w:uiPriority w:val="0"/>
    <w:pPr>
      <w:wordWrap w:val="0"/>
      <w:ind w:left="850"/>
      <w:jc w:val="both"/>
    </w:pPr>
    <w:rPr>
      <w:rFonts w:ascii="Calibri" w:hAnsi="Calibri" w:eastAsia="宋体" w:cs="Times New Roman"/>
      <w:sz w:val="21"/>
      <w:lang w:val="en-US" w:eastAsia="zh-CN" w:bidi="ar-SA"/>
    </w:rPr>
  </w:style>
  <w:style w:type="paragraph" w:customStyle="1" w:styleId="364">
    <w:name w:val="toc 83"/>
    <w:next w:val="1"/>
    <w:qFormat/>
    <w:uiPriority w:val="0"/>
    <w:pPr>
      <w:wordWrap w:val="0"/>
      <w:ind w:left="2975"/>
      <w:jc w:val="both"/>
    </w:pPr>
    <w:rPr>
      <w:rFonts w:ascii="Calibri" w:hAnsi="Calibri" w:eastAsia="宋体" w:cs="Times New Roman"/>
      <w:sz w:val="21"/>
      <w:lang w:val="en-US" w:eastAsia="zh-CN" w:bidi="ar-SA"/>
    </w:rPr>
  </w:style>
  <w:style w:type="paragraph" w:customStyle="1" w:styleId="365">
    <w:name w:val="TOC Heading17"/>
    <w:next w:val="1"/>
    <w:qFormat/>
    <w:uiPriority w:val="0"/>
    <w:pPr>
      <w:wordWrap w:val="0"/>
    </w:pPr>
    <w:rPr>
      <w:rFonts w:ascii="Calibri" w:hAnsi="Calibri" w:eastAsia="宋体" w:cs="Times New Roman"/>
      <w:sz w:val="32"/>
      <w:lang w:val="en-US" w:eastAsia="zh-CN" w:bidi="ar-SA"/>
    </w:rPr>
  </w:style>
  <w:style w:type="paragraph" w:customStyle="1" w:styleId="366">
    <w:name w:val="toc 911"/>
    <w:next w:val="1"/>
    <w:qFormat/>
    <w:uiPriority w:val="0"/>
    <w:pPr>
      <w:wordWrap w:val="0"/>
      <w:ind w:left="3400"/>
      <w:jc w:val="both"/>
    </w:pPr>
    <w:rPr>
      <w:rFonts w:ascii="Calibri" w:hAnsi="Calibri" w:eastAsia="宋体" w:cs="Times New Roman"/>
      <w:sz w:val="21"/>
      <w:lang w:val="en-US" w:eastAsia="zh-CN" w:bidi="ar-SA"/>
    </w:rPr>
  </w:style>
  <w:style w:type="paragraph" w:customStyle="1" w:styleId="367">
    <w:name w:val="toc 811"/>
    <w:next w:val="1"/>
    <w:qFormat/>
    <w:uiPriority w:val="0"/>
    <w:pPr>
      <w:wordWrap w:val="0"/>
      <w:ind w:left="2975"/>
      <w:jc w:val="both"/>
    </w:pPr>
    <w:rPr>
      <w:rFonts w:ascii="Calibri" w:hAnsi="Calibri" w:eastAsia="宋体" w:cs="Times New Roman"/>
      <w:sz w:val="21"/>
      <w:lang w:val="en-US" w:eastAsia="zh-CN" w:bidi="ar-SA"/>
    </w:rPr>
  </w:style>
  <w:style w:type="paragraph" w:customStyle="1" w:styleId="368">
    <w:name w:val="目录 31"/>
    <w:next w:val="1"/>
    <w:qFormat/>
    <w:uiPriority w:val="0"/>
    <w:pPr>
      <w:wordWrap w:val="0"/>
      <w:ind w:left="850"/>
      <w:jc w:val="both"/>
    </w:pPr>
    <w:rPr>
      <w:rFonts w:ascii="Calibri" w:hAnsi="Calibri" w:eastAsia="宋体" w:cs="Times New Roman"/>
      <w:sz w:val="21"/>
      <w:lang w:val="en-US" w:eastAsia="zh-CN" w:bidi="ar-SA"/>
    </w:rPr>
  </w:style>
  <w:style w:type="paragraph" w:customStyle="1" w:styleId="369">
    <w:name w:val="xl118"/>
    <w:basedOn w:val="1"/>
    <w:next w:val="243"/>
    <w:qFormat/>
    <w:uiPriority w:val="0"/>
    <w:pPr>
      <w:widowControl/>
      <w:shd w:val="clear" w:color="000000" w:fill="FFFFFF"/>
      <w:spacing w:before="280" w:after="280"/>
      <w:jc w:val="center"/>
    </w:pPr>
    <w:rPr>
      <w:rFonts w:ascii="宋体" w:hAnsi="Calibri"/>
      <w:b/>
      <w:kern w:val="0"/>
      <w:sz w:val="20"/>
      <w:szCs w:val="20"/>
    </w:rPr>
  </w:style>
  <w:style w:type="paragraph" w:customStyle="1" w:styleId="370">
    <w:name w:val="xl83"/>
    <w:basedOn w:val="1"/>
    <w:next w:val="298"/>
    <w:qFormat/>
    <w:uiPriority w:val="0"/>
    <w:pPr>
      <w:widowControl/>
      <w:shd w:val="clear" w:color="000000" w:fill="FFFFFF"/>
      <w:spacing w:before="280" w:after="280"/>
    </w:pPr>
    <w:rPr>
      <w:rFonts w:ascii="宋体" w:hAnsi="Calibri"/>
      <w:kern w:val="0"/>
      <w:sz w:val="20"/>
      <w:szCs w:val="20"/>
    </w:rPr>
  </w:style>
  <w:style w:type="paragraph" w:customStyle="1" w:styleId="371">
    <w:name w:val="xl103"/>
    <w:basedOn w:val="1"/>
    <w:next w:val="372"/>
    <w:qFormat/>
    <w:uiPriority w:val="0"/>
    <w:pPr>
      <w:widowControl/>
      <w:shd w:val="clear" w:color="000000" w:fill="FFFFFF"/>
      <w:spacing w:before="280" w:after="280"/>
    </w:pPr>
    <w:rPr>
      <w:rFonts w:ascii="宋体" w:hAnsi="Calibri"/>
      <w:kern w:val="0"/>
      <w:sz w:val="20"/>
      <w:szCs w:val="20"/>
    </w:rPr>
  </w:style>
  <w:style w:type="paragraph" w:customStyle="1" w:styleId="372">
    <w:name w:val="toc 111"/>
    <w:next w:val="1"/>
    <w:qFormat/>
    <w:uiPriority w:val="0"/>
    <w:pPr>
      <w:wordWrap w:val="0"/>
      <w:jc w:val="both"/>
    </w:pPr>
    <w:rPr>
      <w:rFonts w:ascii="Calibri" w:hAnsi="Calibri" w:eastAsia="宋体" w:cs="Times New Roman"/>
      <w:sz w:val="21"/>
      <w:lang w:val="en-US" w:eastAsia="zh-CN" w:bidi="ar-SA"/>
    </w:rPr>
  </w:style>
  <w:style w:type="paragraph" w:customStyle="1" w:styleId="373">
    <w:name w:val="xl68"/>
    <w:basedOn w:val="1"/>
    <w:next w:val="374"/>
    <w:qFormat/>
    <w:uiPriority w:val="0"/>
    <w:pPr>
      <w:widowControl/>
      <w:shd w:val="clear" w:color="000000" w:fill="FFFFFF"/>
      <w:spacing w:before="280" w:after="280"/>
    </w:pPr>
    <w:rPr>
      <w:rFonts w:ascii="宋体" w:hAnsi="Calibri"/>
      <w:b/>
      <w:kern w:val="0"/>
      <w:sz w:val="20"/>
      <w:szCs w:val="20"/>
    </w:rPr>
  </w:style>
  <w:style w:type="paragraph" w:customStyle="1" w:styleId="374">
    <w:name w:val="TOC Heading16"/>
    <w:next w:val="1"/>
    <w:qFormat/>
    <w:uiPriority w:val="0"/>
    <w:pPr>
      <w:wordWrap w:val="0"/>
    </w:pPr>
    <w:rPr>
      <w:rFonts w:ascii="Calibri" w:hAnsi="Calibri" w:eastAsia="宋体" w:cs="Times New Roman"/>
      <w:sz w:val="32"/>
      <w:lang w:val="en-US" w:eastAsia="zh-CN" w:bidi="ar-SA"/>
    </w:rPr>
  </w:style>
  <w:style w:type="paragraph" w:customStyle="1" w:styleId="375">
    <w:name w:val="toc 113"/>
    <w:next w:val="1"/>
    <w:qFormat/>
    <w:uiPriority w:val="0"/>
    <w:pPr>
      <w:wordWrap w:val="0"/>
      <w:jc w:val="both"/>
    </w:pPr>
    <w:rPr>
      <w:rFonts w:ascii="Calibri" w:hAnsi="Calibri" w:eastAsia="宋体" w:cs="Times New Roman"/>
      <w:sz w:val="21"/>
      <w:lang w:val="en-US" w:eastAsia="zh-CN" w:bidi="ar-SA"/>
    </w:rPr>
  </w:style>
  <w:style w:type="paragraph" w:customStyle="1" w:styleId="376">
    <w:name w:val="xl94"/>
    <w:basedOn w:val="1"/>
    <w:next w:val="267"/>
    <w:qFormat/>
    <w:uiPriority w:val="0"/>
    <w:pPr>
      <w:widowControl/>
      <w:shd w:val="clear" w:color="000000" w:fill="FFFFFF"/>
      <w:spacing w:before="280" w:after="280"/>
      <w:jc w:val="center"/>
    </w:pPr>
    <w:rPr>
      <w:rFonts w:ascii="宋体" w:hAnsi="Calibri"/>
      <w:kern w:val="0"/>
      <w:sz w:val="20"/>
      <w:szCs w:val="20"/>
    </w:rPr>
  </w:style>
  <w:style w:type="paragraph" w:customStyle="1" w:styleId="377">
    <w:name w:val="toc 53"/>
    <w:next w:val="1"/>
    <w:qFormat/>
    <w:uiPriority w:val="0"/>
    <w:pPr>
      <w:wordWrap w:val="0"/>
      <w:ind w:left="1700"/>
      <w:jc w:val="both"/>
    </w:pPr>
    <w:rPr>
      <w:rFonts w:ascii="Calibri" w:hAnsi="Calibri" w:eastAsia="宋体" w:cs="Times New Roman"/>
      <w:sz w:val="21"/>
      <w:lang w:val="en-US" w:eastAsia="zh-CN" w:bidi="ar-SA"/>
    </w:rPr>
  </w:style>
  <w:style w:type="paragraph" w:customStyle="1" w:styleId="378">
    <w:name w:val="xl92"/>
    <w:basedOn w:val="1"/>
    <w:next w:val="379"/>
    <w:qFormat/>
    <w:uiPriority w:val="0"/>
    <w:pPr>
      <w:widowControl/>
      <w:shd w:val="clear" w:color="000000" w:fill="FFFFFF"/>
      <w:spacing w:before="280" w:after="280"/>
    </w:pPr>
    <w:rPr>
      <w:rFonts w:ascii="宋体" w:hAnsi="Calibri"/>
      <w:kern w:val="0"/>
      <w:sz w:val="20"/>
      <w:szCs w:val="20"/>
    </w:rPr>
  </w:style>
  <w:style w:type="paragraph" w:customStyle="1" w:styleId="379">
    <w:name w:val="toc 913"/>
    <w:next w:val="1"/>
    <w:qFormat/>
    <w:uiPriority w:val="0"/>
    <w:pPr>
      <w:wordWrap w:val="0"/>
      <w:ind w:left="3400"/>
      <w:jc w:val="both"/>
    </w:pPr>
    <w:rPr>
      <w:rFonts w:ascii="Calibri" w:hAnsi="Calibri" w:eastAsia="宋体" w:cs="Times New Roman"/>
      <w:sz w:val="21"/>
      <w:lang w:val="en-US" w:eastAsia="zh-CN" w:bidi="ar-SA"/>
    </w:rPr>
  </w:style>
  <w:style w:type="paragraph" w:customStyle="1" w:styleId="380">
    <w:name w:val="toc 512"/>
    <w:next w:val="1"/>
    <w:qFormat/>
    <w:uiPriority w:val="0"/>
    <w:pPr>
      <w:wordWrap w:val="0"/>
      <w:ind w:left="1700"/>
      <w:jc w:val="both"/>
    </w:pPr>
    <w:rPr>
      <w:rFonts w:ascii="Calibri" w:hAnsi="Calibri" w:eastAsia="宋体" w:cs="Times New Roman"/>
      <w:sz w:val="21"/>
      <w:lang w:val="en-US" w:eastAsia="zh-CN" w:bidi="ar-SA"/>
    </w:rPr>
  </w:style>
  <w:style w:type="paragraph" w:customStyle="1" w:styleId="381">
    <w:name w:val="目录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82">
    <w:name w:val="正文表标题"/>
    <w:next w:val="1"/>
    <w:qFormat/>
    <w:uiPriority w:val="0"/>
    <w:pPr>
      <w:ind w:left="630"/>
      <w:jc w:val="center"/>
    </w:pPr>
    <w:rPr>
      <w:rFonts w:ascii="黑体" w:hAnsi="Calibri" w:eastAsia="黑体" w:cs="Times New Roman"/>
      <w:sz w:val="21"/>
      <w:lang w:val="en-US" w:eastAsia="zh-CN" w:bidi="ar-SA"/>
    </w:rPr>
  </w:style>
  <w:style w:type="paragraph" w:customStyle="1" w:styleId="383">
    <w:name w:val="toc 28"/>
    <w:next w:val="1"/>
    <w:qFormat/>
    <w:uiPriority w:val="0"/>
    <w:pPr>
      <w:wordWrap w:val="0"/>
      <w:ind w:left="425"/>
      <w:jc w:val="both"/>
    </w:pPr>
    <w:rPr>
      <w:rFonts w:ascii="Calibri" w:hAnsi="Calibri" w:eastAsia="宋体" w:cs="Times New Roman"/>
      <w:sz w:val="21"/>
      <w:lang w:val="en-US" w:eastAsia="zh-CN" w:bidi="ar-SA"/>
    </w:rPr>
  </w:style>
  <w:style w:type="paragraph" w:customStyle="1" w:styleId="384">
    <w:name w:val="toc 79"/>
    <w:next w:val="1"/>
    <w:qFormat/>
    <w:uiPriority w:val="0"/>
    <w:pPr>
      <w:wordWrap w:val="0"/>
      <w:ind w:left="2550"/>
      <w:jc w:val="both"/>
    </w:pPr>
    <w:rPr>
      <w:rFonts w:ascii="Calibri" w:hAnsi="Calibri" w:eastAsia="宋体" w:cs="Times New Roman"/>
      <w:sz w:val="21"/>
      <w:lang w:val="en-US" w:eastAsia="zh-CN" w:bidi="ar-SA"/>
    </w:rPr>
  </w:style>
  <w:style w:type="paragraph" w:customStyle="1" w:styleId="385">
    <w:name w:val="xl110"/>
    <w:basedOn w:val="1"/>
    <w:next w:val="341"/>
    <w:qFormat/>
    <w:uiPriority w:val="0"/>
    <w:pPr>
      <w:widowControl/>
      <w:shd w:val="clear" w:color="000000" w:fill="FFFFFF"/>
      <w:spacing w:before="280" w:after="280"/>
      <w:jc w:val="center"/>
    </w:pPr>
    <w:rPr>
      <w:rFonts w:ascii="宋体" w:hAnsi="Calibri"/>
      <w:kern w:val="0"/>
      <w:sz w:val="20"/>
      <w:szCs w:val="20"/>
    </w:rPr>
  </w:style>
  <w:style w:type="paragraph" w:customStyle="1" w:styleId="386">
    <w:name w:val="toc 511"/>
    <w:next w:val="1"/>
    <w:qFormat/>
    <w:uiPriority w:val="0"/>
    <w:pPr>
      <w:wordWrap w:val="0"/>
      <w:ind w:left="1700"/>
      <w:jc w:val="both"/>
    </w:pPr>
    <w:rPr>
      <w:rFonts w:ascii="Calibri" w:hAnsi="Calibri" w:eastAsia="宋体" w:cs="Times New Roman"/>
      <w:sz w:val="21"/>
      <w:lang w:val="en-US" w:eastAsia="zh-CN" w:bidi="ar-SA"/>
    </w:rPr>
  </w:style>
  <w:style w:type="paragraph" w:customStyle="1" w:styleId="387">
    <w:name w:val="toc 416"/>
    <w:next w:val="1"/>
    <w:qFormat/>
    <w:uiPriority w:val="0"/>
    <w:pPr>
      <w:wordWrap w:val="0"/>
      <w:ind w:left="1275"/>
      <w:jc w:val="both"/>
    </w:pPr>
    <w:rPr>
      <w:rFonts w:ascii="Calibri" w:hAnsi="Calibri" w:eastAsia="宋体" w:cs="Times New Roman"/>
      <w:sz w:val="21"/>
      <w:lang w:val="en-US" w:eastAsia="zh-CN" w:bidi="ar-SA"/>
    </w:rPr>
  </w:style>
  <w:style w:type="paragraph" w:customStyle="1" w:styleId="388">
    <w:name w:val="xl85"/>
    <w:basedOn w:val="1"/>
    <w:next w:val="389"/>
    <w:qFormat/>
    <w:uiPriority w:val="0"/>
    <w:pPr>
      <w:widowControl/>
      <w:shd w:val="clear" w:color="000000" w:fill="FFFFFF"/>
      <w:spacing w:before="280" w:after="280"/>
      <w:jc w:val="center"/>
    </w:pPr>
    <w:rPr>
      <w:rFonts w:ascii="宋体" w:hAnsi="Calibri"/>
      <w:kern w:val="0"/>
      <w:sz w:val="20"/>
      <w:szCs w:val="20"/>
    </w:rPr>
  </w:style>
  <w:style w:type="paragraph" w:customStyle="1" w:styleId="389">
    <w:name w:val="toc 76"/>
    <w:next w:val="1"/>
    <w:qFormat/>
    <w:uiPriority w:val="0"/>
    <w:pPr>
      <w:wordWrap w:val="0"/>
      <w:ind w:left="2550"/>
      <w:jc w:val="both"/>
    </w:pPr>
    <w:rPr>
      <w:rFonts w:ascii="Calibri" w:hAnsi="Calibri" w:eastAsia="宋体" w:cs="Times New Roman"/>
      <w:sz w:val="21"/>
      <w:lang w:val="en-US" w:eastAsia="zh-CN" w:bidi="ar-SA"/>
    </w:rPr>
  </w:style>
  <w:style w:type="paragraph" w:customStyle="1" w:styleId="390">
    <w:name w:val="toc 27"/>
    <w:next w:val="1"/>
    <w:qFormat/>
    <w:uiPriority w:val="0"/>
    <w:pPr>
      <w:wordWrap w:val="0"/>
      <w:ind w:left="425"/>
      <w:jc w:val="both"/>
    </w:pPr>
    <w:rPr>
      <w:rFonts w:ascii="Calibri" w:hAnsi="Calibri" w:eastAsia="宋体" w:cs="Times New Roman"/>
      <w:sz w:val="21"/>
      <w:lang w:val="en-US" w:eastAsia="zh-CN" w:bidi="ar-SA"/>
    </w:rPr>
  </w:style>
  <w:style w:type="paragraph" w:customStyle="1" w:styleId="391">
    <w:name w:val="toc 916"/>
    <w:next w:val="1"/>
    <w:qFormat/>
    <w:uiPriority w:val="0"/>
    <w:pPr>
      <w:wordWrap w:val="0"/>
      <w:ind w:left="3400"/>
      <w:jc w:val="both"/>
    </w:pPr>
    <w:rPr>
      <w:rFonts w:ascii="Calibri" w:hAnsi="Calibri" w:eastAsia="宋体" w:cs="Times New Roman"/>
      <w:sz w:val="21"/>
      <w:lang w:val="en-US" w:eastAsia="zh-CN" w:bidi="ar-SA"/>
    </w:rPr>
  </w:style>
  <w:style w:type="paragraph" w:customStyle="1" w:styleId="392">
    <w:name w:val="toc 77"/>
    <w:next w:val="1"/>
    <w:qFormat/>
    <w:uiPriority w:val="0"/>
    <w:pPr>
      <w:wordWrap w:val="0"/>
      <w:ind w:left="2550"/>
      <w:jc w:val="both"/>
    </w:pPr>
    <w:rPr>
      <w:rFonts w:ascii="Calibri" w:hAnsi="Calibri" w:eastAsia="宋体" w:cs="Times New Roman"/>
      <w:sz w:val="21"/>
      <w:lang w:val="en-US" w:eastAsia="zh-CN" w:bidi="ar-SA"/>
    </w:rPr>
  </w:style>
  <w:style w:type="paragraph" w:customStyle="1" w:styleId="393">
    <w:name w:val="toc 211"/>
    <w:next w:val="1"/>
    <w:qFormat/>
    <w:uiPriority w:val="0"/>
    <w:pPr>
      <w:wordWrap w:val="0"/>
      <w:ind w:left="425"/>
      <w:jc w:val="both"/>
    </w:pPr>
    <w:rPr>
      <w:rFonts w:ascii="Calibri" w:hAnsi="Calibri" w:eastAsia="宋体" w:cs="Times New Roman"/>
      <w:sz w:val="21"/>
      <w:lang w:val="en-US" w:eastAsia="zh-CN" w:bidi="ar-SA"/>
    </w:rPr>
  </w:style>
  <w:style w:type="paragraph" w:customStyle="1" w:styleId="394">
    <w:name w:val="toc 815"/>
    <w:next w:val="1"/>
    <w:qFormat/>
    <w:uiPriority w:val="0"/>
    <w:pPr>
      <w:wordWrap w:val="0"/>
      <w:ind w:left="2975"/>
      <w:jc w:val="both"/>
    </w:pPr>
    <w:rPr>
      <w:rFonts w:ascii="Calibri" w:hAnsi="Calibri" w:eastAsia="宋体" w:cs="Times New Roman"/>
      <w:sz w:val="21"/>
      <w:lang w:val="en-US" w:eastAsia="zh-CN" w:bidi="ar-SA"/>
    </w:rPr>
  </w:style>
  <w:style w:type="paragraph" w:customStyle="1" w:styleId="395">
    <w:name w:val="xl99"/>
    <w:basedOn w:val="1"/>
    <w:next w:val="380"/>
    <w:qFormat/>
    <w:uiPriority w:val="0"/>
    <w:pPr>
      <w:widowControl/>
      <w:shd w:val="clear" w:color="000000" w:fill="FFFFFF"/>
      <w:spacing w:before="280" w:after="280"/>
    </w:pPr>
    <w:rPr>
      <w:rFonts w:ascii="宋体" w:hAnsi="Calibri"/>
      <w:kern w:val="0"/>
      <w:sz w:val="18"/>
      <w:szCs w:val="20"/>
    </w:rPr>
  </w:style>
  <w:style w:type="paragraph" w:customStyle="1" w:styleId="396">
    <w:name w:val="xl97"/>
    <w:basedOn w:val="1"/>
    <w:next w:val="268"/>
    <w:qFormat/>
    <w:uiPriority w:val="0"/>
    <w:pPr>
      <w:widowControl/>
      <w:shd w:val="clear" w:color="000000" w:fill="FFFFFF"/>
      <w:spacing w:before="280" w:after="280"/>
      <w:jc w:val="center"/>
    </w:pPr>
    <w:rPr>
      <w:rFonts w:ascii="宋体" w:hAnsi="Calibri"/>
      <w:kern w:val="0"/>
      <w:sz w:val="20"/>
      <w:szCs w:val="20"/>
    </w:rPr>
  </w:style>
  <w:style w:type="paragraph" w:customStyle="1" w:styleId="397">
    <w:name w:val="toc 612"/>
    <w:next w:val="1"/>
    <w:qFormat/>
    <w:uiPriority w:val="0"/>
    <w:pPr>
      <w:wordWrap w:val="0"/>
      <w:ind w:left="2125"/>
      <w:jc w:val="both"/>
    </w:pPr>
    <w:rPr>
      <w:rFonts w:ascii="Calibri" w:hAnsi="Calibri" w:eastAsia="宋体" w:cs="Times New Roman"/>
      <w:sz w:val="21"/>
      <w:lang w:val="en-US" w:eastAsia="zh-CN" w:bidi="ar-SA"/>
    </w:rPr>
  </w:style>
  <w:style w:type="paragraph" w:customStyle="1" w:styleId="398">
    <w:name w:val="toc 315"/>
    <w:next w:val="1"/>
    <w:qFormat/>
    <w:uiPriority w:val="0"/>
    <w:pPr>
      <w:wordWrap w:val="0"/>
      <w:ind w:left="850"/>
      <w:jc w:val="both"/>
    </w:pPr>
    <w:rPr>
      <w:rFonts w:ascii="Calibri" w:hAnsi="Calibri" w:eastAsia="宋体" w:cs="Times New Roman"/>
      <w:sz w:val="21"/>
      <w:lang w:val="en-US" w:eastAsia="zh-CN" w:bidi="ar-SA"/>
    </w:rPr>
  </w:style>
  <w:style w:type="paragraph" w:customStyle="1" w:styleId="399">
    <w:name w:val="TOC Heading15"/>
    <w:next w:val="1"/>
    <w:qFormat/>
    <w:uiPriority w:val="0"/>
    <w:pPr>
      <w:wordWrap w:val="0"/>
    </w:pPr>
    <w:rPr>
      <w:rFonts w:ascii="Calibri" w:hAnsi="Calibri" w:eastAsia="宋体" w:cs="Times New Roman"/>
      <w:sz w:val="32"/>
      <w:lang w:val="en-US" w:eastAsia="zh-CN" w:bidi="ar-SA"/>
    </w:rPr>
  </w:style>
  <w:style w:type="paragraph" w:customStyle="1" w:styleId="400">
    <w:name w:val="toc 915"/>
    <w:next w:val="1"/>
    <w:qFormat/>
    <w:uiPriority w:val="0"/>
    <w:pPr>
      <w:wordWrap w:val="0"/>
      <w:ind w:left="3400"/>
      <w:jc w:val="both"/>
    </w:pPr>
    <w:rPr>
      <w:rFonts w:ascii="Calibri" w:hAnsi="Calibri" w:eastAsia="宋体" w:cs="Times New Roman"/>
      <w:sz w:val="21"/>
      <w:lang w:val="en-US" w:eastAsia="zh-CN" w:bidi="ar-SA"/>
    </w:rPr>
  </w:style>
  <w:style w:type="paragraph" w:customStyle="1" w:styleId="401">
    <w:name w:val="toc 39"/>
    <w:next w:val="1"/>
    <w:qFormat/>
    <w:uiPriority w:val="0"/>
    <w:pPr>
      <w:wordWrap w:val="0"/>
      <w:ind w:left="850"/>
      <w:jc w:val="both"/>
    </w:pPr>
    <w:rPr>
      <w:rFonts w:ascii="Calibri" w:hAnsi="Calibri" w:eastAsia="宋体" w:cs="Times New Roman"/>
      <w:sz w:val="21"/>
      <w:lang w:val="en-US" w:eastAsia="zh-CN" w:bidi="ar-SA"/>
    </w:rPr>
  </w:style>
  <w:style w:type="paragraph" w:customStyle="1" w:styleId="402">
    <w:name w:val="toc 710"/>
    <w:next w:val="1"/>
    <w:qFormat/>
    <w:uiPriority w:val="0"/>
    <w:pPr>
      <w:wordWrap w:val="0"/>
      <w:ind w:left="2550"/>
      <w:jc w:val="both"/>
    </w:pPr>
    <w:rPr>
      <w:rFonts w:ascii="Calibri" w:hAnsi="Calibri" w:eastAsia="宋体" w:cs="Times New Roman"/>
      <w:sz w:val="21"/>
      <w:lang w:val="en-US" w:eastAsia="zh-CN" w:bidi="ar-SA"/>
    </w:rPr>
  </w:style>
  <w:style w:type="paragraph" w:customStyle="1" w:styleId="403">
    <w:name w:val="toc 12"/>
    <w:next w:val="1"/>
    <w:qFormat/>
    <w:uiPriority w:val="0"/>
    <w:pPr>
      <w:wordWrap w:val="0"/>
      <w:jc w:val="both"/>
    </w:pPr>
    <w:rPr>
      <w:rFonts w:ascii="Calibri" w:hAnsi="Calibri" w:eastAsia="宋体" w:cs="Times New Roman"/>
      <w:sz w:val="21"/>
      <w:lang w:val="en-US" w:eastAsia="zh-CN" w:bidi="ar-SA"/>
    </w:rPr>
  </w:style>
  <w:style w:type="paragraph" w:customStyle="1" w:styleId="404">
    <w:name w:val="xl95"/>
    <w:basedOn w:val="1"/>
    <w:next w:val="405"/>
    <w:qFormat/>
    <w:uiPriority w:val="0"/>
    <w:pPr>
      <w:widowControl/>
      <w:shd w:val="clear" w:color="000000" w:fill="FFFFFF"/>
      <w:spacing w:before="280" w:after="280"/>
    </w:pPr>
    <w:rPr>
      <w:rFonts w:ascii="宋体" w:hAnsi="Calibri"/>
      <w:kern w:val="0"/>
      <w:sz w:val="20"/>
      <w:szCs w:val="20"/>
    </w:rPr>
  </w:style>
  <w:style w:type="paragraph" w:customStyle="1" w:styleId="405">
    <w:name w:val="toc 415"/>
    <w:next w:val="1"/>
    <w:qFormat/>
    <w:uiPriority w:val="0"/>
    <w:pPr>
      <w:wordWrap w:val="0"/>
      <w:ind w:left="1275"/>
      <w:jc w:val="both"/>
    </w:pPr>
    <w:rPr>
      <w:rFonts w:ascii="Calibri" w:hAnsi="Calibri" w:eastAsia="宋体" w:cs="Times New Roman"/>
      <w:sz w:val="21"/>
      <w:lang w:val="en-US" w:eastAsia="zh-CN" w:bidi="ar-SA"/>
    </w:rPr>
  </w:style>
  <w:style w:type="paragraph" w:customStyle="1" w:styleId="406">
    <w:name w:val="toc 29"/>
    <w:next w:val="1"/>
    <w:qFormat/>
    <w:uiPriority w:val="0"/>
    <w:pPr>
      <w:wordWrap w:val="0"/>
      <w:ind w:left="425"/>
      <w:jc w:val="both"/>
    </w:pPr>
    <w:rPr>
      <w:rFonts w:ascii="Calibri" w:hAnsi="Calibri" w:eastAsia="宋体" w:cs="Times New Roman"/>
      <w:sz w:val="21"/>
      <w:lang w:val="en-US" w:eastAsia="zh-CN" w:bidi="ar-SA"/>
    </w:rPr>
  </w:style>
  <w:style w:type="paragraph" w:customStyle="1" w:styleId="407">
    <w:name w:val="xl67"/>
    <w:basedOn w:val="1"/>
    <w:next w:val="408"/>
    <w:qFormat/>
    <w:uiPriority w:val="0"/>
    <w:pPr>
      <w:widowControl/>
      <w:shd w:val="clear" w:color="000000" w:fill="FFFFFF"/>
      <w:spacing w:before="280" w:after="280"/>
      <w:jc w:val="center"/>
    </w:pPr>
    <w:rPr>
      <w:rFonts w:ascii="宋体" w:hAnsi="Calibri"/>
      <w:b/>
      <w:kern w:val="0"/>
      <w:sz w:val="20"/>
      <w:szCs w:val="20"/>
    </w:rPr>
  </w:style>
  <w:style w:type="paragraph" w:customStyle="1" w:styleId="408">
    <w:name w:val="toc 714"/>
    <w:next w:val="1"/>
    <w:qFormat/>
    <w:uiPriority w:val="0"/>
    <w:pPr>
      <w:wordWrap w:val="0"/>
      <w:ind w:left="2550"/>
      <w:jc w:val="both"/>
    </w:pPr>
    <w:rPr>
      <w:rFonts w:ascii="Calibri" w:hAnsi="Calibri" w:eastAsia="宋体" w:cs="Times New Roman"/>
      <w:sz w:val="21"/>
      <w:lang w:val="en-US" w:eastAsia="zh-CN" w:bidi="ar-SA"/>
    </w:rPr>
  </w:style>
  <w:style w:type="paragraph" w:customStyle="1" w:styleId="409">
    <w:name w:val="toc 21"/>
    <w:next w:val="1"/>
    <w:qFormat/>
    <w:uiPriority w:val="0"/>
    <w:pPr>
      <w:wordWrap w:val="0"/>
      <w:ind w:left="425"/>
      <w:jc w:val="both"/>
    </w:pPr>
    <w:rPr>
      <w:rFonts w:ascii="Calibri" w:hAnsi="Calibri" w:eastAsia="宋体" w:cs="Times New Roman"/>
      <w:sz w:val="21"/>
      <w:lang w:val="en-US" w:eastAsia="zh-CN" w:bidi="ar-SA"/>
    </w:rPr>
  </w:style>
  <w:style w:type="paragraph" w:customStyle="1" w:styleId="410">
    <w:name w:val="正文 A"/>
    <w:next w:val="327"/>
    <w:qFormat/>
    <w:uiPriority w:val="0"/>
    <w:rPr>
      <w:rFonts w:ascii="Arial" w:hAnsi="Calibri" w:eastAsia="Arial Unicode MS" w:cs="Times New Roman"/>
      <w:color w:val="000000"/>
      <w:sz w:val="21"/>
      <w:lang w:val="en-US" w:eastAsia="zh-CN" w:bidi="ar-SA"/>
    </w:rPr>
  </w:style>
  <w:style w:type="paragraph" w:customStyle="1" w:styleId="411">
    <w:name w:val="toc 68"/>
    <w:next w:val="1"/>
    <w:qFormat/>
    <w:uiPriority w:val="0"/>
    <w:pPr>
      <w:wordWrap w:val="0"/>
      <w:ind w:left="2125"/>
      <w:jc w:val="both"/>
    </w:pPr>
    <w:rPr>
      <w:rFonts w:ascii="Calibri" w:hAnsi="Calibri" w:eastAsia="宋体" w:cs="Times New Roman"/>
      <w:sz w:val="21"/>
      <w:lang w:val="en-US" w:eastAsia="zh-CN" w:bidi="ar-SA"/>
    </w:rPr>
  </w:style>
  <w:style w:type="paragraph" w:customStyle="1" w:styleId="412">
    <w:name w:val="toc 58"/>
    <w:next w:val="1"/>
    <w:qFormat/>
    <w:uiPriority w:val="0"/>
    <w:pPr>
      <w:wordWrap w:val="0"/>
      <w:ind w:left="1700"/>
      <w:jc w:val="both"/>
    </w:pPr>
    <w:rPr>
      <w:rFonts w:ascii="Calibri" w:hAnsi="Calibri" w:eastAsia="宋体" w:cs="Times New Roman"/>
      <w:sz w:val="21"/>
      <w:lang w:val="en-US" w:eastAsia="zh-CN" w:bidi="ar-SA"/>
    </w:rPr>
  </w:style>
  <w:style w:type="paragraph" w:customStyle="1" w:styleId="413">
    <w:name w:val="xl88"/>
    <w:basedOn w:val="1"/>
    <w:next w:val="399"/>
    <w:qFormat/>
    <w:uiPriority w:val="0"/>
    <w:pPr>
      <w:widowControl/>
      <w:shd w:val="clear" w:color="000000" w:fill="FFFFFF"/>
      <w:spacing w:before="280" w:after="280"/>
      <w:jc w:val="center"/>
    </w:pPr>
    <w:rPr>
      <w:rFonts w:ascii="宋体" w:hAnsi="Calibri"/>
      <w:kern w:val="0"/>
      <w:sz w:val="20"/>
      <w:szCs w:val="20"/>
    </w:rPr>
  </w:style>
  <w:style w:type="paragraph" w:customStyle="1" w:styleId="414">
    <w:name w:val="toc 71"/>
    <w:next w:val="1"/>
    <w:qFormat/>
    <w:uiPriority w:val="0"/>
    <w:pPr>
      <w:wordWrap w:val="0"/>
      <w:ind w:left="2550"/>
      <w:jc w:val="both"/>
    </w:pPr>
    <w:rPr>
      <w:rFonts w:ascii="Calibri" w:hAnsi="Calibri" w:eastAsia="宋体" w:cs="Times New Roman"/>
      <w:sz w:val="21"/>
      <w:lang w:val="en-US" w:eastAsia="zh-CN" w:bidi="ar-SA"/>
    </w:rPr>
  </w:style>
  <w:style w:type="paragraph" w:customStyle="1" w:styleId="415">
    <w:name w:val="xl100"/>
    <w:basedOn w:val="1"/>
    <w:next w:val="416"/>
    <w:qFormat/>
    <w:uiPriority w:val="0"/>
    <w:pPr>
      <w:widowControl/>
      <w:shd w:val="clear" w:color="000000" w:fill="FFFFFF"/>
      <w:spacing w:before="280" w:after="280"/>
    </w:pPr>
    <w:rPr>
      <w:rFonts w:ascii="宋体" w:hAnsi="Calibri"/>
      <w:kern w:val="0"/>
      <w:sz w:val="20"/>
      <w:szCs w:val="20"/>
    </w:rPr>
  </w:style>
  <w:style w:type="paragraph" w:customStyle="1" w:styleId="416">
    <w:name w:val="toc 510"/>
    <w:next w:val="1"/>
    <w:qFormat/>
    <w:uiPriority w:val="0"/>
    <w:pPr>
      <w:wordWrap w:val="0"/>
      <w:ind w:left="1700"/>
      <w:jc w:val="both"/>
    </w:pPr>
    <w:rPr>
      <w:rFonts w:ascii="Calibri" w:hAnsi="Calibri" w:eastAsia="宋体" w:cs="Times New Roman"/>
      <w:sz w:val="21"/>
      <w:lang w:val="en-US" w:eastAsia="zh-CN" w:bidi="ar-SA"/>
    </w:rPr>
  </w:style>
  <w:style w:type="paragraph" w:customStyle="1" w:styleId="417">
    <w:name w:val="toc 314"/>
    <w:next w:val="1"/>
    <w:qFormat/>
    <w:uiPriority w:val="0"/>
    <w:pPr>
      <w:wordWrap w:val="0"/>
      <w:ind w:left="850"/>
      <w:jc w:val="both"/>
    </w:pPr>
    <w:rPr>
      <w:rFonts w:ascii="Calibri" w:hAnsi="Calibri" w:eastAsia="宋体" w:cs="Times New Roman"/>
      <w:sz w:val="21"/>
      <w:lang w:val="en-US" w:eastAsia="zh-CN" w:bidi="ar-SA"/>
    </w:rPr>
  </w:style>
  <w:style w:type="paragraph" w:customStyle="1" w:styleId="418">
    <w:name w:val="xl114"/>
    <w:basedOn w:val="1"/>
    <w:next w:val="270"/>
    <w:qFormat/>
    <w:uiPriority w:val="0"/>
    <w:pPr>
      <w:widowControl/>
      <w:shd w:val="clear" w:color="000000" w:fill="FFFFFF"/>
      <w:spacing w:before="280" w:after="280"/>
      <w:jc w:val="center"/>
    </w:pPr>
    <w:rPr>
      <w:rFonts w:ascii="宋体" w:hAnsi="Calibri"/>
      <w:b/>
      <w:kern w:val="0"/>
      <w:sz w:val="20"/>
      <w:szCs w:val="20"/>
    </w:rPr>
  </w:style>
  <w:style w:type="paragraph" w:customStyle="1" w:styleId="419">
    <w:name w:val="xl107"/>
    <w:basedOn w:val="1"/>
    <w:next w:val="420"/>
    <w:qFormat/>
    <w:uiPriority w:val="0"/>
    <w:pPr>
      <w:widowControl/>
      <w:shd w:val="clear" w:color="000000" w:fill="FFFFFF"/>
      <w:spacing w:before="280" w:after="280"/>
    </w:pPr>
    <w:rPr>
      <w:rFonts w:ascii="宋体" w:hAnsi="Calibri"/>
      <w:kern w:val="0"/>
      <w:sz w:val="20"/>
      <w:szCs w:val="20"/>
    </w:rPr>
  </w:style>
  <w:style w:type="paragraph" w:customStyle="1" w:styleId="420">
    <w:name w:val="toc 610"/>
    <w:next w:val="1"/>
    <w:qFormat/>
    <w:uiPriority w:val="0"/>
    <w:pPr>
      <w:wordWrap w:val="0"/>
      <w:ind w:left="2125"/>
      <w:jc w:val="both"/>
    </w:pPr>
    <w:rPr>
      <w:rFonts w:ascii="Calibri" w:hAnsi="Calibri" w:eastAsia="宋体" w:cs="Times New Roman"/>
      <w:sz w:val="21"/>
      <w:lang w:val="en-US" w:eastAsia="zh-CN" w:bidi="ar-SA"/>
    </w:rPr>
  </w:style>
  <w:style w:type="paragraph" w:customStyle="1" w:styleId="421">
    <w:name w:val="toc 22"/>
    <w:next w:val="1"/>
    <w:qFormat/>
    <w:uiPriority w:val="0"/>
    <w:pPr>
      <w:wordWrap w:val="0"/>
      <w:ind w:left="425"/>
      <w:jc w:val="both"/>
    </w:pPr>
    <w:rPr>
      <w:rFonts w:ascii="Calibri" w:hAnsi="Calibri" w:eastAsia="宋体" w:cs="Times New Roman"/>
      <w:sz w:val="21"/>
      <w:lang w:val="en-US" w:eastAsia="zh-CN" w:bidi="ar-SA"/>
    </w:rPr>
  </w:style>
  <w:style w:type="paragraph" w:customStyle="1" w:styleId="422">
    <w:name w:val="xl90"/>
    <w:basedOn w:val="1"/>
    <w:next w:val="224"/>
    <w:qFormat/>
    <w:uiPriority w:val="0"/>
    <w:pPr>
      <w:widowControl/>
      <w:shd w:val="clear" w:color="000000" w:fill="FFFFFF"/>
      <w:spacing w:before="280" w:after="280"/>
    </w:pPr>
    <w:rPr>
      <w:rFonts w:ascii="宋体" w:hAnsi="Calibri"/>
      <w:kern w:val="0"/>
      <w:sz w:val="18"/>
      <w:szCs w:val="20"/>
    </w:rPr>
  </w:style>
  <w:style w:type="paragraph" w:customStyle="1" w:styleId="423">
    <w:name w:val="toc 616"/>
    <w:next w:val="1"/>
    <w:qFormat/>
    <w:uiPriority w:val="0"/>
    <w:pPr>
      <w:wordWrap w:val="0"/>
      <w:ind w:left="2125"/>
      <w:jc w:val="both"/>
    </w:pPr>
    <w:rPr>
      <w:rFonts w:ascii="Calibri" w:hAnsi="Calibri" w:eastAsia="宋体" w:cs="Times New Roman"/>
      <w:sz w:val="21"/>
      <w:lang w:val="en-US" w:eastAsia="zh-CN" w:bidi="ar-SA"/>
    </w:rPr>
  </w:style>
  <w:style w:type="paragraph" w:customStyle="1" w:styleId="424">
    <w:name w:val="toc 96"/>
    <w:next w:val="1"/>
    <w:qFormat/>
    <w:uiPriority w:val="0"/>
    <w:pPr>
      <w:wordWrap w:val="0"/>
      <w:ind w:left="3400"/>
      <w:jc w:val="both"/>
    </w:pPr>
    <w:rPr>
      <w:rFonts w:ascii="Calibri" w:hAnsi="Calibri" w:eastAsia="宋体" w:cs="Times New Roman"/>
      <w:sz w:val="21"/>
      <w:lang w:val="en-US" w:eastAsia="zh-CN" w:bidi="ar-SA"/>
    </w:rPr>
  </w:style>
  <w:style w:type="paragraph" w:customStyle="1" w:styleId="425">
    <w:name w:val="toc 42"/>
    <w:next w:val="1"/>
    <w:qFormat/>
    <w:uiPriority w:val="0"/>
    <w:pPr>
      <w:wordWrap w:val="0"/>
      <w:ind w:left="1275"/>
      <w:jc w:val="both"/>
    </w:pPr>
    <w:rPr>
      <w:rFonts w:ascii="Calibri" w:hAnsi="Calibri" w:eastAsia="宋体" w:cs="Times New Roman"/>
      <w:sz w:val="21"/>
      <w:lang w:val="en-US" w:eastAsia="zh-CN" w:bidi="ar-SA"/>
    </w:rPr>
  </w:style>
  <w:style w:type="paragraph" w:customStyle="1" w:styleId="426">
    <w:name w:val="xl117"/>
    <w:basedOn w:val="1"/>
    <w:next w:val="323"/>
    <w:qFormat/>
    <w:uiPriority w:val="0"/>
    <w:pPr>
      <w:widowControl/>
      <w:shd w:val="clear" w:color="000000" w:fill="FFFFFF"/>
      <w:spacing w:before="280" w:after="280"/>
      <w:jc w:val="center"/>
    </w:pPr>
    <w:rPr>
      <w:rFonts w:ascii="Arial Narrow" w:hAnsi="Calibri"/>
      <w:kern w:val="0"/>
      <w:sz w:val="24"/>
      <w:szCs w:val="20"/>
    </w:rPr>
  </w:style>
  <w:style w:type="paragraph" w:customStyle="1" w:styleId="427">
    <w:name w:val="p15"/>
    <w:basedOn w:val="1"/>
    <w:next w:val="248"/>
    <w:qFormat/>
    <w:uiPriority w:val="0"/>
    <w:pPr>
      <w:widowControl/>
      <w:ind w:firstLine="420"/>
    </w:pPr>
    <w:rPr>
      <w:rFonts w:hAnsi="Calibri"/>
      <w:kern w:val="0"/>
      <w:szCs w:val="20"/>
    </w:rPr>
  </w:style>
  <w:style w:type="paragraph" w:customStyle="1" w:styleId="428">
    <w:name w:val="xl87"/>
    <w:basedOn w:val="1"/>
    <w:next w:val="429"/>
    <w:qFormat/>
    <w:uiPriority w:val="0"/>
    <w:pPr>
      <w:widowControl/>
      <w:shd w:val="clear" w:color="000000" w:fill="FFFFFF"/>
      <w:spacing w:before="280" w:after="280"/>
    </w:pPr>
    <w:rPr>
      <w:rFonts w:ascii="Arial" w:hAnsi="Calibri"/>
      <w:kern w:val="0"/>
      <w:sz w:val="18"/>
      <w:szCs w:val="20"/>
    </w:rPr>
  </w:style>
  <w:style w:type="paragraph" w:customStyle="1" w:styleId="429">
    <w:name w:val="toc 98"/>
    <w:next w:val="1"/>
    <w:qFormat/>
    <w:uiPriority w:val="0"/>
    <w:pPr>
      <w:wordWrap w:val="0"/>
      <w:ind w:left="3400"/>
      <w:jc w:val="both"/>
    </w:pPr>
    <w:rPr>
      <w:rFonts w:ascii="Calibri" w:hAnsi="Calibri" w:eastAsia="宋体" w:cs="Times New Roman"/>
      <w:sz w:val="21"/>
      <w:lang w:val="en-US" w:eastAsia="zh-CN" w:bidi="ar-SA"/>
    </w:rPr>
  </w:style>
  <w:style w:type="paragraph" w:customStyle="1" w:styleId="430">
    <w:name w:val="列出段落7"/>
    <w:basedOn w:val="1"/>
    <w:next w:val="412"/>
    <w:qFormat/>
    <w:uiPriority w:val="0"/>
    <w:pPr>
      <w:ind w:firstLine="420"/>
    </w:pPr>
    <w:rPr>
      <w:rFonts w:hAnsi="Calibri"/>
      <w:kern w:val="0"/>
      <w:szCs w:val="20"/>
    </w:rPr>
  </w:style>
  <w:style w:type="paragraph" w:customStyle="1" w:styleId="431">
    <w:name w:val="xl78"/>
    <w:basedOn w:val="1"/>
    <w:next w:val="402"/>
    <w:qFormat/>
    <w:uiPriority w:val="0"/>
    <w:pPr>
      <w:widowControl/>
      <w:shd w:val="clear" w:color="000000" w:fill="FFFFFF"/>
      <w:spacing w:before="280" w:after="280"/>
    </w:pPr>
    <w:rPr>
      <w:rFonts w:ascii="宋体" w:hAnsi="Calibri"/>
      <w:b/>
      <w:kern w:val="0"/>
      <w:sz w:val="20"/>
      <w:szCs w:val="20"/>
    </w:rPr>
  </w:style>
  <w:style w:type="paragraph" w:customStyle="1" w:styleId="432">
    <w:name w:val="toc 516"/>
    <w:next w:val="1"/>
    <w:qFormat/>
    <w:uiPriority w:val="0"/>
    <w:pPr>
      <w:wordWrap w:val="0"/>
      <w:ind w:left="1700"/>
      <w:jc w:val="both"/>
    </w:pPr>
    <w:rPr>
      <w:rFonts w:ascii="Calibri" w:hAnsi="Calibri" w:eastAsia="宋体" w:cs="Times New Roman"/>
      <w:sz w:val="21"/>
      <w:lang w:val="en-US" w:eastAsia="zh-CN" w:bidi="ar-SA"/>
    </w:rPr>
  </w:style>
  <w:style w:type="paragraph" w:customStyle="1" w:styleId="433">
    <w:name w:val="xl89"/>
    <w:basedOn w:val="1"/>
    <w:next w:val="367"/>
    <w:qFormat/>
    <w:uiPriority w:val="0"/>
    <w:pPr>
      <w:widowControl/>
      <w:shd w:val="clear" w:color="000000" w:fill="FFFFFF"/>
      <w:spacing w:before="280" w:after="280"/>
    </w:pPr>
    <w:rPr>
      <w:rFonts w:ascii="宋体" w:hAnsi="Calibri"/>
      <w:kern w:val="0"/>
      <w:sz w:val="20"/>
      <w:szCs w:val="20"/>
    </w:rPr>
  </w:style>
  <w:style w:type="paragraph" w:customStyle="1" w:styleId="434">
    <w:name w:val="toc 910"/>
    <w:next w:val="1"/>
    <w:qFormat/>
    <w:uiPriority w:val="0"/>
    <w:pPr>
      <w:wordWrap w:val="0"/>
      <w:ind w:left="3400"/>
      <w:jc w:val="both"/>
    </w:pPr>
    <w:rPr>
      <w:rFonts w:ascii="Calibri" w:hAnsi="Calibri" w:eastAsia="宋体" w:cs="Times New Roman"/>
      <w:sz w:val="21"/>
      <w:lang w:val="en-US" w:eastAsia="zh-CN" w:bidi="ar-SA"/>
    </w:rPr>
  </w:style>
  <w:style w:type="paragraph" w:customStyle="1" w:styleId="435">
    <w:name w:val="toc 34"/>
    <w:next w:val="1"/>
    <w:qFormat/>
    <w:uiPriority w:val="0"/>
    <w:pPr>
      <w:wordWrap w:val="0"/>
      <w:ind w:left="850"/>
      <w:jc w:val="both"/>
    </w:pPr>
    <w:rPr>
      <w:rFonts w:ascii="Calibri" w:hAnsi="Calibri" w:eastAsia="宋体" w:cs="Times New Roman"/>
      <w:sz w:val="21"/>
      <w:lang w:val="en-US" w:eastAsia="zh-CN" w:bidi="ar-SA"/>
    </w:rPr>
  </w:style>
  <w:style w:type="paragraph" w:customStyle="1" w:styleId="436">
    <w:name w:val="toc 816"/>
    <w:next w:val="1"/>
    <w:qFormat/>
    <w:uiPriority w:val="0"/>
    <w:pPr>
      <w:wordWrap w:val="0"/>
      <w:ind w:left="2975"/>
      <w:jc w:val="both"/>
    </w:pPr>
    <w:rPr>
      <w:rFonts w:ascii="Calibri" w:hAnsi="Calibri" w:eastAsia="宋体" w:cs="Times New Roman"/>
      <w:sz w:val="21"/>
      <w:lang w:val="en-US" w:eastAsia="zh-CN" w:bidi="ar-SA"/>
    </w:rPr>
  </w:style>
  <w:style w:type="paragraph" w:customStyle="1" w:styleId="437">
    <w:name w:val="toc 43"/>
    <w:next w:val="1"/>
    <w:qFormat/>
    <w:uiPriority w:val="0"/>
    <w:pPr>
      <w:wordWrap w:val="0"/>
      <w:ind w:left="1275"/>
      <w:jc w:val="both"/>
    </w:pPr>
    <w:rPr>
      <w:rFonts w:ascii="Calibri" w:hAnsi="Calibri" w:eastAsia="宋体" w:cs="Times New Roman"/>
      <w:sz w:val="21"/>
      <w:lang w:val="en-US" w:eastAsia="zh-CN" w:bidi="ar-SA"/>
    </w:rPr>
  </w:style>
  <w:style w:type="paragraph" w:customStyle="1" w:styleId="438">
    <w:name w:val="toc 16"/>
    <w:next w:val="1"/>
    <w:qFormat/>
    <w:uiPriority w:val="0"/>
    <w:pPr>
      <w:wordWrap w:val="0"/>
      <w:jc w:val="both"/>
    </w:pPr>
    <w:rPr>
      <w:rFonts w:ascii="Calibri" w:hAnsi="Calibri" w:eastAsia="宋体" w:cs="Times New Roman"/>
      <w:sz w:val="21"/>
      <w:lang w:val="en-US" w:eastAsia="zh-CN" w:bidi="ar-SA"/>
    </w:rPr>
  </w:style>
  <w:style w:type="paragraph" w:styleId="439">
    <w:name w:val="Quote"/>
    <w:next w:val="1"/>
    <w:link w:val="440"/>
    <w:qFormat/>
    <w:uiPriority w:val="0"/>
    <w:pPr>
      <w:wordWrap w:val="0"/>
      <w:spacing w:before="200" w:after="160"/>
      <w:ind w:left="864" w:right="864"/>
      <w:jc w:val="center"/>
    </w:pPr>
    <w:rPr>
      <w:rFonts w:ascii="Calibri" w:hAnsi="Calibri" w:eastAsia="宋体" w:cs="Times New Roman"/>
      <w:i/>
      <w:sz w:val="21"/>
      <w:lang w:val="en-US" w:eastAsia="zh-CN" w:bidi="ar-SA"/>
    </w:rPr>
  </w:style>
  <w:style w:type="character" w:customStyle="1" w:styleId="440">
    <w:name w:val="引用 字符"/>
    <w:basedOn w:val="47"/>
    <w:link w:val="439"/>
    <w:qFormat/>
    <w:uiPriority w:val="0"/>
    <w:rPr>
      <w:rFonts w:ascii="Calibri" w:hAnsi="Calibri"/>
      <w:i/>
      <w:sz w:val="21"/>
    </w:rPr>
  </w:style>
  <w:style w:type="paragraph" w:customStyle="1" w:styleId="441">
    <w:name w:val="toc 114"/>
    <w:next w:val="1"/>
    <w:qFormat/>
    <w:uiPriority w:val="0"/>
    <w:pPr>
      <w:wordWrap w:val="0"/>
      <w:jc w:val="both"/>
    </w:pPr>
    <w:rPr>
      <w:rFonts w:ascii="Calibri" w:hAnsi="Calibri" w:eastAsia="宋体" w:cs="Times New Roman"/>
      <w:sz w:val="21"/>
      <w:lang w:val="en-US" w:eastAsia="zh-CN" w:bidi="ar-SA"/>
    </w:rPr>
  </w:style>
  <w:style w:type="paragraph" w:customStyle="1" w:styleId="442">
    <w:name w:val="xl119"/>
    <w:basedOn w:val="1"/>
    <w:next w:val="417"/>
    <w:qFormat/>
    <w:uiPriority w:val="0"/>
    <w:pPr>
      <w:widowControl/>
      <w:shd w:val="clear" w:color="000000" w:fill="FFFFFF"/>
      <w:spacing w:before="280" w:after="280"/>
      <w:jc w:val="center"/>
    </w:pPr>
    <w:rPr>
      <w:rFonts w:ascii="宋体" w:hAnsi="Calibri"/>
      <w:b/>
      <w:kern w:val="0"/>
      <w:sz w:val="20"/>
      <w:szCs w:val="20"/>
    </w:rPr>
  </w:style>
  <w:style w:type="paragraph" w:customStyle="1" w:styleId="443">
    <w:name w:val="toc 37"/>
    <w:next w:val="1"/>
    <w:qFormat/>
    <w:uiPriority w:val="0"/>
    <w:pPr>
      <w:wordWrap w:val="0"/>
      <w:ind w:left="850"/>
      <w:jc w:val="both"/>
    </w:pPr>
    <w:rPr>
      <w:rFonts w:ascii="Calibri" w:hAnsi="Calibri" w:eastAsia="宋体" w:cs="Times New Roman"/>
      <w:sz w:val="21"/>
      <w:lang w:val="en-US" w:eastAsia="zh-CN" w:bidi="ar-SA"/>
    </w:rPr>
  </w:style>
  <w:style w:type="paragraph" w:customStyle="1" w:styleId="444">
    <w:name w:val="xl109"/>
    <w:basedOn w:val="1"/>
    <w:next w:val="390"/>
    <w:qFormat/>
    <w:uiPriority w:val="0"/>
    <w:pPr>
      <w:widowControl/>
      <w:shd w:val="clear" w:color="000000" w:fill="FFFFFF"/>
      <w:spacing w:before="280" w:after="280"/>
    </w:pPr>
    <w:rPr>
      <w:rFonts w:ascii="宋体" w:hAnsi="Calibri"/>
      <w:kern w:val="0"/>
      <w:sz w:val="20"/>
      <w:szCs w:val="20"/>
    </w:rPr>
  </w:style>
  <w:style w:type="paragraph" w:customStyle="1" w:styleId="445">
    <w:name w:val="toc 215"/>
    <w:next w:val="1"/>
    <w:qFormat/>
    <w:uiPriority w:val="0"/>
    <w:pPr>
      <w:wordWrap w:val="0"/>
      <w:ind w:left="425"/>
      <w:jc w:val="both"/>
    </w:pPr>
    <w:rPr>
      <w:rFonts w:ascii="Calibri" w:hAnsi="Calibri" w:eastAsia="宋体" w:cs="Times New Roman"/>
      <w:sz w:val="21"/>
      <w:lang w:val="en-US" w:eastAsia="zh-CN" w:bidi="ar-SA"/>
    </w:rPr>
  </w:style>
  <w:style w:type="paragraph" w:customStyle="1" w:styleId="446">
    <w:name w:val="xl76"/>
    <w:basedOn w:val="1"/>
    <w:next w:val="398"/>
    <w:qFormat/>
    <w:uiPriority w:val="0"/>
    <w:pPr>
      <w:widowControl/>
      <w:shd w:val="clear" w:color="000000" w:fill="FFFFFF"/>
      <w:spacing w:before="280" w:after="280"/>
      <w:jc w:val="center"/>
    </w:pPr>
    <w:rPr>
      <w:rFonts w:ascii="宋体" w:hAnsi="Calibri"/>
      <w:b/>
      <w:kern w:val="0"/>
      <w:sz w:val="20"/>
      <w:szCs w:val="20"/>
    </w:rPr>
  </w:style>
  <w:style w:type="paragraph" w:customStyle="1" w:styleId="447">
    <w:name w:val="toc 92"/>
    <w:next w:val="1"/>
    <w:qFormat/>
    <w:uiPriority w:val="0"/>
    <w:pPr>
      <w:wordWrap w:val="0"/>
      <w:ind w:left="3400"/>
      <w:jc w:val="both"/>
    </w:pPr>
    <w:rPr>
      <w:rFonts w:ascii="Calibri" w:hAnsi="Calibri" w:eastAsia="宋体" w:cs="Times New Roman"/>
      <w:sz w:val="21"/>
      <w:lang w:val="en-US" w:eastAsia="zh-CN" w:bidi="ar-SA"/>
    </w:rPr>
  </w:style>
  <w:style w:type="paragraph" w:customStyle="1" w:styleId="448">
    <w:name w:val="toc 216"/>
    <w:next w:val="1"/>
    <w:qFormat/>
    <w:uiPriority w:val="0"/>
    <w:pPr>
      <w:wordWrap w:val="0"/>
      <w:ind w:left="425"/>
      <w:jc w:val="both"/>
    </w:pPr>
    <w:rPr>
      <w:rFonts w:ascii="Calibri" w:hAnsi="Calibri" w:eastAsia="宋体" w:cs="Times New Roman"/>
      <w:sz w:val="21"/>
      <w:lang w:val="en-US" w:eastAsia="zh-CN" w:bidi="ar-SA"/>
    </w:rPr>
  </w:style>
  <w:style w:type="paragraph" w:customStyle="1" w:styleId="449">
    <w:name w:val="xl70"/>
    <w:basedOn w:val="1"/>
    <w:next w:val="375"/>
    <w:qFormat/>
    <w:uiPriority w:val="0"/>
    <w:pPr>
      <w:widowControl/>
      <w:shd w:val="clear" w:color="000000" w:fill="FFFFFF"/>
      <w:spacing w:before="280" w:after="280"/>
    </w:pPr>
    <w:rPr>
      <w:rFonts w:ascii="宋体" w:hAnsi="Calibri"/>
      <w:kern w:val="0"/>
      <w:sz w:val="20"/>
      <w:szCs w:val="20"/>
    </w:rPr>
  </w:style>
  <w:style w:type="paragraph" w:customStyle="1" w:styleId="450">
    <w:name w:val="toc 33"/>
    <w:next w:val="1"/>
    <w:qFormat/>
    <w:uiPriority w:val="0"/>
    <w:pPr>
      <w:wordWrap w:val="0"/>
      <w:ind w:left="850"/>
      <w:jc w:val="both"/>
    </w:pPr>
    <w:rPr>
      <w:rFonts w:ascii="Calibri" w:hAnsi="Calibri" w:eastAsia="宋体" w:cs="Times New Roman"/>
      <w:sz w:val="21"/>
      <w:lang w:val="en-US" w:eastAsia="zh-CN" w:bidi="ar-SA"/>
    </w:rPr>
  </w:style>
  <w:style w:type="paragraph" w:customStyle="1" w:styleId="451">
    <w:name w:val="toc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52">
    <w:name w:val="xl98"/>
    <w:basedOn w:val="1"/>
    <w:next w:val="393"/>
    <w:qFormat/>
    <w:uiPriority w:val="0"/>
    <w:pPr>
      <w:widowControl/>
      <w:shd w:val="clear" w:color="000000" w:fill="FFFFFF"/>
      <w:spacing w:before="280" w:after="280"/>
      <w:jc w:val="center"/>
    </w:pPr>
    <w:rPr>
      <w:rFonts w:ascii="宋体" w:hAnsi="Calibri"/>
      <w:kern w:val="0"/>
      <w:sz w:val="20"/>
      <w:szCs w:val="20"/>
    </w:rPr>
  </w:style>
  <w:style w:type="paragraph" w:customStyle="1" w:styleId="453">
    <w:name w:val="toc 26"/>
    <w:next w:val="1"/>
    <w:qFormat/>
    <w:uiPriority w:val="0"/>
    <w:pPr>
      <w:wordWrap w:val="0"/>
      <w:ind w:left="425"/>
      <w:jc w:val="both"/>
    </w:pPr>
    <w:rPr>
      <w:rFonts w:ascii="Calibri" w:hAnsi="Calibri" w:eastAsia="宋体" w:cs="Times New Roman"/>
      <w:sz w:val="21"/>
      <w:lang w:val="en-US" w:eastAsia="zh-CN" w:bidi="ar-SA"/>
    </w:rPr>
  </w:style>
  <w:style w:type="paragraph" w:customStyle="1" w:styleId="454">
    <w:name w:val="toc 13"/>
    <w:next w:val="1"/>
    <w:qFormat/>
    <w:uiPriority w:val="0"/>
    <w:pPr>
      <w:wordWrap w:val="0"/>
      <w:jc w:val="both"/>
    </w:pPr>
    <w:rPr>
      <w:rFonts w:ascii="Calibri" w:hAnsi="Calibri" w:eastAsia="宋体" w:cs="Times New Roman"/>
      <w:sz w:val="21"/>
      <w:lang w:val="en-US" w:eastAsia="zh-CN" w:bidi="ar-SA"/>
    </w:rPr>
  </w:style>
  <w:style w:type="paragraph" w:customStyle="1" w:styleId="455">
    <w:name w:val="目录 51"/>
    <w:next w:val="1"/>
    <w:qFormat/>
    <w:uiPriority w:val="0"/>
    <w:pPr>
      <w:wordWrap w:val="0"/>
      <w:ind w:left="1700"/>
      <w:jc w:val="both"/>
    </w:pPr>
    <w:rPr>
      <w:rFonts w:ascii="Calibri" w:hAnsi="Calibri" w:eastAsia="宋体" w:cs="Times New Roman"/>
      <w:sz w:val="21"/>
      <w:lang w:val="en-US" w:eastAsia="zh-CN" w:bidi="ar-SA"/>
    </w:rPr>
  </w:style>
  <w:style w:type="paragraph" w:customStyle="1" w:styleId="456">
    <w:name w:val="xl101"/>
    <w:basedOn w:val="1"/>
    <w:next w:val="424"/>
    <w:qFormat/>
    <w:uiPriority w:val="0"/>
    <w:pPr>
      <w:widowControl/>
      <w:spacing w:before="280" w:after="280"/>
    </w:pPr>
    <w:rPr>
      <w:rFonts w:ascii="宋体" w:hAnsi="Calibri"/>
      <w:kern w:val="0"/>
      <w:sz w:val="20"/>
      <w:szCs w:val="20"/>
    </w:rPr>
  </w:style>
  <w:style w:type="paragraph" w:customStyle="1" w:styleId="457">
    <w:name w:val="toc 75"/>
    <w:next w:val="1"/>
    <w:qFormat/>
    <w:uiPriority w:val="0"/>
    <w:pPr>
      <w:wordWrap w:val="0"/>
      <w:ind w:left="2550"/>
      <w:jc w:val="both"/>
    </w:pPr>
    <w:rPr>
      <w:rFonts w:ascii="Calibri" w:hAnsi="Calibri" w:eastAsia="宋体" w:cs="Times New Roman"/>
      <w:sz w:val="21"/>
      <w:lang w:val="en-US" w:eastAsia="zh-CN" w:bidi="ar-SA"/>
    </w:rPr>
  </w:style>
  <w:style w:type="paragraph" w:customStyle="1" w:styleId="458">
    <w:name w:val="toc 715"/>
    <w:next w:val="1"/>
    <w:qFormat/>
    <w:uiPriority w:val="0"/>
    <w:pPr>
      <w:wordWrap w:val="0"/>
      <w:ind w:left="2550"/>
      <w:jc w:val="both"/>
    </w:pPr>
    <w:rPr>
      <w:rFonts w:ascii="Calibri" w:hAnsi="Calibri" w:eastAsia="宋体" w:cs="Times New Roman"/>
      <w:sz w:val="21"/>
      <w:lang w:val="en-US" w:eastAsia="zh-CN" w:bidi="ar-SA"/>
    </w:rPr>
  </w:style>
  <w:style w:type="paragraph" w:styleId="459">
    <w:name w:val="Intense Quote"/>
    <w:next w:val="1"/>
    <w:link w:val="460"/>
    <w:qFormat/>
    <w:uiPriority w:val="0"/>
    <w:pPr>
      <w:wordWrap w:val="0"/>
      <w:spacing w:before="360" w:after="360"/>
      <w:ind w:left="950" w:right="950"/>
      <w:jc w:val="center"/>
    </w:pPr>
    <w:rPr>
      <w:rFonts w:ascii="Calibri" w:hAnsi="Calibri" w:eastAsia="宋体" w:cs="Times New Roman"/>
      <w:i/>
      <w:sz w:val="21"/>
      <w:lang w:val="en-US" w:eastAsia="zh-CN" w:bidi="ar-SA"/>
    </w:rPr>
  </w:style>
  <w:style w:type="character" w:customStyle="1" w:styleId="460">
    <w:name w:val="明显引用 字符"/>
    <w:basedOn w:val="47"/>
    <w:link w:val="459"/>
    <w:qFormat/>
    <w:uiPriority w:val="0"/>
    <w:rPr>
      <w:rFonts w:ascii="Calibri" w:hAnsi="Calibri"/>
      <w:i/>
      <w:sz w:val="21"/>
    </w:rPr>
  </w:style>
  <w:style w:type="paragraph" w:customStyle="1" w:styleId="461">
    <w:name w:val="Char Char Char Char Char Char Char"/>
    <w:basedOn w:val="1"/>
    <w:next w:val="445"/>
    <w:qFormat/>
    <w:uiPriority w:val="0"/>
    <w:pPr>
      <w:widowControl/>
      <w:spacing w:after="160" w:line="240" w:lineRule="exact"/>
    </w:pPr>
    <w:rPr>
      <w:rFonts w:hAnsi="Calibri"/>
      <w:kern w:val="0"/>
      <w:szCs w:val="20"/>
    </w:rPr>
  </w:style>
  <w:style w:type="paragraph" w:customStyle="1" w:styleId="462">
    <w:name w:val="toc 23"/>
    <w:next w:val="1"/>
    <w:qFormat/>
    <w:uiPriority w:val="0"/>
    <w:pPr>
      <w:wordWrap w:val="0"/>
      <w:ind w:left="425"/>
      <w:jc w:val="both"/>
    </w:pPr>
    <w:rPr>
      <w:rFonts w:ascii="Calibri" w:hAnsi="Calibri" w:eastAsia="宋体" w:cs="Times New Roman"/>
      <w:sz w:val="21"/>
      <w:lang w:val="en-US" w:eastAsia="zh-CN" w:bidi="ar-SA"/>
    </w:rPr>
  </w:style>
  <w:style w:type="paragraph" w:customStyle="1" w:styleId="463">
    <w:name w:val="目录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64">
    <w:name w:val="toc 97"/>
    <w:next w:val="1"/>
    <w:qFormat/>
    <w:uiPriority w:val="0"/>
    <w:pPr>
      <w:wordWrap w:val="0"/>
      <w:ind w:left="3400"/>
      <w:jc w:val="both"/>
    </w:pPr>
    <w:rPr>
      <w:rFonts w:ascii="Calibri" w:hAnsi="Calibri" w:eastAsia="宋体" w:cs="Times New Roman"/>
      <w:sz w:val="21"/>
      <w:lang w:val="en-US" w:eastAsia="zh-CN" w:bidi="ar-SA"/>
    </w:rPr>
  </w:style>
  <w:style w:type="paragraph" w:customStyle="1" w:styleId="465">
    <w:name w:val="toc 74"/>
    <w:next w:val="1"/>
    <w:qFormat/>
    <w:uiPriority w:val="0"/>
    <w:pPr>
      <w:wordWrap w:val="0"/>
      <w:ind w:left="2550"/>
      <w:jc w:val="both"/>
    </w:pPr>
    <w:rPr>
      <w:rFonts w:ascii="Calibri" w:hAnsi="Calibri" w:eastAsia="宋体" w:cs="Times New Roman"/>
      <w:sz w:val="21"/>
      <w:lang w:val="en-US" w:eastAsia="zh-CN" w:bidi="ar-SA"/>
    </w:rPr>
  </w:style>
  <w:style w:type="paragraph" w:customStyle="1" w:styleId="466">
    <w:name w:val="xl64"/>
    <w:basedOn w:val="1"/>
    <w:next w:val="441"/>
    <w:qFormat/>
    <w:uiPriority w:val="0"/>
    <w:pPr>
      <w:widowControl/>
      <w:shd w:val="clear" w:color="000000" w:fill="FFFFFF"/>
      <w:spacing w:before="280" w:after="280"/>
    </w:pPr>
    <w:rPr>
      <w:rFonts w:ascii="宋体" w:hAnsi="Calibri"/>
      <w:kern w:val="0"/>
      <w:sz w:val="20"/>
      <w:szCs w:val="20"/>
    </w:rPr>
  </w:style>
  <w:style w:type="paragraph" w:customStyle="1" w:styleId="467">
    <w:name w:val="xl82"/>
    <w:basedOn w:val="1"/>
    <w:next w:val="286"/>
    <w:qFormat/>
    <w:uiPriority w:val="0"/>
    <w:pPr>
      <w:widowControl/>
      <w:shd w:val="clear" w:color="000000" w:fill="FFFFFF"/>
      <w:spacing w:before="280" w:after="280"/>
    </w:pPr>
    <w:rPr>
      <w:rFonts w:ascii="宋体" w:hAnsi="Calibri"/>
      <w:kern w:val="0"/>
      <w:sz w:val="20"/>
      <w:szCs w:val="20"/>
    </w:rPr>
  </w:style>
  <w:style w:type="paragraph" w:customStyle="1" w:styleId="468">
    <w:name w:val="toc 32"/>
    <w:next w:val="1"/>
    <w:qFormat/>
    <w:uiPriority w:val="0"/>
    <w:pPr>
      <w:wordWrap w:val="0"/>
      <w:ind w:left="850"/>
      <w:jc w:val="both"/>
    </w:pPr>
    <w:rPr>
      <w:rFonts w:ascii="Calibri" w:hAnsi="Calibri" w:eastAsia="宋体" w:cs="Times New Roman"/>
      <w:sz w:val="21"/>
      <w:lang w:val="en-US" w:eastAsia="zh-CN" w:bidi="ar-SA"/>
    </w:rPr>
  </w:style>
  <w:style w:type="paragraph" w:customStyle="1" w:styleId="469">
    <w:name w:val="xl77"/>
    <w:basedOn w:val="1"/>
    <w:next w:val="434"/>
    <w:qFormat/>
    <w:uiPriority w:val="0"/>
    <w:pPr>
      <w:widowControl/>
      <w:shd w:val="clear" w:color="000000" w:fill="FFFFFF"/>
      <w:spacing w:before="280" w:after="280"/>
      <w:jc w:val="center"/>
    </w:pPr>
    <w:rPr>
      <w:rFonts w:ascii="宋体" w:hAnsi="Calibri"/>
      <w:kern w:val="0"/>
      <w:sz w:val="20"/>
      <w:szCs w:val="20"/>
    </w:rPr>
  </w:style>
  <w:style w:type="character" w:customStyle="1" w:styleId="470">
    <w:name w:val="正文缩进 Char1"/>
    <w:qFormat/>
    <w:uiPriority w:val="0"/>
    <w:rPr>
      <w:rFonts w:eastAsia="宋体"/>
      <w:kern w:val="2"/>
      <w:sz w:val="21"/>
      <w:lang w:val="en-US" w:eastAsia="zh-CN" w:bidi="ar-SA"/>
    </w:rPr>
  </w:style>
  <w:style w:type="character" w:customStyle="1" w:styleId="471">
    <w:name w:val="fielderror"/>
    <w:basedOn w:val="47"/>
    <w:qFormat/>
    <w:uiPriority w:val="0"/>
    <w:rPr>
      <w:color w:val="800000"/>
    </w:rPr>
  </w:style>
  <w:style w:type="character" w:customStyle="1" w:styleId="472">
    <w:name w:val="hilite6"/>
    <w:basedOn w:val="47"/>
    <w:qFormat/>
    <w:uiPriority w:val="0"/>
    <w:rPr>
      <w:color w:val="000000"/>
    </w:rPr>
  </w:style>
  <w:style w:type="character" w:customStyle="1" w:styleId="473">
    <w:name w:val="active6"/>
    <w:basedOn w:val="47"/>
    <w:qFormat/>
    <w:uiPriority w:val="0"/>
    <w:rPr>
      <w:color w:val="FFFFFF"/>
    </w:rPr>
  </w:style>
  <w:style w:type="character" w:customStyle="1" w:styleId="474">
    <w:name w:val="inline-help"/>
    <w:basedOn w:val="47"/>
    <w:qFormat/>
    <w:uiPriority w:val="0"/>
  </w:style>
  <w:style w:type="character" w:customStyle="1" w:styleId="475">
    <w:name w:val="active"/>
    <w:basedOn w:val="47"/>
    <w:qFormat/>
    <w:uiPriority w:val="0"/>
    <w:rPr>
      <w:color w:val="FFFFFF"/>
    </w:rPr>
  </w:style>
  <w:style w:type="table" w:customStyle="1" w:styleId="476">
    <w:name w:val="网格型1"/>
    <w:basedOn w:val="44"/>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7">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478">
    <w:name w:val="正文1"/>
    <w:qFormat/>
    <w:uiPriority w:val="0"/>
    <w:pPr>
      <w:jc w:val="both"/>
    </w:pPr>
    <w:rPr>
      <w:rFonts w:ascii="Times New Roman" w:hAnsi="Times New Roman" w:eastAsia="宋体" w:cs="Times New Roman"/>
      <w:sz w:val="21"/>
      <w:szCs w:val="21"/>
      <w:lang w:val="en-US" w:eastAsia="zh-CN" w:bidi="ar-SA"/>
    </w:rPr>
  </w:style>
  <w:style w:type="paragraph" w:customStyle="1" w:styleId="479">
    <w:name w:val="修订3"/>
    <w:hidden/>
    <w:unhideWhenUsed/>
    <w:uiPriority w:val="99"/>
    <w:rPr>
      <w:rFonts w:ascii="Times New Roman" w:hAnsi="Times New Roman" w:eastAsia="宋体" w:cs="Times New Roman"/>
      <w:kern w:val="2"/>
      <w:sz w:val="21"/>
      <w:szCs w:val="24"/>
      <w:lang w:val="en-US" w:eastAsia="zh-CN" w:bidi="ar-SA"/>
    </w:rPr>
  </w:style>
  <w:style w:type="paragraph" w:customStyle="1" w:styleId="480">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186C8-385E-4190-BA4B-81D3686EE8D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67</Pages>
  <Words>8893</Words>
  <Characters>9427</Characters>
  <Lines>7022</Lines>
  <Paragraphs>6319</Paragraphs>
  <TotalTime>156</TotalTime>
  <ScaleCrop>false</ScaleCrop>
  <LinksUpToDate>false</LinksUpToDate>
  <CharactersWithSpaces>9523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2021-05-07T05:47:00Z</dcterms:created>
  <dc:creator>thsware</dc:creator>
  <cp:lastModifiedBy>CAOQM</cp:lastModifiedBy>
  <cp:lastPrinted>2021-05-16T11:04:00Z</cp:lastPrinted>
  <dcterms:modified xsi:type="dcterms:W3CDTF">2025-06-05T06:22:24Z</dcterms:modified>
  <dc:title>招  标　文　件</dc:title>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CB865F1993524361B6AAEB638D338E45_13</vt:lpwstr>
  </property>
  <property fmtid="{D5CDD505-2E9C-101B-9397-08002B2CF9AE}" pid="4" name="KSOTemplateDocerSaveRecord">
    <vt:lpwstr>eyJoZGlkIjoiNTA4NDhlMjJiODNmMTczNTRhZTJjMDkxMmViMDQ5NWUiLCJ1c2VySWQiOiIxMTYxMTAxODExIn0=</vt:lpwstr>
  </property>
</Properties>
</file>