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rPr>
      </w:pPr>
      <w:r>
        <w:rPr>
          <w:rFonts w:hint="eastAsia" w:ascii="宋体" w:hAnsi="宋体" w:cs="宋体"/>
          <w:b/>
          <w:bCs/>
          <w:sz w:val="96"/>
          <w:szCs w:val="96"/>
        </w:rPr>
        <w:t>市属看守所医务室物资采购项目</w:t>
      </w:r>
    </w:p>
    <w:p>
      <w:pPr>
        <w:rPr>
          <w:rFonts w:hint="eastAsia" w:ascii="宋体" w:hAnsi="宋体" w:cs="宋体"/>
        </w:rPr>
      </w:pPr>
    </w:p>
    <w:p>
      <w:pPr>
        <w:jc w:val="center"/>
        <w:rPr>
          <w:rFonts w:hint="eastAsia" w:ascii="宋体" w:hAnsi="宋体" w:cs="宋体"/>
          <w:sz w:val="52"/>
          <w:szCs w:val="52"/>
        </w:rPr>
      </w:pPr>
    </w:p>
    <w:p>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rPr>
        <w:t xml:space="preserve"> 价 文 件</w:t>
      </w:r>
    </w:p>
    <w:p>
      <w:pPr>
        <w:jc w:val="center"/>
        <w:rPr>
          <w:rFonts w:hint="eastAsia" w:ascii="宋体" w:hAnsi="宋体" w:cs="宋体"/>
          <w:b/>
          <w:bCs/>
          <w:sz w:val="36"/>
          <w:szCs w:val="36"/>
        </w:rPr>
      </w:pPr>
    </w:p>
    <w:p>
      <w:pPr>
        <w:rPr>
          <w:rFonts w:hint="eastAsia" w:ascii="宋体" w:hAnsi="宋体" w:cs="宋体"/>
          <w:sz w:val="44"/>
        </w:rPr>
      </w:pPr>
    </w:p>
    <w:p>
      <w:pPr>
        <w:snapToGrid w:val="0"/>
        <w:spacing w:line="480" w:lineRule="auto"/>
        <w:rPr>
          <w:rFonts w:hint="eastAsia" w:ascii="宋体" w:hAnsi="宋体" w:cs="宋体"/>
          <w:sz w:val="48"/>
        </w:rPr>
      </w:pPr>
    </w:p>
    <w:p>
      <w:pPr>
        <w:pStyle w:val="14"/>
        <w:rPr>
          <w:rFonts w:hint="eastAsia" w:ascii="宋体" w:hAnsi="宋体" w:cs="宋体"/>
          <w:sz w:val="48"/>
        </w:rPr>
      </w:pPr>
    </w:p>
    <w:p>
      <w:pPr>
        <w:pStyle w:val="14"/>
        <w:rPr>
          <w:rFonts w:hint="eastAsia" w:ascii="宋体" w:hAnsi="宋体" w:cs="宋体"/>
          <w:sz w:val="48"/>
        </w:rPr>
      </w:pPr>
    </w:p>
    <w:p>
      <w:pPr>
        <w:ind w:firstLine="1084" w:firstLineChars="300"/>
        <w:rPr>
          <w:rFonts w:hint="default" w:ascii="宋体" w:hAnsi="宋体" w:eastAsia="宋体" w:cs="宋体"/>
          <w:b/>
          <w:bCs/>
          <w:sz w:val="21"/>
          <w:szCs w:val="21"/>
          <w:lang w:val="en-US" w:eastAsia="zh-CN"/>
        </w:rPr>
      </w:pPr>
      <w:r>
        <w:rPr>
          <w:rFonts w:hint="eastAsia" w:ascii="宋体" w:hAnsi="宋体" w:cs="宋体"/>
          <w:b/>
          <w:bCs/>
          <w:sz w:val="36"/>
          <w:szCs w:val="36"/>
        </w:rPr>
        <w:t>项目编号：</w:t>
      </w:r>
      <w:r>
        <w:rPr>
          <w:rFonts w:hint="eastAsia" w:ascii="宋体" w:hAnsi="宋体" w:cs="宋体"/>
          <w:b/>
          <w:bCs/>
          <w:sz w:val="36"/>
          <w:szCs w:val="36"/>
          <w:lang w:val="en-US" w:eastAsia="zh-CN"/>
        </w:rPr>
        <w:t>JYCG-DECL-2025-44325</w:t>
      </w:r>
    </w:p>
    <w:p>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货物类</w:t>
      </w:r>
    </w:p>
    <w:p>
      <w:pPr>
        <w:pStyle w:val="14"/>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 xml:space="preserve">采购人： </w:t>
      </w:r>
      <w:r>
        <w:rPr>
          <w:rFonts w:hint="eastAsia" w:ascii="宋体" w:hAnsi="宋体" w:cs="宋体"/>
          <w:b/>
          <w:bCs/>
          <w:sz w:val="36"/>
          <w:szCs w:val="36"/>
          <w:lang w:val="en-US" w:eastAsia="zh-CN"/>
        </w:rPr>
        <w:t>深圳市公安局监所管理支队</w:t>
      </w:r>
    </w:p>
    <w:p>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ind w:firstLine="420" w:firstLineChars="200"/>
        <w:rPr>
          <w:rFonts w:hint="eastAsia" w:ascii="宋体" w:hAnsi="宋体" w:cs="宋体"/>
          <w:kern w:val="0"/>
          <w:szCs w:val="21"/>
        </w:rPr>
      </w:pPr>
      <w:r>
        <w:rPr>
          <w:rFonts w:hint="eastAsia" w:ascii="宋体" w:hAnsi="宋体" w:cs="宋体"/>
          <w:bCs/>
          <w:kern w:val="0"/>
          <w:szCs w:val="21"/>
        </w:rPr>
        <w:t>8.</w:t>
      </w:r>
      <w:r>
        <w:rPr>
          <w:rFonts w:hint="eastAsia"/>
        </w:rPr>
        <w:t xml:space="preserve"> </w:t>
      </w:r>
      <w:r>
        <w:rPr>
          <w:rFonts w:hint="eastAsia" w:ascii="宋体" w:hAnsi="宋体" w:cs="宋体"/>
          <w:kern w:val="0"/>
          <w:szCs w:val="21"/>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pPr>
        <w:pStyle w:val="18"/>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pPr>
        <w:ind w:firstLine="413" w:firstLineChars="196"/>
        <w:rPr>
          <w:rFonts w:hint="eastAsia" w:ascii="宋体" w:hAnsi="宋体"/>
          <w:b/>
          <w:bCs/>
          <w:color w:val="FF0000"/>
          <w:szCs w:val="21"/>
        </w:rPr>
      </w:pPr>
      <w:r>
        <w:rPr>
          <w:rFonts w:hint="eastAsia" w:ascii="宋体" w:hAnsi="宋体"/>
          <w:b/>
          <w:bCs/>
          <w:color w:val="FF0000"/>
          <w:szCs w:val="21"/>
        </w:rPr>
        <w:t>投标文件报价出现前后不一致的，除另有规定外，按照下列规定修正：</w:t>
      </w:r>
    </w:p>
    <w:p>
      <w:pPr>
        <w:ind w:firstLine="413" w:firstLineChars="196"/>
        <w:rPr>
          <w:rFonts w:hint="eastAsia" w:ascii="宋体" w:hAnsi="宋体"/>
          <w:b/>
          <w:bCs/>
          <w:color w:val="FF0000"/>
          <w:szCs w:val="21"/>
        </w:rPr>
      </w:pPr>
      <w:r>
        <w:rPr>
          <w:rFonts w:hint="eastAsia" w:ascii="宋体" w:hAnsi="宋体"/>
          <w:b/>
          <w:bCs/>
          <w:color w:val="FF0000"/>
          <w:szCs w:val="21"/>
        </w:rPr>
        <w:t>1、应答文件中开标一览表投标报价内容与应答文件中报价相应内容不一致的，以开标一览表为准；</w:t>
      </w:r>
    </w:p>
    <w:p>
      <w:pPr>
        <w:ind w:firstLine="413" w:firstLineChars="196"/>
        <w:rPr>
          <w:rFonts w:hint="eastAsia" w:ascii="宋体" w:hAnsi="宋体"/>
          <w:b/>
          <w:bCs/>
          <w:color w:val="FF0000"/>
          <w:szCs w:val="21"/>
        </w:rPr>
      </w:pPr>
      <w:r>
        <w:rPr>
          <w:rFonts w:hint="eastAsia" w:ascii="宋体" w:hAnsi="宋体"/>
          <w:b/>
          <w:bCs/>
          <w:color w:val="FF0000"/>
          <w:szCs w:val="21"/>
        </w:rPr>
        <w:t>2、大写金额和小写金额不一致的，以大写金额为准；</w:t>
      </w:r>
    </w:p>
    <w:p>
      <w:pPr>
        <w:ind w:firstLine="413" w:firstLineChars="196"/>
        <w:rPr>
          <w:rFonts w:hint="eastAsia" w:ascii="宋体" w:hAnsi="宋体"/>
          <w:b/>
          <w:bCs/>
          <w:color w:val="FF0000"/>
          <w:szCs w:val="21"/>
        </w:rPr>
      </w:pPr>
      <w:r>
        <w:rPr>
          <w:rFonts w:hint="eastAsia" w:ascii="宋体" w:hAnsi="宋体"/>
          <w:b/>
          <w:bCs/>
          <w:color w:val="FF0000"/>
          <w:szCs w:val="21"/>
        </w:rPr>
        <w:t>3、单价金额小数点或者百分比有明显错位，以开标一览表的总价为准，并修改单价；</w:t>
      </w:r>
    </w:p>
    <w:p>
      <w:pPr>
        <w:ind w:firstLine="413" w:firstLineChars="196"/>
        <w:rPr>
          <w:rFonts w:hint="eastAsia" w:ascii="宋体" w:hAnsi="宋体"/>
          <w:b/>
          <w:bCs/>
          <w:color w:val="FF0000"/>
          <w:szCs w:val="21"/>
        </w:rPr>
      </w:pPr>
      <w:r>
        <w:rPr>
          <w:rFonts w:hint="eastAsia" w:ascii="宋体" w:hAnsi="宋体"/>
          <w:b/>
          <w:bCs/>
          <w:color w:val="FF0000"/>
          <w:szCs w:val="21"/>
        </w:rPr>
        <w:t>4、总价金额与按单价汇总金额不一致的，以单价金额计算结果为准。</w:t>
      </w:r>
    </w:p>
    <w:p>
      <w:pPr>
        <w:ind w:firstLine="413" w:firstLineChars="196"/>
        <w:rPr>
          <w:rFonts w:hint="eastAsia" w:ascii="宋体" w:hAnsi="宋体" w:cs="宋体"/>
          <w:b/>
          <w:bCs/>
          <w:color w:val="FF0000"/>
          <w:kern w:val="0"/>
          <w:szCs w:val="21"/>
        </w:rPr>
      </w:pPr>
      <w:r>
        <w:rPr>
          <w:rFonts w:hint="eastAsia" w:ascii="宋体" w:hAnsi="宋体"/>
          <w:b/>
          <w:bCs/>
          <w:color w:val="FF0000"/>
          <w:szCs w:val="21"/>
        </w:rPr>
        <w:t>5、同时出现两种以上不一致的，按照前款规定的顺序修正。</w:t>
      </w:r>
    </w:p>
    <w:p>
      <w:pPr>
        <w:widowControl/>
        <w:adjustRightInd w:val="0"/>
        <w:ind w:firstLine="422" w:firstLineChars="200"/>
        <w:rPr>
          <w:rFonts w:hint="eastAsia" w:ascii="宋体" w:hAnsi="宋体" w:cs="宋体"/>
          <w:b/>
          <w:bCs/>
          <w:color w:val="FF0000"/>
          <w:kern w:val="0"/>
          <w:szCs w:val="21"/>
        </w:rPr>
      </w:pPr>
      <w:r>
        <w:rPr>
          <w:rFonts w:hint="eastAsia" w:ascii="宋体" w:hAnsi="宋体" w:cs="宋体"/>
          <w:b/>
          <w:bCs/>
          <w:color w:val="FF0000"/>
          <w:kern w:val="0"/>
          <w:szCs w:val="21"/>
        </w:rPr>
        <w:t>采购人以修正后的分项报价之和为成交金额并签订合同。</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1.1.有效供应商为两家的，选取报价最低的为本项目成交供应商；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1.2.有效供应商为一家的，直接确定为本项目成交供应商；</w:t>
      </w:r>
    </w:p>
    <w:p>
      <w:pPr>
        <w:widowControl/>
        <w:adjustRightInd w:val="0"/>
        <w:ind w:firstLine="420" w:firstLineChars="200"/>
        <w:rPr>
          <w:rFonts w:hint="eastAsia" w:ascii="宋体" w:hAnsi="宋体" w:cs="宋体"/>
          <w:b/>
          <w:bCs/>
          <w:kern w:val="0"/>
          <w:szCs w:val="21"/>
        </w:rPr>
      </w:pPr>
      <w:r>
        <w:rPr>
          <w:rFonts w:hint="eastAsia" w:ascii="宋体" w:hAnsi="宋体" w:cs="宋体"/>
          <w:kern w:val="0"/>
          <w:szCs w:val="21"/>
        </w:rPr>
        <w:t>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采购人另行组织采购</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2" w:firstLineChars="200"/>
        <w:rPr>
          <w:rFonts w:hint="eastAsia" w:ascii="宋体" w:hAnsi="宋体" w:cs="宋体"/>
          <w:b/>
          <w:kern w:val="0"/>
          <w:szCs w:val="21"/>
        </w:rPr>
      </w:pPr>
      <w:bookmarkStart w:id="1" w:name="_Hlk187756110"/>
      <w:r>
        <w:rPr>
          <w:rFonts w:hint="eastAsia" w:ascii="宋体" w:hAnsi="宋体" w:cs="宋体"/>
          <w:b/>
          <w:kern w:val="0"/>
          <w:szCs w:val="21"/>
        </w:rPr>
        <w:t>（十）本项目前期提供咨询供应商情况</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bookmarkEnd w:id="1"/>
    <w:p>
      <w:pPr>
        <w:widowControl/>
        <w:jc w:val="left"/>
        <w:rPr>
          <w:sz w:val="24"/>
        </w:rPr>
      </w:pPr>
      <w:r>
        <w:br w:type="page"/>
      </w:r>
    </w:p>
    <w:p>
      <w:pPr>
        <w:pStyle w:val="9"/>
        <w:ind w:firstLine="480"/>
        <w:sectPr>
          <w:pgSz w:w="11907" w:h="16840"/>
          <w:pgMar w:top="1440" w:right="1797" w:bottom="1440" w:left="1797" w:header="851" w:footer="992" w:gutter="0"/>
          <w:cols w:space="425" w:num="1"/>
          <w:titlePg/>
          <w:docGrid w:linePitch="462" w:charSpace="0"/>
        </w:sectPr>
      </w:pP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2"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采购清单</w:t>
      </w:r>
    </w:p>
    <w:tbl>
      <w:tblPr>
        <w:tblStyle w:val="21"/>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b/>
                <w:szCs w:val="21"/>
              </w:rPr>
            </w:pPr>
            <w:r>
              <w:rPr>
                <w:rFonts w:hint="eastAsia"/>
                <w:b/>
                <w:szCs w:val="21"/>
              </w:rPr>
              <w:t>序号</w:t>
            </w:r>
          </w:p>
        </w:tc>
        <w:tc>
          <w:tcPr>
            <w:tcW w:w="3402" w:type="dxa"/>
            <w:shd w:val="clear" w:color="auto" w:fill="C6D9F1"/>
            <w:vAlign w:val="center"/>
          </w:tcPr>
          <w:p>
            <w:pPr>
              <w:spacing w:line="360" w:lineRule="auto"/>
              <w:jc w:val="center"/>
              <w:rPr>
                <w:b/>
                <w:szCs w:val="21"/>
              </w:rPr>
            </w:pPr>
            <w:r>
              <w:rPr>
                <w:rFonts w:hint="eastAsia"/>
                <w:b/>
                <w:szCs w:val="21"/>
              </w:rPr>
              <w:t>货物标的名称</w:t>
            </w:r>
          </w:p>
        </w:tc>
        <w:tc>
          <w:tcPr>
            <w:tcW w:w="732" w:type="dxa"/>
            <w:shd w:val="clear" w:color="auto" w:fill="C6D9F1"/>
            <w:vAlign w:val="center"/>
          </w:tcPr>
          <w:p>
            <w:pPr>
              <w:spacing w:line="360" w:lineRule="auto"/>
              <w:jc w:val="center"/>
              <w:rPr>
                <w:b/>
                <w:szCs w:val="21"/>
              </w:rPr>
            </w:pPr>
            <w:r>
              <w:rPr>
                <w:rFonts w:hint="eastAsia"/>
                <w:b/>
                <w:szCs w:val="21"/>
              </w:rPr>
              <w:t>数量</w:t>
            </w:r>
          </w:p>
        </w:tc>
        <w:tc>
          <w:tcPr>
            <w:tcW w:w="855" w:type="dxa"/>
            <w:shd w:val="clear" w:color="auto" w:fill="C6D9F1"/>
            <w:vAlign w:val="center"/>
          </w:tcPr>
          <w:p>
            <w:pPr>
              <w:spacing w:line="360" w:lineRule="auto"/>
              <w:jc w:val="center"/>
              <w:rPr>
                <w:b/>
                <w:szCs w:val="21"/>
              </w:rPr>
            </w:pPr>
            <w:r>
              <w:rPr>
                <w:rFonts w:hint="eastAsia"/>
                <w:b/>
                <w:szCs w:val="21"/>
              </w:rPr>
              <w:t>单位</w:t>
            </w:r>
          </w:p>
        </w:tc>
        <w:tc>
          <w:tcPr>
            <w:tcW w:w="1839" w:type="dxa"/>
            <w:shd w:val="clear" w:color="auto" w:fill="C6D9F1"/>
            <w:vAlign w:val="center"/>
          </w:tcPr>
          <w:p>
            <w:pPr>
              <w:spacing w:line="360" w:lineRule="auto"/>
              <w:jc w:val="center"/>
              <w:rPr>
                <w:b/>
                <w:szCs w:val="21"/>
              </w:rPr>
            </w:pPr>
            <w:r>
              <w:rPr>
                <w:rFonts w:hint="eastAsia"/>
                <w:b/>
                <w:szCs w:val="21"/>
              </w:rPr>
              <w:t>预算金额（元）</w:t>
            </w:r>
          </w:p>
        </w:tc>
        <w:tc>
          <w:tcPr>
            <w:tcW w:w="850"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hint="eastAsia" w:ascii="宋体" w:hAnsi="宋体"/>
                <w:szCs w:val="21"/>
              </w:rPr>
            </w:pPr>
            <w:r>
              <w:rPr>
                <w:rFonts w:hint="eastAsia" w:ascii="宋体" w:hAnsi="宋体"/>
                <w:szCs w:val="21"/>
              </w:rPr>
              <w:t>1</w:t>
            </w:r>
          </w:p>
        </w:tc>
        <w:tc>
          <w:tcPr>
            <w:tcW w:w="3402" w:type="dxa"/>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家具</w:t>
            </w:r>
          </w:p>
        </w:tc>
        <w:tc>
          <w:tcPr>
            <w:tcW w:w="732" w:type="dxa"/>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855" w:type="dxa"/>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批</w:t>
            </w:r>
          </w:p>
        </w:tc>
        <w:tc>
          <w:tcPr>
            <w:tcW w:w="1839" w:type="dxa"/>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190,000</w:t>
            </w:r>
          </w:p>
        </w:tc>
        <w:tc>
          <w:tcPr>
            <w:tcW w:w="850" w:type="dxa"/>
            <w:vAlign w:val="center"/>
          </w:tcPr>
          <w:p>
            <w:pPr>
              <w:spacing w:line="360" w:lineRule="auto"/>
              <w:jc w:val="center"/>
              <w:rPr>
                <w:rFonts w:hint="eastAsia"/>
                <w:szCs w:val="21"/>
                <w:lang w:val="en-US" w:eastAsia="zh-CN"/>
              </w:rPr>
            </w:pPr>
            <w:r>
              <w:rPr>
                <w:rFonts w:hint="eastAsia"/>
                <w:szCs w:val="21"/>
                <w:lang w:val="en-US" w:eastAsia="zh-CN"/>
              </w:rPr>
              <w:t>拒绝</w:t>
            </w:r>
          </w:p>
          <w:p>
            <w:pPr>
              <w:spacing w:line="360" w:lineRule="auto"/>
              <w:jc w:val="center"/>
              <w:rPr>
                <w:rFonts w:hint="default" w:eastAsia="宋体"/>
                <w:szCs w:val="21"/>
                <w:lang w:val="en-US" w:eastAsia="zh-CN"/>
              </w:rPr>
            </w:pPr>
            <w:r>
              <w:rPr>
                <w:rFonts w:hint="eastAsia"/>
                <w:szCs w:val="21"/>
                <w:lang w:val="en-US" w:eastAsia="zh-CN"/>
              </w:rPr>
              <w:t>进口</w:t>
            </w:r>
          </w:p>
        </w:tc>
      </w:tr>
    </w:tbl>
    <w:p>
      <w:pPr>
        <w:rPr>
          <w:rFonts w:hint="eastAsia" w:ascii="宋体" w:hAnsi="宋体"/>
          <w:b/>
          <w:bCs/>
          <w:snapToGrid w:val="0"/>
          <w:color w:val="000000"/>
          <w:kern w:val="0"/>
          <w:szCs w:val="21"/>
        </w:rPr>
      </w:pP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货物明细</w:t>
      </w:r>
    </w:p>
    <w:tbl>
      <w:tblPr>
        <w:tblStyle w:val="21"/>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4953"/>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4953"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1276"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单位</w:t>
            </w:r>
          </w:p>
        </w:tc>
        <w:tc>
          <w:tcPr>
            <w:tcW w:w="1418"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rPr>
              <w:t>1</w:t>
            </w:r>
          </w:p>
        </w:tc>
        <w:tc>
          <w:tcPr>
            <w:tcW w:w="495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办公桌</w:t>
            </w:r>
          </w:p>
        </w:tc>
        <w:tc>
          <w:tcPr>
            <w:tcW w:w="1276"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张</w:t>
            </w:r>
          </w:p>
        </w:tc>
        <w:tc>
          <w:tcPr>
            <w:tcW w:w="1418"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rPr>
              <w:t>2</w:t>
            </w:r>
          </w:p>
        </w:tc>
        <w:tc>
          <w:tcPr>
            <w:tcW w:w="495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办公椅</w:t>
            </w:r>
          </w:p>
        </w:tc>
        <w:tc>
          <w:tcPr>
            <w:tcW w:w="1276"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张</w:t>
            </w:r>
          </w:p>
        </w:tc>
        <w:tc>
          <w:tcPr>
            <w:tcW w:w="1418"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rPr>
              <w:t>3</w:t>
            </w:r>
          </w:p>
        </w:tc>
        <w:tc>
          <w:tcPr>
            <w:tcW w:w="495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茶水柜</w:t>
            </w:r>
          </w:p>
        </w:tc>
        <w:tc>
          <w:tcPr>
            <w:tcW w:w="1276"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个</w:t>
            </w:r>
          </w:p>
        </w:tc>
        <w:tc>
          <w:tcPr>
            <w:tcW w:w="1418"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rPr>
              <w:t>4</w:t>
            </w:r>
          </w:p>
        </w:tc>
        <w:tc>
          <w:tcPr>
            <w:tcW w:w="495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定制墙柜</w:t>
            </w:r>
          </w:p>
        </w:tc>
        <w:tc>
          <w:tcPr>
            <w:tcW w:w="1276"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个</w:t>
            </w:r>
          </w:p>
        </w:tc>
        <w:tc>
          <w:tcPr>
            <w:tcW w:w="1418"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5</w:t>
            </w:r>
          </w:p>
        </w:tc>
        <w:tc>
          <w:tcPr>
            <w:tcW w:w="495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货架</w:t>
            </w:r>
          </w:p>
        </w:tc>
        <w:tc>
          <w:tcPr>
            <w:tcW w:w="1276"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个</w:t>
            </w:r>
          </w:p>
        </w:tc>
        <w:tc>
          <w:tcPr>
            <w:tcW w:w="1418"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6</w:t>
            </w:r>
          </w:p>
        </w:tc>
        <w:tc>
          <w:tcPr>
            <w:tcW w:w="495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文件柜</w:t>
            </w:r>
          </w:p>
        </w:tc>
        <w:tc>
          <w:tcPr>
            <w:tcW w:w="1276"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个</w:t>
            </w:r>
          </w:p>
        </w:tc>
        <w:tc>
          <w:tcPr>
            <w:tcW w:w="1418"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7</w:t>
            </w:r>
          </w:p>
        </w:tc>
        <w:tc>
          <w:tcPr>
            <w:tcW w:w="495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药品架</w:t>
            </w:r>
          </w:p>
        </w:tc>
        <w:tc>
          <w:tcPr>
            <w:tcW w:w="1276"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个</w:t>
            </w:r>
          </w:p>
        </w:tc>
        <w:tc>
          <w:tcPr>
            <w:tcW w:w="1418"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8</w:t>
            </w:r>
          </w:p>
        </w:tc>
        <w:tc>
          <w:tcPr>
            <w:tcW w:w="495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配药台</w:t>
            </w:r>
          </w:p>
        </w:tc>
        <w:tc>
          <w:tcPr>
            <w:tcW w:w="1276"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张</w:t>
            </w:r>
          </w:p>
        </w:tc>
        <w:tc>
          <w:tcPr>
            <w:tcW w:w="1418"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9</w:t>
            </w:r>
          </w:p>
        </w:tc>
        <w:tc>
          <w:tcPr>
            <w:tcW w:w="495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摆药台</w:t>
            </w:r>
          </w:p>
        </w:tc>
        <w:tc>
          <w:tcPr>
            <w:tcW w:w="1276"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张</w:t>
            </w:r>
          </w:p>
        </w:tc>
        <w:tc>
          <w:tcPr>
            <w:tcW w:w="1418"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10</w:t>
            </w:r>
          </w:p>
        </w:tc>
        <w:tc>
          <w:tcPr>
            <w:tcW w:w="495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检查床</w:t>
            </w:r>
          </w:p>
        </w:tc>
        <w:tc>
          <w:tcPr>
            <w:tcW w:w="1276"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张</w:t>
            </w:r>
          </w:p>
        </w:tc>
        <w:tc>
          <w:tcPr>
            <w:tcW w:w="1418"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11</w:t>
            </w:r>
          </w:p>
        </w:tc>
        <w:tc>
          <w:tcPr>
            <w:tcW w:w="4953"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抢救床</w:t>
            </w:r>
          </w:p>
        </w:tc>
        <w:tc>
          <w:tcPr>
            <w:tcW w:w="1276"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张</w:t>
            </w:r>
          </w:p>
        </w:tc>
        <w:tc>
          <w:tcPr>
            <w:tcW w:w="1418" w:type="dxa"/>
            <w:vAlign w:val="center"/>
          </w:tcPr>
          <w:p>
            <w:pPr>
              <w:keepNext w:val="0"/>
              <w:keepLines w:val="0"/>
              <w:pageBreakBefore w:val="0"/>
              <w:widowControl w:val="0"/>
              <w:kinsoku/>
              <w:wordWrap/>
              <w:overflowPunct/>
              <w:topLinePunct w:val="0"/>
              <w:autoSpaceDE/>
              <w:autoSpaceDN/>
              <w:bidi w:val="0"/>
              <w:spacing w:line="560" w:lineRule="exact"/>
              <w:jc w:val="center"/>
              <w:rPr>
                <w:rFonts w:hint="eastAsia" w:ascii="宋体" w:hAnsi="宋体" w:cs="宋体"/>
                <w:szCs w:val="21"/>
                <w:lang w:val="zh-CN"/>
              </w:rPr>
            </w:pPr>
            <w:r>
              <w:rPr>
                <w:rFonts w:hint="eastAsia" w:ascii="仿宋" w:hAnsi="仿宋" w:eastAsia="仿宋" w:cs="仿宋"/>
                <w:bCs/>
                <w:sz w:val="24"/>
                <w:szCs w:val="24"/>
                <w:highlight w:val="none"/>
                <w:lang w:val="en-US" w:eastAsia="zh-CN"/>
              </w:rPr>
              <w:t>1</w:t>
            </w:r>
          </w:p>
        </w:tc>
      </w:tr>
    </w:tbl>
    <w:p>
      <w:pPr>
        <w:ind w:firstLine="422"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tbl>
      <w:tblPr>
        <w:tblStyle w:val="21"/>
        <w:tblW w:w="5000" w:type="pct"/>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5"/>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1" w:type="dxa"/>
            <w:shd w:val="clear" w:color="auto" w:fill="B5C7EA"/>
            <w:noWrap w:val="0"/>
            <w:vAlign w:val="center"/>
          </w:tcPr>
          <w:p>
            <w:pPr>
              <w:widowControl w:val="0"/>
              <w:spacing w:after="0" w:line="240" w:lineRule="auto"/>
              <w:jc w:val="center"/>
              <w:rPr>
                <w:rFonts w:hint="eastAsia" w:ascii="Calibri" w:hAnsi="Calibri" w:eastAsia="宋体" w:cs="Times New Roman"/>
                <w:b/>
                <w:bCs/>
                <w:color w:val="000000"/>
                <w:kern w:val="2"/>
                <w:sz w:val="21"/>
                <w:szCs w:val="21"/>
                <w:highlight w:val="none"/>
                <w:lang w:eastAsia="zh-CN"/>
              </w:rPr>
            </w:pPr>
            <w:r>
              <w:rPr>
                <w:rFonts w:ascii="Calibri" w:hAnsi="Calibri" w:eastAsia="宋体" w:cs="Times New Roman"/>
                <w:b/>
                <w:bCs/>
                <w:color w:val="000000"/>
                <w:kern w:val="2"/>
                <w:sz w:val="21"/>
                <w:szCs w:val="21"/>
                <w:highlight w:val="none"/>
                <w:lang w:eastAsia="zh-CN"/>
              </w:rPr>
              <w:t>序号</w:t>
            </w:r>
          </w:p>
        </w:tc>
        <w:tc>
          <w:tcPr>
            <w:tcW w:w="1315" w:type="dxa"/>
            <w:shd w:val="clear" w:color="auto" w:fill="B5C7EA"/>
            <w:noWrap w:val="0"/>
            <w:vAlign w:val="center"/>
          </w:tcPr>
          <w:p>
            <w:pPr>
              <w:widowControl/>
              <w:spacing w:after="0" w:line="240" w:lineRule="auto"/>
              <w:jc w:val="center"/>
              <w:rPr>
                <w:rFonts w:hint="eastAsia" w:ascii="Calibri" w:hAnsi="Calibri" w:eastAsia="宋体" w:cs="Times New Roman"/>
                <w:b/>
                <w:bCs/>
                <w:color w:val="000000"/>
                <w:kern w:val="2"/>
                <w:sz w:val="21"/>
                <w:szCs w:val="21"/>
                <w:highlight w:val="none"/>
                <w:lang w:eastAsia="zh-CN"/>
              </w:rPr>
            </w:pPr>
            <w:r>
              <w:rPr>
                <w:rFonts w:ascii="Calibri" w:hAnsi="Calibri" w:eastAsia="宋体" w:cs="Times New Roman"/>
                <w:b/>
                <w:bCs/>
                <w:color w:val="000000"/>
                <w:kern w:val="2"/>
                <w:sz w:val="21"/>
                <w:szCs w:val="21"/>
                <w:highlight w:val="none"/>
                <w:lang w:eastAsia="zh-CN"/>
              </w:rPr>
              <w:t>货物名称</w:t>
            </w:r>
          </w:p>
        </w:tc>
        <w:tc>
          <w:tcPr>
            <w:tcW w:w="6526" w:type="dxa"/>
            <w:shd w:val="clear" w:color="auto" w:fill="B5C7EA"/>
            <w:noWrap w:val="0"/>
            <w:vAlign w:val="center"/>
          </w:tcPr>
          <w:p>
            <w:pPr>
              <w:widowControl w:val="0"/>
              <w:spacing w:after="0" w:line="240" w:lineRule="auto"/>
              <w:jc w:val="center"/>
              <w:rPr>
                <w:rFonts w:hint="eastAsia" w:ascii="Calibri" w:hAnsi="Calibri" w:eastAsia="宋体" w:cs="Times New Roman"/>
                <w:b/>
                <w:bCs/>
                <w:color w:val="000000"/>
                <w:kern w:val="2"/>
                <w:sz w:val="21"/>
                <w:szCs w:val="21"/>
                <w:highlight w:val="none"/>
                <w:lang w:eastAsia="zh-CN"/>
              </w:rPr>
            </w:pPr>
            <w:r>
              <w:rPr>
                <w:rFonts w:ascii="Calibri" w:hAnsi="Calibri" w:eastAsia="宋体" w:cs="Times New Roman"/>
                <w:b/>
                <w:bCs/>
                <w:color w:val="000000"/>
                <w:kern w:val="2"/>
                <w:sz w:val="21"/>
                <w:szCs w:val="21"/>
                <w:highlight w:val="none"/>
                <w:lang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315"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本项目所含全部货物通用要求</w:t>
            </w:r>
          </w:p>
        </w:tc>
        <w:tc>
          <w:tcPr>
            <w:tcW w:w="6526" w:type="dxa"/>
            <w:noWrap w:val="0"/>
            <w:vAlign w:val="top"/>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供应商所供货物，每项目的货物如果包含有相关材质的，必须满足以下技术标准，如货物中涉及多种材质，其中一项材质未满足的，视作所供货物产品质量不合格：</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1.木货物通用技术条件（GB/T 3324-2017）；</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2.金属货物通用技术条件（GB/T 3325-2017）；</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3.塑料货物通用技术条件（GB/T 32487-2016）；</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4.玻璃货物通用技术条件（GB/T 32446-2015）；</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5.环境标志产品技术要求货物（HJ 2547-2016）；</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6.货物中有害物质限量（GB 18584-2024)；</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7.低挥发性有机物含量涂料技术规范（GB/T 38608-2020)；</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8.供应商所供的货物不得使用密度板（含隔板等非主要框架结构，此处密度板是指成分是粉+胶类的板材），采购人随机打孔货物，一经发现使用密度板材制作的货物，视作未按规定提供货物。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315" w:type="dxa"/>
            <w:noWrap w:val="0"/>
            <w:vAlign w:val="center"/>
          </w:tcPr>
          <w:p>
            <w:pPr>
              <w:keepNext w:val="0"/>
              <w:keepLines w:val="0"/>
              <w:widowControl/>
              <w:suppressLineNumbers w:val="0"/>
              <w:spacing w:after="0"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办公桌</w:t>
            </w:r>
          </w:p>
        </w:tc>
        <w:tc>
          <w:tcPr>
            <w:tcW w:w="6526" w:type="dxa"/>
            <w:noWrap w:val="0"/>
            <w:vAlign w:val="top"/>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1.规格：≥（长1200mm*宽600mm*高750mm）；</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主体材料采用实木或人造板材，如使用人工板材，板材应达到E0级环保材料以上（禁用密度板，含隔板），板材厚度不小于20mm，成品无毛刺、无裂纹，接缝自然，无明显缺口和缝隙；内装塞角，连接加固。面板直边，台面漆膜理化性能达到国标要求。各连接件间不允许有裂缝、脱层连接平滑，工程塑料件牢固光滑；</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3.环保排放要求</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（1）板材甲醛释放量≤0.05mg/m3；</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（2）总挥发性有机化合物（TVOC）释放率≤0.5mg/m2·h；</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4.链接件使用优质五金件，五金件经过防腐防锈处理；</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5.具体颜色和样式，中标后由采购人和供应商共同确定。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315" w:type="dxa"/>
            <w:noWrap w:val="0"/>
            <w:vAlign w:val="center"/>
          </w:tcPr>
          <w:p>
            <w:pPr>
              <w:keepNext w:val="0"/>
              <w:keepLines w:val="0"/>
              <w:widowControl/>
              <w:suppressLineNumbers w:val="0"/>
              <w:spacing w:after="0"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办公椅</w:t>
            </w:r>
          </w:p>
        </w:tc>
        <w:tc>
          <w:tcPr>
            <w:tcW w:w="6526" w:type="dxa"/>
            <w:noWrap w:val="0"/>
            <w:vAlign w:val="top"/>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1.规格：≥（长700mm*宽500mm*高1100mm），有效坐深不低于450mm，净重不低于12kg；</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2.具备升降功能，升降方式为气压升降（4级气压棒），配备防爆钢板，且具备扶手，升降部分核心配件整装不可拆装（升降底座及部分配件均可拆卸）；</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3.办公椅具备后仰功能，可调节后仰角度（后仰调节不小于100度）；</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4.带有扶手，扶手宽度（最窄处）不小于70mm，从坐垫最低点起算，高度不低于350mm；</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主要材质为：椅面与靠背以高弹网布为主（覆盖面积不少于90%）（市场上称之为人体工学椅的样式）；使用优质五金电镀脚架，结实耐用，椅子中涉及使用填充棉的，需要使用密度≥45kg/m3的高回弹海绵，填充舒适，耐磨，久坐不塌陷。支撑结构（即气压棒）为钢制气缸，内部充填惰性气体；滚轮为静音万向轮，触地部分材质为软PU；</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6.具有对应的头部支撑和腰部支撑部分；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7.具体颜色和样式，中标后由采购人和供应商共同确定。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315" w:type="dxa"/>
            <w:noWrap w:val="0"/>
            <w:vAlign w:val="center"/>
          </w:tcPr>
          <w:p>
            <w:pPr>
              <w:keepNext w:val="0"/>
              <w:keepLines w:val="0"/>
              <w:widowControl/>
              <w:suppressLineNumbers w:val="0"/>
              <w:spacing w:after="0"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茶水柜</w:t>
            </w:r>
          </w:p>
        </w:tc>
        <w:tc>
          <w:tcPr>
            <w:tcW w:w="6526" w:type="dxa"/>
            <w:noWrap w:val="0"/>
            <w:vAlign w:val="top"/>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1.规格：≥（长1200mm*宽500mm*高800mm）</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2.茶水柜的材料可为实木或人造板材，板材应达到E0级环保材料以上（禁用密度板，含隔板），饰面贴木皮，封边材质与贴面材质要求相同且无色差，漆面采用环保哑光油漆，具备一定耐磨性和耐腐蚀性。</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3.链接件使用优质五金件，五金件经过防腐防锈处理；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4.具体颜色和样式，中标后由采购人和供应商共同确定。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1315" w:type="dxa"/>
            <w:noWrap w:val="0"/>
            <w:vAlign w:val="center"/>
          </w:tcPr>
          <w:p>
            <w:pPr>
              <w:keepNext w:val="0"/>
              <w:keepLines w:val="0"/>
              <w:widowControl/>
              <w:suppressLineNumbers w:val="0"/>
              <w:spacing w:after="0"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储物墙柜</w:t>
            </w:r>
          </w:p>
        </w:tc>
        <w:tc>
          <w:tcPr>
            <w:tcW w:w="6526" w:type="dxa"/>
            <w:noWrap w:val="0"/>
            <w:vAlign w:val="top"/>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1.参考规格（具体尺寸以现场测量为准）：（参考尺寸：长900mm*宽400mm*高1800mm）；</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柜体材料可采用实木或人造板材，如使用人工板材，板材应达到E0级环保材料以上（禁用密度板，含隔板），板材厚度不小于18mm，成品无毛刺、无裂纹，接缝自然，无缺口和缝隙；内装塞角，连接加固，面板直边，表面抗冲击性不低于3级；</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3.链接件使用优质五金件，五金件经过防腐防锈处理；</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4.柜门采用阻尼缓冲门铰，免拉手设计；</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5.具体颜色和样式，中标后由采购人和供应商共同确定。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1315"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货架</w:t>
            </w:r>
          </w:p>
        </w:tc>
        <w:tc>
          <w:tcPr>
            <w:tcW w:w="6526" w:type="dxa"/>
            <w:noWrap w:val="0"/>
            <w:vAlign w:val="top"/>
          </w:tcPr>
          <w:p>
            <w:pPr>
              <w:keepNext w:val="0"/>
              <w:keepLines w:val="0"/>
              <w:widowControl/>
              <w:suppressLineNumbers w:val="0"/>
              <w:spacing w:after="0" w:line="240" w:lineRule="auto"/>
              <w:jc w:val="both"/>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1.参考规格（具体尺寸以现场测量为准）：（参考尺寸：长2000mm*宽500mm*高2000mm）；</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2.层板承重：≥ 150kg/层（均匀静载荷）；整组承重：≥800kg/个（均匀静载荷）；</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3.主要材质与结构：主体材质采用优质冷轧钢板（Q235或同等及以上强度钢材）。 结构稳固，设计合理。立柱需采用标准孔型设计（如菱形孔、蝴蝶孔等），便于层高调节。横梁与立柱连接需稳固可靠。层板可为钢板冲孔式、钢板折弯加强式或钢木结合式（若为钢木结合，木质部分需符合环保要求E1级或以上）。若为钢制层板，需有加强筋或折边设计，确保承重不变形；</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4.所有金属部件（立柱、横梁、层板、连接件等）必须经过严格的除油、除锈、磷化等前处理工艺。采用环保静电粉末喷涂工艺，涂层均匀、色泽一致、光滑平整，无明显流挂、橘皮、漏喷、杂质等缺陷；</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工艺与质量要求：所有部件边缘需进行卷边或倒角处理，无锐利毛刺，确保使用安全。焊接部位需牢固、均匀、平滑，无虚焊、漏焊、焊穿、焊瘤等缺陷。冲压件无裂纹、变形。组装后货架整体稳固，无明显摇晃。横梁与立柱挂接紧密，层板放置平稳，无翘曲变形风险。调节孔位精确，层高调节顺畅、灵活、稳固；</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6.配件与连接件：所有连接紧固件（螺栓、螺母、卡扣、安全销等）必须为优质五金件，强度符合承重要求。连接件需经过防腐防锈处理需配备必要的层板托（挂）片、安全销（防脱落销） 等，确保使用安全可靠。安全销需为防脱设计；</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7.具体颜色和样式，中标后由采购人和供应商共同确定。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1315"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文件柜</w:t>
            </w:r>
          </w:p>
        </w:tc>
        <w:tc>
          <w:tcPr>
            <w:tcW w:w="6526" w:type="dxa"/>
            <w:noWrap w:val="0"/>
            <w:vAlign w:val="top"/>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1..规格：≥（长850mm*宽390mm*高1800mm）；</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2.上层柜门带玻璃，下层柜门需支持门锁；</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3.柜体内隔板可以调节高度，（预打孔，后期可随需要调整高度）；</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4.主体材质采用优质冷轧钢板。 结构稳固，设计合理；</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5.具体颜色和样式，中标后由采购人和供应商共同确定。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1315" w:type="dxa"/>
            <w:noWrap w:val="0"/>
            <w:vAlign w:val="center"/>
          </w:tcPr>
          <w:p>
            <w:pPr>
              <w:keepNext w:val="0"/>
              <w:keepLines w:val="0"/>
              <w:widowControl/>
              <w:suppressLineNumbers w:val="0"/>
              <w:spacing w:after="0"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药品架</w:t>
            </w:r>
          </w:p>
        </w:tc>
        <w:tc>
          <w:tcPr>
            <w:tcW w:w="6526" w:type="dxa"/>
            <w:noWrap w:val="0"/>
            <w:vAlign w:val="top"/>
          </w:tcPr>
          <w:p>
            <w:pPr>
              <w:keepNext w:val="0"/>
              <w:keepLines w:val="0"/>
              <w:widowControl/>
              <w:suppressLineNumbers w:val="0"/>
              <w:spacing w:after="0" w:line="240" w:lineRule="auto"/>
              <w:jc w:val="both"/>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1.产品尺寸：≥（长1200mm*宽450mm*高2000mm）、层板厚度≥0.5mm；</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2.主体采用优质加厚冷轧钢材，表面光滑、平整、不易损伤，结构稳固。拆装电阻焊接工艺，焊点平整，无外露，结构稳固，承重、承压性好；所有部件均经打磨，砂光处理。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3.两侧带挡板设计，药架层板间距可调节；</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4.具体颜色和样式，中标后由采购人和供应商共同确定。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1315" w:type="dxa"/>
            <w:noWrap w:val="0"/>
            <w:vAlign w:val="center"/>
          </w:tcPr>
          <w:p>
            <w:pPr>
              <w:keepNext w:val="0"/>
              <w:keepLines w:val="0"/>
              <w:widowControl/>
              <w:suppressLineNumbers w:val="0"/>
              <w:spacing w:after="0"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配药台</w:t>
            </w:r>
          </w:p>
        </w:tc>
        <w:tc>
          <w:tcPr>
            <w:tcW w:w="6526" w:type="dxa"/>
            <w:noWrap w:val="0"/>
            <w:vAlign w:val="top"/>
          </w:tcPr>
          <w:p>
            <w:pPr>
              <w:keepNext w:val="0"/>
              <w:keepLines w:val="0"/>
              <w:widowControl/>
              <w:suppressLineNumbers w:val="0"/>
              <w:spacing w:after="0" w:line="240" w:lineRule="auto"/>
              <w:jc w:val="both"/>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1.产品尺寸：≥（长1500mm*宽500mm*高1800mm）、层板厚度≥0.5mm；</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主体采用优质钢材，表面光滑、平整、不易损伤，结构稳固。表面经过除油、除锈、陶化等防锈处理，外观平整，无波纹、流痕、起泡、针孔折痕、污点、露底、剥落、伤痕等可见性缺陷，耐腐蚀、耐冲击性能高；</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3.上半部分带多层隔板，隔板可调节高度。下半部分为抽屉加拉手收纳柜设计，抽屉与柜门带锁具功能；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4.具体颜色和样式，中标后由采购人和供应商共同确定。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1315" w:type="dxa"/>
            <w:noWrap w:val="0"/>
            <w:vAlign w:val="center"/>
          </w:tcPr>
          <w:p>
            <w:pPr>
              <w:keepNext w:val="0"/>
              <w:keepLines w:val="0"/>
              <w:widowControl/>
              <w:suppressLineNumbers w:val="0"/>
              <w:spacing w:after="0"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摆药台</w:t>
            </w:r>
          </w:p>
        </w:tc>
        <w:tc>
          <w:tcPr>
            <w:tcW w:w="6526" w:type="dxa"/>
            <w:noWrap w:val="0"/>
            <w:vAlign w:val="top"/>
          </w:tcPr>
          <w:p>
            <w:pPr>
              <w:keepNext w:val="0"/>
              <w:keepLines w:val="0"/>
              <w:widowControl/>
              <w:suppressLineNumbers w:val="0"/>
              <w:spacing w:after="0" w:line="240" w:lineRule="auto"/>
              <w:jc w:val="both"/>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1.产品尺寸：≥（长800mm*宽500mm*高900mm）、层板厚度≥0.5mm；</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2.设计为抽屉加拉手收纳柜，抽屉与柜门带锁具功能；</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主体采用优质钢材，表面光滑、平整、不易损伤，结构稳固。表面经过除油、除锈、陶化等防锈处理，外观平整，无波纹、流痕、起泡、针孔折痕、污点、露底、剥落、伤痕等可见性缺陷，耐腐蚀、耐冲击性能高；</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4.操作台采用304不锈钢，外接触边缘采用弧形防割伤设计；</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5.具体颜色和样式，中标后由采购人和供应商共同确定。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w:t>
            </w:r>
          </w:p>
        </w:tc>
        <w:tc>
          <w:tcPr>
            <w:tcW w:w="1315" w:type="dxa"/>
            <w:noWrap w:val="0"/>
            <w:vAlign w:val="center"/>
          </w:tcPr>
          <w:p>
            <w:pPr>
              <w:keepNext w:val="0"/>
              <w:keepLines w:val="0"/>
              <w:widowControl/>
              <w:suppressLineNumbers w:val="0"/>
              <w:spacing w:after="0"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检查床</w:t>
            </w:r>
          </w:p>
        </w:tc>
        <w:tc>
          <w:tcPr>
            <w:tcW w:w="6526" w:type="dxa"/>
            <w:noWrap w:val="0"/>
            <w:vAlign w:val="top"/>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1.产品尺寸：≥（长1900mm*宽600mm*高600mm），承重≥200kg；</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2.床垫采用优质软包高密度海绵，皮料颜色可选；</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主体采用优质钢材，表面光滑、平整、不易损伤，结构稳固。所有部件均经打磨，砂光处理。表面经过除油、除锈、陶化等防锈处理，外观平整，无波纹、流痕、起泡、针孔折痕、污点、露底、剥落、伤痕等可见性缺陷，耐腐蚀、耐冲击性能高；</w:t>
            </w:r>
          </w:p>
          <w:p>
            <w:pPr>
              <w:keepNext w:val="0"/>
              <w:keepLines w:val="0"/>
              <w:widowControl/>
              <w:suppressLineNumbers w:val="0"/>
              <w:spacing w:after="0" w:line="240" w:lineRule="auto"/>
              <w:jc w:val="both"/>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4.具体颜色和样式，中标后由采购人和供应商共同确定。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681" w:type="dxa"/>
            <w:noWrap w:val="0"/>
            <w:vAlign w:val="center"/>
          </w:tcPr>
          <w:p>
            <w:pPr>
              <w:keepNext w:val="0"/>
              <w:keepLines w:val="0"/>
              <w:widowControl/>
              <w:suppressLineNumbers w:val="0"/>
              <w:spacing w:after="0" w:line="240" w:lineRule="auto"/>
              <w:jc w:val="center"/>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w:t>
            </w:r>
          </w:p>
        </w:tc>
        <w:tc>
          <w:tcPr>
            <w:tcW w:w="1315" w:type="dxa"/>
            <w:noWrap w:val="0"/>
            <w:vAlign w:val="center"/>
          </w:tcPr>
          <w:p>
            <w:pPr>
              <w:keepNext w:val="0"/>
              <w:keepLines w:val="0"/>
              <w:widowControl/>
              <w:suppressLineNumbers w:val="0"/>
              <w:spacing w:after="0"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抢救床</w:t>
            </w:r>
          </w:p>
        </w:tc>
        <w:tc>
          <w:tcPr>
            <w:tcW w:w="6526" w:type="dxa"/>
            <w:noWrap w:val="0"/>
            <w:vAlign w:val="top"/>
          </w:tcPr>
          <w:p>
            <w:pPr>
              <w:keepNext w:val="0"/>
              <w:keepLines w:val="0"/>
              <w:widowControl/>
              <w:suppressLineNumbers w:val="0"/>
              <w:spacing w:after="0" w:line="240" w:lineRule="auto"/>
              <w:jc w:val="both"/>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1.产品尺寸：≥（长1900mm*宽900mm*高450mm）；</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2.主体材质采用优质加厚冷轧钢材，结构稳固，设计合理；</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3.带起背、抬落脚、整体翻身、输液支架、防护、助便孔、移动、洗头洗脚等功能。最大起背角度≥80度；最小曲腿角度≤-50度，最大曲腿角度≥20度；最大翻身角度≥50度；</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4.摇柄可折叠设计防磕碰，带可刹车万向轮，护栏可折叠设计，床头床尾圆角设计防磕碰，床头可拆卸；</w:t>
            </w:r>
          </w:p>
          <w:p>
            <w:pPr>
              <w:keepNext w:val="0"/>
              <w:keepLines w:val="0"/>
              <w:widowControl/>
              <w:suppressLineNumbers w:val="0"/>
              <w:spacing w:after="0" w:line="240" w:lineRule="auto"/>
              <w:jc w:val="both"/>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5.带软质床垫，至少提供三种颜色样式供采购人自行选择；</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6.具体颜色和样式，中标后由采购人和供应商共同确定。</w:t>
            </w:r>
          </w:p>
        </w:tc>
      </w:tr>
    </w:tbl>
    <w:p>
      <w:pPr>
        <w:jc w:val="center"/>
        <w:rPr>
          <w:rFonts w:hint="eastAsia" w:ascii="黑体" w:hAnsi="宋体" w:eastAsia="黑体"/>
          <w:sz w:val="32"/>
          <w:szCs w:val="32"/>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tbl>
      <w:tblPr>
        <w:tblStyle w:val="21"/>
        <w:tblW w:w="8506" w:type="dxa"/>
        <w:tblInd w:w="-152" w:type="dxa"/>
        <w:tblLayout w:type="autofit"/>
        <w:tblCellMar>
          <w:top w:w="0" w:type="dxa"/>
          <w:left w:w="108" w:type="dxa"/>
          <w:bottom w:w="0" w:type="dxa"/>
          <w:right w:w="108" w:type="dxa"/>
        </w:tblCellMar>
      </w:tblPr>
      <w:tblGrid>
        <w:gridCol w:w="851"/>
        <w:gridCol w:w="1788"/>
        <w:gridCol w:w="5867"/>
      </w:tblGrid>
      <w:tr>
        <w:tblPrEx>
          <w:tblCellMar>
            <w:top w:w="0" w:type="dxa"/>
            <w:left w:w="108" w:type="dxa"/>
            <w:bottom w:w="0" w:type="dxa"/>
            <w:right w:w="108"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C7D9F1"/>
            <w:noWrap w:val="0"/>
            <w:vAlign w:val="center"/>
          </w:tcPr>
          <w:p>
            <w:pPr>
              <w:widowControl/>
              <w:spacing w:after="160" w:line="278" w:lineRule="auto"/>
              <w:jc w:val="center"/>
              <w:rPr>
                <w:rFonts w:hint="eastAsia" w:ascii="宋体" w:hAnsi="宋体" w:eastAsia="宋体" w:cs="Times New Roman"/>
                <w:b/>
                <w:bCs/>
                <w:snapToGrid w:val="0"/>
                <w:color w:val="000000"/>
                <w:kern w:val="0"/>
                <w:sz w:val="21"/>
                <w:szCs w:val="21"/>
                <w:lang w:eastAsia="zh-CN"/>
              </w:rPr>
            </w:pPr>
            <w:r>
              <w:rPr>
                <w:rFonts w:hint="eastAsia" w:ascii="Times New Roman" w:hAnsi="Times New Roman" w:eastAsia="宋体" w:cs="Times New Roman"/>
                <w:b/>
                <w:kern w:val="2"/>
                <w:sz w:val="21"/>
                <w:szCs w:val="24"/>
                <w:lang w:eastAsia="zh-CN"/>
              </w:rPr>
              <w:t>序号</w:t>
            </w:r>
          </w:p>
        </w:tc>
        <w:tc>
          <w:tcPr>
            <w:tcW w:w="1788" w:type="dxa"/>
            <w:tcBorders>
              <w:top w:val="single" w:color="000000" w:sz="8" w:space="0"/>
              <w:left w:val="nil"/>
              <w:bottom w:val="single" w:color="000000" w:sz="8" w:space="0"/>
              <w:right w:val="single" w:color="000000" w:sz="8" w:space="0"/>
            </w:tcBorders>
            <w:shd w:val="clear" w:color="auto" w:fill="C7D9F1"/>
            <w:noWrap w:val="0"/>
            <w:vAlign w:val="center"/>
          </w:tcPr>
          <w:p>
            <w:pPr>
              <w:widowControl/>
              <w:spacing w:after="160" w:line="278" w:lineRule="auto"/>
              <w:jc w:val="center"/>
              <w:rPr>
                <w:rFonts w:hint="eastAsia" w:ascii="宋体" w:hAnsi="宋体" w:eastAsia="宋体" w:cs="Times New Roman"/>
                <w:b/>
                <w:bCs/>
                <w:snapToGrid w:val="0"/>
                <w:color w:val="000000"/>
                <w:kern w:val="0"/>
                <w:sz w:val="21"/>
                <w:szCs w:val="21"/>
                <w:lang w:eastAsia="zh-CN"/>
              </w:rPr>
            </w:pPr>
            <w:r>
              <w:rPr>
                <w:rFonts w:hint="eastAsia" w:ascii="Times New Roman" w:hAnsi="Times New Roman" w:eastAsia="宋体" w:cs="Times New Roman"/>
                <w:b/>
                <w:kern w:val="2"/>
                <w:sz w:val="21"/>
                <w:szCs w:val="24"/>
                <w:lang w:eastAsia="zh-CN"/>
              </w:rPr>
              <w:t>商务需求项</w:t>
            </w:r>
          </w:p>
        </w:tc>
        <w:tc>
          <w:tcPr>
            <w:tcW w:w="5867" w:type="dxa"/>
            <w:tcBorders>
              <w:top w:val="single" w:color="000000" w:sz="8" w:space="0"/>
              <w:left w:val="nil"/>
              <w:bottom w:val="single" w:color="000000" w:sz="8" w:space="0"/>
              <w:right w:val="single" w:color="000000" w:sz="8" w:space="0"/>
            </w:tcBorders>
            <w:shd w:val="clear" w:color="auto" w:fill="C7D9F1"/>
            <w:noWrap w:val="0"/>
            <w:vAlign w:val="center"/>
          </w:tcPr>
          <w:p>
            <w:pPr>
              <w:widowControl/>
              <w:spacing w:after="160" w:line="278" w:lineRule="auto"/>
              <w:jc w:val="center"/>
              <w:rPr>
                <w:rFonts w:hint="eastAsia" w:ascii="宋体" w:hAnsi="宋体" w:eastAsia="宋体" w:cs="Times New Roman"/>
                <w:b/>
                <w:bCs/>
                <w:snapToGrid w:val="0"/>
                <w:color w:val="000000"/>
                <w:kern w:val="0"/>
                <w:sz w:val="21"/>
                <w:szCs w:val="21"/>
                <w:lang w:eastAsia="zh-CN"/>
              </w:rPr>
            </w:pPr>
            <w:r>
              <w:rPr>
                <w:rFonts w:hint="eastAsia" w:ascii="Times New Roman" w:hAnsi="Times New Roman" w:eastAsia="宋体" w:cs="Times New Roman"/>
                <w:b/>
                <w:kern w:val="2"/>
                <w:sz w:val="21"/>
                <w:szCs w:val="24"/>
                <w:lang w:eastAsia="zh-CN"/>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6" w:type="dxa"/>
            <w:gridSpan w:val="3"/>
            <w:noWrap w:val="0"/>
            <w:vAlign w:val="top"/>
          </w:tcPr>
          <w:p>
            <w:pPr>
              <w:widowControl w:val="0"/>
              <w:spacing w:after="160" w:line="278" w:lineRule="auto"/>
              <w:jc w:val="both"/>
              <w:rPr>
                <w:rFonts w:ascii="Times New Roman" w:hAnsi="Times New Roman" w:eastAsia="宋体" w:cs="Times New Roman"/>
                <w:b/>
                <w:kern w:val="2"/>
                <w:sz w:val="21"/>
                <w:szCs w:val="24"/>
                <w:lang w:eastAsia="zh-CN"/>
              </w:rPr>
            </w:pPr>
            <w:r>
              <w:rPr>
                <w:rFonts w:hint="eastAsia" w:ascii="Times New Roman" w:hAnsi="Times New Roman" w:eastAsia="宋体" w:cs="Times New Roman"/>
                <w:b/>
                <w:kern w:val="2"/>
                <w:sz w:val="21"/>
                <w:szCs w:val="24"/>
                <w:lang w:eastAsia="zh-CN"/>
              </w:rPr>
              <w:t>（一）免费保修期内售后服务要求</w:t>
            </w: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highlight w:val="yellow"/>
                <w:lang w:val="en-US" w:eastAsia="zh-CN"/>
              </w:rPr>
              <w:t>本项第1、2、4小点</w:t>
            </w:r>
            <w:r>
              <w:rPr>
                <w:rFonts w:hint="eastAsia" w:ascii="宋体" w:hAnsi="宋体" w:eastAsia="宋体" w:cs="宋体"/>
                <w:b/>
                <w:bCs/>
                <w:kern w:val="2"/>
                <w:sz w:val="21"/>
                <w:szCs w:val="21"/>
                <w:highlight w:val="yellow"/>
                <w:lang w:eastAsia="zh-CN"/>
              </w:rPr>
              <w:t>需</w:t>
            </w:r>
            <w:r>
              <w:rPr>
                <w:rFonts w:hint="eastAsia" w:ascii="宋体" w:hAnsi="宋体" w:eastAsia="宋体" w:cs="宋体"/>
                <w:b/>
                <w:bCs/>
                <w:kern w:val="2"/>
                <w:sz w:val="21"/>
                <w:szCs w:val="21"/>
                <w:highlight w:val="yellow"/>
                <w:lang w:val="en-US" w:eastAsia="zh-CN"/>
              </w:rPr>
              <w:t>投标供应商</w:t>
            </w:r>
            <w:r>
              <w:rPr>
                <w:rFonts w:hint="eastAsia" w:ascii="宋体" w:hAnsi="宋体" w:eastAsia="宋体" w:cs="宋体"/>
                <w:b/>
                <w:bCs/>
                <w:kern w:val="2"/>
                <w:sz w:val="21"/>
                <w:szCs w:val="21"/>
                <w:highlight w:val="yellow"/>
                <w:lang w:eastAsia="zh-CN"/>
              </w:rPr>
              <w:t>提供承诺函，</w:t>
            </w:r>
            <w:r>
              <w:rPr>
                <w:rFonts w:hint="eastAsia" w:ascii="宋体" w:hAnsi="宋体" w:eastAsia="宋体" w:cs="宋体"/>
                <w:b/>
                <w:bCs/>
                <w:kern w:val="2"/>
                <w:sz w:val="21"/>
                <w:szCs w:val="21"/>
                <w:highlight w:val="yellow"/>
                <w:lang w:val="en-US" w:eastAsia="zh-CN"/>
              </w:rPr>
              <w:t>格式自拟并加盖公章</w:t>
            </w:r>
            <w:r>
              <w:rPr>
                <w:rFonts w:hint="eastAsia" w:ascii="宋体" w:hAnsi="宋体" w:eastAsia="宋体" w:cs="宋体"/>
                <w:b/>
                <w:bCs/>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51" w:type="dxa"/>
            <w:noWrap w:val="0"/>
            <w:vAlign w:val="center"/>
          </w:tcPr>
          <w:p>
            <w:pPr>
              <w:widowControl w:val="0"/>
              <w:spacing w:after="0" w:line="240" w:lineRule="auto"/>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1</w:t>
            </w:r>
          </w:p>
        </w:tc>
        <w:tc>
          <w:tcPr>
            <w:tcW w:w="1788" w:type="dxa"/>
            <w:noWrap w:val="0"/>
            <w:vAlign w:val="center"/>
          </w:tcPr>
          <w:p>
            <w:pPr>
              <w:widowControl w:val="0"/>
              <w:spacing w:after="0" w:line="240" w:lineRule="auto"/>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维修响应及故障解决时间</w:t>
            </w:r>
          </w:p>
        </w:tc>
        <w:tc>
          <w:tcPr>
            <w:tcW w:w="5867" w:type="dxa"/>
            <w:noWrap w:val="0"/>
            <w:vAlign w:val="top"/>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在免费保修期内，一旦发生质量问题，中标人保证在接到通知</w:t>
            </w:r>
            <w:r>
              <w:rPr>
                <w:rFonts w:hint="eastAsia" w:ascii="宋体" w:hAnsi="宋体" w:eastAsia="宋体" w:cs="宋体"/>
                <w:color w:val="000000"/>
                <w:kern w:val="0"/>
                <w:sz w:val="21"/>
                <w:szCs w:val="21"/>
                <w:lang w:val="en-US" w:eastAsia="zh-CN" w:bidi="ar"/>
              </w:rPr>
              <w:t>24</w:t>
            </w:r>
            <w:r>
              <w:rPr>
                <w:rFonts w:hint="eastAsia" w:ascii="宋体" w:hAnsi="宋体" w:eastAsia="宋体" w:cs="宋体"/>
                <w:color w:val="000000"/>
                <w:kern w:val="0"/>
                <w:sz w:val="21"/>
                <w:szCs w:val="21"/>
                <w:lang w:eastAsia="zh-CN" w:bidi="ar"/>
              </w:rPr>
              <w:t>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1" w:type="dxa"/>
            <w:noWrap w:val="0"/>
            <w:vAlign w:val="center"/>
          </w:tcPr>
          <w:p>
            <w:pPr>
              <w:widowControl w:val="0"/>
              <w:spacing w:after="0" w:line="240" w:lineRule="auto"/>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2</w:t>
            </w:r>
          </w:p>
        </w:tc>
        <w:tc>
          <w:tcPr>
            <w:tcW w:w="1788" w:type="dxa"/>
            <w:noWrap w:val="0"/>
            <w:vAlign w:val="center"/>
          </w:tcPr>
          <w:p>
            <w:pPr>
              <w:widowControl w:val="0"/>
              <w:spacing w:after="0" w:line="240" w:lineRule="auto"/>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免费保修期</w:t>
            </w:r>
          </w:p>
        </w:tc>
        <w:tc>
          <w:tcPr>
            <w:tcW w:w="5867" w:type="dxa"/>
            <w:noWrap w:val="0"/>
            <w:vAlign w:val="top"/>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1.货物免费保修期</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eastAsia="zh-CN" w:bidi="ar"/>
              </w:rPr>
              <w:t>年，时间自最终验收合格并交付使用之日起计算。</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2.免费保修期内，所有服务及配件全部免费。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noWrap w:val="0"/>
            <w:vAlign w:val="center"/>
          </w:tcPr>
          <w:p>
            <w:pPr>
              <w:widowControl w:val="0"/>
              <w:spacing w:after="0" w:line="240" w:lineRule="auto"/>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3</w:t>
            </w:r>
          </w:p>
        </w:tc>
        <w:tc>
          <w:tcPr>
            <w:tcW w:w="1788" w:type="dxa"/>
            <w:noWrap w:val="0"/>
            <w:vAlign w:val="center"/>
          </w:tcPr>
          <w:p>
            <w:pPr>
              <w:widowControl w:val="0"/>
              <w:spacing w:after="0" w:line="240" w:lineRule="auto"/>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技术文件</w:t>
            </w:r>
          </w:p>
        </w:tc>
        <w:tc>
          <w:tcPr>
            <w:tcW w:w="5867" w:type="dxa"/>
            <w:noWrap w:val="0"/>
            <w:vAlign w:val="center"/>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供应商应提供全套、完整的</w:t>
            </w:r>
            <w:r>
              <w:rPr>
                <w:rFonts w:hint="eastAsia" w:ascii="宋体" w:hAnsi="宋体" w:eastAsia="宋体" w:cs="宋体"/>
                <w:color w:val="000000"/>
                <w:kern w:val="0"/>
                <w:sz w:val="21"/>
                <w:szCs w:val="21"/>
                <w:lang w:val="en-US" w:eastAsia="zh-CN" w:bidi="ar"/>
              </w:rPr>
              <w:t>货物</w:t>
            </w:r>
            <w:r>
              <w:rPr>
                <w:rFonts w:hint="eastAsia" w:ascii="宋体" w:hAnsi="宋体" w:eastAsia="宋体" w:cs="宋体"/>
                <w:color w:val="000000"/>
                <w:kern w:val="0"/>
                <w:sz w:val="21"/>
                <w:szCs w:val="21"/>
                <w:lang w:eastAsia="zh-CN" w:bidi="ar"/>
              </w:rPr>
              <w:t>使用书面资料，包括说明书、操作手册、简单维修说明、图纸和环保检测文件等。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1" w:type="dxa"/>
            <w:noWrap w:val="0"/>
            <w:vAlign w:val="center"/>
          </w:tcPr>
          <w:p>
            <w:pPr>
              <w:widowControl w:val="0"/>
              <w:spacing w:after="0" w:line="240" w:lineRule="auto"/>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4</w:t>
            </w:r>
          </w:p>
        </w:tc>
        <w:tc>
          <w:tcPr>
            <w:tcW w:w="1788" w:type="dxa"/>
            <w:noWrap w:val="0"/>
            <w:vAlign w:val="center"/>
          </w:tcPr>
          <w:p>
            <w:pPr>
              <w:widowControl w:val="0"/>
              <w:spacing w:after="0" w:line="240" w:lineRule="auto"/>
              <w:jc w:val="center"/>
              <w:rPr>
                <w:rFonts w:hint="eastAsia" w:ascii="Calibri" w:hAnsi="Calibri" w:eastAsia="宋体" w:cs="Times New Roman"/>
                <w:bCs/>
                <w:kern w:val="2"/>
                <w:sz w:val="21"/>
                <w:szCs w:val="21"/>
                <w:lang w:val="en-US" w:eastAsia="zh-CN"/>
              </w:rPr>
            </w:pPr>
            <w:r>
              <w:rPr>
                <w:rFonts w:hint="eastAsia" w:ascii="Calibri" w:hAnsi="Calibri" w:eastAsia="宋体" w:cs="Times New Roman"/>
                <w:bCs/>
                <w:kern w:val="2"/>
                <w:sz w:val="21"/>
                <w:szCs w:val="21"/>
                <w:lang w:val="en-US" w:eastAsia="zh-CN"/>
              </w:rPr>
              <w:t>安装调试</w:t>
            </w:r>
          </w:p>
        </w:tc>
        <w:tc>
          <w:tcPr>
            <w:tcW w:w="5867" w:type="dxa"/>
            <w:noWrap w:val="0"/>
            <w:vAlign w:val="center"/>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1.投标人须合理测算搬运成本、运输成本及安装成本计入报价，不得后期再以任何理由或方式转嫁采购人承担。</w:t>
            </w:r>
          </w:p>
          <w:p>
            <w:pPr>
              <w:keepNext w:val="0"/>
              <w:keepLines w:val="0"/>
              <w:widowControl/>
              <w:suppressLineNumbers w:val="0"/>
              <w:spacing w:after="0" w:line="240" w:lineRule="auto"/>
              <w:jc w:val="both"/>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本项目要求在</w:t>
            </w:r>
            <w:r>
              <w:rPr>
                <w:rFonts w:hint="eastAsia" w:ascii="宋体" w:hAnsi="宋体" w:eastAsia="宋体" w:cs="宋体"/>
                <w:color w:val="000000"/>
                <w:kern w:val="0"/>
                <w:sz w:val="21"/>
                <w:szCs w:val="21"/>
                <w:lang w:val="en-US" w:eastAsia="zh-CN" w:bidi="ar"/>
              </w:rPr>
              <w:t>合同签订之日</w:t>
            </w:r>
            <w:r>
              <w:rPr>
                <w:rFonts w:hint="eastAsia" w:ascii="宋体" w:hAnsi="宋体" w:eastAsia="宋体" w:cs="宋体"/>
                <w:color w:val="000000"/>
                <w:kern w:val="0"/>
                <w:sz w:val="21"/>
                <w:szCs w:val="21"/>
                <w:lang w:eastAsia="zh-CN" w:bidi="ar"/>
              </w:rPr>
              <w:t xml:space="preserve">起 </w:t>
            </w:r>
            <w:r>
              <w:rPr>
                <w:rFonts w:hint="eastAsia" w:ascii="宋体" w:hAnsi="宋体" w:eastAsia="宋体" w:cs="宋体"/>
                <w:color w:val="000000"/>
                <w:kern w:val="0"/>
                <w:sz w:val="21"/>
                <w:szCs w:val="21"/>
                <w:lang w:val="en-US" w:eastAsia="zh-CN" w:bidi="ar"/>
              </w:rPr>
              <w:t>20</w:t>
            </w:r>
            <w:r>
              <w:rPr>
                <w:rFonts w:hint="eastAsia" w:ascii="宋体" w:hAnsi="宋体" w:eastAsia="宋体" w:cs="宋体"/>
                <w:color w:val="000000"/>
                <w:kern w:val="0"/>
                <w:sz w:val="21"/>
                <w:szCs w:val="21"/>
                <w:lang w:eastAsia="zh-CN" w:bidi="ar"/>
              </w:rPr>
              <w:t>个日历日内完工。</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3.供货商负责安装、调试全部服务内容，包含垃圾清运离场，并根据采购人指定要求搬抬至指定的地点。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6" w:type="dxa"/>
            <w:gridSpan w:val="3"/>
            <w:noWrap w:val="0"/>
            <w:vAlign w:val="center"/>
          </w:tcPr>
          <w:p>
            <w:pPr>
              <w:widowControl w:val="0"/>
              <w:spacing w:after="160" w:line="278" w:lineRule="auto"/>
              <w:jc w:val="both"/>
              <w:rPr>
                <w:rFonts w:hint="eastAsia" w:ascii="宋体" w:hAnsi="宋体" w:eastAsia="宋体" w:cs="Times New Roman"/>
                <w:b/>
                <w:kern w:val="2"/>
                <w:sz w:val="21"/>
                <w:szCs w:val="24"/>
                <w:lang w:eastAsia="zh-CN"/>
              </w:rPr>
            </w:pPr>
            <w:r>
              <w:rPr>
                <w:rFonts w:hint="eastAsia" w:ascii="宋体" w:hAnsi="宋体" w:eastAsia="宋体" w:cs="Times New Roman"/>
                <w:b/>
                <w:kern w:val="2"/>
                <w:sz w:val="21"/>
                <w:szCs w:val="24"/>
                <w:lang w:eastAsia="zh-CN"/>
              </w:rPr>
              <w:t>（二）免费保修期外售后服务要求</w:t>
            </w:r>
            <w:r>
              <w:rPr>
                <w:rFonts w:hint="eastAsia" w:ascii="宋体" w:hAnsi="宋体" w:eastAsia="宋体" w:cs="Times New Roman"/>
                <w:b/>
                <w:kern w:val="2"/>
                <w:sz w:val="21"/>
                <w:szCs w:val="24"/>
                <w:highlight w:val="yellow"/>
                <w:lang w:eastAsia="zh-CN"/>
              </w:rPr>
              <w:t>（</w:t>
            </w:r>
            <w:r>
              <w:rPr>
                <w:rFonts w:hint="eastAsia" w:ascii="宋体" w:hAnsi="宋体" w:eastAsia="宋体" w:cs="Times New Roman"/>
                <w:b/>
                <w:kern w:val="2"/>
                <w:sz w:val="21"/>
                <w:szCs w:val="24"/>
                <w:highlight w:val="yellow"/>
                <w:lang w:val="en-US" w:eastAsia="zh-CN"/>
              </w:rPr>
              <w:t>本项需由投标供应商</w:t>
            </w:r>
            <w:r>
              <w:rPr>
                <w:rFonts w:hint="eastAsia" w:ascii="宋体" w:hAnsi="宋体" w:eastAsia="宋体" w:cs="Times New Roman"/>
                <w:b/>
                <w:kern w:val="2"/>
                <w:sz w:val="21"/>
                <w:szCs w:val="24"/>
                <w:highlight w:val="yellow"/>
                <w:lang w:eastAsia="zh-CN"/>
              </w:rPr>
              <w:t>提供承诺函，</w:t>
            </w:r>
            <w:r>
              <w:rPr>
                <w:rFonts w:hint="eastAsia" w:ascii="宋体" w:hAnsi="宋体" w:eastAsia="宋体" w:cs="Times New Roman"/>
                <w:b/>
                <w:kern w:val="2"/>
                <w:sz w:val="21"/>
                <w:szCs w:val="24"/>
                <w:highlight w:val="yellow"/>
                <w:lang w:val="en-US" w:eastAsia="zh-CN"/>
              </w:rPr>
              <w:t>格式自拟并加盖公章</w:t>
            </w:r>
            <w:r>
              <w:rPr>
                <w:rFonts w:hint="eastAsia" w:ascii="宋体" w:hAnsi="宋体" w:eastAsia="宋体" w:cs="Times New Roman"/>
                <w:b/>
                <w:kern w:val="2"/>
                <w:sz w:val="21"/>
                <w:szCs w:val="24"/>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851" w:type="dxa"/>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r>
              <w:rPr>
                <w:rFonts w:hint="eastAsia" w:ascii="宋体" w:hAnsi="宋体" w:eastAsia="宋体" w:cs="Times New Roman"/>
                <w:b/>
                <w:kern w:val="2"/>
                <w:sz w:val="20"/>
                <w:szCs w:val="20"/>
                <w:lang w:eastAsia="zh-CN"/>
              </w:rPr>
              <w:t>1</w:t>
            </w:r>
          </w:p>
        </w:tc>
        <w:tc>
          <w:tcPr>
            <w:tcW w:w="1788" w:type="dxa"/>
            <w:noWrap w:val="0"/>
            <w:vAlign w:val="center"/>
          </w:tcPr>
          <w:p>
            <w:pPr>
              <w:widowControl w:val="0"/>
              <w:spacing w:after="160" w:line="278" w:lineRule="auto"/>
              <w:jc w:val="center"/>
              <w:rPr>
                <w:rFonts w:hint="eastAsia" w:ascii="宋体" w:hAnsi="宋体" w:eastAsia="宋体" w:cs="Times New Roman"/>
                <w:b/>
                <w:color w:val="000000"/>
                <w:kern w:val="2"/>
                <w:sz w:val="20"/>
                <w:szCs w:val="20"/>
                <w:lang w:eastAsia="zh-CN"/>
              </w:rPr>
            </w:pPr>
            <w:r>
              <w:rPr>
                <w:rFonts w:hint="eastAsia" w:ascii="宋体" w:hAnsi="宋体" w:eastAsia="宋体" w:cs="宋体"/>
                <w:b/>
                <w:bCs/>
                <w:color w:val="000000"/>
                <w:kern w:val="2"/>
                <w:sz w:val="20"/>
                <w:szCs w:val="20"/>
                <w:lang w:eastAsia="zh-CN"/>
              </w:rPr>
              <w:t>维修零配件、消耗品和延续保修合同的报价</w:t>
            </w:r>
          </w:p>
        </w:tc>
        <w:tc>
          <w:tcPr>
            <w:tcW w:w="5867"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1.由销售的供应商提供售后服务， 6 小时内响应， 24 小时维修到位，并在72小时内消除故障（不可抗力或等待生产厂家寄递配件的情况除外）。消耗品和零配件供应及时，特殊情况下可提供临时备用货物（维修后供应商自行取回备用货物）。</w:t>
            </w:r>
          </w:p>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宋体" w:hAnsi="宋体" w:eastAsia="宋体" w:cs="宋体"/>
                <w:kern w:val="2"/>
                <w:sz w:val="21"/>
                <w:szCs w:val="21"/>
                <w:lang w:eastAsia="zh-CN"/>
              </w:rPr>
            </w:pPr>
            <w:r>
              <w:rPr>
                <w:rFonts w:hint="eastAsia" w:ascii="宋体" w:hAnsi="宋体" w:eastAsia="宋体" w:cs="宋体"/>
                <w:color w:val="000000"/>
                <w:kern w:val="0"/>
                <w:sz w:val="21"/>
                <w:szCs w:val="21"/>
                <w:lang w:val="en-US" w:eastAsia="zh-CN" w:bidi="ar"/>
              </w:rPr>
              <w:t xml:space="preserve">2.保修期外发生货物损坏的，供应商承诺按其成本提供维修维护，不得溢价维修，需提供供应商成本支出为凭证（如进货、支付凭证或其聘请他人维修实际支付凭证等）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6" w:type="dxa"/>
            <w:gridSpan w:val="3"/>
            <w:noWrap w:val="0"/>
            <w:vAlign w:val="center"/>
          </w:tcPr>
          <w:p>
            <w:pPr>
              <w:widowControl w:val="0"/>
              <w:spacing w:after="160" w:line="278" w:lineRule="auto"/>
              <w:jc w:val="both"/>
              <w:rPr>
                <w:rFonts w:hint="eastAsia" w:ascii="宋体" w:hAnsi="宋体" w:eastAsia="宋体" w:cs="Times New Roman"/>
                <w:b/>
                <w:kern w:val="2"/>
                <w:sz w:val="21"/>
                <w:szCs w:val="24"/>
                <w:lang w:eastAsia="zh-CN"/>
              </w:rPr>
            </w:pPr>
            <w:r>
              <w:rPr>
                <w:rFonts w:hint="eastAsia" w:ascii="宋体" w:hAnsi="宋体" w:eastAsia="宋体" w:cs="Times New Roman"/>
                <w:b/>
                <w:kern w:val="2"/>
                <w:sz w:val="21"/>
                <w:szCs w:val="24"/>
                <w:lang w:eastAsia="zh-CN"/>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r>
              <w:rPr>
                <w:rFonts w:hint="eastAsia" w:ascii="宋体" w:hAnsi="宋体" w:eastAsia="宋体" w:cs="Times New Roman"/>
                <w:b/>
                <w:kern w:val="2"/>
                <w:sz w:val="20"/>
                <w:szCs w:val="20"/>
                <w:lang w:eastAsia="zh-CN"/>
              </w:rPr>
              <w:t>1</w:t>
            </w:r>
          </w:p>
        </w:tc>
        <w:tc>
          <w:tcPr>
            <w:tcW w:w="1788" w:type="dxa"/>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r>
              <w:rPr>
                <w:rFonts w:hint="eastAsia" w:ascii="宋体" w:hAnsi="宋体" w:eastAsia="宋体" w:cs="Times New Roman"/>
                <w:b/>
                <w:kern w:val="2"/>
                <w:sz w:val="20"/>
                <w:szCs w:val="20"/>
                <w:lang w:eastAsia="zh-CN"/>
              </w:rPr>
              <w:t>违约责任</w:t>
            </w:r>
          </w:p>
        </w:tc>
        <w:tc>
          <w:tcPr>
            <w:tcW w:w="5867" w:type="dxa"/>
            <w:noWrap w:val="0"/>
            <w:vAlign w:val="top"/>
          </w:tcPr>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default" w:ascii="宋体" w:hAnsi="宋体" w:eastAsia="宋体" w:cs="宋体"/>
                <w:kern w:val="2"/>
                <w:sz w:val="21"/>
                <w:szCs w:val="21"/>
                <w:lang w:val="en-US" w:eastAsia="zh-CN"/>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eastAsia="zh-CN" w:bidi="ar"/>
              </w:rPr>
              <w:t>中标人逾期交付货物的，每逾期1天，中标人向采购人偿付逾期交货部分货款总额的【5】‰的</w:t>
            </w:r>
            <w:r>
              <w:rPr>
                <w:rFonts w:hint="eastAsia" w:ascii="宋体" w:hAnsi="宋体" w:eastAsia="宋体" w:cs="宋体"/>
                <w:color w:val="000000"/>
                <w:kern w:val="0"/>
                <w:sz w:val="21"/>
                <w:szCs w:val="21"/>
                <w:lang w:val="en-US" w:eastAsia="zh-CN" w:bidi="ar"/>
              </w:rPr>
              <w:t>违约</w:t>
            </w:r>
            <w:r>
              <w:rPr>
                <w:rFonts w:hint="eastAsia" w:ascii="宋体" w:hAnsi="宋体" w:eastAsia="宋体" w:cs="宋体"/>
                <w:color w:val="000000"/>
                <w:kern w:val="0"/>
                <w:sz w:val="21"/>
                <w:szCs w:val="21"/>
                <w:lang w:eastAsia="zh-CN" w:bidi="ar"/>
              </w:rPr>
              <w:t>金。如中标人逾期交货达 30 天，采购人有权解除合同，同时中标人应向采购人支付合同总价【10】％的违约金。</w:t>
            </w:r>
            <w:r>
              <w:rPr>
                <w:rFonts w:hint="eastAsia" w:ascii="宋体" w:hAnsi="宋体" w:eastAsia="宋体" w:cs="宋体"/>
                <w:color w:val="000000"/>
                <w:kern w:val="0"/>
                <w:sz w:val="21"/>
                <w:szCs w:val="21"/>
                <w:lang w:eastAsia="zh-CN" w:bidi="ar"/>
              </w:rPr>
              <w:br w:type="textWrapping"/>
            </w:r>
            <w:r>
              <w:rPr>
                <w:rFonts w:hint="eastAsia" w:ascii="宋体" w:hAnsi="宋体" w:eastAsia="宋体" w:cs="宋体"/>
                <w:color w:val="000000"/>
                <w:kern w:val="0"/>
                <w:sz w:val="21"/>
                <w:szCs w:val="21"/>
                <w:lang w:val="en-US" w:eastAsia="zh-CN" w:bidi="ar"/>
              </w:rPr>
              <w:t>2.在中标人承诺的或国家规定的质量保证期内（取两者中最长的期限），如经中标人两次更换，货物仍不能达到合同约定的质量标准，采购人有权退货，中标人应退回全部货款并赔偿采购人因此遭受的损失。</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3.中标人未履行本合同项下的其他义务或违反其在投标文件中的相关承诺的，应按合同总价款的【10】%向采购人承担违约责任。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eastAsia="zh-CN" w:bidi="ar"/>
              </w:rPr>
              <w:t>中标人不按承诺提供运输、搬抬、组装服务的，经采购人要求，仍不履行约定的，采购人可解除合同或者自行聘请专业人员进行安装，所需费用从合同中核减或由供应商承担。</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5.中标人在承担上述一项或多项违约责任后，仍应继续履行合同规定的义务（采购人解除合同的除外）。采购人未能及时追究中标人的任何一项违约责任并不表明采购人放弃追究中标人该项或其他违约责任。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851" w:type="dxa"/>
            <w:vMerge w:val="restart"/>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bookmarkStart w:id="2" w:name="_Hlk72260973"/>
            <w:r>
              <w:rPr>
                <w:rFonts w:hint="eastAsia" w:ascii="宋体" w:hAnsi="宋体" w:eastAsia="宋体" w:cs="Times New Roman"/>
                <w:b/>
                <w:kern w:val="2"/>
                <w:sz w:val="20"/>
                <w:szCs w:val="20"/>
                <w:lang w:eastAsia="zh-CN"/>
              </w:rPr>
              <w:t>2</w:t>
            </w:r>
          </w:p>
        </w:tc>
        <w:tc>
          <w:tcPr>
            <w:tcW w:w="1788" w:type="dxa"/>
            <w:vMerge w:val="restart"/>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r>
              <w:rPr>
                <w:rFonts w:hint="eastAsia" w:ascii="宋体" w:hAnsi="宋体" w:eastAsia="宋体" w:cs="Times New Roman"/>
                <w:b/>
                <w:kern w:val="2"/>
                <w:sz w:val="20"/>
                <w:szCs w:val="20"/>
                <w:lang w:eastAsia="zh-CN"/>
              </w:rPr>
              <w:t>交货及付款要求</w:t>
            </w:r>
          </w:p>
        </w:tc>
        <w:tc>
          <w:tcPr>
            <w:tcW w:w="5867" w:type="dxa"/>
            <w:noWrap w:val="0"/>
            <w:vAlign w:val="center"/>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eastAsia="zh-CN" w:bidi="ar"/>
              </w:rPr>
              <w:t>履约时间和地点：投标供应商在签订合同之日起</w:t>
            </w:r>
            <w:r>
              <w:rPr>
                <w:rFonts w:hint="eastAsia" w:ascii="宋体" w:hAnsi="宋体" w:eastAsia="宋体" w:cs="宋体"/>
                <w:color w:val="000000"/>
                <w:kern w:val="0"/>
                <w:sz w:val="21"/>
                <w:szCs w:val="21"/>
                <w:lang w:val="en-US" w:eastAsia="zh-CN" w:bidi="ar"/>
              </w:rPr>
              <w:t>20个日历日</w:t>
            </w:r>
            <w:r>
              <w:rPr>
                <w:rFonts w:hint="eastAsia" w:ascii="宋体" w:hAnsi="宋体" w:eastAsia="宋体" w:cs="宋体"/>
                <w:color w:val="000000"/>
                <w:kern w:val="0"/>
                <w:sz w:val="21"/>
                <w:szCs w:val="21"/>
                <w:lang w:eastAsia="zh-CN" w:bidi="ar"/>
              </w:rPr>
              <w:t>内</w:t>
            </w:r>
            <w:r>
              <w:rPr>
                <w:rFonts w:hint="eastAsia" w:ascii="宋体" w:hAnsi="宋体" w:eastAsia="宋体" w:cs="宋体"/>
                <w:color w:val="000000"/>
                <w:kern w:val="0"/>
                <w:sz w:val="21"/>
                <w:szCs w:val="21"/>
                <w:lang w:val="en-US" w:eastAsia="zh-CN" w:bidi="ar"/>
              </w:rPr>
              <w:t>完成货物的交付</w:t>
            </w:r>
            <w:r>
              <w:rPr>
                <w:rFonts w:hint="eastAsia" w:ascii="宋体" w:hAnsi="宋体" w:eastAsia="宋体" w:cs="宋体"/>
                <w:color w:val="000000"/>
                <w:kern w:val="0"/>
                <w:sz w:val="21"/>
                <w:szCs w:val="21"/>
                <w:lang w:eastAsia="zh-CN" w:bidi="ar"/>
              </w:rPr>
              <w:t>，交货地点为</w:t>
            </w:r>
            <w:r>
              <w:rPr>
                <w:rFonts w:hint="eastAsia" w:ascii="宋体" w:hAnsi="宋体" w:eastAsia="宋体" w:cs="宋体"/>
                <w:color w:val="000000"/>
                <w:kern w:val="0"/>
                <w:sz w:val="21"/>
                <w:szCs w:val="21"/>
                <w:lang w:val="en-US" w:eastAsia="zh-CN" w:bidi="ar"/>
              </w:rPr>
              <w:t>深圳市第一、第二看守所。</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付款期限和方式：全部货物到货、验收合格，并由中标供应商应向采购人提供对应全额的正式发票后10个工作日内一次性支付合同总金额的100%。</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以上为预计付款方式，合同订立时，采购人可根据实际情况最终确定支付方式，并在合同中予以明确。</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本项目的付款时间为采购人向财政支付部门提出支付申请的时间（不含财政支付部门的审查时间）。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851" w:type="dxa"/>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r>
              <w:rPr>
                <w:rFonts w:hint="eastAsia" w:ascii="宋体" w:hAnsi="宋体" w:eastAsia="宋体" w:cs="Times New Roman"/>
                <w:b/>
                <w:kern w:val="2"/>
                <w:sz w:val="20"/>
                <w:szCs w:val="20"/>
                <w:lang w:eastAsia="zh-CN"/>
              </w:rPr>
              <w:t>3</w:t>
            </w:r>
          </w:p>
        </w:tc>
        <w:tc>
          <w:tcPr>
            <w:tcW w:w="1788" w:type="dxa"/>
            <w:noWrap w:val="0"/>
            <w:vAlign w:val="center"/>
          </w:tcPr>
          <w:p>
            <w:pPr>
              <w:widowControl w:val="0"/>
              <w:spacing w:after="160" w:line="278" w:lineRule="auto"/>
              <w:jc w:val="center"/>
              <w:rPr>
                <w:rFonts w:hint="eastAsia" w:ascii="宋体" w:hAnsi="宋体" w:eastAsia="宋体" w:cs="宋体"/>
                <w:b/>
                <w:color w:val="000000"/>
                <w:kern w:val="2"/>
                <w:sz w:val="20"/>
                <w:szCs w:val="20"/>
                <w:lang w:eastAsia="zh-CN"/>
              </w:rPr>
            </w:pPr>
            <w:r>
              <w:rPr>
                <w:rFonts w:hint="eastAsia" w:ascii="宋体" w:hAnsi="宋体" w:eastAsia="宋体" w:cs="宋体"/>
                <w:b/>
                <w:color w:val="000000"/>
                <w:kern w:val="2"/>
                <w:sz w:val="20"/>
                <w:szCs w:val="20"/>
                <w:lang w:eastAsia="zh-CN"/>
              </w:rPr>
              <w:t>验收条件</w:t>
            </w:r>
          </w:p>
        </w:tc>
        <w:tc>
          <w:tcPr>
            <w:tcW w:w="5867" w:type="dxa"/>
            <w:noWrap w:val="0"/>
            <w:vAlign w:val="top"/>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eastAsia="zh-CN" w:bidi="ar"/>
              </w:rPr>
              <w:t>投标人货物经过双方检验认可后，签署验收报告，产品保修期自验收合格之日起算，由投标人提供产品保修文件或承诺书。</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当满足以下条件时，采购人才向中标人签发货物验收报告：</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a、中标人已按照合同规定提供了全部产品及完整的技术资料。</w:t>
            </w:r>
          </w:p>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b、货物符合招标文件技术规格书的要求，性能满足要求。</w:t>
            </w:r>
          </w:p>
          <w:p>
            <w:pPr>
              <w:keepNext w:val="0"/>
              <w:keepLines w:val="0"/>
              <w:widowControl/>
              <w:suppressLineNumbers w:val="0"/>
              <w:spacing w:after="0" w:line="240" w:lineRule="auto"/>
              <w:jc w:val="both"/>
              <w:textAlignment w:val="top"/>
              <w:rPr>
                <w:rFonts w:hint="default" w:ascii="Times New Roman" w:hAnsi="Times New Roman" w:eastAsia="Times New Roman" w:cs="Times New Roman"/>
                <w:kern w:val="0"/>
                <w:sz w:val="24"/>
                <w:szCs w:val="24"/>
                <w:lang w:val="en-US" w:eastAsia="zh-CN"/>
              </w:rPr>
            </w:pPr>
            <w:r>
              <w:rPr>
                <w:rFonts w:hint="eastAsia" w:ascii="宋体" w:hAnsi="宋体" w:eastAsia="宋体" w:cs="宋体"/>
                <w:color w:val="000000"/>
                <w:kern w:val="0"/>
                <w:sz w:val="21"/>
                <w:szCs w:val="21"/>
                <w:lang w:eastAsia="zh-CN" w:bidi="ar"/>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r>
              <w:rPr>
                <w:rFonts w:hint="eastAsia" w:ascii="宋体" w:hAnsi="宋体" w:eastAsia="宋体" w:cs="Times New Roman"/>
                <w:b/>
                <w:kern w:val="2"/>
                <w:sz w:val="20"/>
                <w:szCs w:val="20"/>
                <w:lang w:eastAsia="zh-CN"/>
              </w:rPr>
              <w:t>4</w:t>
            </w:r>
          </w:p>
        </w:tc>
        <w:tc>
          <w:tcPr>
            <w:tcW w:w="1788" w:type="dxa"/>
            <w:noWrap w:val="0"/>
            <w:vAlign w:val="center"/>
          </w:tcPr>
          <w:p>
            <w:pPr>
              <w:widowControl w:val="0"/>
              <w:spacing w:after="160" w:line="278" w:lineRule="auto"/>
              <w:jc w:val="center"/>
              <w:rPr>
                <w:rFonts w:hint="eastAsia" w:ascii="宋体" w:hAnsi="宋体" w:eastAsia="宋体" w:cs="宋体"/>
                <w:b/>
                <w:color w:val="000000"/>
                <w:kern w:val="2"/>
                <w:sz w:val="20"/>
                <w:szCs w:val="20"/>
                <w:lang w:eastAsia="zh-CN"/>
              </w:rPr>
            </w:pPr>
            <w:r>
              <w:rPr>
                <w:rFonts w:hint="eastAsia" w:ascii="宋体" w:hAnsi="宋体" w:eastAsia="宋体" w:cs="宋体"/>
                <w:b/>
                <w:color w:val="000000"/>
                <w:kern w:val="2"/>
                <w:sz w:val="20"/>
                <w:szCs w:val="20"/>
                <w:lang w:eastAsia="zh-CN"/>
              </w:rPr>
              <w:t>争议解决方法</w:t>
            </w:r>
          </w:p>
        </w:tc>
        <w:tc>
          <w:tcPr>
            <w:tcW w:w="5867" w:type="dxa"/>
            <w:noWrap w:val="0"/>
            <w:vAlign w:val="center"/>
          </w:tcPr>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宋体" w:hAnsi="宋体" w:eastAsia="宋体" w:cs="宋体"/>
                <w:kern w:val="2"/>
                <w:sz w:val="21"/>
                <w:szCs w:val="21"/>
                <w:lang w:eastAsia="zh-CN"/>
              </w:rPr>
            </w:pPr>
            <w:r>
              <w:rPr>
                <w:rFonts w:hint="eastAsia" w:ascii="宋体" w:hAnsi="宋体" w:eastAsia="宋体" w:cs="宋体"/>
                <w:color w:val="000000"/>
                <w:kern w:val="0"/>
                <w:sz w:val="21"/>
                <w:szCs w:val="21"/>
                <w:lang w:val="en-US" w:eastAsia="zh-CN" w:bidi="ar"/>
              </w:rPr>
              <w:t>凡因执行项目合同所发生的或与本合同有关的一切争议，双方应通过友好协商解决。如果协商还不能解决，向采购人所在地人民法院提起诉讼。</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851" w:type="dxa"/>
            <w:vMerge w:val="restart"/>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r>
              <w:rPr>
                <w:rFonts w:hint="eastAsia" w:ascii="宋体" w:hAnsi="宋体" w:eastAsia="宋体" w:cs="Times New Roman"/>
                <w:b/>
                <w:kern w:val="2"/>
                <w:sz w:val="20"/>
                <w:szCs w:val="20"/>
                <w:lang w:eastAsia="zh-CN"/>
              </w:rPr>
              <w:t>5</w:t>
            </w:r>
          </w:p>
        </w:tc>
        <w:tc>
          <w:tcPr>
            <w:tcW w:w="1788" w:type="dxa"/>
            <w:vMerge w:val="restart"/>
            <w:noWrap w:val="0"/>
            <w:vAlign w:val="center"/>
          </w:tcPr>
          <w:p>
            <w:pPr>
              <w:widowControl w:val="0"/>
              <w:spacing w:after="160" w:line="278" w:lineRule="auto"/>
              <w:jc w:val="center"/>
              <w:rPr>
                <w:rFonts w:hint="eastAsia" w:ascii="宋体" w:hAnsi="宋体" w:eastAsia="宋体" w:cs="Times New Roman"/>
                <w:color w:val="000000"/>
                <w:kern w:val="2"/>
                <w:sz w:val="20"/>
                <w:szCs w:val="20"/>
                <w:lang w:eastAsia="zh-CN"/>
              </w:rPr>
            </w:pPr>
            <w:r>
              <w:rPr>
                <w:rFonts w:hint="eastAsia" w:ascii="宋体" w:hAnsi="宋体" w:eastAsia="宋体" w:cs="宋体"/>
                <w:b/>
                <w:bCs/>
                <w:color w:val="000000"/>
                <w:kern w:val="2"/>
                <w:sz w:val="20"/>
                <w:szCs w:val="20"/>
                <w:lang w:eastAsia="zh-CN"/>
              </w:rPr>
              <w:t>运输、安装条件</w:t>
            </w:r>
          </w:p>
        </w:tc>
        <w:tc>
          <w:tcPr>
            <w:tcW w:w="5867" w:type="dxa"/>
            <w:noWrap w:val="0"/>
            <w:vAlign w:val="center"/>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eastAsia="zh-CN" w:bidi="ar"/>
              </w:rPr>
              <w:t>投标供应商须在签订合同之日起</w:t>
            </w:r>
            <w:r>
              <w:rPr>
                <w:rFonts w:hint="eastAsia" w:ascii="宋体" w:hAnsi="宋体" w:eastAsia="宋体" w:cs="宋体"/>
                <w:color w:val="000000"/>
                <w:kern w:val="0"/>
                <w:sz w:val="21"/>
                <w:szCs w:val="21"/>
                <w:lang w:val="en-US" w:eastAsia="zh-CN" w:bidi="ar"/>
              </w:rPr>
              <w:t>3日</w:t>
            </w:r>
            <w:r>
              <w:rPr>
                <w:rFonts w:hint="eastAsia" w:ascii="宋体" w:hAnsi="宋体" w:eastAsia="宋体" w:cs="宋体"/>
                <w:color w:val="000000"/>
                <w:kern w:val="0"/>
                <w:sz w:val="21"/>
                <w:szCs w:val="21"/>
                <w:lang w:eastAsia="zh-CN" w:bidi="ar"/>
              </w:rPr>
              <w:t>内向采购人提供设备的运行、安装、使用环境要求。</w:t>
            </w:r>
          </w:p>
          <w:p>
            <w:pPr>
              <w:keepNext w:val="0"/>
              <w:keepLines w:val="0"/>
              <w:widowControl/>
              <w:suppressLineNumbers w:val="0"/>
              <w:spacing w:after="0" w:line="240" w:lineRule="auto"/>
              <w:jc w:val="both"/>
              <w:textAlignment w:val="top"/>
              <w:rPr>
                <w:rFonts w:hint="eastAsia" w:ascii="宋体" w:hAnsi="宋体" w:eastAsia="宋体" w:cs="宋体"/>
                <w:kern w:val="2"/>
                <w:sz w:val="21"/>
                <w:szCs w:val="21"/>
                <w:lang w:eastAsia="zh-CN"/>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eastAsia="zh-CN" w:bidi="ar"/>
              </w:rPr>
              <w:t>投标供应商需要在送货当日配齐运输人力、安装设备及工具等物料，送货当日即搬抬运输至指定楼层，采购人不提供临时</w:t>
            </w:r>
            <w:r>
              <w:rPr>
                <w:rFonts w:hint="eastAsia" w:ascii="宋体" w:hAnsi="宋体" w:eastAsia="宋体" w:cs="宋体"/>
                <w:color w:val="000000"/>
                <w:kern w:val="0"/>
                <w:sz w:val="21"/>
                <w:szCs w:val="21"/>
                <w:lang w:val="en-US" w:eastAsia="zh-CN" w:bidi="ar"/>
              </w:rPr>
              <w:t>堆放</w:t>
            </w:r>
            <w:r>
              <w:rPr>
                <w:rFonts w:hint="eastAsia" w:ascii="宋体" w:hAnsi="宋体" w:eastAsia="宋体" w:cs="宋体"/>
                <w:color w:val="000000"/>
                <w:kern w:val="0"/>
                <w:sz w:val="21"/>
                <w:szCs w:val="21"/>
                <w:lang w:eastAsia="zh-CN" w:bidi="ar"/>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51" w:type="dxa"/>
            <w:vMerge w:val="restart"/>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r>
              <w:rPr>
                <w:rFonts w:hint="eastAsia" w:ascii="宋体" w:hAnsi="宋体" w:eastAsia="宋体" w:cs="Times New Roman"/>
                <w:b/>
                <w:kern w:val="2"/>
                <w:sz w:val="20"/>
                <w:szCs w:val="20"/>
                <w:lang w:eastAsia="zh-CN"/>
              </w:rPr>
              <w:t>6</w:t>
            </w:r>
          </w:p>
        </w:tc>
        <w:tc>
          <w:tcPr>
            <w:tcW w:w="1788" w:type="dxa"/>
            <w:vMerge w:val="restart"/>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r>
              <w:rPr>
                <w:rFonts w:ascii="宋体" w:hAnsi="宋体" w:eastAsia="宋体" w:cs="Times New Roman"/>
                <w:b/>
                <w:kern w:val="2"/>
                <w:sz w:val="20"/>
                <w:szCs w:val="20"/>
                <w:lang w:eastAsia="zh-CN"/>
              </w:rPr>
              <w:t>培训</w:t>
            </w:r>
          </w:p>
        </w:tc>
        <w:tc>
          <w:tcPr>
            <w:tcW w:w="5867" w:type="dxa"/>
            <w:noWrap w:val="0"/>
            <w:vAlign w:val="top"/>
          </w:tcPr>
          <w:p>
            <w:pPr>
              <w:keepNext w:val="0"/>
              <w:keepLines w:val="0"/>
              <w:pageBreakBefore w:val="0"/>
              <w:widowControl w:val="0"/>
              <w:kinsoku/>
              <w:wordWrap/>
              <w:overflowPunct/>
              <w:topLinePunct w:val="0"/>
              <w:autoSpaceDE/>
              <w:autoSpaceDN/>
              <w:bidi w:val="0"/>
              <w:adjustRightInd/>
              <w:snapToGrid/>
              <w:spacing w:after="0" w:line="0" w:lineRule="atLeast"/>
              <w:jc w:val="both"/>
              <w:textAlignment w:val="auto"/>
              <w:rPr>
                <w:rFonts w:hint="eastAsia" w:ascii="宋体" w:hAnsi="宋体" w:eastAsia="宋体" w:cs="宋体"/>
                <w:color w:val="000000"/>
                <w:kern w:val="2"/>
                <w:sz w:val="20"/>
                <w:szCs w:val="20"/>
                <w:lang w:eastAsia="zh-CN"/>
              </w:rPr>
            </w:pPr>
            <w:r>
              <w:rPr>
                <w:rFonts w:hint="eastAsia" w:ascii="宋体" w:hAnsi="宋体" w:eastAsia="宋体" w:cs="宋体"/>
                <w:kern w:val="2"/>
                <w:sz w:val="21"/>
                <w:szCs w:val="21"/>
                <w:lang w:eastAsia="zh-CN"/>
              </w:rPr>
              <w:t>投标供应商应让安装技术人员免费对采购单位指定人员进行培训及指导，直至其完全掌握货物拆装步骤和基本故障排除的处理技术。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851" w:type="dxa"/>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r>
              <w:rPr>
                <w:rFonts w:hint="eastAsia" w:ascii="宋体" w:hAnsi="宋体" w:eastAsia="宋体" w:cs="Times New Roman"/>
                <w:b/>
                <w:kern w:val="2"/>
                <w:sz w:val="20"/>
                <w:szCs w:val="20"/>
                <w:lang w:eastAsia="zh-CN"/>
              </w:rPr>
              <w:t>7</w:t>
            </w:r>
          </w:p>
        </w:tc>
        <w:tc>
          <w:tcPr>
            <w:tcW w:w="1788" w:type="dxa"/>
            <w:noWrap w:val="0"/>
            <w:vAlign w:val="center"/>
          </w:tcPr>
          <w:p>
            <w:pPr>
              <w:widowControl w:val="0"/>
              <w:spacing w:after="160" w:line="278" w:lineRule="auto"/>
              <w:jc w:val="center"/>
              <w:rPr>
                <w:rFonts w:hint="eastAsia" w:ascii="宋体" w:hAnsi="宋体" w:eastAsia="宋体" w:cs="Times New Roman"/>
                <w:b/>
                <w:kern w:val="2"/>
                <w:sz w:val="20"/>
                <w:szCs w:val="20"/>
                <w:lang w:eastAsia="zh-CN"/>
              </w:rPr>
            </w:pPr>
            <w:r>
              <w:rPr>
                <w:rFonts w:ascii="宋体" w:hAnsi="宋体" w:eastAsia="宋体" w:cs="Times New Roman"/>
                <w:b/>
                <w:kern w:val="2"/>
                <w:sz w:val="20"/>
                <w:szCs w:val="20"/>
                <w:lang w:eastAsia="zh-CN"/>
              </w:rPr>
              <w:t>知识产权</w:t>
            </w:r>
          </w:p>
        </w:tc>
        <w:tc>
          <w:tcPr>
            <w:tcW w:w="5867" w:type="dxa"/>
            <w:noWrap w:val="0"/>
            <w:vAlign w:val="top"/>
          </w:tcPr>
          <w:p>
            <w:pPr>
              <w:keepNext w:val="0"/>
              <w:keepLines w:val="0"/>
              <w:widowControl/>
              <w:suppressLineNumbers w:val="0"/>
              <w:spacing w:after="0" w:line="240" w:lineRule="auto"/>
              <w:jc w:val="both"/>
              <w:textAlignment w:val="top"/>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1.供应商应保证向采购人所提供的货物不涉及知识产权归属、处理等问题，如有，采购人不负责任何责任，由供应商负责处理所面临的知识产权的归属和处理等问题。</w:t>
            </w:r>
          </w:p>
          <w:p>
            <w:pPr>
              <w:keepNext w:val="0"/>
              <w:keepLines w:val="0"/>
              <w:widowControl/>
              <w:suppressLineNumbers w:val="0"/>
              <w:spacing w:after="0" w:line="240" w:lineRule="auto"/>
              <w:jc w:val="both"/>
              <w:textAlignment w:val="top"/>
              <w:rPr>
                <w:rFonts w:hint="eastAsia" w:ascii="宋体" w:hAnsi="宋体" w:eastAsia="宋体" w:cs="宋体"/>
                <w:color w:val="000000"/>
                <w:kern w:val="2"/>
                <w:sz w:val="20"/>
                <w:szCs w:val="20"/>
                <w:lang w:eastAsia="zh-CN"/>
              </w:rPr>
            </w:pPr>
            <w:r>
              <w:rPr>
                <w:rFonts w:hint="eastAsia" w:ascii="宋体" w:hAnsi="宋体" w:eastAsia="宋体" w:cs="宋体"/>
                <w:color w:val="000000"/>
                <w:kern w:val="0"/>
                <w:sz w:val="21"/>
                <w:szCs w:val="21"/>
                <w:lang w:val="en-US" w:eastAsia="zh-CN" w:bidi="ar"/>
              </w:rPr>
              <w:t>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51" w:type="dxa"/>
            <w:noWrap w:val="0"/>
            <w:vAlign w:val="center"/>
          </w:tcPr>
          <w:p>
            <w:pPr>
              <w:widowControl w:val="0"/>
              <w:spacing w:after="160" w:line="278" w:lineRule="auto"/>
              <w:jc w:val="center"/>
              <w:rPr>
                <w:rFonts w:hint="default" w:ascii="Times New Roman" w:hAnsi="Times New Roman" w:eastAsia="宋体" w:cs="Times New Roman"/>
                <w:b/>
                <w:kern w:val="2"/>
                <w:sz w:val="21"/>
                <w:szCs w:val="24"/>
                <w:lang w:val="en-US" w:eastAsia="zh-CN"/>
              </w:rPr>
            </w:pPr>
            <w:r>
              <w:rPr>
                <w:rFonts w:hint="eastAsia" w:ascii="Times New Roman" w:hAnsi="Times New Roman" w:eastAsia="宋体" w:cs="Times New Roman"/>
                <w:b/>
                <w:kern w:val="2"/>
                <w:sz w:val="21"/>
                <w:szCs w:val="24"/>
                <w:lang w:val="en-US" w:eastAsia="zh-CN"/>
              </w:rPr>
              <w:t>8</w:t>
            </w:r>
          </w:p>
        </w:tc>
        <w:tc>
          <w:tcPr>
            <w:tcW w:w="1788" w:type="dxa"/>
            <w:noWrap w:val="0"/>
            <w:vAlign w:val="center"/>
          </w:tcPr>
          <w:p>
            <w:pPr>
              <w:widowControl w:val="0"/>
              <w:spacing w:after="160" w:line="278" w:lineRule="auto"/>
              <w:jc w:val="center"/>
              <w:rPr>
                <w:rFonts w:hint="default" w:ascii="宋体" w:hAnsi="宋体" w:eastAsia="宋体" w:cs="Times New Roman"/>
                <w:b/>
                <w:color w:val="000000"/>
                <w:kern w:val="2"/>
                <w:sz w:val="20"/>
                <w:szCs w:val="20"/>
                <w:lang w:val="en-US" w:eastAsia="zh-CN"/>
              </w:rPr>
            </w:pPr>
            <w:r>
              <w:rPr>
                <w:rFonts w:hint="eastAsia" w:ascii="宋体" w:hAnsi="宋体" w:eastAsia="宋体" w:cs="Times New Roman"/>
                <w:b/>
                <w:color w:val="000000"/>
                <w:kern w:val="2"/>
                <w:sz w:val="20"/>
                <w:szCs w:val="20"/>
                <w:lang w:val="en-US" w:eastAsia="zh-CN"/>
              </w:rPr>
              <w:t>关于报价</w:t>
            </w:r>
          </w:p>
        </w:tc>
        <w:tc>
          <w:tcPr>
            <w:tcW w:w="5867" w:type="dxa"/>
            <w:noWrap w:val="0"/>
            <w:vAlign w:val="top"/>
          </w:tcPr>
          <w:p>
            <w:pPr>
              <w:widowControl/>
              <w:spacing w:after="160" w:line="278"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51" w:type="dxa"/>
            <w:noWrap w:val="0"/>
            <w:vAlign w:val="center"/>
          </w:tcPr>
          <w:p>
            <w:pPr>
              <w:widowControl w:val="0"/>
              <w:spacing w:after="160" w:line="278" w:lineRule="auto"/>
              <w:jc w:val="center"/>
              <w:rPr>
                <w:rFonts w:hint="eastAsia" w:ascii="宋体" w:hAnsi="宋体" w:eastAsia="宋体" w:cs="Times New Roman"/>
                <w:b/>
                <w:kern w:val="2"/>
                <w:sz w:val="21"/>
                <w:szCs w:val="24"/>
                <w:lang w:eastAsia="zh-CN"/>
              </w:rPr>
            </w:pPr>
            <w:r>
              <w:rPr>
                <w:rFonts w:hint="eastAsia" w:ascii="Times New Roman" w:hAnsi="Times New Roman" w:eastAsia="宋体" w:cs="Times New Roman"/>
                <w:b/>
                <w:kern w:val="2"/>
                <w:sz w:val="21"/>
                <w:szCs w:val="24"/>
                <w:lang w:eastAsia="zh-CN"/>
              </w:rPr>
              <w:t>9</w:t>
            </w:r>
          </w:p>
        </w:tc>
        <w:tc>
          <w:tcPr>
            <w:tcW w:w="1788" w:type="dxa"/>
            <w:noWrap w:val="0"/>
            <w:vAlign w:val="center"/>
          </w:tcPr>
          <w:p>
            <w:pPr>
              <w:widowControl w:val="0"/>
              <w:spacing w:after="160" w:line="278" w:lineRule="auto"/>
              <w:jc w:val="center"/>
              <w:rPr>
                <w:rFonts w:hint="eastAsia" w:ascii="宋体" w:hAnsi="宋体" w:eastAsia="宋体" w:cs="Times New Roman"/>
                <w:b/>
                <w:kern w:val="2"/>
                <w:sz w:val="21"/>
                <w:szCs w:val="24"/>
                <w:lang w:eastAsia="zh-CN"/>
              </w:rPr>
            </w:pPr>
            <w:r>
              <w:rPr>
                <w:rFonts w:ascii="宋体" w:hAnsi="宋体" w:eastAsia="宋体" w:cs="Times New Roman"/>
                <w:b/>
                <w:color w:val="000000"/>
                <w:kern w:val="2"/>
                <w:sz w:val="20"/>
                <w:szCs w:val="20"/>
                <w:lang w:eastAsia="zh-CN"/>
              </w:rPr>
              <w:t>其他</w:t>
            </w:r>
          </w:p>
        </w:tc>
        <w:tc>
          <w:tcPr>
            <w:tcW w:w="5867" w:type="dxa"/>
            <w:noWrap w:val="0"/>
            <w:vAlign w:val="top"/>
          </w:tcPr>
          <w:p>
            <w:pPr>
              <w:widowControl/>
              <w:spacing w:after="160" w:line="278" w:lineRule="auto"/>
              <w:jc w:val="left"/>
              <w:rPr>
                <w:rFonts w:hint="eastAsia" w:ascii="宋体" w:hAnsi="宋体" w:eastAsia="宋体" w:cs="宋体"/>
                <w:color w:val="000000"/>
                <w:kern w:val="2"/>
                <w:sz w:val="20"/>
                <w:szCs w:val="20"/>
                <w:lang w:eastAsia="zh-CN"/>
              </w:rPr>
            </w:pPr>
            <w:r>
              <w:rPr>
                <w:rFonts w:hint="eastAsia" w:ascii="宋体" w:hAnsi="宋体" w:eastAsia="宋体" w:cs="宋体"/>
                <w:color w:val="000000"/>
                <w:kern w:val="0"/>
                <w:sz w:val="21"/>
                <w:szCs w:val="21"/>
                <w:lang w:val="en-US" w:eastAsia="zh-CN" w:bidi="ar"/>
              </w:rPr>
              <w:t>由于本次采购人购买的部分货物属于家具，供应商应对所供货物散味提供服务，可通过配置一定量一次性净味炭包或提供短期内净化设备除味，以保证所供的货物能够在5个日历日内可投入使用，不发生引人不适的气味影响正常工作的情况发生。</w:t>
            </w:r>
          </w:p>
        </w:tc>
      </w:tr>
    </w:tbl>
    <w:p>
      <w:pPr>
        <w:ind w:firstLine="422"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pPr>
        <w:jc w:val="center"/>
        <w:rPr>
          <w:rFonts w:hint="eastAsia" w:ascii="宋体" w:hAnsi="宋体" w:cs="Arial"/>
          <w:b/>
          <w:bCs/>
          <w:sz w:val="52"/>
          <w:szCs w:val="52"/>
        </w:rPr>
      </w:pPr>
    </w:p>
    <w:p>
      <w:pPr>
        <w:pStyle w:val="9"/>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5"/>
        <w:jc w:val="center"/>
      </w:pPr>
      <w:r>
        <w:rPr>
          <w:rFonts w:hint="eastAsia"/>
        </w:rPr>
        <w:t>目录</w:t>
      </w:r>
    </w:p>
    <w:p/>
    <w:p>
      <w:r>
        <w:rPr>
          <w:rFonts w:hint="eastAsia"/>
        </w:rPr>
        <w:t>一、</w:t>
      </w:r>
      <w:r>
        <w:rPr>
          <w:rFonts w:hint="eastAsia"/>
          <w:lang w:eastAsia="zh-CN"/>
        </w:rPr>
        <w:t>询价</w:t>
      </w:r>
      <w:r>
        <w:rPr>
          <w:rFonts w:hint="eastAsia"/>
        </w:rPr>
        <w:t>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3" w:name="_Hlk72092634"/>
      <w:r>
        <w:rPr>
          <w:rFonts w:hint="eastAsia"/>
        </w:rPr>
        <w:t>实质性条款响应情况表</w:t>
      </w:r>
      <w:bookmarkEnd w:id="3"/>
    </w:p>
    <w:p>
      <w:r>
        <w:rPr>
          <w:rFonts w:hint="eastAsia"/>
        </w:rPr>
        <w:t>六、技术要求偏离表</w:t>
      </w:r>
    </w:p>
    <w:p>
      <w:r>
        <w:rPr>
          <w:rFonts w:hint="eastAsia"/>
        </w:rPr>
        <w:t>七、商务要求偏离表</w:t>
      </w:r>
    </w:p>
    <w:p>
      <w:r>
        <w:rPr>
          <w:rFonts w:hint="eastAsia"/>
        </w:rPr>
        <w:t>八、报价表</w:t>
      </w:r>
    </w:p>
    <w:p>
      <w:r>
        <w:rPr>
          <w:rFonts w:hint="eastAsia"/>
        </w:rPr>
        <w:t>九、供应商认为需要提供的其它文件（如有）</w:t>
      </w:r>
    </w:p>
    <w:p>
      <w:pPr>
        <w:pStyle w:val="13"/>
      </w:pPr>
    </w:p>
    <w:p>
      <w:pPr>
        <w:widowControl/>
        <w:spacing w:before="100" w:beforeAutospacing="1" w:after="100" w:afterAutospacing="1"/>
        <w:rPr>
          <w:rFonts w:hint="eastAsia" w:ascii="宋体" w:hAnsi="宋体" w:cs="宋体"/>
          <w:b/>
          <w:bCs/>
          <w:kern w:val="0"/>
          <w:sz w:val="24"/>
          <w:szCs w:val="36"/>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一、</w:t>
      </w:r>
      <w:bookmarkStart w:id="4" w:name="_Hlk187676828"/>
      <w:r>
        <w:rPr>
          <w:rFonts w:hint="eastAsia" w:ascii="宋体" w:hAnsi="宋体"/>
          <w:b/>
          <w:sz w:val="30"/>
          <w:szCs w:val="30"/>
          <w:lang w:eastAsia="zh-CN"/>
        </w:rPr>
        <w:t>询价</w:t>
      </w:r>
      <w:r>
        <w:rPr>
          <w:rFonts w:hint="eastAsia" w:ascii="宋体" w:hAnsi="宋体"/>
          <w:b/>
          <w:sz w:val="30"/>
          <w:szCs w:val="30"/>
        </w:rPr>
        <w:t>承诺函</w:t>
      </w:r>
      <w:bookmarkEnd w:id="4"/>
    </w:p>
    <w:p>
      <w:pPr>
        <w:rPr>
          <w:rFonts w:hint="eastAsia" w:ascii="宋体" w:hAnsi="宋体"/>
        </w:rPr>
      </w:pPr>
      <w:r>
        <w:rPr>
          <w:rFonts w:hint="eastAsia" w:ascii="宋体" w:hAnsi="宋体"/>
        </w:rPr>
        <w:t>致：采购人</w:t>
      </w:r>
    </w:p>
    <w:p>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hint="eastAsia" w:ascii="宋体" w:hAnsi="宋体"/>
        </w:rPr>
      </w:pPr>
      <w:r>
        <w:rPr>
          <w:rFonts w:hint="eastAsia" w:ascii="宋体" w:hAnsi="宋体"/>
        </w:rPr>
        <w:t>4、我公司具备《中华人民共和国政府采购法》第二十二条第一款的条件。</w:t>
      </w:r>
    </w:p>
    <w:p>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hint="eastAsia" w:ascii="宋体" w:hAnsi="宋体"/>
        </w:rPr>
      </w:pPr>
      <w:r>
        <w:rPr>
          <w:rFonts w:hint="eastAsia" w:ascii="宋体" w:hAnsi="宋体"/>
        </w:rPr>
        <w:t>特此承诺！</w:t>
      </w:r>
    </w:p>
    <w:p>
      <w:pPr>
        <w:ind w:firstLine="420" w:firstLineChars="200"/>
        <w:rPr>
          <w:rFonts w:hint="eastAsia"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hint="eastAsia" w:ascii="宋体" w:hAnsi="宋体" w:cs="Arial"/>
          <w:bCs/>
          <w:szCs w:val="21"/>
        </w:rPr>
      </w:pPr>
      <w:r>
        <w:rPr>
          <w:rFonts w:hint="eastAsia" w:ascii="宋体" w:hAnsi="宋体" w:cs="Arial"/>
          <w:bCs/>
          <w:szCs w:val="21"/>
        </w:rPr>
        <w:t>日  期：       年    月   日</w:t>
      </w:r>
    </w:p>
    <w:p>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hint="eastAsia" w:ascii="宋体" w:hAnsi="宋体"/>
        </w:rPr>
      </w:pPr>
      <w:r>
        <w:rPr>
          <w:rFonts w:hint="eastAsia" w:ascii="宋体" w:hAnsi="宋体"/>
        </w:rPr>
        <w:br w:type="page"/>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5" w:name="_Hlk189743140"/>
      <w:r>
        <w:rPr>
          <w:rFonts w:hint="eastAsia"/>
          <w:szCs w:val="21"/>
        </w:rPr>
        <w:t>（</w:t>
      </w:r>
      <w:r>
        <w:rPr>
          <w:rFonts w:hint="eastAsia"/>
          <w:b/>
          <w:bCs/>
          <w:color w:val="FF0000"/>
          <w:szCs w:val="21"/>
        </w:rPr>
        <w:t>加盖单位公章，必填项</w:t>
      </w:r>
      <w:r>
        <w:rPr>
          <w:rFonts w:hint="eastAsia"/>
          <w:szCs w:val="21"/>
        </w:rPr>
        <w:t>）</w:t>
      </w:r>
      <w:bookmarkEnd w:id="5"/>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47"/>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rPr>
            </w:pPr>
            <w:bookmarkStart w:id="6" w:name="_Hlk189743651"/>
            <w:r>
              <w:rPr>
                <w:rFonts w:hint="eastAsia" w:ascii="宋体" w:hAnsi="宋体" w:cs="宋体"/>
                <w:b/>
                <w:bCs/>
                <w:color w:val="FF0000"/>
                <w:spacing w:val="-4"/>
                <w:szCs w:val="21"/>
              </w:rPr>
              <w:t>法定代表人/单位负责人/主要经营负责人</w:t>
            </w:r>
            <w:bookmarkEnd w:id="6"/>
            <w:r>
              <w:rPr>
                <w:rFonts w:hint="eastAsia" w:ascii="宋体" w:hAnsi="宋体" w:cs="宋体"/>
                <w:b/>
                <w:bCs/>
                <w:color w:val="FF0000"/>
                <w:spacing w:val="-4"/>
                <w:szCs w:val="21"/>
              </w:rPr>
              <w:t>（必填项）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8"/>
        <w:ind w:firstLine="408" w:firstLineChars="200"/>
        <w:rPr>
          <w:rFonts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8"/>
        <w:ind w:firstLine="408" w:firstLineChars="200"/>
        <w:rPr>
          <w:rFonts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pPr>
        <w:pStyle w:val="8"/>
        <w:ind w:firstLine="408" w:firstLineChars="200"/>
        <w:rPr>
          <w:rFonts w:ascii="宋体" w:hAnsi="宋体" w:cs="宋体"/>
          <w:spacing w:val="-3"/>
          <w:szCs w:val="21"/>
        </w:rPr>
      </w:pPr>
    </w:p>
    <w:p>
      <w:pPr>
        <w:ind w:firstLine="408" w:firstLineChars="200"/>
        <w:rPr>
          <w:rFonts w:hint="eastAsia" w:ascii="宋体" w:hAnsi="宋体" w:cs="宋体"/>
          <w:spacing w:val="-3"/>
          <w:szCs w:val="21"/>
        </w:rPr>
      </w:pPr>
      <w:r>
        <w:rPr>
          <w:rFonts w:hint="eastAsia" w:ascii="宋体" w:hAnsi="宋体" w:cs="宋体"/>
          <w:spacing w:val="-3"/>
          <w:szCs w:val="21"/>
        </w:rPr>
        <w:t>注：</w:t>
      </w:r>
    </w:p>
    <w:p>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w:t>
      </w:r>
      <w:r>
        <w:rPr>
          <w:rFonts w:hint="eastAsia" w:ascii="宋体" w:hAnsi="宋体" w:cs="宋体"/>
          <w:b/>
          <w:bCs/>
          <w:spacing w:val="-3"/>
          <w:szCs w:val="21"/>
          <w:lang w:val="en-US" w:eastAsia="zh-CN"/>
        </w:rPr>
        <w:t>且能体现具体参保单位，</w:t>
      </w:r>
      <w:bookmarkStart w:id="21" w:name="_GoBack"/>
      <w:bookmarkEnd w:id="21"/>
      <w:r>
        <w:rPr>
          <w:rFonts w:hint="eastAsia" w:ascii="宋体" w:hAnsi="宋体" w:cs="宋体"/>
          <w:spacing w:val="-3"/>
          <w:szCs w:val="21"/>
        </w:rPr>
        <w:t>请供应商认真填报，并保证所填信息的真实、准确和完整。</w:t>
      </w:r>
    </w:p>
    <w:p>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rPr>
      </w:pPr>
      <w:r>
        <w:rPr>
          <w:rFonts w:hint="eastAsia" w:ascii="宋体" w:hAnsi="宋体"/>
          <w:b/>
          <w:bCs/>
        </w:rPr>
        <w:br w:type="page"/>
      </w:r>
    </w:p>
    <w:p>
      <w:pPr>
        <w:pStyle w:val="1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3"/>
        <w:ind w:firstLine="422" w:firstLineChars="200"/>
        <w:rPr>
          <w:rFonts w:ascii="宋体" w:hAnsi="宋体" w:eastAsia="宋体" w:cs="Times New Roman"/>
          <w:b/>
          <w:bCs/>
          <w:color w:val="auto"/>
          <w:kern w:val="2"/>
          <w:sz w:val="21"/>
        </w:rPr>
      </w:pP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hint="eastAsia" w:ascii="宋体" w:hAnsi="宋体" w:cs="宋体"/>
          <w:spacing w:val="-3"/>
          <w:szCs w:val="21"/>
        </w:rPr>
      </w:pPr>
      <w:r>
        <w:rPr>
          <w:rFonts w:hint="eastAsia" w:ascii="宋体" w:hAnsi="宋体" w:cs="宋体"/>
          <w:spacing w:val="-3"/>
          <w:szCs w:val="21"/>
        </w:rPr>
        <w:t>致：采购人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jc w:val="left"/>
        <w:rPr>
          <w:rFonts w:hint="eastAsia" w:ascii="宋体" w:hAnsi="宋体" w:cs="宋体"/>
          <w:spacing w:val="-3"/>
          <w:szCs w:val="21"/>
        </w:rPr>
      </w:pPr>
    </w:p>
    <w:p>
      <w:pPr>
        <w:jc w:val="center"/>
        <w:rPr>
          <w:rFonts w:hint="eastAsia" w:ascii="宋体" w:hAnsi="宋体" w:cs="宋体"/>
          <w:spacing w:val="-3"/>
          <w:szCs w:val="21"/>
        </w:rPr>
      </w:pPr>
      <w:r>
        <w:rPr>
          <w:rFonts w:hint="eastAsia" w:ascii="宋体" w:hAnsi="宋体" w:cs="宋体"/>
          <w:spacing w:val="-3"/>
          <w:szCs w:val="21"/>
        </w:rPr>
        <w:t xml:space="preserve">                               供应商名称： </w:t>
      </w:r>
    </w:p>
    <w:p>
      <w:pPr>
        <w:jc w:val="right"/>
        <w:rPr>
          <w:rFonts w:hint="eastAsia"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pPr>
        <w:rPr>
          <w:rFonts w:hint="eastAsia" w:ascii="宋体" w:hAnsi="宋体"/>
          <w:b/>
          <w:sz w:val="30"/>
          <w:szCs w:val="30"/>
        </w:rPr>
      </w:pPr>
      <w:r>
        <w:rPr>
          <w:rFonts w:hint="eastAsia"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ascii="宋体" w:hAnsi="宋体"/>
        </w:rPr>
      </w:pPr>
    </w:p>
    <w:p>
      <w:pPr>
        <w:widowControl/>
        <w:jc w:val="left"/>
        <w:rPr>
          <w:rFonts w:hint="eastAsia" w:ascii="宋体" w:hAnsi="宋体"/>
          <w:b/>
          <w:sz w:val="30"/>
          <w:szCs w:val="30"/>
        </w:rPr>
      </w:pPr>
      <w:r>
        <w:rPr>
          <w:rFonts w:ascii="宋体" w:hAnsi="宋体"/>
          <w:b/>
          <w:sz w:val="30"/>
          <w:szCs w:val="30"/>
        </w:rPr>
        <w:br w:type="page"/>
      </w:r>
    </w:p>
    <w:p>
      <w:pPr>
        <w:pStyle w:val="5"/>
        <w:jc w:val="center"/>
        <w:rPr>
          <w:rFonts w:hint="eastAsia" w:ascii="宋体" w:hAnsi="宋体"/>
          <w:sz w:val="30"/>
          <w:szCs w:val="30"/>
        </w:rPr>
      </w:pPr>
      <w:r>
        <w:rPr>
          <w:rFonts w:hint="eastAsia" w:ascii="宋体" w:hAnsi="宋体"/>
          <w:sz w:val="30"/>
          <w:szCs w:val="30"/>
        </w:rPr>
        <w:t>五、实质性条款响应情况表</w:t>
      </w:r>
    </w:p>
    <w:tbl>
      <w:tblPr>
        <w:tblStyle w:val="2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7"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widowControl/>
        <w:jc w:val="left"/>
        <w:rPr>
          <w:rFonts w:hint="eastAsia" w:ascii="宋体" w:hAnsi="宋体"/>
          <w:b/>
          <w:sz w:val="30"/>
          <w:szCs w:val="30"/>
        </w:rPr>
      </w:pPr>
      <w:r>
        <w:rPr>
          <w:rFonts w:hint="eastAsia"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六、★技术要求偏离表</w:t>
      </w:r>
    </w:p>
    <w:p>
      <w:pPr>
        <w:pStyle w:val="29"/>
        <w:ind w:firstLine="478" w:firstLineChars="228"/>
        <w:jc w:val="left"/>
        <w:rPr>
          <w:rFonts w:hint="eastAsia" w:ascii="宋体" w:hAnsi="宋体" w:cs="宋体"/>
        </w:rPr>
      </w:pPr>
      <w:r>
        <w:rPr>
          <w:rFonts w:hint="eastAsia" w:ascii="宋体" w:hAnsi="宋体" w:cs="宋体"/>
        </w:rPr>
        <w:t>请对照用户需求书填写所投服务的技术响应情况，保证所投服务的实质性响应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1"/>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701"/>
        <w:gridCol w:w="4111"/>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53" w:type="dxa"/>
            <w:shd w:val="clear" w:color="auto" w:fill="C7D9F1"/>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701" w:type="dxa"/>
            <w:shd w:val="clear" w:color="auto" w:fill="C7D9F1"/>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货物名称</w:t>
            </w:r>
          </w:p>
        </w:tc>
        <w:tc>
          <w:tcPr>
            <w:tcW w:w="4111" w:type="dxa"/>
            <w:shd w:val="clear" w:color="auto" w:fill="C7D9F1"/>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850" w:type="dxa"/>
            <w:shd w:val="clear" w:color="auto" w:fill="C7D9F1"/>
            <w:vAlign w:val="center"/>
          </w:tcPr>
          <w:p>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应答内容</w:t>
            </w:r>
          </w:p>
        </w:tc>
        <w:tc>
          <w:tcPr>
            <w:tcW w:w="709" w:type="dxa"/>
            <w:shd w:val="clear" w:color="auto" w:fill="C7D9F1"/>
            <w:vAlign w:val="center"/>
          </w:tcPr>
          <w:p>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偏离情况</w:t>
            </w:r>
          </w:p>
        </w:tc>
        <w:tc>
          <w:tcPr>
            <w:tcW w:w="709" w:type="dxa"/>
            <w:shd w:val="clear" w:color="auto" w:fill="C7D9F1"/>
            <w:vAlign w:val="center"/>
          </w:tcPr>
          <w:p>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restart"/>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701" w:type="dxa"/>
            <w:vMerge w:val="restart"/>
            <w:vAlign w:val="center"/>
          </w:tcPr>
          <w:p>
            <w:pPr>
              <w:widowControl/>
              <w:jc w:val="center"/>
              <w:rPr>
                <w:rFonts w:hint="eastAsia" w:ascii="宋体" w:hAnsi="宋体" w:cs="宋体"/>
                <w:color w:val="000000"/>
                <w:kern w:val="0"/>
                <w:sz w:val="22"/>
                <w:szCs w:val="22"/>
              </w:rPr>
            </w:pPr>
          </w:p>
        </w:tc>
        <w:tc>
          <w:tcPr>
            <w:tcW w:w="4111" w:type="dxa"/>
            <w:vAlign w:val="center"/>
          </w:tcPr>
          <w:p>
            <w:pPr>
              <w:widowControl/>
              <w:rPr>
                <w:rFonts w:hint="eastAsia" w:ascii="宋体" w:hAnsi="宋体" w:cs="宋体"/>
                <w:color w:val="000000"/>
                <w:kern w:val="0"/>
                <w:sz w:val="22"/>
                <w:szCs w:val="22"/>
              </w:rPr>
            </w:pPr>
          </w:p>
        </w:tc>
        <w:tc>
          <w:tcPr>
            <w:tcW w:w="850"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pPr>
              <w:widowControl/>
              <w:jc w:val="left"/>
              <w:rPr>
                <w:rFonts w:hint="eastAsia" w:ascii="宋体" w:hAnsi="宋体" w:cs="宋体"/>
                <w:color w:val="000000"/>
                <w:kern w:val="0"/>
                <w:sz w:val="22"/>
                <w:szCs w:val="22"/>
              </w:rPr>
            </w:pPr>
          </w:p>
        </w:tc>
        <w:tc>
          <w:tcPr>
            <w:tcW w:w="1701" w:type="dxa"/>
            <w:vMerge w:val="continue"/>
            <w:vAlign w:val="center"/>
          </w:tcPr>
          <w:p>
            <w:pPr>
              <w:widowControl/>
              <w:jc w:val="left"/>
              <w:rPr>
                <w:rFonts w:hint="eastAsia" w:ascii="宋体" w:hAnsi="宋体" w:cs="宋体"/>
                <w:color w:val="000000"/>
                <w:kern w:val="0"/>
                <w:sz w:val="22"/>
                <w:szCs w:val="22"/>
              </w:rPr>
            </w:pPr>
          </w:p>
        </w:tc>
        <w:tc>
          <w:tcPr>
            <w:tcW w:w="4111" w:type="dxa"/>
            <w:vAlign w:val="center"/>
          </w:tcPr>
          <w:p>
            <w:pPr>
              <w:widowControl/>
              <w:rPr>
                <w:rFonts w:hint="eastAsia" w:ascii="宋体" w:hAnsi="宋体" w:cs="宋体"/>
                <w:color w:val="000000"/>
                <w:kern w:val="0"/>
                <w:sz w:val="22"/>
                <w:szCs w:val="22"/>
              </w:rPr>
            </w:pPr>
          </w:p>
        </w:tc>
        <w:tc>
          <w:tcPr>
            <w:tcW w:w="850"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pPr>
              <w:widowControl/>
              <w:jc w:val="left"/>
              <w:rPr>
                <w:rFonts w:hint="eastAsia" w:ascii="宋体" w:hAnsi="宋体" w:cs="宋体"/>
                <w:color w:val="000000"/>
                <w:kern w:val="0"/>
                <w:sz w:val="22"/>
                <w:szCs w:val="22"/>
              </w:rPr>
            </w:pPr>
          </w:p>
        </w:tc>
        <w:tc>
          <w:tcPr>
            <w:tcW w:w="1701" w:type="dxa"/>
            <w:vMerge w:val="continue"/>
            <w:vAlign w:val="center"/>
          </w:tcPr>
          <w:p>
            <w:pPr>
              <w:widowControl/>
              <w:jc w:val="left"/>
              <w:rPr>
                <w:rFonts w:hint="eastAsia" w:ascii="宋体" w:hAnsi="宋体" w:cs="宋体"/>
                <w:color w:val="000000"/>
                <w:kern w:val="0"/>
                <w:sz w:val="22"/>
                <w:szCs w:val="22"/>
              </w:rPr>
            </w:pPr>
          </w:p>
        </w:tc>
        <w:tc>
          <w:tcPr>
            <w:tcW w:w="4111" w:type="dxa"/>
            <w:vAlign w:val="center"/>
          </w:tcPr>
          <w:p>
            <w:pPr>
              <w:widowControl/>
              <w:rPr>
                <w:rFonts w:hint="eastAsia" w:ascii="宋体" w:hAnsi="宋体" w:cs="宋体"/>
                <w:color w:val="000000"/>
                <w:kern w:val="0"/>
                <w:sz w:val="22"/>
                <w:szCs w:val="22"/>
              </w:rPr>
            </w:pPr>
          </w:p>
        </w:tc>
        <w:tc>
          <w:tcPr>
            <w:tcW w:w="850"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r>
    </w:tbl>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8" w:name="_Hlk72094407"/>
      <w:r>
        <w:rPr>
          <w:rFonts w:hint="eastAsia"/>
          <w:bCs/>
          <w:szCs w:val="21"/>
        </w:rPr>
        <w:t>对应“用户需求书”中的“技术要求”章节</w:t>
      </w:r>
      <w:bookmarkEnd w:id="8"/>
      <w:r>
        <w:rPr>
          <w:rFonts w:hint="eastAsia"/>
          <w:bCs/>
          <w:szCs w:val="21"/>
        </w:rPr>
        <w:t>相关内容。</w:t>
      </w:r>
    </w:p>
    <w:p>
      <w:pPr>
        <w:widowControl/>
        <w:ind w:firstLine="420" w:firstLineChars="200"/>
        <w:outlineLvl w:val="1"/>
        <w:rPr>
          <w:bCs/>
          <w:color w:val="FF0000"/>
          <w:szCs w:val="21"/>
        </w:rPr>
      </w:pPr>
      <w:r>
        <w:rPr>
          <w:bCs/>
          <w:kern w:val="0"/>
          <w:szCs w:val="21"/>
        </w:rPr>
        <w:t>2</w:t>
      </w:r>
      <w:r>
        <w:rPr>
          <w:rFonts w:hint="eastAsia"/>
          <w:bCs/>
          <w:kern w:val="0"/>
          <w:szCs w:val="21"/>
        </w:rPr>
        <w:t>、“投标技术响应”一栏必须一一对照“招标技术要求”，详细填写投标人自身投标货物的具体参数，而不能不合理照搬照抄招标文件的技术要求，以体现具体响应情况。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pPr>
        <w:ind w:firstLine="420" w:firstLineChars="200"/>
        <w:rPr>
          <w:bCs/>
          <w:color w:val="FF0000"/>
          <w:szCs w:val="21"/>
        </w:rPr>
      </w:pPr>
      <w:r>
        <w:rPr>
          <w:bCs/>
          <w:szCs w:val="21"/>
        </w:rPr>
        <w:t>3</w:t>
      </w:r>
      <w:r>
        <w:rPr>
          <w:rFonts w:hint="eastAsia"/>
          <w:bCs/>
          <w:szCs w:val="21"/>
        </w:rPr>
        <w:t>、</w:t>
      </w:r>
      <w:bookmarkStart w:id="9" w:name="_Hlk72158270"/>
      <w:r>
        <w:rPr>
          <w:rFonts w:hint="eastAsia"/>
          <w:bCs/>
          <w:szCs w:val="21"/>
        </w:rPr>
        <w:t>“偏离情况”</w:t>
      </w:r>
      <w:bookmarkEnd w:id="9"/>
      <w:r>
        <w:rPr>
          <w:rFonts w:hint="eastAsia"/>
          <w:bCs/>
          <w:szCs w:val="21"/>
        </w:rPr>
        <w:t>一栏填写如实填写“正偏离”、“负偏离”或“无偏离”，其中：</w:t>
      </w:r>
      <w:bookmarkStart w:id="10" w:name="_Hlk72093866"/>
      <w:r>
        <w:rPr>
          <w:rFonts w:hint="eastAsia"/>
          <w:bCs/>
          <w:szCs w:val="21"/>
        </w:rPr>
        <w:t>“正偏离”表示“投标响应优于招标技术要求”，“负偏离”表示“投标响应不满足招标技术要求”，“无偏离”表示“投标响应与招标技术要求一致”</w:t>
      </w:r>
      <w:bookmarkEnd w:id="10"/>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11" w:name="_Hlk72096106"/>
      <w:r>
        <w:rPr>
          <w:rFonts w:hint="eastAsia"/>
          <w:bCs/>
          <w:szCs w:val="21"/>
        </w:rPr>
        <w:t>证明资料条款响应要求</w:t>
      </w:r>
      <w:bookmarkEnd w:id="11"/>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12"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3" w:name="_Hlk73558164"/>
      <w:r>
        <w:rPr>
          <w:rFonts w:hint="eastAsia"/>
          <w:bCs/>
          <w:szCs w:val="21"/>
        </w:rPr>
        <w:t>且投标人在“偏离情况”一栏响应为“正偏离”或“无偏离”的，经采购人认定，将判定为负偏离。</w:t>
      </w:r>
      <w:bookmarkEnd w:id="12"/>
      <w:bookmarkEnd w:id="13"/>
    </w:p>
    <w:p>
      <w:pPr>
        <w:ind w:firstLine="420" w:firstLineChars="200"/>
        <w:rPr>
          <w:bCs/>
          <w:szCs w:val="21"/>
        </w:rPr>
      </w:pPr>
      <w:r>
        <w:rPr>
          <w:rFonts w:hint="eastAsia"/>
          <w:bCs/>
          <w:szCs w:val="21"/>
        </w:rPr>
        <w:t>6、</w:t>
      </w:r>
      <w:bookmarkStart w:id="14" w:name="_Hlk72096137"/>
      <w:r>
        <w:rPr>
          <w:rFonts w:hint="eastAsia"/>
          <w:bCs/>
          <w:szCs w:val="21"/>
        </w:rPr>
        <w:t>表后“证明资料”部分内容的编制</w:t>
      </w:r>
      <w:bookmarkEnd w:id="14"/>
      <w:r>
        <w:rPr>
          <w:rFonts w:hint="eastAsia"/>
          <w:bCs/>
          <w:szCs w:val="21"/>
        </w:rPr>
        <w:t>：提供的所有证明资料应当统一编号（排序），且证明资料的编号（顺序）、数量和名称（形式）均应与“说明”一栏所填内容保持一致（一一对应），以便采购人查看。</w:t>
      </w:r>
      <w:bookmarkStart w:id="15" w:name="_Hlk73558180"/>
      <w:r>
        <w:rPr>
          <w:rFonts w:hint="eastAsia"/>
          <w:bCs/>
          <w:szCs w:val="21"/>
        </w:rPr>
        <w:t>未按照招标文件要求在表后放置证明材料的供应商将承担不利后果，经采购人认定，相关技术要求将判定为负偏离。</w:t>
      </w:r>
      <w:bookmarkEnd w:id="15"/>
    </w:p>
    <w:p>
      <w:pPr>
        <w:ind w:firstLine="420" w:firstLineChars="200"/>
        <w:rPr>
          <w:bCs/>
          <w:szCs w:val="21"/>
        </w:rPr>
      </w:pPr>
      <w:r>
        <w:rPr>
          <w:rFonts w:hint="eastAsia"/>
          <w:bCs/>
          <w:szCs w:val="21"/>
        </w:rPr>
        <w:t>7、</w:t>
      </w:r>
      <w:bookmarkStart w:id="16" w:name="_Hlk72096176"/>
      <w:r>
        <w:rPr>
          <w:rFonts w:hint="eastAsia"/>
          <w:bCs/>
          <w:szCs w:val="21"/>
        </w:rPr>
        <w:t>证明资料的形式及其它具体要求</w:t>
      </w:r>
      <w:bookmarkEnd w:id="16"/>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（1）采购人有权对投标人的响应情况作出判断（评审结论）；</w:t>
      </w:r>
    </w:p>
    <w:p>
      <w:pPr>
        <w:ind w:firstLine="420" w:firstLineChars="200"/>
        <w:rPr>
          <w:bCs/>
          <w:szCs w:val="21"/>
        </w:rPr>
      </w:pPr>
      <w:r>
        <w:rPr>
          <w:rFonts w:hint="eastAsia"/>
          <w:bCs/>
          <w:szCs w:val="21"/>
        </w:rPr>
        <w:t>（2）</w:t>
      </w:r>
      <w:bookmarkStart w:id="17" w:name="_Hlk72158213"/>
      <w:r>
        <w:rPr>
          <w:rFonts w:hint="eastAsia"/>
          <w:bCs/>
          <w:szCs w:val="21"/>
        </w:rPr>
        <w:t>采购人有权对以谋取中标为目的的技术规格模糊响应（如有意不合理照搬照抄招标文件的技术要求）或虚假响应予以认定，并视情况经政府集中采购机构报主管部门进行处理。</w:t>
      </w:r>
      <w:bookmarkEnd w:id="17"/>
    </w:p>
    <w:p>
      <w:pPr>
        <w:ind w:firstLine="482" w:firstLineChars="200"/>
        <w:rPr>
          <w:b/>
          <w:sz w:val="24"/>
        </w:rPr>
      </w:pPr>
    </w:p>
    <w:p>
      <w:pPr>
        <w:widowControl/>
        <w:jc w:val="left"/>
        <w:rPr>
          <w:rFonts w:hint="eastAsia" w:ascii="宋体" w:hAnsi="宋体"/>
          <w:b/>
          <w:sz w:val="30"/>
          <w:szCs w:val="30"/>
        </w:rPr>
      </w:pPr>
      <w:r>
        <w:rPr>
          <w:rFonts w:hint="eastAsia" w:ascii="宋体" w:hAnsi="宋体" w:cs="宋体"/>
          <w:b/>
          <w:szCs w:val="21"/>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七、★商务要求偏离表</w:t>
      </w:r>
    </w:p>
    <w:p>
      <w:pPr>
        <w:pStyle w:val="29"/>
        <w:ind w:firstLine="478" w:firstLineChars="228"/>
        <w:jc w:val="left"/>
        <w:rPr>
          <w:rFonts w:hint="eastAsia" w:ascii="宋体" w:hAnsi="宋体" w:cs="宋体"/>
        </w:rPr>
      </w:pPr>
      <w:r>
        <w:rPr>
          <w:rFonts w:hint="eastAsia" w:ascii="宋体" w:hAnsi="宋体" w:cs="宋体"/>
        </w:rPr>
        <w:t>请对照用户需求书填写商务条款响应情况，保证商务条款实质性响应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1"/>
        <w:tblW w:w="5092" w:type="pct"/>
        <w:tblInd w:w="-152" w:type="dxa"/>
        <w:tblLayout w:type="autofit"/>
        <w:tblCellMar>
          <w:top w:w="0" w:type="dxa"/>
          <w:left w:w="108" w:type="dxa"/>
          <w:bottom w:w="0" w:type="dxa"/>
          <w:right w:w="108" w:type="dxa"/>
        </w:tblCellMar>
      </w:tblPr>
      <w:tblGrid>
        <w:gridCol w:w="776"/>
        <w:gridCol w:w="1644"/>
        <w:gridCol w:w="3138"/>
        <w:gridCol w:w="1040"/>
        <w:gridCol w:w="1040"/>
        <w:gridCol w:w="1041"/>
      </w:tblGrid>
      <w:tr>
        <w:tblPrEx>
          <w:tblCellMar>
            <w:top w:w="0" w:type="dxa"/>
            <w:left w:w="108" w:type="dxa"/>
            <w:bottom w:w="0" w:type="dxa"/>
            <w:right w:w="108" w:type="dxa"/>
          </w:tblCellMar>
        </w:tblPrEx>
        <w:trPr>
          <w:trHeight w:val="512" w:hRule="atLeast"/>
        </w:trPr>
        <w:tc>
          <w:tcPr>
            <w:tcW w:w="447" w:type="pct"/>
            <w:tcBorders>
              <w:top w:val="single" w:color="000000" w:sz="8" w:space="0"/>
              <w:left w:val="single" w:color="000000" w:sz="8" w:space="0"/>
              <w:bottom w:val="single" w:color="000000" w:sz="8" w:space="0"/>
              <w:right w:val="single" w:color="000000" w:sz="8" w:space="0"/>
            </w:tcBorders>
            <w:shd w:val="clear" w:color="auto" w:fill="C7D9F1"/>
            <w:vAlign w:val="center"/>
          </w:tcPr>
          <w:p>
            <w:pPr>
              <w:widowControl/>
              <w:jc w:val="center"/>
              <w:rPr>
                <w:rFonts w:hint="eastAsia" w:ascii="宋体" w:hAnsi="宋体" w:eastAsia="宋体" w:cs="Times New Roman"/>
                <w:b/>
                <w:bCs/>
                <w:snapToGrid w:val="0"/>
                <w:color w:val="000000"/>
                <w:kern w:val="0"/>
                <w:szCs w:val="21"/>
              </w:rPr>
            </w:pPr>
            <w:r>
              <w:rPr>
                <w:rFonts w:hint="eastAsia" w:ascii="Times New Roman" w:hAnsi="Times New Roman" w:eastAsia="宋体" w:cs="Times New Roman"/>
                <w:b/>
              </w:rPr>
              <w:t>序号</w:t>
            </w:r>
          </w:p>
        </w:tc>
        <w:tc>
          <w:tcPr>
            <w:tcW w:w="947"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eastAsia="宋体" w:cs="Times New Roman"/>
                <w:b/>
                <w:bCs/>
                <w:snapToGrid w:val="0"/>
                <w:color w:val="000000"/>
                <w:kern w:val="0"/>
                <w:szCs w:val="21"/>
              </w:rPr>
            </w:pPr>
            <w:r>
              <w:rPr>
                <w:rFonts w:hint="eastAsia" w:ascii="Times New Roman" w:hAnsi="Times New Roman" w:eastAsia="宋体" w:cs="Times New Roman"/>
                <w:b/>
              </w:rPr>
              <w:t>商务需求项</w:t>
            </w:r>
          </w:p>
        </w:tc>
        <w:tc>
          <w:tcPr>
            <w:tcW w:w="1807"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eastAsia="宋体" w:cs="Times New Roman"/>
                <w:b/>
                <w:bCs/>
                <w:snapToGrid w:val="0"/>
                <w:color w:val="000000"/>
                <w:kern w:val="0"/>
                <w:szCs w:val="21"/>
              </w:rPr>
            </w:pPr>
            <w:r>
              <w:rPr>
                <w:rFonts w:hint="eastAsia" w:ascii="Times New Roman" w:hAnsi="Times New Roman" w:eastAsia="宋体" w:cs="Times New Roman"/>
                <w:b/>
              </w:rPr>
              <w:t>招标商务要求</w:t>
            </w:r>
          </w:p>
        </w:tc>
        <w:tc>
          <w:tcPr>
            <w:tcW w:w="599"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ascii="Times New Roman" w:hAnsi="Times New Roman" w:eastAsia="宋体" w:cs="Times New Roman"/>
                <w:b/>
              </w:rPr>
            </w:pPr>
            <w:r>
              <w:rPr>
                <w:rFonts w:hint="eastAsia" w:ascii="宋体" w:hAnsi="宋体" w:eastAsia="宋体" w:cs="宋体"/>
                <w:b/>
                <w:bCs/>
                <w:snapToGrid w:val="0"/>
                <w:kern w:val="0"/>
                <w:szCs w:val="21"/>
              </w:rPr>
              <w:t>应答条款</w:t>
            </w:r>
          </w:p>
        </w:tc>
        <w:tc>
          <w:tcPr>
            <w:tcW w:w="599"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ascii="Times New Roman" w:hAnsi="Times New Roman" w:eastAsia="宋体" w:cs="Times New Roman"/>
                <w:b/>
              </w:rPr>
            </w:pPr>
            <w:r>
              <w:rPr>
                <w:rFonts w:hint="eastAsia" w:ascii="宋体" w:hAnsi="宋体" w:eastAsia="宋体" w:cs="宋体"/>
                <w:b/>
                <w:bCs/>
                <w:snapToGrid w:val="0"/>
                <w:kern w:val="0"/>
                <w:szCs w:val="21"/>
              </w:rPr>
              <w:t>偏离情况</w:t>
            </w:r>
          </w:p>
        </w:tc>
        <w:tc>
          <w:tcPr>
            <w:tcW w:w="599"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ascii="Times New Roman" w:hAnsi="Times New Roman" w:eastAsia="宋体" w:cs="Times New Roman"/>
                <w:b/>
              </w:rPr>
            </w:pPr>
            <w:r>
              <w:rPr>
                <w:rFonts w:hint="eastAsia" w:ascii="宋体" w:hAnsi="宋体" w:eastAsia="宋体" w:cs="宋体"/>
                <w:b/>
                <w:bCs/>
                <w:snapToGrid w:val="0"/>
                <w:kern w:val="0"/>
                <w:szCs w:val="21"/>
              </w:rPr>
              <w:t>备注</w:t>
            </w:r>
          </w:p>
        </w:tc>
      </w:tr>
      <w:tr>
        <w:tblPrEx>
          <w:tblCellMar>
            <w:top w:w="0" w:type="dxa"/>
            <w:left w:w="108" w:type="dxa"/>
            <w:bottom w:w="0" w:type="dxa"/>
            <w:right w:w="108" w:type="dxa"/>
          </w:tblCellMar>
        </w:tblPrEx>
        <w:trPr>
          <w:trHeight w:val="512" w:hRule="atLeast"/>
        </w:trPr>
        <w:tc>
          <w:tcPr>
            <w:tcW w:w="447" w:type="pc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jc w:val="center"/>
              <w:rPr>
                <w:rFonts w:hint="eastAsia" w:ascii="Times New Roman" w:hAnsi="Times New Roman" w:eastAsia="宋体" w:cs="Times New Roman"/>
                <w:b/>
              </w:rPr>
            </w:pPr>
          </w:p>
        </w:tc>
        <w:tc>
          <w:tcPr>
            <w:tcW w:w="947" w:type="pct"/>
            <w:tcBorders>
              <w:top w:val="single" w:color="000000" w:sz="8" w:space="0"/>
              <w:left w:val="nil"/>
              <w:bottom w:val="single" w:color="000000" w:sz="8" w:space="0"/>
              <w:right w:val="single" w:color="000000" w:sz="8" w:space="0"/>
            </w:tcBorders>
            <w:shd w:val="clear" w:color="auto" w:fill="FFFFFF" w:themeFill="background1"/>
            <w:vAlign w:val="center"/>
          </w:tcPr>
          <w:p>
            <w:pPr>
              <w:widowControl/>
              <w:jc w:val="center"/>
              <w:rPr>
                <w:rFonts w:hint="eastAsia" w:ascii="Times New Roman" w:hAnsi="Times New Roman" w:eastAsia="宋体" w:cs="Times New Roman"/>
                <w:b/>
              </w:rPr>
            </w:pPr>
          </w:p>
        </w:tc>
        <w:tc>
          <w:tcPr>
            <w:tcW w:w="1807" w:type="pct"/>
            <w:tcBorders>
              <w:top w:val="single" w:color="000000" w:sz="8" w:space="0"/>
              <w:left w:val="nil"/>
              <w:bottom w:val="single" w:color="000000" w:sz="8" w:space="0"/>
              <w:right w:val="single" w:color="000000" w:sz="8" w:space="0"/>
            </w:tcBorders>
            <w:shd w:val="clear" w:color="auto" w:fill="FFFFFF" w:themeFill="background1"/>
            <w:vAlign w:val="center"/>
          </w:tcPr>
          <w:p>
            <w:pPr>
              <w:widowControl/>
              <w:jc w:val="center"/>
              <w:rPr>
                <w:rFonts w:hint="eastAsia" w:ascii="Times New Roman" w:hAnsi="Times New Roman" w:eastAsia="宋体" w:cs="Times New Roman"/>
                <w:b/>
              </w:rPr>
            </w:pPr>
          </w:p>
        </w:tc>
        <w:tc>
          <w:tcPr>
            <w:tcW w:w="599" w:type="pct"/>
            <w:tcBorders>
              <w:top w:val="single" w:color="000000" w:sz="8" w:space="0"/>
              <w:left w:val="nil"/>
              <w:bottom w:val="single" w:color="000000" w:sz="8" w:space="0"/>
              <w:right w:val="single" w:color="000000" w:sz="8" w:space="0"/>
            </w:tcBorders>
            <w:shd w:val="clear" w:color="auto" w:fill="FFFFFF" w:themeFill="background1"/>
            <w:vAlign w:val="center"/>
          </w:tcPr>
          <w:p>
            <w:pPr>
              <w:widowControl/>
              <w:jc w:val="center"/>
              <w:rPr>
                <w:rFonts w:hint="eastAsia" w:ascii="宋体" w:hAnsi="宋体" w:eastAsia="宋体" w:cs="宋体"/>
                <w:b/>
                <w:bCs/>
                <w:snapToGrid w:val="0"/>
                <w:kern w:val="0"/>
                <w:szCs w:val="21"/>
              </w:rPr>
            </w:pPr>
          </w:p>
        </w:tc>
        <w:tc>
          <w:tcPr>
            <w:tcW w:w="599" w:type="pct"/>
            <w:tcBorders>
              <w:top w:val="single" w:color="000000" w:sz="8" w:space="0"/>
              <w:left w:val="nil"/>
              <w:bottom w:val="single" w:color="000000" w:sz="8" w:space="0"/>
              <w:right w:val="single" w:color="000000" w:sz="8" w:space="0"/>
            </w:tcBorders>
            <w:shd w:val="clear" w:color="auto" w:fill="FFFFFF" w:themeFill="background1"/>
            <w:vAlign w:val="center"/>
          </w:tcPr>
          <w:p>
            <w:pPr>
              <w:widowControl/>
              <w:jc w:val="center"/>
              <w:rPr>
                <w:rFonts w:hint="eastAsia" w:ascii="宋体" w:hAnsi="宋体" w:eastAsia="宋体" w:cs="宋体"/>
                <w:b/>
                <w:bCs/>
                <w:snapToGrid w:val="0"/>
                <w:kern w:val="0"/>
                <w:szCs w:val="21"/>
              </w:rPr>
            </w:pPr>
          </w:p>
        </w:tc>
        <w:tc>
          <w:tcPr>
            <w:tcW w:w="599" w:type="pct"/>
            <w:tcBorders>
              <w:top w:val="single" w:color="000000" w:sz="8" w:space="0"/>
              <w:left w:val="nil"/>
              <w:bottom w:val="single" w:color="000000" w:sz="8" w:space="0"/>
              <w:right w:val="single" w:color="000000" w:sz="8" w:space="0"/>
            </w:tcBorders>
            <w:shd w:val="clear" w:color="auto" w:fill="FFFFFF" w:themeFill="background1"/>
            <w:vAlign w:val="center"/>
          </w:tcPr>
          <w:p>
            <w:pPr>
              <w:widowControl/>
              <w:jc w:val="center"/>
              <w:rPr>
                <w:rFonts w:hint="eastAsia" w:ascii="宋体" w:hAnsi="宋体" w:eastAsia="宋体" w:cs="宋体"/>
                <w:b/>
                <w:bCs/>
                <w:snapToGrid w:val="0"/>
                <w:kern w:val="0"/>
                <w:szCs w:val="21"/>
              </w:rPr>
            </w:pPr>
          </w:p>
        </w:tc>
      </w:tr>
    </w:tbl>
    <w:p>
      <w:pPr>
        <w:ind w:firstLine="420" w:firstLineChars="200"/>
        <w:rPr>
          <w:rFonts w:hint="eastAsia"/>
          <w:bCs/>
          <w:szCs w:val="21"/>
        </w:rPr>
      </w:pPr>
    </w:p>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spacing w:line="360" w:lineRule="auto"/>
        <w:ind w:firstLine="422" w:firstLineChars="200"/>
        <w:rPr>
          <w:rFonts w:hint="eastAsia" w:ascii="宋体" w:hAnsi="宋体" w:cs="宋体"/>
          <w:kern w:val="0"/>
          <w:szCs w:val="21"/>
        </w:rPr>
      </w:pPr>
      <w:r>
        <w:rPr>
          <w:rFonts w:hint="eastAsia" w:ascii="宋体" w:hAnsi="宋体" w:cs="宋体"/>
          <w:b/>
          <w:szCs w:val="21"/>
        </w:rPr>
        <w:br w:type="page"/>
      </w:r>
    </w:p>
    <w:p>
      <w:pPr>
        <w:widowControl/>
        <w:jc w:val="left"/>
        <w:rPr>
          <w:rFonts w:hint="eastAsia" w:ascii="宋体" w:hAnsi="宋体"/>
          <w:b/>
          <w:sz w:val="30"/>
          <w:szCs w:val="30"/>
        </w:rPr>
      </w:pPr>
    </w:p>
    <w:p>
      <w:pPr>
        <w:pStyle w:val="29"/>
        <w:ind w:firstLine="0" w:firstLineChars="0"/>
        <w:jc w:val="center"/>
        <w:outlineLvl w:val="1"/>
      </w:pPr>
      <w:r>
        <w:rPr>
          <w:rFonts w:hint="eastAsia" w:ascii="宋体" w:hAnsi="宋体"/>
          <w:b/>
          <w:sz w:val="30"/>
          <w:szCs w:val="30"/>
        </w:rPr>
        <w:t>八、报价表</w:t>
      </w:r>
    </w:p>
    <w:p>
      <w:pPr>
        <w:pStyle w:val="29"/>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18" w:name="OLE_LINK46"/>
      <w:bookmarkStart w:id="19" w:name="OLE_LINK48"/>
    </w:p>
    <w:p>
      <w:pPr>
        <w:spacing w:line="360" w:lineRule="auto"/>
        <w:rPr>
          <w:rFonts w:hint="eastAsia" w:ascii="宋体" w:hAnsi="宋体" w:cs="宋体"/>
          <w:szCs w:val="21"/>
        </w:rPr>
      </w:pPr>
      <w:r>
        <w:rPr>
          <w:rFonts w:hint="eastAsia" w:ascii="宋体" w:hAnsi="宋体" w:cs="宋体"/>
          <w:szCs w:val="21"/>
        </w:rPr>
        <w:t>项目编号：</w:t>
      </w:r>
    </w:p>
    <w:tbl>
      <w:tblPr>
        <w:tblStyle w:val="21"/>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50" w:hRule="atLeast"/>
          <w:jc w:val="center"/>
        </w:trPr>
        <w:tc>
          <w:tcPr>
            <w:tcW w:w="1869" w:type="pct"/>
            <w:vAlign w:val="center"/>
          </w:tcPr>
          <w:p>
            <w:pPr>
              <w:pStyle w:val="12"/>
              <w:jc w:val="center"/>
              <w:rPr>
                <w:rFonts w:hint="eastAsia" w:hAnsi="宋体" w:cs="宋体"/>
                <w:szCs w:val="21"/>
              </w:rPr>
            </w:pPr>
            <w:r>
              <w:rPr>
                <w:rFonts w:hint="eastAsia" w:hAnsi="宋体" w:cs="宋体"/>
                <w:szCs w:val="21"/>
              </w:rPr>
              <w:t>项目名称</w:t>
            </w:r>
          </w:p>
        </w:tc>
        <w:tc>
          <w:tcPr>
            <w:tcW w:w="2058" w:type="pct"/>
            <w:vAlign w:val="center"/>
          </w:tcPr>
          <w:p>
            <w:pPr>
              <w:pStyle w:val="12"/>
              <w:jc w:val="center"/>
              <w:rPr>
                <w:rFonts w:hint="eastAsia" w:hAnsi="宋体" w:cs="宋体"/>
                <w:szCs w:val="21"/>
              </w:rPr>
            </w:pPr>
            <w:r>
              <w:rPr>
                <w:rFonts w:hint="eastAsia" w:hAnsi="宋体" w:cs="宋体"/>
                <w:szCs w:val="21"/>
              </w:rPr>
              <w:t>报价总价</w:t>
            </w:r>
          </w:p>
          <w:p>
            <w:pPr>
              <w:pStyle w:val="12"/>
              <w:jc w:val="center"/>
              <w:rPr>
                <w:rFonts w:hint="eastAsia" w:hAnsi="宋体" w:cs="宋体"/>
                <w:szCs w:val="21"/>
              </w:rPr>
            </w:pPr>
            <w:r>
              <w:rPr>
                <w:rFonts w:hint="eastAsia" w:hAnsi="宋体" w:cs="宋体"/>
                <w:szCs w:val="21"/>
              </w:rPr>
              <w:t>（人民币/元）</w:t>
            </w:r>
          </w:p>
        </w:tc>
        <w:tc>
          <w:tcPr>
            <w:tcW w:w="1073" w:type="pct"/>
            <w:vAlign w:val="center"/>
          </w:tcPr>
          <w:p>
            <w:pPr>
              <w:pStyle w:val="12"/>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12"/>
              <w:rPr>
                <w:rFonts w:hint="eastAsia" w:hAnsi="宋体" w:cs="宋体"/>
                <w:szCs w:val="21"/>
              </w:rPr>
            </w:pPr>
          </w:p>
        </w:tc>
        <w:tc>
          <w:tcPr>
            <w:tcW w:w="2058" w:type="pct"/>
            <w:vAlign w:val="center"/>
          </w:tcPr>
          <w:p>
            <w:pPr>
              <w:pStyle w:val="12"/>
              <w:rPr>
                <w:rFonts w:hint="eastAsia" w:hAnsi="宋体" w:cs="宋体"/>
                <w:szCs w:val="21"/>
              </w:rPr>
            </w:pPr>
          </w:p>
          <w:p>
            <w:pPr>
              <w:pStyle w:val="12"/>
              <w:rPr>
                <w:rFonts w:hint="eastAsia" w:hAnsi="宋体" w:cs="宋体"/>
                <w:szCs w:val="21"/>
              </w:rPr>
            </w:pPr>
            <w:r>
              <w:rPr>
                <w:rFonts w:hint="eastAsia" w:hAnsi="宋体" w:cs="宋体"/>
                <w:szCs w:val="21"/>
              </w:rPr>
              <w:t>小写：</w:t>
            </w:r>
          </w:p>
          <w:p>
            <w:pPr>
              <w:pStyle w:val="12"/>
              <w:rPr>
                <w:rFonts w:hint="eastAsia" w:hAnsi="宋体" w:cs="宋体"/>
                <w:szCs w:val="21"/>
              </w:rPr>
            </w:pPr>
          </w:p>
          <w:p>
            <w:pPr>
              <w:pStyle w:val="12"/>
              <w:rPr>
                <w:rFonts w:hint="eastAsia" w:hAnsi="宋体" w:cs="宋体"/>
                <w:szCs w:val="21"/>
              </w:rPr>
            </w:pPr>
            <w:r>
              <w:rPr>
                <w:rFonts w:hint="eastAsia" w:hAnsi="宋体" w:cs="宋体"/>
                <w:szCs w:val="21"/>
              </w:rPr>
              <w:t>大写：</w:t>
            </w:r>
          </w:p>
          <w:p>
            <w:pPr>
              <w:pStyle w:val="12"/>
              <w:rPr>
                <w:rFonts w:hint="eastAsia" w:hAnsi="宋体" w:cs="宋体"/>
                <w:szCs w:val="21"/>
              </w:rPr>
            </w:pPr>
          </w:p>
        </w:tc>
        <w:tc>
          <w:tcPr>
            <w:tcW w:w="1073" w:type="pct"/>
            <w:vAlign w:val="center"/>
          </w:tcPr>
          <w:p>
            <w:pPr>
              <w:pStyle w:val="12"/>
              <w:rPr>
                <w:rFonts w:hint="eastAsia" w:hAnsi="宋体" w:cs="宋体"/>
                <w:szCs w:val="21"/>
              </w:rPr>
            </w:pP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tabs>
          <w:tab w:val="left" w:pos="720"/>
        </w:tabs>
        <w:jc w:val="center"/>
        <w:rPr>
          <w:rFonts w:hint="eastAsia" w:ascii="宋体" w:hAnsi="宋体" w:cs="宋体"/>
          <w:b/>
          <w:bCs/>
          <w:sz w:val="28"/>
          <w:szCs w:val="28"/>
        </w:rPr>
      </w:pPr>
      <w:r>
        <w:rPr>
          <w:rFonts w:hint="eastAsia" w:ascii="宋体" w:hAnsi="宋体" w:cs="宋体"/>
          <w:b/>
          <w:bCs/>
          <w:sz w:val="28"/>
          <w:szCs w:val="28"/>
        </w:rPr>
        <w:t>（二）分项报价表</w:t>
      </w:r>
    </w:p>
    <w:tbl>
      <w:tblPr>
        <w:tblStyle w:val="2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47"/>
        <w:gridCol w:w="703"/>
        <w:gridCol w:w="703"/>
        <w:gridCol w:w="843"/>
        <w:gridCol w:w="992"/>
        <w:gridCol w:w="567"/>
        <w:gridCol w:w="567"/>
        <w:gridCol w:w="709"/>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rFonts w:hint="eastAsia"/>
                <w:bCs/>
                <w:szCs w:val="21"/>
              </w:rPr>
              <w:t>序号</w:t>
            </w:r>
          </w:p>
        </w:tc>
        <w:tc>
          <w:tcPr>
            <w:tcW w:w="1147" w:type="dxa"/>
            <w:vAlign w:val="center"/>
          </w:tcPr>
          <w:p>
            <w:pPr>
              <w:jc w:val="center"/>
              <w:rPr>
                <w:bCs/>
                <w:szCs w:val="21"/>
              </w:rPr>
            </w:pPr>
            <w:r>
              <w:rPr>
                <w:rFonts w:hint="eastAsia"/>
                <w:bCs/>
                <w:szCs w:val="21"/>
              </w:rPr>
              <w:t>货物名称</w:t>
            </w:r>
          </w:p>
        </w:tc>
        <w:tc>
          <w:tcPr>
            <w:tcW w:w="703" w:type="dxa"/>
            <w:vAlign w:val="center"/>
          </w:tcPr>
          <w:p>
            <w:pPr>
              <w:jc w:val="center"/>
              <w:rPr>
                <w:bCs/>
                <w:szCs w:val="21"/>
              </w:rPr>
            </w:pPr>
            <w:r>
              <w:rPr>
                <w:rFonts w:hint="eastAsia"/>
                <w:szCs w:val="21"/>
              </w:rPr>
              <w:t>品牌</w:t>
            </w:r>
          </w:p>
        </w:tc>
        <w:tc>
          <w:tcPr>
            <w:tcW w:w="703" w:type="dxa"/>
            <w:vAlign w:val="center"/>
          </w:tcPr>
          <w:p>
            <w:pPr>
              <w:jc w:val="center"/>
              <w:rPr>
                <w:bCs/>
                <w:szCs w:val="21"/>
              </w:rPr>
            </w:pPr>
            <w:r>
              <w:rPr>
                <w:rFonts w:hint="eastAsia"/>
                <w:szCs w:val="21"/>
              </w:rPr>
              <w:t>规格/型号</w:t>
            </w:r>
          </w:p>
        </w:tc>
        <w:tc>
          <w:tcPr>
            <w:tcW w:w="843" w:type="dxa"/>
            <w:vAlign w:val="center"/>
          </w:tcPr>
          <w:p>
            <w:pPr>
              <w:jc w:val="center"/>
              <w:rPr>
                <w:bCs/>
                <w:szCs w:val="21"/>
              </w:rPr>
            </w:pPr>
            <w:r>
              <w:rPr>
                <w:rFonts w:hint="eastAsia"/>
                <w:b/>
                <w:color w:val="FF0000"/>
                <w:szCs w:val="21"/>
              </w:rPr>
              <w:t>原产地</w:t>
            </w:r>
          </w:p>
        </w:tc>
        <w:tc>
          <w:tcPr>
            <w:tcW w:w="992" w:type="dxa"/>
            <w:vAlign w:val="center"/>
          </w:tcPr>
          <w:p>
            <w:pPr>
              <w:jc w:val="center"/>
              <w:rPr>
                <w:bCs/>
                <w:szCs w:val="21"/>
              </w:rPr>
            </w:pPr>
            <w:r>
              <w:rPr>
                <w:rFonts w:hint="eastAsia"/>
                <w:szCs w:val="21"/>
              </w:rPr>
              <w:t>制造商名称</w:t>
            </w:r>
          </w:p>
        </w:tc>
        <w:tc>
          <w:tcPr>
            <w:tcW w:w="567" w:type="dxa"/>
            <w:vAlign w:val="center"/>
          </w:tcPr>
          <w:p>
            <w:pPr>
              <w:jc w:val="center"/>
              <w:rPr>
                <w:bCs/>
                <w:szCs w:val="21"/>
              </w:rPr>
            </w:pPr>
            <w:r>
              <w:rPr>
                <w:rFonts w:hint="eastAsia"/>
                <w:bCs/>
                <w:szCs w:val="21"/>
              </w:rPr>
              <w:t>数量</w:t>
            </w:r>
          </w:p>
        </w:tc>
        <w:tc>
          <w:tcPr>
            <w:tcW w:w="567" w:type="dxa"/>
            <w:vAlign w:val="center"/>
          </w:tcPr>
          <w:p>
            <w:pPr>
              <w:jc w:val="center"/>
              <w:rPr>
                <w:bCs/>
                <w:szCs w:val="21"/>
              </w:rPr>
            </w:pPr>
            <w:r>
              <w:rPr>
                <w:rFonts w:hint="eastAsia"/>
                <w:bCs/>
                <w:szCs w:val="21"/>
              </w:rPr>
              <w:t>单位</w:t>
            </w:r>
          </w:p>
        </w:tc>
        <w:tc>
          <w:tcPr>
            <w:tcW w:w="709" w:type="dxa"/>
            <w:vAlign w:val="center"/>
          </w:tcPr>
          <w:p>
            <w:pPr>
              <w:jc w:val="center"/>
              <w:rPr>
                <w:bCs/>
                <w:szCs w:val="21"/>
              </w:rPr>
            </w:pPr>
            <w:r>
              <w:rPr>
                <w:rFonts w:hint="eastAsia"/>
                <w:szCs w:val="21"/>
              </w:rPr>
              <w:t>单价(元)</w:t>
            </w:r>
          </w:p>
        </w:tc>
        <w:tc>
          <w:tcPr>
            <w:tcW w:w="850" w:type="dxa"/>
            <w:vAlign w:val="center"/>
          </w:tcPr>
          <w:p>
            <w:pPr>
              <w:jc w:val="center"/>
              <w:rPr>
                <w:bCs/>
                <w:szCs w:val="21"/>
              </w:rPr>
            </w:pPr>
            <w:r>
              <w:rPr>
                <w:rFonts w:hint="eastAsia"/>
                <w:szCs w:val="21"/>
              </w:rPr>
              <w:t>合价(元)</w:t>
            </w:r>
          </w:p>
        </w:tc>
        <w:tc>
          <w:tcPr>
            <w:tcW w:w="1276" w:type="dxa"/>
            <w:vAlign w:val="center"/>
          </w:tcPr>
          <w:p>
            <w:pPr>
              <w:jc w:val="center"/>
              <w:rPr>
                <w:szCs w:val="21"/>
              </w:rPr>
            </w:pPr>
            <w:r>
              <w:rPr>
                <w:rFonts w:hint="eastAsia"/>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rFonts w:hint="eastAsia"/>
                <w:bCs/>
                <w:szCs w:val="21"/>
              </w:rPr>
              <w:t>1</w:t>
            </w:r>
          </w:p>
        </w:tc>
        <w:tc>
          <w:tcPr>
            <w:tcW w:w="1147" w:type="dxa"/>
            <w:vAlign w:val="center"/>
          </w:tcPr>
          <w:p>
            <w:pPr>
              <w:jc w:val="center"/>
              <w:rPr>
                <w:bCs/>
                <w:szCs w:val="21"/>
              </w:rPr>
            </w:pPr>
            <w:r>
              <w:rPr>
                <w:rFonts w:hint="eastAsia"/>
                <w:bCs/>
                <w:szCs w:val="21"/>
              </w:rPr>
              <w:t>*</w:t>
            </w:r>
            <w:r>
              <w:rPr>
                <w:bCs/>
                <w:szCs w:val="21"/>
              </w:rPr>
              <w:t>**</w:t>
            </w:r>
            <w:r>
              <w:rPr>
                <w:rFonts w:hint="eastAsia"/>
                <w:bCs/>
                <w:szCs w:val="21"/>
              </w:rPr>
              <w:t>（填写相关内容）</w:t>
            </w:r>
          </w:p>
        </w:tc>
        <w:tc>
          <w:tcPr>
            <w:tcW w:w="703" w:type="dxa"/>
            <w:vAlign w:val="center"/>
          </w:tcPr>
          <w:p>
            <w:pPr>
              <w:jc w:val="center"/>
              <w:rPr>
                <w:bCs/>
                <w:szCs w:val="21"/>
              </w:rPr>
            </w:pPr>
          </w:p>
        </w:tc>
        <w:tc>
          <w:tcPr>
            <w:tcW w:w="703" w:type="dxa"/>
            <w:vAlign w:val="center"/>
          </w:tcPr>
          <w:p>
            <w:pPr>
              <w:jc w:val="center"/>
              <w:rPr>
                <w:bCs/>
                <w:szCs w:val="21"/>
              </w:rPr>
            </w:pPr>
          </w:p>
        </w:tc>
        <w:tc>
          <w:tcPr>
            <w:tcW w:w="843" w:type="dxa"/>
            <w:vAlign w:val="center"/>
          </w:tcPr>
          <w:p>
            <w:pPr>
              <w:jc w:val="center"/>
              <w:rPr>
                <w:bCs/>
                <w:szCs w:val="21"/>
              </w:rPr>
            </w:pPr>
          </w:p>
        </w:tc>
        <w:tc>
          <w:tcPr>
            <w:tcW w:w="992" w:type="dxa"/>
            <w:vAlign w:val="center"/>
          </w:tcPr>
          <w:p>
            <w:pPr>
              <w:jc w:val="center"/>
              <w:rPr>
                <w:bCs/>
                <w:szCs w:val="21"/>
              </w:rPr>
            </w:pPr>
          </w:p>
        </w:tc>
        <w:tc>
          <w:tcPr>
            <w:tcW w:w="567" w:type="dxa"/>
            <w:vAlign w:val="center"/>
          </w:tcPr>
          <w:p>
            <w:pPr>
              <w:jc w:val="center"/>
              <w:rPr>
                <w:bCs/>
                <w:szCs w:val="21"/>
              </w:rPr>
            </w:pPr>
            <w:r>
              <w:rPr>
                <w:rFonts w:hint="eastAsia"/>
                <w:bCs/>
                <w:szCs w:val="21"/>
              </w:rPr>
              <w:t>*</w:t>
            </w:r>
          </w:p>
        </w:tc>
        <w:tc>
          <w:tcPr>
            <w:tcW w:w="567" w:type="dxa"/>
            <w:vAlign w:val="center"/>
          </w:tcPr>
          <w:p>
            <w:pPr>
              <w:jc w:val="center"/>
              <w:rPr>
                <w:bCs/>
                <w:szCs w:val="21"/>
              </w:rPr>
            </w:pPr>
            <w:r>
              <w:rPr>
                <w:rFonts w:hint="eastAsia"/>
                <w:bCs/>
                <w:szCs w:val="21"/>
              </w:rPr>
              <w:t>*</w:t>
            </w:r>
          </w:p>
        </w:tc>
        <w:tc>
          <w:tcPr>
            <w:tcW w:w="709" w:type="dxa"/>
            <w:vAlign w:val="center"/>
          </w:tcPr>
          <w:p>
            <w:pPr>
              <w:jc w:val="center"/>
              <w:rPr>
                <w:bCs/>
                <w:szCs w:val="21"/>
              </w:rPr>
            </w:pPr>
          </w:p>
        </w:tc>
        <w:tc>
          <w:tcPr>
            <w:tcW w:w="850" w:type="dxa"/>
            <w:vAlign w:val="center"/>
          </w:tcPr>
          <w:p>
            <w:pPr>
              <w:jc w:val="center"/>
              <w:rPr>
                <w:bCs/>
                <w:szCs w:val="21"/>
              </w:rPr>
            </w:pPr>
          </w:p>
        </w:tc>
        <w:tc>
          <w:tcPr>
            <w:tcW w:w="1276" w:type="dxa"/>
            <w:vMerge w:val="restart"/>
            <w:vAlign w:val="center"/>
          </w:tcPr>
          <w:p>
            <w:pPr>
              <w:jc w:val="center"/>
              <w:rPr>
                <w:b/>
                <w:bCs/>
                <w:szCs w:val="21"/>
              </w:rPr>
            </w:pP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rFonts w:hint="eastAsia"/>
                <w:bCs/>
                <w:szCs w:val="21"/>
              </w:rPr>
              <w:t>2</w:t>
            </w:r>
          </w:p>
        </w:tc>
        <w:tc>
          <w:tcPr>
            <w:tcW w:w="1147" w:type="dxa"/>
            <w:vAlign w:val="center"/>
          </w:tcPr>
          <w:p>
            <w:pPr>
              <w:jc w:val="center"/>
              <w:rPr>
                <w:bCs/>
                <w:szCs w:val="21"/>
              </w:rPr>
            </w:pPr>
            <w:r>
              <w:rPr>
                <w:rFonts w:hint="eastAsia"/>
                <w:bCs/>
                <w:szCs w:val="21"/>
              </w:rPr>
              <w:t>*</w:t>
            </w:r>
            <w:r>
              <w:rPr>
                <w:bCs/>
                <w:szCs w:val="21"/>
              </w:rPr>
              <w:t>**</w:t>
            </w:r>
          </w:p>
        </w:tc>
        <w:tc>
          <w:tcPr>
            <w:tcW w:w="703" w:type="dxa"/>
            <w:vAlign w:val="center"/>
          </w:tcPr>
          <w:p>
            <w:pPr>
              <w:jc w:val="center"/>
              <w:rPr>
                <w:bCs/>
                <w:szCs w:val="21"/>
              </w:rPr>
            </w:pPr>
          </w:p>
        </w:tc>
        <w:tc>
          <w:tcPr>
            <w:tcW w:w="703" w:type="dxa"/>
            <w:vAlign w:val="center"/>
          </w:tcPr>
          <w:p>
            <w:pPr>
              <w:jc w:val="center"/>
              <w:rPr>
                <w:bCs/>
                <w:szCs w:val="21"/>
              </w:rPr>
            </w:pPr>
          </w:p>
        </w:tc>
        <w:tc>
          <w:tcPr>
            <w:tcW w:w="843" w:type="dxa"/>
            <w:vAlign w:val="center"/>
          </w:tcPr>
          <w:p>
            <w:pPr>
              <w:jc w:val="center"/>
              <w:rPr>
                <w:bCs/>
                <w:szCs w:val="21"/>
              </w:rPr>
            </w:pPr>
          </w:p>
        </w:tc>
        <w:tc>
          <w:tcPr>
            <w:tcW w:w="992" w:type="dxa"/>
            <w:vAlign w:val="center"/>
          </w:tcPr>
          <w:p>
            <w:pPr>
              <w:jc w:val="center"/>
              <w:rPr>
                <w:bCs/>
                <w:szCs w:val="21"/>
              </w:rPr>
            </w:pPr>
          </w:p>
        </w:tc>
        <w:tc>
          <w:tcPr>
            <w:tcW w:w="567" w:type="dxa"/>
            <w:vAlign w:val="center"/>
          </w:tcPr>
          <w:p>
            <w:pPr>
              <w:jc w:val="center"/>
              <w:rPr>
                <w:bCs/>
                <w:szCs w:val="21"/>
              </w:rPr>
            </w:pPr>
            <w:r>
              <w:rPr>
                <w:rFonts w:hint="eastAsia"/>
                <w:bCs/>
                <w:szCs w:val="21"/>
              </w:rPr>
              <w:t>*</w:t>
            </w:r>
          </w:p>
        </w:tc>
        <w:tc>
          <w:tcPr>
            <w:tcW w:w="567" w:type="dxa"/>
            <w:vAlign w:val="center"/>
          </w:tcPr>
          <w:p>
            <w:pPr>
              <w:jc w:val="center"/>
              <w:rPr>
                <w:bCs/>
                <w:szCs w:val="21"/>
              </w:rPr>
            </w:pPr>
            <w:r>
              <w:rPr>
                <w:rFonts w:hint="eastAsia"/>
                <w:bCs/>
                <w:szCs w:val="21"/>
              </w:rPr>
              <w:t>*</w:t>
            </w:r>
          </w:p>
        </w:tc>
        <w:tc>
          <w:tcPr>
            <w:tcW w:w="709" w:type="dxa"/>
            <w:vAlign w:val="center"/>
          </w:tcPr>
          <w:p>
            <w:pPr>
              <w:jc w:val="center"/>
              <w:rPr>
                <w:bCs/>
                <w:szCs w:val="21"/>
              </w:rPr>
            </w:pPr>
          </w:p>
        </w:tc>
        <w:tc>
          <w:tcPr>
            <w:tcW w:w="850" w:type="dxa"/>
            <w:vAlign w:val="center"/>
          </w:tcPr>
          <w:p>
            <w:pPr>
              <w:jc w:val="center"/>
              <w:rPr>
                <w:bCs/>
                <w:szCs w:val="21"/>
              </w:rPr>
            </w:pPr>
          </w:p>
        </w:tc>
        <w:tc>
          <w:tcPr>
            <w:tcW w:w="1276" w:type="dxa"/>
            <w:vMerge w:val="continue"/>
            <w:vAlign w:val="center"/>
          </w:tcPr>
          <w:p>
            <w:pPr>
              <w:jc w:val="cente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rFonts w:hint="eastAsia"/>
                <w:bCs/>
                <w:szCs w:val="21"/>
              </w:rPr>
              <w:t>3</w:t>
            </w:r>
          </w:p>
        </w:tc>
        <w:tc>
          <w:tcPr>
            <w:tcW w:w="1147" w:type="dxa"/>
            <w:vAlign w:val="center"/>
          </w:tcPr>
          <w:p>
            <w:pPr>
              <w:jc w:val="center"/>
              <w:rPr>
                <w:bCs/>
                <w:szCs w:val="21"/>
              </w:rPr>
            </w:pPr>
            <w:r>
              <w:rPr>
                <w:rFonts w:hint="eastAsia"/>
                <w:bCs/>
                <w:szCs w:val="21"/>
              </w:rPr>
              <w:t>*</w:t>
            </w:r>
            <w:r>
              <w:rPr>
                <w:bCs/>
                <w:szCs w:val="21"/>
              </w:rPr>
              <w:t>**</w:t>
            </w:r>
          </w:p>
        </w:tc>
        <w:tc>
          <w:tcPr>
            <w:tcW w:w="703" w:type="dxa"/>
            <w:vAlign w:val="center"/>
          </w:tcPr>
          <w:p>
            <w:pPr>
              <w:jc w:val="center"/>
              <w:rPr>
                <w:bCs/>
                <w:szCs w:val="21"/>
              </w:rPr>
            </w:pPr>
          </w:p>
        </w:tc>
        <w:tc>
          <w:tcPr>
            <w:tcW w:w="703" w:type="dxa"/>
            <w:vAlign w:val="center"/>
          </w:tcPr>
          <w:p>
            <w:pPr>
              <w:jc w:val="center"/>
              <w:rPr>
                <w:bCs/>
                <w:szCs w:val="21"/>
              </w:rPr>
            </w:pPr>
          </w:p>
        </w:tc>
        <w:tc>
          <w:tcPr>
            <w:tcW w:w="843" w:type="dxa"/>
            <w:vAlign w:val="center"/>
          </w:tcPr>
          <w:p>
            <w:pPr>
              <w:jc w:val="center"/>
              <w:rPr>
                <w:bCs/>
                <w:szCs w:val="21"/>
              </w:rPr>
            </w:pPr>
          </w:p>
        </w:tc>
        <w:tc>
          <w:tcPr>
            <w:tcW w:w="992" w:type="dxa"/>
            <w:vAlign w:val="center"/>
          </w:tcPr>
          <w:p>
            <w:pPr>
              <w:jc w:val="center"/>
              <w:rPr>
                <w:bCs/>
                <w:szCs w:val="21"/>
              </w:rPr>
            </w:pPr>
          </w:p>
        </w:tc>
        <w:tc>
          <w:tcPr>
            <w:tcW w:w="567" w:type="dxa"/>
            <w:vAlign w:val="center"/>
          </w:tcPr>
          <w:p>
            <w:pPr>
              <w:jc w:val="center"/>
              <w:rPr>
                <w:bCs/>
                <w:szCs w:val="21"/>
              </w:rPr>
            </w:pPr>
            <w:r>
              <w:rPr>
                <w:rFonts w:hint="eastAsia"/>
                <w:bCs/>
                <w:szCs w:val="21"/>
              </w:rPr>
              <w:t>*</w:t>
            </w:r>
          </w:p>
        </w:tc>
        <w:tc>
          <w:tcPr>
            <w:tcW w:w="567" w:type="dxa"/>
            <w:vAlign w:val="center"/>
          </w:tcPr>
          <w:p>
            <w:pPr>
              <w:jc w:val="center"/>
              <w:rPr>
                <w:bCs/>
                <w:szCs w:val="21"/>
              </w:rPr>
            </w:pPr>
            <w:r>
              <w:rPr>
                <w:rFonts w:hint="eastAsia"/>
                <w:bCs/>
                <w:szCs w:val="21"/>
              </w:rPr>
              <w:t>*</w:t>
            </w:r>
          </w:p>
        </w:tc>
        <w:tc>
          <w:tcPr>
            <w:tcW w:w="709" w:type="dxa"/>
            <w:vAlign w:val="center"/>
          </w:tcPr>
          <w:p>
            <w:pPr>
              <w:jc w:val="center"/>
              <w:rPr>
                <w:bCs/>
                <w:szCs w:val="21"/>
              </w:rPr>
            </w:pPr>
          </w:p>
        </w:tc>
        <w:tc>
          <w:tcPr>
            <w:tcW w:w="850" w:type="dxa"/>
            <w:vAlign w:val="center"/>
          </w:tcPr>
          <w:p>
            <w:pPr>
              <w:jc w:val="center"/>
              <w:rPr>
                <w:bCs/>
                <w:szCs w:val="21"/>
              </w:rPr>
            </w:pPr>
          </w:p>
        </w:tc>
        <w:tc>
          <w:tcPr>
            <w:tcW w:w="1276" w:type="dxa"/>
            <w:vMerge w:val="continue"/>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rFonts w:hint="eastAsia"/>
                <w:bCs/>
                <w:szCs w:val="21"/>
              </w:rPr>
              <w:t>4</w:t>
            </w:r>
          </w:p>
        </w:tc>
        <w:tc>
          <w:tcPr>
            <w:tcW w:w="1147" w:type="dxa"/>
            <w:vAlign w:val="center"/>
          </w:tcPr>
          <w:p>
            <w:pPr>
              <w:jc w:val="center"/>
              <w:rPr>
                <w:bCs/>
                <w:szCs w:val="21"/>
              </w:rPr>
            </w:pPr>
            <w:r>
              <w:rPr>
                <w:rFonts w:hint="eastAsia"/>
                <w:bCs/>
                <w:szCs w:val="21"/>
              </w:rPr>
              <w:t>*</w:t>
            </w:r>
            <w:r>
              <w:rPr>
                <w:bCs/>
                <w:szCs w:val="21"/>
              </w:rPr>
              <w:t>**</w:t>
            </w:r>
          </w:p>
        </w:tc>
        <w:tc>
          <w:tcPr>
            <w:tcW w:w="703" w:type="dxa"/>
            <w:vAlign w:val="center"/>
          </w:tcPr>
          <w:p>
            <w:pPr>
              <w:jc w:val="center"/>
              <w:rPr>
                <w:bCs/>
                <w:szCs w:val="21"/>
              </w:rPr>
            </w:pPr>
          </w:p>
        </w:tc>
        <w:tc>
          <w:tcPr>
            <w:tcW w:w="703" w:type="dxa"/>
            <w:vAlign w:val="center"/>
          </w:tcPr>
          <w:p>
            <w:pPr>
              <w:jc w:val="center"/>
              <w:rPr>
                <w:bCs/>
                <w:szCs w:val="21"/>
              </w:rPr>
            </w:pPr>
          </w:p>
        </w:tc>
        <w:tc>
          <w:tcPr>
            <w:tcW w:w="843" w:type="dxa"/>
            <w:vAlign w:val="center"/>
          </w:tcPr>
          <w:p>
            <w:pPr>
              <w:jc w:val="center"/>
              <w:rPr>
                <w:bCs/>
                <w:szCs w:val="21"/>
              </w:rPr>
            </w:pPr>
          </w:p>
        </w:tc>
        <w:tc>
          <w:tcPr>
            <w:tcW w:w="992" w:type="dxa"/>
            <w:vAlign w:val="center"/>
          </w:tcPr>
          <w:p>
            <w:pPr>
              <w:jc w:val="center"/>
              <w:rPr>
                <w:bCs/>
                <w:szCs w:val="21"/>
              </w:rPr>
            </w:pPr>
          </w:p>
        </w:tc>
        <w:tc>
          <w:tcPr>
            <w:tcW w:w="567" w:type="dxa"/>
            <w:vAlign w:val="center"/>
          </w:tcPr>
          <w:p>
            <w:pPr>
              <w:jc w:val="center"/>
              <w:rPr>
                <w:bCs/>
                <w:szCs w:val="21"/>
              </w:rPr>
            </w:pPr>
            <w:r>
              <w:rPr>
                <w:rFonts w:hint="eastAsia"/>
                <w:bCs/>
                <w:szCs w:val="21"/>
              </w:rPr>
              <w:t>*</w:t>
            </w:r>
          </w:p>
        </w:tc>
        <w:tc>
          <w:tcPr>
            <w:tcW w:w="567" w:type="dxa"/>
            <w:vAlign w:val="center"/>
          </w:tcPr>
          <w:p>
            <w:pPr>
              <w:jc w:val="center"/>
              <w:rPr>
                <w:bCs/>
                <w:szCs w:val="21"/>
              </w:rPr>
            </w:pPr>
            <w:r>
              <w:rPr>
                <w:rFonts w:hint="eastAsia"/>
                <w:bCs/>
                <w:szCs w:val="21"/>
              </w:rPr>
              <w:t>*</w:t>
            </w:r>
          </w:p>
        </w:tc>
        <w:tc>
          <w:tcPr>
            <w:tcW w:w="709" w:type="dxa"/>
            <w:vAlign w:val="center"/>
          </w:tcPr>
          <w:p>
            <w:pPr>
              <w:jc w:val="center"/>
              <w:rPr>
                <w:bCs/>
                <w:szCs w:val="21"/>
              </w:rPr>
            </w:pPr>
          </w:p>
        </w:tc>
        <w:tc>
          <w:tcPr>
            <w:tcW w:w="850" w:type="dxa"/>
            <w:vAlign w:val="center"/>
          </w:tcPr>
          <w:p>
            <w:pPr>
              <w:jc w:val="center"/>
              <w:rPr>
                <w:bCs/>
                <w:szCs w:val="21"/>
              </w:rPr>
            </w:pPr>
          </w:p>
        </w:tc>
        <w:tc>
          <w:tcPr>
            <w:tcW w:w="1276" w:type="dxa"/>
            <w:vMerge w:val="continue"/>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bCs/>
                <w:szCs w:val="21"/>
              </w:rPr>
              <w:t>5</w:t>
            </w:r>
          </w:p>
        </w:tc>
        <w:tc>
          <w:tcPr>
            <w:tcW w:w="1147" w:type="dxa"/>
            <w:vAlign w:val="center"/>
          </w:tcPr>
          <w:p>
            <w:pPr>
              <w:jc w:val="center"/>
              <w:rPr>
                <w:bCs/>
                <w:szCs w:val="21"/>
              </w:rPr>
            </w:pPr>
            <w:r>
              <w:rPr>
                <w:rFonts w:hint="eastAsia" w:ascii="宋体" w:hAnsi="宋体"/>
                <w:bCs/>
                <w:szCs w:val="21"/>
              </w:rPr>
              <w:t>……</w:t>
            </w:r>
          </w:p>
        </w:tc>
        <w:tc>
          <w:tcPr>
            <w:tcW w:w="703" w:type="dxa"/>
            <w:vAlign w:val="center"/>
          </w:tcPr>
          <w:p>
            <w:pPr>
              <w:jc w:val="center"/>
              <w:rPr>
                <w:rFonts w:hint="eastAsia" w:ascii="宋体" w:hAnsi="宋体"/>
                <w:bCs/>
                <w:szCs w:val="21"/>
              </w:rPr>
            </w:pPr>
          </w:p>
        </w:tc>
        <w:tc>
          <w:tcPr>
            <w:tcW w:w="703" w:type="dxa"/>
            <w:vAlign w:val="center"/>
          </w:tcPr>
          <w:p>
            <w:pPr>
              <w:jc w:val="center"/>
              <w:rPr>
                <w:bCs/>
                <w:szCs w:val="21"/>
              </w:rPr>
            </w:pPr>
          </w:p>
        </w:tc>
        <w:tc>
          <w:tcPr>
            <w:tcW w:w="843" w:type="dxa"/>
            <w:vAlign w:val="center"/>
          </w:tcPr>
          <w:p>
            <w:pPr>
              <w:jc w:val="center"/>
              <w:rPr>
                <w:bCs/>
                <w:szCs w:val="21"/>
              </w:rPr>
            </w:pPr>
          </w:p>
        </w:tc>
        <w:tc>
          <w:tcPr>
            <w:tcW w:w="992" w:type="dxa"/>
            <w:vAlign w:val="center"/>
          </w:tcPr>
          <w:p>
            <w:pPr>
              <w:jc w:val="center"/>
              <w:rPr>
                <w:bCs/>
                <w:szCs w:val="21"/>
              </w:rPr>
            </w:pPr>
          </w:p>
        </w:tc>
        <w:tc>
          <w:tcPr>
            <w:tcW w:w="567" w:type="dxa"/>
            <w:vAlign w:val="center"/>
          </w:tcPr>
          <w:p>
            <w:pPr>
              <w:jc w:val="center"/>
              <w:rPr>
                <w:bCs/>
                <w:szCs w:val="21"/>
              </w:rPr>
            </w:pPr>
            <w:r>
              <w:rPr>
                <w:rFonts w:hint="eastAsia"/>
                <w:bCs/>
                <w:szCs w:val="21"/>
              </w:rPr>
              <w:t>*</w:t>
            </w:r>
          </w:p>
        </w:tc>
        <w:tc>
          <w:tcPr>
            <w:tcW w:w="567" w:type="dxa"/>
            <w:vAlign w:val="center"/>
          </w:tcPr>
          <w:p>
            <w:pPr>
              <w:jc w:val="center"/>
              <w:rPr>
                <w:bCs/>
                <w:szCs w:val="21"/>
              </w:rPr>
            </w:pPr>
            <w:r>
              <w:rPr>
                <w:rFonts w:hint="eastAsia"/>
                <w:bCs/>
                <w:szCs w:val="21"/>
              </w:rPr>
              <w:t>*</w:t>
            </w:r>
          </w:p>
        </w:tc>
        <w:tc>
          <w:tcPr>
            <w:tcW w:w="709" w:type="dxa"/>
            <w:vAlign w:val="center"/>
          </w:tcPr>
          <w:p>
            <w:pPr>
              <w:jc w:val="center"/>
              <w:rPr>
                <w:bCs/>
                <w:szCs w:val="21"/>
              </w:rPr>
            </w:pPr>
          </w:p>
        </w:tc>
        <w:tc>
          <w:tcPr>
            <w:tcW w:w="850" w:type="dxa"/>
            <w:vAlign w:val="center"/>
          </w:tcPr>
          <w:p>
            <w:pPr>
              <w:jc w:val="center"/>
              <w:rPr>
                <w:bCs/>
                <w:szCs w:val="21"/>
              </w:rPr>
            </w:pPr>
          </w:p>
        </w:tc>
        <w:tc>
          <w:tcPr>
            <w:tcW w:w="1276" w:type="dxa"/>
            <w:vMerge w:val="continue"/>
            <w:vAlign w:val="center"/>
          </w:tcPr>
          <w:p>
            <w:pPr>
              <w:jc w:val="cente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11"/>
            <w:vAlign w:val="center"/>
          </w:tcPr>
          <w:p>
            <w:pPr>
              <w:rPr>
                <w:b/>
                <w:bCs/>
                <w:color w:val="FF0000"/>
                <w:szCs w:val="21"/>
              </w:rPr>
            </w:pPr>
            <w:r>
              <w:rPr>
                <w:rFonts w:hint="eastAsia"/>
                <w:bCs/>
                <w:szCs w:val="21"/>
              </w:rPr>
              <w:t>合计（即投标总价；币种：人民币；单位：元） 小写：            大写：</w:t>
            </w:r>
          </w:p>
        </w:tc>
      </w:tr>
    </w:tbl>
    <w:p>
      <w:pPr>
        <w:ind w:firstLine="482" w:firstLineChars="200"/>
        <w:rPr>
          <w:rFonts w:hint="eastAsia" w:ascii="宋体" w:hAnsi="宋体"/>
          <w:b/>
          <w:sz w:val="24"/>
        </w:rPr>
      </w:pPr>
      <w:r>
        <w:rPr>
          <w:rFonts w:hint="eastAsia" w:ascii="宋体" w:hAnsi="宋体"/>
          <w:b/>
          <w:sz w:val="24"/>
        </w:rPr>
        <w:t>注：1.本表可按同样格式扩展。</w:t>
      </w:r>
    </w:p>
    <w:p>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20"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w:t>
      </w:r>
      <w:bookmarkEnd w:id="20"/>
    </w:p>
    <w:p>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pStyle w:val="9"/>
        <w:ind w:firstLine="480"/>
      </w:pPr>
    </w:p>
    <w:p>
      <w:pPr>
        <w:jc w:val="center"/>
        <w:rPr>
          <w:rFonts w:hint="eastAsia" w:ascii="宋体" w:hAnsi="宋体" w:cs="宋体"/>
          <w:b/>
          <w:bCs/>
          <w:sz w:val="28"/>
          <w:szCs w:val="28"/>
        </w:rPr>
      </w:pPr>
      <w:r>
        <w:rPr>
          <w:rFonts w:hint="eastAsia" w:ascii="宋体" w:hAnsi="宋体" w:cs="宋体"/>
          <w:b/>
          <w:bCs/>
          <w:sz w:val="28"/>
          <w:szCs w:val="28"/>
        </w:rPr>
        <w:t>（三）供应商认为需要涉及的其他内容报价清单</w:t>
      </w:r>
    </w:p>
    <w:bookmarkEnd w:id="18"/>
    <w:bookmarkEnd w:id="19"/>
    <w:p>
      <w:pPr>
        <w:pStyle w:val="29"/>
        <w:ind w:firstLine="0" w:firstLineChars="0"/>
        <w:rPr>
          <w:rFonts w:hint="eastAsia" w:ascii="宋体" w:hAnsi="宋体"/>
          <w:b/>
          <w:sz w:val="30"/>
          <w:szCs w:val="30"/>
        </w:rPr>
      </w:pPr>
    </w:p>
    <w:p>
      <w:pPr>
        <w:widowControl/>
        <w:jc w:val="left"/>
        <w:rPr>
          <w:rFonts w:hint="eastAsia" w:ascii="宋体" w:hAnsi="宋体"/>
          <w:b/>
          <w:sz w:val="30"/>
          <w:szCs w:val="30"/>
        </w:rPr>
      </w:pPr>
      <w:r>
        <w:rPr>
          <w:rFonts w:ascii="宋体" w:hAnsi="宋体"/>
          <w:b/>
          <w:sz w:val="30"/>
          <w:szCs w:val="30"/>
        </w:rPr>
        <w:br w:type="page"/>
      </w:r>
    </w:p>
    <w:p>
      <w:pPr>
        <w:pStyle w:val="29"/>
        <w:ind w:firstLine="0" w:firstLineChars="0"/>
        <w:jc w:val="center"/>
        <w:outlineLvl w:val="1"/>
        <w:rPr>
          <w:rFonts w:hint="eastAsia" w:ascii="宋体" w:hAnsi="宋体"/>
          <w:b/>
          <w:sz w:val="30"/>
          <w:szCs w:val="30"/>
        </w:rPr>
      </w:pPr>
      <w:r>
        <w:rPr>
          <w:rFonts w:hint="eastAsia" w:ascii="宋体" w:hAnsi="宋体"/>
          <w:b/>
          <w:sz w:val="30"/>
          <w:szCs w:val="30"/>
        </w:rPr>
        <w:t>九、供应商认为需要提供的其它文件（如有）</w:t>
      </w:r>
    </w:p>
    <w:p>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rPr>
          <w:rFonts w:ascii="仿宋_GB2312" w:eastAsia="仿宋_GB2312"/>
          <w:sz w:val="30"/>
          <w:szCs w:val="30"/>
        </w:rPr>
      </w:pPr>
    </w:p>
    <w:p>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5"/>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6"/>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ind w:firstLine="417" w:firstLineChars="199"/>
        <w:jc w:val="left"/>
        <w:rPr>
          <w:rFonts w:hint="eastAsia" w:asciiTheme="minorEastAsia" w:hAnsiTheme="minorEastAsia" w:eastAsiaTheme="minorEastAsia"/>
          <w:kern w:val="0"/>
          <w:szCs w:val="21"/>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K+b&#10;flu2AQAAWQMAAA4AAAAAAAAAAQAgAAAAHgEAAGRycy9lMm9Eb2MueG1sUEsFBgAAAAAGAAYAWQEA&#10;AE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60B1"/>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237"/>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5EA0"/>
    <w:rsid w:val="001A61B0"/>
    <w:rsid w:val="001B04D6"/>
    <w:rsid w:val="001B0FD3"/>
    <w:rsid w:val="001B3C22"/>
    <w:rsid w:val="001B4C56"/>
    <w:rsid w:val="001B7A41"/>
    <w:rsid w:val="001B7DD8"/>
    <w:rsid w:val="001C1DF0"/>
    <w:rsid w:val="001C2472"/>
    <w:rsid w:val="001C4D53"/>
    <w:rsid w:val="001C517D"/>
    <w:rsid w:val="001C5C3D"/>
    <w:rsid w:val="001C64C4"/>
    <w:rsid w:val="001C75F9"/>
    <w:rsid w:val="001C780F"/>
    <w:rsid w:val="001D0045"/>
    <w:rsid w:val="001D020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27FAA"/>
    <w:rsid w:val="002304C1"/>
    <w:rsid w:val="002316DA"/>
    <w:rsid w:val="00233AF8"/>
    <w:rsid w:val="00233FF9"/>
    <w:rsid w:val="00235049"/>
    <w:rsid w:val="002351F8"/>
    <w:rsid w:val="002364EF"/>
    <w:rsid w:val="00240E31"/>
    <w:rsid w:val="002417E7"/>
    <w:rsid w:val="00241EC9"/>
    <w:rsid w:val="002423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3E26"/>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550C"/>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96871"/>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3D9E"/>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632"/>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EBF"/>
    <w:rsid w:val="00563FF2"/>
    <w:rsid w:val="00565193"/>
    <w:rsid w:val="005663ED"/>
    <w:rsid w:val="00566F92"/>
    <w:rsid w:val="00572D0A"/>
    <w:rsid w:val="005756A2"/>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343"/>
    <w:rsid w:val="005C2634"/>
    <w:rsid w:val="005C54B1"/>
    <w:rsid w:val="005D3BC1"/>
    <w:rsid w:val="005D5E80"/>
    <w:rsid w:val="005D668A"/>
    <w:rsid w:val="005D749D"/>
    <w:rsid w:val="005E1F89"/>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5480"/>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4A1C"/>
    <w:rsid w:val="00756287"/>
    <w:rsid w:val="00757265"/>
    <w:rsid w:val="00762C98"/>
    <w:rsid w:val="00767114"/>
    <w:rsid w:val="00767A80"/>
    <w:rsid w:val="00770443"/>
    <w:rsid w:val="007708F3"/>
    <w:rsid w:val="00771987"/>
    <w:rsid w:val="0077538E"/>
    <w:rsid w:val="0077544B"/>
    <w:rsid w:val="00776569"/>
    <w:rsid w:val="00780321"/>
    <w:rsid w:val="00780CF0"/>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2898"/>
    <w:rsid w:val="007B4FC1"/>
    <w:rsid w:val="007B6320"/>
    <w:rsid w:val="007B7149"/>
    <w:rsid w:val="007C37A4"/>
    <w:rsid w:val="007C415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4E93"/>
    <w:rsid w:val="00847043"/>
    <w:rsid w:val="008476DD"/>
    <w:rsid w:val="00852339"/>
    <w:rsid w:val="00852691"/>
    <w:rsid w:val="008529E2"/>
    <w:rsid w:val="00852CD2"/>
    <w:rsid w:val="0085363D"/>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981"/>
    <w:rsid w:val="008E0DEF"/>
    <w:rsid w:val="008E1E29"/>
    <w:rsid w:val="008E2873"/>
    <w:rsid w:val="008E4731"/>
    <w:rsid w:val="008E6478"/>
    <w:rsid w:val="008F10A5"/>
    <w:rsid w:val="008F33AB"/>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5301"/>
    <w:rsid w:val="00916BFD"/>
    <w:rsid w:val="00916EC8"/>
    <w:rsid w:val="009209D0"/>
    <w:rsid w:val="0092115C"/>
    <w:rsid w:val="0092159C"/>
    <w:rsid w:val="00922D2F"/>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47B9"/>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21B8"/>
    <w:rsid w:val="00B34E79"/>
    <w:rsid w:val="00B35BC9"/>
    <w:rsid w:val="00B36A4A"/>
    <w:rsid w:val="00B41C31"/>
    <w:rsid w:val="00B43912"/>
    <w:rsid w:val="00B43FBA"/>
    <w:rsid w:val="00B462CD"/>
    <w:rsid w:val="00B47A9E"/>
    <w:rsid w:val="00B47D28"/>
    <w:rsid w:val="00B520A1"/>
    <w:rsid w:val="00B5351E"/>
    <w:rsid w:val="00B54521"/>
    <w:rsid w:val="00B553FC"/>
    <w:rsid w:val="00B561B3"/>
    <w:rsid w:val="00B564E7"/>
    <w:rsid w:val="00B56E6B"/>
    <w:rsid w:val="00B57C56"/>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3B32"/>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13"/>
    <w:rsid w:val="00BF0743"/>
    <w:rsid w:val="00BF251E"/>
    <w:rsid w:val="00BF272C"/>
    <w:rsid w:val="00BF28D0"/>
    <w:rsid w:val="00BF5799"/>
    <w:rsid w:val="00BF58A7"/>
    <w:rsid w:val="00BF6025"/>
    <w:rsid w:val="00C02449"/>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D2F1E"/>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57B7E"/>
    <w:rsid w:val="00E604D4"/>
    <w:rsid w:val="00E60574"/>
    <w:rsid w:val="00E66DCF"/>
    <w:rsid w:val="00E70450"/>
    <w:rsid w:val="00E718D9"/>
    <w:rsid w:val="00E71BF0"/>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C7B0E"/>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9F28B0"/>
    <w:rsid w:val="09CA0D6F"/>
    <w:rsid w:val="0A461B56"/>
    <w:rsid w:val="0A61636D"/>
    <w:rsid w:val="0A663227"/>
    <w:rsid w:val="0A666A2D"/>
    <w:rsid w:val="0A832B12"/>
    <w:rsid w:val="0AAA6900"/>
    <w:rsid w:val="0AD81243"/>
    <w:rsid w:val="0BA35963"/>
    <w:rsid w:val="0BFE3758"/>
    <w:rsid w:val="0C437F82"/>
    <w:rsid w:val="0CFF7CFB"/>
    <w:rsid w:val="0D077DD0"/>
    <w:rsid w:val="0D466B4A"/>
    <w:rsid w:val="0D8C66E1"/>
    <w:rsid w:val="0DB85E58"/>
    <w:rsid w:val="0DE842C2"/>
    <w:rsid w:val="0E2B5D40"/>
    <w:rsid w:val="0E520BCC"/>
    <w:rsid w:val="0EF06EE0"/>
    <w:rsid w:val="0F0162C2"/>
    <w:rsid w:val="0F3533BA"/>
    <w:rsid w:val="0FE32D76"/>
    <w:rsid w:val="11BE04B1"/>
    <w:rsid w:val="12045226"/>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C5642EC"/>
    <w:rsid w:val="1D1D7568"/>
    <w:rsid w:val="1D232E70"/>
    <w:rsid w:val="1D393246"/>
    <w:rsid w:val="1D8636DD"/>
    <w:rsid w:val="1DD00AB6"/>
    <w:rsid w:val="1EC07C63"/>
    <w:rsid w:val="1FBD5D4F"/>
    <w:rsid w:val="20437879"/>
    <w:rsid w:val="206104AB"/>
    <w:rsid w:val="20EB1A8B"/>
    <w:rsid w:val="217F114F"/>
    <w:rsid w:val="21EC60B0"/>
    <w:rsid w:val="22066450"/>
    <w:rsid w:val="224C30E3"/>
    <w:rsid w:val="22A0475A"/>
    <w:rsid w:val="22CC1448"/>
    <w:rsid w:val="23C67029"/>
    <w:rsid w:val="24F966A0"/>
    <w:rsid w:val="25914A5C"/>
    <w:rsid w:val="26555BF8"/>
    <w:rsid w:val="26613595"/>
    <w:rsid w:val="26A7167B"/>
    <w:rsid w:val="26FB75E8"/>
    <w:rsid w:val="27150D4A"/>
    <w:rsid w:val="272929CC"/>
    <w:rsid w:val="273A24BC"/>
    <w:rsid w:val="27677991"/>
    <w:rsid w:val="277A333A"/>
    <w:rsid w:val="27C01FBA"/>
    <w:rsid w:val="283917B1"/>
    <w:rsid w:val="284C2BA9"/>
    <w:rsid w:val="28CF1AF5"/>
    <w:rsid w:val="291A2C1F"/>
    <w:rsid w:val="297151E9"/>
    <w:rsid w:val="297E5BA6"/>
    <w:rsid w:val="298A2F5B"/>
    <w:rsid w:val="2A0B0ABF"/>
    <w:rsid w:val="2AF27382"/>
    <w:rsid w:val="2B304156"/>
    <w:rsid w:val="2BBD12AA"/>
    <w:rsid w:val="2BF07614"/>
    <w:rsid w:val="2C1F6654"/>
    <w:rsid w:val="2C2F765F"/>
    <w:rsid w:val="2CBF1BAC"/>
    <w:rsid w:val="2D2B793A"/>
    <w:rsid w:val="2DAC211D"/>
    <w:rsid w:val="2E2E4AE2"/>
    <w:rsid w:val="2E5860CE"/>
    <w:rsid w:val="2EDE3101"/>
    <w:rsid w:val="2FA31782"/>
    <w:rsid w:val="2FC82472"/>
    <w:rsid w:val="2FC8645A"/>
    <w:rsid w:val="30135E4B"/>
    <w:rsid w:val="30E57296"/>
    <w:rsid w:val="313564FF"/>
    <w:rsid w:val="33314CA9"/>
    <w:rsid w:val="3445338B"/>
    <w:rsid w:val="348C7842"/>
    <w:rsid w:val="34A75871"/>
    <w:rsid w:val="34F67EE0"/>
    <w:rsid w:val="35911D1E"/>
    <w:rsid w:val="360C62D3"/>
    <w:rsid w:val="36407B95"/>
    <w:rsid w:val="366724DD"/>
    <w:rsid w:val="369003F3"/>
    <w:rsid w:val="369F457E"/>
    <w:rsid w:val="372C73BF"/>
    <w:rsid w:val="37783EB8"/>
    <w:rsid w:val="37855B5B"/>
    <w:rsid w:val="39522C4F"/>
    <w:rsid w:val="39965EB4"/>
    <w:rsid w:val="39B60CF9"/>
    <w:rsid w:val="39C233C9"/>
    <w:rsid w:val="3AC11C0B"/>
    <w:rsid w:val="3AC5785E"/>
    <w:rsid w:val="3B5D0EF4"/>
    <w:rsid w:val="3B84632D"/>
    <w:rsid w:val="3BD22E9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95F34"/>
    <w:rsid w:val="41BC69C3"/>
    <w:rsid w:val="41F63994"/>
    <w:rsid w:val="422B3CC4"/>
    <w:rsid w:val="425273BE"/>
    <w:rsid w:val="42E11F92"/>
    <w:rsid w:val="42FE39BD"/>
    <w:rsid w:val="434C2472"/>
    <w:rsid w:val="43987A99"/>
    <w:rsid w:val="43A77756"/>
    <w:rsid w:val="43B3073F"/>
    <w:rsid w:val="442451E1"/>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CAC64A7"/>
    <w:rsid w:val="4D700CFE"/>
    <w:rsid w:val="4E3F37F1"/>
    <w:rsid w:val="4E8B06CC"/>
    <w:rsid w:val="4FC560A3"/>
    <w:rsid w:val="51143A06"/>
    <w:rsid w:val="51522CC3"/>
    <w:rsid w:val="51D87312"/>
    <w:rsid w:val="52765D84"/>
    <w:rsid w:val="52952D55"/>
    <w:rsid w:val="53032779"/>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876F5"/>
    <w:rsid w:val="5E4775F9"/>
    <w:rsid w:val="5E564D2B"/>
    <w:rsid w:val="5EC0420D"/>
    <w:rsid w:val="5F85500D"/>
    <w:rsid w:val="601B6CAE"/>
    <w:rsid w:val="620A4B83"/>
    <w:rsid w:val="624352C6"/>
    <w:rsid w:val="627961EF"/>
    <w:rsid w:val="62D42C87"/>
    <w:rsid w:val="62D97490"/>
    <w:rsid w:val="63291771"/>
    <w:rsid w:val="635B53F4"/>
    <w:rsid w:val="638616CA"/>
    <w:rsid w:val="6431561E"/>
    <w:rsid w:val="646A06F8"/>
    <w:rsid w:val="64EE6A20"/>
    <w:rsid w:val="673D43D6"/>
    <w:rsid w:val="674658D4"/>
    <w:rsid w:val="68144CE6"/>
    <w:rsid w:val="68F147C3"/>
    <w:rsid w:val="694B5840"/>
    <w:rsid w:val="6A015822"/>
    <w:rsid w:val="6A325FF9"/>
    <w:rsid w:val="6A576651"/>
    <w:rsid w:val="6B246507"/>
    <w:rsid w:val="6B961295"/>
    <w:rsid w:val="6C892A9E"/>
    <w:rsid w:val="6D3B69F3"/>
    <w:rsid w:val="6DFE1580"/>
    <w:rsid w:val="6E9D4964"/>
    <w:rsid w:val="6EA41EA1"/>
    <w:rsid w:val="6ECE4405"/>
    <w:rsid w:val="700F0193"/>
    <w:rsid w:val="703C530B"/>
    <w:rsid w:val="70552422"/>
    <w:rsid w:val="70723796"/>
    <w:rsid w:val="70904E30"/>
    <w:rsid w:val="71013E28"/>
    <w:rsid w:val="714479C8"/>
    <w:rsid w:val="714707D4"/>
    <w:rsid w:val="719658FE"/>
    <w:rsid w:val="72BF06E3"/>
    <w:rsid w:val="72D87E05"/>
    <w:rsid w:val="72EE0533"/>
    <w:rsid w:val="737B4CAA"/>
    <w:rsid w:val="74553583"/>
    <w:rsid w:val="754E0C44"/>
    <w:rsid w:val="75F00FA9"/>
    <w:rsid w:val="76313693"/>
    <w:rsid w:val="76720DAB"/>
    <w:rsid w:val="769F35AF"/>
    <w:rsid w:val="76F123A0"/>
    <w:rsid w:val="77404F00"/>
    <w:rsid w:val="776948B3"/>
    <w:rsid w:val="77F250B7"/>
    <w:rsid w:val="788121DE"/>
    <w:rsid w:val="789417E7"/>
    <w:rsid w:val="78951D1C"/>
    <w:rsid w:val="78C0027C"/>
    <w:rsid w:val="78F72B27"/>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EBB3CBF"/>
    <w:rsid w:val="7FA35A4A"/>
    <w:rsid w:val="7FC00B62"/>
    <w:rsid w:val="D85B0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4"/>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spacing w:before="10" w:after="10" w:line="360" w:lineRule="auto"/>
      <w:ind w:firstLine="420" w:firstLineChars="100"/>
      <w:jc w:val="both"/>
    </w:pPr>
    <w:rPr>
      <w:rFonts w:ascii="Times New Roman" w:hAnsi="Times New Roman" w:eastAsia="宋体" w:cs="Times New Roman"/>
      <w:kern w:val="2"/>
      <w:sz w:val="24"/>
      <w:szCs w:val="24"/>
      <w:lang w:val="en-US" w:eastAsia="zh-CN" w:bidi="ar-SA"/>
    </w:rPr>
  </w:style>
  <w:style w:type="paragraph" w:styleId="8">
    <w:name w:val="Normal Indent"/>
    <w:basedOn w:val="1"/>
    <w:next w:val="9"/>
    <w:link w:val="30"/>
    <w:qFormat/>
    <w:uiPriority w:val="0"/>
    <w:pPr>
      <w:ind w:firstLine="420"/>
    </w:pPr>
    <w:rPr>
      <w:szCs w:val="20"/>
    </w:rPr>
  </w:style>
  <w:style w:type="paragraph" w:styleId="9">
    <w:name w:val="Body Text"/>
    <w:basedOn w:val="1"/>
    <w:next w:val="1"/>
    <w:link w:val="45"/>
    <w:qFormat/>
    <w:uiPriority w:val="99"/>
    <w:pPr>
      <w:spacing w:before="10" w:after="10" w:line="360" w:lineRule="auto"/>
      <w:ind w:firstLine="200" w:firstLineChars="200"/>
    </w:pPr>
    <w:rPr>
      <w:sz w:val="24"/>
    </w:rPr>
  </w:style>
  <w:style w:type="paragraph" w:styleId="10">
    <w:name w:val="annotation text"/>
    <w:basedOn w:val="1"/>
    <w:next w:val="11"/>
    <w:link w:val="32"/>
    <w:qFormat/>
    <w:uiPriority w:val="0"/>
    <w:pPr>
      <w:jc w:val="left"/>
    </w:pPr>
  </w:style>
  <w:style w:type="paragraph" w:styleId="11">
    <w:name w:val="toc 5"/>
    <w:basedOn w:val="1"/>
    <w:next w:val="1"/>
    <w:qFormat/>
    <w:uiPriority w:val="0"/>
    <w:pPr>
      <w:ind w:left="840"/>
      <w:jc w:val="left"/>
    </w:pPr>
    <w:rPr>
      <w:rFonts w:cs="Calibri"/>
      <w:sz w:val="18"/>
      <w:szCs w:val="18"/>
    </w:rPr>
  </w:style>
  <w:style w:type="paragraph" w:styleId="12">
    <w:name w:val="Plain Text"/>
    <w:basedOn w:val="1"/>
    <w:next w:val="13"/>
    <w:qFormat/>
    <w:uiPriority w:val="0"/>
    <w:rPr>
      <w:rFonts w:ascii="宋体" w:hAnsi="Courier New"/>
    </w:rPr>
  </w:style>
  <w:style w:type="paragraph" w:customStyle="1" w:styleId="1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4">
    <w:name w:val="Balloon Text"/>
    <w:basedOn w:val="1"/>
    <w:link w:val="31"/>
    <w:qFormat/>
    <w:uiPriority w:val="0"/>
    <w:rPr>
      <w:sz w:val="18"/>
      <w:szCs w:val="18"/>
    </w:rPr>
  </w:style>
  <w:style w:type="paragraph" w:styleId="15">
    <w:name w:val="footer"/>
    <w:basedOn w:val="1"/>
    <w:link w:val="28"/>
    <w:qFormat/>
    <w:uiPriority w:val="0"/>
    <w:pPr>
      <w:tabs>
        <w:tab w:val="center" w:pos="4153"/>
        <w:tab w:val="right" w:pos="8306"/>
      </w:tabs>
      <w:snapToGrid w:val="0"/>
      <w:jc w:val="left"/>
    </w:pPr>
    <w:rPr>
      <w:sz w:val="18"/>
      <w:szCs w:val="18"/>
    </w:rPr>
  </w:style>
  <w:style w:type="paragraph" w:styleId="16">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0">
    <w:name w:val="annotation subject"/>
    <w:basedOn w:val="10"/>
    <w:next w:val="10"/>
    <w:link w:val="33"/>
    <w:qFormat/>
    <w:uiPriority w:val="0"/>
    <w:rPr>
      <w:b/>
      <w:bCs/>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FollowedHyperlink"/>
    <w:basedOn w:val="23"/>
    <w:unhideWhenUsed/>
    <w:qFormat/>
    <w:uiPriority w:val="0"/>
    <w:rPr>
      <w:color w:val="800080"/>
      <w:u w:val="single"/>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customStyle="1" w:styleId="27">
    <w:name w:val="页眉 字符"/>
    <w:basedOn w:val="23"/>
    <w:link w:val="16"/>
    <w:qFormat/>
    <w:uiPriority w:val="0"/>
    <w:rPr>
      <w:kern w:val="2"/>
      <w:sz w:val="18"/>
      <w:szCs w:val="18"/>
    </w:rPr>
  </w:style>
  <w:style w:type="character" w:customStyle="1" w:styleId="28">
    <w:name w:val="页脚 字符"/>
    <w:basedOn w:val="23"/>
    <w:link w:val="15"/>
    <w:qFormat/>
    <w:uiPriority w:val="0"/>
    <w:rPr>
      <w:kern w:val="2"/>
      <w:sz w:val="18"/>
      <w:szCs w:val="18"/>
    </w:rPr>
  </w:style>
  <w:style w:type="paragraph" w:customStyle="1" w:styleId="29">
    <w:name w:val="列出段落1"/>
    <w:basedOn w:val="1"/>
    <w:qFormat/>
    <w:uiPriority w:val="34"/>
    <w:pPr>
      <w:ind w:firstLine="420" w:firstLineChars="200"/>
    </w:pPr>
    <w:rPr>
      <w:szCs w:val="21"/>
    </w:rPr>
  </w:style>
  <w:style w:type="character" w:customStyle="1" w:styleId="30">
    <w:name w:val="正文缩进 字符"/>
    <w:basedOn w:val="23"/>
    <w:link w:val="8"/>
    <w:qFormat/>
    <w:uiPriority w:val="0"/>
    <w:rPr>
      <w:kern w:val="2"/>
      <w:sz w:val="21"/>
    </w:rPr>
  </w:style>
  <w:style w:type="character" w:customStyle="1" w:styleId="31">
    <w:name w:val="批注框文本 字符"/>
    <w:basedOn w:val="23"/>
    <w:link w:val="14"/>
    <w:qFormat/>
    <w:uiPriority w:val="0"/>
    <w:rPr>
      <w:kern w:val="2"/>
      <w:sz w:val="18"/>
      <w:szCs w:val="18"/>
    </w:rPr>
  </w:style>
  <w:style w:type="character" w:customStyle="1" w:styleId="32">
    <w:name w:val="批注文字 字符"/>
    <w:basedOn w:val="23"/>
    <w:link w:val="10"/>
    <w:qFormat/>
    <w:uiPriority w:val="0"/>
    <w:rPr>
      <w:kern w:val="2"/>
      <w:sz w:val="21"/>
      <w:szCs w:val="24"/>
    </w:rPr>
  </w:style>
  <w:style w:type="character" w:customStyle="1" w:styleId="33">
    <w:name w:val="批注主题 字符"/>
    <w:basedOn w:val="32"/>
    <w:link w:val="20"/>
    <w:qFormat/>
    <w:uiPriority w:val="0"/>
    <w:rPr>
      <w:b/>
      <w:bCs/>
      <w:kern w:val="2"/>
      <w:sz w:val="21"/>
      <w:szCs w:val="24"/>
    </w:rPr>
  </w:style>
  <w:style w:type="character" w:customStyle="1" w:styleId="34">
    <w:name w:val="标题 3 字符"/>
    <w:basedOn w:val="23"/>
    <w:link w:val="5"/>
    <w:qFormat/>
    <w:uiPriority w:val="0"/>
    <w:rPr>
      <w:rFonts w:ascii="Arial" w:hAnsi="Arial"/>
      <w:b/>
      <w:bCs/>
      <w:sz w:val="32"/>
      <w:szCs w:val="32"/>
    </w:rPr>
  </w:style>
  <w:style w:type="paragraph" w:customStyle="1" w:styleId="35">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6">
    <w:name w:val="彩色列表 - 强调文字颜色 111"/>
    <w:basedOn w:val="1"/>
    <w:qFormat/>
    <w:uiPriority w:val="0"/>
    <w:pPr>
      <w:ind w:firstLine="420" w:firstLineChars="200"/>
    </w:pPr>
  </w:style>
  <w:style w:type="paragraph" w:customStyle="1" w:styleId="37">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8">
    <w:name w:val="List Paragraph"/>
    <w:basedOn w:val="1"/>
    <w:unhideWhenUsed/>
    <w:qFormat/>
    <w:uiPriority w:val="99"/>
    <w:pPr>
      <w:ind w:firstLine="420" w:firstLineChars="200"/>
    </w:pPr>
  </w:style>
  <w:style w:type="paragraph" w:customStyle="1" w:styleId="39">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2">
    <w:name w:val="Body text|1_"/>
    <w:basedOn w:val="23"/>
    <w:link w:val="43"/>
    <w:qFormat/>
    <w:locked/>
    <w:uiPriority w:val="0"/>
    <w:rPr>
      <w:rFonts w:ascii="宋体" w:hAnsi="宋体" w:cs="宋体"/>
      <w:lang w:val="zh-TW" w:eastAsia="zh-TW" w:bidi="zh-TW"/>
    </w:rPr>
  </w:style>
  <w:style w:type="paragraph" w:customStyle="1" w:styleId="43">
    <w:name w:val="Body text|1"/>
    <w:basedOn w:val="1"/>
    <w:link w:val="42"/>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4">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character" w:customStyle="1" w:styleId="45">
    <w:name w:val="正文文本 字符"/>
    <w:basedOn w:val="23"/>
    <w:link w:val="9"/>
    <w:qFormat/>
    <w:uiPriority w:val="99"/>
    <w:rPr>
      <w:kern w:val="2"/>
      <w:sz w:val="24"/>
      <w:szCs w:val="24"/>
    </w:rPr>
  </w:style>
  <w:style w:type="paragraph" w:customStyle="1" w:styleId="46">
    <w:name w:val="Char Char Char Char Char Char Char Char Char Char Char Char Char Char Char Char Char Char Char Char Char Char"/>
    <w:basedOn w:val="1"/>
    <w:qFormat/>
    <w:uiPriority w:val="0"/>
    <w:pPr>
      <w:widowControl/>
      <w:spacing w:line="400" w:lineRule="exact"/>
      <w:jc w:val="center"/>
    </w:pPr>
    <w:rPr>
      <w:rFonts w:ascii="仿宋" w:hAnsi="仿宋" w:eastAsia="仿宋"/>
      <w:b/>
      <w:color w:val="FF0000"/>
      <w:kern w:val="0"/>
      <w:sz w:val="28"/>
      <w:szCs w:val="20"/>
      <w:lang w:eastAsia="en-US"/>
    </w:rPr>
  </w:style>
  <w:style w:type="table" w:customStyle="1" w:styleId="47">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3297</Words>
  <Characters>3464</Characters>
  <Lines>100</Lines>
  <Paragraphs>28</Paragraphs>
  <TotalTime>0</TotalTime>
  <ScaleCrop>false</ScaleCrop>
  <LinksUpToDate>false</LinksUpToDate>
  <CharactersWithSpaces>3474</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058785</cp:lastModifiedBy>
  <dcterms:modified xsi:type="dcterms:W3CDTF">2025-11-03T04:53:10Z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8EAC7E938F0F4BFBAC8B53FFD9C775FE_13</vt:lpwstr>
  </property>
  <property fmtid="{D5CDD505-2E9C-101B-9397-08002B2CF9AE}" pid="4" name="KSOTemplateDocerSaveRecord">
    <vt:lpwstr>eyJoZGlkIjoiYmJlNDdmNGU3ZmIyZjAwMzAyNmM4MGEyNDY5Y2NiMDciLCJ1c2VySWQiOiIzOTc5OTU2OTcifQ==</vt:lpwstr>
  </property>
</Properties>
</file>