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480"/>
      </w:pPr>
    </w:p>
    <w:p>
      <w:pPr>
        <w:jc w:val="center"/>
        <w:rPr>
          <w:rFonts w:hint="eastAsia" w:ascii="宋体" w:hAnsi="宋体" w:cs="宋体"/>
          <w:b/>
          <w:bCs/>
          <w:sz w:val="96"/>
          <w:szCs w:val="96"/>
        </w:rPr>
      </w:pPr>
      <w:r>
        <w:rPr>
          <w:rFonts w:hint="eastAsia" w:ascii="宋体" w:hAnsi="宋体" w:cs="宋体"/>
          <w:b/>
          <w:bCs/>
          <w:sz w:val="96"/>
          <w:szCs w:val="96"/>
        </w:rPr>
        <w:t>2025年交通科学技术研究所历史账务第三方辅助清查</w:t>
      </w:r>
    </w:p>
    <w:p>
      <w:pPr>
        <w:jc w:val="center"/>
        <w:rPr>
          <w:rFonts w:hint="eastAsia" w:ascii="宋体" w:hAnsi="宋体" w:cs="宋体"/>
        </w:rPr>
      </w:pPr>
      <w:r>
        <w:rPr>
          <w:rFonts w:hint="eastAsia" w:ascii="宋体" w:hAnsi="宋体" w:cs="宋体"/>
          <w:b/>
          <w:bCs/>
          <w:sz w:val="96"/>
          <w:szCs w:val="96"/>
        </w:rPr>
        <w:t>服务项目</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pPr>
        <w:ind w:firstLine="1084" w:firstLineChars="300"/>
        <w:rPr>
          <w:rFonts w:hint="eastAsia" w:ascii="宋体" w:hAnsi="宋体" w:cs="宋体"/>
          <w:b/>
          <w:bCs/>
          <w:sz w:val="36"/>
          <w:szCs w:val="36"/>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项目编号：JYCG-DECL-2025-27138</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2"/>
        <w:ind w:firstLine="1084" w:firstLineChars="300"/>
        <w:rPr>
          <w:rFonts w:hint="eastAsia" w:ascii="宋体" w:hAnsi="宋体" w:eastAsia="宋体" w:cs="宋体"/>
          <w:b/>
          <w:bCs/>
          <w:sz w:val="36"/>
          <w:szCs w:val="36"/>
          <w:lang w:eastAsia="zh-CN"/>
        </w:rPr>
      </w:pPr>
      <w:r>
        <w:rPr>
          <w:rFonts w:hint="eastAsia" w:ascii="宋体" w:hAnsi="宋体" w:cs="宋体"/>
          <w:b/>
          <w:bCs/>
          <w:sz w:val="36"/>
          <w:szCs w:val="36"/>
        </w:rPr>
        <w:t xml:space="preserve">采购人： </w:t>
      </w:r>
      <w:r>
        <w:rPr>
          <w:rFonts w:hint="eastAsia" w:ascii="宋体" w:hAnsi="宋体" w:cs="宋体"/>
          <w:b/>
          <w:bCs/>
          <w:sz w:val="36"/>
          <w:szCs w:val="36"/>
          <w:lang w:eastAsia="zh-CN"/>
        </w:rPr>
        <w:t>深圳市公安局交通警察局</w:t>
      </w:r>
    </w:p>
    <w:p>
      <w:pPr>
        <w:pStyle w:val="12"/>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1"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2"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1" w:firstLineChars="196"/>
        <w:rPr>
          <w:rFonts w:hint="eastAsia" w:ascii="宋体" w:hAnsi="宋体"/>
          <w:szCs w:val="21"/>
          <w:highlight w:val="yellow"/>
        </w:rPr>
      </w:pPr>
      <w:r>
        <w:rPr>
          <w:rFonts w:hint="eastAsia" w:ascii="宋体" w:hAnsi="宋体"/>
          <w:szCs w:val="21"/>
          <w:highlight w:val="yellow"/>
        </w:rPr>
        <w:t>投标文件报价出现前后不一致的，除另有规定外，按照下列规定修正：</w:t>
      </w:r>
    </w:p>
    <w:p>
      <w:pPr>
        <w:ind w:firstLine="411" w:firstLineChars="196"/>
        <w:rPr>
          <w:rFonts w:hint="eastAsia"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pPr>
        <w:ind w:firstLine="411" w:firstLineChars="196"/>
        <w:rPr>
          <w:rFonts w:hint="eastAsia" w:ascii="宋体" w:hAnsi="宋体"/>
          <w:szCs w:val="21"/>
          <w:highlight w:val="yellow"/>
        </w:rPr>
      </w:pPr>
      <w:r>
        <w:rPr>
          <w:rFonts w:hint="eastAsia" w:ascii="宋体" w:hAnsi="宋体"/>
          <w:szCs w:val="21"/>
          <w:highlight w:val="yellow"/>
        </w:rPr>
        <w:t>2、大写金额和小写金额不一致的，以大写金额为准；</w:t>
      </w:r>
    </w:p>
    <w:p>
      <w:pPr>
        <w:ind w:firstLine="411" w:firstLineChars="196"/>
        <w:rPr>
          <w:rFonts w:hint="eastAsia"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pPr>
        <w:ind w:firstLine="411" w:firstLineChars="196"/>
        <w:rPr>
          <w:rFonts w:hint="eastAsia" w:ascii="宋体" w:hAnsi="宋体"/>
          <w:szCs w:val="21"/>
          <w:highlight w:val="yellow"/>
        </w:rPr>
      </w:pPr>
      <w:r>
        <w:rPr>
          <w:rFonts w:hint="eastAsia" w:ascii="宋体" w:hAnsi="宋体"/>
          <w:szCs w:val="21"/>
          <w:highlight w:val="yellow"/>
        </w:rPr>
        <w:t>4、总价金额与按单价汇总金额不一致的，以单价金额计算结果为准。</w:t>
      </w:r>
    </w:p>
    <w:p>
      <w:pPr>
        <w:ind w:firstLine="411" w:firstLineChars="196"/>
        <w:rPr>
          <w:rFonts w:hint="eastAsia" w:ascii="宋体" w:hAnsi="宋体" w:cs="宋体"/>
          <w:kern w:val="0"/>
          <w:szCs w:val="21"/>
          <w:highlight w:val="yellow"/>
        </w:rPr>
      </w:pPr>
      <w:r>
        <w:rPr>
          <w:rFonts w:hint="eastAsia" w:ascii="宋体" w:hAnsi="宋体"/>
          <w:szCs w:val="21"/>
          <w:highlight w:val="yellow"/>
        </w:rPr>
        <w:t>5、同时出现两种以上不一致的，按照前款规定的顺序修正。</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highlight w:val="yellow"/>
        </w:rPr>
        <w:t>采购人以修正后的分项报价之和为成交金额并签订合同。</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1" w:firstLineChars="200"/>
        <w:rPr>
          <w:rFonts w:hint="eastAsia" w:ascii="宋体" w:hAnsi="宋体" w:cs="宋体"/>
          <w:b/>
          <w:bCs/>
          <w:kern w:val="0"/>
          <w:szCs w:val="21"/>
        </w:rPr>
      </w:pPr>
      <w:r>
        <w:rPr>
          <w:rFonts w:hint="eastAsia" w:ascii="宋体" w:hAnsi="宋体" w:cs="宋体"/>
          <w:b/>
          <w:bCs/>
          <w:kern w:val="0"/>
          <w:szCs w:val="21"/>
        </w:rPr>
        <w:t>采购人可选择项目</w:t>
      </w:r>
      <w:r>
        <w:rPr>
          <w:rFonts w:hint="eastAsia" w:ascii="宋体" w:hAnsi="宋体" w:cs="宋体"/>
          <w:b/>
          <w:bCs/>
          <w:kern w:val="0"/>
          <w:szCs w:val="21"/>
          <w:lang w:eastAsia="zh-CN"/>
        </w:rPr>
        <w:t>询价</w:t>
      </w:r>
      <w:r>
        <w:rPr>
          <w:rFonts w:hint="eastAsia" w:ascii="宋体" w:hAnsi="宋体" w:cs="宋体"/>
          <w:b/>
          <w:bCs/>
          <w:kern w:val="0"/>
          <w:szCs w:val="21"/>
        </w:rPr>
        <w:t>失败，重新采购。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2"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1"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pStyle w:val="9"/>
        <w:rPr>
          <w:rFonts w:hint="eastAsia"/>
        </w:rPr>
      </w:pPr>
      <w:r>
        <w:rPr>
          <w:rFonts w:hint="eastAsia" w:ascii="宋体" w:hAnsi="宋体" w:cs="宋体"/>
          <w:sz w:val="21"/>
          <w:szCs w:val="21"/>
          <w:highlight w:val="none"/>
          <w:lang w:val="en-US" w:eastAsia="zh-CN"/>
        </w:rPr>
        <w:t>深圳市交通科学技术研究所因机构改革等原因，存在大量长期挂帐的往来款项和沉淀资金，成为审计督办问题，急需得到有效解决。由于清查账龄长、成因复杂，且时间紧、任务重，需聘请专业第三方公司协助开展财务清查工作。</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3402" w:type="dxa"/>
            <w:shd w:val="clear" w:color="auto" w:fill="C6D9F1"/>
            <w:vAlign w:val="center"/>
          </w:tcPr>
          <w:p>
            <w:pPr>
              <w:spacing w:line="360" w:lineRule="auto"/>
              <w:jc w:val="center"/>
              <w:rPr>
                <w:b/>
                <w:szCs w:val="21"/>
              </w:rPr>
            </w:pPr>
            <w:r>
              <w:rPr>
                <w:rFonts w:hint="eastAsia"/>
                <w:b/>
                <w:szCs w:val="21"/>
              </w:rPr>
              <w:t>服务名称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855" w:type="dxa"/>
            <w:shd w:val="clear" w:color="auto" w:fill="C6D9F1"/>
          </w:tcPr>
          <w:p>
            <w:pPr>
              <w:spacing w:line="360" w:lineRule="auto"/>
              <w:jc w:val="center"/>
              <w:rPr>
                <w:b/>
                <w:szCs w:val="21"/>
              </w:rPr>
            </w:pPr>
            <w:r>
              <w:rPr>
                <w:rFonts w:hint="eastAsia"/>
                <w:b/>
                <w:szCs w:val="21"/>
              </w:rPr>
              <w:t>单位</w:t>
            </w:r>
          </w:p>
        </w:tc>
        <w:tc>
          <w:tcPr>
            <w:tcW w:w="1839" w:type="dxa"/>
            <w:shd w:val="clear" w:color="auto" w:fill="C6D9F1"/>
            <w:vAlign w:val="center"/>
          </w:tcPr>
          <w:p>
            <w:pPr>
              <w:spacing w:line="360" w:lineRule="auto"/>
              <w:jc w:val="center"/>
              <w:rPr>
                <w:b/>
                <w:szCs w:val="21"/>
              </w:rPr>
            </w:pPr>
            <w:r>
              <w:rPr>
                <w:rFonts w:hint="eastAsia"/>
                <w:b/>
                <w:szCs w:val="21"/>
              </w:rPr>
              <w:t>预算金额（元）</w:t>
            </w:r>
          </w:p>
        </w:tc>
        <w:tc>
          <w:tcPr>
            <w:tcW w:w="850"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szCs w:val="21"/>
              </w:rPr>
            </w:pPr>
            <w:r>
              <w:rPr>
                <w:rFonts w:hint="eastAsia" w:ascii="宋体" w:hAnsi="宋体"/>
                <w:szCs w:val="21"/>
              </w:rPr>
              <w:t>1</w:t>
            </w:r>
          </w:p>
        </w:tc>
        <w:tc>
          <w:tcPr>
            <w:tcW w:w="3402" w:type="dxa"/>
            <w:vAlign w:val="center"/>
          </w:tcPr>
          <w:p>
            <w:pPr>
              <w:spacing w:line="360" w:lineRule="auto"/>
              <w:jc w:val="center"/>
              <w:rPr>
                <w:rFonts w:hint="eastAsia" w:ascii="宋体" w:hAnsi="宋体"/>
                <w:szCs w:val="21"/>
              </w:rPr>
            </w:pPr>
            <w:r>
              <w:rPr>
                <w:rFonts w:hint="eastAsia" w:ascii="Times New Roman" w:hAnsi="Times New Roman" w:eastAsia="宋体" w:cs="Times New Roman"/>
                <w:sz w:val="21"/>
                <w:szCs w:val="21"/>
                <w:lang w:val="en-US" w:eastAsia="zh-CN"/>
              </w:rPr>
              <w:t>2025年交通科学技术研究所历史账务第三方辅助清查服务</w:t>
            </w:r>
          </w:p>
        </w:tc>
        <w:tc>
          <w:tcPr>
            <w:tcW w:w="732"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tcPr>
          <w:p>
            <w:pPr>
              <w:spacing w:line="360" w:lineRule="auto"/>
              <w:jc w:val="center"/>
              <w:rPr>
                <w:rFonts w:hint="eastAsia" w:ascii="宋体" w:hAnsi="宋体" w:eastAsia="宋体"/>
                <w:szCs w:val="21"/>
                <w:lang w:eastAsia="zh-CN"/>
              </w:rPr>
            </w:pPr>
            <w:r>
              <w:rPr>
                <w:rFonts w:hint="eastAsia" w:ascii="宋体" w:hAnsi="宋体"/>
                <w:sz w:val="21"/>
                <w:szCs w:val="21"/>
                <w:lang w:eastAsia="zh-CN"/>
              </w:rPr>
              <w:t>项</w:t>
            </w:r>
          </w:p>
        </w:tc>
        <w:tc>
          <w:tcPr>
            <w:tcW w:w="1839" w:type="dxa"/>
            <w:vAlign w:val="center"/>
          </w:tcPr>
          <w:p>
            <w:pPr>
              <w:spacing w:line="360" w:lineRule="auto"/>
              <w:jc w:val="center"/>
              <w:rPr>
                <w:rFonts w:hint="eastAsia" w:ascii="宋体" w:hAnsi="宋体"/>
                <w:szCs w:val="21"/>
              </w:rPr>
            </w:pPr>
            <w:r>
              <w:rPr>
                <w:rFonts w:hint="eastAsia"/>
                <w:sz w:val="21"/>
                <w:szCs w:val="21"/>
                <w:highlight w:val="none"/>
                <w:lang w:val="en-US" w:eastAsia="zh-CN"/>
              </w:rPr>
              <w:t>160000.00</w:t>
            </w:r>
          </w:p>
        </w:tc>
        <w:tc>
          <w:tcPr>
            <w:tcW w:w="850" w:type="dxa"/>
            <w:vAlign w:val="center"/>
          </w:tcPr>
          <w:p>
            <w:pPr>
              <w:spacing w:line="360" w:lineRule="auto"/>
              <w:jc w:val="center"/>
              <w:rPr>
                <w:szCs w:val="21"/>
              </w:rPr>
            </w:pPr>
          </w:p>
        </w:tc>
      </w:tr>
    </w:tbl>
    <w:p>
      <w:pPr>
        <w:rPr>
          <w:rFonts w:hint="eastAsia" w:ascii="宋体" w:hAnsi="宋体"/>
          <w:b/>
          <w:bCs/>
          <w:snapToGrid w:val="0"/>
          <w:color w:val="000000"/>
          <w:kern w:val="0"/>
          <w:szCs w:val="21"/>
        </w:rPr>
      </w:pPr>
    </w:p>
    <w:p>
      <w:pPr>
        <w:ind w:firstLine="421"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pPr>
        <w:ind w:firstLine="421" w:firstLineChars="20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1、项目服务内容和要求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投标供应商须组建不少于4人具有行政事业单位往来款、沉淀资金清查项目经验的服务团队，其中项目负责人1名要求具备注册会计师证，其余3人中，2人要求具备中级会计师职称，1人要求具备初级会计师职称。具体服务内容如下（包括但不限于）:</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（1）制定清查计划及清查方案。</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（2）往来款账务梳理，确定往来款形成原因。</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（3）梳理历年项目收支结余，确定银行存款中的沉淀资金情况。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（4）清查历年合同执行情况，梳理债权债务。</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（5）协助向往来款项涉及对象发函并追踪回函结果，往来单位涵盖上级主管部门、行政事业单位、合作企业、个人等众多主体。</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（6）协助核查资金性质，包含财政拨款、专项资金、自收自支、借款、垫付款等类型。</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（7）协助访谈调查取证，公示公告账内、账外债权债务及合同履约情况。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（8）协助追回债权，执行债权追要程序。</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（9）协助清算债务，执行债务清算程序。</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（10）协助查找历史佐证资料（分散于不同部门、存储介质，部分甚至面临缺失、损毁等情况）。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（11）提出各项往来款的解决建议和措施，以及沉淀资金上缴建议。</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（12）形成《财务清查报告》（要求账内、账外债权债务清晰，往来款及沉淀资金已全量处理或制定切实可行的解决方案）。</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项目主要成果:</w:t>
      </w:r>
    </w:p>
    <w:p>
      <w:pPr>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cs="宋体"/>
          <w:sz w:val="21"/>
          <w:szCs w:val="21"/>
          <w:highlight w:val="none"/>
        </w:rPr>
        <w:t>《财务清查报告》及全量过程文档资料扫描件。工作成果形式：①纸质文本1套；②电子文本（word或pdf或ppt格式）1份；③光盘1份。</w:t>
      </w:r>
    </w:p>
    <w:p>
      <w:pPr>
        <w:numPr>
          <w:ilvl w:val="0"/>
          <w:numId w:val="1"/>
        </w:numPr>
        <w:spacing w:line="360" w:lineRule="auto"/>
        <w:ind w:firstLine="421" w:firstLineChars="20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项目管理要求</w:t>
      </w:r>
    </w:p>
    <w:p>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（1）项目管理</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①投标供应商需按照项目管理要求，建立沟通汇报机制，及时汇报工作进度，解决影响项目推进的问题，确保项目及时且高质量完成。</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②投标供应商需安排具有行政事业单位同类型项目经验人员组成项目团队，必要情况下，增派足够人员保障按时完成本项目所有工作。</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③按采购方项目管理有关要求，提交本项目的所有相关文档和成果(包括电子成果)。</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④历史往来款的解决建议和措施，以及沉淀资金上缴建议，需经上级主管部门认可后方可通过验收。</w:t>
      </w:r>
    </w:p>
    <w:p>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（2）保密管理</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①投标供应商在履行合同过程中所获得或接触到的任何内部数据资料，未经采购人同意，不得向第三方透露。</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②投标供应商实施项目的一切程序都应符合国家安全、保密的有关规定和标准。</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③投标供应商参加项目的有关人员均需同采购人签订保密协议。</w:t>
      </w:r>
    </w:p>
    <w:p>
      <w:pPr>
        <w:spacing w:line="360" w:lineRule="auto"/>
        <w:ind w:firstLine="420" w:firstLineChars="200"/>
        <w:rPr>
          <w:rFonts w:hint="default" w:ascii="Calibri" w:hAnsi="Calibri" w:cs="Calibri"/>
          <w:sz w:val="21"/>
          <w:szCs w:val="21"/>
          <w:highlight w:val="none"/>
          <w:lang w:val="en-US" w:eastAsia="zh-CN"/>
        </w:rPr>
      </w:pPr>
      <w:r>
        <w:rPr>
          <w:rFonts w:hint="default" w:ascii="Calibri" w:hAnsi="Calibri" w:cs="Calibri"/>
          <w:sz w:val="21"/>
          <w:szCs w:val="21"/>
          <w:highlight w:val="none"/>
          <w:lang w:val="en-US" w:eastAsia="zh-CN"/>
        </w:rPr>
        <w:t>④因投标供应商原因导致项目资料、文档、数据或其他有关秘密泄露的，采购人有权要求投标供应商采取措施消除影响，并赔偿损失，影响严重的将追究法律责任。</w:t>
      </w:r>
    </w:p>
    <w:p>
      <w:pPr>
        <w:spacing w:line="360" w:lineRule="auto"/>
        <w:ind w:firstLine="420" w:firstLineChars="200"/>
        <w:rPr>
          <w:rFonts w:hint="default" w:ascii="Calibri" w:hAnsi="Calibri" w:cs="Calibri"/>
          <w:sz w:val="21"/>
          <w:szCs w:val="21"/>
          <w:highlight w:val="none"/>
          <w:lang w:val="en-US" w:eastAsia="zh-CN"/>
        </w:rPr>
      </w:pPr>
      <w:r>
        <w:rPr>
          <w:rFonts w:hint="eastAsia" w:ascii="Calibri" w:hAnsi="Calibri" w:eastAsia="宋体" w:cs="Calibri"/>
          <w:sz w:val="21"/>
          <w:szCs w:val="21"/>
          <w:highlight w:val="none"/>
          <w:lang w:val="en-US" w:eastAsia="zh-CN"/>
        </w:rPr>
        <w:t>⑤</w:t>
      </w:r>
      <w:r>
        <w:rPr>
          <w:rFonts w:hint="default" w:ascii="Calibri" w:hAnsi="Calibri" w:cs="Calibri"/>
          <w:sz w:val="21"/>
          <w:szCs w:val="21"/>
          <w:highlight w:val="none"/>
          <w:lang w:val="en-US" w:eastAsia="zh-CN"/>
        </w:rPr>
        <w:t>投标供应商应严格遵守公安机关计算机保密技术防范系统管理有关规定，包括但不限于：一是严禁涉密信息外泄；二是杜绝违规使用“两用U盘”、“一机两用”等情况。</w:t>
      </w:r>
    </w:p>
    <w:p>
      <w:pPr>
        <w:spacing w:line="360" w:lineRule="auto"/>
        <w:ind w:firstLine="420" w:firstLineChars="200"/>
        <w:rPr>
          <w:rFonts w:hint="default" w:ascii="Calibri" w:hAnsi="Calibri" w:cs="Calibri"/>
          <w:sz w:val="21"/>
          <w:szCs w:val="21"/>
          <w:highlight w:val="none"/>
          <w:lang w:val="en-US" w:eastAsia="zh-CN"/>
        </w:rPr>
      </w:pPr>
      <w:r>
        <w:rPr>
          <w:rFonts w:hint="eastAsia" w:ascii="Calibri" w:hAnsi="Calibri" w:eastAsia="宋体" w:cs="Calibri"/>
          <w:sz w:val="21"/>
          <w:szCs w:val="21"/>
          <w:highlight w:val="none"/>
          <w:lang w:val="en-US" w:eastAsia="zh-CN"/>
        </w:rPr>
        <w:t>⑥</w:t>
      </w:r>
      <w:r>
        <w:rPr>
          <w:rFonts w:hint="default" w:ascii="Calibri" w:hAnsi="Calibri" w:cs="Calibri"/>
          <w:sz w:val="21"/>
          <w:szCs w:val="21"/>
          <w:highlight w:val="none"/>
          <w:lang w:val="en-US" w:eastAsia="zh-CN"/>
        </w:rPr>
        <w:t>投标供应商应严格遵守采购人有关法规和政府内部规章制度，不得擅自翻阅、复制、传播所接触的用户资料或数据，保证不向外涉露或用作其他用途，投标供应商负责约束其所属员工。</w:t>
      </w:r>
    </w:p>
    <w:p>
      <w:pPr>
        <w:spacing w:line="360" w:lineRule="auto"/>
        <w:ind w:firstLine="420" w:firstLineChars="200"/>
        <w:rPr>
          <w:rFonts w:hint="eastAsia" w:ascii="宋体" w:hAnsi="宋体"/>
          <w:sz w:val="21"/>
          <w:szCs w:val="21"/>
          <w:highlight w:val="none"/>
          <w:lang w:val="en-US" w:eastAsia="zh-CN"/>
        </w:rPr>
      </w:pPr>
      <w:r>
        <w:rPr>
          <w:rFonts w:hint="eastAsia" w:ascii="Calibri" w:hAnsi="Calibri" w:cs="Calibri"/>
          <w:sz w:val="21"/>
          <w:szCs w:val="21"/>
          <w:highlight w:val="none"/>
          <w:lang w:val="en-US" w:eastAsia="zh-CN"/>
        </w:rPr>
        <w:t>⑦</w:t>
      </w:r>
      <w:r>
        <w:rPr>
          <w:rFonts w:hint="default" w:ascii="Calibri" w:hAnsi="Calibri" w:cs="Calibri"/>
          <w:sz w:val="21"/>
          <w:szCs w:val="21"/>
          <w:highlight w:val="none"/>
          <w:lang w:val="en-US" w:eastAsia="zh-CN"/>
        </w:rPr>
        <w:t>投标供应商所有现场工作人员不得利用工作之便，进行任何非法或非本项目范围内的活动。</w:t>
      </w:r>
    </w:p>
    <w:p>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（3）项目服务团队配备</w:t>
      </w:r>
    </w:p>
    <w:p>
      <w:pPr>
        <w:spacing w:line="360" w:lineRule="auto"/>
        <w:ind w:firstLine="420" w:firstLineChars="200"/>
        <w:rPr>
          <w:rFonts w:hint="default" w:ascii="Calibri" w:hAnsi="Calibri" w:eastAsia="宋体" w:cs="Calibri"/>
          <w:sz w:val="21"/>
          <w:szCs w:val="21"/>
          <w:highlight w:val="none"/>
          <w:lang w:val="en-US" w:eastAsia="zh-CN"/>
        </w:rPr>
      </w:pPr>
      <w:r>
        <w:rPr>
          <w:rFonts w:hint="default" w:ascii="Calibri" w:hAnsi="Calibri" w:cs="Calibri"/>
          <w:sz w:val="21"/>
          <w:szCs w:val="21"/>
          <w:highlight w:val="none"/>
          <w:lang w:val="en-US" w:eastAsia="zh-CN"/>
        </w:rPr>
        <w:t>①</w:t>
      </w:r>
      <w:r>
        <w:rPr>
          <w:rFonts w:hint="eastAsia" w:ascii="Calibri" w:hAnsi="Calibri" w:eastAsia="宋体" w:cs="Calibri"/>
          <w:sz w:val="21"/>
          <w:szCs w:val="21"/>
          <w:highlight w:val="none"/>
          <w:lang w:val="en-US" w:eastAsia="zh-CN"/>
        </w:rPr>
        <w:t>投标供应商须组建不少于4人具有行政事业单位往来款、沉淀资金清查项目经验的服务团队，其中项目负责人1名要求具备注册会计师证，其余3人中，2人要求具备中级会计师职称，1人要求具备初级会计师职称。服务期间，项目服务团队成员需要纳入考勤。</w:t>
      </w:r>
    </w:p>
    <w:p>
      <w:pPr>
        <w:spacing w:line="360" w:lineRule="auto"/>
        <w:ind w:firstLine="420" w:firstLineChars="200"/>
        <w:rPr>
          <w:rFonts w:hint="default" w:ascii="Calibri" w:hAnsi="Calibri" w:eastAsia="宋体" w:cs="Calibri"/>
          <w:sz w:val="21"/>
          <w:szCs w:val="21"/>
          <w:highlight w:val="none"/>
          <w:lang w:val="en-US" w:eastAsia="zh-CN"/>
        </w:rPr>
      </w:pPr>
      <w:r>
        <w:rPr>
          <w:rFonts w:hint="default" w:ascii="Calibri" w:hAnsi="Calibri" w:cs="Calibri"/>
          <w:sz w:val="21"/>
          <w:szCs w:val="21"/>
          <w:highlight w:val="none"/>
          <w:lang w:val="en-US" w:eastAsia="zh-CN"/>
        </w:rPr>
        <w:t>②</w:t>
      </w:r>
      <w:r>
        <w:rPr>
          <w:rFonts w:hint="default" w:ascii="Calibri" w:hAnsi="Calibri" w:eastAsia="宋体" w:cs="Calibri"/>
          <w:sz w:val="21"/>
          <w:szCs w:val="21"/>
          <w:highlight w:val="none"/>
          <w:lang w:val="en-US" w:eastAsia="zh-CN"/>
        </w:rPr>
        <w:t>中标供应商应保持项目团队成员的稳定性，确因工作需要更换项目</w:t>
      </w:r>
      <w:r>
        <w:rPr>
          <w:rFonts w:hint="eastAsia" w:ascii="Calibri" w:hAnsi="Calibri" w:eastAsia="宋体" w:cs="Calibri"/>
          <w:sz w:val="21"/>
          <w:szCs w:val="21"/>
          <w:highlight w:val="none"/>
          <w:lang w:val="en-US" w:eastAsia="zh-CN"/>
        </w:rPr>
        <w:t>团队成员</w:t>
      </w:r>
      <w:r>
        <w:rPr>
          <w:rFonts w:hint="default" w:ascii="Calibri" w:hAnsi="Calibri" w:eastAsia="宋体" w:cs="Calibri"/>
          <w:sz w:val="21"/>
          <w:szCs w:val="21"/>
          <w:highlight w:val="none"/>
          <w:lang w:val="en-US" w:eastAsia="zh-CN"/>
        </w:rPr>
        <w:t>的，应提前</w:t>
      </w:r>
      <w:r>
        <w:rPr>
          <w:rFonts w:hint="eastAsia" w:ascii="Calibri" w:hAnsi="Calibri" w:cs="Calibri"/>
          <w:sz w:val="21"/>
          <w:szCs w:val="21"/>
          <w:highlight w:val="none"/>
          <w:lang w:val="en-US" w:eastAsia="zh-CN"/>
        </w:rPr>
        <w:t>30日</w:t>
      </w:r>
      <w:r>
        <w:rPr>
          <w:rFonts w:hint="eastAsia" w:ascii="Calibri" w:hAnsi="Calibri" w:eastAsia="宋体" w:cs="Calibri"/>
          <w:sz w:val="21"/>
          <w:szCs w:val="21"/>
          <w:highlight w:val="none"/>
          <w:lang w:val="en-US" w:eastAsia="zh-CN"/>
        </w:rPr>
        <w:t>向</w:t>
      </w:r>
      <w:r>
        <w:rPr>
          <w:rFonts w:hint="default" w:ascii="Calibri" w:hAnsi="Calibri" w:eastAsia="宋体" w:cs="Calibri"/>
          <w:sz w:val="21"/>
          <w:szCs w:val="21"/>
          <w:highlight w:val="none"/>
          <w:lang w:val="en-US" w:eastAsia="zh-CN"/>
        </w:rPr>
        <w:t>采购人</w:t>
      </w:r>
      <w:r>
        <w:rPr>
          <w:rFonts w:hint="eastAsia" w:ascii="Calibri" w:hAnsi="Calibri" w:eastAsia="宋体" w:cs="Calibri"/>
          <w:sz w:val="21"/>
          <w:szCs w:val="21"/>
          <w:highlight w:val="none"/>
          <w:lang w:val="en-US" w:eastAsia="zh-CN"/>
        </w:rPr>
        <w:t>申请</w:t>
      </w:r>
      <w:r>
        <w:rPr>
          <w:rFonts w:hint="default" w:ascii="Calibri" w:hAnsi="Calibri" w:eastAsia="宋体" w:cs="Calibri"/>
          <w:sz w:val="21"/>
          <w:szCs w:val="21"/>
          <w:highlight w:val="none"/>
          <w:lang w:val="en-US" w:eastAsia="zh-CN"/>
        </w:rPr>
        <w:t>，经采购人书面同意才能进行替换。</w:t>
      </w:r>
    </w:p>
    <w:p>
      <w:pPr>
        <w:spacing w:line="360" w:lineRule="auto"/>
        <w:ind w:firstLine="420" w:firstLineChars="200"/>
        <w:rPr>
          <w:rFonts w:hint="eastAsia" w:ascii="Calibri" w:hAnsi="Calibri" w:eastAsia="宋体" w:cs="Calibri"/>
          <w:sz w:val="21"/>
          <w:szCs w:val="21"/>
          <w:highlight w:val="none"/>
          <w:lang w:val="en-US" w:eastAsia="zh-CN"/>
        </w:rPr>
      </w:pPr>
      <w:r>
        <w:rPr>
          <w:rFonts w:hint="default" w:ascii="Calibri" w:hAnsi="Calibri" w:cs="Calibri"/>
          <w:sz w:val="21"/>
          <w:szCs w:val="21"/>
          <w:highlight w:val="none"/>
          <w:lang w:val="en-US" w:eastAsia="zh-CN"/>
        </w:rPr>
        <w:t>③</w:t>
      </w:r>
      <w:r>
        <w:rPr>
          <w:rFonts w:hint="eastAsia" w:ascii="Calibri" w:hAnsi="Calibri" w:eastAsia="宋体" w:cs="Calibri"/>
          <w:sz w:val="21"/>
          <w:szCs w:val="21"/>
          <w:highlight w:val="none"/>
          <w:lang w:val="en-US" w:eastAsia="zh-CN"/>
        </w:rPr>
        <w:t>投标供应商提供的具体配套服务方式，包括但不限于书面答复、上门服务、电话服务、邮件服务等。除通过符合合同约定的服务和成果外，投标供应商还应为采购人就项目相关事项提供临时咨询服务。采购人提出书面咨询要求后，投标供应商应在5日内提交书面咨询报告。采购人提出的临时口头咨询要求后，投标供应商应在24小时内答复。</w:t>
      </w:r>
    </w:p>
    <w:p>
      <w:pPr>
        <w:spacing w:line="360" w:lineRule="auto"/>
        <w:ind w:firstLine="420" w:firstLineChars="200"/>
        <w:rPr>
          <w:rFonts w:hint="eastAsia" w:ascii="Calibri" w:hAnsi="Calibri" w:eastAsia="宋体" w:cs="Calibri"/>
          <w:sz w:val="21"/>
          <w:szCs w:val="21"/>
          <w:highlight w:val="none"/>
          <w:lang w:val="en-US" w:eastAsia="zh-CN"/>
        </w:rPr>
      </w:pPr>
      <w:r>
        <w:rPr>
          <w:rFonts w:hint="default" w:ascii="Calibri" w:hAnsi="Calibri" w:cs="Calibri"/>
          <w:sz w:val="21"/>
          <w:szCs w:val="21"/>
          <w:highlight w:val="none"/>
          <w:lang w:val="en-US" w:eastAsia="zh-CN"/>
        </w:rPr>
        <w:t>④</w:t>
      </w:r>
      <w:r>
        <w:rPr>
          <w:rFonts w:hint="eastAsia" w:ascii="Calibri" w:hAnsi="Calibri" w:eastAsia="宋体" w:cs="Calibri"/>
          <w:sz w:val="21"/>
          <w:szCs w:val="21"/>
          <w:highlight w:val="none"/>
          <w:lang w:val="en-US" w:eastAsia="zh-CN"/>
        </w:rPr>
        <w:t>投标供应商派驻现场办公团队按照采购单位相关模板及管理规定办理工作证并统一着装，配合物业等人员做好出入登记、工牌核对、车辆停放等事宜，自觉维护好办公环境及内务秩序。</w:t>
      </w:r>
    </w:p>
    <w:p>
      <w:pPr>
        <w:spacing w:line="360" w:lineRule="auto"/>
        <w:ind w:firstLine="420" w:firstLineChars="200"/>
        <w:rPr>
          <w:rFonts w:hint="eastAsia" w:ascii="黑体" w:hAnsi="宋体" w:eastAsia="黑体"/>
          <w:sz w:val="32"/>
          <w:szCs w:val="32"/>
        </w:rPr>
      </w:pPr>
      <w:r>
        <w:rPr>
          <w:rFonts w:hint="eastAsia" w:ascii="Calibri" w:hAnsi="Calibri" w:eastAsia="宋体" w:cs="Calibri"/>
          <w:sz w:val="21"/>
          <w:szCs w:val="21"/>
          <w:highlight w:val="none"/>
          <w:lang w:val="en-US" w:eastAsia="zh-CN"/>
        </w:rPr>
        <w:t>⑤办公室及网络环境由采购人提供，电脑、桌椅等办公设备及用品投标供应商自理，特殊岗位另行专门约定。</w:t>
      </w: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pStyle w:val="8"/>
        <w:ind w:left="15" w:leftChars="7" w:firstLine="404" w:firstLineChars="192"/>
        <w:rPr>
          <w:rFonts w:hint="eastAsia" w:ascii="宋体" w:hAnsi="宋体"/>
          <w:b/>
          <w:bCs/>
          <w:sz w:val="21"/>
          <w:szCs w:val="21"/>
          <w:lang w:val="en-US" w:eastAsia="zh-CN"/>
        </w:rPr>
      </w:pPr>
      <w:r>
        <w:rPr>
          <w:rFonts w:hint="eastAsia" w:ascii="宋体" w:hAnsi="宋体"/>
          <w:b/>
          <w:bCs/>
          <w:sz w:val="21"/>
          <w:szCs w:val="21"/>
          <w:lang w:val="en-US" w:eastAsia="zh-CN"/>
        </w:rPr>
        <w:t>1、</w:t>
      </w:r>
      <w:r>
        <w:rPr>
          <w:rFonts w:hint="eastAsia" w:ascii="宋体" w:hAnsi="宋体"/>
          <w:b/>
          <w:bCs/>
          <w:sz w:val="21"/>
          <w:szCs w:val="21"/>
          <w:lang w:val="zh-CN"/>
        </w:rPr>
        <w:t>★</w:t>
      </w:r>
      <w:r>
        <w:rPr>
          <w:rFonts w:hint="eastAsia" w:ascii="宋体" w:hAnsi="宋体"/>
          <w:b/>
          <w:bCs/>
          <w:sz w:val="21"/>
          <w:szCs w:val="21"/>
          <w:lang w:val="en-US" w:eastAsia="zh-CN"/>
        </w:rPr>
        <w:t>履约时间和地点</w:t>
      </w:r>
    </w:p>
    <w:p>
      <w:pPr>
        <w:pStyle w:val="8"/>
        <w:ind w:left="15" w:leftChars="7" w:firstLine="403" w:firstLineChars="192"/>
        <w:rPr>
          <w:rFonts w:hint="eastAsia" w:ascii="宋体" w:hAnsi="宋体" w:cs="宋体"/>
          <w:color w:val="auto"/>
          <w:kern w:val="0"/>
          <w:sz w:val="21"/>
          <w:szCs w:val="21"/>
          <w:highlight w:val="none"/>
          <w:lang w:val="en-US" w:eastAsia="zh-CN" w:bidi="ar"/>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服务期限：服务期自合同签订之日起生效，并在双方履行完毕本合同约定的所有义务后终止（不得超过1年）。</w:t>
      </w:r>
      <w:r>
        <w:rPr>
          <w:rFonts w:hint="eastAsia" w:ascii="宋体" w:hAnsi="宋体" w:cs="宋体"/>
          <w:color w:val="auto"/>
          <w:kern w:val="0"/>
          <w:sz w:val="21"/>
          <w:szCs w:val="21"/>
          <w:highlight w:val="none"/>
          <w:lang w:val="en-US" w:eastAsia="zh-CN" w:bidi="ar"/>
        </w:rPr>
        <w:t>（服务期自合同签订之日起生效，并在双方履行完毕本合同约定的所有义务且征得甲方同意后终止。）</w:t>
      </w:r>
    </w:p>
    <w:p>
      <w:pPr>
        <w:pStyle w:val="8"/>
        <w:ind w:left="15" w:leftChars="7" w:firstLine="403" w:firstLineChars="192"/>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（2）服务地点：采购人指定地点。</w:t>
      </w:r>
    </w:p>
    <w:p>
      <w:pPr>
        <w:pStyle w:val="8"/>
        <w:ind w:firstLine="413" w:firstLineChars="196"/>
        <w:rPr>
          <w:rFonts w:ascii="宋体" w:hAnsi="宋体"/>
          <w:b/>
          <w:bCs/>
          <w:sz w:val="21"/>
          <w:szCs w:val="21"/>
        </w:rPr>
      </w:pPr>
      <w:r>
        <w:rPr>
          <w:rFonts w:hint="eastAsia" w:ascii="宋体" w:hAnsi="宋体"/>
          <w:b/>
          <w:bCs/>
          <w:sz w:val="21"/>
          <w:szCs w:val="21"/>
          <w:lang w:val="en-US" w:eastAsia="zh-CN"/>
        </w:rPr>
        <w:t>2</w:t>
      </w:r>
      <w:r>
        <w:rPr>
          <w:rFonts w:hint="eastAsia" w:ascii="宋体" w:hAnsi="宋体"/>
          <w:b/>
          <w:bCs/>
          <w:sz w:val="21"/>
          <w:szCs w:val="21"/>
        </w:rPr>
        <w:t>、</w:t>
      </w:r>
      <w:r>
        <w:rPr>
          <w:rFonts w:hint="eastAsia" w:ascii="宋体" w:hAnsi="宋体"/>
          <w:b/>
          <w:bCs/>
          <w:sz w:val="21"/>
          <w:szCs w:val="21"/>
          <w:lang w:val="zh-CN"/>
        </w:rPr>
        <w:t>★</w:t>
      </w:r>
      <w:r>
        <w:rPr>
          <w:rFonts w:hint="eastAsia" w:ascii="宋体" w:hAnsi="宋体"/>
          <w:b/>
          <w:snapToGrid w:val="0"/>
          <w:kern w:val="0"/>
          <w:szCs w:val="21"/>
        </w:rPr>
        <w:t>付款期限和方式</w:t>
      </w:r>
    </w:p>
    <w:p>
      <w:pPr>
        <w:pStyle w:val="8"/>
        <w:ind w:firstLine="411" w:firstLineChars="196"/>
        <w:rPr>
          <w:rFonts w:hint="eastAsia" w:ascii="宋体" w:hAnsi="宋体" w:cs="宋体"/>
          <w:kern w:val="0"/>
          <w:sz w:val="21"/>
          <w:szCs w:val="21"/>
          <w:lang w:val="en-US" w:eastAsia="zh-CN"/>
        </w:rPr>
      </w:pPr>
      <w:r>
        <w:rPr>
          <w:rFonts w:hint="eastAsia" w:ascii="宋体" w:hAnsi="宋体" w:cs="宋体"/>
          <w:kern w:val="0"/>
          <w:sz w:val="21"/>
          <w:szCs w:val="21"/>
          <w:lang w:val="en-US" w:eastAsia="zh-CN"/>
        </w:rPr>
        <w:t>付款期限和方式，以合同约定为准。</w:t>
      </w:r>
    </w:p>
    <w:p>
      <w:pPr>
        <w:pStyle w:val="8"/>
        <w:ind w:firstLine="411" w:firstLineChars="196"/>
        <w:rPr>
          <w:rFonts w:hint="eastAsia" w:ascii="宋体" w:hAnsi="宋体" w:cs="宋体"/>
          <w:kern w:val="0"/>
          <w:sz w:val="21"/>
          <w:szCs w:val="21"/>
          <w:lang w:val="en-US" w:eastAsia="zh-CN"/>
        </w:rPr>
      </w:pPr>
      <w:r>
        <w:rPr>
          <w:rFonts w:hint="eastAsia" w:ascii="宋体" w:hAnsi="宋体" w:cs="宋体"/>
          <w:kern w:val="0"/>
          <w:sz w:val="21"/>
          <w:szCs w:val="21"/>
          <w:lang w:val="en-US" w:eastAsia="zh-CN"/>
        </w:rPr>
        <w:t>采购人办理付款手续时，中标供应商需提供相关必要资料。</w:t>
      </w:r>
    </w:p>
    <w:p>
      <w:pPr>
        <w:pStyle w:val="8"/>
        <w:ind w:firstLine="413" w:firstLineChars="196"/>
        <w:rPr>
          <w:rFonts w:ascii="宋体" w:hAnsi="宋体"/>
          <w:b/>
          <w:bCs/>
          <w:sz w:val="21"/>
          <w:szCs w:val="21"/>
        </w:rPr>
      </w:pPr>
      <w:r>
        <w:rPr>
          <w:rFonts w:hint="eastAsia" w:ascii="宋体" w:hAnsi="宋体"/>
          <w:b/>
          <w:bCs/>
          <w:sz w:val="21"/>
          <w:szCs w:val="21"/>
        </w:rPr>
        <w:t>3、验收条件</w:t>
      </w:r>
    </w:p>
    <w:p>
      <w:pPr>
        <w:ind w:firstLine="420" w:firstLineChars="200"/>
        <w:rPr>
          <w:rFonts w:hint="eastAsia" w:ascii="宋体" w:hAnsi="宋体"/>
          <w:sz w:val="21"/>
          <w:szCs w:val="21"/>
        </w:rPr>
      </w:pPr>
      <w:r>
        <w:rPr>
          <w:rFonts w:hint="eastAsia" w:ascii="宋体" w:hAnsi="宋体" w:cs="宋体"/>
          <w:kern w:val="0"/>
          <w:sz w:val="21"/>
          <w:szCs w:val="21"/>
          <w:lang w:val="en-US" w:eastAsia="zh-CN"/>
        </w:rPr>
        <w:t>（1）</w:t>
      </w:r>
      <w:r>
        <w:rPr>
          <w:rFonts w:hint="eastAsia" w:ascii="宋体" w:hAnsi="宋体"/>
          <w:sz w:val="21"/>
          <w:szCs w:val="21"/>
        </w:rPr>
        <w:t>投标人按照招标文件的要求按时完成项目的实施，完成相应的工作成果提交后，由采购方组成项目验收小组，通过验收后签署验收证明书。</w:t>
      </w:r>
    </w:p>
    <w:p>
      <w:pPr>
        <w:ind w:firstLine="420" w:firstLineChars="200"/>
        <w:rPr>
          <w:rFonts w:ascii="宋体" w:hAnsi="宋体"/>
          <w:sz w:val="21"/>
          <w:szCs w:val="21"/>
        </w:rPr>
      </w:pPr>
      <w:r>
        <w:rPr>
          <w:rFonts w:hint="eastAsia" w:ascii="宋体" w:hAnsi="宋体" w:cs="宋体"/>
          <w:kern w:val="0"/>
          <w:sz w:val="21"/>
          <w:szCs w:val="21"/>
          <w:lang w:val="en-US" w:eastAsia="zh-CN"/>
        </w:rPr>
        <w:t>（2）</w:t>
      </w:r>
      <w:r>
        <w:rPr>
          <w:rFonts w:hint="eastAsia" w:ascii="宋体" w:hAnsi="宋体"/>
          <w:sz w:val="21"/>
          <w:szCs w:val="21"/>
        </w:rPr>
        <w:t>验收依据为本项目招投标文件，国家和行业现行有关规范、规程和标准。</w:t>
      </w:r>
    </w:p>
    <w:p>
      <w:pPr>
        <w:pStyle w:val="8"/>
        <w:ind w:firstLine="413" w:firstLineChars="196"/>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4</w:t>
      </w:r>
      <w:r>
        <w:rPr>
          <w:rFonts w:hint="eastAsia" w:ascii="宋体" w:hAnsi="宋体" w:eastAsia="宋体" w:cs="Times New Roman"/>
          <w:b/>
          <w:bCs/>
          <w:sz w:val="21"/>
          <w:szCs w:val="21"/>
          <w:lang w:val="en-US" w:eastAsia="zh-CN"/>
        </w:rPr>
        <w:t>、</w:t>
      </w:r>
      <w:r>
        <w:rPr>
          <w:rFonts w:hint="default" w:ascii="宋体" w:hAnsi="宋体" w:eastAsia="宋体" w:cs="Times New Roman"/>
          <w:b/>
          <w:bCs/>
          <w:sz w:val="21"/>
          <w:szCs w:val="21"/>
          <w:lang w:val="en-US" w:eastAsia="zh-CN"/>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4"/>
          <w:lang w:val="en-US" w:eastAsia="zh-CN"/>
        </w:rPr>
      </w:pPr>
      <w:r>
        <w:rPr>
          <w:rFonts w:hint="eastAsia"/>
          <w:sz w:val="21"/>
          <w:szCs w:val="24"/>
          <w:lang w:val="en-US" w:eastAsia="zh-CN"/>
        </w:rPr>
        <w:t>（1）</w:t>
      </w:r>
      <w:r>
        <w:rPr>
          <w:rFonts w:hint="default"/>
          <w:sz w:val="21"/>
          <w:szCs w:val="24"/>
          <w:lang w:val="en-US" w:eastAsia="zh-CN"/>
        </w:rPr>
        <w:t>因中标供应商原因，未能按规定时间完成合同约定服务内容，每延误一日历天，采购人可在支付合同余款中扣除合同总价款5‰，若延误60日历天，采购人有权解除合同，并要求中标供应商返还所有已付价款。给采购人造成损失的，中标供应商应当承担全部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4"/>
          <w:lang w:val="en-US" w:eastAsia="zh-CN"/>
        </w:rPr>
      </w:pPr>
      <w:r>
        <w:rPr>
          <w:rFonts w:hint="eastAsia"/>
          <w:sz w:val="21"/>
          <w:szCs w:val="24"/>
          <w:lang w:val="en-US" w:eastAsia="zh-CN"/>
        </w:rPr>
        <w:t>（2）</w:t>
      </w:r>
      <w:r>
        <w:rPr>
          <w:rFonts w:hint="default"/>
          <w:sz w:val="21"/>
          <w:szCs w:val="24"/>
          <w:lang w:val="en-US" w:eastAsia="zh-CN"/>
        </w:rPr>
        <w:t>由于中标供应商原因造成项目成果质量低劣，不能满足合同约定项目验收要求时，应继续完善项目工作，其费用由中标供应商承担。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4"/>
          <w:lang w:val="en-US" w:eastAsia="zh-CN"/>
        </w:rPr>
      </w:pPr>
      <w:r>
        <w:rPr>
          <w:rFonts w:hint="eastAsia"/>
          <w:sz w:val="21"/>
          <w:szCs w:val="24"/>
          <w:lang w:val="en-US" w:eastAsia="zh-CN"/>
        </w:rPr>
        <w:t>（3）</w:t>
      </w:r>
      <w:r>
        <w:rPr>
          <w:rFonts w:hint="default"/>
          <w:sz w:val="21"/>
          <w:szCs w:val="24"/>
          <w:lang w:val="en-US" w:eastAsia="zh-CN"/>
        </w:rPr>
        <w:t>如中标供应商提供的服务不符合合同约定的质量要求，必须在采购人提出要求7日内无条件整改，其费用由中标供应商承担。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4"/>
          <w:lang w:val="en-US" w:eastAsia="zh-CN"/>
        </w:rPr>
      </w:pPr>
      <w:r>
        <w:rPr>
          <w:rFonts w:hint="eastAsia"/>
          <w:sz w:val="21"/>
          <w:szCs w:val="24"/>
          <w:lang w:val="en-US" w:eastAsia="zh-CN"/>
        </w:rPr>
        <w:t>（4）</w:t>
      </w:r>
      <w:r>
        <w:rPr>
          <w:rFonts w:hint="default"/>
          <w:sz w:val="21"/>
          <w:szCs w:val="24"/>
          <w:lang w:val="en-US" w:eastAsia="zh-CN"/>
        </w:rPr>
        <w:t>如中标供应商工作人员违反合同项下关于保密义务等规定，给采购人造成损失的，中标供应商应当承担全部赔偿责任，涉及违法犯罪的人员，采购人可移送有关机关处理。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4"/>
          <w:lang w:val="en-US" w:eastAsia="zh-CN"/>
        </w:rPr>
      </w:pPr>
      <w:r>
        <w:rPr>
          <w:rFonts w:hint="eastAsia"/>
          <w:sz w:val="21"/>
          <w:szCs w:val="24"/>
          <w:lang w:val="en-US" w:eastAsia="zh-CN"/>
        </w:rPr>
        <w:t>（5）</w:t>
      </w:r>
      <w:r>
        <w:rPr>
          <w:rFonts w:hint="default"/>
          <w:sz w:val="21"/>
          <w:szCs w:val="24"/>
          <w:lang w:val="en-US" w:eastAsia="zh-CN"/>
        </w:rPr>
        <w:t>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pPr>
        <w:pStyle w:val="8"/>
        <w:ind w:firstLine="413" w:firstLineChars="196"/>
        <w:rPr>
          <w:rFonts w:hint="eastAsia" w:ascii="宋体" w:hAnsi="宋体" w:eastAsia="宋体" w:cs="Times New Roman"/>
          <w:b/>
          <w:bCs/>
          <w:sz w:val="21"/>
          <w:szCs w:val="21"/>
          <w:lang w:val="en-US" w:eastAsia="zh-CN"/>
        </w:rPr>
      </w:pPr>
      <w:r>
        <w:rPr>
          <w:rFonts w:hint="eastAsia" w:ascii="宋体" w:hAnsi="宋体" w:cs="Times New Roman"/>
          <w:b/>
          <w:bCs/>
          <w:sz w:val="21"/>
          <w:szCs w:val="21"/>
          <w:lang w:val="en-US" w:eastAsia="zh-CN"/>
        </w:rPr>
        <w:t>5</w:t>
      </w:r>
      <w:r>
        <w:rPr>
          <w:rFonts w:hint="eastAsia" w:ascii="宋体" w:hAnsi="宋体" w:eastAsia="宋体" w:cs="Times New Roman"/>
          <w:b/>
          <w:bCs/>
          <w:sz w:val="21"/>
          <w:szCs w:val="21"/>
          <w:lang w:val="en-US" w:eastAsia="zh-CN"/>
        </w:rPr>
        <w:t>、争议解决方法</w:t>
      </w:r>
    </w:p>
    <w:p>
      <w:pPr>
        <w:ind w:firstLine="420" w:firstLineChars="20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执行本合同发生的争议，由甲乙双方协商解决，协商不成的，任何一方可以向甲方所在地有管辖权的人民法院提起诉讼。</w:t>
      </w:r>
    </w:p>
    <w:p>
      <w:pPr>
        <w:ind w:firstLine="420" w:firstLineChars="200"/>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诉讼期间，除争议内容以外，双方均应继续行合同约定的其他内容。</w:t>
      </w:r>
    </w:p>
    <w:p>
      <w:pPr>
        <w:ind w:firstLine="420" w:firstLineChars="200"/>
        <w:rPr>
          <w:rFonts w:hint="eastAsia" w:ascii="宋体" w:hAnsi="宋体" w:cs="宋体"/>
          <w:b/>
          <w:kern w:val="0"/>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本合同的终止、撤销、无效不影响前款约定的效力。</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9"/>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hint="eastAsia"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r>
        <w:rPr>
          <w:rFonts w:hint="eastAsia" w:ascii="Times New Roman" w:hAnsi="Times New Roman" w:eastAsia="宋体" w:cs="Times New Roman"/>
          <w:sz w:val="21"/>
          <w:szCs w:val="21"/>
          <w:lang w:val="en-US" w:eastAsia="zh-CN"/>
        </w:rPr>
        <w:t>2025年交通科学技术研究所历史账务第三方辅助清查服务</w:t>
      </w:r>
    </w:p>
    <w:p>
      <w:pPr>
        <w:rPr>
          <w:rFonts w:ascii="宋体" w:cs="Arial"/>
          <w:b/>
          <w:bCs/>
          <w:sz w:val="28"/>
          <w:szCs w:val="28"/>
        </w:rPr>
      </w:pPr>
      <w:r>
        <w:rPr>
          <w:rFonts w:hint="eastAsia" w:ascii="宋体" w:hAnsi="宋体" w:cs="Arial"/>
          <w:b/>
          <w:bCs/>
          <w:sz w:val="28"/>
          <w:szCs w:val="28"/>
        </w:rPr>
        <w:t>项目编号：JYCG-DECL-2025-27138</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3"/>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w:t>
      </w:r>
      <w:bookmarkStart w:id="8" w:name="_GoBack"/>
      <w:bookmarkEnd w:id="8"/>
      <w:r>
        <w:rPr>
          <w:rFonts w:hint="eastAsia" w:ascii="宋体" w:hAnsi="宋体"/>
        </w:rPr>
        <w:t>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3"/>
        <w:tblW w:w="83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15" w:type="dxa"/>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2369" w:type="dxa"/>
            <w:gridSpan w:val="2"/>
            <w:vAlign w:val="center"/>
          </w:tcPr>
          <w:p>
            <w:pPr>
              <w:spacing w:after="0" w:line="240" w:lineRule="auto"/>
              <w:rPr>
                <w:rFonts w:hint="eastAsia" w:ascii="宋体" w:hAnsi="宋体" w:cs="宋体"/>
                <w:szCs w:val="21"/>
              </w:rPr>
            </w:pPr>
          </w:p>
        </w:tc>
        <w:tc>
          <w:tcPr>
            <w:tcW w:w="1847" w:type="dxa"/>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2798" w:type="dxa"/>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315" w:type="dxa"/>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2369" w:type="dxa"/>
            <w:gridSpan w:val="2"/>
            <w:vAlign w:val="center"/>
          </w:tcPr>
          <w:p>
            <w:pPr>
              <w:spacing w:after="0" w:line="240" w:lineRule="auto"/>
              <w:rPr>
                <w:rFonts w:hint="eastAsia" w:ascii="宋体" w:hAnsi="宋体" w:cs="宋体"/>
                <w:szCs w:val="21"/>
              </w:rPr>
            </w:pPr>
          </w:p>
        </w:tc>
        <w:tc>
          <w:tcPr>
            <w:tcW w:w="1847" w:type="dxa"/>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2798" w:type="dxa"/>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9" w:type="dxa"/>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85" w:type="dxa"/>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2119" w:type="dxa"/>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880" w:type="dxa"/>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847" w:type="dxa"/>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1394" w:type="dxa"/>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1404" w:type="dxa"/>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685" w:type="dxa"/>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2119" w:type="dxa"/>
            <w:gridSpan w:val="2"/>
            <w:vAlign w:val="center"/>
          </w:tcPr>
          <w:p>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880" w:type="dxa"/>
            <w:vAlign w:val="center"/>
          </w:tcPr>
          <w:p>
            <w:pPr>
              <w:spacing w:after="0" w:line="240" w:lineRule="auto"/>
              <w:rPr>
                <w:rFonts w:hint="eastAsia" w:ascii="宋体" w:hAnsi="宋体" w:cs="宋体"/>
                <w:szCs w:val="21"/>
              </w:rPr>
            </w:pPr>
          </w:p>
        </w:tc>
        <w:tc>
          <w:tcPr>
            <w:tcW w:w="1847" w:type="dxa"/>
            <w:gridSpan w:val="2"/>
            <w:vAlign w:val="center"/>
          </w:tcPr>
          <w:p>
            <w:pPr>
              <w:spacing w:after="0" w:line="240" w:lineRule="auto"/>
              <w:rPr>
                <w:rFonts w:hint="eastAsia" w:ascii="宋体" w:hAnsi="宋体" w:cs="宋体"/>
                <w:szCs w:val="21"/>
              </w:rPr>
            </w:pPr>
          </w:p>
        </w:tc>
        <w:tc>
          <w:tcPr>
            <w:tcW w:w="1394" w:type="dxa"/>
            <w:vAlign w:val="center"/>
          </w:tcPr>
          <w:p>
            <w:pPr>
              <w:spacing w:after="0" w:line="240" w:lineRule="auto"/>
              <w:rPr>
                <w:rFonts w:hint="eastAsia" w:ascii="宋体" w:hAnsi="宋体" w:cs="宋体"/>
                <w:szCs w:val="21"/>
              </w:rPr>
            </w:pPr>
          </w:p>
        </w:tc>
        <w:tc>
          <w:tcPr>
            <w:tcW w:w="1404" w:type="dxa"/>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2119" w:type="dxa"/>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880" w:type="dxa"/>
            <w:vAlign w:val="center"/>
          </w:tcPr>
          <w:p>
            <w:pPr>
              <w:spacing w:after="0" w:line="240" w:lineRule="auto"/>
              <w:rPr>
                <w:rFonts w:hint="eastAsia" w:ascii="宋体" w:hAnsi="宋体" w:cs="宋体"/>
                <w:szCs w:val="21"/>
              </w:rPr>
            </w:pPr>
          </w:p>
        </w:tc>
        <w:tc>
          <w:tcPr>
            <w:tcW w:w="1847" w:type="dxa"/>
            <w:gridSpan w:val="2"/>
            <w:vAlign w:val="center"/>
          </w:tcPr>
          <w:p>
            <w:pPr>
              <w:spacing w:after="0" w:line="240" w:lineRule="auto"/>
              <w:rPr>
                <w:rFonts w:hint="eastAsia" w:ascii="宋体" w:hAnsi="宋体" w:cs="宋体"/>
                <w:szCs w:val="21"/>
              </w:rPr>
            </w:pPr>
          </w:p>
        </w:tc>
        <w:tc>
          <w:tcPr>
            <w:tcW w:w="1394" w:type="dxa"/>
            <w:vAlign w:val="center"/>
          </w:tcPr>
          <w:p>
            <w:pPr>
              <w:spacing w:after="0" w:line="240" w:lineRule="auto"/>
              <w:rPr>
                <w:rFonts w:hint="eastAsia" w:ascii="宋体" w:hAnsi="宋体" w:cs="宋体"/>
                <w:szCs w:val="21"/>
              </w:rPr>
            </w:pPr>
          </w:p>
        </w:tc>
        <w:tc>
          <w:tcPr>
            <w:tcW w:w="1404" w:type="dxa"/>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2119" w:type="dxa"/>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880" w:type="dxa"/>
            <w:vAlign w:val="center"/>
          </w:tcPr>
          <w:p>
            <w:pPr>
              <w:spacing w:after="0" w:line="240" w:lineRule="auto"/>
              <w:rPr>
                <w:rFonts w:hint="eastAsia" w:ascii="宋体" w:hAnsi="宋体" w:cs="宋体"/>
                <w:szCs w:val="21"/>
              </w:rPr>
            </w:pPr>
          </w:p>
        </w:tc>
        <w:tc>
          <w:tcPr>
            <w:tcW w:w="1847" w:type="dxa"/>
            <w:gridSpan w:val="2"/>
            <w:vAlign w:val="center"/>
          </w:tcPr>
          <w:p>
            <w:pPr>
              <w:spacing w:after="0" w:line="240" w:lineRule="auto"/>
              <w:rPr>
                <w:rFonts w:hint="eastAsia" w:ascii="宋体" w:hAnsi="宋体" w:cs="宋体"/>
                <w:szCs w:val="21"/>
              </w:rPr>
            </w:pPr>
          </w:p>
        </w:tc>
        <w:tc>
          <w:tcPr>
            <w:tcW w:w="1394" w:type="dxa"/>
            <w:vAlign w:val="center"/>
          </w:tcPr>
          <w:p>
            <w:pPr>
              <w:spacing w:after="0" w:line="240" w:lineRule="auto"/>
              <w:rPr>
                <w:rFonts w:hint="eastAsia" w:ascii="宋体" w:hAnsi="宋体" w:cs="宋体"/>
                <w:szCs w:val="21"/>
              </w:rPr>
            </w:pPr>
          </w:p>
        </w:tc>
        <w:tc>
          <w:tcPr>
            <w:tcW w:w="1404" w:type="dxa"/>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2119" w:type="dxa"/>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880" w:type="dxa"/>
            <w:vAlign w:val="center"/>
          </w:tcPr>
          <w:p>
            <w:pPr>
              <w:spacing w:after="0" w:line="240" w:lineRule="auto"/>
              <w:rPr>
                <w:rFonts w:hint="eastAsia" w:ascii="宋体" w:hAnsi="宋体" w:cs="宋体"/>
                <w:szCs w:val="21"/>
              </w:rPr>
            </w:pPr>
          </w:p>
        </w:tc>
        <w:tc>
          <w:tcPr>
            <w:tcW w:w="1847" w:type="dxa"/>
            <w:gridSpan w:val="2"/>
            <w:vAlign w:val="center"/>
          </w:tcPr>
          <w:p>
            <w:pPr>
              <w:spacing w:after="0" w:line="240" w:lineRule="auto"/>
              <w:rPr>
                <w:rFonts w:hint="eastAsia" w:ascii="宋体" w:hAnsi="宋体" w:cs="宋体"/>
                <w:szCs w:val="21"/>
              </w:rPr>
            </w:pPr>
          </w:p>
        </w:tc>
        <w:tc>
          <w:tcPr>
            <w:tcW w:w="1394" w:type="dxa"/>
            <w:vAlign w:val="center"/>
          </w:tcPr>
          <w:p>
            <w:pPr>
              <w:spacing w:after="0" w:line="240" w:lineRule="auto"/>
              <w:rPr>
                <w:rFonts w:hint="eastAsia" w:ascii="宋体" w:hAnsi="宋体" w:cs="宋体"/>
                <w:szCs w:val="21"/>
              </w:rPr>
            </w:pPr>
          </w:p>
        </w:tc>
        <w:tc>
          <w:tcPr>
            <w:tcW w:w="1404" w:type="dxa"/>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2119" w:type="dxa"/>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880" w:type="dxa"/>
            <w:vAlign w:val="center"/>
          </w:tcPr>
          <w:p>
            <w:pPr>
              <w:spacing w:after="0" w:line="240" w:lineRule="auto"/>
              <w:rPr>
                <w:rFonts w:hint="eastAsia" w:ascii="宋体" w:hAnsi="宋体" w:cs="宋体"/>
                <w:szCs w:val="21"/>
              </w:rPr>
            </w:pPr>
          </w:p>
        </w:tc>
        <w:tc>
          <w:tcPr>
            <w:tcW w:w="1847" w:type="dxa"/>
            <w:gridSpan w:val="2"/>
            <w:vAlign w:val="center"/>
          </w:tcPr>
          <w:p>
            <w:pPr>
              <w:spacing w:after="0" w:line="240" w:lineRule="auto"/>
              <w:rPr>
                <w:rFonts w:hint="eastAsia" w:ascii="宋体" w:hAnsi="宋体" w:cs="宋体"/>
                <w:szCs w:val="21"/>
              </w:rPr>
            </w:pPr>
          </w:p>
        </w:tc>
        <w:tc>
          <w:tcPr>
            <w:tcW w:w="1394" w:type="dxa"/>
            <w:vAlign w:val="center"/>
          </w:tcPr>
          <w:p>
            <w:pPr>
              <w:spacing w:after="0" w:line="240" w:lineRule="auto"/>
              <w:rPr>
                <w:rFonts w:hint="eastAsia" w:ascii="宋体" w:hAnsi="宋体" w:cs="宋体"/>
                <w:szCs w:val="21"/>
              </w:rPr>
            </w:pPr>
          </w:p>
        </w:tc>
        <w:tc>
          <w:tcPr>
            <w:tcW w:w="1404" w:type="dxa"/>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9" w:type="dxa"/>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29" w:type="dxa"/>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5" w:type="dxa"/>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2119" w:type="dxa"/>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1616" w:type="dxa"/>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3909" w:type="dxa"/>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685" w:type="dxa"/>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2119" w:type="dxa"/>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1616" w:type="dxa"/>
            <w:gridSpan w:val="2"/>
            <w:vAlign w:val="center"/>
          </w:tcPr>
          <w:p>
            <w:pPr>
              <w:spacing w:after="0" w:line="240" w:lineRule="auto"/>
              <w:rPr>
                <w:rFonts w:hint="eastAsia" w:ascii="宋体" w:hAnsi="宋体" w:cs="宋体"/>
                <w:szCs w:val="21"/>
              </w:rPr>
            </w:pPr>
          </w:p>
        </w:tc>
        <w:tc>
          <w:tcPr>
            <w:tcW w:w="3909" w:type="dxa"/>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85" w:type="dxa"/>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2119" w:type="dxa"/>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1616" w:type="dxa"/>
            <w:gridSpan w:val="2"/>
            <w:vAlign w:val="center"/>
          </w:tcPr>
          <w:p>
            <w:pPr>
              <w:spacing w:after="0" w:line="240" w:lineRule="auto"/>
              <w:rPr>
                <w:rFonts w:hint="eastAsia" w:ascii="宋体" w:hAnsi="宋体" w:cs="宋体"/>
                <w:szCs w:val="21"/>
              </w:rPr>
            </w:pPr>
          </w:p>
        </w:tc>
        <w:tc>
          <w:tcPr>
            <w:tcW w:w="3909" w:type="dxa"/>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329" w:type="dxa"/>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1"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3"/>
        <w:ind w:firstLine="421" w:firstLineChars="200"/>
        <w:rPr>
          <w:rFonts w:hint="eastAsia" w:ascii="宋体" w:hAnsi="宋体" w:eastAsia="宋体" w:cs="Times New Roman"/>
          <w:b/>
          <w:bCs/>
          <w:color w:val="auto"/>
          <w:kern w:val="2"/>
          <w:sz w:val="21"/>
        </w:rPr>
      </w:pP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3"/>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1"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1"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1"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6"/>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pStyle w:val="27"/>
        <w:ind w:firstLine="0" w:firstLineChars="0"/>
        <w:jc w:val="center"/>
        <w:outlineLvl w:val="1"/>
        <w:rPr>
          <w:rFonts w:hint="eastAsia" w:ascii="宋体" w:hAnsi="宋体"/>
          <w:b/>
          <w:sz w:val="30"/>
          <w:szCs w:val="30"/>
        </w:rPr>
      </w:pPr>
    </w:p>
    <w:p>
      <w:pPr>
        <w:pStyle w:val="9"/>
        <w:ind w:firstLine="480"/>
        <w:rPr>
          <w:rFonts w:hint="eastAsia"/>
        </w:rPr>
      </w:pPr>
      <w:r>
        <w:rPr>
          <w:rFonts w:hint="eastAsia"/>
        </w:rPr>
        <w:br w:type="page"/>
      </w:r>
    </w:p>
    <w:p>
      <w:pPr>
        <w:pStyle w:val="27"/>
        <w:ind w:firstLine="0" w:firstLineChars="0"/>
        <w:jc w:val="center"/>
        <w:outlineLvl w:val="1"/>
      </w:pPr>
      <w:r>
        <w:rPr>
          <w:rFonts w:hint="eastAsia" w:ascii="宋体" w:hAnsi="宋体"/>
          <w:b/>
          <w:sz w:val="30"/>
          <w:szCs w:val="30"/>
        </w:rPr>
        <w:t>六、报价表</w:t>
      </w:r>
    </w:p>
    <w:p>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6" w:name="OLE_LINK48"/>
      <w:bookmarkStart w:id="7" w:name="OLE_LINK46"/>
    </w:p>
    <w:p>
      <w:pPr>
        <w:spacing w:line="360" w:lineRule="auto"/>
        <w:rPr>
          <w:rFonts w:hint="eastAsia" w:ascii="宋体" w:hAnsi="宋体" w:cs="宋体"/>
          <w:szCs w:val="21"/>
        </w:rPr>
      </w:pPr>
      <w:r>
        <w:rPr>
          <w:rFonts w:hint="eastAsia" w:ascii="宋体" w:hAnsi="宋体" w:cs="宋体"/>
          <w:szCs w:val="21"/>
        </w:rPr>
        <w:t>项目编号：</w:t>
      </w:r>
    </w:p>
    <w:tbl>
      <w:tblPr>
        <w:tblStyle w:val="19"/>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3050" w:type="dxa"/>
            <w:vAlign w:val="center"/>
          </w:tcPr>
          <w:p>
            <w:pPr>
              <w:pStyle w:val="2"/>
              <w:jc w:val="center"/>
              <w:rPr>
                <w:rFonts w:hint="eastAsia" w:hAnsi="宋体" w:cs="宋体"/>
                <w:szCs w:val="21"/>
              </w:rPr>
            </w:pPr>
            <w:r>
              <w:rPr>
                <w:rFonts w:hint="eastAsia" w:hAnsi="宋体" w:cs="宋体"/>
                <w:szCs w:val="21"/>
              </w:rPr>
              <w:t>项目名称</w:t>
            </w:r>
          </w:p>
        </w:tc>
        <w:tc>
          <w:tcPr>
            <w:tcW w:w="3358" w:type="dxa"/>
            <w:vAlign w:val="center"/>
          </w:tcPr>
          <w:p>
            <w:pPr>
              <w:pStyle w:val="2"/>
              <w:jc w:val="center"/>
              <w:rPr>
                <w:rFonts w:hint="eastAsia" w:hAnsi="宋体" w:cs="宋体"/>
                <w:szCs w:val="21"/>
              </w:rPr>
            </w:pPr>
            <w:r>
              <w:rPr>
                <w:rFonts w:hint="eastAsia" w:hAnsi="宋体" w:cs="宋体"/>
                <w:szCs w:val="21"/>
              </w:rPr>
              <w:t>报价总价</w:t>
            </w:r>
          </w:p>
          <w:p>
            <w:pPr>
              <w:pStyle w:val="2"/>
              <w:jc w:val="center"/>
              <w:rPr>
                <w:rFonts w:hint="eastAsia" w:hAnsi="宋体" w:cs="宋体"/>
                <w:szCs w:val="21"/>
              </w:rPr>
            </w:pPr>
            <w:r>
              <w:rPr>
                <w:rFonts w:hint="eastAsia" w:hAnsi="宋体" w:cs="宋体"/>
                <w:szCs w:val="21"/>
              </w:rPr>
              <w:t>（人民币/元）</w:t>
            </w:r>
          </w:p>
        </w:tc>
        <w:tc>
          <w:tcPr>
            <w:tcW w:w="1751" w:type="dxa"/>
            <w:vAlign w:val="center"/>
          </w:tcPr>
          <w:p>
            <w:pPr>
              <w:pStyle w:val="2"/>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557" w:hRule="atLeast"/>
          <w:jc w:val="center"/>
        </w:trPr>
        <w:tc>
          <w:tcPr>
            <w:tcW w:w="3050" w:type="dxa"/>
            <w:vAlign w:val="center"/>
          </w:tcPr>
          <w:p>
            <w:pPr>
              <w:pStyle w:val="2"/>
              <w:rPr>
                <w:rFonts w:hint="eastAsia" w:hAnsi="宋体" w:cs="宋体"/>
                <w:szCs w:val="21"/>
              </w:rPr>
            </w:pPr>
          </w:p>
        </w:tc>
        <w:tc>
          <w:tcPr>
            <w:tcW w:w="3358" w:type="dxa"/>
            <w:vAlign w:val="center"/>
          </w:tcPr>
          <w:p>
            <w:pPr>
              <w:pStyle w:val="2"/>
              <w:rPr>
                <w:rFonts w:hint="eastAsia" w:hAnsi="宋体" w:cs="宋体"/>
                <w:szCs w:val="21"/>
              </w:rPr>
            </w:pPr>
          </w:p>
          <w:p>
            <w:pPr>
              <w:pStyle w:val="2"/>
              <w:rPr>
                <w:rFonts w:hint="eastAsia" w:hAnsi="宋体" w:cs="宋体"/>
                <w:szCs w:val="21"/>
              </w:rPr>
            </w:pPr>
            <w:r>
              <w:rPr>
                <w:rFonts w:hint="eastAsia" w:hAnsi="宋体" w:cs="宋体"/>
                <w:szCs w:val="21"/>
              </w:rPr>
              <w:t>小写：</w:t>
            </w:r>
          </w:p>
          <w:p>
            <w:pPr>
              <w:pStyle w:val="2"/>
              <w:rPr>
                <w:rFonts w:hint="eastAsia" w:hAnsi="宋体" w:cs="宋体"/>
                <w:szCs w:val="21"/>
              </w:rPr>
            </w:pPr>
          </w:p>
          <w:p>
            <w:pPr>
              <w:pStyle w:val="2"/>
              <w:rPr>
                <w:rFonts w:hint="eastAsia" w:hAnsi="宋体" w:cs="宋体"/>
                <w:szCs w:val="21"/>
              </w:rPr>
            </w:pPr>
            <w:r>
              <w:rPr>
                <w:rFonts w:hint="eastAsia" w:hAnsi="宋体" w:cs="宋体"/>
                <w:szCs w:val="21"/>
              </w:rPr>
              <w:t>大写：</w:t>
            </w:r>
          </w:p>
          <w:p>
            <w:pPr>
              <w:pStyle w:val="2"/>
              <w:rPr>
                <w:rFonts w:hint="eastAsia" w:hAnsi="宋体" w:cs="宋体"/>
                <w:szCs w:val="21"/>
              </w:rPr>
            </w:pPr>
          </w:p>
        </w:tc>
        <w:tc>
          <w:tcPr>
            <w:tcW w:w="1751" w:type="dxa"/>
            <w:vAlign w:val="center"/>
          </w:tcPr>
          <w:p>
            <w:pPr>
              <w:pStyle w:val="2"/>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pPr>
        <w:pStyle w:val="27"/>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true"/>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true"/>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true"/>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true"/>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 Yb 2gj">
    <w:altName w:val="华文仿宋"/>
    <w:panose1 w:val="00000000000000000000"/>
    <w:charset w:val="86"/>
    <w:family w:val="auto"/>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MtH+LG4AQAAXAMAAA4AAAAAAAAAAQAgAAAANA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A3042"/>
    <w:multiLevelType w:val="singleLevel"/>
    <w:tmpl w:val="D39A304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92276D"/>
    <w:rsid w:val="06A80B5A"/>
    <w:rsid w:val="06EF56F4"/>
    <w:rsid w:val="08662E4F"/>
    <w:rsid w:val="08B131D7"/>
    <w:rsid w:val="08EB5608"/>
    <w:rsid w:val="093750AF"/>
    <w:rsid w:val="094C2162"/>
    <w:rsid w:val="0985779D"/>
    <w:rsid w:val="09CA0D6F"/>
    <w:rsid w:val="0A461B56"/>
    <w:rsid w:val="0A61636D"/>
    <w:rsid w:val="0A663227"/>
    <w:rsid w:val="0A666A2D"/>
    <w:rsid w:val="0A831AEF"/>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3947FD"/>
    <w:rsid w:val="12417C17"/>
    <w:rsid w:val="12770708"/>
    <w:rsid w:val="129355BA"/>
    <w:rsid w:val="13225853"/>
    <w:rsid w:val="14593FCC"/>
    <w:rsid w:val="145F245E"/>
    <w:rsid w:val="14737DC2"/>
    <w:rsid w:val="14A34E7B"/>
    <w:rsid w:val="15055500"/>
    <w:rsid w:val="156C5731"/>
    <w:rsid w:val="1577316E"/>
    <w:rsid w:val="15FB3E98"/>
    <w:rsid w:val="162A5F8F"/>
    <w:rsid w:val="166B1C91"/>
    <w:rsid w:val="168B0B0C"/>
    <w:rsid w:val="16AF7EAC"/>
    <w:rsid w:val="16B26FFE"/>
    <w:rsid w:val="176F0DD6"/>
    <w:rsid w:val="177E5469"/>
    <w:rsid w:val="17824C23"/>
    <w:rsid w:val="17D27321"/>
    <w:rsid w:val="18F66CD4"/>
    <w:rsid w:val="19B65058"/>
    <w:rsid w:val="1AF64450"/>
    <w:rsid w:val="1B720258"/>
    <w:rsid w:val="1B903EE9"/>
    <w:rsid w:val="1BA51042"/>
    <w:rsid w:val="1D134BE7"/>
    <w:rsid w:val="1D1D7568"/>
    <w:rsid w:val="1D232E70"/>
    <w:rsid w:val="1D393246"/>
    <w:rsid w:val="1D8636DD"/>
    <w:rsid w:val="1DD00AB6"/>
    <w:rsid w:val="1E783796"/>
    <w:rsid w:val="1EC07C63"/>
    <w:rsid w:val="1FBD5D4F"/>
    <w:rsid w:val="206104AB"/>
    <w:rsid w:val="20EB1A8B"/>
    <w:rsid w:val="217F114F"/>
    <w:rsid w:val="21EC60B0"/>
    <w:rsid w:val="22066450"/>
    <w:rsid w:val="224C30E3"/>
    <w:rsid w:val="24B532F6"/>
    <w:rsid w:val="24F966A0"/>
    <w:rsid w:val="25914A5C"/>
    <w:rsid w:val="261966A6"/>
    <w:rsid w:val="262E0D6C"/>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07233F"/>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67F476B"/>
    <w:rsid w:val="673D43D6"/>
    <w:rsid w:val="68144CE6"/>
    <w:rsid w:val="68AD010A"/>
    <w:rsid w:val="68F147C3"/>
    <w:rsid w:val="694B5840"/>
    <w:rsid w:val="6A015822"/>
    <w:rsid w:val="6A325FF9"/>
    <w:rsid w:val="6A576651"/>
    <w:rsid w:val="6AA96333"/>
    <w:rsid w:val="6B246507"/>
    <w:rsid w:val="6C892A9E"/>
    <w:rsid w:val="6D282E9A"/>
    <w:rsid w:val="6D3B69F3"/>
    <w:rsid w:val="6DFE1580"/>
    <w:rsid w:val="6E127411"/>
    <w:rsid w:val="6E9D4964"/>
    <w:rsid w:val="6EA41EA1"/>
    <w:rsid w:val="6ECE4405"/>
    <w:rsid w:val="6FEF2F4C"/>
    <w:rsid w:val="700F0193"/>
    <w:rsid w:val="703C530B"/>
    <w:rsid w:val="70552422"/>
    <w:rsid w:val="70723796"/>
    <w:rsid w:val="70904E30"/>
    <w:rsid w:val="71013E28"/>
    <w:rsid w:val="714479C8"/>
    <w:rsid w:val="714707D4"/>
    <w:rsid w:val="72BF06E3"/>
    <w:rsid w:val="72D87E05"/>
    <w:rsid w:val="72EE0533"/>
    <w:rsid w:val="733F0D54"/>
    <w:rsid w:val="737B4CAA"/>
    <w:rsid w:val="74553583"/>
    <w:rsid w:val="754E0C44"/>
    <w:rsid w:val="76313693"/>
    <w:rsid w:val="76720DAB"/>
    <w:rsid w:val="769F35AF"/>
    <w:rsid w:val="76F123A0"/>
    <w:rsid w:val="77404F00"/>
    <w:rsid w:val="776948B3"/>
    <w:rsid w:val="77F250B7"/>
    <w:rsid w:val="783815A8"/>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C501F42"/>
    <w:rsid w:val="7CCB489F"/>
    <w:rsid w:val="7D4C363C"/>
    <w:rsid w:val="7D570C13"/>
    <w:rsid w:val="7DD8172B"/>
    <w:rsid w:val="7EA63A70"/>
    <w:rsid w:val="7FA35A4A"/>
    <w:rsid w:val="7FC00B62"/>
    <w:rsid w:val="DFFFAF09"/>
    <w:rsid w:val="E4AF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8">
    <w:name w:val="Normal Indent"/>
    <w:basedOn w:val="1"/>
    <w:next w:val="9"/>
    <w:link w:val="28"/>
    <w:qFormat/>
    <w:uiPriority w:val="0"/>
    <w:pPr>
      <w:ind w:firstLine="420"/>
    </w:pPr>
    <w:rPr>
      <w:szCs w:val="20"/>
    </w:rPr>
  </w:style>
  <w:style w:type="paragraph" w:styleId="9">
    <w:name w:val="Body Text"/>
    <w:basedOn w:val="1"/>
    <w:next w:val="1"/>
    <w:qFormat/>
    <w:uiPriority w:val="0"/>
    <w:pPr>
      <w:spacing w:before="10" w:after="10" w:line="360" w:lineRule="auto"/>
      <w:ind w:firstLine="200" w:firstLineChars="200"/>
    </w:pPr>
    <w:rPr>
      <w:sz w:val="24"/>
    </w:rPr>
  </w:style>
  <w:style w:type="paragraph" w:styleId="10">
    <w:name w:val="annotation text"/>
    <w:basedOn w:val="1"/>
    <w:next w:val="11"/>
    <w:link w:val="30"/>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Balloon Text"/>
    <w:basedOn w:val="1"/>
    <w:link w:val="29"/>
    <w:qFormat/>
    <w:uiPriority w:val="0"/>
    <w:rPr>
      <w:sz w:val="18"/>
      <w:szCs w:val="18"/>
    </w:r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10"/>
    <w:next w:val="10"/>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4"/>
    <w:qFormat/>
    <w:uiPriority w:val="0"/>
    <w:rPr>
      <w:kern w:val="2"/>
      <w:sz w:val="18"/>
      <w:szCs w:val="18"/>
    </w:rPr>
  </w:style>
  <w:style w:type="character" w:customStyle="1" w:styleId="26">
    <w:name w:val="页脚 字符"/>
    <w:basedOn w:val="21"/>
    <w:link w:val="13"/>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8"/>
    <w:qFormat/>
    <w:uiPriority w:val="0"/>
    <w:rPr>
      <w:kern w:val="2"/>
      <w:sz w:val="21"/>
    </w:rPr>
  </w:style>
  <w:style w:type="character" w:customStyle="1" w:styleId="29">
    <w:name w:val="批注框文本 字符"/>
    <w:basedOn w:val="21"/>
    <w:link w:val="12"/>
    <w:qFormat/>
    <w:uiPriority w:val="0"/>
    <w:rPr>
      <w:kern w:val="2"/>
      <w:sz w:val="18"/>
      <w:szCs w:val="18"/>
    </w:rPr>
  </w:style>
  <w:style w:type="character" w:customStyle="1" w:styleId="30">
    <w:name w:val="批注文字 字符"/>
    <w:basedOn w:val="21"/>
    <w:link w:val="10"/>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9569</Words>
  <Characters>9890</Characters>
  <Lines>57</Lines>
  <Paragraphs>16</Paragraphs>
  <TotalTime>64</TotalTime>
  <ScaleCrop>false</ScaleCrop>
  <LinksUpToDate>false</LinksUpToDate>
  <CharactersWithSpaces>10196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2024-05-11T09:58:00Z</dcterms:created>
  <dc:creator>谢嘉骏</dc:creator>
  <cp:lastModifiedBy>kjc</cp:lastModifiedBy>
  <dcterms:modified xsi:type="dcterms:W3CDTF">2025-07-04T16:36:02Z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8EAC7E938F0F4BFBAC8B53FFD9C775FE_13</vt:lpwstr>
  </property>
  <property fmtid="{D5CDD505-2E9C-101B-9397-08002B2CF9AE}" pid="4" name="KSOTemplateDocerSaveRecord">
    <vt:lpwstr>eyJoZGlkIjoiZjNkZTNhYzM2ODUyMDMyMDY2MjMyMWM2MmJlYTMxN2IiLCJ1c2VySWQiOiIxNjkyMDU3MzkyIn0=</vt:lpwstr>
  </property>
</Properties>
</file>