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7A43C">
      <w:pPr>
        <w:spacing w:after="240" w:line="240" w:lineRule="auto"/>
        <w:jc w:val="center"/>
      </w:pPr>
      <w:r>
        <w:rPr>
          <w:rFonts w:eastAsia="黑体"/>
          <w:b/>
          <w:sz w:val="32"/>
        </w:rPr>
        <w:t>关于无人车整车系统及多节点巡逻预警系统</w:t>
      </w:r>
      <w:r>
        <w:rPr>
          <w:rFonts w:hint="eastAsia" w:eastAsia="黑体"/>
          <w:b/>
          <w:sz w:val="32"/>
          <w:lang w:val="en-US" w:eastAsia="zh-CN"/>
        </w:rPr>
        <w:t>采购</w:t>
      </w:r>
      <w:r>
        <w:rPr>
          <w:rFonts w:eastAsia="黑体"/>
          <w:b/>
          <w:sz w:val="32"/>
        </w:rPr>
        <w:t>的询价要求</w:t>
      </w:r>
    </w:p>
    <w:p w14:paraId="2E345CBA">
      <w:pPr>
        <w:spacing w:after="0" w:line="360" w:lineRule="auto"/>
      </w:pPr>
      <w:r>
        <w:t>各报价方：</w:t>
      </w:r>
    </w:p>
    <w:p w14:paraId="29D617A0">
      <w:pPr>
        <w:spacing w:after="0" w:line="360" w:lineRule="auto"/>
        <w:ind w:firstLine="480"/>
        <w:jc w:val="both"/>
      </w:pPr>
      <w:r>
        <w:t>本次询价交易采取方案报价模式，请报价方根据如下具体工作要求，于询价交易规定时间内报送总价，并以“邮寄”形式提交加盖公章的报价方案。询价交易结束后，我方将进行综合评判，择优确定成交供应商。</w:t>
      </w:r>
    </w:p>
    <w:p w14:paraId="1555169E">
      <w:pPr>
        <w:keepNext/>
        <w:spacing w:before="200" w:after="80" w:line="360" w:lineRule="auto"/>
      </w:pPr>
      <w:r>
        <w:rPr>
          <w:rFonts w:eastAsia="黑体"/>
          <w:b/>
          <w:sz w:val="28"/>
        </w:rPr>
        <w:t>一、项目概况</w:t>
      </w:r>
    </w:p>
    <w:p w14:paraId="7C51556E">
      <w:pPr>
        <w:keepNext/>
        <w:spacing w:before="120" w:after="40" w:line="360" w:lineRule="auto"/>
      </w:pPr>
      <w:r>
        <w:rPr>
          <w:rFonts w:eastAsia="黑体"/>
          <w:b/>
        </w:rPr>
        <w:t>（一）项目名称</w:t>
      </w:r>
    </w:p>
    <w:p w14:paraId="57475957">
      <w:pPr>
        <w:spacing w:after="0" w:line="360" w:lineRule="auto"/>
        <w:ind w:firstLine="480"/>
        <w:jc w:val="both"/>
      </w:pPr>
      <w:r>
        <w:t>无人车整车系统及多节点巡逻预警系统</w:t>
      </w:r>
      <w:r>
        <w:rPr>
          <w:rFonts w:hint="eastAsia"/>
          <w:lang w:val="en-US" w:eastAsia="zh-CN"/>
        </w:rPr>
        <w:t>采购</w:t>
      </w:r>
      <w:r>
        <w:t>。</w:t>
      </w:r>
    </w:p>
    <w:p w14:paraId="673B4C86">
      <w:pPr>
        <w:keepNext/>
        <w:spacing w:before="120" w:after="40" w:line="360" w:lineRule="auto"/>
      </w:pPr>
      <w:r>
        <w:rPr>
          <w:rFonts w:eastAsia="黑体"/>
          <w:b/>
        </w:rPr>
        <w:t>（二）项目背景</w:t>
      </w:r>
    </w:p>
    <w:p w14:paraId="68F39C6D">
      <w:pPr>
        <w:spacing w:after="0" w:line="360" w:lineRule="auto"/>
        <w:ind w:firstLine="480"/>
        <w:jc w:val="both"/>
      </w:pPr>
      <w:r>
        <w:t>我司拟</w:t>
      </w:r>
      <w:r>
        <w:rPr>
          <w:rFonts w:hint="eastAsia"/>
          <w:lang w:val="en-US" w:eastAsia="zh-CN"/>
        </w:rPr>
        <w:t>采购</w:t>
      </w:r>
      <w:r>
        <w:t>一套面向矿区、林区防火、园区周界等复杂道路和开放区域的安防无人车整车系统。系统由六轮线控底盘、自主定位导航系统、远程操控与地面管理终端、多节点巡逻预警系统及配套软硬件组成，应具备整车承载与机动、线控驱动、线控转向、线控制动、环境感知、三维建图、组合定位、路径规划、循迹导航、局部避障、人工接管、状态回传、任务协同、告警汇聚和事件记录等能力，用于支撑整车自主行驶、复杂道路通行、巡逻预警、协同作业及系统集成验证。</w:t>
      </w:r>
    </w:p>
    <w:p w14:paraId="64C4E314">
      <w:pPr>
        <w:spacing w:after="0" w:line="360" w:lineRule="auto"/>
        <w:ind w:firstLine="480"/>
        <w:jc w:val="both"/>
      </w:pPr>
      <w:r>
        <w:t>本项目采用整车交付方式，报价方应完成线控底盘、自主定位导航系统、感知定位设备、车载计算与通信设备、控制终端及相关软件的选型、安装、标定、集成、联调和测试，并保证最终交付整车能够独立完成规定功能。</w:t>
      </w:r>
    </w:p>
    <w:p w14:paraId="70485C2A">
      <w:pPr>
        <w:keepNext/>
        <w:spacing w:before="120" w:after="40" w:line="360" w:lineRule="auto"/>
      </w:pPr>
      <w:r>
        <w:rPr>
          <w:rFonts w:eastAsia="黑体"/>
          <w:b/>
        </w:rPr>
        <w:t>（三）询价货物名称及数量</w:t>
      </w:r>
    </w:p>
    <w:tbl>
      <w:tblPr>
        <w:tblStyle w:val="3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4"/>
        <w:gridCol w:w="6123"/>
        <w:gridCol w:w="2211"/>
      </w:tblGrid>
      <w:tr w14:paraId="15E66E0B">
        <w:trPr>
          <w:cantSplit/>
          <w:tblHeader/>
          <w:jc w:val="center"/>
        </w:trPr>
        <w:tc>
          <w:tcPr>
            <w:tcW w:w="784" w:type="dxa"/>
            <w:tcMar>
              <w:top w:w="80" w:type="dxa"/>
              <w:left w:w="80" w:type="dxa"/>
              <w:bottom w:w="80" w:type="dxa"/>
              <w:right w:w="80" w:type="dxa"/>
            </w:tcMar>
            <w:vAlign w:val="center"/>
          </w:tcPr>
          <w:p w14:paraId="2304B8A9">
            <w:pPr>
              <w:spacing w:after="0" w:line="240" w:lineRule="auto"/>
              <w:jc w:val="center"/>
            </w:pPr>
            <w:r>
              <w:rPr>
                <w:rFonts w:eastAsia="黑体"/>
                <w:b/>
                <w:sz w:val="21"/>
              </w:rPr>
              <w:t>序号</w:t>
            </w:r>
          </w:p>
        </w:tc>
        <w:tc>
          <w:tcPr>
            <w:tcW w:w="6123" w:type="dxa"/>
            <w:tcMar>
              <w:top w:w="80" w:type="dxa"/>
              <w:left w:w="80" w:type="dxa"/>
              <w:bottom w:w="80" w:type="dxa"/>
              <w:right w:w="80" w:type="dxa"/>
            </w:tcMar>
            <w:vAlign w:val="center"/>
          </w:tcPr>
          <w:p w14:paraId="072CF98C">
            <w:pPr>
              <w:spacing w:after="0" w:line="240" w:lineRule="auto"/>
              <w:jc w:val="center"/>
            </w:pPr>
            <w:r>
              <w:rPr>
                <w:rFonts w:eastAsia="黑体"/>
                <w:b/>
                <w:sz w:val="21"/>
              </w:rPr>
              <w:t>名称</w:t>
            </w:r>
          </w:p>
        </w:tc>
        <w:tc>
          <w:tcPr>
            <w:tcW w:w="2211" w:type="dxa"/>
            <w:tcMar>
              <w:top w:w="80" w:type="dxa"/>
              <w:left w:w="80" w:type="dxa"/>
              <w:bottom w:w="80" w:type="dxa"/>
              <w:right w:w="80" w:type="dxa"/>
            </w:tcMar>
            <w:vAlign w:val="center"/>
          </w:tcPr>
          <w:p w14:paraId="636E34A4">
            <w:pPr>
              <w:spacing w:after="0" w:line="240" w:lineRule="auto"/>
              <w:jc w:val="center"/>
            </w:pPr>
            <w:r>
              <w:rPr>
                <w:rFonts w:eastAsia="黑体"/>
                <w:b/>
                <w:sz w:val="21"/>
              </w:rPr>
              <w:t>数量</w:t>
            </w:r>
          </w:p>
        </w:tc>
      </w:tr>
      <w:tr w14:paraId="7B003328">
        <w:trPr>
          <w:cantSplit/>
          <w:jc w:val="center"/>
        </w:trPr>
        <w:tc>
          <w:tcPr>
            <w:tcW w:w="784" w:type="dxa"/>
            <w:tcMar>
              <w:top w:w="80" w:type="dxa"/>
              <w:left w:w="80" w:type="dxa"/>
              <w:bottom w:w="80" w:type="dxa"/>
              <w:right w:w="80" w:type="dxa"/>
            </w:tcMar>
            <w:vAlign w:val="center"/>
          </w:tcPr>
          <w:p w14:paraId="44185624">
            <w:pPr>
              <w:spacing w:after="0" w:line="240" w:lineRule="auto"/>
              <w:jc w:val="center"/>
            </w:pPr>
            <w:r>
              <w:rPr>
                <w:sz w:val="21"/>
              </w:rPr>
              <w:t>1</w:t>
            </w:r>
          </w:p>
        </w:tc>
        <w:tc>
          <w:tcPr>
            <w:tcW w:w="6123" w:type="dxa"/>
            <w:tcMar>
              <w:top w:w="80" w:type="dxa"/>
              <w:left w:w="80" w:type="dxa"/>
              <w:bottom w:w="80" w:type="dxa"/>
              <w:right w:w="80" w:type="dxa"/>
            </w:tcMar>
            <w:vAlign w:val="center"/>
          </w:tcPr>
          <w:p w14:paraId="74AD7B1E">
            <w:pPr>
              <w:spacing w:after="0" w:line="240" w:lineRule="auto"/>
              <w:jc w:val="center"/>
            </w:pPr>
            <w:r>
              <w:rPr>
                <w:sz w:val="21"/>
              </w:rPr>
              <w:t>六轮线控底盘本体</w:t>
            </w:r>
          </w:p>
        </w:tc>
        <w:tc>
          <w:tcPr>
            <w:tcW w:w="2211" w:type="dxa"/>
            <w:tcMar>
              <w:top w:w="80" w:type="dxa"/>
              <w:left w:w="80" w:type="dxa"/>
              <w:bottom w:w="80" w:type="dxa"/>
              <w:right w:w="80" w:type="dxa"/>
            </w:tcMar>
            <w:vAlign w:val="center"/>
          </w:tcPr>
          <w:p w14:paraId="3E591826">
            <w:pPr>
              <w:spacing w:after="0" w:line="240" w:lineRule="auto"/>
            </w:pPr>
            <w:r>
              <w:rPr>
                <w:rFonts w:hint="eastAsia"/>
                <w:sz w:val="21"/>
                <w:lang w:eastAsia="zh-CN"/>
              </w:rPr>
              <w:t>2</w:t>
            </w:r>
            <w:r>
              <w:rPr>
                <w:sz w:val="21"/>
              </w:rPr>
              <w:t>套</w:t>
            </w:r>
          </w:p>
        </w:tc>
      </w:tr>
      <w:tr w14:paraId="1036AA03">
        <w:trPr>
          <w:cantSplit/>
          <w:jc w:val="center"/>
        </w:trPr>
        <w:tc>
          <w:tcPr>
            <w:tcW w:w="784" w:type="dxa"/>
            <w:tcMar>
              <w:top w:w="80" w:type="dxa"/>
              <w:left w:w="80" w:type="dxa"/>
              <w:bottom w:w="80" w:type="dxa"/>
              <w:right w:w="80" w:type="dxa"/>
            </w:tcMar>
            <w:vAlign w:val="center"/>
          </w:tcPr>
          <w:p w14:paraId="51B77F10">
            <w:pPr>
              <w:spacing w:after="0" w:line="240" w:lineRule="auto"/>
              <w:jc w:val="center"/>
            </w:pPr>
            <w:r>
              <w:rPr>
                <w:sz w:val="21"/>
              </w:rPr>
              <w:t>2</w:t>
            </w:r>
          </w:p>
        </w:tc>
        <w:tc>
          <w:tcPr>
            <w:tcW w:w="6123" w:type="dxa"/>
            <w:tcMar>
              <w:top w:w="80" w:type="dxa"/>
              <w:left w:w="80" w:type="dxa"/>
              <w:bottom w:w="80" w:type="dxa"/>
              <w:right w:w="80" w:type="dxa"/>
            </w:tcMar>
            <w:vAlign w:val="center"/>
          </w:tcPr>
          <w:p w14:paraId="07927AA2">
            <w:pPr>
              <w:spacing w:after="0" w:line="240" w:lineRule="auto"/>
              <w:jc w:val="center"/>
            </w:pPr>
            <w:r>
              <w:rPr>
                <w:sz w:val="21"/>
              </w:rPr>
              <w:t>动力电池、充电设备及配套电气附件</w:t>
            </w:r>
          </w:p>
        </w:tc>
        <w:tc>
          <w:tcPr>
            <w:tcW w:w="2211" w:type="dxa"/>
            <w:tcMar>
              <w:top w:w="80" w:type="dxa"/>
              <w:left w:w="80" w:type="dxa"/>
              <w:bottom w:w="80" w:type="dxa"/>
              <w:right w:w="80" w:type="dxa"/>
            </w:tcMar>
            <w:vAlign w:val="center"/>
          </w:tcPr>
          <w:p w14:paraId="197748F5">
            <w:pPr>
              <w:spacing w:after="0" w:line="240" w:lineRule="auto"/>
            </w:pPr>
            <w:r>
              <w:rPr>
                <w:rFonts w:hint="eastAsia"/>
                <w:sz w:val="21"/>
                <w:lang w:eastAsia="zh-CN"/>
              </w:rPr>
              <w:t>2</w:t>
            </w:r>
            <w:r>
              <w:rPr>
                <w:sz w:val="21"/>
              </w:rPr>
              <w:t>套</w:t>
            </w:r>
          </w:p>
        </w:tc>
      </w:tr>
      <w:tr w14:paraId="07F98BFC">
        <w:trPr>
          <w:cantSplit/>
          <w:jc w:val="center"/>
        </w:trPr>
        <w:tc>
          <w:tcPr>
            <w:tcW w:w="784" w:type="dxa"/>
            <w:tcMar>
              <w:top w:w="80" w:type="dxa"/>
              <w:left w:w="80" w:type="dxa"/>
              <w:bottom w:w="80" w:type="dxa"/>
              <w:right w:w="80" w:type="dxa"/>
            </w:tcMar>
            <w:vAlign w:val="center"/>
          </w:tcPr>
          <w:p w14:paraId="1C24E1C0">
            <w:pPr>
              <w:spacing w:after="0" w:line="240" w:lineRule="auto"/>
              <w:jc w:val="center"/>
            </w:pPr>
            <w:r>
              <w:rPr>
                <w:sz w:val="21"/>
              </w:rPr>
              <w:t>3</w:t>
            </w:r>
          </w:p>
        </w:tc>
        <w:tc>
          <w:tcPr>
            <w:tcW w:w="6123" w:type="dxa"/>
            <w:tcMar>
              <w:top w:w="80" w:type="dxa"/>
              <w:left w:w="80" w:type="dxa"/>
              <w:bottom w:w="80" w:type="dxa"/>
              <w:right w:w="80" w:type="dxa"/>
            </w:tcMar>
            <w:vAlign w:val="center"/>
          </w:tcPr>
          <w:p w14:paraId="4DF5401E">
            <w:pPr>
              <w:spacing w:after="0" w:line="240" w:lineRule="auto"/>
              <w:jc w:val="center"/>
            </w:pPr>
            <w:r>
              <w:rPr>
                <w:sz w:val="21"/>
              </w:rPr>
              <w:t>自主定位导航系统（含车载计算与控制单元）</w:t>
            </w:r>
          </w:p>
        </w:tc>
        <w:tc>
          <w:tcPr>
            <w:tcW w:w="2211" w:type="dxa"/>
            <w:tcMar>
              <w:top w:w="80" w:type="dxa"/>
              <w:left w:w="80" w:type="dxa"/>
              <w:bottom w:w="80" w:type="dxa"/>
              <w:right w:w="80" w:type="dxa"/>
            </w:tcMar>
            <w:vAlign w:val="center"/>
          </w:tcPr>
          <w:p w14:paraId="54A98FAC">
            <w:pPr>
              <w:spacing w:after="0" w:line="240" w:lineRule="auto"/>
            </w:pPr>
            <w:r>
              <w:rPr>
                <w:rFonts w:hint="eastAsia"/>
                <w:sz w:val="21"/>
                <w:lang w:eastAsia="zh-CN"/>
              </w:rPr>
              <w:t>2</w:t>
            </w:r>
            <w:r>
              <w:rPr>
                <w:sz w:val="21"/>
              </w:rPr>
              <w:t>套</w:t>
            </w:r>
          </w:p>
        </w:tc>
      </w:tr>
      <w:tr w14:paraId="5FA9884C">
        <w:trPr>
          <w:cantSplit/>
          <w:jc w:val="center"/>
        </w:trPr>
        <w:tc>
          <w:tcPr>
            <w:tcW w:w="784" w:type="dxa"/>
            <w:tcMar>
              <w:top w:w="80" w:type="dxa"/>
              <w:left w:w="80" w:type="dxa"/>
              <w:bottom w:w="80" w:type="dxa"/>
              <w:right w:w="80" w:type="dxa"/>
            </w:tcMar>
            <w:vAlign w:val="center"/>
          </w:tcPr>
          <w:p w14:paraId="0B7BF580">
            <w:pPr>
              <w:spacing w:after="0" w:line="240" w:lineRule="auto"/>
              <w:jc w:val="center"/>
            </w:pPr>
            <w:r>
              <w:rPr>
                <w:sz w:val="21"/>
              </w:rPr>
              <w:t>4</w:t>
            </w:r>
          </w:p>
        </w:tc>
        <w:tc>
          <w:tcPr>
            <w:tcW w:w="6123" w:type="dxa"/>
            <w:tcMar>
              <w:top w:w="80" w:type="dxa"/>
              <w:left w:w="80" w:type="dxa"/>
              <w:bottom w:w="80" w:type="dxa"/>
              <w:right w:w="80" w:type="dxa"/>
            </w:tcMar>
            <w:vAlign w:val="center"/>
          </w:tcPr>
          <w:p w14:paraId="2D85F6C2">
            <w:pPr>
              <w:spacing w:after="0" w:line="240" w:lineRule="auto"/>
              <w:jc w:val="center"/>
            </w:pPr>
            <w:r>
              <w:rPr>
                <w:sz w:val="21"/>
              </w:rPr>
              <w:t>激光雷达、组合惯导、里程计/轮速、相机等感知定位设备</w:t>
            </w:r>
          </w:p>
        </w:tc>
        <w:tc>
          <w:tcPr>
            <w:tcW w:w="2211" w:type="dxa"/>
            <w:tcMar>
              <w:top w:w="80" w:type="dxa"/>
              <w:left w:w="80" w:type="dxa"/>
              <w:bottom w:w="80" w:type="dxa"/>
              <w:right w:w="80" w:type="dxa"/>
            </w:tcMar>
            <w:vAlign w:val="center"/>
          </w:tcPr>
          <w:p w14:paraId="0758405B">
            <w:pPr>
              <w:spacing w:after="0" w:line="240" w:lineRule="auto"/>
            </w:pPr>
            <w:r>
              <w:rPr>
                <w:rFonts w:hint="eastAsia"/>
                <w:sz w:val="21"/>
                <w:lang w:eastAsia="zh-CN"/>
              </w:rPr>
              <w:t>2</w:t>
            </w:r>
            <w:r>
              <w:rPr>
                <w:sz w:val="21"/>
              </w:rPr>
              <w:t>套（按方案配置）</w:t>
            </w:r>
          </w:p>
        </w:tc>
      </w:tr>
      <w:tr w14:paraId="77997B6F">
        <w:trPr>
          <w:cantSplit/>
          <w:jc w:val="center"/>
        </w:trPr>
        <w:tc>
          <w:tcPr>
            <w:tcW w:w="784" w:type="dxa"/>
            <w:tcMar>
              <w:top w:w="80" w:type="dxa"/>
              <w:left w:w="80" w:type="dxa"/>
              <w:bottom w:w="80" w:type="dxa"/>
              <w:right w:w="80" w:type="dxa"/>
            </w:tcMar>
            <w:vAlign w:val="center"/>
          </w:tcPr>
          <w:p w14:paraId="05DEB004">
            <w:pPr>
              <w:spacing w:after="0" w:line="240" w:lineRule="auto"/>
              <w:jc w:val="center"/>
            </w:pPr>
            <w:r>
              <w:rPr>
                <w:sz w:val="21"/>
              </w:rPr>
              <w:t>5</w:t>
            </w:r>
          </w:p>
        </w:tc>
        <w:tc>
          <w:tcPr>
            <w:tcW w:w="6123" w:type="dxa"/>
            <w:tcMar>
              <w:top w:w="80" w:type="dxa"/>
              <w:left w:w="80" w:type="dxa"/>
              <w:bottom w:w="80" w:type="dxa"/>
              <w:right w:w="80" w:type="dxa"/>
            </w:tcMar>
            <w:vAlign w:val="center"/>
          </w:tcPr>
          <w:p w14:paraId="4B134C37">
            <w:pPr>
              <w:spacing w:after="0" w:line="240" w:lineRule="auto"/>
              <w:jc w:val="center"/>
            </w:pPr>
            <w:r>
              <w:rPr>
                <w:sz w:val="21"/>
              </w:rPr>
              <w:t>车载网络、无线通信及时间同步设备</w:t>
            </w:r>
          </w:p>
        </w:tc>
        <w:tc>
          <w:tcPr>
            <w:tcW w:w="2211" w:type="dxa"/>
            <w:tcMar>
              <w:top w:w="80" w:type="dxa"/>
              <w:left w:w="80" w:type="dxa"/>
              <w:bottom w:w="80" w:type="dxa"/>
              <w:right w:w="80" w:type="dxa"/>
            </w:tcMar>
            <w:vAlign w:val="center"/>
          </w:tcPr>
          <w:p w14:paraId="3E5FADC0">
            <w:pPr>
              <w:spacing w:after="0" w:line="240" w:lineRule="auto"/>
            </w:pPr>
            <w:r>
              <w:rPr>
                <w:rFonts w:hint="eastAsia"/>
                <w:sz w:val="21"/>
                <w:lang w:eastAsia="zh-CN"/>
              </w:rPr>
              <w:t>2</w:t>
            </w:r>
            <w:r>
              <w:rPr>
                <w:sz w:val="21"/>
              </w:rPr>
              <w:t>套</w:t>
            </w:r>
          </w:p>
        </w:tc>
      </w:tr>
      <w:tr w14:paraId="06647B00">
        <w:trPr>
          <w:cantSplit/>
          <w:jc w:val="center"/>
        </w:trPr>
        <w:tc>
          <w:tcPr>
            <w:tcW w:w="784" w:type="dxa"/>
            <w:tcMar>
              <w:top w:w="80" w:type="dxa"/>
              <w:left w:w="80" w:type="dxa"/>
              <w:bottom w:w="80" w:type="dxa"/>
              <w:right w:w="80" w:type="dxa"/>
            </w:tcMar>
            <w:vAlign w:val="center"/>
          </w:tcPr>
          <w:p w14:paraId="5621459D">
            <w:pPr>
              <w:spacing w:after="0" w:line="240" w:lineRule="auto"/>
              <w:jc w:val="center"/>
            </w:pPr>
            <w:r>
              <w:rPr>
                <w:sz w:val="21"/>
              </w:rPr>
              <w:t>6</w:t>
            </w:r>
          </w:p>
        </w:tc>
        <w:tc>
          <w:tcPr>
            <w:tcW w:w="6123" w:type="dxa"/>
            <w:tcMar>
              <w:top w:w="80" w:type="dxa"/>
              <w:left w:w="80" w:type="dxa"/>
              <w:bottom w:w="80" w:type="dxa"/>
              <w:right w:w="80" w:type="dxa"/>
            </w:tcMar>
            <w:vAlign w:val="center"/>
          </w:tcPr>
          <w:p w14:paraId="55786E47">
            <w:pPr>
              <w:spacing w:after="0" w:line="240" w:lineRule="auto"/>
              <w:jc w:val="center"/>
            </w:pPr>
            <w:r>
              <w:rPr>
                <w:sz w:val="21"/>
              </w:rPr>
              <w:t>近程遥控、紧急停车及地面管理终端</w:t>
            </w:r>
          </w:p>
        </w:tc>
        <w:tc>
          <w:tcPr>
            <w:tcW w:w="2211" w:type="dxa"/>
            <w:tcMar>
              <w:top w:w="80" w:type="dxa"/>
              <w:left w:w="80" w:type="dxa"/>
              <w:bottom w:w="80" w:type="dxa"/>
              <w:right w:w="80" w:type="dxa"/>
            </w:tcMar>
            <w:vAlign w:val="center"/>
          </w:tcPr>
          <w:p w14:paraId="082B7642">
            <w:pPr>
              <w:spacing w:after="0" w:line="240" w:lineRule="auto"/>
            </w:pPr>
            <w:r>
              <w:rPr>
                <w:rFonts w:hint="eastAsia"/>
                <w:sz w:val="21"/>
                <w:lang w:eastAsia="zh-CN"/>
              </w:rPr>
              <w:t>2</w:t>
            </w:r>
            <w:r>
              <w:rPr>
                <w:sz w:val="21"/>
              </w:rPr>
              <w:t>套</w:t>
            </w:r>
          </w:p>
        </w:tc>
      </w:tr>
      <w:tr w14:paraId="76981FB4">
        <w:trPr>
          <w:cantSplit/>
          <w:jc w:val="center"/>
        </w:trPr>
        <w:tc>
          <w:tcPr>
            <w:tcW w:w="784" w:type="dxa"/>
            <w:tcMar>
              <w:top w:w="80" w:type="dxa"/>
              <w:left w:w="80" w:type="dxa"/>
              <w:bottom w:w="80" w:type="dxa"/>
              <w:right w:w="80" w:type="dxa"/>
            </w:tcMar>
            <w:vAlign w:val="center"/>
          </w:tcPr>
          <w:p w14:paraId="57CF6B3E">
            <w:pPr>
              <w:spacing w:after="0" w:line="240" w:lineRule="auto"/>
              <w:jc w:val="center"/>
            </w:pPr>
            <w:r>
              <w:rPr>
                <w:sz w:val="21"/>
              </w:rPr>
              <w:t>7</w:t>
            </w:r>
          </w:p>
        </w:tc>
        <w:tc>
          <w:tcPr>
            <w:tcW w:w="6123" w:type="dxa"/>
            <w:tcMar>
              <w:top w:w="80" w:type="dxa"/>
              <w:left w:w="80" w:type="dxa"/>
              <w:bottom w:w="80" w:type="dxa"/>
              <w:right w:w="80" w:type="dxa"/>
            </w:tcMar>
            <w:vAlign w:val="center"/>
          </w:tcPr>
          <w:p w14:paraId="4B5204DC">
            <w:pPr>
              <w:spacing w:after="0" w:line="240" w:lineRule="auto"/>
              <w:jc w:val="center"/>
            </w:pPr>
            <w:r>
              <w:rPr>
                <w:sz w:val="21"/>
              </w:rPr>
              <w:t>多节点巡逻预警系统（含任务管理、状态监控、告警联动与数据记录模块）</w:t>
            </w:r>
          </w:p>
        </w:tc>
        <w:tc>
          <w:tcPr>
            <w:tcW w:w="2211" w:type="dxa"/>
            <w:tcMar>
              <w:top w:w="80" w:type="dxa"/>
              <w:left w:w="80" w:type="dxa"/>
              <w:bottom w:w="80" w:type="dxa"/>
              <w:right w:w="80" w:type="dxa"/>
            </w:tcMar>
            <w:vAlign w:val="center"/>
          </w:tcPr>
          <w:p w14:paraId="249155DF">
            <w:pPr>
              <w:spacing w:after="0" w:line="240" w:lineRule="auto"/>
              <w:rPr>
                <w:lang w:eastAsia="zh-CN"/>
              </w:rPr>
            </w:pPr>
            <w:r>
              <w:rPr>
                <w:rFonts w:hint="eastAsia"/>
                <w:sz w:val="21"/>
                <w:lang w:eastAsia="zh-CN"/>
              </w:rPr>
              <w:t>1</w:t>
            </w:r>
            <w:r>
              <w:rPr>
                <w:sz w:val="21"/>
              </w:rPr>
              <w:t>套</w:t>
            </w:r>
            <w:r>
              <w:rPr>
                <w:rFonts w:hint="eastAsia"/>
                <w:sz w:val="21"/>
                <w:lang w:eastAsia="zh-CN"/>
              </w:rPr>
              <w:t>（若为授权方式则以实际需求为准）</w:t>
            </w:r>
          </w:p>
        </w:tc>
      </w:tr>
      <w:tr w14:paraId="2280EF92">
        <w:trPr>
          <w:cantSplit/>
          <w:jc w:val="center"/>
        </w:trPr>
        <w:tc>
          <w:tcPr>
            <w:tcW w:w="784" w:type="dxa"/>
            <w:tcMar>
              <w:top w:w="80" w:type="dxa"/>
              <w:left w:w="80" w:type="dxa"/>
              <w:bottom w:w="80" w:type="dxa"/>
              <w:right w:w="80" w:type="dxa"/>
            </w:tcMar>
            <w:vAlign w:val="center"/>
          </w:tcPr>
          <w:p w14:paraId="45053879">
            <w:pPr>
              <w:spacing w:after="0" w:line="240" w:lineRule="auto"/>
              <w:jc w:val="center"/>
            </w:pPr>
            <w:r>
              <w:rPr>
                <w:sz w:val="21"/>
              </w:rPr>
              <w:t>8</w:t>
            </w:r>
          </w:p>
        </w:tc>
        <w:tc>
          <w:tcPr>
            <w:tcW w:w="6123" w:type="dxa"/>
            <w:tcMar>
              <w:top w:w="80" w:type="dxa"/>
              <w:left w:w="80" w:type="dxa"/>
              <w:bottom w:w="80" w:type="dxa"/>
              <w:right w:w="80" w:type="dxa"/>
            </w:tcMar>
            <w:vAlign w:val="center"/>
          </w:tcPr>
          <w:p w14:paraId="74544C00">
            <w:pPr>
              <w:spacing w:after="0" w:line="240" w:lineRule="auto"/>
              <w:jc w:val="center"/>
            </w:pPr>
            <w:r>
              <w:rPr>
                <w:sz w:val="21"/>
              </w:rPr>
              <w:t>配套线束、连接器、安装支架、防护件及辅材</w:t>
            </w:r>
          </w:p>
        </w:tc>
        <w:tc>
          <w:tcPr>
            <w:tcW w:w="2211" w:type="dxa"/>
            <w:tcMar>
              <w:top w:w="80" w:type="dxa"/>
              <w:left w:w="80" w:type="dxa"/>
              <w:bottom w:w="80" w:type="dxa"/>
              <w:right w:w="80" w:type="dxa"/>
            </w:tcMar>
            <w:vAlign w:val="center"/>
          </w:tcPr>
          <w:p w14:paraId="60F4983B">
            <w:pPr>
              <w:spacing w:after="0" w:line="240" w:lineRule="auto"/>
            </w:pPr>
            <w:r>
              <w:rPr>
                <w:rFonts w:hint="eastAsia"/>
                <w:sz w:val="21"/>
                <w:lang w:eastAsia="zh-CN"/>
              </w:rPr>
              <w:t>2</w:t>
            </w:r>
            <w:r>
              <w:rPr>
                <w:sz w:val="21"/>
              </w:rPr>
              <w:t>套（按方案配置）</w:t>
            </w:r>
          </w:p>
        </w:tc>
      </w:tr>
      <w:tr w14:paraId="31F495D8">
        <w:trPr>
          <w:cantSplit/>
          <w:jc w:val="center"/>
        </w:trPr>
        <w:tc>
          <w:tcPr>
            <w:tcW w:w="784" w:type="dxa"/>
            <w:tcMar>
              <w:top w:w="80" w:type="dxa"/>
              <w:left w:w="80" w:type="dxa"/>
              <w:bottom w:w="80" w:type="dxa"/>
              <w:right w:w="80" w:type="dxa"/>
            </w:tcMar>
            <w:vAlign w:val="center"/>
          </w:tcPr>
          <w:p w14:paraId="4773693D">
            <w:pPr>
              <w:spacing w:after="0" w:line="240" w:lineRule="auto"/>
              <w:jc w:val="center"/>
            </w:pPr>
            <w:r>
              <w:rPr>
                <w:sz w:val="21"/>
              </w:rPr>
              <w:t>9</w:t>
            </w:r>
          </w:p>
        </w:tc>
        <w:tc>
          <w:tcPr>
            <w:tcW w:w="6123" w:type="dxa"/>
            <w:tcMar>
              <w:top w:w="80" w:type="dxa"/>
              <w:left w:w="80" w:type="dxa"/>
              <w:bottom w:w="80" w:type="dxa"/>
              <w:right w:w="80" w:type="dxa"/>
            </w:tcMar>
            <w:vAlign w:val="center"/>
          </w:tcPr>
          <w:p w14:paraId="319921A7">
            <w:pPr>
              <w:spacing w:after="0" w:line="240" w:lineRule="auto"/>
              <w:jc w:val="center"/>
            </w:pPr>
            <w:r>
              <w:rPr>
                <w:sz w:val="21"/>
              </w:rPr>
              <w:t>软件、技术资料、安装调试、测试与培训服务</w:t>
            </w:r>
          </w:p>
        </w:tc>
        <w:tc>
          <w:tcPr>
            <w:tcW w:w="2211" w:type="dxa"/>
            <w:tcMar>
              <w:top w:w="80" w:type="dxa"/>
              <w:left w:w="80" w:type="dxa"/>
              <w:bottom w:w="80" w:type="dxa"/>
              <w:right w:w="80" w:type="dxa"/>
            </w:tcMar>
            <w:vAlign w:val="center"/>
          </w:tcPr>
          <w:p w14:paraId="5AACCB00">
            <w:pPr>
              <w:spacing w:after="0" w:line="240" w:lineRule="auto"/>
            </w:pPr>
            <w:r>
              <w:rPr>
                <w:sz w:val="21"/>
              </w:rPr>
              <w:t>1项</w:t>
            </w:r>
          </w:p>
        </w:tc>
      </w:tr>
    </w:tbl>
    <w:p w14:paraId="241FBD0F">
      <w:pPr>
        <w:keepNext/>
        <w:spacing w:before="200" w:after="80" w:line="360" w:lineRule="auto"/>
      </w:pPr>
      <w:r>
        <w:rPr>
          <w:rFonts w:eastAsia="黑体"/>
          <w:b/>
          <w:sz w:val="28"/>
        </w:rPr>
        <w:t>二、报价要求</w:t>
      </w:r>
    </w:p>
    <w:p w14:paraId="70A4A7B0">
      <w:pPr>
        <w:keepNext/>
        <w:spacing w:before="120" w:after="40" w:line="360" w:lineRule="auto"/>
      </w:pPr>
      <w:r>
        <w:rPr>
          <w:rFonts w:eastAsia="黑体"/>
          <w:b/>
        </w:rPr>
        <w:t>（一）报价说明</w:t>
      </w:r>
    </w:p>
    <w:p w14:paraId="77C1F076">
      <w:pPr>
        <w:spacing w:after="0" w:line="360" w:lineRule="auto"/>
        <w:jc w:val="both"/>
      </w:pPr>
      <w:r>
        <w:t>1.报价人须仔细阅读本询价文件的全部条款，并对各项内容做出明确响应。</w:t>
      </w:r>
    </w:p>
    <w:p w14:paraId="6632E3DD">
      <w:pPr>
        <w:spacing w:after="0" w:line="360" w:lineRule="auto"/>
        <w:jc w:val="both"/>
      </w:pPr>
      <w:r>
        <w:t>2.报价文件应完整、准确，数据真实有效，内容清晰，签章齐全。</w:t>
      </w:r>
    </w:p>
    <w:p w14:paraId="495C7F02">
      <w:pPr>
        <w:spacing w:after="0" w:line="360" w:lineRule="auto"/>
        <w:jc w:val="both"/>
      </w:pPr>
      <w:r>
        <w:t>3.技术指标均为最低边界要求，报价方可提供优于本文件要求的方案，但不得降低整车功能、性能、安全性及资料交付范围。</w:t>
      </w:r>
    </w:p>
    <w:p w14:paraId="7C8154E0">
      <w:pPr>
        <w:keepNext/>
        <w:spacing w:before="120" w:after="40" w:line="360" w:lineRule="auto"/>
      </w:pPr>
      <w:r>
        <w:rPr>
          <w:rFonts w:eastAsia="黑体"/>
          <w:b/>
        </w:rPr>
        <w:t>（二）报价内容</w:t>
      </w:r>
    </w:p>
    <w:p w14:paraId="08A21DD3">
      <w:pPr>
        <w:spacing w:after="0" w:line="360" w:lineRule="auto"/>
        <w:jc w:val="both"/>
      </w:pPr>
      <w:r>
        <w:t>1.对安防无人车整车系统及多节点巡逻预警系统进行整体报价，并填写《报价单》。</w:t>
      </w:r>
    </w:p>
    <w:p w14:paraId="4E5ED249">
      <w:pPr>
        <w:spacing w:after="0" w:line="360" w:lineRule="auto"/>
        <w:jc w:val="both"/>
      </w:pPr>
      <w:r>
        <w:t>2.报价应包含整车及配套设备、软件、运保、安装、标定、调试、测试、服务、培训、税费及完成项目交付所需的全部费用。</w:t>
      </w:r>
    </w:p>
    <w:p w14:paraId="26B621EC">
      <w:pPr>
        <w:spacing w:after="0" w:line="360" w:lineRule="auto"/>
        <w:jc w:val="both"/>
      </w:pPr>
      <w:r>
        <w:t>3.报价货币为人民币。</w:t>
      </w:r>
    </w:p>
    <w:p w14:paraId="344027B0">
      <w:pPr>
        <w:spacing w:after="0" w:line="360" w:lineRule="auto"/>
        <w:jc w:val="both"/>
      </w:pPr>
      <w:r>
        <w:t>4.报价方应在响应方案中提供整车配置清单、主要设备品牌型号、技术参数、供货周期、偏离说明及售后服务承诺。</w:t>
      </w:r>
    </w:p>
    <w:p w14:paraId="1C3F5352">
      <w:pPr>
        <w:keepNext/>
        <w:spacing w:before="120" w:after="40" w:line="360" w:lineRule="auto"/>
      </w:pPr>
      <w:r>
        <w:rPr>
          <w:rFonts w:eastAsia="黑体"/>
          <w:b/>
        </w:rPr>
        <w:t>（三）资质要求</w:t>
      </w:r>
    </w:p>
    <w:p w14:paraId="446C3619">
      <w:pPr>
        <w:spacing w:after="0" w:line="360" w:lineRule="auto"/>
        <w:jc w:val="both"/>
      </w:pPr>
      <w:r>
        <w:t>1.提供企业工商注册相关资质证明、授权委托书（注明联系人及联系方式），并加盖单位公章。</w:t>
      </w:r>
    </w:p>
    <w:p w14:paraId="06643799">
      <w:pPr>
        <w:spacing w:after="0" w:line="360" w:lineRule="auto"/>
        <w:jc w:val="both"/>
      </w:pPr>
      <w:r>
        <w:t>2.供货单位应具备线控底盘、自主导航系统或无人车整车集成相关研发及交付能力，并提供类似产品或项目业绩资料。</w:t>
      </w:r>
    </w:p>
    <w:p w14:paraId="4DB5AC3E">
      <w:pPr>
        <w:spacing w:after="0" w:line="360" w:lineRule="auto"/>
        <w:jc w:val="both"/>
      </w:pPr>
      <w:r>
        <w:t>3.供货单位应具备整车安装、标定、联调、测试及售后服务能力。</w:t>
      </w:r>
    </w:p>
    <w:p w14:paraId="4D9DA130">
      <w:pPr>
        <w:spacing w:after="0" w:line="360" w:lineRule="auto"/>
        <w:jc w:val="both"/>
      </w:pPr>
      <w:r>
        <w:t>4.比质比价参与方认为有必要的其他证明文件。</w:t>
      </w:r>
    </w:p>
    <w:p w14:paraId="333D8009">
      <w:pPr>
        <w:keepNext/>
        <w:spacing w:before="120" w:after="40" w:line="360" w:lineRule="auto"/>
      </w:pPr>
      <w:r>
        <w:rPr>
          <w:rFonts w:eastAsia="黑体"/>
          <w:b/>
        </w:rPr>
        <w:t>（四）响应文件</w:t>
      </w:r>
    </w:p>
    <w:p w14:paraId="5965ABB0">
      <w:pPr>
        <w:spacing w:after="0" w:line="360" w:lineRule="auto"/>
        <w:jc w:val="both"/>
      </w:pPr>
      <w:r>
        <w:t>1.报价清单及响应方案；</w:t>
      </w:r>
    </w:p>
    <w:p w14:paraId="2492E6AF">
      <w:pPr>
        <w:spacing w:after="0" w:line="360" w:lineRule="auto"/>
        <w:jc w:val="both"/>
      </w:pPr>
      <w:r>
        <w:rPr>
          <w:rFonts w:hint="eastAsia"/>
          <w:lang w:eastAsia="zh-CN"/>
        </w:rPr>
        <w:t>2</w:t>
      </w:r>
      <w:r>
        <w:t>.营业执照副本扫描件；</w:t>
      </w:r>
    </w:p>
    <w:p w14:paraId="32A89713">
      <w:pPr>
        <w:spacing w:after="0" w:line="360" w:lineRule="auto"/>
        <w:jc w:val="both"/>
      </w:pPr>
      <w:r>
        <w:rPr>
          <w:rFonts w:hint="eastAsia"/>
          <w:lang w:eastAsia="zh-CN"/>
        </w:rPr>
        <w:t>3</w:t>
      </w:r>
      <w:r>
        <w:t>.开户信息；</w:t>
      </w:r>
    </w:p>
    <w:p w14:paraId="08B88308">
      <w:pPr>
        <w:spacing w:after="0" w:line="360" w:lineRule="auto"/>
        <w:jc w:val="both"/>
      </w:pPr>
      <w:r>
        <w:rPr>
          <w:rFonts w:hint="eastAsia"/>
          <w:lang w:eastAsia="zh-CN"/>
        </w:rPr>
        <w:t>4</w:t>
      </w:r>
      <w:r>
        <w:t>.法定代表人身份证扫描件；</w:t>
      </w:r>
    </w:p>
    <w:p w14:paraId="29877631">
      <w:pPr>
        <w:spacing w:after="0" w:line="360" w:lineRule="auto"/>
        <w:jc w:val="both"/>
      </w:pPr>
      <w:r>
        <w:rPr>
          <w:rFonts w:hint="eastAsia"/>
          <w:lang w:eastAsia="zh-CN"/>
        </w:rPr>
        <w:t>5</w:t>
      </w:r>
      <w:r>
        <w:t>.项目负责人身份证及授权委托书扫描件；</w:t>
      </w:r>
    </w:p>
    <w:p w14:paraId="4CCDF6B0">
      <w:pPr>
        <w:spacing w:after="0" w:line="360" w:lineRule="auto"/>
        <w:jc w:val="both"/>
      </w:pPr>
      <w:r>
        <w:rPr>
          <w:rFonts w:hint="eastAsia"/>
          <w:lang w:eastAsia="zh-CN"/>
        </w:rPr>
        <w:t>6</w:t>
      </w:r>
      <w:r>
        <w:t>.类似项目业绩及相关证明材料；</w:t>
      </w:r>
    </w:p>
    <w:p w14:paraId="147DA352">
      <w:pPr>
        <w:spacing w:after="0" w:line="360" w:lineRule="auto"/>
        <w:jc w:val="both"/>
      </w:pPr>
      <w:r>
        <w:rPr>
          <w:rFonts w:hint="eastAsia"/>
          <w:lang w:eastAsia="zh-CN"/>
        </w:rPr>
        <w:t>7</w:t>
      </w:r>
      <w:r>
        <w:t>.比质比价参与方认为有必要的其他证明文件。</w:t>
      </w:r>
    </w:p>
    <w:p w14:paraId="32EF2B0D">
      <w:pPr>
        <w:spacing w:after="0" w:line="360" w:lineRule="auto"/>
        <w:jc w:val="both"/>
      </w:pPr>
      <w:r>
        <w:t>上述资料均须</w:t>
      </w:r>
      <w:r>
        <w:rPr>
          <w:u w:val="single"/>
        </w:rPr>
        <w:t>加盖公章</w:t>
      </w:r>
      <w:r>
        <w:t>。</w:t>
      </w:r>
    </w:p>
    <w:p w14:paraId="1C535649">
      <w:pPr>
        <w:keepNext/>
        <w:spacing w:before="120" w:after="40" w:line="360" w:lineRule="auto"/>
      </w:pPr>
      <w:r>
        <w:rPr>
          <w:rFonts w:eastAsia="黑体"/>
          <w:b/>
        </w:rPr>
        <w:t>（五）文件递交</w:t>
      </w:r>
    </w:p>
    <w:p w14:paraId="4421E9B7">
      <w:pPr>
        <w:spacing w:after="0" w:line="360" w:lineRule="auto"/>
        <w:jc w:val="both"/>
      </w:pPr>
      <w:r>
        <w:t>请各报价单位于询价通知规定时间内将纸质报价文件寄送至以下地址：</w:t>
      </w:r>
    </w:p>
    <w:p w14:paraId="640FD7FC">
      <w:pPr>
        <w:spacing w:after="0" w:line="360" w:lineRule="auto"/>
        <w:jc w:val="both"/>
      </w:pPr>
      <w:r>
        <w:t>地址：</w:t>
      </w:r>
      <w:r>
        <w:rPr>
          <w:lang w:val="en-US" w:eastAsia="zh-CN"/>
        </w:rPr>
        <w:t>深圳市光明区凤凰街道塘尾社区光明大道380号尚智科技园3C栋</w:t>
      </w:r>
    </w:p>
    <w:p w14:paraId="4EDDDBD4">
      <w:pPr>
        <w:spacing w:after="0" w:line="360" w:lineRule="auto"/>
        <w:jc w:val="both"/>
      </w:pPr>
      <w:r>
        <w:t>联系人：洪超宇</w:t>
      </w:r>
    </w:p>
    <w:p w14:paraId="30472278">
      <w:pPr>
        <w:spacing w:after="0" w:line="360" w:lineRule="auto"/>
        <w:jc w:val="both"/>
      </w:pPr>
      <w:r>
        <w:t>联系电话：13450258899</w:t>
      </w:r>
    </w:p>
    <w:p w14:paraId="34020FE4">
      <w:pPr>
        <w:keepNext/>
        <w:spacing w:before="200" w:after="80" w:line="360" w:lineRule="auto"/>
      </w:pPr>
      <w:r>
        <w:rPr>
          <w:rFonts w:eastAsia="黑体"/>
          <w:b/>
          <w:sz w:val="28"/>
        </w:rPr>
        <w:t>三、技术规格及主要参数</w:t>
      </w:r>
    </w:p>
    <w:p w14:paraId="4E285D71">
      <w:pPr>
        <w:spacing w:after="0" w:line="360" w:lineRule="auto"/>
        <w:ind w:firstLine="480"/>
        <w:jc w:val="both"/>
      </w:pPr>
      <w:r>
        <w:t>报价方应根据整车系统实现需求进行方案设计。未明确指定型号或数量的设备，应按满足功能、性能和安全要求的原则合理配置，并在响应文件中说明配置依据。</w:t>
      </w:r>
    </w:p>
    <w:p w14:paraId="7D959A0E">
      <w:pPr>
        <w:keepNext/>
        <w:spacing w:before="120" w:after="40" w:line="360" w:lineRule="auto"/>
      </w:pPr>
      <w:r>
        <w:rPr>
          <w:rFonts w:eastAsia="黑体"/>
          <w:b/>
        </w:rPr>
        <w:t>（一）整车及线控底盘主要技术指标</w:t>
      </w:r>
    </w:p>
    <w:tbl>
      <w:tblPr>
        <w:tblStyle w:val="3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726"/>
        <w:gridCol w:w="6774"/>
      </w:tblGrid>
      <w:tr w14:paraId="246822D3">
        <w:trPr>
          <w:cantSplit/>
          <w:tblHeader/>
          <w:jc w:val="center"/>
        </w:trPr>
        <w:tc>
          <w:tcPr>
            <w:tcW w:w="606" w:type="dxa"/>
            <w:tcMar>
              <w:top w:w="80" w:type="dxa"/>
              <w:left w:w="80" w:type="dxa"/>
              <w:bottom w:w="80" w:type="dxa"/>
              <w:right w:w="80" w:type="dxa"/>
            </w:tcMar>
            <w:vAlign w:val="center"/>
          </w:tcPr>
          <w:p w14:paraId="6F43FB67">
            <w:pPr>
              <w:spacing w:after="0" w:line="240" w:lineRule="auto"/>
              <w:jc w:val="center"/>
            </w:pPr>
            <w:r>
              <w:rPr>
                <w:rFonts w:eastAsia="黑体"/>
                <w:b/>
                <w:sz w:val="21"/>
              </w:rPr>
              <w:t>序号</w:t>
            </w:r>
          </w:p>
        </w:tc>
        <w:tc>
          <w:tcPr>
            <w:tcW w:w="1694" w:type="dxa"/>
            <w:tcMar>
              <w:top w:w="80" w:type="dxa"/>
              <w:left w:w="80" w:type="dxa"/>
              <w:bottom w:w="80" w:type="dxa"/>
              <w:right w:w="80" w:type="dxa"/>
            </w:tcMar>
            <w:vAlign w:val="center"/>
          </w:tcPr>
          <w:p w14:paraId="1E10830D">
            <w:pPr>
              <w:spacing w:after="0" w:line="240" w:lineRule="auto"/>
              <w:jc w:val="center"/>
            </w:pPr>
            <w:r>
              <w:rPr>
                <w:rFonts w:eastAsia="黑体"/>
                <w:b/>
                <w:sz w:val="21"/>
              </w:rPr>
              <w:t>项目</w:t>
            </w:r>
          </w:p>
        </w:tc>
        <w:tc>
          <w:tcPr>
            <w:tcW w:w="6648" w:type="dxa"/>
            <w:tcMar>
              <w:top w:w="80" w:type="dxa"/>
              <w:left w:w="80" w:type="dxa"/>
              <w:bottom w:w="80" w:type="dxa"/>
              <w:right w:w="80" w:type="dxa"/>
            </w:tcMar>
            <w:vAlign w:val="center"/>
          </w:tcPr>
          <w:p w14:paraId="7A803B19">
            <w:pPr>
              <w:spacing w:after="0" w:line="240" w:lineRule="auto"/>
              <w:jc w:val="center"/>
            </w:pPr>
            <w:r>
              <w:rPr>
                <w:rFonts w:eastAsia="黑体"/>
                <w:b/>
                <w:sz w:val="21"/>
              </w:rPr>
              <w:t>技术指标与要求</w:t>
            </w:r>
          </w:p>
        </w:tc>
      </w:tr>
      <w:tr w14:paraId="1A19603F">
        <w:trPr>
          <w:cantSplit/>
          <w:jc w:val="center"/>
        </w:trPr>
        <w:tc>
          <w:tcPr>
            <w:tcW w:w="606" w:type="dxa"/>
            <w:tcMar>
              <w:top w:w="80" w:type="dxa"/>
              <w:left w:w="80" w:type="dxa"/>
              <w:bottom w:w="80" w:type="dxa"/>
              <w:right w:w="80" w:type="dxa"/>
            </w:tcMar>
            <w:vAlign w:val="center"/>
          </w:tcPr>
          <w:p w14:paraId="4A0CAC21">
            <w:pPr>
              <w:spacing w:after="0" w:line="240" w:lineRule="auto"/>
              <w:jc w:val="center"/>
            </w:pPr>
            <w:r>
              <w:rPr>
                <w:sz w:val="21"/>
              </w:rPr>
              <w:t>1</w:t>
            </w:r>
          </w:p>
        </w:tc>
        <w:tc>
          <w:tcPr>
            <w:tcW w:w="1694" w:type="dxa"/>
            <w:tcMar>
              <w:top w:w="80" w:type="dxa"/>
              <w:left w:w="80" w:type="dxa"/>
              <w:bottom w:w="80" w:type="dxa"/>
              <w:right w:w="80" w:type="dxa"/>
            </w:tcMar>
            <w:vAlign w:val="center"/>
          </w:tcPr>
          <w:p w14:paraId="63343FA9">
            <w:pPr>
              <w:spacing w:after="0" w:line="240" w:lineRule="auto"/>
              <w:jc w:val="center"/>
            </w:pPr>
            <w:r>
              <w:rPr>
                <w:sz w:val="21"/>
              </w:rPr>
              <w:t>整车构型与集成</w:t>
            </w:r>
          </w:p>
        </w:tc>
        <w:tc>
          <w:tcPr>
            <w:tcW w:w="6648" w:type="dxa"/>
            <w:tcMar>
              <w:top w:w="80" w:type="dxa"/>
              <w:left w:w="80" w:type="dxa"/>
              <w:bottom w:w="80" w:type="dxa"/>
              <w:right w:w="80" w:type="dxa"/>
            </w:tcMar>
            <w:vAlign w:val="center"/>
          </w:tcPr>
          <w:p w14:paraId="667B0FC8">
            <w:pPr>
              <w:spacing w:after="0" w:line="240" w:lineRule="auto"/>
            </w:pPr>
            <w:r>
              <w:rPr>
                <w:sz w:val="21"/>
              </w:rPr>
              <w:t>采用六轮电驱动线控底盘，具备线控驱动、线控转向、线控制动和驻车能力；整车控制器能够接收自主导航控制指令并反馈车速、转角、制动、电池及故障状态。底盘、自主系统、感知设备和通信设备应完成一体化安装、标定与联调。</w:t>
            </w:r>
          </w:p>
        </w:tc>
      </w:tr>
      <w:tr w14:paraId="2F987B1D">
        <w:trPr>
          <w:cantSplit/>
          <w:jc w:val="center"/>
        </w:trPr>
        <w:tc>
          <w:tcPr>
            <w:tcW w:w="606" w:type="dxa"/>
            <w:tcMar>
              <w:top w:w="80" w:type="dxa"/>
              <w:left w:w="80" w:type="dxa"/>
              <w:bottom w:w="80" w:type="dxa"/>
              <w:right w:w="80" w:type="dxa"/>
            </w:tcMar>
            <w:vAlign w:val="center"/>
          </w:tcPr>
          <w:p w14:paraId="5A8E1CA3">
            <w:pPr>
              <w:spacing w:after="0" w:line="240" w:lineRule="auto"/>
              <w:jc w:val="center"/>
            </w:pPr>
            <w:r>
              <w:rPr>
                <w:sz w:val="21"/>
              </w:rPr>
              <w:t>2</w:t>
            </w:r>
          </w:p>
        </w:tc>
        <w:tc>
          <w:tcPr>
            <w:tcW w:w="1694" w:type="dxa"/>
            <w:tcMar>
              <w:top w:w="80" w:type="dxa"/>
              <w:left w:w="80" w:type="dxa"/>
              <w:bottom w:w="80" w:type="dxa"/>
              <w:right w:w="80" w:type="dxa"/>
            </w:tcMar>
            <w:vAlign w:val="center"/>
          </w:tcPr>
          <w:p w14:paraId="18ED8B8F">
            <w:pPr>
              <w:spacing w:after="0" w:line="240" w:lineRule="auto"/>
              <w:jc w:val="center"/>
            </w:pPr>
            <w:r>
              <w:rPr>
                <w:sz w:val="21"/>
              </w:rPr>
              <w:t>外形与质量</w:t>
            </w:r>
          </w:p>
        </w:tc>
        <w:tc>
          <w:tcPr>
            <w:tcW w:w="6648" w:type="dxa"/>
            <w:tcMar>
              <w:top w:w="80" w:type="dxa"/>
              <w:left w:w="80" w:type="dxa"/>
              <w:bottom w:w="80" w:type="dxa"/>
              <w:right w:w="80" w:type="dxa"/>
            </w:tcMar>
            <w:vAlign w:val="center"/>
          </w:tcPr>
          <w:p w14:paraId="6C0FA777">
            <w:pPr>
              <w:spacing w:after="0" w:line="240" w:lineRule="auto"/>
            </w:pPr>
            <w:r>
              <w:rPr>
                <w:sz w:val="21"/>
              </w:rPr>
              <w:t>整车外形尺寸原则上不大于2700mm×1800mm×1200mm；整备质量不大于</w:t>
            </w:r>
            <w:r>
              <w:rPr>
                <w:rFonts w:hint="eastAsia"/>
                <w:sz w:val="21"/>
                <w:lang w:eastAsia="zh-CN"/>
              </w:rPr>
              <w:t>20</w:t>
            </w:r>
            <w:r>
              <w:rPr>
                <w:sz w:val="21"/>
              </w:rPr>
              <w:t>00kg。因上装或防护结构造成的局部尺寸变化，应在响应文件中说明。</w:t>
            </w:r>
          </w:p>
        </w:tc>
      </w:tr>
      <w:tr w14:paraId="2E46171F">
        <w:trPr>
          <w:cantSplit/>
          <w:jc w:val="center"/>
        </w:trPr>
        <w:tc>
          <w:tcPr>
            <w:tcW w:w="606" w:type="dxa"/>
            <w:tcMar>
              <w:top w:w="80" w:type="dxa"/>
              <w:left w:w="80" w:type="dxa"/>
              <w:bottom w:w="80" w:type="dxa"/>
              <w:right w:w="80" w:type="dxa"/>
            </w:tcMar>
            <w:vAlign w:val="center"/>
          </w:tcPr>
          <w:p w14:paraId="07B7DD2F">
            <w:pPr>
              <w:spacing w:after="0" w:line="240" w:lineRule="auto"/>
              <w:jc w:val="center"/>
            </w:pPr>
            <w:r>
              <w:rPr>
                <w:sz w:val="21"/>
              </w:rPr>
              <w:t>3</w:t>
            </w:r>
          </w:p>
        </w:tc>
        <w:tc>
          <w:tcPr>
            <w:tcW w:w="1694" w:type="dxa"/>
            <w:tcMar>
              <w:top w:w="80" w:type="dxa"/>
              <w:left w:w="80" w:type="dxa"/>
              <w:bottom w:w="80" w:type="dxa"/>
              <w:right w:w="80" w:type="dxa"/>
            </w:tcMar>
            <w:vAlign w:val="center"/>
          </w:tcPr>
          <w:p w14:paraId="33ACF8CA">
            <w:pPr>
              <w:spacing w:after="0" w:line="240" w:lineRule="auto"/>
              <w:jc w:val="center"/>
            </w:pPr>
            <w:r>
              <w:rPr>
                <w:sz w:val="21"/>
              </w:rPr>
              <w:t>承载能力</w:t>
            </w:r>
          </w:p>
        </w:tc>
        <w:tc>
          <w:tcPr>
            <w:tcW w:w="6648" w:type="dxa"/>
            <w:tcMar>
              <w:top w:w="80" w:type="dxa"/>
              <w:left w:w="80" w:type="dxa"/>
              <w:bottom w:w="80" w:type="dxa"/>
              <w:right w:w="80" w:type="dxa"/>
            </w:tcMar>
            <w:vAlign w:val="center"/>
          </w:tcPr>
          <w:p w14:paraId="0DD13760">
            <w:pPr>
              <w:spacing w:after="0" w:line="240" w:lineRule="auto"/>
            </w:pPr>
            <w:r>
              <w:rPr>
                <w:sz w:val="21"/>
              </w:rPr>
              <w:t>额定载荷不低于</w:t>
            </w:r>
            <w:r>
              <w:rPr>
                <w:rFonts w:hint="eastAsia"/>
                <w:sz w:val="21"/>
                <w:lang w:eastAsia="zh-CN"/>
              </w:rPr>
              <w:t>5</w:t>
            </w:r>
            <w:r>
              <w:rPr>
                <w:sz w:val="21"/>
              </w:rPr>
              <w:t>00kg；在额定载荷工况下，整车应保持正常驱动、转向、制动、驻车及自主导航能力。</w:t>
            </w:r>
          </w:p>
        </w:tc>
      </w:tr>
      <w:tr w14:paraId="5F247696">
        <w:trPr>
          <w:cantSplit/>
          <w:jc w:val="center"/>
        </w:trPr>
        <w:tc>
          <w:tcPr>
            <w:tcW w:w="606" w:type="dxa"/>
            <w:tcMar>
              <w:top w:w="80" w:type="dxa"/>
              <w:left w:w="80" w:type="dxa"/>
              <w:bottom w:w="80" w:type="dxa"/>
              <w:right w:w="80" w:type="dxa"/>
            </w:tcMar>
            <w:vAlign w:val="center"/>
          </w:tcPr>
          <w:p w14:paraId="51F1D169">
            <w:pPr>
              <w:spacing w:after="0" w:line="240" w:lineRule="auto"/>
              <w:jc w:val="center"/>
            </w:pPr>
            <w:r>
              <w:rPr>
                <w:sz w:val="21"/>
              </w:rPr>
              <w:t>4</w:t>
            </w:r>
          </w:p>
        </w:tc>
        <w:tc>
          <w:tcPr>
            <w:tcW w:w="1694" w:type="dxa"/>
            <w:tcMar>
              <w:top w:w="80" w:type="dxa"/>
              <w:left w:w="80" w:type="dxa"/>
              <w:bottom w:w="80" w:type="dxa"/>
              <w:right w:w="80" w:type="dxa"/>
            </w:tcMar>
            <w:vAlign w:val="center"/>
          </w:tcPr>
          <w:p w14:paraId="44FB781E">
            <w:pPr>
              <w:spacing w:after="0" w:line="240" w:lineRule="auto"/>
              <w:jc w:val="center"/>
            </w:pPr>
            <w:r>
              <w:rPr>
                <w:sz w:val="21"/>
              </w:rPr>
              <w:t>驱动与车速</w:t>
            </w:r>
          </w:p>
        </w:tc>
        <w:tc>
          <w:tcPr>
            <w:tcW w:w="6648" w:type="dxa"/>
            <w:tcMar>
              <w:top w:w="80" w:type="dxa"/>
              <w:left w:w="80" w:type="dxa"/>
              <w:bottom w:w="80" w:type="dxa"/>
              <w:right w:w="80" w:type="dxa"/>
            </w:tcMar>
            <w:vAlign w:val="center"/>
          </w:tcPr>
          <w:p w14:paraId="7E3C01F8">
            <w:pPr>
              <w:spacing w:after="0" w:line="240" w:lineRule="auto"/>
            </w:pPr>
            <w:r>
              <w:rPr>
                <w:sz w:val="21"/>
              </w:rPr>
              <w:t>采用六轮驱动或等效高通过性驱动方案，驱动电机总额定功率不低于25kW；铺装路面最高稳定车速不低于</w:t>
            </w:r>
            <w:r>
              <w:rPr>
                <w:rFonts w:hint="eastAsia"/>
                <w:sz w:val="21"/>
                <w:lang w:eastAsia="zh-CN"/>
              </w:rPr>
              <w:t>5</w:t>
            </w:r>
            <w:r>
              <w:rPr>
                <w:sz w:val="21"/>
              </w:rPr>
              <w:t>0km/h；支持前进、后退、加速、减速及低速稳定控制。自主运行速度应可根据任务和安全策略进行限制。</w:t>
            </w:r>
          </w:p>
        </w:tc>
      </w:tr>
      <w:tr w14:paraId="68FABC75">
        <w:trPr>
          <w:cantSplit/>
          <w:jc w:val="center"/>
        </w:trPr>
        <w:tc>
          <w:tcPr>
            <w:tcW w:w="606" w:type="dxa"/>
            <w:tcMar>
              <w:top w:w="80" w:type="dxa"/>
              <w:left w:w="80" w:type="dxa"/>
              <w:bottom w:w="80" w:type="dxa"/>
              <w:right w:w="80" w:type="dxa"/>
            </w:tcMar>
            <w:vAlign w:val="center"/>
          </w:tcPr>
          <w:p w14:paraId="14E63D20">
            <w:pPr>
              <w:spacing w:after="0" w:line="240" w:lineRule="auto"/>
              <w:jc w:val="center"/>
            </w:pPr>
            <w:r>
              <w:rPr>
                <w:sz w:val="21"/>
              </w:rPr>
              <w:t>5</w:t>
            </w:r>
          </w:p>
        </w:tc>
        <w:tc>
          <w:tcPr>
            <w:tcW w:w="1694" w:type="dxa"/>
            <w:tcMar>
              <w:top w:w="80" w:type="dxa"/>
              <w:left w:w="80" w:type="dxa"/>
              <w:bottom w:w="80" w:type="dxa"/>
              <w:right w:w="80" w:type="dxa"/>
            </w:tcMar>
            <w:vAlign w:val="center"/>
          </w:tcPr>
          <w:p w14:paraId="5FC3A5ED">
            <w:pPr>
              <w:spacing w:after="0" w:line="240" w:lineRule="auto"/>
              <w:jc w:val="center"/>
            </w:pPr>
            <w:r>
              <w:rPr>
                <w:sz w:val="21"/>
              </w:rPr>
              <w:t>动力电池</w:t>
            </w:r>
          </w:p>
        </w:tc>
        <w:tc>
          <w:tcPr>
            <w:tcW w:w="6648" w:type="dxa"/>
            <w:tcMar>
              <w:top w:w="80" w:type="dxa"/>
              <w:left w:w="80" w:type="dxa"/>
              <w:bottom w:w="80" w:type="dxa"/>
              <w:right w:w="80" w:type="dxa"/>
            </w:tcMar>
            <w:vAlign w:val="center"/>
          </w:tcPr>
          <w:p w14:paraId="6FC162DD">
            <w:pPr>
              <w:spacing w:after="0" w:line="240" w:lineRule="auto"/>
            </w:pPr>
            <w:r>
              <w:rPr>
                <w:sz w:val="21"/>
              </w:rPr>
              <w:t>采用磷酸铁锂或安全性能不低于该体系的动力电池，标称电压不低于72V，标称能量不低于15kWh；具备电池管理、过充过放、过流、短路、过欠压、温度监测及充电保护功能</w:t>
            </w:r>
            <w:r>
              <w:rPr>
                <w:rFonts w:hint="eastAsia"/>
                <w:sz w:val="21"/>
                <w:lang w:eastAsia="zh-CN"/>
              </w:rPr>
              <w:t>；</w:t>
            </w:r>
            <w:r>
              <w:rPr>
                <w:sz w:val="21"/>
              </w:rPr>
              <w:t>配套充电设备，常规充电时间不大于10h。</w:t>
            </w:r>
          </w:p>
        </w:tc>
      </w:tr>
      <w:tr w14:paraId="1AB18E0D">
        <w:trPr>
          <w:cantSplit/>
          <w:jc w:val="center"/>
        </w:trPr>
        <w:tc>
          <w:tcPr>
            <w:tcW w:w="606" w:type="dxa"/>
            <w:tcMar>
              <w:top w:w="80" w:type="dxa"/>
              <w:left w:w="80" w:type="dxa"/>
              <w:bottom w:w="80" w:type="dxa"/>
              <w:right w:w="80" w:type="dxa"/>
            </w:tcMar>
            <w:vAlign w:val="center"/>
          </w:tcPr>
          <w:p w14:paraId="761CBE3A">
            <w:pPr>
              <w:spacing w:after="0" w:line="240" w:lineRule="auto"/>
              <w:jc w:val="center"/>
            </w:pPr>
            <w:r>
              <w:rPr>
                <w:sz w:val="21"/>
              </w:rPr>
              <w:t>6</w:t>
            </w:r>
          </w:p>
        </w:tc>
        <w:tc>
          <w:tcPr>
            <w:tcW w:w="1694" w:type="dxa"/>
            <w:tcMar>
              <w:top w:w="80" w:type="dxa"/>
              <w:left w:w="80" w:type="dxa"/>
              <w:bottom w:w="80" w:type="dxa"/>
              <w:right w:w="80" w:type="dxa"/>
            </w:tcMar>
            <w:vAlign w:val="center"/>
          </w:tcPr>
          <w:p w14:paraId="47BA9C39">
            <w:pPr>
              <w:spacing w:after="0" w:line="240" w:lineRule="auto"/>
              <w:jc w:val="center"/>
            </w:pPr>
            <w:r>
              <w:rPr>
                <w:sz w:val="21"/>
              </w:rPr>
              <w:t>续航能力</w:t>
            </w:r>
          </w:p>
        </w:tc>
        <w:tc>
          <w:tcPr>
            <w:tcW w:w="6648" w:type="dxa"/>
            <w:tcMar>
              <w:top w:w="80" w:type="dxa"/>
              <w:left w:w="80" w:type="dxa"/>
              <w:bottom w:w="80" w:type="dxa"/>
              <w:right w:w="80" w:type="dxa"/>
            </w:tcMar>
            <w:vAlign w:val="center"/>
          </w:tcPr>
          <w:p w14:paraId="5D0818F0">
            <w:pPr>
              <w:spacing w:after="0" w:line="240" w:lineRule="auto"/>
            </w:pPr>
            <w:r>
              <w:rPr>
                <w:sz w:val="21"/>
              </w:rPr>
              <w:t>在环境温度25℃±5℃、平坦铺装路面、经济车速且不计大功率任务载荷用电的条件下，整车续航里程不低于</w:t>
            </w:r>
            <w:r>
              <w:rPr>
                <w:rFonts w:hint="eastAsia"/>
                <w:sz w:val="21"/>
                <w:lang w:eastAsia="zh-CN"/>
              </w:rPr>
              <w:t>8</w:t>
            </w:r>
            <w:r>
              <w:rPr>
                <w:sz w:val="21"/>
              </w:rPr>
              <w:t>0km。报价方应说明测试载荷、车速、环境温度及能耗条件。</w:t>
            </w:r>
          </w:p>
        </w:tc>
      </w:tr>
      <w:tr w14:paraId="61DF5C22">
        <w:trPr>
          <w:cantSplit/>
          <w:jc w:val="center"/>
        </w:trPr>
        <w:tc>
          <w:tcPr>
            <w:tcW w:w="606" w:type="dxa"/>
            <w:tcMar>
              <w:top w:w="80" w:type="dxa"/>
              <w:left w:w="80" w:type="dxa"/>
              <w:bottom w:w="80" w:type="dxa"/>
              <w:right w:w="80" w:type="dxa"/>
            </w:tcMar>
            <w:vAlign w:val="center"/>
          </w:tcPr>
          <w:p w14:paraId="28A33A8D">
            <w:pPr>
              <w:spacing w:after="0" w:line="240" w:lineRule="auto"/>
              <w:jc w:val="center"/>
            </w:pPr>
            <w:r>
              <w:rPr>
                <w:sz w:val="21"/>
              </w:rPr>
              <w:t>7</w:t>
            </w:r>
          </w:p>
        </w:tc>
        <w:tc>
          <w:tcPr>
            <w:tcW w:w="1694" w:type="dxa"/>
            <w:tcMar>
              <w:top w:w="80" w:type="dxa"/>
              <w:left w:w="80" w:type="dxa"/>
              <w:bottom w:w="80" w:type="dxa"/>
              <w:right w:w="80" w:type="dxa"/>
            </w:tcMar>
            <w:vAlign w:val="center"/>
          </w:tcPr>
          <w:p w14:paraId="190A050C">
            <w:pPr>
              <w:spacing w:after="0" w:line="240" w:lineRule="auto"/>
              <w:jc w:val="center"/>
            </w:pPr>
            <w:r>
              <w:rPr>
                <w:sz w:val="21"/>
              </w:rPr>
              <w:t>通过性能</w:t>
            </w:r>
          </w:p>
        </w:tc>
        <w:tc>
          <w:tcPr>
            <w:tcW w:w="6648" w:type="dxa"/>
            <w:tcMar>
              <w:top w:w="80" w:type="dxa"/>
              <w:left w:w="80" w:type="dxa"/>
              <w:bottom w:w="80" w:type="dxa"/>
              <w:right w:w="80" w:type="dxa"/>
            </w:tcMar>
            <w:vAlign w:val="center"/>
          </w:tcPr>
          <w:p w14:paraId="30705E53">
            <w:pPr>
              <w:spacing w:after="0" w:line="240" w:lineRule="auto"/>
            </w:pPr>
            <w:r>
              <w:rPr>
                <w:sz w:val="21"/>
              </w:rPr>
              <w:t>最大爬坡能力不低于</w:t>
            </w:r>
            <w:r>
              <w:rPr>
                <w:rFonts w:hint="eastAsia"/>
                <w:sz w:val="21"/>
                <w:lang w:eastAsia="zh-CN"/>
              </w:rPr>
              <w:t>20</w:t>
            </w:r>
            <w:r>
              <w:rPr>
                <w:sz w:val="21"/>
              </w:rPr>
              <w:t>°，侧向坡通过能力不低于15°；满载离地间隙不低于2</w:t>
            </w:r>
            <w:r>
              <w:rPr>
                <w:rFonts w:hint="eastAsia"/>
                <w:sz w:val="21"/>
                <w:lang w:eastAsia="zh-CN"/>
              </w:rPr>
              <w:t>5</w:t>
            </w:r>
            <w:r>
              <w:rPr>
                <w:sz w:val="21"/>
              </w:rPr>
              <w:t>0mm</w:t>
            </w:r>
            <w:r>
              <w:rPr>
                <w:rFonts w:hint="eastAsia"/>
                <w:sz w:val="21"/>
                <w:lang w:eastAsia="zh-CN"/>
              </w:rPr>
              <w:t>（静平衡位置）</w:t>
            </w:r>
            <w:r>
              <w:rPr>
                <w:sz w:val="21"/>
              </w:rPr>
              <w:t>，满载垂直越障高度不低于</w:t>
            </w:r>
            <w:r>
              <w:rPr>
                <w:rFonts w:hint="eastAsia"/>
                <w:sz w:val="21"/>
                <w:lang w:eastAsia="zh-CN"/>
              </w:rPr>
              <w:t>2</w:t>
            </w:r>
            <w:r>
              <w:rPr>
                <w:sz w:val="21"/>
              </w:rPr>
              <w:t>00mm</w:t>
            </w:r>
            <w:r>
              <w:rPr>
                <w:rFonts w:hint="eastAsia"/>
                <w:sz w:val="21"/>
                <w:lang w:eastAsia="zh-CN"/>
              </w:rPr>
              <w:t>，</w:t>
            </w:r>
            <w:r>
              <w:rPr>
                <w:sz w:val="21"/>
              </w:rPr>
              <w:t>空载越壕宽度不低于</w:t>
            </w:r>
            <w:r>
              <w:rPr>
                <w:rFonts w:hint="eastAsia"/>
                <w:sz w:val="21"/>
                <w:lang w:eastAsia="zh-CN"/>
              </w:rPr>
              <w:t>6</w:t>
            </w:r>
            <w:r>
              <w:rPr>
                <w:sz w:val="21"/>
              </w:rPr>
              <w:t>00mm。</w:t>
            </w:r>
          </w:p>
        </w:tc>
      </w:tr>
      <w:tr w14:paraId="38DA421A">
        <w:trPr>
          <w:cantSplit/>
          <w:jc w:val="center"/>
        </w:trPr>
        <w:tc>
          <w:tcPr>
            <w:tcW w:w="606" w:type="dxa"/>
            <w:tcMar>
              <w:top w:w="80" w:type="dxa"/>
              <w:left w:w="80" w:type="dxa"/>
              <w:bottom w:w="80" w:type="dxa"/>
              <w:right w:w="80" w:type="dxa"/>
            </w:tcMar>
            <w:vAlign w:val="center"/>
          </w:tcPr>
          <w:p w14:paraId="00BE05AE">
            <w:pPr>
              <w:spacing w:after="0" w:line="240" w:lineRule="auto"/>
              <w:jc w:val="center"/>
              <w:rPr>
                <w:sz w:val="21"/>
                <w:lang w:eastAsia="zh-CN"/>
              </w:rPr>
            </w:pPr>
            <w:r>
              <w:rPr>
                <w:rFonts w:hint="eastAsia"/>
                <w:sz w:val="21"/>
                <w:lang w:eastAsia="zh-CN"/>
              </w:rPr>
              <w:t>8</w:t>
            </w:r>
          </w:p>
        </w:tc>
        <w:tc>
          <w:tcPr>
            <w:tcW w:w="1694" w:type="dxa"/>
            <w:tcMar>
              <w:top w:w="80" w:type="dxa"/>
              <w:left w:w="80" w:type="dxa"/>
              <w:bottom w:w="80" w:type="dxa"/>
              <w:right w:w="80" w:type="dxa"/>
            </w:tcMar>
            <w:vAlign w:val="center"/>
          </w:tcPr>
          <w:p w14:paraId="14ECA507">
            <w:pPr>
              <w:spacing w:after="0" w:line="240" w:lineRule="auto"/>
              <w:jc w:val="center"/>
              <w:rPr>
                <w:sz w:val="21"/>
              </w:rPr>
            </w:pPr>
            <w:r>
              <w:rPr>
                <w:sz w:val="21"/>
              </w:rPr>
              <w:t>转向与制动响应</w:t>
            </w:r>
          </w:p>
        </w:tc>
        <w:tc>
          <w:tcPr>
            <w:tcW w:w="6648" w:type="dxa"/>
            <w:tcMar>
              <w:top w:w="80" w:type="dxa"/>
              <w:left w:w="80" w:type="dxa"/>
              <w:bottom w:w="80" w:type="dxa"/>
              <w:right w:w="80" w:type="dxa"/>
            </w:tcMar>
            <w:vAlign w:val="center"/>
          </w:tcPr>
          <w:p w14:paraId="5583B597">
            <w:pPr>
              <w:spacing w:after="0" w:line="240" w:lineRule="auto"/>
              <w:rPr>
                <w:sz w:val="21"/>
                <w:lang w:eastAsia="zh-CN"/>
              </w:rPr>
            </w:pPr>
            <w:r>
              <w:rPr>
                <w:sz w:val="21"/>
              </w:rPr>
              <w:t>支持线控转向，并具备差速转向或等效高机动转向能力；转向指令响应时间不大于250ms。线控制动应形成闭环，制动建压响应时间不大于100ms，最大制动力响应时间不大于250ms，并具备可靠驻车能力</w:t>
            </w:r>
            <w:r>
              <w:rPr>
                <w:rFonts w:hint="eastAsia"/>
                <w:sz w:val="21"/>
                <w:lang w:eastAsia="zh-CN"/>
              </w:rPr>
              <w:t>，坡起场景溜坡距离不得超过50mm。</w:t>
            </w:r>
          </w:p>
        </w:tc>
      </w:tr>
      <w:tr w14:paraId="281FD3DD">
        <w:trPr>
          <w:cantSplit/>
          <w:jc w:val="center"/>
        </w:trPr>
        <w:tc>
          <w:tcPr>
            <w:tcW w:w="606" w:type="dxa"/>
            <w:tcMar>
              <w:top w:w="80" w:type="dxa"/>
              <w:left w:w="80" w:type="dxa"/>
              <w:bottom w:w="80" w:type="dxa"/>
              <w:right w:w="80" w:type="dxa"/>
            </w:tcMar>
            <w:vAlign w:val="center"/>
          </w:tcPr>
          <w:p w14:paraId="05914F47">
            <w:pPr>
              <w:spacing w:after="0" w:line="240" w:lineRule="auto"/>
              <w:jc w:val="center"/>
              <w:rPr>
                <w:lang w:eastAsia="zh-CN"/>
              </w:rPr>
            </w:pPr>
            <w:r>
              <w:rPr>
                <w:rFonts w:hint="eastAsia"/>
                <w:sz w:val="21"/>
                <w:lang w:eastAsia="zh-CN"/>
              </w:rPr>
              <w:t>9</w:t>
            </w:r>
          </w:p>
        </w:tc>
        <w:tc>
          <w:tcPr>
            <w:tcW w:w="1694" w:type="dxa"/>
            <w:tcMar>
              <w:top w:w="80" w:type="dxa"/>
              <w:left w:w="80" w:type="dxa"/>
              <w:bottom w:w="80" w:type="dxa"/>
              <w:right w:w="80" w:type="dxa"/>
            </w:tcMar>
            <w:vAlign w:val="center"/>
          </w:tcPr>
          <w:p w14:paraId="329B0BC5">
            <w:pPr>
              <w:spacing w:after="0" w:line="240" w:lineRule="auto"/>
              <w:jc w:val="center"/>
            </w:pPr>
            <w:r>
              <w:rPr>
                <w:sz w:val="21"/>
              </w:rPr>
              <w:t>遥控与模式切换</w:t>
            </w:r>
          </w:p>
        </w:tc>
        <w:tc>
          <w:tcPr>
            <w:tcW w:w="6648" w:type="dxa"/>
            <w:tcMar>
              <w:top w:w="80" w:type="dxa"/>
              <w:left w:w="80" w:type="dxa"/>
              <w:bottom w:w="80" w:type="dxa"/>
              <w:right w:w="80" w:type="dxa"/>
            </w:tcMar>
            <w:vAlign w:val="center"/>
          </w:tcPr>
          <w:p w14:paraId="011F4828">
            <w:pPr>
              <w:spacing w:after="0" w:line="240" w:lineRule="auto"/>
            </w:pPr>
            <w:r>
              <w:rPr>
                <w:sz w:val="21"/>
              </w:rPr>
              <w:t>具备远程遥操作和自动驾驶模式，支持人工控制与自主控制安全切换；配置10km级远程遥操作电台，在空旷无遮挡、地对地条件下，远程遥操作距离不低于10km。人工遥操作或紧急停车指令的控制优先级应高于自主导航指令。</w:t>
            </w:r>
          </w:p>
        </w:tc>
      </w:tr>
      <w:tr w14:paraId="24010A3A">
        <w:trPr>
          <w:cantSplit/>
          <w:jc w:val="center"/>
        </w:trPr>
        <w:tc>
          <w:tcPr>
            <w:tcW w:w="606" w:type="dxa"/>
            <w:tcMar>
              <w:top w:w="80" w:type="dxa"/>
              <w:left w:w="80" w:type="dxa"/>
              <w:bottom w:w="80" w:type="dxa"/>
              <w:right w:w="80" w:type="dxa"/>
            </w:tcMar>
            <w:vAlign w:val="center"/>
          </w:tcPr>
          <w:p w14:paraId="680F9B01">
            <w:pPr>
              <w:spacing w:after="0" w:line="240" w:lineRule="auto"/>
              <w:jc w:val="center"/>
              <w:rPr>
                <w:lang w:eastAsia="zh-CN"/>
              </w:rPr>
            </w:pPr>
            <w:r>
              <w:rPr>
                <w:rFonts w:hint="eastAsia"/>
                <w:sz w:val="21"/>
                <w:lang w:eastAsia="zh-CN"/>
              </w:rPr>
              <w:t>10</w:t>
            </w:r>
          </w:p>
        </w:tc>
        <w:tc>
          <w:tcPr>
            <w:tcW w:w="1694" w:type="dxa"/>
            <w:tcMar>
              <w:top w:w="80" w:type="dxa"/>
              <w:left w:w="80" w:type="dxa"/>
              <w:bottom w:w="80" w:type="dxa"/>
              <w:right w:w="80" w:type="dxa"/>
            </w:tcMar>
            <w:vAlign w:val="center"/>
          </w:tcPr>
          <w:p w14:paraId="39BA52E9">
            <w:pPr>
              <w:spacing w:after="0" w:line="240" w:lineRule="auto"/>
              <w:jc w:val="center"/>
            </w:pPr>
            <w:r>
              <w:rPr>
                <w:sz w:val="21"/>
              </w:rPr>
              <w:t>故障安全</w:t>
            </w:r>
          </w:p>
        </w:tc>
        <w:tc>
          <w:tcPr>
            <w:tcW w:w="6648" w:type="dxa"/>
            <w:tcMar>
              <w:top w:w="80" w:type="dxa"/>
              <w:left w:w="80" w:type="dxa"/>
              <w:bottom w:w="80" w:type="dxa"/>
              <w:right w:w="80" w:type="dxa"/>
            </w:tcMar>
            <w:vAlign w:val="center"/>
          </w:tcPr>
          <w:p w14:paraId="3C0B9933">
            <w:pPr>
              <w:spacing w:after="0" w:line="240" w:lineRule="auto"/>
            </w:pPr>
            <w:r>
              <w:rPr>
                <w:sz w:val="21"/>
              </w:rPr>
              <w:t>具备车体实体急停和远程急停能力；通信中断、控制异常、定位失效、低电量或关键故障时，整车应执行减速、停车、驻车或其他安全降级策略，不得出现持续失控行驶。</w:t>
            </w:r>
          </w:p>
        </w:tc>
      </w:tr>
      <w:tr w14:paraId="36194D6C">
        <w:trPr>
          <w:cantSplit/>
          <w:jc w:val="center"/>
        </w:trPr>
        <w:tc>
          <w:tcPr>
            <w:tcW w:w="606" w:type="dxa"/>
            <w:tcMar>
              <w:top w:w="80" w:type="dxa"/>
              <w:left w:w="80" w:type="dxa"/>
              <w:bottom w:w="80" w:type="dxa"/>
              <w:right w:w="80" w:type="dxa"/>
            </w:tcMar>
            <w:vAlign w:val="center"/>
          </w:tcPr>
          <w:p w14:paraId="56F21E99">
            <w:pPr>
              <w:spacing w:after="0" w:line="240" w:lineRule="auto"/>
              <w:jc w:val="center"/>
              <w:rPr>
                <w:lang w:eastAsia="zh-CN"/>
              </w:rPr>
            </w:pPr>
            <w:r>
              <w:rPr>
                <w:rFonts w:hint="eastAsia"/>
                <w:sz w:val="21"/>
                <w:lang w:eastAsia="zh-CN"/>
              </w:rPr>
              <w:t>11</w:t>
            </w:r>
          </w:p>
        </w:tc>
        <w:tc>
          <w:tcPr>
            <w:tcW w:w="1694" w:type="dxa"/>
            <w:tcMar>
              <w:top w:w="80" w:type="dxa"/>
              <w:left w:w="80" w:type="dxa"/>
              <w:bottom w:w="80" w:type="dxa"/>
              <w:right w:w="80" w:type="dxa"/>
            </w:tcMar>
            <w:vAlign w:val="center"/>
          </w:tcPr>
          <w:p w14:paraId="218CB105">
            <w:pPr>
              <w:spacing w:after="0" w:line="240" w:lineRule="auto"/>
              <w:jc w:val="center"/>
            </w:pPr>
            <w:r>
              <w:rPr>
                <w:sz w:val="21"/>
              </w:rPr>
              <w:t>通信接口</w:t>
            </w:r>
          </w:p>
        </w:tc>
        <w:tc>
          <w:tcPr>
            <w:tcW w:w="6648" w:type="dxa"/>
            <w:tcMar>
              <w:top w:w="80" w:type="dxa"/>
              <w:left w:w="80" w:type="dxa"/>
              <w:bottom w:w="80" w:type="dxa"/>
              <w:right w:w="80" w:type="dxa"/>
            </w:tcMar>
            <w:vAlign w:val="center"/>
          </w:tcPr>
          <w:p w14:paraId="2D6FD3B3">
            <w:pPr>
              <w:spacing w:after="0" w:line="240" w:lineRule="auto"/>
            </w:pPr>
            <w:r>
              <w:rPr>
                <w:sz w:val="21"/>
              </w:rPr>
              <w:t>底盘控制采用CAN 2.0、CAN FD或兼容车载总线，支持速度、转向、制动、模式、急停、状态及故障信息交互；应提供完整通信协议、报文定义、量纲、范围、周期、状态码及控制示例。</w:t>
            </w:r>
          </w:p>
        </w:tc>
      </w:tr>
      <w:tr w14:paraId="7C77BF34">
        <w:trPr>
          <w:cantSplit/>
          <w:jc w:val="center"/>
        </w:trPr>
        <w:tc>
          <w:tcPr>
            <w:tcW w:w="606" w:type="dxa"/>
            <w:tcMar>
              <w:top w:w="80" w:type="dxa"/>
              <w:left w:w="80" w:type="dxa"/>
              <w:bottom w:w="80" w:type="dxa"/>
              <w:right w:w="80" w:type="dxa"/>
            </w:tcMar>
            <w:vAlign w:val="center"/>
          </w:tcPr>
          <w:p w14:paraId="03BC0872">
            <w:pPr>
              <w:spacing w:after="0" w:line="240" w:lineRule="auto"/>
              <w:jc w:val="center"/>
              <w:rPr>
                <w:lang w:eastAsia="zh-CN"/>
              </w:rPr>
            </w:pPr>
            <w:r>
              <w:rPr>
                <w:rFonts w:hint="eastAsia"/>
                <w:sz w:val="21"/>
                <w:lang w:eastAsia="zh-CN"/>
              </w:rPr>
              <w:t>12</w:t>
            </w:r>
          </w:p>
        </w:tc>
        <w:tc>
          <w:tcPr>
            <w:tcW w:w="1694" w:type="dxa"/>
            <w:tcMar>
              <w:top w:w="80" w:type="dxa"/>
              <w:left w:w="80" w:type="dxa"/>
              <w:bottom w:w="80" w:type="dxa"/>
              <w:right w:w="80" w:type="dxa"/>
            </w:tcMar>
            <w:vAlign w:val="center"/>
          </w:tcPr>
          <w:p w14:paraId="5F9CB994">
            <w:pPr>
              <w:spacing w:after="0" w:line="240" w:lineRule="auto"/>
              <w:jc w:val="center"/>
            </w:pPr>
            <w:r>
              <w:rPr>
                <w:sz w:val="21"/>
              </w:rPr>
              <w:t>环境适应性</w:t>
            </w:r>
          </w:p>
        </w:tc>
        <w:tc>
          <w:tcPr>
            <w:tcW w:w="6648" w:type="dxa"/>
            <w:tcMar>
              <w:top w:w="80" w:type="dxa"/>
              <w:left w:w="80" w:type="dxa"/>
              <w:bottom w:w="80" w:type="dxa"/>
              <w:right w:w="80" w:type="dxa"/>
            </w:tcMar>
            <w:vAlign w:val="center"/>
          </w:tcPr>
          <w:p w14:paraId="1A885D80">
            <w:pPr>
              <w:spacing w:after="0" w:line="240" w:lineRule="auto"/>
            </w:pPr>
            <w:r>
              <w:rPr>
                <w:sz w:val="21"/>
              </w:rPr>
              <w:t>整车工作环境温度覆盖-20℃～+5</w:t>
            </w:r>
            <w:r>
              <w:rPr>
                <w:rFonts w:hint="eastAsia"/>
                <w:sz w:val="21"/>
                <w:lang w:eastAsia="zh-CN"/>
              </w:rPr>
              <w:t>5</w:t>
            </w:r>
            <w:r>
              <w:rPr>
                <w:sz w:val="21"/>
              </w:rPr>
              <w:t>℃；车外执行器、传感器及电气设备防护等级原则上不低于IP66，采用较低等级部件时应通过整机防护结构达到使用要求，并提交防护说明或证明材料。</w:t>
            </w:r>
          </w:p>
        </w:tc>
      </w:tr>
      <w:tr w14:paraId="2DB4A06E">
        <w:trPr>
          <w:cantSplit/>
          <w:jc w:val="center"/>
        </w:trPr>
        <w:tc>
          <w:tcPr>
            <w:tcW w:w="606" w:type="dxa"/>
            <w:tcMar>
              <w:top w:w="80" w:type="dxa"/>
              <w:left w:w="80" w:type="dxa"/>
              <w:bottom w:w="80" w:type="dxa"/>
              <w:right w:w="80" w:type="dxa"/>
            </w:tcMar>
            <w:vAlign w:val="center"/>
          </w:tcPr>
          <w:p w14:paraId="18EF2794">
            <w:pPr>
              <w:spacing w:after="0" w:line="240" w:lineRule="auto"/>
              <w:jc w:val="center"/>
              <w:rPr>
                <w:lang w:eastAsia="zh-CN"/>
              </w:rPr>
            </w:pPr>
            <w:r>
              <w:rPr>
                <w:rFonts w:hint="eastAsia"/>
                <w:sz w:val="21"/>
                <w:lang w:eastAsia="zh-CN"/>
              </w:rPr>
              <w:t>13</w:t>
            </w:r>
          </w:p>
        </w:tc>
        <w:tc>
          <w:tcPr>
            <w:tcW w:w="1694" w:type="dxa"/>
            <w:tcMar>
              <w:top w:w="80" w:type="dxa"/>
              <w:left w:w="80" w:type="dxa"/>
              <w:bottom w:w="80" w:type="dxa"/>
              <w:right w:w="80" w:type="dxa"/>
            </w:tcMar>
            <w:vAlign w:val="center"/>
          </w:tcPr>
          <w:p w14:paraId="29CE0BA5">
            <w:pPr>
              <w:spacing w:after="0" w:line="240" w:lineRule="auto"/>
              <w:jc w:val="center"/>
            </w:pPr>
            <w:r>
              <w:rPr>
                <w:sz w:val="21"/>
              </w:rPr>
              <w:t>扩展接口</w:t>
            </w:r>
          </w:p>
        </w:tc>
        <w:tc>
          <w:tcPr>
            <w:tcW w:w="6648" w:type="dxa"/>
            <w:tcMar>
              <w:top w:w="80" w:type="dxa"/>
              <w:left w:w="80" w:type="dxa"/>
              <w:bottom w:w="80" w:type="dxa"/>
              <w:right w:w="80" w:type="dxa"/>
            </w:tcMar>
            <w:vAlign w:val="center"/>
          </w:tcPr>
          <w:p w14:paraId="60A1793A">
            <w:pPr>
              <w:spacing w:after="0" w:line="240" w:lineRule="auto"/>
            </w:pPr>
            <w:r>
              <w:rPr>
                <w:sz w:val="21"/>
              </w:rPr>
              <w:t>整车应预留任务载荷安装位置，以及后续上装集成所需的电源、网络、通信、控制和结构接口；应具备12V、24V或等效直流供电能力，接口容量、位置、允许载荷及限制应在技术资料中明确。</w:t>
            </w:r>
          </w:p>
        </w:tc>
      </w:tr>
      <w:tr w14:paraId="636174C1">
        <w:trPr>
          <w:cantSplit/>
          <w:jc w:val="center"/>
        </w:trPr>
        <w:tc>
          <w:tcPr>
            <w:tcW w:w="606" w:type="dxa"/>
            <w:tcMar>
              <w:top w:w="80" w:type="dxa"/>
              <w:left w:w="80" w:type="dxa"/>
              <w:bottom w:w="80" w:type="dxa"/>
              <w:right w:w="80" w:type="dxa"/>
            </w:tcMar>
            <w:vAlign w:val="center"/>
          </w:tcPr>
          <w:p w14:paraId="2D6EA237">
            <w:pPr>
              <w:spacing w:after="0" w:line="240" w:lineRule="auto"/>
              <w:jc w:val="center"/>
              <w:rPr>
                <w:sz w:val="21"/>
                <w:lang w:eastAsia="zh-CN"/>
              </w:rPr>
            </w:pPr>
            <w:r>
              <w:rPr>
                <w:rFonts w:hint="eastAsia"/>
                <w:sz w:val="21"/>
                <w:lang w:eastAsia="zh-CN"/>
              </w:rPr>
              <w:t>14</w:t>
            </w:r>
          </w:p>
        </w:tc>
        <w:tc>
          <w:tcPr>
            <w:tcW w:w="1694" w:type="dxa"/>
            <w:tcMar>
              <w:top w:w="80" w:type="dxa"/>
              <w:left w:w="80" w:type="dxa"/>
              <w:bottom w:w="80" w:type="dxa"/>
              <w:right w:w="80" w:type="dxa"/>
            </w:tcMar>
            <w:vAlign w:val="center"/>
          </w:tcPr>
          <w:p w14:paraId="0851F1D3">
            <w:pPr>
              <w:spacing w:after="0" w:line="240" w:lineRule="auto"/>
              <w:jc w:val="center"/>
              <w:rPr>
                <w:sz w:val="21"/>
              </w:rPr>
            </w:pPr>
            <w:r>
              <w:rPr>
                <w:rFonts w:cs="Times New Roman"/>
                <w:sz w:val="21"/>
              </w:rPr>
              <w:t>整车一致性与维护</w:t>
            </w:r>
          </w:p>
        </w:tc>
        <w:tc>
          <w:tcPr>
            <w:tcW w:w="6648" w:type="dxa"/>
            <w:tcMar>
              <w:top w:w="80" w:type="dxa"/>
              <w:left w:w="80" w:type="dxa"/>
              <w:bottom w:w="80" w:type="dxa"/>
              <w:right w:w="80" w:type="dxa"/>
            </w:tcMar>
            <w:vAlign w:val="center"/>
          </w:tcPr>
          <w:p w14:paraId="4AB6D6F6">
            <w:pPr>
              <w:spacing w:after="0" w:line="240" w:lineRule="auto"/>
              <w:rPr>
                <w:sz w:val="21"/>
              </w:rPr>
            </w:pPr>
            <w:r>
              <w:rPr>
                <w:rFonts w:cs="Times New Roman"/>
                <w:sz w:val="21"/>
              </w:rPr>
              <w:t>最终交付整车应具备必要的检修、散热和部件更换空间；底盘、自主系统和通信设备的型号、接口、软件版本、参数及标定文件应与技术资料一致。</w:t>
            </w:r>
          </w:p>
        </w:tc>
      </w:tr>
    </w:tbl>
    <w:p w14:paraId="6A32845C">
      <w:pPr>
        <w:keepNext/>
        <w:spacing w:before="120" w:after="40" w:line="360" w:lineRule="auto"/>
      </w:pPr>
      <w:r>
        <w:rPr>
          <w:rFonts w:eastAsia="黑体"/>
          <w:b/>
        </w:rPr>
        <w:t>（二）自主定位导航系统硬件主要技术指标</w:t>
      </w:r>
    </w:p>
    <w:tbl>
      <w:tblPr>
        <w:tblStyle w:val="3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6"/>
        <w:gridCol w:w="1726"/>
        <w:gridCol w:w="6776"/>
      </w:tblGrid>
      <w:tr w14:paraId="139B9909">
        <w:trPr>
          <w:cantSplit/>
          <w:tblHeader/>
          <w:jc w:val="center"/>
        </w:trPr>
        <w:tc>
          <w:tcPr>
            <w:tcW w:w="605" w:type="dxa"/>
            <w:tcMar>
              <w:top w:w="80" w:type="dxa"/>
              <w:left w:w="80" w:type="dxa"/>
              <w:bottom w:w="80" w:type="dxa"/>
              <w:right w:w="80" w:type="dxa"/>
            </w:tcMar>
            <w:vAlign w:val="center"/>
          </w:tcPr>
          <w:p w14:paraId="2F0CBB27">
            <w:pPr>
              <w:spacing w:after="0" w:line="240" w:lineRule="auto"/>
              <w:jc w:val="center"/>
            </w:pPr>
            <w:r>
              <w:rPr>
                <w:rFonts w:eastAsia="黑体"/>
                <w:b/>
                <w:sz w:val="21"/>
              </w:rPr>
              <w:t>序号</w:t>
            </w:r>
          </w:p>
        </w:tc>
        <w:tc>
          <w:tcPr>
            <w:tcW w:w="1694" w:type="dxa"/>
            <w:tcMar>
              <w:top w:w="80" w:type="dxa"/>
              <w:left w:w="80" w:type="dxa"/>
              <w:bottom w:w="80" w:type="dxa"/>
              <w:right w:w="80" w:type="dxa"/>
            </w:tcMar>
            <w:vAlign w:val="center"/>
          </w:tcPr>
          <w:p w14:paraId="16749911">
            <w:pPr>
              <w:spacing w:after="0" w:line="240" w:lineRule="auto"/>
              <w:jc w:val="center"/>
            </w:pPr>
            <w:r>
              <w:rPr>
                <w:rFonts w:eastAsia="黑体"/>
                <w:b/>
                <w:sz w:val="21"/>
              </w:rPr>
              <w:t>项目</w:t>
            </w:r>
          </w:p>
        </w:tc>
        <w:tc>
          <w:tcPr>
            <w:tcW w:w="6649" w:type="dxa"/>
            <w:tcMar>
              <w:top w:w="80" w:type="dxa"/>
              <w:left w:w="80" w:type="dxa"/>
              <w:bottom w:w="80" w:type="dxa"/>
              <w:right w:w="80" w:type="dxa"/>
            </w:tcMar>
            <w:vAlign w:val="center"/>
          </w:tcPr>
          <w:p w14:paraId="1220E91C">
            <w:pPr>
              <w:spacing w:after="0" w:line="240" w:lineRule="auto"/>
              <w:jc w:val="center"/>
            </w:pPr>
            <w:r>
              <w:rPr>
                <w:rFonts w:eastAsia="黑体"/>
                <w:b/>
                <w:sz w:val="21"/>
              </w:rPr>
              <w:t>技术指标与要求</w:t>
            </w:r>
          </w:p>
        </w:tc>
      </w:tr>
      <w:tr w14:paraId="677AD111">
        <w:trPr>
          <w:cantSplit/>
          <w:jc w:val="center"/>
        </w:trPr>
        <w:tc>
          <w:tcPr>
            <w:tcW w:w="605" w:type="dxa"/>
            <w:tcMar>
              <w:top w:w="80" w:type="dxa"/>
              <w:left w:w="80" w:type="dxa"/>
              <w:bottom w:w="80" w:type="dxa"/>
              <w:right w:w="80" w:type="dxa"/>
            </w:tcMar>
            <w:vAlign w:val="center"/>
          </w:tcPr>
          <w:p w14:paraId="534ABB25">
            <w:pPr>
              <w:spacing w:after="0" w:line="240" w:lineRule="auto"/>
              <w:jc w:val="center"/>
            </w:pPr>
            <w:r>
              <w:rPr>
                <w:sz w:val="21"/>
              </w:rPr>
              <w:t>1</w:t>
            </w:r>
          </w:p>
        </w:tc>
        <w:tc>
          <w:tcPr>
            <w:tcW w:w="1694" w:type="dxa"/>
            <w:tcMar>
              <w:top w:w="80" w:type="dxa"/>
              <w:left w:w="80" w:type="dxa"/>
              <w:bottom w:w="80" w:type="dxa"/>
              <w:right w:w="80" w:type="dxa"/>
            </w:tcMar>
            <w:vAlign w:val="center"/>
          </w:tcPr>
          <w:p w14:paraId="74FA6237">
            <w:pPr>
              <w:spacing w:after="0" w:line="240" w:lineRule="auto"/>
              <w:jc w:val="center"/>
            </w:pPr>
            <w:r>
              <w:rPr>
                <w:sz w:val="21"/>
              </w:rPr>
              <w:t>感知定位配置</w:t>
            </w:r>
          </w:p>
        </w:tc>
        <w:tc>
          <w:tcPr>
            <w:tcW w:w="6649" w:type="dxa"/>
            <w:tcMar>
              <w:top w:w="80" w:type="dxa"/>
              <w:left w:w="80" w:type="dxa"/>
              <w:bottom w:w="80" w:type="dxa"/>
              <w:right w:w="80" w:type="dxa"/>
            </w:tcMar>
            <w:vAlign w:val="center"/>
          </w:tcPr>
          <w:p w14:paraId="4496C7C6">
            <w:pPr>
              <w:spacing w:after="0" w:line="240" w:lineRule="auto"/>
            </w:pPr>
            <w:r>
              <w:rPr>
                <w:sz w:val="21"/>
              </w:rPr>
              <w:t>配置三维激光雷达，并融合里程计或轮速、惯性测量单元、卫星定位</w:t>
            </w:r>
            <w:r>
              <w:rPr>
                <w:rFonts w:hint="eastAsia"/>
                <w:sz w:val="21"/>
                <w:lang w:eastAsia="zh-CN"/>
              </w:rPr>
              <w:t>及RTK</w:t>
            </w:r>
            <w:r>
              <w:rPr>
                <w:sz w:val="21"/>
              </w:rPr>
              <w:t>模块等信息；通过主扫描与近场补盲或等效方案实现车周360°环境感知，满足室内外半结构化场景建图、定位、导航和避障需求。</w:t>
            </w:r>
          </w:p>
        </w:tc>
      </w:tr>
      <w:tr w14:paraId="133E3FE1">
        <w:trPr>
          <w:cantSplit/>
          <w:jc w:val="center"/>
        </w:trPr>
        <w:tc>
          <w:tcPr>
            <w:tcW w:w="605" w:type="dxa"/>
            <w:tcMar>
              <w:top w:w="80" w:type="dxa"/>
              <w:left w:w="80" w:type="dxa"/>
              <w:bottom w:w="80" w:type="dxa"/>
              <w:right w:w="80" w:type="dxa"/>
            </w:tcMar>
            <w:vAlign w:val="center"/>
          </w:tcPr>
          <w:p w14:paraId="6DB366B8">
            <w:pPr>
              <w:spacing w:after="0" w:line="240" w:lineRule="auto"/>
              <w:jc w:val="center"/>
            </w:pPr>
            <w:r>
              <w:rPr>
                <w:sz w:val="21"/>
              </w:rPr>
              <w:t>2</w:t>
            </w:r>
          </w:p>
        </w:tc>
        <w:tc>
          <w:tcPr>
            <w:tcW w:w="1694" w:type="dxa"/>
            <w:tcMar>
              <w:top w:w="80" w:type="dxa"/>
              <w:left w:w="80" w:type="dxa"/>
              <w:bottom w:w="80" w:type="dxa"/>
              <w:right w:w="80" w:type="dxa"/>
            </w:tcMar>
            <w:vAlign w:val="center"/>
          </w:tcPr>
          <w:p w14:paraId="1678901D">
            <w:pPr>
              <w:spacing w:after="0" w:line="240" w:lineRule="auto"/>
              <w:jc w:val="center"/>
            </w:pPr>
            <w:r>
              <w:rPr>
                <w:sz w:val="21"/>
              </w:rPr>
              <w:t>车载计算平台</w:t>
            </w:r>
          </w:p>
        </w:tc>
        <w:tc>
          <w:tcPr>
            <w:tcW w:w="6649" w:type="dxa"/>
            <w:tcMar>
              <w:top w:w="80" w:type="dxa"/>
              <w:left w:w="80" w:type="dxa"/>
              <w:bottom w:w="80" w:type="dxa"/>
              <w:right w:w="80" w:type="dxa"/>
            </w:tcMar>
            <w:vAlign w:val="center"/>
          </w:tcPr>
          <w:p w14:paraId="2A3D7856">
            <w:pPr>
              <w:spacing w:after="0" w:line="240" w:lineRule="auto"/>
            </w:pPr>
            <w:r>
              <w:rPr>
                <w:sz w:val="21"/>
              </w:rPr>
              <w:t>采用工业级车载计算平台，处理器性能不低于主流Intel Core i5或同等级平台，内存不低于16GB，可用存储空间不低于100GB；应具备稳定的数据存储、网络通信和多传感器接入能力，并留有必要的性能余量。在自主定位、建图、规划、控制等核心功能正常运行的同时，至少留出可支持6路YOLO目标检测任务并发运行的计算性能余量，报价方应提供相应的算力配置、测试条件及实测结果说明。</w:t>
            </w:r>
          </w:p>
        </w:tc>
      </w:tr>
      <w:tr w14:paraId="3BC5227E">
        <w:trPr>
          <w:cantSplit/>
          <w:jc w:val="center"/>
        </w:trPr>
        <w:tc>
          <w:tcPr>
            <w:tcW w:w="605" w:type="dxa"/>
            <w:tcMar>
              <w:top w:w="80" w:type="dxa"/>
              <w:left w:w="80" w:type="dxa"/>
              <w:bottom w:w="80" w:type="dxa"/>
              <w:right w:w="80" w:type="dxa"/>
            </w:tcMar>
            <w:vAlign w:val="center"/>
          </w:tcPr>
          <w:p w14:paraId="56255CE6">
            <w:pPr>
              <w:spacing w:after="0" w:line="240" w:lineRule="auto"/>
              <w:jc w:val="center"/>
            </w:pPr>
            <w:r>
              <w:rPr>
                <w:sz w:val="21"/>
              </w:rPr>
              <w:t>3</w:t>
            </w:r>
          </w:p>
        </w:tc>
        <w:tc>
          <w:tcPr>
            <w:tcW w:w="1694" w:type="dxa"/>
            <w:tcMar>
              <w:top w:w="80" w:type="dxa"/>
              <w:left w:w="80" w:type="dxa"/>
              <w:bottom w:w="80" w:type="dxa"/>
              <w:right w:w="80" w:type="dxa"/>
            </w:tcMar>
            <w:vAlign w:val="center"/>
          </w:tcPr>
          <w:p w14:paraId="7269CC4D">
            <w:pPr>
              <w:spacing w:after="0" w:line="240" w:lineRule="auto"/>
              <w:jc w:val="center"/>
            </w:pPr>
            <w:r>
              <w:rPr>
                <w:sz w:val="21"/>
              </w:rPr>
              <w:t>运行环境</w:t>
            </w:r>
          </w:p>
        </w:tc>
        <w:tc>
          <w:tcPr>
            <w:tcW w:w="6649" w:type="dxa"/>
            <w:tcMar>
              <w:top w:w="80" w:type="dxa"/>
              <w:left w:w="80" w:type="dxa"/>
              <w:bottom w:w="80" w:type="dxa"/>
              <w:right w:w="80" w:type="dxa"/>
            </w:tcMar>
            <w:vAlign w:val="center"/>
          </w:tcPr>
          <w:p w14:paraId="5FCFA3A0">
            <w:pPr>
              <w:spacing w:after="0" w:line="240" w:lineRule="auto"/>
            </w:pPr>
            <w:r>
              <w:rPr>
                <w:sz w:val="21"/>
              </w:rPr>
              <w:t>软件运行环境采用Linux Ubuntu或兼容的国产/通用Linux系统，支持车端长期稳定运行、日志记录、软件升级和故障恢复。</w:t>
            </w:r>
          </w:p>
        </w:tc>
      </w:tr>
      <w:tr w14:paraId="5743CD37">
        <w:trPr>
          <w:cantSplit/>
          <w:jc w:val="center"/>
        </w:trPr>
        <w:tc>
          <w:tcPr>
            <w:tcW w:w="605" w:type="dxa"/>
            <w:tcMar>
              <w:top w:w="80" w:type="dxa"/>
              <w:left w:w="80" w:type="dxa"/>
              <w:bottom w:w="80" w:type="dxa"/>
              <w:right w:w="80" w:type="dxa"/>
            </w:tcMar>
            <w:vAlign w:val="center"/>
          </w:tcPr>
          <w:p w14:paraId="14C90ECC">
            <w:pPr>
              <w:spacing w:after="0" w:line="240" w:lineRule="auto"/>
              <w:jc w:val="center"/>
            </w:pPr>
            <w:r>
              <w:rPr>
                <w:sz w:val="21"/>
              </w:rPr>
              <w:t>4</w:t>
            </w:r>
          </w:p>
        </w:tc>
        <w:tc>
          <w:tcPr>
            <w:tcW w:w="1694" w:type="dxa"/>
            <w:tcMar>
              <w:top w:w="80" w:type="dxa"/>
              <w:left w:w="80" w:type="dxa"/>
              <w:bottom w:w="80" w:type="dxa"/>
              <w:right w:w="80" w:type="dxa"/>
            </w:tcMar>
            <w:vAlign w:val="center"/>
          </w:tcPr>
          <w:p w14:paraId="0049657B">
            <w:pPr>
              <w:spacing w:after="0" w:line="240" w:lineRule="auto"/>
              <w:jc w:val="center"/>
            </w:pPr>
            <w:r>
              <w:rPr>
                <w:sz w:val="21"/>
              </w:rPr>
              <w:t>车载网络与同步</w:t>
            </w:r>
          </w:p>
        </w:tc>
        <w:tc>
          <w:tcPr>
            <w:tcW w:w="6649" w:type="dxa"/>
            <w:tcMar>
              <w:top w:w="80" w:type="dxa"/>
              <w:left w:w="80" w:type="dxa"/>
              <w:bottom w:w="80" w:type="dxa"/>
              <w:right w:w="80" w:type="dxa"/>
            </w:tcMar>
            <w:vAlign w:val="center"/>
          </w:tcPr>
          <w:p w14:paraId="1AC6CA18">
            <w:pPr>
              <w:spacing w:after="0" w:line="240" w:lineRule="auto"/>
            </w:pPr>
            <w:r>
              <w:rPr>
                <w:rFonts w:cs="Times New Roman"/>
                <w:sz w:val="21"/>
              </w:rPr>
              <w:t>车载网络应满足激光雷达、相机、组合惯导、控制器及记录设备并发接入，支持千兆以太网、POE、网络时间同步和硬件时间同步或等效机制；交换设备应预留必要接口余量。</w:t>
            </w:r>
          </w:p>
        </w:tc>
      </w:tr>
      <w:tr w14:paraId="5A441536">
        <w:trPr>
          <w:cantSplit/>
          <w:jc w:val="center"/>
        </w:trPr>
        <w:tc>
          <w:tcPr>
            <w:tcW w:w="605" w:type="dxa"/>
            <w:tcMar>
              <w:top w:w="80" w:type="dxa"/>
              <w:left w:w="80" w:type="dxa"/>
              <w:bottom w:w="80" w:type="dxa"/>
              <w:right w:w="80" w:type="dxa"/>
            </w:tcMar>
            <w:vAlign w:val="center"/>
          </w:tcPr>
          <w:p w14:paraId="5F249EAE">
            <w:pPr>
              <w:spacing w:after="0" w:line="240" w:lineRule="auto"/>
              <w:jc w:val="center"/>
            </w:pPr>
            <w:r>
              <w:rPr>
                <w:sz w:val="21"/>
              </w:rPr>
              <w:t>5</w:t>
            </w:r>
          </w:p>
        </w:tc>
        <w:tc>
          <w:tcPr>
            <w:tcW w:w="1694" w:type="dxa"/>
            <w:tcMar>
              <w:top w:w="80" w:type="dxa"/>
              <w:left w:w="80" w:type="dxa"/>
              <w:bottom w:w="80" w:type="dxa"/>
              <w:right w:w="80" w:type="dxa"/>
            </w:tcMar>
            <w:vAlign w:val="center"/>
          </w:tcPr>
          <w:p w14:paraId="1AE8620A">
            <w:pPr>
              <w:spacing w:after="0" w:line="240" w:lineRule="auto"/>
              <w:jc w:val="center"/>
            </w:pPr>
            <w:r>
              <w:rPr>
                <w:sz w:val="21"/>
              </w:rPr>
              <w:t>无线通信</w:t>
            </w:r>
          </w:p>
        </w:tc>
        <w:tc>
          <w:tcPr>
            <w:tcW w:w="6649" w:type="dxa"/>
            <w:tcMar>
              <w:top w:w="80" w:type="dxa"/>
              <w:left w:w="80" w:type="dxa"/>
              <w:bottom w:w="80" w:type="dxa"/>
              <w:right w:w="80" w:type="dxa"/>
            </w:tcMar>
            <w:vAlign w:val="center"/>
          </w:tcPr>
          <w:p w14:paraId="6005D187">
            <w:pPr>
              <w:spacing w:after="0" w:line="240" w:lineRule="auto"/>
              <w:rPr>
                <w:lang w:eastAsia="zh-CN"/>
              </w:rPr>
            </w:pPr>
            <w:r>
              <w:rPr>
                <w:sz w:val="21"/>
              </w:rPr>
              <w:t>具备4G/5G、WiFi或等效无线通信能力，满足车辆状态、任务、告警、日志及视频数据传输需求，并支持远程管理和人工接管</w:t>
            </w:r>
            <w:r>
              <w:rPr>
                <w:rFonts w:hint="eastAsia"/>
                <w:sz w:val="21"/>
                <w:lang w:eastAsia="zh-CN"/>
              </w:rPr>
              <w:t>；外置天线应选用下出线款型和多合一款型以增加稳定性；</w:t>
            </w:r>
            <w:r>
              <w:rPr>
                <w:sz w:val="21"/>
                <w:lang w:eastAsia="zh-CN"/>
              </w:rPr>
              <w:t>在空旷无遮挡、地对地条件下，电台有效通信及远程遥操作距离不低于10km。</w:t>
            </w:r>
          </w:p>
        </w:tc>
      </w:tr>
    </w:tbl>
    <w:p w14:paraId="5F32991C">
      <w:pPr>
        <w:keepNext/>
        <w:spacing w:before="120" w:after="40" w:line="360" w:lineRule="auto"/>
      </w:pPr>
      <w:r>
        <w:rPr>
          <w:rFonts w:eastAsia="黑体"/>
          <w:b/>
        </w:rPr>
        <w:t>（三）自主定位导航及巡逻预警软件主要技术指标</w:t>
      </w:r>
    </w:p>
    <w:tbl>
      <w:tblPr>
        <w:tblStyle w:val="3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726"/>
        <w:gridCol w:w="6774"/>
      </w:tblGrid>
      <w:tr w14:paraId="4367C870">
        <w:trPr>
          <w:cantSplit/>
          <w:tblHeader/>
          <w:jc w:val="center"/>
        </w:trPr>
        <w:tc>
          <w:tcPr>
            <w:tcW w:w="606" w:type="dxa"/>
            <w:tcMar>
              <w:top w:w="80" w:type="dxa"/>
              <w:left w:w="80" w:type="dxa"/>
              <w:bottom w:w="80" w:type="dxa"/>
              <w:right w:w="80" w:type="dxa"/>
            </w:tcMar>
            <w:vAlign w:val="center"/>
          </w:tcPr>
          <w:p w14:paraId="3328A955">
            <w:pPr>
              <w:spacing w:after="0" w:line="240" w:lineRule="auto"/>
              <w:jc w:val="center"/>
            </w:pPr>
            <w:r>
              <w:rPr>
                <w:rFonts w:eastAsia="黑体"/>
                <w:b/>
                <w:sz w:val="21"/>
              </w:rPr>
              <w:t>序号</w:t>
            </w:r>
          </w:p>
        </w:tc>
        <w:tc>
          <w:tcPr>
            <w:tcW w:w="1694" w:type="dxa"/>
            <w:tcMar>
              <w:top w:w="80" w:type="dxa"/>
              <w:left w:w="80" w:type="dxa"/>
              <w:bottom w:w="80" w:type="dxa"/>
              <w:right w:w="80" w:type="dxa"/>
            </w:tcMar>
            <w:vAlign w:val="center"/>
          </w:tcPr>
          <w:p w14:paraId="39F4DEDF">
            <w:pPr>
              <w:spacing w:after="0" w:line="240" w:lineRule="auto"/>
              <w:jc w:val="center"/>
            </w:pPr>
            <w:r>
              <w:rPr>
                <w:rFonts w:eastAsia="黑体"/>
                <w:b/>
                <w:sz w:val="21"/>
              </w:rPr>
              <w:t>项目</w:t>
            </w:r>
          </w:p>
        </w:tc>
        <w:tc>
          <w:tcPr>
            <w:tcW w:w="6648" w:type="dxa"/>
            <w:tcMar>
              <w:top w:w="80" w:type="dxa"/>
              <w:left w:w="80" w:type="dxa"/>
              <w:bottom w:w="80" w:type="dxa"/>
              <w:right w:w="80" w:type="dxa"/>
            </w:tcMar>
            <w:vAlign w:val="center"/>
          </w:tcPr>
          <w:p w14:paraId="0216E54F">
            <w:pPr>
              <w:spacing w:after="0" w:line="240" w:lineRule="auto"/>
              <w:jc w:val="center"/>
            </w:pPr>
            <w:r>
              <w:rPr>
                <w:rFonts w:eastAsia="黑体"/>
                <w:b/>
                <w:sz w:val="21"/>
              </w:rPr>
              <w:t>技术指标与要求</w:t>
            </w:r>
          </w:p>
        </w:tc>
      </w:tr>
      <w:tr w14:paraId="6C1BFE0D">
        <w:trPr>
          <w:cantSplit/>
          <w:jc w:val="center"/>
        </w:trPr>
        <w:tc>
          <w:tcPr>
            <w:tcW w:w="606" w:type="dxa"/>
            <w:tcMar>
              <w:top w:w="80" w:type="dxa"/>
              <w:left w:w="80" w:type="dxa"/>
              <w:bottom w:w="80" w:type="dxa"/>
              <w:right w:w="80" w:type="dxa"/>
            </w:tcMar>
            <w:vAlign w:val="center"/>
          </w:tcPr>
          <w:p w14:paraId="7F814821">
            <w:pPr>
              <w:spacing w:after="0" w:line="240" w:lineRule="auto"/>
              <w:jc w:val="center"/>
            </w:pPr>
            <w:r>
              <w:rPr>
                <w:sz w:val="21"/>
              </w:rPr>
              <w:t>1</w:t>
            </w:r>
          </w:p>
        </w:tc>
        <w:tc>
          <w:tcPr>
            <w:tcW w:w="1694" w:type="dxa"/>
            <w:tcMar>
              <w:top w:w="80" w:type="dxa"/>
              <w:left w:w="80" w:type="dxa"/>
              <w:bottom w:w="80" w:type="dxa"/>
              <w:right w:w="80" w:type="dxa"/>
            </w:tcMar>
            <w:vAlign w:val="center"/>
          </w:tcPr>
          <w:p w14:paraId="1DB909DC">
            <w:pPr>
              <w:spacing w:after="0" w:line="240" w:lineRule="auto"/>
              <w:jc w:val="center"/>
            </w:pPr>
            <w:r>
              <w:rPr>
                <w:sz w:val="21"/>
              </w:rPr>
              <w:t>三维建图</w:t>
            </w:r>
          </w:p>
        </w:tc>
        <w:tc>
          <w:tcPr>
            <w:tcW w:w="6648" w:type="dxa"/>
            <w:tcMar>
              <w:top w:w="80" w:type="dxa"/>
              <w:left w:w="80" w:type="dxa"/>
              <w:bottom w:w="80" w:type="dxa"/>
              <w:right w:w="80" w:type="dxa"/>
            </w:tcMar>
            <w:vAlign w:val="center"/>
          </w:tcPr>
          <w:p w14:paraId="5EBBF7BD">
            <w:pPr>
              <w:spacing w:after="0" w:line="240" w:lineRule="auto"/>
            </w:pPr>
            <w:r>
              <w:rPr>
                <w:sz w:val="21"/>
              </w:rPr>
              <w:t>支持室内外半结构化场景三维建图，能够生成、保存、加载和更新三维点云地图；支持十万平方米级及以上场景建图，并具备大范围地图分区、或多地图管理能力。</w:t>
            </w:r>
          </w:p>
        </w:tc>
      </w:tr>
      <w:tr w14:paraId="06A47229">
        <w:trPr>
          <w:cantSplit/>
          <w:jc w:val="center"/>
        </w:trPr>
        <w:tc>
          <w:tcPr>
            <w:tcW w:w="606" w:type="dxa"/>
            <w:tcMar>
              <w:top w:w="80" w:type="dxa"/>
              <w:left w:w="80" w:type="dxa"/>
              <w:bottom w:w="80" w:type="dxa"/>
              <w:right w:w="80" w:type="dxa"/>
            </w:tcMar>
            <w:vAlign w:val="center"/>
          </w:tcPr>
          <w:p w14:paraId="08EE2440">
            <w:pPr>
              <w:spacing w:after="0" w:line="240" w:lineRule="auto"/>
              <w:jc w:val="center"/>
            </w:pPr>
            <w:r>
              <w:rPr>
                <w:sz w:val="21"/>
              </w:rPr>
              <w:t>2</w:t>
            </w:r>
          </w:p>
        </w:tc>
        <w:tc>
          <w:tcPr>
            <w:tcW w:w="1694" w:type="dxa"/>
            <w:tcMar>
              <w:top w:w="80" w:type="dxa"/>
              <w:left w:w="80" w:type="dxa"/>
              <w:bottom w:w="80" w:type="dxa"/>
              <w:right w:w="80" w:type="dxa"/>
            </w:tcMar>
            <w:vAlign w:val="center"/>
          </w:tcPr>
          <w:p w14:paraId="32F1518A">
            <w:pPr>
              <w:spacing w:after="0" w:line="240" w:lineRule="auto"/>
              <w:jc w:val="center"/>
            </w:pPr>
            <w:r>
              <w:rPr>
                <w:sz w:val="21"/>
              </w:rPr>
              <w:t>地图编辑</w:t>
            </w:r>
          </w:p>
        </w:tc>
        <w:tc>
          <w:tcPr>
            <w:tcW w:w="6648" w:type="dxa"/>
            <w:tcMar>
              <w:top w:w="80" w:type="dxa"/>
              <w:left w:w="80" w:type="dxa"/>
              <w:bottom w:w="80" w:type="dxa"/>
              <w:right w:w="80" w:type="dxa"/>
            </w:tcMar>
            <w:vAlign w:val="center"/>
          </w:tcPr>
          <w:p w14:paraId="6ED1EE00">
            <w:pPr>
              <w:spacing w:after="0" w:line="240" w:lineRule="auto"/>
            </w:pPr>
            <w:r>
              <w:rPr>
                <w:sz w:val="21"/>
              </w:rPr>
              <w:t>支持对地图中的临时障碍物进行擦除或增加，支持绘制、编辑和删除虚拟墙、禁行区或等效区域约束，并可保存编辑结果。</w:t>
            </w:r>
          </w:p>
        </w:tc>
      </w:tr>
      <w:tr w14:paraId="16069D6E">
        <w:trPr>
          <w:cantSplit/>
          <w:jc w:val="center"/>
        </w:trPr>
        <w:tc>
          <w:tcPr>
            <w:tcW w:w="606" w:type="dxa"/>
            <w:tcMar>
              <w:top w:w="80" w:type="dxa"/>
              <w:left w:w="80" w:type="dxa"/>
              <w:bottom w:w="80" w:type="dxa"/>
              <w:right w:w="80" w:type="dxa"/>
            </w:tcMar>
            <w:vAlign w:val="center"/>
          </w:tcPr>
          <w:p w14:paraId="6DBC419E">
            <w:pPr>
              <w:spacing w:after="0" w:line="240" w:lineRule="auto"/>
              <w:jc w:val="center"/>
            </w:pPr>
            <w:r>
              <w:rPr>
                <w:sz w:val="21"/>
              </w:rPr>
              <w:t>3</w:t>
            </w:r>
          </w:p>
        </w:tc>
        <w:tc>
          <w:tcPr>
            <w:tcW w:w="1694" w:type="dxa"/>
            <w:tcMar>
              <w:top w:w="80" w:type="dxa"/>
              <w:left w:w="80" w:type="dxa"/>
              <w:bottom w:w="80" w:type="dxa"/>
              <w:right w:w="80" w:type="dxa"/>
            </w:tcMar>
            <w:vAlign w:val="center"/>
          </w:tcPr>
          <w:p w14:paraId="6A2E4979">
            <w:pPr>
              <w:spacing w:after="0" w:line="240" w:lineRule="auto"/>
              <w:jc w:val="center"/>
            </w:pPr>
            <w:r>
              <w:rPr>
                <w:sz w:val="21"/>
              </w:rPr>
              <w:t>组合定位</w:t>
            </w:r>
          </w:p>
        </w:tc>
        <w:tc>
          <w:tcPr>
            <w:tcW w:w="6648" w:type="dxa"/>
            <w:tcMar>
              <w:top w:w="80" w:type="dxa"/>
              <w:left w:w="80" w:type="dxa"/>
              <w:bottom w:w="80" w:type="dxa"/>
              <w:right w:w="80" w:type="dxa"/>
            </w:tcMar>
            <w:vAlign w:val="center"/>
          </w:tcPr>
          <w:p w14:paraId="0CC5A98F">
            <w:pPr>
              <w:spacing w:after="0" w:line="240" w:lineRule="auto"/>
            </w:pPr>
            <w:r>
              <w:rPr>
                <w:sz w:val="21"/>
              </w:rPr>
              <w:t>支持激光雷达、里程计/轮速、惯性测量单元、卫星定位等多源信息融合；室内重复定位误差不大于5cm，室外重复定位误差不大于10cm，导航位置误差不大于20cm，转角误差不大于5°。实际指标可根据场景特征、卫星信号和地图质量进行验证。</w:t>
            </w:r>
          </w:p>
        </w:tc>
      </w:tr>
      <w:tr w14:paraId="6AC02EF7">
        <w:trPr>
          <w:cantSplit/>
          <w:jc w:val="center"/>
        </w:trPr>
        <w:tc>
          <w:tcPr>
            <w:tcW w:w="606" w:type="dxa"/>
            <w:tcMar>
              <w:top w:w="80" w:type="dxa"/>
              <w:left w:w="80" w:type="dxa"/>
              <w:bottom w:w="80" w:type="dxa"/>
              <w:right w:w="80" w:type="dxa"/>
            </w:tcMar>
            <w:vAlign w:val="center"/>
          </w:tcPr>
          <w:p w14:paraId="16D24D92">
            <w:pPr>
              <w:spacing w:after="0" w:line="240" w:lineRule="auto"/>
              <w:jc w:val="center"/>
            </w:pPr>
            <w:r>
              <w:rPr>
                <w:sz w:val="21"/>
              </w:rPr>
              <w:t>4</w:t>
            </w:r>
          </w:p>
        </w:tc>
        <w:tc>
          <w:tcPr>
            <w:tcW w:w="1694" w:type="dxa"/>
            <w:tcMar>
              <w:top w:w="80" w:type="dxa"/>
              <w:left w:w="80" w:type="dxa"/>
              <w:bottom w:w="80" w:type="dxa"/>
              <w:right w:w="80" w:type="dxa"/>
            </w:tcMar>
            <w:vAlign w:val="center"/>
          </w:tcPr>
          <w:p w14:paraId="1CF68DE4">
            <w:pPr>
              <w:spacing w:after="0" w:line="240" w:lineRule="auto"/>
              <w:jc w:val="center"/>
            </w:pPr>
            <w:r>
              <w:rPr>
                <w:sz w:val="21"/>
              </w:rPr>
              <w:t>路径录制与编辑</w:t>
            </w:r>
          </w:p>
        </w:tc>
        <w:tc>
          <w:tcPr>
            <w:tcW w:w="6648" w:type="dxa"/>
            <w:tcMar>
              <w:top w:w="80" w:type="dxa"/>
              <w:left w:w="80" w:type="dxa"/>
              <w:bottom w:w="80" w:type="dxa"/>
              <w:right w:w="80" w:type="dxa"/>
            </w:tcMar>
            <w:vAlign w:val="center"/>
          </w:tcPr>
          <w:p w14:paraId="39AE31FB">
            <w:pPr>
              <w:spacing w:after="0" w:line="240" w:lineRule="auto"/>
            </w:pPr>
            <w:r>
              <w:rPr>
                <w:rFonts w:hint="eastAsia"/>
                <w:sz w:val="21"/>
              </w:rPr>
              <w:t>支持通过遥控车辆行驶录制路径，支持既有路径编辑、增删点位、保存和调用。</w:t>
            </w:r>
          </w:p>
        </w:tc>
      </w:tr>
      <w:tr w14:paraId="6FDDDAFB">
        <w:trPr>
          <w:cantSplit/>
          <w:jc w:val="center"/>
        </w:trPr>
        <w:tc>
          <w:tcPr>
            <w:tcW w:w="606" w:type="dxa"/>
            <w:tcMar>
              <w:top w:w="80" w:type="dxa"/>
              <w:left w:w="80" w:type="dxa"/>
              <w:bottom w:w="80" w:type="dxa"/>
              <w:right w:w="80" w:type="dxa"/>
            </w:tcMar>
            <w:vAlign w:val="center"/>
          </w:tcPr>
          <w:p w14:paraId="69D6B031">
            <w:pPr>
              <w:spacing w:after="0" w:line="240" w:lineRule="auto"/>
              <w:jc w:val="center"/>
            </w:pPr>
            <w:r>
              <w:rPr>
                <w:sz w:val="21"/>
              </w:rPr>
              <w:t>5</w:t>
            </w:r>
          </w:p>
        </w:tc>
        <w:tc>
          <w:tcPr>
            <w:tcW w:w="1694" w:type="dxa"/>
            <w:tcMar>
              <w:top w:w="80" w:type="dxa"/>
              <w:left w:w="80" w:type="dxa"/>
              <w:bottom w:w="80" w:type="dxa"/>
              <w:right w:w="80" w:type="dxa"/>
            </w:tcMar>
            <w:vAlign w:val="center"/>
          </w:tcPr>
          <w:p w14:paraId="6C32284E">
            <w:pPr>
              <w:spacing w:after="0" w:line="240" w:lineRule="auto"/>
              <w:jc w:val="center"/>
            </w:pPr>
            <w:r>
              <w:rPr>
                <w:sz w:val="21"/>
              </w:rPr>
              <w:t>目标点与路径规划</w:t>
            </w:r>
          </w:p>
        </w:tc>
        <w:tc>
          <w:tcPr>
            <w:tcW w:w="6648" w:type="dxa"/>
            <w:tcMar>
              <w:top w:w="80" w:type="dxa"/>
              <w:left w:w="80" w:type="dxa"/>
              <w:bottom w:w="80" w:type="dxa"/>
              <w:right w:w="80" w:type="dxa"/>
            </w:tcMar>
            <w:vAlign w:val="center"/>
          </w:tcPr>
          <w:p w14:paraId="5B4136BD">
            <w:pPr>
              <w:spacing w:after="0" w:line="240" w:lineRule="auto"/>
            </w:pPr>
            <w:r>
              <w:rPr>
                <w:sz w:val="21"/>
              </w:rPr>
              <w:t>支持发布目标点、</w:t>
            </w:r>
            <w:r>
              <w:rPr>
                <w:rFonts w:hint="eastAsia"/>
                <w:sz w:val="21"/>
                <w:lang w:eastAsia="zh-CN"/>
              </w:rPr>
              <w:t>关键</w:t>
            </w:r>
            <w:r>
              <w:rPr>
                <w:rFonts w:hint="eastAsia"/>
                <w:sz w:val="21"/>
              </w:rPr>
              <w:t>点</w:t>
            </w:r>
            <w:r>
              <w:rPr>
                <w:sz w:val="21"/>
              </w:rPr>
              <w:t>或任务区域，由系统根据当前位置、地图和</w:t>
            </w:r>
            <w:r>
              <w:rPr>
                <w:rFonts w:hint="eastAsia"/>
                <w:sz w:val="21"/>
              </w:rPr>
              <w:t>通行约束自主生成可执行路径</w:t>
            </w:r>
            <w:r>
              <w:rPr>
                <w:sz w:val="21"/>
              </w:rPr>
              <w:t>；路径被阻断时应支持</w:t>
            </w:r>
            <w:r>
              <w:rPr>
                <w:rFonts w:hint="eastAsia"/>
                <w:sz w:val="21"/>
              </w:rPr>
              <w:t>重新规划</w:t>
            </w:r>
            <w:r>
              <w:rPr>
                <w:sz w:val="21"/>
              </w:rPr>
              <w:t>、停车等待或人工接管。</w:t>
            </w:r>
          </w:p>
        </w:tc>
      </w:tr>
      <w:tr w14:paraId="4FA60A28">
        <w:trPr>
          <w:cantSplit/>
          <w:jc w:val="center"/>
        </w:trPr>
        <w:tc>
          <w:tcPr>
            <w:tcW w:w="606" w:type="dxa"/>
            <w:tcMar>
              <w:top w:w="80" w:type="dxa"/>
              <w:left w:w="80" w:type="dxa"/>
              <w:bottom w:w="80" w:type="dxa"/>
              <w:right w:w="80" w:type="dxa"/>
            </w:tcMar>
            <w:vAlign w:val="center"/>
          </w:tcPr>
          <w:p w14:paraId="2D26C5B9">
            <w:pPr>
              <w:spacing w:after="0" w:line="240" w:lineRule="auto"/>
              <w:jc w:val="center"/>
            </w:pPr>
            <w:r>
              <w:rPr>
                <w:sz w:val="21"/>
              </w:rPr>
              <w:t>6</w:t>
            </w:r>
          </w:p>
        </w:tc>
        <w:tc>
          <w:tcPr>
            <w:tcW w:w="1694" w:type="dxa"/>
            <w:tcMar>
              <w:top w:w="80" w:type="dxa"/>
              <w:left w:w="80" w:type="dxa"/>
              <w:bottom w:w="80" w:type="dxa"/>
              <w:right w:w="80" w:type="dxa"/>
            </w:tcMar>
            <w:vAlign w:val="center"/>
          </w:tcPr>
          <w:p w14:paraId="437C0B78">
            <w:pPr>
              <w:spacing w:after="0" w:line="240" w:lineRule="auto"/>
              <w:jc w:val="center"/>
            </w:pPr>
            <w:r>
              <w:rPr>
                <w:sz w:val="21"/>
              </w:rPr>
              <w:t>导航作业模式</w:t>
            </w:r>
          </w:p>
        </w:tc>
        <w:tc>
          <w:tcPr>
            <w:tcW w:w="6648" w:type="dxa"/>
            <w:tcMar>
              <w:top w:w="80" w:type="dxa"/>
              <w:left w:w="80" w:type="dxa"/>
              <w:bottom w:w="80" w:type="dxa"/>
              <w:right w:w="80" w:type="dxa"/>
            </w:tcMar>
            <w:vAlign w:val="center"/>
          </w:tcPr>
          <w:p w14:paraId="08D0DC74">
            <w:pPr>
              <w:spacing w:after="0" w:line="240" w:lineRule="auto"/>
            </w:pPr>
            <w:r>
              <w:rPr>
                <w:sz w:val="21"/>
              </w:rPr>
              <w:t>支持循迹导航、目标点导航及两者组合的任务模式；支持在同一任务中配置多个点位、路径段、速度参数和任务顺序。</w:t>
            </w:r>
          </w:p>
        </w:tc>
      </w:tr>
      <w:tr w14:paraId="6DD747FD">
        <w:trPr>
          <w:cantSplit/>
          <w:jc w:val="center"/>
        </w:trPr>
        <w:tc>
          <w:tcPr>
            <w:tcW w:w="606" w:type="dxa"/>
            <w:tcMar>
              <w:top w:w="80" w:type="dxa"/>
              <w:left w:w="80" w:type="dxa"/>
              <w:bottom w:w="80" w:type="dxa"/>
              <w:right w:w="80" w:type="dxa"/>
            </w:tcMar>
            <w:vAlign w:val="center"/>
          </w:tcPr>
          <w:p w14:paraId="1AAC602D">
            <w:pPr>
              <w:spacing w:after="0" w:line="240" w:lineRule="auto"/>
              <w:jc w:val="center"/>
              <w:rPr>
                <w:sz w:val="21"/>
                <w:lang w:eastAsia="zh-CN"/>
              </w:rPr>
            </w:pPr>
            <w:r>
              <w:rPr>
                <w:rFonts w:hint="eastAsia"/>
                <w:sz w:val="21"/>
                <w:lang w:eastAsia="zh-CN"/>
              </w:rPr>
              <w:t>7</w:t>
            </w:r>
          </w:p>
        </w:tc>
        <w:tc>
          <w:tcPr>
            <w:tcW w:w="1694" w:type="dxa"/>
            <w:tcMar>
              <w:top w:w="80" w:type="dxa"/>
              <w:left w:w="80" w:type="dxa"/>
              <w:bottom w:w="80" w:type="dxa"/>
              <w:right w:w="80" w:type="dxa"/>
            </w:tcMar>
            <w:vAlign w:val="center"/>
          </w:tcPr>
          <w:p w14:paraId="61F26980">
            <w:pPr>
              <w:spacing w:after="0" w:line="240" w:lineRule="auto"/>
              <w:jc w:val="center"/>
              <w:rPr>
                <w:sz w:val="21"/>
              </w:rPr>
            </w:pPr>
            <w:r>
              <w:rPr>
                <w:sz w:val="21"/>
              </w:rPr>
              <w:t>感知精度</w:t>
            </w:r>
          </w:p>
        </w:tc>
        <w:tc>
          <w:tcPr>
            <w:tcW w:w="6648" w:type="dxa"/>
            <w:tcMar>
              <w:top w:w="80" w:type="dxa"/>
              <w:left w:w="80" w:type="dxa"/>
              <w:bottom w:w="80" w:type="dxa"/>
              <w:right w:w="80" w:type="dxa"/>
            </w:tcMar>
            <w:vAlign w:val="center"/>
          </w:tcPr>
          <w:p w14:paraId="2BC63475">
            <w:pPr>
              <w:spacing w:after="0" w:line="240" w:lineRule="auto"/>
              <w:rPr>
                <w:sz w:val="21"/>
              </w:rPr>
            </w:pPr>
            <w:r>
              <w:rPr>
                <w:rFonts w:hint="eastAsia"/>
                <w:sz w:val="21"/>
              </w:rPr>
              <w:t>在车周360°范围、纵向距离[-30,80]区间、横向距离[-30,30]范围内，对典型障碍物的检测准确率不低于65%，召回率不低于50%；提供感知范围渲染示意图以明确车辆盲区界限。</w:t>
            </w:r>
          </w:p>
        </w:tc>
      </w:tr>
      <w:tr w14:paraId="37E21AC2">
        <w:trPr>
          <w:cantSplit/>
          <w:jc w:val="center"/>
        </w:trPr>
        <w:tc>
          <w:tcPr>
            <w:tcW w:w="606" w:type="dxa"/>
            <w:tcMar>
              <w:top w:w="80" w:type="dxa"/>
              <w:left w:w="80" w:type="dxa"/>
              <w:bottom w:w="80" w:type="dxa"/>
              <w:right w:w="80" w:type="dxa"/>
            </w:tcMar>
            <w:vAlign w:val="center"/>
          </w:tcPr>
          <w:p w14:paraId="2FE08D54">
            <w:pPr>
              <w:spacing w:after="0" w:line="240" w:lineRule="auto"/>
              <w:jc w:val="center"/>
              <w:rPr>
                <w:lang w:eastAsia="zh-CN"/>
              </w:rPr>
            </w:pPr>
            <w:r>
              <w:rPr>
                <w:rFonts w:hint="eastAsia"/>
                <w:sz w:val="21"/>
                <w:lang w:eastAsia="zh-CN"/>
              </w:rPr>
              <w:t>8</w:t>
            </w:r>
          </w:p>
        </w:tc>
        <w:tc>
          <w:tcPr>
            <w:tcW w:w="1694" w:type="dxa"/>
            <w:tcMar>
              <w:top w:w="80" w:type="dxa"/>
              <w:left w:w="80" w:type="dxa"/>
              <w:bottom w:w="80" w:type="dxa"/>
              <w:right w:w="80" w:type="dxa"/>
            </w:tcMar>
            <w:vAlign w:val="center"/>
          </w:tcPr>
          <w:p w14:paraId="549A9F77">
            <w:pPr>
              <w:spacing w:after="0" w:line="240" w:lineRule="auto"/>
              <w:jc w:val="center"/>
            </w:pPr>
            <w:r>
              <w:rPr>
                <w:sz w:val="21"/>
              </w:rPr>
              <w:t>局部避障</w:t>
            </w:r>
          </w:p>
        </w:tc>
        <w:tc>
          <w:tcPr>
            <w:tcW w:w="6648" w:type="dxa"/>
            <w:tcMar>
              <w:top w:w="80" w:type="dxa"/>
              <w:left w:w="80" w:type="dxa"/>
              <w:bottom w:w="80" w:type="dxa"/>
              <w:right w:w="80" w:type="dxa"/>
            </w:tcMar>
            <w:vAlign w:val="center"/>
          </w:tcPr>
          <w:p w14:paraId="4AE46ACD">
            <w:pPr>
              <w:spacing w:after="0" w:line="240" w:lineRule="auto"/>
            </w:pPr>
            <w:r>
              <w:rPr>
                <w:sz w:val="21"/>
              </w:rPr>
              <w:t>支持绕障、停</w:t>
            </w:r>
            <w:bookmarkStart w:id="0" w:name="_GoBack"/>
            <w:bookmarkEnd w:id="0"/>
            <w:r>
              <w:rPr>
                <w:sz w:val="21"/>
              </w:rPr>
              <w:t>障和按任务授权通行等避障策略，能够对静态或动态障碍物进行检测和安全处置；避障模式、速度及安全距离应可配置。</w:t>
            </w:r>
          </w:p>
        </w:tc>
      </w:tr>
      <w:tr w14:paraId="221E4D9E">
        <w:trPr>
          <w:cantSplit/>
          <w:jc w:val="center"/>
        </w:trPr>
        <w:tc>
          <w:tcPr>
            <w:tcW w:w="606" w:type="dxa"/>
            <w:tcMar>
              <w:top w:w="80" w:type="dxa"/>
              <w:left w:w="80" w:type="dxa"/>
              <w:bottom w:w="80" w:type="dxa"/>
              <w:right w:w="80" w:type="dxa"/>
            </w:tcMar>
            <w:vAlign w:val="center"/>
          </w:tcPr>
          <w:p w14:paraId="7829479C">
            <w:pPr>
              <w:spacing w:after="0" w:line="240" w:lineRule="auto"/>
              <w:jc w:val="center"/>
              <w:rPr>
                <w:lang w:eastAsia="zh-CN"/>
              </w:rPr>
            </w:pPr>
            <w:r>
              <w:rPr>
                <w:rFonts w:hint="eastAsia"/>
                <w:sz w:val="21"/>
                <w:lang w:eastAsia="zh-CN"/>
              </w:rPr>
              <w:t>9</w:t>
            </w:r>
          </w:p>
        </w:tc>
        <w:tc>
          <w:tcPr>
            <w:tcW w:w="1694" w:type="dxa"/>
            <w:tcMar>
              <w:top w:w="80" w:type="dxa"/>
              <w:left w:w="80" w:type="dxa"/>
              <w:bottom w:w="80" w:type="dxa"/>
              <w:right w:w="80" w:type="dxa"/>
            </w:tcMar>
            <w:vAlign w:val="center"/>
          </w:tcPr>
          <w:p w14:paraId="62AD2248">
            <w:pPr>
              <w:spacing w:after="0" w:line="240" w:lineRule="auto"/>
              <w:jc w:val="center"/>
            </w:pPr>
            <w:r>
              <w:rPr>
                <w:sz w:val="21"/>
              </w:rPr>
              <w:t>整车运动控制</w:t>
            </w:r>
          </w:p>
        </w:tc>
        <w:tc>
          <w:tcPr>
            <w:tcW w:w="6648" w:type="dxa"/>
            <w:tcMar>
              <w:top w:w="80" w:type="dxa"/>
              <w:left w:w="80" w:type="dxa"/>
              <w:bottom w:w="80" w:type="dxa"/>
              <w:right w:w="80" w:type="dxa"/>
            </w:tcMar>
            <w:vAlign w:val="center"/>
          </w:tcPr>
          <w:p w14:paraId="270912AD">
            <w:pPr>
              <w:spacing w:after="0" w:line="240" w:lineRule="auto"/>
            </w:pPr>
            <w:r>
              <w:rPr>
                <w:sz w:val="21"/>
              </w:rPr>
              <w:t>能够将规划结果转换为底盘可执行的速度、转向和制动指令，支持低速稳定跟踪、转弯减速、到点停车及异常停车；控制输出应与底盘状态形成闭环，定位与运动控制输出频率不低于20Hz。</w:t>
            </w:r>
          </w:p>
        </w:tc>
      </w:tr>
      <w:tr w14:paraId="0BC88056">
        <w:trPr>
          <w:cantSplit/>
          <w:jc w:val="center"/>
        </w:trPr>
        <w:tc>
          <w:tcPr>
            <w:tcW w:w="606" w:type="dxa"/>
            <w:tcMar>
              <w:top w:w="80" w:type="dxa"/>
              <w:left w:w="80" w:type="dxa"/>
              <w:bottom w:w="80" w:type="dxa"/>
              <w:right w:w="80" w:type="dxa"/>
            </w:tcMar>
            <w:vAlign w:val="center"/>
          </w:tcPr>
          <w:p w14:paraId="7F9466E8">
            <w:pPr>
              <w:spacing w:after="0" w:line="240" w:lineRule="auto"/>
              <w:jc w:val="center"/>
              <w:rPr>
                <w:lang w:eastAsia="zh-CN"/>
              </w:rPr>
            </w:pPr>
            <w:r>
              <w:rPr>
                <w:rFonts w:hint="eastAsia"/>
                <w:sz w:val="21"/>
                <w:lang w:eastAsia="zh-CN"/>
              </w:rPr>
              <w:t>10</w:t>
            </w:r>
          </w:p>
        </w:tc>
        <w:tc>
          <w:tcPr>
            <w:tcW w:w="1694" w:type="dxa"/>
            <w:tcMar>
              <w:top w:w="80" w:type="dxa"/>
              <w:left w:w="80" w:type="dxa"/>
              <w:bottom w:w="80" w:type="dxa"/>
              <w:right w:w="80" w:type="dxa"/>
            </w:tcMar>
            <w:vAlign w:val="center"/>
          </w:tcPr>
          <w:p w14:paraId="7B3CE18A">
            <w:pPr>
              <w:spacing w:after="0" w:line="240" w:lineRule="auto"/>
              <w:jc w:val="center"/>
            </w:pPr>
            <w:r>
              <w:rPr>
                <w:sz w:val="21"/>
              </w:rPr>
              <w:t>人工接管</w:t>
            </w:r>
          </w:p>
        </w:tc>
        <w:tc>
          <w:tcPr>
            <w:tcW w:w="6648" w:type="dxa"/>
            <w:tcMar>
              <w:top w:w="80" w:type="dxa"/>
              <w:left w:w="80" w:type="dxa"/>
              <w:bottom w:w="80" w:type="dxa"/>
              <w:right w:w="80" w:type="dxa"/>
            </w:tcMar>
            <w:vAlign w:val="center"/>
          </w:tcPr>
          <w:p w14:paraId="69A576B9">
            <w:pPr>
              <w:spacing w:after="0" w:line="240" w:lineRule="auto"/>
            </w:pPr>
            <w:r>
              <w:rPr>
                <w:sz w:val="21"/>
              </w:rPr>
              <w:t>支持通过遥控器、地面站或其他远程终端进行人工接管，具备转向、加速、制动、停车和模式切换能力；在有效通信条件下，控制链路端到端时延原则上不大于300ms，视频回传端到端时延原则上不大于500ms。</w:t>
            </w:r>
          </w:p>
        </w:tc>
      </w:tr>
      <w:tr w14:paraId="74200CC4">
        <w:trPr>
          <w:cantSplit/>
          <w:jc w:val="center"/>
        </w:trPr>
        <w:tc>
          <w:tcPr>
            <w:tcW w:w="606" w:type="dxa"/>
            <w:tcMar>
              <w:top w:w="80" w:type="dxa"/>
              <w:left w:w="80" w:type="dxa"/>
              <w:bottom w:w="80" w:type="dxa"/>
              <w:right w:w="80" w:type="dxa"/>
            </w:tcMar>
            <w:vAlign w:val="center"/>
          </w:tcPr>
          <w:p w14:paraId="25F010A7">
            <w:pPr>
              <w:spacing w:after="0" w:line="240" w:lineRule="auto"/>
              <w:jc w:val="center"/>
              <w:rPr>
                <w:lang w:eastAsia="zh-CN"/>
              </w:rPr>
            </w:pPr>
            <w:r>
              <w:rPr>
                <w:rFonts w:hint="eastAsia"/>
                <w:sz w:val="21"/>
                <w:lang w:eastAsia="zh-CN"/>
              </w:rPr>
              <w:t>11</w:t>
            </w:r>
          </w:p>
        </w:tc>
        <w:tc>
          <w:tcPr>
            <w:tcW w:w="1694" w:type="dxa"/>
            <w:tcMar>
              <w:top w:w="80" w:type="dxa"/>
              <w:left w:w="80" w:type="dxa"/>
              <w:bottom w:w="80" w:type="dxa"/>
              <w:right w:w="80" w:type="dxa"/>
            </w:tcMar>
            <w:vAlign w:val="center"/>
          </w:tcPr>
          <w:p w14:paraId="05BB8CFF">
            <w:pPr>
              <w:spacing w:after="0" w:line="240" w:lineRule="auto"/>
              <w:jc w:val="center"/>
            </w:pPr>
            <w:r>
              <w:rPr>
                <w:sz w:val="21"/>
              </w:rPr>
              <w:t>状态监控与日志</w:t>
            </w:r>
          </w:p>
        </w:tc>
        <w:tc>
          <w:tcPr>
            <w:tcW w:w="6648" w:type="dxa"/>
            <w:tcMar>
              <w:top w:w="80" w:type="dxa"/>
              <w:left w:w="80" w:type="dxa"/>
              <w:bottom w:w="80" w:type="dxa"/>
              <w:right w:w="80" w:type="dxa"/>
            </w:tcMar>
            <w:vAlign w:val="center"/>
          </w:tcPr>
          <w:p w14:paraId="071CBA34">
            <w:pPr>
              <w:spacing w:after="0" w:line="240" w:lineRule="auto"/>
            </w:pPr>
            <w:r>
              <w:rPr>
                <w:sz w:val="21"/>
              </w:rPr>
              <w:t>支持实时查看车辆位置、姿态、速度、电量、控制模式、导航状态、传感器状态、通信状态及故障告警；支持任务、控制、状态、告警和异常日志记录、查询与导出。</w:t>
            </w:r>
          </w:p>
        </w:tc>
      </w:tr>
      <w:tr w14:paraId="7E3BEF82">
        <w:trPr>
          <w:cantSplit/>
          <w:jc w:val="center"/>
        </w:trPr>
        <w:tc>
          <w:tcPr>
            <w:tcW w:w="606" w:type="dxa"/>
            <w:tcMar>
              <w:top w:w="80" w:type="dxa"/>
              <w:left w:w="80" w:type="dxa"/>
              <w:bottom w:w="80" w:type="dxa"/>
              <w:right w:w="80" w:type="dxa"/>
            </w:tcMar>
            <w:vAlign w:val="center"/>
          </w:tcPr>
          <w:p w14:paraId="0C96BE08">
            <w:pPr>
              <w:spacing w:after="0" w:line="240" w:lineRule="auto"/>
              <w:jc w:val="center"/>
              <w:rPr>
                <w:lang w:eastAsia="zh-CN"/>
              </w:rPr>
            </w:pPr>
            <w:r>
              <w:rPr>
                <w:rFonts w:hint="eastAsia"/>
                <w:sz w:val="21"/>
                <w:lang w:eastAsia="zh-CN"/>
              </w:rPr>
              <w:t>12</w:t>
            </w:r>
          </w:p>
        </w:tc>
        <w:tc>
          <w:tcPr>
            <w:tcW w:w="1694" w:type="dxa"/>
            <w:tcMar>
              <w:top w:w="80" w:type="dxa"/>
              <w:left w:w="80" w:type="dxa"/>
              <w:bottom w:w="80" w:type="dxa"/>
              <w:right w:w="80" w:type="dxa"/>
            </w:tcMar>
            <w:vAlign w:val="center"/>
          </w:tcPr>
          <w:p w14:paraId="0E04F214">
            <w:pPr>
              <w:spacing w:after="0" w:line="240" w:lineRule="auto"/>
              <w:jc w:val="center"/>
            </w:pPr>
            <w:r>
              <w:rPr>
                <w:sz w:val="21"/>
              </w:rPr>
              <w:t>多节点巡逻预警</w:t>
            </w:r>
          </w:p>
        </w:tc>
        <w:tc>
          <w:tcPr>
            <w:tcW w:w="6648" w:type="dxa"/>
            <w:tcMar>
              <w:top w:w="80" w:type="dxa"/>
              <w:left w:w="80" w:type="dxa"/>
              <w:bottom w:w="80" w:type="dxa"/>
              <w:right w:w="80" w:type="dxa"/>
            </w:tcMar>
            <w:vAlign w:val="center"/>
          </w:tcPr>
          <w:p w14:paraId="6EC7B371">
            <w:pPr>
              <w:spacing w:after="0" w:line="240" w:lineRule="auto"/>
            </w:pPr>
            <w:r>
              <w:rPr>
                <w:sz w:val="21"/>
              </w:rPr>
              <w:t>支持无人车、固定或移动监测节点及远程管控端的统一接入、任务配置、状态监控、告警汇聚和事件记录；支持巡逻路线、巡逻区域、重点点位及预警规则配置。</w:t>
            </w:r>
          </w:p>
        </w:tc>
      </w:tr>
      <w:tr w14:paraId="6D0383A5">
        <w:trPr>
          <w:cantSplit/>
          <w:jc w:val="center"/>
        </w:trPr>
        <w:tc>
          <w:tcPr>
            <w:tcW w:w="606" w:type="dxa"/>
            <w:tcMar>
              <w:top w:w="80" w:type="dxa"/>
              <w:left w:w="80" w:type="dxa"/>
              <w:bottom w:w="80" w:type="dxa"/>
              <w:right w:w="80" w:type="dxa"/>
            </w:tcMar>
            <w:vAlign w:val="center"/>
          </w:tcPr>
          <w:p w14:paraId="5C6038FF">
            <w:pPr>
              <w:spacing w:after="0" w:line="240" w:lineRule="auto"/>
              <w:jc w:val="center"/>
              <w:rPr>
                <w:lang w:eastAsia="zh-CN"/>
              </w:rPr>
            </w:pPr>
            <w:r>
              <w:rPr>
                <w:rFonts w:hint="eastAsia"/>
                <w:sz w:val="21"/>
                <w:lang w:eastAsia="zh-CN"/>
              </w:rPr>
              <w:t>13</w:t>
            </w:r>
          </w:p>
        </w:tc>
        <w:tc>
          <w:tcPr>
            <w:tcW w:w="1694" w:type="dxa"/>
            <w:tcMar>
              <w:top w:w="80" w:type="dxa"/>
              <w:left w:w="80" w:type="dxa"/>
              <w:bottom w:w="80" w:type="dxa"/>
              <w:right w:w="80" w:type="dxa"/>
            </w:tcMar>
            <w:vAlign w:val="center"/>
          </w:tcPr>
          <w:p w14:paraId="727788B1">
            <w:pPr>
              <w:spacing w:after="0" w:line="240" w:lineRule="auto"/>
              <w:jc w:val="center"/>
            </w:pPr>
            <w:r>
              <w:rPr>
                <w:sz w:val="21"/>
              </w:rPr>
              <w:t>协同作业</w:t>
            </w:r>
          </w:p>
        </w:tc>
        <w:tc>
          <w:tcPr>
            <w:tcW w:w="6648" w:type="dxa"/>
            <w:tcMar>
              <w:top w:w="80" w:type="dxa"/>
              <w:left w:w="80" w:type="dxa"/>
              <w:bottom w:w="80" w:type="dxa"/>
              <w:right w:w="80" w:type="dxa"/>
            </w:tcMar>
            <w:vAlign w:val="center"/>
          </w:tcPr>
          <w:p w14:paraId="6EC3EA61">
            <w:pPr>
              <w:spacing w:after="0" w:line="240" w:lineRule="auto"/>
            </w:pPr>
            <w:r>
              <w:rPr>
                <w:sz w:val="21"/>
              </w:rPr>
              <w:t>支持任务下发、路径或点位协同、状态同步、告警联动、任务暂停与恢复等能力；至少完成单车与多节点巡逻预警系统的协同作业验证，并具备后续扩展多车接入的接口能力。</w:t>
            </w:r>
          </w:p>
        </w:tc>
      </w:tr>
      <w:tr w14:paraId="0C2ED8D3">
        <w:trPr>
          <w:cantSplit/>
          <w:jc w:val="center"/>
        </w:trPr>
        <w:tc>
          <w:tcPr>
            <w:tcW w:w="606" w:type="dxa"/>
            <w:tcMar>
              <w:top w:w="80" w:type="dxa"/>
              <w:left w:w="80" w:type="dxa"/>
              <w:bottom w:w="80" w:type="dxa"/>
              <w:right w:w="80" w:type="dxa"/>
            </w:tcMar>
            <w:vAlign w:val="center"/>
          </w:tcPr>
          <w:p w14:paraId="3ADE4D40">
            <w:pPr>
              <w:spacing w:after="0" w:line="240" w:lineRule="auto"/>
              <w:jc w:val="center"/>
              <w:rPr>
                <w:lang w:eastAsia="zh-CN"/>
              </w:rPr>
            </w:pPr>
            <w:r>
              <w:rPr>
                <w:rFonts w:hint="eastAsia"/>
                <w:sz w:val="21"/>
                <w:lang w:eastAsia="zh-CN"/>
              </w:rPr>
              <w:t>14</w:t>
            </w:r>
          </w:p>
        </w:tc>
        <w:tc>
          <w:tcPr>
            <w:tcW w:w="1694" w:type="dxa"/>
            <w:tcMar>
              <w:top w:w="80" w:type="dxa"/>
              <w:left w:w="80" w:type="dxa"/>
              <w:bottom w:w="80" w:type="dxa"/>
              <w:right w:w="80" w:type="dxa"/>
            </w:tcMar>
            <w:vAlign w:val="center"/>
          </w:tcPr>
          <w:p w14:paraId="7D4650E9">
            <w:pPr>
              <w:spacing w:after="0" w:line="240" w:lineRule="auto"/>
              <w:jc w:val="center"/>
            </w:pPr>
            <w:r>
              <w:rPr>
                <w:sz w:val="21"/>
              </w:rPr>
              <w:t>系统安全与权限</w:t>
            </w:r>
          </w:p>
        </w:tc>
        <w:tc>
          <w:tcPr>
            <w:tcW w:w="6648" w:type="dxa"/>
            <w:tcMar>
              <w:top w:w="80" w:type="dxa"/>
              <w:left w:w="80" w:type="dxa"/>
              <w:bottom w:w="80" w:type="dxa"/>
              <w:right w:w="80" w:type="dxa"/>
            </w:tcMar>
            <w:vAlign w:val="center"/>
          </w:tcPr>
          <w:p w14:paraId="0D9AF17C">
            <w:pPr>
              <w:spacing w:after="0" w:line="240" w:lineRule="auto"/>
            </w:pPr>
            <w:r>
              <w:rPr>
                <w:sz w:val="21"/>
              </w:rPr>
              <w:t>支持分级权限、操作记录和关键控制指令校验；人工急停和人工接管具有最高控制优先级。系统不得保留未披露账号、后门或未经授权的数据外传功能。</w:t>
            </w:r>
          </w:p>
        </w:tc>
      </w:tr>
      <w:tr w14:paraId="11E16F35">
        <w:trPr>
          <w:cantSplit/>
          <w:jc w:val="center"/>
        </w:trPr>
        <w:tc>
          <w:tcPr>
            <w:tcW w:w="606" w:type="dxa"/>
            <w:tcMar>
              <w:top w:w="80" w:type="dxa"/>
              <w:left w:w="80" w:type="dxa"/>
              <w:bottom w:w="80" w:type="dxa"/>
              <w:right w:w="80" w:type="dxa"/>
            </w:tcMar>
            <w:vAlign w:val="center"/>
          </w:tcPr>
          <w:p w14:paraId="7C40C1A8">
            <w:pPr>
              <w:spacing w:after="0" w:line="240" w:lineRule="auto"/>
              <w:jc w:val="center"/>
              <w:rPr>
                <w:lang w:eastAsia="zh-CN"/>
              </w:rPr>
            </w:pPr>
            <w:r>
              <w:rPr>
                <w:rFonts w:hint="eastAsia"/>
                <w:sz w:val="21"/>
                <w:lang w:eastAsia="zh-CN"/>
              </w:rPr>
              <w:t>15</w:t>
            </w:r>
          </w:p>
        </w:tc>
        <w:tc>
          <w:tcPr>
            <w:tcW w:w="1694" w:type="dxa"/>
            <w:tcMar>
              <w:top w:w="80" w:type="dxa"/>
              <w:left w:w="80" w:type="dxa"/>
              <w:bottom w:w="80" w:type="dxa"/>
              <w:right w:w="80" w:type="dxa"/>
            </w:tcMar>
            <w:vAlign w:val="center"/>
          </w:tcPr>
          <w:p w14:paraId="5B525446">
            <w:pPr>
              <w:spacing w:after="0" w:line="240" w:lineRule="auto"/>
              <w:jc w:val="center"/>
            </w:pPr>
            <w:r>
              <w:rPr>
                <w:sz w:val="21"/>
              </w:rPr>
              <w:t>二次开发接口</w:t>
            </w:r>
          </w:p>
        </w:tc>
        <w:tc>
          <w:tcPr>
            <w:tcW w:w="6648" w:type="dxa"/>
            <w:tcMar>
              <w:top w:w="80" w:type="dxa"/>
              <w:left w:w="80" w:type="dxa"/>
              <w:bottom w:w="80" w:type="dxa"/>
              <w:right w:w="80" w:type="dxa"/>
            </w:tcMar>
            <w:vAlign w:val="center"/>
          </w:tcPr>
          <w:p w14:paraId="0077E038">
            <w:pPr>
              <w:spacing w:after="0" w:line="240" w:lineRule="auto"/>
            </w:pPr>
            <w:r>
              <w:rPr>
                <w:sz w:val="21"/>
              </w:rPr>
              <w:t>提供基于ROS/ROS 2、MQTT或等效开放协议的二次开发接口，支持车辆状态、定位、</w:t>
            </w:r>
            <w:r>
              <w:rPr>
                <w:rFonts w:hint="eastAsia"/>
                <w:sz w:val="21"/>
              </w:rPr>
              <w:t>地图、路径、</w:t>
            </w:r>
            <w:r>
              <w:rPr>
                <w:sz w:val="21"/>
              </w:rPr>
              <w:t>任务、告警、控制和日志数据交互；应提供接口文档、消息格式、字段含义、版本号、异常码、兼容策略及调用示例。</w:t>
            </w:r>
          </w:p>
        </w:tc>
      </w:tr>
      <w:tr w14:paraId="28D45DF7">
        <w:trPr>
          <w:cantSplit/>
          <w:jc w:val="center"/>
        </w:trPr>
        <w:tc>
          <w:tcPr>
            <w:tcW w:w="606" w:type="dxa"/>
            <w:tcMar>
              <w:top w:w="80" w:type="dxa"/>
              <w:left w:w="80" w:type="dxa"/>
              <w:bottom w:w="80" w:type="dxa"/>
              <w:right w:w="80" w:type="dxa"/>
            </w:tcMar>
            <w:vAlign w:val="center"/>
          </w:tcPr>
          <w:p w14:paraId="1073F3D6">
            <w:pPr>
              <w:spacing w:after="0" w:line="240" w:lineRule="auto"/>
              <w:jc w:val="center"/>
              <w:rPr>
                <w:lang w:eastAsia="zh-CN"/>
              </w:rPr>
            </w:pPr>
            <w:r>
              <w:rPr>
                <w:rFonts w:hint="eastAsia"/>
                <w:sz w:val="21"/>
                <w:lang w:eastAsia="zh-CN"/>
              </w:rPr>
              <w:t>16</w:t>
            </w:r>
          </w:p>
        </w:tc>
        <w:tc>
          <w:tcPr>
            <w:tcW w:w="1694" w:type="dxa"/>
            <w:tcMar>
              <w:top w:w="80" w:type="dxa"/>
              <w:left w:w="80" w:type="dxa"/>
              <w:bottom w:w="80" w:type="dxa"/>
              <w:right w:w="80" w:type="dxa"/>
            </w:tcMar>
            <w:vAlign w:val="center"/>
          </w:tcPr>
          <w:p w14:paraId="4B5E24D5">
            <w:pPr>
              <w:spacing w:after="0" w:line="240" w:lineRule="auto"/>
              <w:jc w:val="center"/>
            </w:pPr>
            <w:r>
              <w:rPr>
                <w:sz w:val="21"/>
              </w:rPr>
              <w:t>部署场景</w:t>
            </w:r>
          </w:p>
        </w:tc>
        <w:tc>
          <w:tcPr>
            <w:tcW w:w="6648" w:type="dxa"/>
            <w:tcMar>
              <w:top w:w="80" w:type="dxa"/>
              <w:left w:w="80" w:type="dxa"/>
              <w:bottom w:w="80" w:type="dxa"/>
              <w:right w:w="80" w:type="dxa"/>
            </w:tcMar>
            <w:vAlign w:val="center"/>
          </w:tcPr>
          <w:p w14:paraId="75B7D787">
            <w:pPr>
              <w:spacing w:after="0" w:line="240" w:lineRule="auto"/>
            </w:pPr>
            <w:r>
              <w:rPr>
                <w:sz w:val="21"/>
              </w:rPr>
              <w:t>适用于矿区、林区防火、园区周界等复杂道路和开放区域，能够在卫星信号良好、弱化或局部缺失等典型条件下，按照系统配置完成定位导航或安全降级。</w:t>
            </w:r>
          </w:p>
        </w:tc>
      </w:tr>
      <w:tr w14:paraId="06A1EEEB">
        <w:trPr>
          <w:cantSplit/>
          <w:jc w:val="center"/>
        </w:trPr>
        <w:tc>
          <w:tcPr>
            <w:tcW w:w="606" w:type="dxa"/>
            <w:tcMar>
              <w:top w:w="80" w:type="dxa"/>
              <w:left w:w="80" w:type="dxa"/>
              <w:bottom w:w="80" w:type="dxa"/>
              <w:right w:w="80" w:type="dxa"/>
            </w:tcMar>
            <w:vAlign w:val="center"/>
          </w:tcPr>
          <w:p w14:paraId="352E336F">
            <w:pPr>
              <w:spacing w:after="0" w:line="240" w:lineRule="auto"/>
              <w:jc w:val="center"/>
              <w:rPr>
                <w:sz w:val="21"/>
                <w:lang w:eastAsia="zh-CN"/>
              </w:rPr>
            </w:pPr>
            <w:r>
              <w:rPr>
                <w:rFonts w:cs="Times New Roman"/>
                <w:sz w:val="21"/>
              </w:rPr>
              <w:t>1</w:t>
            </w:r>
            <w:r>
              <w:rPr>
                <w:rFonts w:hint="eastAsia" w:cs="Times New Roman"/>
                <w:sz w:val="21"/>
                <w:lang w:eastAsia="zh-CN"/>
              </w:rPr>
              <w:t>7</w:t>
            </w:r>
          </w:p>
        </w:tc>
        <w:tc>
          <w:tcPr>
            <w:tcW w:w="1694" w:type="dxa"/>
            <w:tcMar>
              <w:top w:w="80" w:type="dxa"/>
              <w:left w:w="80" w:type="dxa"/>
              <w:bottom w:w="80" w:type="dxa"/>
              <w:right w:w="80" w:type="dxa"/>
            </w:tcMar>
            <w:vAlign w:val="center"/>
          </w:tcPr>
          <w:p w14:paraId="487805DC">
            <w:pPr>
              <w:spacing w:after="0" w:line="240" w:lineRule="auto"/>
              <w:jc w:val="center"/>
              <w:rPr>
                <w:sz w:val="21"/>
              </w:rPr>
            </w:pPr>
            <w:r>
              <w:rPr>
                <w:rFonts w:cs="Times New Roman"/>
                <w:sz w:val="21"/>
              </w:rPr>
              <w:t>远程升级</w:t>
            </w:r>
          </w:p>
        </w:tc>
        <w:tc>
          <w:tcPr>
            <w:tcW w:w="6648" w:type="dxa"/>
            <w:tcMar>
              <w:top w:w="80" w:type="dxa"/>
              <w:left w:w="80" w:type="dxa"/>
              <w:bottom w:w="80" w:type="dxa"/>
              <w:right w:w="80" w:type="dxa"/>
            </w:tcMar>
            <w:vAlign w:val="center"/>
          </w:tcPr>
          <w:p w14:paraId="3F85AF46">
            <w:pPr>
              <w:spacing w:after="0" w:line="240" w:lineRule="auto"/>
              <w:rPr>
                <w:sz w:val="21"/>
              </w:rPr>
            </w:pPr>
            <w:r>
              <w:rPr>
                <w:rFonts w:cs="Times New Roman"/>
                <w:sz w:val="21"/>
              </w:rPr>
              <w:t>支持升级包和版本管理、任务下发、前置条件校验、下载进度、文件完整性校验、暂停重试、断点续传、安装生效、结果回执及失败回退；升级过程应可查询、可审计。</w:t>
            </w:r>
          </w:p>
        </w:tc>
      </w:tr>
    </w:tbl>
    <w:p w14:paraId="1A9421D2">
      <w:pPr>
        <w:keepNext/>
        <w:spacing w:before="120" w:after="40" w:line="360" w:lineRule="auto"/>
      </w:pPr>
      <w:r>
        <w:rPr>
          <w:rFonts w:eastAsia="黑体"/>
          <w:b/>
        </w:rPr>
        <w:t>（四）整车电气、安装与工程化要求</w:t>
      </w:r>
    </w:p>
    <w:tbl>
      <w:tblPr>
        <w:tblStyle w:val="3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6"/>
        <w:gridCol w:w="1726"/>
        <w:gridCol w:w="6776"/>
      </w:tblGrid>
      <w:tr w14:paraId="4E1C1A86">
        <w:trPr>
          <w:cantSplit/>
          <w:tblHeader/>
          <w:jc w:val="center"/>
        </w:trPr>
        <w:tc>
          <w:tcPr>
            <w:tcW w:w="623" w:type="dxa"/>
            <w:tcMar>
              <w:top w:w="80" w:type="dxa"/>
              <w:left w:w="80" w:type="dxa"/>
              <w:bottom w:w="80" w:type="dxa"/>
              <w:right w:w="80" w:type="dxa"/>
            </w:tcMar>
            <w:vAlign w:val="center"/>
          </w:tcPr>
          <w:p w14:paraId="3FE23BA6">
            <w:pPr>
              <w:spacing w:after="0" w:line="240" w:lineRule="auto"/>
              <w:jc w:val="center"/>
            </w:pPr>
            <w:r>
              <w:rPr>
                <w:rFonts w:eastAsia="黑体"/>
                <w:b/>
                <w:sz w:val="21"/>
              </w:rPr>
              <w:t>序号</w:t>
            </w:r>
          </w:p>
        </w:tc>
        <w:tc>
          <w:tcPr>
            <w:tcW w:w="1757" w:type="dxa"/>
            <w:tcMar>
              <w:top w:w="80" w:type="dxa"/>
              <w:left w:w="80" w:type="dxa"/>
              <w:bottom w:w="80" w:type="dxa"/>
              <w:right w:w="80" w:type="dxa"/>
            </w:tcMar>
            <w:vAlign w:val="center"/>
          </w:tcPr>
          <w:p w14:paraId="65171848">
            <w:pPr>
              <w:spacing w:after="0" w:line="240" w:lineRule="auto"/>
              <w:jc w:val="center"/>
            </w:pPr>
            <w:r>
              <w:rPr>
                <w:rFonts w:eastAsia="黑体"/>
                <w:b/>
                <w:sz w:val="21"/>
              </w:rPr>
              <w:t>项目</w:t>
            </w:r>
          </w:p>
        </w:tc>
        <w:tc>
          <w:tcPr>
            <w:tcW w:w="6917" w:type="dxa"/>
            <w:tcMar>
              <w:top w:w="80" w:type="dxa"/>
              <w:left w:w="80" w:type="dxa"/>
              <w:bottom w:w="80" w:type="dxa"/>
              <w:right w:w="80" w:type="dxa"/>
            </w:tcMar>
            <w:vAlign w:val="center"/>
          </w:tcPr>
          <w:p w14:paraId="420B7F36">
            <w:pPr>
              <w:spacing w:after="0" w:line="240" w:lineRule="auto"/>
              <w:jc w:val="center"/>
            </w:pPr>
            <w:r>
              <w:rPr>
                <w:rFonts w:eastAsia="黑体"/>
                <w:b/>
                <w:sz w:val="21"/>
              </w:rPr>
              <w:t>技术指标与要求</w:t>
            </w:r>
          </w:p>
        </w:tc>
      </w:tr>
      <w:tr w14:paraId="0B803A1C">
        <w:trPr>
          <w:cantSplit/>
          <w:jc w:val="center"/>
        </w:trPr>
        <w:tc>
          <w:tcPr>
            <w:tcW w:w="623" w:type="dxa"/>
            <w:tcMar>
              <w:top w:w="80" w:type="dxa"/>
              <w:left w:w="80" w:type="dxa"/>
              <w:bottom w:w="80" w:type="dxa"/>
              <w:right w:w="80" w:type="dxa"/>
            </w:tcMar>
            <w:vAlign w:val="center"/>
          </w:tcPr>
          <w:p w14:paraId="273273B4">
            <w:pPr>
              <w:spacing w:after="0" w:line="240" w:lineRule="auto"/>
              <w:jc w:val="center"/>
            </w:pPr>
            <w:r>
              <w:rPr>
                <w:sz w:val="21"/>
              </w:rPr>
              <w:t>1</w:t>
            </w:r>
          </w:p>
        </w:tc>
        <w:tc>
          <w:tcPr>
            <w:tcW w:w="1757" w:type="dxa"/>
            <w:tcMar>
              <w:top w:w="80" w:type="dxa"/>
              <w:left w:w="80" w:type="dxa"/>
              <w:bottom w:w="80" w:type="dxa"/>
              <w:right w:w="80" w:type="dxa"/>
            </w:tcMar>
            <w:vAlign w:val="center"/>
          </w:tcPr>
          <w:p w14:paraId="558D7EE1">
            <w:pPr>
              <w:spacing w:after="0" w:line="240" w:lineRule="auto"/>
              <w:jc w:val="center"/>
            </w:pPr>
            <w:r>
              <w:rPr>
                <w:sz w:val="21"/>
              </w:rPr>
              <w:t>电气架构</w:t>
            </w:r>
          </w:p>
        </w:tc>
        <w:tc>
          <w:tcPr>
            <w:tcW w:w="6917" w:type="dxa"/>
            <w:tcMar>
              <w:top w:w="80" w:type="dxa"/>
              <w:left w:w="80" w:type="dxa"/>
              <w:bottom w:w="80" w:type="dxa"/>
              <w:right w:w="80" w:type="dxa"/>
            </w:tcMar>
            <w:vAlign w:val="center"/>
          </w:tcPr>
          <w:p w14:paraId="30496A50">
            <w:pPr>
              <w:spacing w:after="0" w:line="240" w:lineRule="auto"/>
            </w:pPr>
            <w:r>
              <w:rPr>
                <w:sz w:val="21"/>
              </w:rPr>
              <w:t>提供整车高低压电气架构、配电方案、功耗预算、接地与屏蔽方案；关键设备应具备保险、过流、短路、反接、过欠压和浪涌等保护。</w:t>
            </w:r>
          </w:p>
        </w:tc>
      </w:tr>
      <w:tr w14:paraId="3C080FB5">
        <w:trPr>
          <w:cantSplit/>
          <w:jc w:val="center"/>
        </w:trPr>
        <w:tc>
          <w:tcPr>
            <w:tcW w:w="623" w:type="dxa"/>
            <w:tcMar>
              <w:top w:w="80" w:type="dxa"/>
              <w:left w:w="80" w:type="dxa"/>
              <w:bottom w:w="80" w:type="dxa"/>
              <w:right w:w="80" w:type="dxa"/>
            </w:tcMar>
            <w:vAlign w:val="center"/>
          </w:tcPr>
          <w:p w14:paraId="5141FCBE">
            <w:pPr>
              <w:spacing w:after="0" w:line="240" w:lineRule="auto"/>
              <w:jc w:val="center"/>
            </w:pPr>
            <w:r>
              <w:rPr>
                <w:sz w:val="21"/>
              </w:rPr>
              <w:t>2</w:t>
            </w:r>
          </w:p>
        </w:tc>
        <w:tc>
          <w:tcPr>
            <w:tcW w:w="1757" w:type="dxa"/>
            <w:tcMar>
              <w:top w:w="80" w:type="dxa"/>
              <w:left w:w="80" w:type="dxa"/>
              <w:bottom w:w="80" w:type="dxa"/>
              <w:right w:w="80" w:type="dxa"/>
            </w:tcMar>
            <w:vAlign w:val="center"/>
          </w:tcPr>
          <w:p w14:paraId="6B89E42E">
            <w:pPr>
              <w:spacing w:after="0" w:line="240" w:lineRule="auto"/>
              <w:jc w:val="center"/>
            </w:pPr>
            <w:r>
              <w:rPr>
                <w:sz w:val="21"/>
              </w:rPr>
              <w:t>线束与连接器</w:t>
            </w:r>
          </w:p>
        </w:tc>
        <w:tc>
          <w:tcPr>
            <w:tcW w:w="6917" w:type="dxa"/>
            <w:tcMar>
              <w:top w:w="80" w:type="dxa"/>
              <w:left w:w="80" w:type="dxa"/>
              <w:bottom w:w="80" w:type="dxa"/>
              <w:right w:w="80" w:type="dxa"/>
            </w:tcMar>
            <w:vAlign w:val="center"/>
          </w:tcPr>
          <w:p w14:paraId="2403ACC7">
            <w:pPr>
              <w:spacing w:after="0" w:line="240" w:lineRule="auto"/>
            </w:pPr>
            <w:r>
              <w:rPr>
                <w:sz w:val="21"/>
              </w:rPr>
              <w:t>线束应采用车规或工业级线材，布置整齐、固定可靠，避免与运动件、热源和锐边干涉；车外连接器应具备锁止、防松、防水和防错插措施，不得采用临时裸接、随意拼接或胶带缠绕方式交付。</w:t>
            </w:r>
          </w:p>
        </w:tc>
      </w:tr>
      <w:tr w14:paraId="3F907E2A">
        <w:trPr>
          <w:cantSplit/>
          <w:jc w:val="center"/>
        </w:trPr>
        <w:tc>
          <w:tcPr>
            <w:tcW w:w="623" w:type="dxa"/>
            <w:tcMar>
              <w:top w:w="80" w:type="dxa"/>
              <w:left w:w="80" w:type="dxa"/>
              <w:bottom w:w="80" w:type="dxa"/>
              <w:right w:w="80" w:type="dxa"/>
            </w:tcMar>
            <w:vAlign w:val="center"/>
          </w:tcPr>
          <w:p w14:paraId="1C4F5C30">
            <w:pPr>
              <w:spacing w:after="0" w:line="240" w:lineRule="auto"/>
              <w:jc w:val="center"/>
            </w:pPr>
            <w:r>
              <w:rPr>
                <w:sz w:val="21"/>
              </w:rPr>
              <w:t>3</w:t>
            </w:r>
          </w:p>
        </w:tc>
        <w:tc>
          <w:tcPr>
            <w:tcW w:w="1757" w:type="dxa"/>
            <w:tcMar>
              <w:top w:w="80" w:type="dxa"/>
              <w:left w:w="80" w:type="dxa"/>
              <w:bottom w:w="80" w:type="dxa"/>
              <w:right w:w="80" w:type="dxa"/>
            </w:tcMar>
            <w:vAlign w:val="center"/>
          </w:tcPr>
          <w:p w14:paraId="2B905137">
            <w:pPr>
              <w:spacing w:after="0" w:line="240" w:lineRule="auto"/>
              <w:jc w:val="center"/>
            </w:pPr>
            <w:r>
              <w:rPr>
                <w:sz w:val="21"/>
              </w:rPr>
              <w:t>设备安装</w:t>
            </w:r>
          </w:p>
        </w:tc>
        <w:tc>
          <w:tcPr>
            <w:tcW w:w="6917" w:type="dxa"/>
            <w:tcMar>
              <w:top w:w="80" w:type="dxa"/>
              <w:left w:w="80" w:type="dxa"/>
              <w:bottom w:w="80" w:type="dxa"/>
              <w:right w:w="80" w:type="dxa"/>
            </w:tcMar>
            <w:vAlign w:val="center"/>
          </w:tcPr>
          <w:p w14:paraId="5A887229">
            <w:pPr>
              <w:spacing w:after="0" w:line="240" w:lineRule="auto"/>
            </w:pPr>
            <w:r>
              <w:rPr>
                <w:sz w:val="21"/>
              </w:rPr>
              <w:t>传感器、控制器、天线、电池及通信设备安装应牢固，满足视场、散热、减振、防护和维护要求；道路行驶后不得出现松动、磨损、进水、遮挡或标定失效。</w:t>
            </w:r>
          </w:p>
        </w:tc>
      </w:tr>
      <w:tr w14:paraId="1C8E0FB8">
        <w:trPr>
          <w:cantSplit/>
          <w:jc w:val="center"/>
        </w:trPr>
        <w:tc>
          <w:tcPr>
            <w:tcW w:w="623" w:type="dxa"/>
            <w:tcMar>
              <w:top w:w="80" w:type="dxa"/>
              <w:left w:w="80" w:type="dxa"/>
              <w:bottom w:w="80" w:type="dxa"/>
              <w:right w:w="80" w:type="dxa"/>
            </w:tcMar>
            <w:vAlign w:val="center"/>
          </w:tcPr>
          <w:p w14:paraId="2544E0FC">
            <w:pPr>
              <w:spacing w:after="0" w:line="240" w:lineRule="auto"/>
              <w:jc w:val="center"/>
            </w:pPr>
            <w:r>
              <w:rPr>
                <w:sz w:val="21"/>
              </w:rPr>
              <w:t>4</w:t>
            </w:r>
          </w:p>
        </w:tc>
        <w:tc>
          <w:tcPr>
            <w:tcW w:w="1757" w:type="dxa"/>
            <w:tcMar>
              <w:top w:w="80" w:type="dxa"/>
              <w:left w:w="80" w:type="dxa"/>
              <w:bottom w:w="80" w:type="dxa"/>
              <w:right w:w="80" w:type="dxa"/>
            </w:tcMar>
            <w:vAlign w:val="center"/>
          </w:tcPr>
          <w:p w14:paraId="5E77E136">
            <w:pPr>
              <w:spacing w:after="0" w:line="240" w:lineRule="auto"/>
              <w:jc w:val="center"/>
            </w:pPr>
            <w:r>
              <w:rPr>
                <w:sz w:val="21"/>
              </w:rPr>
              <w:t>整车一致性</w:t>
            </w:r>
          </w:p>
        </w:tc>
        <w:tc>
          <w:tcPr>
            <w:tcW w:w="6917" w:type="dxa"/>
            <w:tcMar>
              <w:top w:w="80" w:type="dxa"/>
              <w:left w:w="80" w:type="dxa"/>
              <w:bottom w:w="80" w:type="dxa"/>
              <w:right w:w="80" w:type="dxa"/>
            </w:tcMar>
            <w:vAlign w:val="center"/>
          </w:tcPr>
          <w:p w14:paraId="3807C144">
            <w:pPr>
              <w:spacing w:after="0" w:line="240" w:lineRule="auto"/>
            </w:pPr>
            <w:r>
              <w:rPr>
                <w:sz w:val="21"/>
              </w:rPr>
              <w:t>最终交付的整车配置、硬件型号、软件版本、地图、参数、标定文件、通信协议和技术资料应保持一致；任何替代或变更应经双方书面确认。</w:t>
            </w:r>
          </w:p>
        </w:tc>
      </w:tr>
    </w:tbl>
    <w:p w14:paraId="70E0AEC7">
      <w:pPr>
        <w:keepNext/>
        <w:spacing w:before="120" w:after="40" w:line="360" w:lineRule="auto"/>
      </w:pPr>
      <w:r>
        <w:rPr>
          <w:rFonts w:eastAsia="黑体"/>
          <w:b/>
        </w:rPr>
        <w:t>（五）技术资料要求</w:t>
      </w:r>
    </w:p>
    <w:p w14:paraId="769DF8D5">
      <w:pPr>
        <w:spacing w:after="0" w:line="360" w:lineRule="auto"/>
        <w:jc w:val="both"/>
      </w:pPr>
      <w:r>
        <w:t>1.提供整车总体设计方案、系统架构图、设备布置图、整车外形及安装接口图、节点部署拓扑、协同作业方案、设备清单和软硬件版本清单。</w:t>
      </w:r>
    </w:p>
    <w:p w14:paraId="255FFCFD">
      <w:pPr>
        <w:spacing w:after="0" w:line="360" w:lineRule="auto"/>
        <w:jc w:val="both"/>
      </w:pPr>
      <w:r>
        <w:t>2.提供底盘及整车相关资料，包括产品规格书、使用维护说明书、机械安装与载荷接口说明、电气原理图、配电图、线束图、接口定义、CAN/车载总线协议、故障码、充电说明、保养要求及常见故障清单。</w:t>
      </w:r>
    </w:p>
    <w:p w14:paraId="6E794841">
      <w:pPr>
        <w:spacing w:after="0" w:line="360" w:lineRule="auto"/>
        <w:jc w:val="both"/>
      </w:pPr>
      <w:r>
        <w:t>3.提供自主定位导航系统及多节点巡逻预警系统可执行程序、部署安装包或运行镜像、模型文件、地图文件、配置及标定文件、启动脚本、升级与恢复工具、外部接口定义、通信协议、消息格式、二次开发接口规格、接口调用示例、日志及故障码说明、部署说明和运行维护说明。</w:t>
      </w:r>
    </w:p>
    <w:p w14:paraId="3DD5D75B">
      <w:pPr>
        <w:spacing w:after="0" w:line="360" w:lineRule="auto"/>
        <w:jc w:val="both"/>
      </w:pPr>
      <w:r>
        <w:t>4.提供本项目定制开发部分源代码</w:t>
      </w:r>
      <w:r>
        <w:rPr>
          <w:rFonts w:hint="eastAsia"/>
          <w:lang w:eastAsia="zh-CN"/>
        </w:rPr>
        <w:t>（如果有）</w:t>
      </w:r>
      <w:r>
        <w:t>及构建说明；第三方通用软件或依法受限内容不能提供源代码的，应说明授权边界、运行依赖、版本锁定方式及后续维护保障。除双方另有约定外，应保证甲方具备整车系统独立部署、启动配置、接口调用、故障诊断、联调测试、运行维护及后续二次集成开发能力。</w:t>
      </w:r>
    </w:p>
    <w:p w14:paraId="4FB38DB5">
      <w:pPr>
        <w:spacing w:after="0" w:line="360" w:lineRule="auto"/>
        <w:jc w:val="both"/>
      </w:pPr>
      <w:r>
        <w:t>5.提供整车及系统相关测试资料，包括底盘机动性能、载荷、续航、线控转向、线控制动、急停与故障安全、环境防护、自主建图、组合定位、路径规划、循迹导航、避障、人工接管、多节点巡逻预警、协同作业及连续运行等自测试报告或证明材料。</w:t>
      </w:r>
    </w:p>
    <w:p w14:paraId="365035D1">
      <w:pPr>
        <w:spacing w:after="0" w:line="360" w:lineRule="auto"/>
        <w:jc w:val="both"/>
      </w:pPr>
      <w:r>
        <w:t>6.提供现场安装调试记录、标定记录、问题整改记录、最终交付清单、备品备件清单及培训资料。所有资料应为可编辑、可检索的电子版，并与最终交付实物及软件版本一致。</w:t>
      </w:r>
    </w:p>
    <w:p w14:paraId="3E2D5D54">
      <w:pPr>
        <w:keepNext/>
        <w:spacing w:before="200" w:after="80" w:line="360" w:lineRule="auto"/>
      </w:pPr>
      <w:r>
        <w:rPr>
          <w:rFonts w:eastAsia="黑体"/>
          <w:b/>
          <w:sz w:val="28"/>
        </w:rPr>
        <w:t>四、设备验收</w:t>
      </w:r>
    </w:p>
    <w:p w14:paraId="6D624783">
      <w:pPr>
        <w:keepNext/>
        <w:spacing w:before="120" w:after="40" w:line="360" w:lineRule="auto"/>
      </w:pPr>
      <w:r>
        <w:rPr>
          <w:rFonts w:eastAsia="黑体"/>
          <w:b/>
        </w:rPr>
        <w:t>（一）验收地点</w:t>
      </w:r>
    </w:p>
    <w:p w14:paraId="6E5E7149">
      <w:pPr>
        <w:spacing w:after="0" w:line="360" w:lineRule="auto"/>
        <w:ind w:firstLine="480"/>
        <w:jc w:val="both"/>
      </w:pPr>
      <w:r>
        <w:rPr>
          <w:rFonts w:hint="eastAsia"/>
          <w:lang w:val="en-US" w:eastAsia="zh-CN"/>
        </w:rPr>
        <w:t>买卖双方约定的验收地点。</w:t>
      </w:r>
    </w:p>
    <w:p w14:paraId="382CF1BC">
      <w:pPr>
        <w:keepNext/>
        <w:spacing w:before="120" w:after="40" w:line="360" w:lineRule="auto"/>
      </w:pPr>
      <w:r>
        <w:rPr>
          <w:rFonts w:eastAsia="黑体"/>
          <w:b/>
        </w:rPr>
        <w:t>（二）验收依据</w:t>
      </w:r>
    </w:p>
    <w:p w14:paraId="2F4288A6">
      <w:pPr>
        <w:spacing w:after="0" w:line="360" w:lineRule="auto"/>
        <w:ind w:firstLine="480"/>
        <w:jc w:val="both"/>
      </w:pPr>
      <w:r>
        <w:t>设备验收以本询价要求、报价方响应文件、买卖双方签订的《技术协议》、最终设备清单、接口协议、软件交付清单、测试大纲及双方确认的其他技术资料为依据。</w:t>
      </w:r>
    </w:p>
    <w:p w14:paraId="2681097F">
      <w:pPr>
        <w:keepNext/>
        <w:spacing w:before="120" w:after="40" w:line="360" w:lineRule="auto"/>
      </w:pPr>
      <w:r>
        <w:rPr>
          <w:rFonts w:eastAsia="黑体"/>
          <w:b/>
        </w:rPr>
        <w:t>（三）验收内容与程序</w:t>
      </w:r>
    </w:p>
    <w:p w14:paraId="3F5601A9">
      <w:pPr>
        <w:spacing w:after="0" w:line="360" w:lineRule="auto"/>
        <w:jc w:val="both"/>
      </w:pPr>
      <w:r>
        <w:t>1.到货核查：核查整车、设备、配件、工具、充电设备及备品备件的数量、型号、外观和完整性，确认随附技术资料齐全、无遗漏。</w:t>
      </w:r>
    </w:p>
    <w:p w14:paraId="618A96E5">
      <w:pPr>
        <w:spacing w:after="0" w:line="360" w:lineRule="auto"/>
        <w:jc w:val="both"/>
      </w:pPr>
      <w:r>
        <w:t>2.静态与安装检查：检查整车结构、设备安装、电气配电、线束连接、接地、防护、散热、维护空间及接口预留情况，核对图纸、清单与实物一致性。</w:t>
      </w:r>
    </w:p>
    <w:p w14:paraId="1CCBBB9D">
      <w:pPr>
        <w:spacing w:after="0" w:line="360" w:lineRule="auto"/>
        <w:jc w:val="both"/>
      </w:pPr>
      <w:r>
        <w:t>3.底盘性能测试：验证整车载荷、驱动、最高稳定车速、爬坡、侧坡、离地间隙、越障、转向、制动、驻车、遥控、急停及安全降级等功能和性能。</w:t>
      </w:r>
    </w:p>
    <w:p w14:paraId="4EE94981">
      <w:pPr>
        <w:spacing w:after="0" w:line="360" w:lineRule="auto"/>
        <w:jc w:val="both"/>
      </w:pPr>
      <w:r>
        <w:t>4.自主导航测试：验证三维建图、地图编辑、组合定位、路径录制与编辑、目标点导航、循迹导航、组合任务、局部避障、到点停车、人工接管及异常处理能力。</w:t>
      </w:r>
    </w:p>
    <w:p w14:paraId="66B5C10A">
      <w:pPr>
        <w:spacing w:after="0" w:line="360" w:lineRule="auto"/>
        <w:jc w:val="both"/>
      </w:pPr>
      <w:r>
        <w:t>5.巡逻预警与协同测试：验证任务下发、节点接入、状态同步、告警联动、事件记录、任务暂停恢复和协同作业能力。</w:t>
      </w:r>
    </w:p>
    <w:p w14:paraId="65BB7B0A">
      <w:pPr>
        <w:spacing w:after="0" w:line="360" w:lineRule="auto"/>
        <w:jc w:val="both"/>
      </w:pPr>
      <w:r>
        <w:t>6.接口与资料测试：按照交付资料完成软件部署、系统启动、接口调用、日志查看、故障定位和基础联调，确认甲方具备独立使用和二次集成条件。</w:t>
      </w:r>
    </w:p>
    <w:p w14:paraId="646C29BD">
      <w:pPr>
        <w:spacing w:after="0" w:line="360" w:lineRule="auto"/>
        <w:jc w:val="both"/>
      </w:pPr>
      <w:r>
        <w:t>7.连续运行测试：在双方确认的典型任务和场地条件下开展连续运行，系统不得出现影响任务执行的核心模块崩溃、无告警重启、持续失控、碰撞或数据异常丢失。</w:t>
      </w:r>
    </w:p>
    <w:p w14:paraId="248A2236">
      <w:pPr>
        <w:spacing w:after="0" w:line="360" w:lineRule="auto"/>
        <w:jc w:val="both"/>
        <w:rPr>
          <w:lang w:eastAsia="zh-CN"/>
        </w:rPr>
      </w:pPr>
      <w:r>
        <w:t>8.验收中发现的问题由卖方负责整改并重新测试；全部项目合格后，双方签署验收报告。</w:t>
      </w:r>
    </w:p>
    <w:p w14:paraId="107ED253">
      <w:pPr>
        <w:spacing w:after="0" w:line="360" w:lineRule="auto"/>
        <w:jc w:val="both"/>
        <w:rPr>
          <w:lang w:eastAsia="zh-CN"/>
        </w:rPr>
      </w:pPr>
      <w:r>
        <w:rPr>
          <w:rFonts w:hint="eastAsia"/>
          <w:lang w:eastAsia="zh-CN"/>
        </w:rPr>
        <w:t>以上部分为总体验收方向，具体验收项目以双方约定的测试大纲等文件为准。</w:t>
      </w:r>
    </w:p>
    <w:p w14:paraId="624F3055">
      <w:pPr>
        <w:keepNext/>
        <w:spacing w:before="200" w:after="80" w:line="360" w:lineRule="auto"/>
      </w:pPr>
      <w:r>
        <w:rPr>
          <w:rFonts w:eastAsia="黑体"/>
          <w:b/>
          <w:sz w:val="28"/>
        </w:rPr>
        <w:t>五、运输、安装与调试</w:t>
      </w:r>
    </w:p>
    <w:p w14:paraId="12FE07FF">
      <w:pPr>
        <w:spacing w:after="0" w:line="360" w:lineRule="auto"/>
        <w:jc w:val="both"/>
      </w:pPr>
      <w:r>
        <w:t>1.无论采用何种运输方式，卖方应保证整车及配套货物包装、防护和固定可靠，安全运抵目的地。因包装、防护或运输不当造成的损坏及相关费用由卖方承担。</w:t>
      </w:r>
    </w:p>
    <w:p w14:paraId="36857051">
      <w:pPr>
        <w:spacing w:after="0" w:line="360" w:lineRule="auto"/>
        <w:jc w:val="both"/>
      </w:pPr>
      <w:r>
        <w:t>2.设备到位后，卖方派专人进行开箱和到货检查，买方人员根据装箱单进行验收；如有部件不符、损坏或缺失，由此引起的一切经济损失由卖方承担。</w:t>
      </w:r>
    </w:p>
    <w:p w14:paraId="3832B37C">
      <w:pPr>
        <w:spacing w:after="0" w:line="360" w:lineRule="auto"/>
        <w:jc w:val="both"/>
      </w:pPr>
      <w:r>
        <w:t>3.卖方承担整车及配套设备的现场安装、标定、调试和联调，直至系统进入正常工作状态并具备验收条件。</w:t>
      </w:r>
    </w:p>
    <w:p w14:paraId="0C1C70A5">
      <w:pPr>
        <w:spacing w:after="0" w:line="360" w:lineRule="auto"/>
        <w:jc w:val="both"/>
      </w:pPr>
      <w:r>
        <w:t>4.卖方应对买方人员开展整车操作、自主导航任务配置、遥控与应急处置、日常维护、软件部署、日志查看及常见故障处理培训。</w:t>
      </w:r>
    </w:p>
    <w:p w14:paraId="3A1A2031">
      <w:pPr>
        <w:keepNext/>
        <w:spacing w:before="200" w:after="80" w:line="360" w:lineRule="auto"/>
      </w:pPr>
      <w:r>
        <w:rPr>
          <w:rFonts w:eastAsia="黑体"/>
          <w:b/>
          <w:sz w:val="28"/>
        </w:rPr>
        <w:t>六、付款方式</w:t>
      </w:r>
    </w:p>
    <w:p w14:paraId="46DFA265">
      <w:pPr>
        <w:keepLines/>
        <w:spacing w:after="0" w:line="360" w:lineRule="auto"/>
        <w:ind w:firstLine="480"/>
        <w:jc w:val="both"/>
        <w:rPr>
          <w:rFonts w:cs="Times New Roman"/>
        </w:rPr>
      </w:pPr>
      <w:r>
        <w:rPr>
          <w:rFonts w:cs="Times New Roman"/>
        </w:rPr>
        <w:t>合同采用银行转账方式付款，具体安排如下：合同签订后，买方支付卖方合同总价的60%；卖方完成项目并将全部货物送抵买方，经最终验收合格且开具增值税专用发票后，买方支付卖方合同总价的30%；剩余合同总价的10%，</w:t>
      </w:r>
      <w:r>
        <w:rPr>
          <w:rFonts w:hint="eastAsia" w:cs="Times New Roman"/>
          <w:lang w:val="en-US" w:eastAsia="zh-CN"/>
        </w:rPr>
        <w:t>验收合格</w:t>
      </w:r>
      <w:r>
        <w:rPr>
          <w:rFonts w:cs="Times New Roman"/>
        </w:rPr>
        <w:t>满12个月且无尚未解决的质量问题后支付。</w:t>
      </w:r>
    </w:p>
    <w:p w14:paraId="360FF2D7">
      <w:pPr>
        <w:keepNext/>
        <w:spacing w:before="200" w:after="80" w:line="360" w:lineRule="auto"/>
      </w:pPr>
      <w:r>
        <w:rPr>
          <w:rFonts w:eastAsia="黑体"/>
          <w:b/>
          <w:sz w:val="28"/>
        </w:rPr>
        <w:t>七、售后服务</w:t>
      </w:r>
    </w:p>
    <w:p w14:paraId="1CE3FE32">
      <w:pPr>
        <w:spacing w:after="0" w:line="360" w:lineRule="auto"/>
        <w:jc w:val="both"/>
      </w:pPr>
      <w:r>
        <w:t>报价方须满足以下技术支持与售后服务要求：</w:t>
      </w:r>
    </w:p>
    <w:p w14:paraId="719B80B4">
      <w:pPr>
        <w:spacing w:after="0" w:line="360" w:lineRule="auto"/>
        <w:jc w:val="both"/>
      </w:pPr>
      <w:r>
        <w:t>1.整车及配套软硬件质保期不少于</w:t>
      </w:r>
      <w:r>
        <w:rPr>
          <w:rFonts w:hint="eastAsia"/>
          <w:lang w:eastAsia="zh-CN"/>
        </w:rPr>
        <w:t>12</w:t>
      </w:r>
      <w:r>
        <w:t>个月，自最终验收合格之日起计算。质保期内，除外力磕碰、违规操作等人为因素外，因产品质量造成的系统故障及功能失效，供方提供免费维修、更换零部件、软件修复或现场服务。</w:t>
      </w:r>
    </w:p>
    <w:p w14:paraId="75A57099">
      <w:pPr>
        <w:spacing w:after="0" w:line="360" w:lineRule="auto"/>
        <w:jc w:val="both"/>
      </w:pPr>
      <w:r>
        <w:t>2.出现功能故障后，卖方应在接到通知后12小时内响应，并应在48小时内完成远程处理或到达现场进行处理。</w:t>
      </w:r>
    </w:p>
    <w:p w14:paraId="66DD9D7C">
      <w:pPr>
        <w:spacing w:after="0" w:line="360" w:lineRule="auto"/>
        <w:jc w:val="both"/>
      </w:pPr>
      <w:r>
        <w:t>3.更换部件的保修期自更换之日起延续原有质保期剩余期限；原产品质保期剩余期限不足30天的，统一延长至更换完成后30天。</w:t>
      </w:r>
    </w:p>
    <w:p w14:paraId="5EEF7A48">
      <w:pPr>
        <w:spacing w:after="0" w:line="360" w:lineRule="auto"/>
        <w:jc w:val="both"/>
      </w:pPr>
      <w:r>
        <w:t>4.质保期内，卖方应免费提供缺陷修复、必要的软件升级、参数优化和技术支持；涉及软硬件兼容性或安全性的升级，应同步更新相应资料。</w:t>
      </w:r>
    </w:p>
    <w:p w14:paraId="24330D00">
      <w:pPr>
        <w:spacing w:after="0" w:line="360" w:lineRule="auto"/>
        <w:jc w:val="both"/>
      </w:pPr>
      <w:r>
        <w:t>5.卖方应保证底盘、自主导航系统及整车集成问题由其统一协调处理，不得以分系统供应关系为由推诿整车故障责任。</w:t>
      </w:r>
    </w:p>
    <w:p w14:paraId="5586819B">
      <w:pPr>
        <w:keepNext/>
        <w:spacing w:before="200" w:after="80" w:line="360" w:lineRule="auto"/>
      </w:pPr>
      <w:r>
        <w:rPr>
          <w:rFonts w:eastAsia="黑体"/>
          <w:b/>
          <w:sz w:val="28"/>
        </w:rPr>
        <w:t>八、交货期及交货地点</w:t>
      </w:r>
    </w:p>
    <w:p w14:paraId="2426F186">
      <w:pPr>
        <w:keepNext/>
        <w:spacing w:before="120" w:after="40" w:line="360" w:lineRule="auto"/>
      </w:pPr>
      <w:r>
        <w:rPr>
          <w:rFonts w:eastAsia="黑体"/>
          <w:b/>
        </w:rPr>
        <w:t>（一）交货期</w:t>
      </w:r>
    </w:p>
    <w:p w14:paraId="050C6FD5">
      <w:pPr>
        <w:spacing w:after="0" w:line="360" w:lineRule="auto"/>
        <w:ind w:firstLine="480"/>
        <w:jc w:val="both"/>
      </w:pPr>
      <w:r>
        <w:t>合同生效后30个工作日内完成整车及全部配套内容交付，并达到验收条件。</w:t>
      </w:r>
    </w:p>
    <w:p w14:paraId="492B032A">
      <w:pPr>
        <w:keepNext/>
        <w:spacing w:before="120" w:after="40" w:line="360" w:lineRule="auto"/>
      </w:pPr>
      <w:r>
        <w:rPr>
          <w:rFonts w:eastAsia="黑体"/>
          <w:b/>
        </w:rPr>
        <w:t>（二）交货地点</w:t>
      </w:r>
    </w:p>
    <w:p w14:paraId="1225325C">
      <w:pPr>
        <w:spacing w:after="0" w:line="360" w:lineRule="auto"/>
        <w:ind w:firstLine="480"/>
        <w:jc w:val="both"/>
      </w:pPr>
      <w:r>
        <w:t>中兵智能创新研究院（深圳）有限公司。</w:t>
      </w:r>
    </w:p>
    <w:sectPr>
      <w:footerReference r:id="rId5" w:type="default"/>
      <w:pgSz w:w="11906" w:h="16838"/>
      <w:pgMar w:top="1417" w:right="1474" w:bottom="1417" w:left="1474" w:header="850" w:footer="85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Courier">
    <w:altName w:val="苹方-简"/>
    <w:panose1 w:val="02070409020205020404"/>
    <w:charset w:val="00"/>
    <w:family w:val="auto"/>
    <w:pitch w:val="default"/>
    <w:sig w:usb0="00000000" w:usb1="00000000" w:usb2="00000000" w:usb3="00000000" w:csb0="00000001" w:csb1="00000000"/>
  </w:font>
  <w:font w:name="ＭＳ 明朝">
    <w:altName w:val="Hiragino Sans"/>
    <w:panose1 w:val="00000000000000000000"/>
    <w:charset w:val="86"/>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Kingsoft Sign">
    <w:panose1 w:val="05050102010706020507"/>
    <w:charset w:val="00"/>
    <w:family w:val="auto"/>
    <w:pitch w:val="default"/>
    <w:sig w:usb0="00000000" w:usb1="10000000" w:usb2="00000000" w:usb3="00000000" w:csb0="00000001" w:csb1="00000000"/>
  </w:font>
  <w:font w:name="Cambria">
    <w:altName w:val="苹方-简"/>
    <w:panose1 w:val="02040503050406030204"/>
    <w:charset w:val="00"/>
    <w:family w:val="roman"/>
    <w:pitch w:val="default"/>
    <w:sig w:usb0="00000000" w:usb1="00000000" w:usb2="02000000" w:usb3="00000000" w:csb0="0000019F" w:csb1="00000000"/>
  </w:font>
  <w:font w:name="pingfang sc">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ＭＳ 明朝">
    <w:altName w:val="Hiragino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5C97F">
    <w:pPr>
      <w:pStyle w:val="25"/>
      <w:jc w:val="center"/>
    </w:pPr>
    <w:r>
      <w:rPr>
        <w:sz w:val="21"/>
      </w:rPr>
      <w:t xml:space="preserve">第 </w:t>
    </w:r>
    <w:r>
      <w:fldChar w:fldCharType="begin"/>
    </w:r>
    <w:r>
      <w:instrText xml:space="preserve">PAGE</w:instrText>
    </w:r>
    <w:r>
      <w:fldChar w:fldCharType="separate"/>
    </w:r>
    <w:r>
      <w:t>1</w:t>
    </w:r>
    <w:r>
      <w:fldChar w:fldCharType="end"/>
    </w:r>
    <w:r>
      <w:rPr>
        <w:sz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0733"/>
    <w:rsid w:val="000F52F3"/>
    <w:rsid w:val="001303EB"/>
    <w:rsid w:val="0015074B"/>
    <w:rsid w:val="002646FC"/>
    <w:rsid w:val="0029639D"/>
    <w:rsid w:val="00326F90"/>
    <w:rsid w:val="00386A0A"/>
    <w:rsid w:val="00386A56"/>
    <w:rsid w:val="004E3567"/>
    <w:rsid w:val="005D40E9"/>
    <w:rsid w:val="00676A13"/>
    <w:rsid w:val="00731AE1"/>
    <w:rsid w:val="007C6CC7"/>
    <w:rsid w:val="007D27DC"/>
    <w:rsid w:val="009409ED"/>
    <w:rsid w:val="00AA1D8D"/>
    <w:rsid w:val="00B32602"/>
    <w:rsid w:val="00B47730"/>
    <w:rsid w:val="00BC521A"/>
    <w:rsid w:val="00BD64D2"/>
    <w:rsid w:val="00CB0664"/>
    <w:rsid w:val="00CC11CA"/>
    <w:rsid w:val="00D02FC2"/>
    <w:rsid w:val="00DB5D62"/>
    <w:rsid w:val="00DF2D29"/>
    <w:rsid w:val="00E1295A"/>
    <w:rsid w:val="00E54196"/>
    <w:rsid w:val="00E6662E"/>
    <w:rsid w:val="00FC693F"/>
    <w:rsid w:val="11817465"/>
    <w:rsid w:val="77393EF7"/>
    <w:rsid w:val="7DA76847"/>
    <w:rsid w:val="BFB6FC18"/>
    <w:rsid w:val="D7FDC754"/>
    <w:rsid w:val="FFAFD7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color w:val="000000"/>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4"/>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5"/>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6"/>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uiPriority w:val="1"/>
  </w:style>
  <w:style w:type="table" w:default="1" w:styleId="35">
    <w:name w:val="Normal Table"/>
    <w:semiHidden/>
    <w:unhideWhenUsed/>
    <w:uiPriority w:val="99"/>
    <w:tblPr>
      <w:tblCellMar>
        <w:top w:w="0" w:type="dxa"/>
        <w:left w:w="108" w:type="dxa"/>
        <w:bottom w:w="0" w:type="dxa"/>
        <w:right w:w="108" w:type="dxa"/>
      </w:tblCellMar>
    </w:tblPr>
  </w:style>
  <w:style w:type="paragraph" w:styleId="2">
    <w:name w:val="macro"/>
    <w:link w:val="151"/>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annotation text"/>
    <w:basedOn w:val="1"/>
    <w:link w:val="169"/>
    <w:semiHidden/>
    <w:unhideWhenUsed/>
    <w:uiPriority w:val="99"/>
  </w:style>
  <w:style w:type="paragraph" w:styleId="18">
    <w:name w:val="Body Text 3"/>
    <w:basedOn w:val="1"/>
    <w:link w:val="150"/>
    <w:unhideWhenUsed/>
    <w:uiPriority w:val="99"/>
    <w:pPr>
      <w:spacing w:after="120"/>
    </w:pPr>
    <w:rPr>
      <w:sz w:val="16"/>
      <w:szCs w:val="16"/>
    </w:rPr>
  </w:style>
  <w:style w:type="paragraph" w:styleId="19">
    <w:name w:val="List Bullet 3"/>
    <w:basedOn w:val="1"/>
    <w:unhideWhenUsed/>
    <w:uiPriority w:val="99"/>
    <w:pPr>
      <w:numPr>
        <w:ilvl w:val="0"/>
        <w:numId w:val="4"/>
      </w:numPr>
      <w:contextualSpacing/>
    </w:pPr>
  </w:style>
  <w:style w:type="paragraph" w:styleId="20">
    <w:name w:val="Body Text"/>
    <w:basedOn w:val="1"/>
    <w:link w:val="148"/>
    <w:unhideWhenUsed/>
    <w:uiPriority w:val="99"/>
    <w:pPr>
      <w:spacing w:after="120"/>
    </w:pPr>
  </w:style>
  <w:style w:type="paragraph" w:styleId="21">
    <w:name w:val="List Number 3"/>
    <w:basedOn w:val="1"/>
    <w:unhideWhenUsed/>
    <w:uiPriority w:val="99"/>
    <w:pPr>
      <w:numPr>
        <w:ilvl w:val="0"/>
        <w:numId w:val="5"/>
      </w:numPr>
      <w:contextualSpacing/>
    </w:pPr>
  </w:style>
  <w:style w:type="paragraph" w:styleId="22">
    <w:name w:val="List 2"/>
    <w:basedOn w:val="1"/>
    <w:unhideWhenUsed/>
    <w:uiPriority w:val="99"/>
    <w:pPr>
      <w:ind w:left="720" w:hanging="360"/>
      <w:contextualSpacing/>
    </w:pPr>
  </w:style>
  <w:style w:type="paragraph" w:styleId="23">
    <w:name w:val="List Continue"/>
    <w:basedOn w:val="1"/>
    <w:unhideWhenUsed/>
    <w:uiPriority w:val="99"/>
    <w:pPr>
      <w:spacing w:after="120"/>
      <w:ind w:left="360"/>
      <w:contextualSpacing/>
    </w:pPr>
  </w:style>
  <w:style w:type="paragraph" w:styleId="24">
    <w:name w:val="List Bullet 2"/>
    <w:basedOn w:val="1"/>
    <w:unhideWhenUsed/>
    <w:uiPriority w:val="99"/>
    <w:pPr>
      <w:numPr>
        <w:ilvl w:val="0"/>
        <w:numId w:val="6"/>
      </w:numPr>
      <w:contextualSpacing/>
    </w:pPr>
  </w:style>
  <w:style w:type="paragraph" w:styleId="25">
    <w:name w:val="footer"/>
    <w:basedOn w:val="1"/>
    <w:link w:val="142"/>
    <w:unhideWhenUsed/>
    <w:uiPriority w:val="99"/>
    <w:pPr>
      <w:tabs>
        <w:tab w:val="center" w:pos="4680"/>
        <w:tab w:val="right" w:pos="9360"/>
      </w:tabs>
      <w:spacing w:after="0" w:line="240" w:lineRule="auto"/>
    </w:pPr>
  </w:style>
  <w:style w:type="paragraph" w:styleId="26">
    <w:name w:val="header"/>
    <w:basedOn w:val="1"/>
    <w:link w:val="141"/>
    <w:unhideWhenUsed/>
    <w:uiPriority w:val="99"/>
    <w:pPr>
      <w:tabs>
        <w:tab w:val="center" w:pos="4680"/>
        <w:tab w:val="right" w:pos="9360"/>
      </w:tabs>
      <w:spacing w:after="0" w:line="240" w:lineRule="auto"/>
    </w:pPr>
  </w:style>
  <w:style w:type="paragraph" w:styleId="27">
    <w:name w:val="Subtitle"/>
    <w:basedOn w:val="1"/>
    <w:next w:val="1"/>
    <w:link w:val="146"/>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28">
    <w:name w:val="List"/>
    <w:basedOn w:val="1"/>
    <w:unhideWhenUsed/>
    <w:uiPriority w:val="99"/>
    <w:pPr>
      <w:ind w:left="360" w:hanging="360"/>
      <w:contextualSpacing/>
    </w:pPr>
  </w:style>
  <w:style w:type="paragraph" w:styleId="29">
    <w:name w:val="Body Text 2"/>
    <w:basedOn w:val="1"/>
    <w:link w:val="149"/>
    <w:unhideWhenUsed/>
    <w:uiPriority w:val="99"/>
    <w:pPr>
      <w:spacing w:after="120" w:line="480" w:lineRule="auto"/>
    </w:pPr>
  </w:style>
  <w:style w:type="paragraph" w:styleId="30">
    <w:name w:val="List Continue 2"/>
    <w:basedOn w:val="1"/>
    <w:unhideWhenUsed/>
    <w:uiPriority w:val="99"/>
    <w:pPr>
      <w:spacing w:after="120"/>
      <w:ind w:left="720"/>
      <w:contextualSpacing/>
    </w:pPr>
  </w:style>
  <w:style w:type="paragraph" w:styleId="31">
    <w:name w:val="Normal (Web)"/>
    <w:basedOn w:val="1"/>
    <w:semiHidden/>
    <w:unhideWhenUsed/>
    <w:uiPriority w:val="99"/>
    <w:rPr>
      <w:sz w:val="24"/>
    </w:rPr>
  </w:style>
  <w:style w:type="paragraph" w:styleId="32">
    <w:name w:val="List Continue 3"/>
    <w:basedOn w:val="1"/>
    <w:unhideWhenUsed/>
    <w:uiPriority w:val="99"/>
    <w:pPr>
      <w:spacing w:after="120"/>
      <w:ind w:left="1080"/>
      <w:contextualSpacing/>
    </w:pPr>
  </w:style>
  <w:style w:type="paragraph" w:styleId="33">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4">
    <w:name w:val="annotation subject"/>
    <w:basedOn w:val="17"/>
    <w:next w:val="17"/>
    <w:link w:val="170"/>
    <w:semiHidden/>
    <w:unhideWhenUsed/>
    <w:uiPriority w:val="99"/>
    <w:rPr>
      <w:b/>
      <w:bCs/>
    </w:rPr>
  </w:style>
  <w:style w:type="table" w:styleId="36">
    <w:name w:val="Table Grid"/>
    <w:basedOn w:val="3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7">
    <w:name w:val="Light Shading"/>
    <w:basedOn w:val="35"/>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styleId="138">
    <w:name w:val="annotation reference"/>
    <w:basedOn w:val="135"/>
    <w:semiHidden/>
    <w:unhideWhenUsed/>
    <w:uiPriority w:val="99"/>
    <w:rPr>
      <w:sz w:val="21"/>
      <w:szCs w:val="21"/>
    </w:rPr>
  </w:style>
  <w:style w:type="character" w:customStyle="1" w:styleId="139">
    <w:name w:val="标题 1 字符"/>
    <w:basedOn w:val="135"/>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标题 2 字符"/>
    <w:basedOn w:val="135"/>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页眉 字符"/>
    <w:basedOn w:val="135"/>
    <w:link w:val="26"/>
    <w:uiPriority w:val="99"/>
  </w:style>
  <w:style w:type="character" w:customStyle="1" w:styleId="142">
    <w:name w:val="页脚 字符"/>
    <w:basedOn w:val="135"/>
    <w:link w:val="25"/>
    <w:uiPriority w:val="99"/>
  </w:style>
  <w:style w:type="paragraph" w:styleId="143">
    <w:name w:val="No Spacing"/>
    <w:qFormat/>
    <w:uiPriority w:val="1"/>
    <w:rPr>
      <w:rFonts w:asciiTheme="minorHAnsi" w:hAnsiTheme="minorHAnsi" w:eastAsiaTheme="minorEastAsia" w:cstheme="minorBidi"/>
      <w:sz w:val="22"/>
      <w:szCs w:val="22"/>
      <w:lang w:val="en-US" w:eastAsia="en-US" w:bidi="ar-SA"/>
    </w:rPr>
  </w:style>
  <w:style w:type="character" w:customStyle="1" w:styleId="144">
    <w:name w:val="标题 3 字符"/>
    <w:basedOn w:val="135"/>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标题 字符"/>
    <w:basedOn w:val="135"/>
    <w:link w:val="33"/>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副标题 字符"/>
    <w:basedOn w:val="135"/>
    <w:link w:val="27"/>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正文文本 字符"/>
    <w:basedOn w:val="135"/>
    <w:link w:val="20"/>
    <w:uiPriority w:val="99"/>
  </w:style>
  <w:style w:type="character" w:customStyle="1" w:styleId="149">
    <w:name w:val="正文文本 2 字符"/>
    <w:basedOn w:val="135"/>
    <w:link w:val="29"/>
    <w:uiPriority w:val="99"/>
  </w:style>
  <w:style w:type="character" w:customStyle="1" w:styleId="150">
    <w:name w:val="正文文本 3 字符"/>
    <w:basedOn w:val="135"/>
    <w:link w:val="18"/>
    <w:uiPriority w:val="99"/>
    <w:rPr>
      <w:sz w:val="16"/>
      <w:szCs w:val="16"/>
    </w:rPr>
  </w:style>
  <w:style w:type="character" w:customStyle="1" w:styleId="151">
    <w:name w:val="宏文本 字符"/>
    <w:basedOn w:val="135"/>
    <w:link w:val="2"/>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引用 字符"/>
    <w:basedOn w:val="135"/>
    <w:link w:val="152"/>
    <w:uiPriority w:val="29"/>
    <w:rPr>
      <w:i/>
      <w:iCs/>
      <w:color w:val="000000" w:themeColor="text1"/>
      <w14:textFill>
        <w14:solidFill>
          <w14:schemeClr w14:val="tx1"/>
        </w14:solidFill>
      </w14:textFill>
    </w:rPr>
  </w:style>
  <w:style w:type="character" w:customStyle="1" w:styleId="154">
    <w:name w:val="标题 4 字符"/>
    <w:basedOn w:val="135"/>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标题 5 字符"/>
    <w:basedOn w:val="135"/>
    <w:link w:val="7"/>
    <w:semiHidden/>
    <w:uiPriority w:val="9"/>
    <w:rPr>
      <w:rFonts w:asciiTheme="majorHAnsi" w:hAnsiTheme="majorHAnsi" w:eastAsiaTheme="majorEastAsia" w:cstheme="majorBidi"/>
      <w:color w:val="254061" w:themeColor="accent1" w:themeShade="80"/>
    </w:rPr>
  </w:style>
  <w:style w:type="character" w:customStyle="1" w:styleId="156">
    <w:name w:val="标题 6 字符"/>
    <w:basedOn w:val="135"/>
    <w:link w:val="8"/>
    <w:semiHidden/>
    <w:uiPriority w:val="9"/>
    <w:rPr>
      <w:rFonts w:asciiTheme="majorHAnsi" w:hAnsiTheme="majorHAnsi" w:eastAsiaTheme="majorEastAsia" w:cstheme="majorBidi"/>
      <w:i/>
      <w:iCs/>
      <w:color w:val="254061" w:themeColor="accent1" w:themeShade="80"/>
    </w:rPr>
  </w:style>
  <w:style w:type="character" w:customStyle="1" w:styleId="157">
    <w:name w:val="标题 7 字符"/>
    <w:basedOn w:val="135"/>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标题 8 字符"/>
    <w:basedOn w:val="135"/>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标题 9 字符"/>
    <w:basedOn w:val="135"/>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明显引用 字符"/>
    <w:basedOn w:val="135"/>
    <w:link w:val="160"/>
    <w:uiPriority w:val="30"/>
    <w:rPr>
      <w:b/>
      <w:bCs/>
      <w:i/>
      <w:iCs/>
      <w:color w:val="4F81BD" w:themeColor="accent1"/>
      <w14:textFill>
        <w14:solidFill>
          <w14:schemeClr w14:val="accent1"/>
        </w14:solidFill>
      </w14:textFill>
    </w:rPr>
  </w:style>
  <w:style w:type="character" w:customStyle="1" w:styleId="162">
    <w:name w:val="不明显强调1"/>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明显强调1"/>
    <w:basedOn w:val="135"/>
    <w:qFormat/>
    <w:uiPriority w:val="21"/>
    <w:rPr>
      <w:b/>
      <w:bCs/>
      <w:i/>
      <w:iCs/>
      <w:color w:val="4F81BD" w:themeColor="accent1"/>
      <w14:textFill>
        <w14:solidFill>
          <w14:schemeClr w14:val="accent1"/>
        </w14:solidFill>
      </w14:textFill>
    </w:rPr>
  </w:style>
  <w:style w:type="character" w:customStyle="1" w:styleId="164">
    <w:name w:val="不明显参考1"/>
    <w:basedOn w:val="135"/>
    <w:qFormat/>
    <w:uiPriority w:val="31"/>
    <w:rPr>
      <w:smallCaps/>
      <w:color w:val="C0504D" w:themeColor="accent2"/>
      <w:u w:val="single"/>
      <w14:textFill>
        <w14:solidFill>
          <w14:schemeClr w14:val="accent2"/>
        </w14:solidFill>
      </w14:textFill>
    </w:rPr>
  </w:style>
  <w:style w:type="character" w:customStyle="1" w:styleId="165">
    <w:name w:val="明显参考1"/>
    <w:basedOn w:val="135"/>
    <w:qFormat/>
    <w:uiPriority w:val="32"/>
    <w:rPr>
      <w:b/>
      <w:bCs/>
      <w:smallCaps/>
      <w:color w:val="C0504D" w:themeColor="accent2"/>
      <w:spacing w:val="5"/>
      <w:u w:val="single"/>
      <w14:textFill>
        <w14:solidFill>
          <w14:schemeClr w14:val="accent2"/>
        </w14:solidFill>
      </w14:textFill>
    </w:rPr>
  </w:style>
  <w:style w:type="character" w:customStyle="1" w:styleId="166">
    <w:name w:val="书籍标题1"/>
    <w:basedOn w:val="135"/>
    <w:qFormat/>
    <w:uiPriority w:val="33"/>
    <w:rPr>
      <w:b/>
      <w:bCs/>
      <w:smallCaps/>
      <w:spacing w:val="5"/>
    </w:rPr>
  </w:style>
  <w:style w:type="paragraph" w:customStyle="1" w:styleId="167">
    <w:name w:val="TOC 标题1"/>
    <w:basedOn w:val="3"/>
    <w:next w:val="1"/>
    <w:semiHidden/>
    <w:unhideWhenUsed/>
    <w:qFormat/>
    <w:uiPriority w:val="39"/>
    <w:pPr>
      <w:outlineLvl w:val="9"/>
    </w:pPr>
  </w:style>
  <w:style w:type="paragraph" w:customStyle="1" w:styleId="168">
    <w:name w:val="Revision"/>
    <w:hidden/>
    <w:unhideWhenUsed/>
    <w:uiPriority w:val="99"/>
    <w:rPr>
      <w:rFonts w:ascii="Times New Roman" w:hAnsi="Times New Roman" w:eastAsia="宋体" w:cstheme="minorBidi"/>
      <w:color w:val="000000"/>
      <w:sz w:val="24"/>
      <w:szCs w:val="22"/>
      <w:lang w:val="en-US" w:eastAsia="en-US" w:bidi="ar-SA"/>
    </w:rPr>
  </w:style>
  <w:style w:type="character" w:customStyle="1" w:styleId="169">
    <w:name w:val="批注文字 字符"/>
    <w:basedOn w:val="135"/>
    <w:link w:val="17"/>
    <w:semiHidden/>
    <w:uiPriority w:val="99"/>
    <w:rPr>
      <w:rFonts w:ascii="Times New Roman" w:hAnsi="Times New Roman" w:eastAsia="宋体"/>
      <w:color w:val="000000"/>
      <w:sz w:val="24"/>
      <w:szCs w:val="22"/>
      <w:lang w:eastAsia="en-US"/>
    </w:rPr>
  </w:style>
  <w:style w:type="character" w:customStyle="1" w:styleId="170">
    <w:name w:val="批注主题 字符"/>
    <w:basedOn w:val="169"/>
    <w:link w:val="34"/>
    <w:semiHidden/>
    <w:uiPriority w:val="99"/>
    <w:rPr>
      <w:rFonts w:ascii="Times New Roman" w:hAnsi="Times New Roman" w:eastAsia="宋体"/>
      <w:b/>
      <w:bCs/>
      <w:color w:val="000000"/>
      <w:sz w:val="24"/>
      <w:szCs w:val="22"/>
      <w:lang w:eastAsia="en-US"/>
    </w:rPr>
  </w:style>
  <w:style w:type="paragraph" w:customStyle="1" w:styleId="171">
    <w:name w:val="p1"/>
    <w:basedOn w:val="1"/>
    <w:uiPriority w:val="0"/>
    <w:pPr>
      <w:spacing w:before="0" w:beforeAutospacing="0" w:after="0" w:afterAutospacing="0"/>
      <w:ind w:left="0" w:right="0"/>
      <w:jc w:val="left"/>
    </w:pPr>
    <w:rPr>
      <w:rFonts w:ascii="pingfang sc" w:hAnsi="pingfang sc" w:eastAsia="pingfang sc" w:cs="pingfang sc"/>
      <w:kern w:val="0"/>
      <w:sz w:val="26"/>
      <w:szCs w:val="26"/>
      <w:lang w:val="en-US" w:eastAsia="zh-CN" w:bidi="ar"/>
    </w:rPr>
  </w:style>
  <w:style w:type="character" w:customStyle="1" w:styleId="172">
    <w:name w:val="s1"/>
    <w:basedOn w:val="135"/>
    <w:uiPriority w:val="0"/>
    <w:rPr>
      <w:rFonts w:ascii="Helvetica Neue" w:hAnsi="Helvetica Neue" w:eastAsia="Helvetica Neue" w:cs="Helvetica Neue"/>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1119</Words>
  <Characters>6382</Characters>
  <Lines>53</Lines>
  <Paragraphs>14</Paragraphs>
  <TotalTime>8</TotalTime>
  <ScaleCrop>false</ScaleCrop>
  <LinksUpToDate>false</LinksUpToDate>
  <CharactersWithSpaces>7487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2026-08-04T10:20:00Z</dcterms:created>
  <dc:creator>python-docx</dc:creator>
  <dc:description>generated by python-docx</dc:description>
  <cp:lastModifiedBy>超宇</cp:lastModifiedBy>
  <dcterms:modified xsi:type="dcterms:W3CDTF">2026-08-11T14:49:06Z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eyJoZGlkIjoiN2M5M2E4YzFhMGQ1MDUwN2VjMzhlODgwZjgxN2M2ZjMiLCJ1c2VySWQiOiIzNTA1MjYxNjkifQ==</vt:lpwstr>
  </property>
  <property fmtid="{D5CDD505-2E9C-101B-9397-08002B2CF9AE}" pid="3" name="KSOProductBuildVer">
    <vt:lpwstr>2052-12.1.24031.24031</vt:lpwstr>
  </property>
  <property fmtid="{D5CDD505-2E9C-101B-9397-08002B2CF9AE}" pid="4" name="ICV">
    <vt:lpwstr>9D7342F03D6D4C7DBAF38936A2D36C63_13</vt:lpwstr>
  </property>
</Properties>
</file>