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286AB9">
      <w:pPr>
        <w:jc w:val="center"/>
        <w:rPr>
          <w:rFonts w:ascii="宋体" w:hAnsi="宋体"/>
          <w:b/>
          <w:spacing w:val="6"/>
          <w:sz w:val="32"/>
          <w:szCs w:val="32"/>
        </w:rPr>
      </w:pPr>
      <w:r>
        <w:rPr>
          <w:rFonts w:hint="eastAsia" w:ascii="宋体" w:hAnsi="宋体"/>
          <w:b/>
          <w:spacing w:val="6"/>
          <w:sz w:val="32"/>
          <w:szCs w:val="32"/>
          <w:lang w:val="en-US" w:eastAsia="zh-CN"/>
        </w:rPr>
        <w:t>关税</w:t>
      </w:r>
      <w:r>
        <w:rPr>
          <w:rFonts w:hint="eastAsia" w:ascii="宋体" w:hAnsi="宋体"/>
          <w:b/>
          <w:spacing w:val="6"/>
          <w:sz w:val="32"/>
          <w:szCs w:val="32"/>
        </w:rPr>
        <w:t>保证保险投保单</w:t>
      </w:r>
    </w:p>
    <w:p w14:paraId="535671C2">
      <w:pPr>
        <w:spacing w:line="240" w:lineRule="exact"/>
        <w:ind w:left="180"/>
        <w:rPr>
          <w:rFonts w:ascii="黑体" w:eastAsia="黑体"/>
          <w:b/>
          <w:szCs w:val="21"/>
        </w:rPr>
      </w:pPr>
      <w:r>
        <w:rPr>
          <w:rFonts w:hint="eastAsia" w:eastAsia="仿宋_GB2312"/>
          <w:sz w:val="18"/>
        </w:rPr>
        <w:t>本投保单为保险合同的重要组成部分，请如实详尽填写本投保单各项内容。填写前请仔细阅读本公司的保险条款，并特别提示注意保险条款的</w:t>
      </w:r>
      <w:r>
        <w:rPr>
          <w:rFonts w:hint="eastAsia" w:ascii="黑体" w:eastAsia="黑体"/>
          <w:b/>
          <w:szCs w:val="21"/>
        </w:rPr>
        <w:t>投保人权利义务、责任免除和保险责任部分</w:t>
      </w:r>
    </w:p>
    <w:p w14:paraId="4AF37ACE">
      <w:pPr>
        <w:spacing w:line="240" w:lineRule="exact"/>
        <w:ind w:left="180"/>
        <w:rPr>
          <w:rFonts w:eastAsia="仿宋_GB2312"/>
          <w:b/>
          <w:sz w:val="18"/>
        </w:rPr>
      </w:pPr>
    </w:p>
    <w:tbl>
      <w:tblPr>
        <w:tblStyle w:val="11"/>
        <w:tblW w:w="10219"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1135"/>
        <w:gridCol w:w="1560"/>
        <w:gridCol w:w="2323"/>
        <w:gridCol w:w="802"/>
        <w:gridCol w:w="1701"/>
        <w:gridCol w:w="350"/>
        <w:gridCol w:w="2348"/>
      </w:tblGrid>
      <w:tr w14:paraId="196E229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23" w:hRule="atLeast"/>
          <w:jc w:val="center"/>
        </w:trPr>
        <w:tc>
          <w:tcPr>
            <w:tcW w:w="1135" w:type="dxa"/>
            <w:vMerge w:val="restart"/>
            <w:tcBorders>
              <w:top w:val="single" w:color="auto" w:sz="8" w:space="0"/>
              <w:left w:val="single" w:color="auto" w:sz="8" w:space="0"/>
              <w:right w:val="single" w:color="auto" w:sz="6" w:space="0"/>
            </w:tcBorders>
            <w:vAlign w:val="center"/>
          </w:tcPr>
          <w:p w14:paraId="7B1EB03A">
            <w:pPr>
              <w:widowControl/>
              <w:jc w:val="center"/>
              <w:rPr>
                <w:rFonts w:ascii="宋体" w:hAnsi="宋体"/>
                <w:sz w:val="18"/>
                <w:szCs w:val="18"/>
              </w:rPr>
            </w:pPr>
            <w:r>
              <w:rPr>
                <w:rFonts w:hint="eastAsia" w:ascii="宋体" w:hAnsi="宋体"/>
                <w:sz w:val="18"/>
                <w:szCs w:val="18"/>
              </w:rPr>
              <w:t>投保人</w:t>
            </w:r>
          </w:p>
        </w:tc>
        <w:tc>
          <w:tcPr>
            <w:tcW w:w="1560" w:type="dxa"/>
            <w:tcBorders>
              <w:top w:val="single" w:color="auto" w:sz="6" w:space="0"/>
              <w:left w:val="single" w:color="auto" w:sz="6" w:space="0"/>
              <w:bottom w:val="single" w:color="auto" w:sz="6" w:space="0"/>
              <w:right w:val="single" w:color="auto" w:sz="6" w:space="0"/>
            </w:tcBorders>
            <w:vAlign w:val="center"/>
          </w:tcPr>
          <w:p w14:paraId="1DB7CBD4">
            <w:pPr>
              <w:jc w:val="center"/>
              <w:rPr>
                <w:rFonts w:ascii="宋体" w:hAnsi="宋体"/>
                <w:sz w:val="18"/>
                <w:szCs w:val="18"/>
              </w:rPr>
            </w:pPr>
            <w:r>
              <w:rPr>
                <w:rFonts w:hint="eastAsia" w:ascii="宋体" w:hAnsi="宋体"/>
                <w:sz w:val="18"/>
                <w:szCs w:val="18"/>
              </w:rPr>
              <w:t>名称</w:t>
            </w:r>
          </w:p>
        </w:tc>
        <w:tc>
          <w:tcPr>
            <w:tcW w:w="3125" w:type="dxa"/>
            <w:gridSpan w:val="2"/>
            <w:tcBorders>
              <w:top w:val="single" w:color="auto" w:sz="6" w:space="0"/>
              <w:left w:val="single" w:color="auto" w:sz="6" w:space="0"/>
              <w:bottom w:val="single" w:color="auto" w:sz="6" w:space="0"/>
              <w:right w:val="single" w:color="auto" w:sz="6" w:space="0"/>
            </w:tcBorders>
            <w:vAlign w:val="center"/>
          </w:tcPr>
          <w:p w14:paraId="0E3AD0FF">
            <w:pPr>
              <w:jc w:val="center"/>
              <w:rPr>
                <w:rFonts w:hint="eastAsia" w:ascii="宋体" w:hAnsi="宋体"/>
                <w:sz w:val="18"/>
                <w:szCs w:val="18"/>
              </w:rPr>
            </w:pPr>
          </w:p>
        </w:tc>
        <w:tc>
          <w:tcPr>
            <w:tcW w:w="1701" w:type="dxa"/>
            <w:tcBorders>
              <w:top w:val="single" w:color="auto" w:sz="6" w:space="0"/>
              <w:left w:val="single" w:color="auto" w:sz="6" w:space="0"/>
              <w:bottom w:val="single" w:color="auto" w:sz="6" w:space="0"/>
              <w:right w:val="single" w:color="auto" w:sz="6" w:space="0"/>
            </w:tcBorders>
            <w:vAlign w:val="center"/>
          </w:tcPr>
          <w:p w14:paraId="44A734AE">
            <w:pPr>
              <w:jc w:val="center"/>
              <w:rPr>
                <w:rFonts w:hint="eastAsia" w:ascii="宋体" w:hAnsi="宋体"/>
                <w:sz w:val="18"/>
                <w:szCs w:val="18"/>
              </w:rPr>
            </w:pPr>
            <w:r>
              <w:rPr>
                <w:rFonts w:hint="eastAsia" w:ascii="宋体" w:hAnsi="宋体"/>
                <w:sz w:val="18"/>
                <w:szCs w:val="18"/>
              </w:rPr>
              <w:t>社会统一信用代码</w:t>
            </w:r>
          </w:p>
        </w:tc>
        <w:tc>
          <w:tcPr>
            <w:tcW w:w="2698" w:type="dxa"/>
            <w:gridSpan w:val="2"/>
            <w:tcBorders>
              <w:top w:val="single" w:color="auto" w:sz="6" w:space="0"/>
              <w:left w:val="single" w:color="auto" w:sz="6" w:space="0"/>
              <w:bottom w:val="single" w:color="auto" w:sz="6" w:space="0"/>
              <w:right w:val="single" w:color="auto" w:sz="8" w:space="0"/>
            </w:tcBorders>
            <w:vAlign w:val="center"/>
          </w:tcPr>
          <w:p w14:paraId="2B27FD6E">
            <w:pPr>
              <w:jc w:val="center"/>
              <w:rPr>
                <w:rFonts w:hint="eastAsia" w:ascii="宋体" w:hAnsi="宋体"/>
                <w:sz w:val="18"/>
                <w:szCs w:val="18"/>
              </w:rPr>
            </w:pPr>
          </w:p>
        </w:tc>
      </w:tr>
      <w:tr w14:paraId="762A89B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23" w:hRule="atLeast"/>
          <w:jc w:val="center"/>
        </w:trPr>
        <w:tc>
          <w:tcPr>
            <w:tcW w:w="1135" w:type="dxa"/>
            <w:vMerge w:val="continue"/>
            <w:tcBorders>
              <w:top w:val="single" w:color="auto" w:sz="8" w:space="0"/>
              <w:left w:val="single" w:color="auto" w:sz="8" w:space="0"/>
              <w:right w:val="single" w:color="auto" w:sz="6" w:space="0"/>
            </w:tcBorders>
            <w:vAlign w:val="center"/>
          </w:tcPr>
          <w:p w14:paraId="5C2B2C82">
            <w:pPr>
              <w:widowControl/>
              <w:jc w:val="center"/>
              <w:rPr>
                <w:rFonts w:ascii="宋体" w:hAnsi="宋体"/>
                <w:sz w:val="18"/>
                <w:szCs w:val="18"/>
              </w:rPr>
            </w:pPr>
          </w:p>
        </w:tc>
        <w:tc>
          <w:tcPr>
            <w:tcW w:w="1560" w:type="dxa"/>
            <w:tcBorders>
              <w:top w:val="single" w:color="auto" w:sz="6" w:space="0"/>
              <w:left w:val="single" w:color="auto" w:sz="6" w:space="0"/>
              <w:bottom w:val="single" w:color="auto" w:sz="6" w:space="0"/>
              <w:right w:val="single" w:color="auto" w:sz="6" w:space="0"/>
            </w:tcBorders>
            <w:vAlign w:val="center"/>
          </w:tcPr>
          <w:p w14:paraId="1945AAF4">
            <w:pPr>
              <w:jc w:val="center"/>
              <w:rPr>
                <w:rFonts w:ascii="宋体" w:hAnsi="宋体"/>
                <w:sz w:val="18"/>
                <w:szCs w:val="18"/>
              </w:rPr>
            </w:pPr>
            <w:r>
              <w:rPr>
                <w:rFonts w:hint="eastAsia" w:ascii="宋体" w:hAnsi="宋体"/>
                <w:sz w:val="18"/>
                <w:szCs w:val="18"/>
              </w:rPr>
              <w:t>经营地址</w:t>
            </w:r>
          </w:p>
        </w:tc>
        <w:tc>
          <w:tcPr>
            <w:tcW w:w="7524" w:type="dxa"/>
            <w:gridSpan w:val="5"/>
            <w:tcBorders>
              <w:top w:val="single" w:color="auto" w:sz="6" w:space="0"/>
              <w:left w:val="single" w:color="auto" w:sz="6" w:space="0"/>
              <w:bottom w:val="single" w:color="auto" w:sz="6" w:space="0"/>
              <w:right w:val="single" w:color="auto" w:sz="8" w:space="0"/>
            </w:tcBorders>
            <w:vAlign w:val="center"/>
          </w:tcPr>
          <w:p w14:paraId="1F615DD8">
            <w:pPr>
              <w:jc w:val="center"/>
              <w:rPr>
                <w:rFonts w:hint="eastAsia" w:ascii="宋体" w:hAnsi="宋体"/>
                <w:sz w:val="18"/>
                <w:szCs w:val="18"/>
              </w:rPr>
            </w:pPr>
          </w:p>
        </w:tc>
      </w:tr>
      <w:tr w14:paraId="7FBB935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390" w:hRule="atLeast"/>
          <w:jc w:val="center"/>
        </w:trPr>
        <w:tc>
          <w:tcPr>
            <w:tcW w:w="1135" w:type="dxa"/>
            <w:vMerge w:val="continue"/>
            <w:tcBorders>
              <w:left w:val="single" w:color="auto" w:sz="8" w:space="0"/>
              <w:bottom w:val="single" w:color="auto" w:sz="6" w:space="0"/>
              <w:right w:val="single" w:color="auto" w:sz="6" w:space="0"/>
            </w:tcBorders>
            <w:vAlign w:val="center"/>
          </w:tcPr>
          <w:p w14:paraId="4C68C9E6">
            <w:pPr>
              <w:widowControl/>
              <w:jc w:val="left"/>
              <w:rPr>
                <w:rFonts w:ascii="宋体" w:hAnsi="宋体"/>
                <w:sz w:val="18"/>
                <w:szCs w:val="18"/>
              </w:rPr>
            </w:pPr>
          </w:p>
        </w:tc>
        <w:tc>
          <w:tcPr>
            <w:tcW w:w="1560" w:type="dxa"/>
            <w:tcBorders>
              <w:top w:val="single" w:color="auto" w:sz="6" w:space="0"/>
              <w:left w:val="single" w:color="auto" w:sz="6" w:space="0"/>
              <w:bottom w:val="single" w:color="auto" w:sz="6" w:space="0"/>
              <w:right w:val="single" w:color="auto" w:sz="6" w:space="0"/>
            </w:tcBorders>
            <w:vAlign w:val="center"/>
          </w:tcPr>
          <w:p w14:paraId="5145E4CE">
            <w:pPr>
              <w:spacing w:line="500" w:lineRule="exact"/>
              <w:jc w:val="center"/>
              <w:rPr>
                <w:rFonts w:ascii="宋体" w:hAnsi="宋体"/>
                <w:sz w:val="18"/>
                <w:szCs w:val="18"/>
              </w:rPr>
            </w:pPr>
            <w:r>
              <w:rPr>
                <w:rFonts w:hint="eastAsia" w:ascii="宋体" w:hAnsi="宋体"/>
                <w:sz w:val="18"/>
                <w:szCs w:val="18"/>
              </w:rPr>
              <w:t>联系人姓名</w:t>
            </w:r>
          </w:p>
        </w:tc>
        <w:tc>
          <w:tcPr>
            <w:tcW w:w="3125" w:type="dxa"/>
            <w:gridSpan w:val="2"/>
            <w:tcBorders>
              <w:top w:val="single" w:color="auto" w:sz="6" w:space="0"/>
              <w:left w:val="single" w:color="auto" w:sz="6" w:space="0"/>
              <w:bottom w:val="single" w:color="auto" w:sz="6" w:space="0"/>
              <w:right w:val="single" w:color="auto" w:sz="6" w:space="0"/>
            </w:tcBorders>
            <w:vAlign w:val="center"/>
          </w:tcPr>
          <w:p w14:paraId="3E2E9EC2">
            <w:pPr>
              <w:jc w:val="center"/>
              <w:rPr>
                <w:rFonts w:hint="default" w:ascii="宋体" w:hAnsi="宋体" w:eastAsia="宋体"/>
                <w:sz w:val="18"/>
                <w:szCs w:val="18"/>
                <w:lang w:val="en-US" w:eastAsia="zh-CN"/>
              </w:rPr>
            </w:pPr>
          </w:p>
        </w:tc>
        <w:tc>
          <w:tcPr>
            <w:tcW w:w="1701" w:type="dxa"/>
            <w:tcBorders>
              <w:top w:val="single" w:color="auto" w:sz="6" w:space="0"/>
              <w:left w:val="single" w:color="auto" w:sz="6" w:space="0"/>
              <w:bottom w:val="single" w:color="auto" w:sz="6" w:space="0"/>
              <w:right w:val="single" w:color="auto" w:sz="6" w:space="0"/>
            </w:tcBorders>
            <w:vAlign w:val="center"/>
          </w:tcPr>
          <w:p w14:paraId="6187D83D">
            <w:pPr>
              <w:jc w:val="center"/>
              <w:rPr>
                <w:rFonts w:ascii="宋体" w:hAnsi="宋体"/>
                <w:sz w:val="18"/>
                <w:szCs w:val="18"/>
              </w:rPr>
            </w:pPr>
            <w:r>
              <w:rPr>
                <w:rFonts w:hint="eastAsia" w:ascii="宋体" w:hAnsi="宋体"/>
                <w:sz w:val="18"/>
                <w:szCs w:val="18"/>
              </w:rPr>
              <w:t>联系电话</w:t>
            </w:r>
          </w:p>
        </w:tc>
        <w:tc>
          <w:tcPr>
            <w:tcW w:w="2698" w:type="dxa"/>
            <w:gridSpan w:val="2"/>
            <w:tcBorders>
              <w:top w:val="single" w:color="auto" w:sz="6" w:space="0"/>
              <w:left w:val="single" w:color="auto" w:sz="6" w:space="0"/>
              <w:bottom w:val="single" w:color="auto" w:sz="6" w:space="0"/>
              <w:right w:val="single" w:color="auto" w:sz="8" w:space="0"/>
            </w:tcBorders>
            <w:vAlign w:val="center"/>
          </w:tcPr>
          <w:p w14:paraId="48637177">
            <w:pPr>
              <w:jc w:val="center"/>
              <w:rPr>
                <w:rFonts w:ascii="宋体" w:hAnsi="宋体"/>
                <w:sz w:val="18"/>
                <w:szCs w:val="18"/>
              </w:rPr>
            </w:pPr>
          </w:p>
        </w:tc>
      </w:tr>
      <w:tr w14:paraId="1BA05DC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86" w:hRule="atLeast"/>
          <w:jc w:val="center"/>
        </w:trPr>
        <w:tc>
          <w:tcPr>
            <w:tcW w:w="1135" w:type="dxa"/>
            <w:tcBorders>
              <w:top w:val="single" w:color="auto" w:sz="6" w:space="0"/>
              <w:left w:val="single" w:color="auto" w:sz="8" w:space="0"/>
              <w:right w:val="single" w:color="auto" w:sz="6" w:space="0"/>
            </w:tcBorders>
            <w:vAlign w:val="center"/>
          </w:tcPr>
          <w:p w14:paraId="225498A0">
            <w:pPr>
              <w:jc w:val="center"/>
              <w:rPr>
                <w:rFonts w:ascii="宋体" w:hAnsi="宋体"/>
                <w:sz w:val="18"/>
                <w:szCs w:val="18"/>
              </w:rPr>
            </w:pPr>
            <w:r>
              <w:rPr>
                <w:rFonts w:hint="eastAsia" w:ascii="宋体" w:hAnsi="宋体"/>
                <w:sz w:val="18"/>
                <w:szCs w:val="18"/>
              </w:rPr>
              <w:t>被保险人</w:t>
            </w:r>
          </w:p>
        </w:tc>
        <w:tc>
          <w:tcPr>
            <w:tcW w:w="1560" w:type="dxa"/>
            <w:tcBorders>
              <w:top w:val="single" w:color="auto" w:sz="6" w:space="0"/>
              <w:left w:val="single" w:color="auto" w:sz="6" w:space="0"/>
              <w:bottom w:val="single" w:color="auto" w:sz="6" w:space="0"/>
              <w:right w:val="single" w:color="auto" w:sz="6" w:space="0"/>
            </w:tcBorders>
            <w:vAlign w:val="center"/>
          </w:tcPr>
          <w:p w14:paraId="47D70EA4">
            <w:pPr>
              <w:spacing w:line="300" w:lineRule="exact"/>
              <w:jc w:val="center"/>
              <w:rPr>
                <w:rFonts w:ascii="宋体" w:hAnsi="宋体"/>
                <w:sz w:val="18"/>
                <w:szCs w:val="18"/>
              </w:rPr>
            </w:pPr>
            <w:r>
              <w:rPr>
                <w:rFonts w:hint="eastAsia" w:ascii="宋体" w:hAnsi="宋体"/>
                <w:sz w:val="18"/>
                <w:szCs w:val="18"/>
              </w:rPr>
              <w:t>名称</w:t>
            </w:r>
          </w:p>
        </w:tc>
        <w:tc>
          <w:tcPr>
            <w:tcW w:w="7524" w:type="dxa"/>
            <w:gridSpan w:val="5"/>
            <w:tcBorders>
              <w:top w:val="single" w:color="auto" w:sz="6" w:space="0"/>
              <w:left w:val="single" w:color="auto" w:sz="6" w:space="0"/>
              <w:bottom w:val="single" w:color="auto" w:sz="6" w:space="0"/>
              <w:right w:val="single" w:color="auto" w:sz="8" w:space="0"/>
            </w:tcBorders>
            <w:vAlign w:val="center"/>
          </w:tcPr>
          <w:p w14:paraId="53994681">
            <w:pPr>
              <w:jc w:val="center"/>
              <w:rPr>
                <w:rFonts w:hint="default" w:ascii="宋体" w:hAnsi="宋体" w:eastAsia="宋体"/>
                <w:sz w:val="18"/>
                <w:szCs w:val="18"/>
                <w:lang w:val="en-US" w:eastAsia="zh-CN"/>
              </w:rPr>
            </w:pPr>
            <w:r>
              <w:rPr>
                <w:rFonts w:hint="eastAsia" w:ascii="宋体" w:hAnsi="宋体"/>
                <w:sz w:val="18"/>
                <w:szCs w:val="18"/>
                <w:lang w:val="en-US" w:eastAsia="zh-CN"/>
              </w:rPr>
              <w:t xml:space="preserve"> </w:t>
            </w:r>
            <w:bookmarkStart w:id="0" w:name="_GoBack"/>
            <w:bookmarkEnd w:id="0"/>
          </w:p>
        </w:tc>
      </w:tr>
      <w:tr w14:paraId="564AC24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86" w:hRule="atLeast"/>
          <w:jc w:val="center"/>
        </w:trPr>
        <w:tc>
          <w:tcPr>
            <w:tcW w:w="2695" w:type="dxa"/>
            <w:gridSpan w:val="2"/>
            <w:tcBorders>
              <w:left w:val="single" w:color="auto" w:sz="8" w:space="0"/>
              <w:bottom w:val="single" w:color="auto" w:sz="6" w:space="0"/>
              <w:right w:val="single" w:color="auto" w:sz="6" w:space="0"/>
            </w:tcBorders>
            <w:vAlign w:val="center"/>
          </w:tcPr>
          <w:p w14:paraId="0363E6D7">
            <w:pPr>
              <w:spacing w:line="300" w:lineRule="exact"/>
              <w:jc w:val="center"/>
              <w:rPr>
                <w:rFonts w:ascii="宋体" w:hAnsi="宋体"/>
                <w:sz w:val="18"/>
                <w:szCs w:val="18"/>
              </w:rPr>
            </w:pPr>
            <w:r>
              <w:rPr>
                <w:rFonts w:hint="eastAsia" w:ascii="宋体" w:hAnsi="宋体"/>
                <w:sz w:val="18"/>
                <w:szCs w:val="18"/>
              </w:rPr>
              <w:t>保险金额</w:t>
            </w:r>
          </w:p>
        </w:tc>
        <w:tc>
          <w:tcPr>
            <w:tcW w:w="2323" w:type="dxa"/>
            <w:tcBorders>
              <w:top w:val="single" w:color="auto" w:sz="6" w:space="0"/>
              <w:left w:val="single" w:color="auto" w:sz="6" w:space="0"/>
              <w:bottom w:val="single" w:color="auto" w:sz="6" w:space="0"/>
              <w:right w:val="single" w:color="auto" w:sz="4" w:space="0"/>
            </w:tcBorders>
            <w:vAlign w:val="center"/>
          </w:tcPr>
          <w:p w14:paraId="5C08A53C">
            <w:pPr>
              <w:jc w:val="center"/>
              <w:rPr>
                <w:rFonts w:hint="default" w:ascii="宋体" w:hAnsi="宋体" w:eastAsia="宋体"/>
                <w:color w:val="auto"/>
                <w:sz w:val="18"/>
                <w:szCs w:val="18"/>
                <w:lang w:val="en-US" w:eastAsia="zh-CN"/>
              </w:rPr>
            </w:pPr>
          </w:p>
        </w:tc>
        <w:tc>
          <w:tcPr>
            <w:tcW w:w="2853" w:type="dxa"/>
            <w:gridSpan w:val="3"/>
            <w:tcBorders>
              <w:top w:val="single" w:color="auto" w:sz="6" w:space="0"/>
              <w:left w:val="single" w:color="auto" w:sz="4" w:space="0"/>
              <w:bottom w:val="single" w:color="auto" w:sz="6" w:space="0"/>
              <w:right w:val="single" w:color="auto" w:sz="4" w:space="0"/>
            </w:tcBorders>
            <w:vAlign w:val="center"/>
          </w:tcPr>
          <w:p w14:paraId="589B057E">
            <w:pPr>
              <w:jc w:val="center"/>
              <w:rPr>
                <w:rFonts w:ascii="宋体" w:hAnsi="宋体"/>
                <w:color w:val="auto"/>
                <w:sz w:val="18"/>
                <w:szCs w:val="18"/>
              </w:rPr>
            </w:pPr>
            <w:r>
              <w:rPr>
                <w:rFonts w:hint="eastAsia" w:ascii="宋体" w:hAnsi="宋体"/>
                <w:color w:val="auto"/>
                <w:sz w:val="18"/>
                <w:szCs w:val="18"/>
              </w:rPr>
              <w:t>保险费</w:t>
            </w:r>
          </w:p>
        </w:tc>
        <w:tc>
          <w:tcPr>
            <w:tcW w:w="2348" w:type="dxa"/>
            <w:tcBorders>
              <w:top w:val="single" w:color="auto" w:sz="6" w:space="0"/>
              <w:left w:val="single" w:color="auto" w:sz="4" w:space="0"/>
              <w:bottom w:val="single" w:color="auto" w:sz="6" w:space="0"/>
              <w:right w:val="single" w:color="auto" w:sz="8" w:space="0"/>
            </w:tcBorders>
            <w:vAlign w:val="center"/>
          </w:tcPr>
          <w:p w14:paraId="34741908">
            <w:pPr>
              <w:jc w:val="center"/>
              <w:rPr>
                <w:rFonts w:hint="default" w:ascii="宋体" w:hAnsi="宋体" w:eastAsia="宋体"/>
                <w:color w:val="auto"/>
                <w:sz w:val="18"/>
                <w:szCs w:val="18"/>
                <w:lang w:val="en-US" w:eastAsia="zh-CN"/>
              </w:rPr>
            </w:pPr>
          </w:p>
        </w:tc>
      </w:tr>
      <w:tr w14:paraId="736172E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5" w:hRule="atLeast"/>
          <w:jc w:val="center"/>
        </w:trPr>
        <w:tc>
          <w:tcPr>
            <w:tcW w:w="2695" w:type="dxa"/>
            <w:gridSpan w:val="2"/>
            <w:tcBorders>
              <w:top w:val="single" w:color="auto" w:sz="6" w:space="0"/>
              <w:left w:val="single" w:color="auto" w:sz="8" w:space="0"/>
              <w:bottom w:val="single" w:color="auto" w:sz="6" w:space="0"/>
              <w:right w:val="single" w:color="auto" w:sz="6" w:space="0"/>
            </w:tcBorders>
            <w:shd w:val="clear" w:color="auto" w:fill="auto"/>
            <w:vAlign w:val="center"/>
          </w:tcPr>
          <w:p w14:paraId="629C6A24">
            <w:pPr>
              <w:spacing w:line="500" w:lineRule="exact"/>
              <w:jc w:val="center"/>
              <w:rPr>
                <w:rFonts w:ascii="宋体" w:hAnsi="宋体"/>
                <w:sz w:val="18"/>
                <w:szCs w:val="18"/>
              </w:rPr>
            </w:pPr>
            <w:r>
              <w:rPr>
                <w:rFonts w:hint="eastAsia" w:ascii="宋体" w:hAnsi="宋体"/>
                <w:sz w:val="18"/>
                <w:szCs w:val="18"/>
              </w:rPr>
              <w:t>保险期间</w:t>
            </w:r>
          </w:p>
        </w:tc>
        <w:tc>
          <w:tcPr>
            <w:tcW w:w="7524" w:type="dxa"/>
            <w:gridSpan w:val="5"/>
            <w:tcBorders>
              <w:top w:val="single" w:color="auto" w:sz="6" w:space="0"/>
              <w:left w:val="single" w:color="auto" w:sz="6" w:space="0"/>
              <w:bottom w:val="single" w:color="auto" w:sz="6" w:space="0"/>
              <w:right w:val="single" w:color="auto" w:sz="8" w:space="0"/>
            </w:tcBorders>
            <w:shd w:val="clear" w:color="auto" w:fill="auto"/>
            <w:vAlign w:val="center"/>
          </w:tcPr>
          <w:p w14:paraId="395363FB">
            <w:pPr>
              <w:spacing w:line="500" w:lineRule="exact"/>
              <w:rPr>
                <w:rFonts w:hint="default" w:ascii="宋体" w:hAnsi="宋体" w:eastAsia="宋体"/>
                <w:color w:val="FF0000"/>
                <w:sz w:val="18"/>
                <w:szCs w:val="18"/>
                <w:lang w:val="en-US" w:eastAsia="zh-CN"/>
              </w:rPr>
            </w:pPr>
            <w:r>
              <w:rPr>
                <w:rFonts w:hint="eastAsia" w:ascii="宋体" w:hAnsi="宋体"/>
                <w:color w:val="auto"/>
                <w:sz w:val="18"/>
                <w:szCs w:val="18"/>
                <w:lang w:val="en-US" w:eastAsia="zh-CN"/>
              </w:rPr>
              <w:t>自 年  月  日零时起至    年 月 日二十四时止</w:t>
            </w:r>
          </w:p>
        </w:tc>
      </w:tr>
      <w:tr w14:paraId="0D25EA5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931" w:hRule="atLeast"/>
          <w:jc w:val="center"/>
        </w:trPr>
        <w:tc>
          <w:tcPr>
            <w:tcW w:w="2695" w:type="dxa"/>
            <w:gridSpan w:val="2"/>
            <w:tcBorders>
              <w:top w:val="single" w:color="auto" w:sz="6" w:space="0"/>
              <w:left w:val="single" w:color="auto" w:sz="8" w:space="0"/>
              <w:bottom w:val="single" w:color="auto" w:sz="6" w:space="0"/>
              <w:right w:val="single" w:color="auto" w:sz="6" w:space="0"/>
            </w:tcBorders>
            <w:shd w:val="clear" w:color="auto" w:fill="auto"/>
            <w:vAlign w:val="center"/>
          </w:tcPr>
          <w:p w14:paraId="19A8765A">
            <w:pPr>
              <w:spacing w:line="300" w:lineRule="exact"/>
              <w:jc w:val="center"/>
              <w:rPr>
                <w:rFonts w:ascii="宋体" w:hAnsi="宋体"/>
                <w:sz w:val="18"/>
                <w:szCs w:val="18"/>
              </w:rPr>
            </w:pPr>
            <w:r>
              <w:rPr>
                <w:rFonts w:hint="eastAsia" w:ascii="宋体" w:hAnsi="宋体"/>
                <w:sz w:val="18"/>
                <w:szCs w:val="18"/>
              </w:rPr>
              <w:t>争议解决方式</w:t>
            </w:r>
          </w:p>
        </w:tc>
        <w:tc>
          <w:tcPr>
            <w:tcW w:w="7524" w:type="dxa"/>
            <w:gridSpan w:val="5"/>
            <w:tcBorders>
              <w:top w:val="single" w:color="auto" w:sz="6" w:space="0"/>
              <w:left w:val="single" w:color="auto" w:sz="6" w:space="0"/>
              <w:bottom w:val="single" w:color="auto" w:sz="6" w:space="0"/>
              <w:right w:val="single" w:color="auto" w:sz="8" w:space="0"/>
            </w:tcBorders>
            <w:shd w:val="clear" w:color="auto" w:fill="auto"/>
            <w:vAlign w:val="center"/>
          </w:tcPr>
          <w:p w14:paraId="15AE9A33">
            <w:pPr>
              <w:pStyle w:val="5"/>
              <w:snapToGrid w:val="0"/>
              <w:spacing w:before="62" w:beforeLines="20" w:line="220" w:lineRule="exact"/>
              <w:ind w:firstLine="0"/>
              <w:rPr>
                <w:rFonts w:ascii="宋体" w:hAnsi="宋体"/>
                <w:sz w:val="18"/>
                <w:szCs w:val="18"/>
              </w:rPr>
            </w:pPr>
            <w:r>
              <w:rPr>
                <w:rFonts w:hint="eastAsia" w:ascii="宋体" w:hAnsi="宋体"/>
                <w:sz w:val="18"/>
                <w:szCs w:val="18"/>
              </w:rPr>
              <w:t>因履行本合同或与本合同有关的争议，双方应协商解决；经双方协商未达成协议的，采取下列之一方式解决：</w:t>
            </w:r>
          </w:p>
          <w:p w14:paraId="29616C74">
            <w:pPr>
              <w:spacing w:line="300" w:lineRule="exact"/>
              <w:rPr>
                <w:rFonts w:ascii="宋体" w:hAnsi="宋体"/>
                <w:sz w:val="18"/>
                <w:szCs w:val="18"/>
              </w:rPr>
            </w:pPr>
            <w:r>
              <w:rPr>
                <w:rFonts w:hint="eastAsia" w:ascii="宋体" w:hAnsi="宋体"/>
                <w:sz w:val="18"/>
                <w:szCs w:val="18"/>
              </w:rPr>
              <w:t>□</w:t>
            </w:r>
            <w:r>
              <w:rPr>
                <w:rFonts w:hint="eastAsia"/>
                <w:sz w:val="18"/>
                <w:szCs w:val="18"/>
              </w:rPr>
              <w:t>向仲裁委员会申请仲裁；</w:t>
            </w:r>
            <w:r>
              <w:rPr>
                <w:rFonts w:hint="eastAsia" w:ascii="宋体" w:hAnsi="宋体"/>
                <w:sz w:val="18"/>
                <w:szCs w:val="18"/>
              </w:rPr>
              <w:t>□</w:t>
            </w:r>
            <w:r>
              <w:rPr>
                <w:rFonts w:hint="eastAsia"/>
                <w:sz w:val="18"/>
                <w:szCs w:val="18"/>
              </w:rPr>
              <w:t>向被告方所在地人民法院提起诉讼。</w:t>
            </w:r>
          </w:p>
        </w:tc>
      </w:tr>
      <w:tr w14:paraId="2D8ECD0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1416" w:hRule="atLeast"/>
          <w:jc w:val="center"/>
        </w:trPr>
        <w:tc>
          <w:tcPr>
            <w:tcW w:w="2695" w:type="dxa"/>
            <w:gridSpan w:val="2"/>
            <w:tcBorders>
              <w:top w:val="single" w:color="auto" w:sz="6" w:space="0"/>
              <w:left w:val="single" w:color="auto" w:sz="8" w:space="0"/>
              <w:bottom w:val="single" w:color="auto" w:sz="6" w:space="0"/>
              <w:right w:val="single" w:color="auto" w:sz="6" w:space="0"/>
            </w:tcBorders>
            <w:shd w:val="clear" w:color="auto" w:fill="auto"/>
            <w:vAlign w:val="center"/>
          </w:tcPr>
          <w:p w14:paraId="6DDF1CD2">
            <w:pPr>
              <w:spacing w:line="300" w:lineRule="exact"/>
              <w:jc w:val="center"/>
              <w:rPr>
                <w:rFonts w:ascii="宋体" w:hAnsi="宋体"/>
                <w:sz w:val="18"/>
                <w:szCs w:val="18"/>
              </w:rPr>
            </w:pPr>
            <w:r>
              <w:rPr>
                <w:rFonts w:hint="eastAsia" w:ascii="宋体" w:hAnsi="宋体"/>
                <w:sz w:val="18"/>
                <w:szCs w:val="18"/>
              </w:rPr>
              <w:t>特别约定</w:t>
            </w:r>
          </w:p>
        </w:tc>
        <w:tc>
          <w:tcPr>
            <w:tcW w:w="7524" w:type="dxa"/>
            <w:gridSpan w:val="5"/>
            <w:tcBorders>
              <w:top w:val="single" w:color="auto" w:sz="6" w:space="0"/>
              <w:left w:val="single" w:color="auto" w:sz="6" w:space="0"/>
              <w:bottom w:val="single" w:color="auto" w:sz="6" w:space="0"/>
              <w:right w:val="single" w:color="auto" w:sz="8" w:space="0"/>
            </w:tcBorders>
            <w:shd w:val="clear" w:color="auto" w:fill="auto"/>
            <w:vAlign w:val="center"/>
          </w:tcPr>
          <w:p w14:paraId="3601F352">
            <w:pPr>
              <w:pStyle w:val="17"/>
              <w:numPr>
                <w:ilvl w:val="0"/>
                <w:numId w:val="0"/>
              </w:numPr>
              <w:ind w:leftChars="0"/>
              <w:rPr>
                <w:rFonts w:hint="eastAsia" w:ascii="宋体" w:cs="宋体"/>
                <w:kern w:val="0"/>
                <w:sz w:val="18"/>
                <w:szCs w:val="18"/>
              </w:rPr>
            </w:pPr>
            <w:r>
              <w:rPr>
                <w:rFonts w:hint="eastAsia" w:ascii="宋体" w:cs="宋体"/>
                <w:kern w:val="0"/>
                <w:sz w:val="18"/>
                <w:szCs w:val="18"/>
              </w:rPr>
              <w:t>1、本保险合同的成立以保险人核保后签发书面保险单为标志。如投保单约定的保险内容与实际出具的保险单或保险凭证内容不符，则以实际出具的保险单或保险凭证内容为准，投保人不得以实际出具的保险单或保险凭证内容与投保单约定不一致而拒绝承担责任；</w:t>
            </w:r>
          </w:p>
          <w:p w14:paraId="243BBBE2">
            <w:pPr>
              <w:pStyle w:val="17"/>
              <w:numPr>
                <w:ilvl w:val="0"/>
                <w:numId w:val="0"/>
              </w:numPr>
              <w:ind w:leftChars="0"/>
              <w:rPr>
                <w:rFonts w:hint="eastAsia" w:ascii="宋体" w:cs="宋体"/>
                <w:kern w:val="0"/>
                <w:sz w:val="18"/>
                <w:szCs w:val="18"/>
              </w:rPr>
            </w:pPr>
            <w:r>
              <w:rPr>
                <w:rFonts w:hint="eastAsia" w:ascii="宋体" w:cs="宋体"/>
                <w:kern w:val="0"/>
                <w:sz w:val="18"/>
                <w:szCs w:val="18"/>
              </w:rPr>
              <w:t>2、本保险合同适用《国任财产保险股份有限公司关税保证保险条款》。</w:t>
            </w:r>
          </w:p>
          <w:p w14:paraId="47939A19">
            <w:pPr>
              <w:pStyle w:val="17"/>
              <w:numPr>
                <w:ilvl w:val="0"/>
                <w:numId w:val="0"/>
              </w:numPr>
              <w:ind w:leftChars="0"/>
              <w:rPr>
                <w:rFonts w:hint="eastAsia" w:ascii="宋体" w:cs="宋体"/>
                <w:kern w:val="0"/>
                <w:sz w:val="18"/>
                <w:szCs w:val="18"/>
              </w:rPr>
            </w:pPr>
            <w:r>
              <w:rPr>
                <w:rFonts w:hint="eastAsia" w:ascii="宋体" w:cs="宋体"/>
                <w:kern w:val="0"/>
                <w:sz w:val="18"/>
                <w:szCs w:val="18"/>
              </w:rPr>
              <w:t>3、保险责任:投保人在保险期间内申报进口货物，对保险单载明编号的报关单项下的进口货</w:t>
            </w:r>
          </w:p>
          <w:p w14:paraId="50B1BA68">
            <w:pPr>
              <w:pStyle w:val="17"/>
              <w:numPr>
                <w:ilvl w:val="0"/>
                <w:numId w:val="0"/>
              </w:numPr>
              <w:ind w:leftChars="0"/>
              <w:rPr>
                <w:rFonts w:hint="eastAsia" w:ascii="宋体" w:cs="宋体"/>
                <w:kern w:val="0"/>
                <w:sz w:val="18"/>
                <w:szCs w:val="18"/>
              </w:rPr>
            </w:pPr>
            <w:r>
              <w:rPr>
                <w:rFonts w:hint="eastAsia" w:ascii="宋体" w:cs="宋体"/>
                <w:kern w:val="0"/>
                <w:sz w:val="18"/>
                <w:szCs w:val="18"/>
              </w:rPr>
              <w:t>物，在保险期间内未按海关规定的期限缴纳欠缴的海关税款及其滞纳金，经被保险人向保险人提出赔偿申请的，保险人按照本保险合同的约定向被保险人赔偿投保人应缴的海关税款及其滞纳金。</w:t>
            </w:r>
          </w:p>
          <w:p w14:paraId="6B160378">
            <w:pPr>
              <w:pStyle w:val="17"/>
              <w:numPr>
                <w:ilvl w:val="0"/>
                <w:numId w:val="0"/>
              </w:numPr>
              <w:ind w:leftChars="0"/>
              <w:rPr>
                <w:rFonts w:hint="eastAsia" w:ascii="宋体" w:cs="宋体"/>
                <w:kern w:val="0"/>
                <w:sz w:val="18"/>
                <w:szCs w:val="18"/>
              </w:rPr>
            </w:pPr>
            <w:r>
              <w:rPr>
                <w:rFonts w:hint="eastAsia" w:ascii="宋体" w:cs="宋体"/>
                <w:kern w:val="0"/>
                <w:sz w:val="18"/>
                <w:szCs w:val="18"/>
              </w:rPr>
              <w:t>4、保险人义务:对属于保险责任的，保险人应当在收到被保险人赔偿申请后五个工作日内，履行赔偿保险金义务，并支付至被保险人指定账户。</w:t>
            </w:r>
          </w:p>
          <w:p w14:paraId="3D5468C6">
            <w:pPr>
              <w:pStyle w:val="17"/>
              <w:numPr>
                <w:ilvl w:val="0"/>
                <w:numId w:val="0"/>
              </w:numPr>
              <w:ind w:leftChars="0"/>
              <w:rPr>
                <w:rFonts w:hint="eastAsia" w:ascii="宋体" w:cs="宋体"/>
                <w:kern w:val="0"/>
                <w:sz w:val="18"/>
                <w:szCs w:val="18"/>
              </w:rPr>
            </w:pPr>
            <w:r>
              <w:rPr>
                <w:rFonts w:hint="eastAsia" w:ascii="宋体" w:cs="宋体"/>
                <w:kern w:val="0"/>
                <w:sz w:val="18"/>
                <w:szCs w:val="18"/>
              </w:rPr>
              <w:t>5、保险合同成立后，除非征得被保险人同意，投保人和保险人均不得变更或解除本保险合同。</w:t>
            </w:r>
          </w:p>
          <w:p w14:paraId="0A624D3E">
            <w:pPr>
              <w:pStyle w:val="17"/>
              <w:numPr>
                <w:ilvl w:val="0"/>
                <w:numId w:val="0"/>
              </w:numPr>
              <w:ind w:leftChars="0"/>
              <w:rPr>
                <w:rFonts w:hint="eastAsia" w:ascii="宋体" w:cs="宋体"/>
                <w:kern w:val="0"/>
                <w:sz w:val="18"/>
                <w:szCs w:val="18"/>
              </w:rPr>
            </w:pPr>
            <w:r>
              <w:rPr>
                <w:rFonts w:hint="eastAsia" w:ascii="宋体" w:cs="宋体"/>
                <w:kern w:val="0"/>
                <w:sz w:val="18"/>
                <w:szCs w:val="18"/>
              </w:rPr>
              <w:t>6、被保险人向保险人请求赔偿的时效期间为二年，自其知道或者应当知道保险事故发生之日起计算。</w:t>
            </w:r>
          </w:p>
          <w:p w14:paraId="7D686CEC">
            <w:pPr>
              <w:pStyle w:val="17"/>
              <w:numPr>
                <w:ilvl w:val="0"/>
                <w:numId w:val="0"/>
              </w:numPr>
              <w:ind w:leftChars="0"/>
              <w:rPr>
                <w:rFonts w:hint="default" w:ascii="宋体" w:eastAsia="宋体" w:cs="宋体"/>
                <w:kern w:val="0"/>
                <w:sz w:val="18"/>
                <w:szCs w:val="18"/>
                <w:lang w:val="en-US" w:eastAsia="zh-CN"/>
              </w:rPr>
            </w:pPr>
            <w:r>
              <w:rPr>
                <w:rFonts w:hint="eastAsia" w:ascii="宋体" w:cs="宋体"/>
                <w:color w:val="auto"/>
                <w:kern w:val="0"/>
                <w:sz w:val="18"/>
                <w:szCs w:val="18"/>
                <w:lang w:val="en-US" w:eastAsia="zh-CN"/>
              </w:rPr>
              <w:t>7、投保标的详见附件货品装箱单发票ZLA-002。</w:t>
            </w:r>
          </w:p>
        </w:tc>
      </w:tr>
      <w:tr w14:paraId="67B2899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672" w:hRule="atLeast"/>
          <w:jc w:val="center"/>
        </w:trPr>
        <w:tc>
          <w:tcPr>
            <w:tcW w:w="10219" w:type="dxa"/>
            <w:gridSpan w:val="7"/>
            <w:tcBorders>
              <w:top w:val="single" w:color="auto" w:sz="6" w:space="0"/>
              <w:left w:val="single" w:color="auto" w:sz="8" w:space="0"/>
              <w:bottom w:val="single" w:color="auto" w:sz="6" w:space="0"/>
              <w:right w:val="single" w:color="auto" w:sz="8" w:space="0"/>
            </w:tcBorders>
            <w:shd w:val="clear" w:color="auto" w:fill="auto"/>
            <w:vAlign w:val="center"/>
          </w:tcPr>
          <w:p w14:paraId="11BEEAE4">
            <w:pPr>
              <w:spacing w:before="62" w:beforeLines="20" w:after="62" w:afterLines="20" w:line="220" w:lineRule="exact"/>
              <w:rPr>
                <w:b/>
                <w:bCs/>
                <w:szCs w:val="21"/>
              </w:rPr>
            </w:pPr>
            <w:r>
              <w:rPr>
                <w:rFonts w:hint="eastAsia"/>
                <w:b/>
                <w:bCs/>
                <w:szCs w:val="21"/>
              </w:rPr>
              <w:t>投保人声明：</w:t>
            </w:r>
          </w:p>
          <w:p w14:paraId="64579775">
            <w:pPr>
              <w:numPr>
                <w:ilvl w:val="0"/>
                <w:numId w:val="2"/>
              </w:numPr>
              <w:tabs>
                <w:tab w:val="left" w:pos="252"/>
                <w:tab w:val="clear" w:pos="360"/>
              </w:tabs>
              <w:spacing w:line="240" w:lineRule="exact"/>
              <w:ind w:left="249" w:hanging="249"/>
              <w:rPr>
                <w:rFonts w:eastAsia="仿宋_GB2312"/>
                <w:sz w:val="18"/>
              </w:rPr>
            </w:pPr>
            <w:r>
              <w:rPr>
                <w:rFonts w:hint="eastAsia" w:eastAsia="仿宋_GB2312"/>
                <w:sz w:val="18"/>
              </w:rPr>
              <w:t>投保人为投保本保险产品在本投保单所填上述内容和提供的其他相关资料以及所作的陈述全部属实，不存在故意隐瞒、因重大过失遗漏、虚假或误导性陈述等情况，并同意以本投保单作为订立保险合同的依据；</w:t>
            </w:r>
          </w:p>
          <w:p w14:paraId="5A8053A5">
            <w:pPr>
              <w:numPr>
                <w:ilvl w:val="0"/>
                <w:numId w:val="2"/>
              </w:numPr>
              <w:tabs>
                <w:tab w:val="left" w:pos="252"/>
                <w:tab w:val="clear" w:pos="360"/>
              </w:tabs>
              <w:spacing w:line="240" w:lineRule="exact"/>
              <w:ind w:left="249" w:hanging="249"/>
              <w:rPr>
                <w:rFonts w:eastAsia="仿宋_GB2312"/>
                <w:sz w:val="18"/>
              </w:rPr>
            </w:pPr>
            <w:r>
              <w:rPr>
                <w:rFonts w:hint="eastAsia" w:eastAsia="仿宋_GB2312"/>
                <w:sz w:val="18"/>
              </w:rPr>
              <w:t>投保人填写本投保单之前，保险人已经就本投保单及后附的保险条款的内容，尤其是关于保险人</w:t>
            </w:r>
            <w:r>
              <w:rPr>
                <w:rFonts w:hint="eastAsia" w:ascii="黑体" w:eastAsia="黑体"/>
                <w:b/>
                <w:szCs w:val="21"/>
              </w:rPr>
              <w:t>责任免除的条款</w:t>
            </w:r>
            <w:r>
              <w:rPr>
                <w:rFonts w:hint="eastAsia" w:eastAsia="仿宋_GB2312"/>
                <w:sz w:val="18"/>
              </w:rPr>
              <w:t>及</w:t>
            </w:r>
            <w:r>
              <w:rPr>
                <w:rFonts w:hint="eastAsia" w:ascii="黑体" w:eastAsia="黑体"/>
                <w:b/>
                <w:szCs w:val="21"/>
              </w:rPr>
              <w:t>投保人和被保险人义务条款</w:t>
            </w:r>
            <w:r>
              <w:rPr>
                <w:rFonts w:hint="eastAsia" w:eastAsia="仿宋_GB2312"/>
                <w:sz w:val="18"/>
              </w:rPr>
              <w:t>向投保人作了显著提示和明确说明，并特别就保险人</w:t>
            </w:r>
            <w:r>
              <w:rPr>
                <w:rFonts w:hint="eastAsia" w:ascii="黑体" w:eastAsia="黑体"/>
                <w:b/>
                <w:szCs w:val="21"/>
              </w:rPr>
              <w:t>责任免除条款</w:t>
            </w:r>
            <w:r>
              <w:rPr>
                <w:rFonts w:hint="eastAsia" w:eastAsia="仿宋_GB2312"/>
                <w:sz w:val="18"/>
              </w:rPr>
              <w:t>相关的</w:t>
            </w:r>
            <w:r>
              <w:rPr>
                <w:rFonts w:hint="eastAsia" w:ascii="黑体" w:eastAsia="黑体"/>
                <w:b/>
                <w:szCs w:val="21"/>
              </w:rPr>
              <w:t>概念、内容</w:t>
            </w:r>
            <w:r>
              <w:rPr>
                <w:rFonts w:hint="eastAsia" w:eastAsia="仿宋_GB2312"/>
                <w:szCs w:val="21"/>
              </w:rPr>
              <w:t>及其</w:t>
            </w:r>
            <w:r>
              <w:rPr>
                <w:rFonts w:hint="eastAsia" w:ascii="黑体" w:eastAsia="黑体"/>
                <w:b/>
                <w:szCs w:val="21"/>
              </w:rPr>
              <w:t>法律后果</w:t>
            </w:r>
            <w:r>
              <w:rPr>
                <w:rFonts w:hint="eastAsia" w:eastAsia="仿宋_GB2312"/>
                <w:sz w:val="18"/>
              </w:rPr>
              <w:t>以及</w:t>
            </w:r>
            <w:r>
              <w:rPr>
                <w:rFonts w:hint="eastAsia" w:ascii="黑体" w:eastAsia="黑体"/>
                <w:b/>
                <w:szCs w:val="21"/>
              </w:rPr>
              <w:t>其他相关事项</w:t>
            </w:r>
            <w:r>
              <w:rPr>
                <w:rFonts w:hint="eastAsia" w:eastAsia="仿宋_GB2312"/>
                <w:sz w:val="18"/>
              </w:rPr>
              <w:t>向投保人作出了解释和明确说明，投保人确认已理解和明了这些条款的</w:t>
            </w:r>
            <w:r>
              <w:rPr>
                <w:rFonts w:hint="eastAsia" w:ascii="黑体" w:eastAsia="黑体"/>
                <w:b/>
                <w:szCs w:val="21"/>
              </w:rPr>
              <w:t>真实含义</w:t>
            </w:r>
            <w:r>
              <w:rPr>
                <w:rFonts w:hint="eastAsia" w:eastAsia="仿宋_GB2312"/>
                <w:sz w:val="18"/>
              </w:rPr>
              <w:t>及</w:t>
            </w:r>
            <w:r>
              <w:rPr>
                <w:rFonts w:hint="eastAsia" w:ascii="黑体" w:eastAsia="黑体"/>
                <w:szCs w:val="21"/>
              </w:rPr>
              <w:t>法律后果</w:t>
            </w:r>
            <w:r>
              <w:rPr>
                <w:rFonts w:hint="eastAsia" w:eastAsia="仿宋_GB2312"/>
                <w:sz w:val="18"/>
              </w:rPr>
              <w:t>。投保人对本投保单及后附的保险条款的内容不存在任何异议，并同意接受本投保单及后附的保险条款的约束。</w:t>
            </w:r>
          </w:p>
          <w:p w14:paraId="1CCFE7E2">
            <w:pPr>
              <w:numPr>
                <w:ilvl w:val="0"/>
                <w:numId w:val="2"/>
              </w:numPr>
              <w:tabs>
                <w:tab w:val="left" w:pos="252"/>
                <w:tab w:val="clear" w:pos="360"/>
              </w:tabs>
              <w:spacing w:line="240" w:lineRule="exact"/>
              <w:ind w:left="249" w:hanging="249"/>
              <w:rPr>
                <w:rFonts w:eastAsia="仿宋_GB2312"/>
                <w:sz w:val="18"/>
              </w:rPr>
            </w:pPr>
            <w:r>
              <w:rPr>
                <w:rFonts w:hint="eastAsia" w:eastAsia="仿宋_GB2312"/>
                <w:sz w:val="18"/>
              </w:rPr>
              <w:t>本声明为投保人真实意思表示，系投保人自愿签署。</w:t>
            </w:r>
          </w:p>
          <w:p w14:paraId="3363382D">
            <w:pPr>
              <w:spacing w:before="62" w:beforeLines="20" w:after="62" w:afterLines="20" w:line="240" w:lineRule="exact"/>
              <w:ind w:firstLine="4765" w:firstLineChars="2260"/>
              <w:rPr>
                <w:b/>
                <w:szCs w:val="21"/>
              </w:rPr>
            </w:pPr>
            <w:r>
              <w:rPr>
                <w:rFonts w:hint="eastAsia"/>
                <w:b/>
                <w:szCs w:val="21"/>
              </w:rPr>
              <w:t>投保人签名（盖章）：</w:t>
            </w:r>
          </w:p>
          <w:p w14:paraId="3586401F">
            <w:pPr>
              <w:spacing w:before="62" w:beforeLines="20" w:after="62" w:afterLines="20" w:line="240" w:lineRule="exact"/>
              <w:ind w:firstLine="4765" w:firstLineChars="2260"/>
              <w:rPr>
                <w:b/>
                <w:szCs w:val="21"/>
              </w:rPr>
            </w:pPr>
          </w:p>
          <w:p w14:paraId="72FC061A">
            <w:pPr>
              <w:pStyle w:val="5"/>
              <w:snapToGrid w:val="0"/>
              <w:spacing w:line="220" w:lineRule="exact"/>
              <w:ind w:firstLine="7680" w:firstLineChars="3200"/>
              <w:rPr>
                <w:sz w:val="18"/>
              </w:rPr>
            </w:pPr>
            <w:r>
              <w:rPr>
                <w:rFonts w:hint="eastAsia"/>
                <w:szCs w:val="21"/>
              </w:rPr>
              <w:t>年     月     日</w:t>
            </w:r>
          </w:p>
        </w:tc>
      </w:tr>
    </w:tbl>
    <w:p w14:paraId="0BB2FE04">
      <w:pPr>
        <w:rPr>
          <w:rFonts w:hint="eastAsia" w:asciiTheme="minorEastAsia" w:hAnsiTheme="minorEastAsia" w:eastAsiaTheme="minorEastAsia" w:cstheme="minorBidi"/>
          <w:kern w:val="2"/>
          <w:sz w:val="18"/>
          <w:szCs w:val="18"/>
          <w:lang w:val="en-US" w:eastAsia="zh-CN" w:bidi="ar-SA"/>
        </w:rPr>
      </w:pPr>
      <w:r>
        <w:rPr>
          <w:rFonts w:hint="eastAsia" w:ascii="宋体" w:hAnsi="宋体" w:eastAsia="宋体" w:cs="Times New Roman"/>
          <w:b/>
          <w:bCs/>
          <w:szCs w:val="21"/>
        </w:rPr>
        <w:t>偿付能力信息披露：</w:t>
      </w:r>
      <w:r>
        <w:rPr>
          <w:rFonts w:hint="eastAsia" w:asciiTheme="minorEastAsia" w:hAnsiTheme="minorEastAsia" w:eastAsiaTheme="minorEastAsia" w:cstheme="minorBidi"/>
          <w:kern w:val="2"/>
          <w:sz w:val="18"/>
          <w:szCs w:val="18"/>
          <w:lang w:val="en-US" w:eastAsia="zh-CN" w:bidi="ar-SA"/>
        </w:rPr>
        <w:t xml:space="preserve"> 请您了解本公司最近季度的偿付能力信息(www.guorenpcic.com，公开信息披露--专项信息偿付能力)，该偿付能力充足率达到了监管要求。</w:t>
      </w:r>
    </w:p>
    <w:p w14:paraId="2B750912">
      <w:pPr>
        <w:widowControl/>
        <w:jc w:val="left"/>
        <w:rPr>
          <w:rFonts w:hint="eastAsia" w:asciiTheme="minorEastAsia" w:hAnsiTheme="minorEastAsia" w:eastAsiaTheme="minorEastAsia" w:cstheme="minorBidi"/>
          <w:kern w:val="2"/>
          <w:sz w:val="18"/>
          <w:szCs w:val="18"/>
          <w:lang w:val="en-US" w:eastAsia="zh-CN" w:bidi="ar-SA"/>
        </w:rPr>
      </w:pPr>
    </w:p>
    <w:tbl>
      <w:tblPr>
        <w:tblStyle w:val="11"/>
        <w:tblpPr w:leftFromText="180" w:rightFromText="180" w:vertAnchor="text" w:horzAnchor="page" w:tblpX="950" w:tblpY="496"/>
        <w:tblOverlap w:val="never"/>
        <w:tblW w:w="10516" w:type="dxa"/>
        <w:tblInd w:w="0" w:type="dxa"/>
        <w:tblLayout w:type="fixed"/>
        <w:tblCellMar>
          <w:top w:w="0" w:type="dxa"/>
          <w:left w:w="108" w:type="dxa"/>
          <w:bottom w:w="0" w:type="dxa"/>
          <w:right w:w="108" w:type="dxa"/>
        </w:tblCellMar>
      </w:tblPr>
      <w:tblGrid>
        <w:gridCol w:w="2506"/>
        <w:gridCol w:w="1248"/>
        <w:gridCol w:w="1094"/>
        <w:gridCol w:w="1333"/>
        <w:gridCol w:w="1258"/>
        <w:gridCol w:w="2755"/>
        <w:gridCol w:w="322"/>
      </w:tblGrid>
      <w:tr w14:paraId="433F3307">
        <w:tblPrEx>
          <w:tblCellMar>
            <w:top w:w="0" w:type="dxa"/>
            <w:left w:w="108" w:type="dxa"/>
            <w:bottom w:w="0" w:type="dxa"/>
            <w:right w:w="108" w:type="dxa"/>
          </w:tblCellMar>
        </w:tblPrEx>
        <w:trPr>
          <w:trHeight w:val="270" w:hRule="atLeast"/>
        </w:trPr>
        <w:tc>
          <w:tcPr>
            <w:tcW w:w="10516" w:type="dxa"/>
            <w:gridSpan w:val="7"/>
            <w:tcBorders>
              <w:top w:val="nil"/>
              <w:left w:val="nil"/>
              <w:bottom w:val="nil"/>
              <w:right w:val="nil"/>
            </w:tcBorders>
            <w:shd w:val="clear" w:color="auto" w:fill="auto"/>
            <w:vAlign w:val="center"/>
          </w:tcPr>
          <w:p w14:paraId="3B3B8B9E">
            <w:pPr>
              <w:widowControl/>
              <w:jc w:val="center"/>
              <w:rPr>
                <w:rFonts w:cs="宋体" w:asciiTheme="minorEastAsia" w:hAnsiTheme="minorEastAsia"/>
                <w:color w:val="000000"/>
                <w:kern w:val="0"/>
                <w:sz w:val="18"/>
                <w:szCs w:val="18"/>
              </w:rPr>
            </w:pPr>
            <w:r>
              <w:rPr>
                <w:rFonts w:hint="eastAsia" w:asciiTheme="minorEastAsia" w:hAnsiTheme="minorEastAsia"/>
                <w:b/>
                <w:bCs/>
                <w:sz w:val="18"/>
                <w:szCs w:val="18"/>
              </w:rPr>
              <w:t>以下内容为保险公司人员填写</w:t>
            </w:r>
          </w:p>
        </w:tc>
      </w:tr>
      <w:tr w14:paraId="114B365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After w:val="1"/>
          <w:wAfter w:w="322" w:type="dxa"/>
          <w:cantSplit/>
          <w:trHeight w:val="273" w:hRule="atLeast"/>
        </w:trPr>
        <w:tc>
          <w:tcPr>
            <w:tcW w:w="2506" w:type="dxa"/>
            <w:tcBorders>
              <w:top w:val="single" w:color="auto" w:sz="4" w:space="0"/>
              <w:left w:val="single" w:color="auto" w:sz="4" w:space="0"/>
              <w:bottom w:val="single" w:color="auto" w:sz="4" w:space="0"/>
              <w:right w:val="single" w:color="auto" w:sz="8" w:space="0"/>
            </w:tcBorders>
            <w:shd w:val="clear" w:color="auto" w:fill="auto"/>
            <w:vAlign w:val="center"/>
          </w:tcPr>
          <w:p w14:paraId="1D398D12">
            <w:pPr>
              <w:jc w:val="center"/>
              <w:rPr>
                <w:rFonts w:asciiTheme="minorEastAsia" w:hAnsiTheme="minorEastAsia"/>
                <w:spacing w:val="-2"/>
                <w:sz w:val="18"/>
                <w:szCs w:val="18"/>
              </w:rPr>
            </w:pPr>
            <w:r>
              <w:rPr>
                <w:rFonts w:hint="eastAsia" w:asciiTheme="minorEastAsia" w:hAnsiTheme="minorEastAsia"/>
                <w:spacing w:val="-2"/>
                <w:sz w:val="18"/>
                <w:szCs w:val="18"/>
              </w:rPr>
              <w:t>业务员签名</w:t>
            </w:r>
          </w:p>
        </w:tc>
        <w:tc>
          <w:tcPr>
            <w:tcW w:w="1248" w:type="dxa"/>
            <w:tcBorders>
              <w:top w:val="single" w:color="auto" w:sz="4" w:space="0"/>
              <w:left w:val="single" w:color="auto" w:sz="8" w:space="0"/>
              <w:bottom w:val="single" w:color="auto" w:sz="4" w:space="0"/>
              <w:right w:val="single" w:color="auto" w:sz="8" w:space="0"/>
            </w:tcBorders>
            <w:shd w:val="clear" w:color="auto" w:fill="auto"/>
            <w:vAlign w:val="center"/>
          </w:tcPr>
          <w:p w14:paraId="3B0B366D">
            <w:pPr>
              <w:rPr>
                <w:rFonts w:asciiTheme="minorEastAsia" w:hAnsiTheme="minorEastAsia"/>
                <w:sz w:val="18"/>
                <w:szCs w:val="18"/>
              </w:rPr>
            </w:pPr>
          </w:p>
        </w:tc>
        <w:tc>
          <w:tcPr>
            <w:tcW w:w="1094" w:type="dxa"/>
            <w:tcBorders>
              <w:top w:val="single" w:color="auto" w:sz="4" w:space="0"/>
              <w:left w:val="single" w:color="auto" w:sz="8" w:space="0"/>
              <w:bottom w:val="single" w:color="auto" w:sz="4" w:space="0"/>
              <w:right w:val="single" w:color="auto" w:sz="8" w:space="0"/>
            </w:tcBorders>
            <w:shd w:val="clear" w:color="auto" w:fill="auto"/>
            <w:vAlign w:val="center"/>
          </w:tcPr>
          <w:p w14:paraId="3E09B6DC">
            <w:pPr>
              <w:jc w:val="center"/>
              <w:rPr>
                <w:rFonts w:asciiTheme="minorEastAsia" w:hAnsiTheme="minorEastAsia"/>
                <w:sz w:val="18"/>
                <w:szCs w:val="18"/>
              </w:rPr>
            </w:pPr>
            <w:r>
              <w:rPr>
                <w:rFonts w:hint="eastAsia" w:asciiTheme="minorEastAsia" w:hAnsiTheme="minorEastAsia"/>
                <w:sz w:val="18"/>
                <w:szCs w:val="18"/>
              </w:rPr>
              <w:t>业务员代码</w:t>
            </w:r>
          </w:p>
        </w:tc>
        <w:tc>
          <w:tcPr>
            <w:tcW w:w="1333" w:type="dxa"/>
            <w:tcBorders>
              <w:top w:val="single" w:color="auto" w:sz="4" w:space="0"/>
              <w:left w:val="single" w:color="auto" w:sz="8" w:space="0"/>
              <w:bottom w:val="single" w:color="auto" w:sz="4" w:space="0"/>
              <w:right w:val="single" w:color="auto" w:sz="8" w:space="0"/>
            </w:tcBorders>
            <w:shd w:val="clear" w:color="auto" w:fill="auto"/>
            <w:vAlign w:val="center"/>
          </w:tcPr>
          <w:p w14:paraId="6A4A5822">
            <w:pPr>
              <w:jc w:val="center"/>
              <w:rPr>
                <w:rFonts w:asciiTheme="minorEastAsia" w:hAnsiTheme="minorEastAsia"/>
                <w:sz w:val="18"/>
                <w:szCs w:val="18"/>
              </w:rPr>
            </w:pPr>
          </w:p>
        </w:tc>
        <w:tc>
          <w:tcPr>
            <w:tcW w:w="1258" w:type="dxa"/>
            <w:tcBorders>
              <w:top w:val="single" w:color="auto" w:sz="4" w:space="0"/>
              <w:left w:val="single" w:color="auto" w:sz="8" w:space="0"/>
              <w:bottom w:val="single" w:color="auto" w:sz="4" w:space="0"/>
              <w:right w:val="single" w:color="auto" w:sz="8" w:space="0"/>
            </w:tcBorders>
            <w:shd w:val="clear" w:color="auto" w:fill="auto"/>
            <w:vAlign w:val="center"/>
          </w:tcPr>
          <w:p w14:paraId="6C69E4FC">
            <w:pPr>
              <w:ind w:left="15"/>
              <w:jc w:val="center"/>
              <w:rPr>
                <w:rFonts w:asciiTheme="minorEastAsia" w:hAnsiTheme="minorEastAsia"/>
                <w:sz w:val="18"/>
                <w:szCs w:val="18"/>
              </w:rPr>
            </w:pPr>
            <w:r>
              <w:rPr>
                <w:rFonts w:hint="eastAsia" w:asciiTheme="minorEastAsia" w:hAnsiTheme="minorEastAsia"/>
                <w:sz w:val="18"/>
                <w:szCs w:val="18"/>
              </w:rPr>
              <w:t>业务员联系电话</w:t>
            </w:r>
          </w:p>
        </w:tc>
        <w:tc>
          <w:tcPr>
            <w:tcW w:w="2755" w:type="dxa"/>
            <w:tcBorders>
              <w:top w:val="single" w:color="auto" w:sz="4" w:space="0"/>
              <w:left w:val="single" w:color="auto" w:sz="8" w:space="0"/>
              <w:bottom w:val="single" w:color="auto" w:sz="4" w:space="0"/>
              <w:right w:val="single" w:color="auto" w:sz="4" w:space="0"/>
            </w:tcBorders>
            <w:shd w:val="clear" w:color="auto" w:fill="auto"/>
            <w:vAlign w:val="center"/>
          </w:tcPr>
          <w:p w14:paraId="5D2D09EF">
            <w:pPr>
              <w:jc w:val="center"/>
              <w:rPr>
                <w:rFonts w:asciiTheme="minorEastAsia" w:hAnsiTheme="minorEastAsia"/>
                <w:sz w:val="18"/>
                <w:szCs w:val="18"/>
              </w:rPr>
            </w:pPr>
          </w:p>
        </w:tc>
      </w:tr>
      <w:tr w14:paraId="5C17080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After w:val="1"/>
          <w:wAfter w:w="322" w:type="dxa"/>
          <w:cantSplit/>
          <w:trHeight w:val="273" w:hRule="atLeast"/>
        </w:trPr>
        <w:tc>
          <w:tcPr>
            <w:tcW w:w="2506" w:type="dxa"/>
            <w:tcBorders>
              <w:top w:val="single" w:color="auto" w:sz="4" w:space="0"/>
              <w:left w:val="single" w:color="auto" w:sz="4" w:space="0"/>
              <w:bottom w:val="single" w:color="auto" w:sz="4" w:space="0"/>
              <w:right w:val="single" w:color="auto" w:sz="8" w:space="0"/>
            </w:tcBorders>
            <w:shd w:val="clear" w:color="auto" w:fill="auto"/>
            <w:vAlign w:val="center"/>
          </w:tcPr>
          <w:p w14:paraId="4E7415A6">
            <w:pPr>
              <w:jc w:val="center"/>
              <w:rPr>
                <w:rFonts w:asciiTheme="minorEastAsia" w:hAnsiTheme="minorEastAsia"/>
                <w:sz w:val="18"/>
                <w:szCs w:val="18"/>
              </w:rPr>
            </w:pPr>
            <w:r>
              <w:rPr>
                <w:rFonts w:hint="eastAsia" w:asciiTheme="minorEastAsia" w:hAnsiTheme="minorEastAsia"/>
                <w:sz w:val="18"/>
                <w:szCs w:val="18"/>
              </w:rPr>
              <w:t>业务来源</w:t>
            </w:r>
          </w:p>
        </w:tc>
        <w:tc>
          <w:tcPr>
            <w:tcW w:w="7688" w:type="dxa"/>
            <w:gridSpan w:val="5"/>
            <w:tcBorders>
              <w:top w:val="single" w:color="auto" w:sz="4" w:space="0"/>
              <w:left w:val="single" w:color="auto" w:sz="8" w:space="0"/>
              <w:bottom w:val="single" w:color="auto" w:sz="4" w:space="0"/>
              <w:right w:val="single" w:color="auto" w:sz="4" w:space="0"/>
            </w:tcBorders>
            <w:shd w:val="clear" w:color="auto" w:fill="auto"/>
            <w:vAlign w:val="center"/>
          </w:tcPr>
          <w:p w14:paraId="47D4CB19">
            <w:pPr>
              <w:jc w:val="center"/>
              <w:rPr>
                <w:rFonts w:asciiTheme="minorEastAsia" w:hAnsiTheme="minorEastAsia"/>
                <w:sz w:val="18"/>
                <w:szCs w:val="18"/>
              </w:rPr>
            </w:pPr>
            <w:r>
              <w:rPr>
                <w:rFonts w:hint="eastAsia" w:asciiTheme="minorEastAsia" w:hAnsiTheme="minorEastAsia"/>
                <w:spacing w:val="-2"/>
                <w:sz w:val="18"/>
                <w:szCs w:val="18"/>
              </w:rPr>
              <w:t>□网上投保□直接业务□代理业务□经纪业务□其他</w:t>
            </w:r>
          </w:p>
        </w:tc>
      </w:tr>
      <w:tr w14:paraId="00C727C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After w:val="1"/>
          <w:wAfter w:w="322" w:type="dxa"/>
          <w:cantSplit/>
          <w:trHeight w:val="273" w:hRule="atLeast"/>
        </w:trPr>
        <w:tc>
          <w:tcPr>
            <w:tcW w:w="2506" w:type="dxa"/>
            <w:tcBorders>
              <w:top w:val="single" w:color="auto" w:sz="4" w:space="0"/>
              <w:left w:val="single" w:color="auto" w:sz="4" w:space="0"/>
              <w:bottom w:val="single" w:color="auto" w:sz="6" w:space="0"/>
              <w:right w:val="single" w:color="auto" w:sz="8" w:space="0"/>
            </w:tcBorders>
            <w:shd w:val="clear" w:color="auto" w:fill="auto"/>
            <w:vAlign w:val="center"/>
          </w:tcPr>
          <w:p w14:paraId="2AD50EB4">
            <w:pPr>
              <w:jc w:val="center"/>
              <w:rPr>
                <w:rFonts w:asciiTheme="minorEastAsia" w:hAnsiTheme="minorEastAsia"/>
                <w:spacing w:val="-6"/>
                <w:sz w:val="18"/>
                <w:szCs w:val="18"/>
              </w:rPr>
            </w:pPr>
            <w:r>
              <w:rPr>
                <w:rFonts w:hint="eastAsia" w:asciiTheme="minorEastAsia" w:hAnsiTheme="minorEastAsia"/>
                <w:spacing w:val="-6"/>
                <w:sz w:val="18"/>
                <w:szCs w:val="18"/>
              </w:rPr>
              <w:t>中介机构</w:t>
            </w:r>
          </w:p>
          <w:p w14:paraId="0964EF1E">
            <w:pPr>
              <w:jc w:val="center"/>
              <w:rPr>
                <w:rFonts w:asciiTheme="minorEastAsia" w:hAnsiTheme="minorEastAsia"/>
                <w:sz w:val="18"/>
                <w:szCs w:val="18"/>
              </w:rPr>
            </w:pPr>
            <w:r>
              <w:rPr>
                <w:rFonts w:hint="eastAsia" w:asciiTheme="minorEastAsia" w:hAnsiTheme="minorEastAsia"/>
                <w:spacing w:val="-6"/>
                <w:sz w:val="18"/>
                <w:szCs w:val="18"/>
              </w:rPr>
              <w:t>名称</w:t>
            </w:r>
          </w:p>
        </w:tc>
        <w:tc>
          <w:tcPr>
            <w:tcW w:w="2342" w:type="dxa"/>
            <w:gridSpan w:val="2"/>
            <w:tcBorders>
              <w:top w:val="single" w:color="auto" w:sz="4" w:space="0"/>
              <w:left w:val="single" w:color="auto" w:sz="8" w:space="0"/>
              <w:bottom w:val="single" w:color="auto" w:sz="6" w:space="0"/>
              <w:right w:val="single" w:color="auto" w:sz="8" w:space="0"/>
            </w:tcBorders>
            <w:shd w:val="clear" w:color="auto" w:fill="auto"/>
            <w:vAlign w:val="center"/>
          </w:tcPr>
          <w:p w14:paraId="3F225D0D">
            <w:pPr>
              <w:jc w:val="center"/>
              <w:rPr>
                <w:rFonts w:asciiTheme="minorEastAsia" w:hAnsiTheme="minorEastAsia"/>
                <w:spacing w:val="-2"/>
                <w:sz w:val="18"/>
                <w:szCs w:val="18"/>
              </w:rPr>
            </w:pPr>
          </w:p>
        </w:tc>
        <w:tc>
          <w:tcPr>
            <w:tcW w:w="2591" w:type="dxa"/>
            <w:gridSpan w:val="2"/>
            <w:tcBorders>
              <w:top w:val="single" w:color="auto" w:sz="4" w:space="0"/>
              <w:left w:val="single" w:color="auto" w:sz="8" w:space="0"/>
              <w:bottom w:val="single" w:color="auto" w:sz="6" w:space="0"/>
              <w:right w:val="single" w:color="auto" w:sz="8" w:space="0"/>
            </w:tcBorders>
            <w:shd w:val="clear" w:color="auto" w:fill="auto"/>
            <w:vAlign w:val="center"/>
          </w:tcPr>
          <w:p w14:paraId="04269A69">
            <w:pPr>
              <w:jc w:val="center"/>
              <w:rPr>
                <w:rFonts w:asciiTheme="minorEastAsia" w:hAnsiTheme="minorEastAsia"/>
                <w:spacing w:val="-6"/>
                <w:sz w:val="18"/>
                <w:szCs w:val="18"/>
              </w:rPr>
            </w:pPr>
            <w:r>
              <w:rPr>
                <w:rFonts w:hint="eastAsia" w:asciiTheme="minorEastAsia" w:hAnsiTheme="minorEastAsia"/>
                <w:sz w:val="18"/>
                <w:szCs w:val="18"/>
              </w:rPr>
              <w:t>中介机构代码</w:t>
            </w:r>
          </w:p>
        </w:tc>
        <w:tc>
          <w:tcPr>
            <w:tcW w:w="2755" w:type="dxa"/>
            <w:tcBorders>
              <w:top w:val="single" w:color="auto" w:sz="4" w:space="0"/>
              <w:left w:val="single" w:color="auto" w:sz="8" w:space="0"/>
              <w:bottom w:val="single" w:color="auto" w:sz="6" w:space="0"/>
              <w:right w:val="single" w:color="auto" w:sz="4" w:space="0"/>
            </w:tcBorders>
            <w:shd w:val="clear" w:color="auto" w:fill="auto"/>
            <w:vAlign w:val="center"/>
          </w:tcPr>
          <w:p w14:paraId="6B845C40">
            <w:pPr>
              <w:spacing w:before="62" w:beforeLines="20" w:after="62" w:afterLines="20" w:line="220" w:lineRule="exact"/>
              <w:jc w:val="center"/>
              <w:rPr>
                <w:rFonts w:asciiTheme="minorEastAsia" w:hAnsiTheme="minorEastAsia"/>
                <w:b/>
                <w:bCs/>
                <w:sz w:val="18"/>
                <w:szCs w:val="18"/>
              </w:rPr>
            </w:pPr>
          </w:p>
        </w:tc>
      </w:tr>
      <w:tr w14:paraId="6A2BA13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After w:val="1"/>
          <w:wAfter w:w="322" w:type="dxa"/>
          <w:cantSplit/>
          <w:trHeight w:val="918" w:hRule="atLeast"/>
        </w:trPr>
        <w:tc>
          <w:tcPr>
            <w:tcW w:w="10194" w:type="dxa"/>
            <w:gridSpan w:val="6"/>
            <w:tcBorders>
              <w:top w:val="single" w:color="auto" w:sz="6" w:space="0"/>
              <w:left w:val="single" w:color="auto" w:sz="4" w:space="0"/>
              <w:bottom w:val="single" w:color="auto" w:sz="4" w:space="0"/>
              <w:right w:val="single" w:color="auto" w:sz="4" w:space="0"/>
            </w:tcBorders>
            <w:shd w:val="clear" w:color="auto" w:fill="auto"/>
            <w:vAlign w:val="center"/>
          </w:tcPr>
          <w:p w14:paraId="311188DA">
            <w:pPr>
              <w:jc w:val="center"/>
              <w:rPr>
                <w:rFonts w:asciiTheme="minorEastAsia" w:hAnsiTheme="minorEastAsia"/>
                <w:sz w:val="18"/>
                <w:szCs w:val="18"/>
              </w:rPr>
            </w:pPr>
            <w:r>
              <w:rPr>
                <w:rFonts w:hint="eastAsia" w:asciiTheme="minorEastAsia" w:hAnsiTheme="minorEastAsia"/>
                <w:sz w:val="18"/>
                <w:szCs w:val="18"/>
              </w:rPr>
              <w:t>核保人意见：</w:t>
            </w:r>
          </w:p>
          <w:p w14:paraId="6176D06F">
            <w:pPr>
              <w:spacing w:before="62" w:beforeLines="20" w:after="62" w:afterLines="20" w:line="220" w:lineRule="exact"/>
              <w:jc w:val="center"/>
              <w:rPr>
                <w:rFonts w:asciiTheme="minorEastAsia" w:hAnsiTheme="minorEastAsia"/>
                <w:b/>
                <w:bCs/>
                <w:sz w:val="18"/>
                <w:szCs w:val="18"/>
              </w:rPr>
            </w:pPr>
            <w:r>
              <w:rPr>
                <w:rFonts w:hint="eastAsia" w:asciiTheme="minorEastAsia" w:hAnsiTheme="minorEastAsia"/>
                <w:sz w:val="18"/>
                <w:szCs w:val="18"/>
              </w:rPr>
              <w:t>核保人签章：         日期：   年  月   日</w:t>
            </w:r>
          </w:p>
        </w:tc>
      </w:tr>
    </w:tbl>
    <w:p w14:paraId="36F6A89B">
      <w:pPr>
        <w:rPr>
          <w:rFonts w:hint="default" w:eastAsia="宋体"/>
          <w:lang w:val="en-US" w:eastAsia="zh-CN"/>
        </w:rPr>
      </w:pPr>
    </w:p>
    <w:p w14:paraId="367FAF2E"/>
    <w:p w14:paraId="06E91E21"/>
    <w:p w14:paraId="6FF4C993"/>
    <w:p w14:paraId="31700F08"/>
    <w:p w14:paraId="323FCFAB"/>
    <w:p w14:paraId="0808E09D">
      <w:pPr>
        <w:adjustRightInd w:val="0"/>
        <w:snapToGrid w:val="0"/>
        <w:spacing w:before="156" w:beforeLines="50" w:after="156" w:afterLines="50"/>
        <w:jc w:val="center"/>
        <w:rPr>
          <w:rFonts w:ascii="宋体" w:hAnsi="宋体" w:cs="宋体"/>
          <w:b/>
          <w:bCs/>
          <w:sz w:val="32"/>
          <w:szCs w:val="32"/>
        </w:rPr>
      </w:pPr>
      <w:r>
        <w:rPr>
          <w:rFonts w:hint="eastAsia" w:ascii="宋体" w:hAnsi="宋体" w:cs="宋体"/>
          <w:b/>
          <w:bCs/>
          <w:sz w:val="32"/>
          <w:szCs w:val="32"/>
        </w:rPr>
        <w:t>国任财产保险股份有限公司</w:t>
      </w:r>
    </w:p>
    <w:p w14:paraId="77567C7E">
      <w:pPr>
        <w:adjustRightInd w:val="0"/>
        <w:snapToGrid w:val="0"/>
        <w:spacing w:before="156" w:beforeLines="50" w:after="156" w:afterLines="50"/>
        <w:jc w:val="center"/>
        <w:rPr>
          <w:rFonts w:hint="eastAsia" w:ascii="宋体" w:hAnsi="宋体" w:cs="宋体"/>
          <w:b/>
          <w:bCs/>
          <w:sz w:val="32"/>
          <w:szCs w:val="32"/>
        </w:rPr>
      </w:pPr>
      <w:r>
        <w:rPr>
          <w:rFonts w:hint="eastAsia" w:ascii="宋体" w:hAnsi="宋体" w:cs="宋体"/>
          <w:b/>
          <w:bCs/>
          <w:sz w:val="32"/>
          <w:szCs w:val="32"/>
        </w:rPr>
        <w:t>关税保证保险条款</w:t>
      </w:r>
    </w:p>
    <w:p w14:paraId="799E3DDE">
      <w:pPr>
        <w:adjustRightInd w:val="0"/>
        <w:snapToGrid w:val="0"/>
        <w:spacing w:before="156" w:beforeLines="50" w:after="156" w:afterLines="50"/>
        <w:jc w:val="center"/>
        <w:rPr>
          <w:rFonts w:hint="eastAsia" w:ascii="宋体" w:hAnsi="宋体" w:cs="宋体"/>
          <w:b/>
          <w:bCs/>
          <w:sz w:val="44"/>
          <w:szCs w:val="44"/>
        </w:rPr>
      </w:pPr>
      <w:r>
        <w:rPr>
          <w:rFonts w:hint="eastAsia" w:ascii="微软雅黑" w:hAnsi="微软雅黑" w:eastAsia="微软雅黑" w:cs="微软雅黑"/>
          <w:i w:val="0"/>
          <w:iCs w:val="0"/>
          <w:caps w:val="0"/>
          <w:color w:val="333333"/>
          <w:spacing w:val="0"/>
          <w:sz w:val="18"/>
          <w:szCs w:val="18"/>
          <w:shd w:val="clear" w:fill="FFFFFF"/>
        </w:rPr>
        <w:t>(国任财险)(备-保证保险)【2024】(主) 091号</w:t>
      </w:r>
    </w:p>
    <w:p w14:paraId="0379D8D6">
      <w:pPr>
        <w:adjustRightInd w:val="0"/>
        <w:spacing w:before="156" w:beforeLines="50" w:after="156" w:afterLines="50"/>
        <w:jc w:val="center"/>
        <w:rPr>
          <w:rFonts w:ascii="宋体"/>
          <w:b/>
          <w:bCs/>
        </w:rPr>
      </w:pPr>
      <w:r>
        <w:rPr>
          <w:rFonts w:hint="eastAsia" w:ascii="宋体" w:cs="宋体"/>
          <w:b/>
          <w:bCs/>
        </w:rPr>
        <w:t>总则</w:t>
      </w:r>
    </w:p>
    <w:p w14:paraId="6C8B3CB1">
      <w:pPr>
        <w:adjustRightInd w:val="0"/>
        <w:snapToGrid w:val="0"/>
        <w:spacing w:before="0" w:beforeLines="0" w:after="0" w:afterLines="0" w:line="360" w:lineRule="auto"/>
        <w:ind w:firstLine="422" w:firstLineChars="200"/>
        <w:rPr>
          <w:rFonts w:ascii="宋体"/>
        </w:rPr>
      </w:pPr>
      <w:r>
        <w:rPr>
          <w:rFonts w:hint="eastAsia" w:ascii="宋体" w:cs="宋体"/>
          <w:b/>
          <w:bCs/>
        </w:rPr>
        <w:t xml:space="preserve">第一条 </w:t>
      </w:r>
      <w:r>
        <w:rPr>
          <w:rFonts w:hint="eastAsia" w:ascii="宋体" w:cs="宋体"/>
        </w:rPr>
        <w:t>本保险合同由保险条款、投保单、保险单、变更申请书及批单等文件组成。凡涉及本保险合同的约定，均应采取书面形式。</w:t>
      </w:r>
    </w:p>
    <w:p w14:paraId="0554D106">
      <w:pPr>
        <w:adjustRightInd w:val="0"/>
        <w:snapToGrid w:val="0"/>
        <w:spacing w:before="0" w:beforeLines="0" w:after="0" w:afterLines="0" w:line="360" w:lineRule="auto"/>
        <w:ind w:firstLine="422" w:firstLineChars="200"/>
        <w:rPr>
          <w:rFonts w:ascii="宋体"/>
        </w:rPr>
      </w:pPr>
      <w:r>
        <w:rPr>
          <w:rFonts w:hint="eastAsia" w:ascii="宋体" w:cs="宋体"/>
          <w:b/>
          <w:bCs/>
        </w:rPr>
        <w:t xml:space="preserve">第二条 </w:t>
      </w:r>
      <w:r>
        <w:rPr>
          <w:rFonts w:hint="eastAsia" w:ascii="宋体" w:cs="宋体"/>
        </w:rPr>
        <w:t>在中华人民共和国境内依法注册成立并经中华人民共和国海关注册登记和备案，信用等级为失信企业之外的企业，可作为本保险合同的投保人。</w:t>
      </w:r>
    </w:p>
    <w:p w14:paraId="5D98F00A">
      <w:pPr>
        <w:adjustRightInd w:val="0"/>
        <w:snapToGrid w:val="0"/>
        <w:spacing w:before="0" w:beforeLines="0" w:after="0" w:afterLines="0" w:line="360" w:lineRule="auto"/>
        <w:ind w:firstLine="422" w:firstLineChars="200"/>
        <w:rPr>
          <w:rFonts w:ascii="宋体"/>
        </w:rPr>
      </w:pPr>
      <w:r>
        <w:rPr>
          <w:rFonts w:hint="eastAsia" w:ascii="宋体" w:cs="宋体"/>
          <w:b/>
          <w:bCs/>
        </w:rPr>
        <w:t xml:space="preserve">第三条 </w:t>
      </w:r>
      <w:r>
        <w:rPr>
          <w:rFonts w:hint="eastAsia" w:ascii="宋体" w:cs="宋体"/>
        </w:rPr>
        <w:t>中华人民共和国海关为本保险合同的被保险人。</w:t>
      </w:r>
    </w:p>
    <w:p w14:paraId="1D4BEDAA">
      <w:pPr>
        <w:adjustRightInd w:val="0"/>
        <w:spacing w:before="156" w:beforeLines="50" w:after="156" w:afterLines="50"/>
        <w:jc w:val="center"/>
        <w:rPr>
          <w:rFonts w:ascii="宋体"/>
          <w:b/>
          <w:bCs/>
        </w:rPr>
      </w:pPr>
      <w:r>
        <w:rPr>
          <w:rFonts w:hint="eastAsia" w:ascii="宋体" w:cs="宋体"/>
          <w:b/>
          <w:bCs/>
        </w:rPr>
        <w:t>保险责任和责任免除</w:t>
      </w:r>
    </w:p>
    <w:p w14:paraId="1F435120">
      <w:pPr>
        <w:adjustRightInd w:val="0"/>
        <w:snapToGrid w:val="0"/>
        <w:spacing w:before="0" w:beforeLines="0" w:after="0" w:afterLines="0" w:line="360" w:lineRule="auto"/>
        <w:ind w:firstLine="422" w:firstLineChars="200"/>
        <w:rPr>
          <w:rFonts w:hint="eastAsia" w:ascii="宋体" w:cs="宋体"/>
          <w:b/>
          <w:bCs/>
        </w:rPr>
      </w:pPr>
      <w:r>
        <w:rPr>
          <w:rFonts w:hint="eastAsia" w:ascii="宋体" w:cs="宋体"/>
          <w:b/>
          <w:bCs/>
        </w:rPr>
        <w:t xml:space="preserve">第四条 </w:t>
      </w:r>
      <w:r>
        <w:rPr>
          <w:rFonts w:hint="eastAsia" w:ascii="宋体" w:cs="宋体"/>
          <w:b w:val="0"/>
          <w:bCs w:val="0"/>
        </w:rPr>
        <w:t>投保人在保险期间内申报进口货物，对保险单载明编号的报关单项下的进口货物，在保险期间内</w:t>
      </w:r>
      <w:r>
        <w:rPr>
          <w:rFonts w:hint="eastAsia" w:ascii="宋体" w:cs="宋体"/>
          <w:b w:val="0"/>
          <w:bCs w:val="0"/>
          <w:lang w:val="en-US" w:eastAsia="zh-CN"/>
        </w:rPr>
        <w:t>未按海关规定的期限缴纳</w:t>
      </w:r>
      <w:r>
        <w:rPr>
          <w:rFonts w:hint="eastAsia" w:ascii="宋体" w:cs="宋体"/>
          <w:b w:val="0"/>
          <w:bCs w:val="0"/>
        </w:rPr>
        <w:t xml:space="preserve">欠缴的海关税款及其滞纳金，经被保险人向保险人提出赔偿申请的，保险人按照本保险合同的约定向被保险人赔偿投保人应缴的海关税款及其滞纳金。 </w:t>
      </w:r>
    </w:p>
    <w:p w14:paraId="0C2B5D19">
      <w:pPr>
        <w:adjustRightInd w:val="0"/>
        <w:snapToGrid w:val="0"/>
        <w:spacing w:before="0" w:beforeLines="0" w:after="0" w:afterLines="0" w:line="360" w:lineRule="auto"/>
        <w:ind w:firstLine="420" w:firstLineChars="200"/>
        <w:rPr>
          <w:rFonts w:ascii="宋体"/>
        </w:rPr>
      </w:pPr>
      <w:r>
        <w:rPr>
          <w:rFonts w:hint="eastAsia" w:ascii="宋体" w:cs="宋体"/>
        </w:rPr>
        <w:t>海关税款包括但不限于进口关税、进口环节增值税、进口环节消费税、反倾销税、反补贴税、废弃电器电子产品处理基金、缓税利息等项目。</w:t>
      </w:r>
    </w:p>
    <w:p w14:paraId="075B874A">
      <w:pPr>
        <w:adjustRightInd w:val="0"/>
        <w:snapToGrid w:val="0"/>
        <w:spacing w:before="0" w:after="0" w:line="360" w:lineRule="auto"/>
        <w:ind w:firstLine="422" w:firstLineChars="200"/>
        <w:rPr>
          <w:rFonts w:hint="eastAsia" w:ascii="宋体" w:cs="宋体"/>
          <w:b/>
          <w:bCs/>
        </w:rPr>
      </w:pPr>
      <w:r>
        <w:rPr>
          <w:rFonts w:hint="eastAsia" w:ascii="宋体" w:cs="宋体"/>
          <w:b/>
          <w:bCs/>
        </w:rPr>
        <w:t>第五条 根据《中华人民共和国海关法》《中华人民共和国进出口关税条例》《中华人民共和国海关事务担保条例》规定，不属于投保人海关纳税义务范围的情形，保险人不承担赔偿责任。</w:t>
      </w:r>
    </w:p>
    <w:p w14:paraId="53F96B8F">
      <w:pPr>
        <w:adjustRightInd w:val="0"/>
        <w:spacing w:before="156" w:beforeLines="50" w:after="156" w:afterLines="50"/>
        <w:jc w:val="center"/>
        <w:rPr>
          <w:rFonts w:ascii="宋体"/>
          <w:b/>
          <w:bCs/>
        </w:rPr>
      </w:pPr>
      <w:r>
        <w:rPr>
          <w:rFonts w:hint="eastAsia" w:ascii="宋体" w:cs="宋体"/>
          <w:b/>
          <w:bCs/>
        </w:rPr>
        <w:t>保险期间</w:t>
      </w:r>
    </w:p>
    <w:p w14:paraId="7B5B9F7A">
      <w:pPr>
        <w:adjustRightInd w:val="0"/>
        <w:snapToGrid w:val="0"/>
        <w:spacing w:before="0" w:beforeLines="0" w:after="0" w:afterLines="0" w:line="360" w:lineRule="auto"/>
        <w:ind w:right="0" w:rightChars="0" w:firstLine="422" w:firstLineChars="200"/>
        <w:rPr>
          <w:rFonts w:ascii="宋体" w:cs="宋体"/>
        </w:rPr>
      </w:pPr>
      <w:r>
        <w:rPr>
          <w:rFonts w:hint="eastAsia" w:ascii="宋体" w:cs="宋体"/>
          <w:b/>
          <w:bCs/>
        </w:rPr>
        <w:t xml:space="preserve">第六条 </w:t>
      </w:r>
      <w:r>
        <w:rPr>
          <w:rFonts w:hint="eastAsia" w:ascii="宋体" w:cs="宋体"/>
        </w:rPr>
        <w:t>保险期间以保险单载明的起讫时间为准，</w:t>
      </w:r>
      <w:r>
        <w:rPr>
          <w:rFonts w:hint="eastAsia" w:ascii="宋体" w:cs="宋体"/>
          <w:b/>
          <w:bCs/>
        </w:rPr>
        <w:t>但最长不超过六年。</w:t>
      </w:r>
    </w:p>
    <w:p w14:paraId="55D6CDAE">
      <w:pPr>
        <w:adjustRightInd w:val="0"/>
        <w:spacing w:before="156" w:beforeLines="50" w:after="156" w:afterLines="50"/>
        <w:jc w:val="center"/>
        <w:rPr>
          <w:rFonts w:ascii="宋体"/>
          <w:b/>
          <w:bCs/>
        </w:rPr>
      </w:pPr>
      <w:r>
        <w:rPr>
          <w:rFonts w:hint="eastAsia" w:ascii="宋体" w:cs="宋体"/>
          <w:b/>
          <w:bCs/>
        </w:rPr>
        <w:t>保险金额</w:t>
      </w:r>
    </w:p>
    <w:p w14:paraId="710534AC">
      <w:pPr>
        <w:adjustRightInd w:val="0"/>
        <w:snapToGrid w:val="0"/>
        <w:spacing w:before="0" w:beforeLines="0" w:after="0" w:afterLines="0" w:line="360" w:lineRule="auto"/>
        <w:ind w:firstLine="422" w:firstLineChars="200"/>
        <w:rPr>
          <w:rFonts w:ascii="宋体" w:cs="宋体"/>
        </w:rPr>
      </w:pPr>
      <w:r>
        <w:rPr>
          <w:rFonts w:hint="eastAsia" w:ascii="宋体" w:cs="宋体"/>
          <w:b/>
          <w:bCs/>
        </w:rPr>
        <w:t xml:space="preserve">第七条 </w:t>
      </w:r>
      <w:r>
        <w:rPr>
          <w:rFonts w:hint="eastAsia" w:ascii="宋体" w:cs="宋体"/>
        </w:rPr>
        <w:t>投保时保险金额由投保人、保险人双方参照投保人预计发生的海关税款确定。</w:t>
      </w:r>
    </w:p>
    <w:p w14:paraId="6D9F4038">
      <w:pPr>
        <w:adjustRightInd w:val="0"/>
        <w:snapToGrid w:val="0"/>
        <w:spacing w:before="0" w:beforeLines="0" w:after="0" w:afterLines="0" w:line="360" w:lineRule="auto"/>
        <w:ind w:firstLine="420" w:firstLineChars="200"/>
        <w:rPr>
          <w:rFonts w:ascii="宋体" w:cs="宋体"/>
          <w:bCs/>
        </w:rPr>
      </w:pPr>
      <w:r>
        <w:rPr>
          <w:rFonts w:hint="eastAsia" w:ascii="宋体" w:cs="宋体"/>
          <w:bCs/>
        </w:rPr>
        <w:t>保险金额低于实际发生的税款金额的，以海关税款缴款书确定的应纳税款及其滞纳金为准，保险人可以增加保险费。</w:t>
      </w:r>
    </w:p>
    <w:p w14:paraId="28FC797B">
      <w:pPr>
        <w:spacing w:before="50" w:after="156" w:afterLines="50"/>
        <w:ind w:firstLine="3679" w:firstLineChars="1745"/>
        <w:rPr>
          <w:rFonts w:ascii="宋体"/>
        </w:rPr>
      </w:pPr>
      <w:r>
        <w:rPr>
          <w:rFonts w:hint="eastAsia" w:ascii="宋体" w:cs="宋体"/>
          <w:b/>
          <w:bCs/>
        </w:rPr>
        <w:t>保险人义务</w:t>
      </w:r>
    </w:p>
    <w:p w14:paraId="1AB5E658">
      <w:pPr>
        <w:adjustRightInd w:val="0"/>
        <w:snapToGrid w:val="0"/>
        <w:spacing w:before="0" w:after="0" w:afterLines="0" w:line="360" w:lineRule="auto"/>
        <w:ind w:firstLine="422" w:firstLineChars="200"/>
        <w:rPr>
          <w:rFonts w:ascii="宋体"/>
        </w:rPr>
      </w:pPr>
      <w:r>
        <w:rPr>
          <w:rFonts w:hint="eastAsia" w:ascii="宋体" w:cs="宋体"/>
          <w:b/>
          <w:bCs/>
        </w:rPr>
        <w:t xml:space="preserve">第八条 </w:t>
      </w:r>
      <w:r>
        <w:rPr>
          <w:rFonts w:hint="eastAsia" w:ascii="宋体" w:cs="宋体"/>
        </w:rPr>
        <w:t>本保险合同成立后，保险人应当及时向投保人签发保险单或其他保险凭证。</w:t>
      </w:r>
      <w:r>
        <w:rPr>
          <w:rFonts w:hint="eastAsia" w:ascii="宋体"/>
        </w:rPr>
        <w:t>保险人应当根据《保险法》的规定和偿付能力办理再保险。</w:t>
      </w:r>
    </w:p>
    <w:p w14:paraId="2B841099">
      <w:pPr>
        <w:adjustRightInd w:val="0"/>
        <w:snapToGrid w:val="0"/>
        <w:spacing w:before="0" w:after="0" w:afterLines="0" w:line="360" w:lineRule="auto"/>
        <w:ind w:firstLine="422" w:firstLineChars="200"/>
        <w:rPr>
          <w:rFonts w:ascii="宋体"/>
          <w:sz w:val="24"/>
          <w:szCs w:val="24"/>
        </w:rPr>
      </w:pPr>
      <w:r>
        <w:rPr>
          <w:rFonts w:hint="eastAsia" w:ascii="宋体" w:cs="宋体"/>
          <w:b/>
          <w:bCs/>
        </w:rPr>
        <w:t xml:space="preserve">第九条 </w:t>
      </w:r>
      <w:r>
        <w:rPr>
          <w:rFonts w:hint="eastAsia" w:ascii="宋体" w:cs="宋体"/>
        </w:rPr>
        <w:t>对属于保险责任的，保险人应当在收到被保险人赔偿申请后五个工作日内，履行赔偿保险金义务。</w:t>
      </w:r>
    </w:p>
    <w:p w14:paraId="2A911706">
      <w:pPr>
        <w:adjustRightInd w:val="0"/>
        <w:spacing w:before="156" w:beforeLines="50" w:after="156" w:afterLines="50"/>
        <w:jc w:val="center"/>
        <w:rPr>
          <w:rFonts w:ascii="宋体"/>
          <w:b/>
          <w:bCs/>
        </w:rPr>
      </w:pPr>
      <w:r>
        <w:rPr>
          <w:rFonts w:hint="eastAsia" w:ascii="宋体" w:cs="宋体"/>
          <w:b/>
          <w:bCs/>
        </w:rPr>
        <w:t>投保人、被保险人义务</w:t>
      </w:r>
    </w:p>
    <w:p w14:paraId="46CFFA50">
      <w:pPr>
        <w:pStyle w:val="4"/>
        <w:adjustRightInd w:val="0"/>
        <w:snapToGrid w:val="0"/>
        <w:spacing w:before="0" w:beforeLines="0" w:after="0" w:afterLines="0" w:line="360" w:lineRule="auto"/>
        <w:ind w:firstLine="422" w:firstLineChars="200"/>
        <w:rPr>
          <w:rFonts w:ascii="宋体"/>
          <w:b/>
          <w:bCs/>
        </w:rPr>
      </w:pPr>
      <w:r>
        <w:rPr>
          <w:rFonts w:hint="eastAsia" w:ascii="宋体" w:cs="宋体"/>
          <w:b/>
          <w:bCs/>
          <w:sz w:val="21"/>
          <w:szCs w:val="21"/>
        </w:rPr>
        <w:t>第十条</w:t>
      </w:r>
      <w:r>
        <w:rPr>
          <w:rFonts w:hint="eastAsia" w:ascii="宋体" w:cs="宋体"/>
          <w:b/>
          <w:bCs/>
          <w:kern w:val="0"/>
        </w:rPr>
        <w:t xml:space="preserve"> </w:t>
      </w:r>
      <w:r>
        <w:rPr>
          <w:rFonts w:hint="eastAsia" w:ascii="宋体" w:cs="宋体"/>
          <w:sz w:val="21"/>
          <w:szCs w:val="21"/>
        </w:rPr>
        <w:t>订立保险合同，保险人就保险标的提出询问的，投保人应当如实告知。</w:t>
      </w:r>
    </w:p>
    <w:p w14:paraId="20FF23F8">
      <w:pPr>
        <w:pStyle w:val="4"/>
        <w:adjustRightInd w:val="0"/>
        <w:snapToGrid w:val="0"/>
        <w:spacing w:before="0" w:beforeLines="0" w:after="0" w:afterLines="0" w:line="360" w:lineRule="auto"/>
        <w:ind w:firstLine="422" w:firstLineChars="200"/>
        <w:rPr>
          <w:rFonts w:ascii="宋体" w:cs="宋体"/>
          <w:sz w:val="21"/>
          <w:szCs w:val="21"/>
        </w:rPr>
      </w:pPr>
      <w:r>
        <w:rPr>
          <w:rFonts w:hint="eastAsia" w:ascii="宋体" w:cs="宋体"/>
          <w:b/>
          <w:bCs/>
          <w:sz w:val="21"/>
          <w:szCs w:val="21"/>
        </w:rPr>
        <w:t>第十一条</w:t>
      </w:r>
      <w:r>
        <w:rPr>
          <w:rFonts w:hint="eastAsia" w:ascii="宋体" w:cs="宋体"/>
          <w:b/>
          <w:bCs/>
        </w:rPr>
        <w:t xml:space="preserve"> </w:t>
      </w:r>
      <w:r>
        <w:rPr>
          <w:rFonts w:hint="eastAsia" w:ascii="宋体" w:cs="宋体"/>
          <w:sz w:val="21"/>
          <w:szCs w:val="21"/>
        </w:rPr>
        <w:t>除本保险合同另有约定外，投保人应在保险合同成立时交清保险费。</w:t>
      </w:r>
    </w:p>
    <w:p w14:paraId="0CC70B4F">
      <w:pPr>
        <w:adjustRightInd w:val="0"/>
        <w:snapToGrid w:val="0"/>
        <w:spacing w:before="0" w:beforeLines="0" w:after="0" w:afterLines="0" w:line="360" w:lineRule="auto"/>
        <w:ind w:firstLine="422" w:firstLineChars="200"/>
        <w:rPr>
          <w:rFonts w:ascii="宋体"/>
        </w:rPr>
      </w:pPr>
      <w:r>
        <w:rPr>
          <w:rFonts w:hint="eastAsia" w:ascii="宋体" w:cs="宋体"/>
          <w:b/>
          <w:bCs/>
        </w:rPr>
        <w:t xml:space="preserve">第十二条 </w:t>
      </w:r>
      <w:r>
        <w:rPr>
          <w:rFonts w:hint="eastAsia" w:ascii="宋体" w:cs="宋体"/>
          <w:bCs/>
        </w:rPr>
        <w:t>投保人</w:t>
      </w:r>
      <w:r>
        <w:rPr>
          <w:rFonts w:hint="eastAsia" w:ascii="宋体" w:cs="宋体"/>
        </w:rPr>
        <w:t>逾期不履行缴税义务的，被保险人应当及时通知保险人。</w:t>
      </w:r>
    </w:p>
    <w:p w14:paraId="70CEB03C">
      <w:pPr>
        <w:adjustRightInd w:val="0"/>
        <w:spacing w:before="156" w:beforeLines="50" w:after="156" w:afterLines="50"/>
        <w:ind w:firstLine="3795" w:firstLineChars="1800"/>
        <w:rPr>
          <w:rFonts w:ascii="宋体"/>
          <w:b/>
          <w:bCs/>
        </w:rPr>
      </w:pPr>
      <w:r>
        <w:rPr>
          <w:rFonts w:hint="eastAsia" w:ascii="宋体" w:cs="宋体"/>
          <w:b/>
          <w:bCs/>
        </w:rPr>
        <w:t>赔偿处理</w:t>
      </w:r>
    </w:p>
    <w:p w14:paraId="7E0A9227">
      <w:pPr>
        <w:adjustRightInd w:val="0"/>
        <w:snapToGrid w:val="0"/>
        <w:spacing w:before="0" w:beforeLines="0" w:after="0" w:afterLines="0" w:line="360" w:lineRule="auto"/>
        <w:ind w:firstLine="422" w:firstLineChars="200"/>
        <w:rPr>
          <w:rFonts w:ascii="宋体"/>
        </w:rPr>
      </w:pPr>
      <w:r>
        <w:rPr>
          <w:rFonts w:hint="eastAsia" w:ascii="宋体" w:cs="宋体"/>
          <w:b/>
          <w:bCs/>
        </w:rPr>
        <w:t xml:space="preserve">第十三条 </w:t>
      </w:r>
      <w:r>
        <w:rPr>
          <w:rFonts w:hint="eastAsia" w:ascii="宋体" w:cs="宋体"/>
        </w:rPr>
        <w:t>被保险人向保险人请求赔偿保险金时，应提供下列证明和资料：</w:t>
      </w:r>
    </w:p>
    <w:p w14:paraId="79EFF606">
      <w:pPr>
        <w:adjustRightInd w:val="0"/>
        <w:snapToGrid w:val="0"/>
        <w:spacing w:before="0" w:beforeLines="0" w:after="0" w:afterLines="0" w:line="360" w:lineRule="auto"/>
        <w:ind w:firstLine="420" w:firstLineChars="200"/>
        <w:rPr>
          <w:rFonts w:ascii="宋体"/>
        </w:rPr>
      </w:pPr>
      <w:r>
        <w:rPr>
          <w:rFonts w:hint="eastAsia" w:ascii="宋体" w:cs="宋体"/>
        </w:rPr>
        <w:t>（一）理赔通知书；</w:t>
      </w:r>
    </w:p>
    <w:p w14:paraId="6EAF1A0D">
      <w:pPr>
        <w:adjustRightInd w:val="0"/>
        <w:snapToGrid w:val="0"/>
        <w:spacing w:before="0" w:beforeLines="0" w:after="0" w:afterLines="0" w:line="360" w:lineRule="auto"/>
        <w:ind w:firstLine="420" w:firstLineChars="200"/>
        <w:rPr>
          <w:rFonts w:ascii="宋体"/>
        </w:rPr>
      </w:pPr>
      <w:r>
        <w:rPr>
          <w:rFonts w:hint="eastAsia" w:ascii="宋体" w:cs="宋体"/>
        </w:rPr>
        <w:t>（二）海关税款专用缴款书或相关佐证资料。</w:t>
      </w:r>
    </w:p>
    <w:p w14:paraId="2060AEF3">
      <w:pPr>
        <w:adjustRightInd w:val="0"/>
        <w:snapToGrid w:val="0"/>
        <w:spacing w:before="0" w:beforeLines="0" w:after="0" w:afterLines="0" w:line="360" w:lineRule="auto"/>
        <w:ind w:firstLine="422" w:firstLineChars="200"/>
        <w:rPr>
          <w:rFonts w:ascii="宋体" w:cs="宋体"/>
        </w:rPr>
      </w:pPr>
      <w:r>
        <w:rPr>
          <w:rFonts w:hint="eastAsia" w:ascii="宋体" w:cs="宋体"/>
          <w:b/>
          <w:bCs/>
        </w:rPr>
        <w:t xml:space="preserve">第十四条 </w:t>
      </w:r>
      <w:r>
        <w:rPr>
          <w:rFonts w:hint="eastAsia" w:ascii="宋体" w:cs="宋体"/>
        </w:rPr>
        <w:t>保险人按照以下公式计算保险金：</w:t>
      </w:r>
    </w:p>
    <w:p w14:paraId="64A66582">
      <w:pPr>
        <w:adjustRightInd w:val="0"/>
        <w:snapToGrid w:val="0"/>
        <w:spacing w:before="0" w:beforeLines="0" w:after="0" w:afterLines="0" w:line="360" w:lineRule="auto"/>
        <w:ind w:firstLine="422" w:firstLineChars="200"/>
        <w:rPr>
          <w:rFonts w:hint="eastAsia" w:ascii="宋体" w:cs="宋体"/>
          <w:b/>
        </w:rPr>
      </w:pPr>
      <w:r>
        <w:rPr>
          <w:rFonts w:hint="eastAsia" w:ascii="宋体" w:cs="宋体"/>
          <w:b/>
        </w:rPr>
        <w:t>保险金</w:t>
      </w:r>
      <w:r>
        <w:rPr>
          <w:rFonts w:hint="eastAsia" w:ascii="宋体" w:cs="宋体"/>
          <w:b/>
          <w:kern w:val="0"/>
        </w:rPr>
        <w:t>＝</w:t>
      </w:r>
      <w:r>
        <w:rPr>
          <w:rFonts w:hint="eastAsia" w:ascii="宋体" w:cs="宋体"/>
          <w:b/>
        </w:rPr>
        <w:t>投保人未缴纳的税款金额×（1+滞纳天数×0.5‰）</w:t>
      </w:r>
    </w:p>
    <w:p w14:paraId="19BF3DE7">
      <w:pPr>
        <w:adjustRightInd w:val="0"/>
        <w:snapToGrid w:val="0"/>
        <w:spacing w:before="0" w:beforeLines="0" w:after="0" w:afterLines="0" w:line="360" w:lineRule="auto"/>
        <w:ind w:firstLine="420" w:firstLineChars="200"/>
        <w:rPr>
          <w:rFonts w:ascii="宋体"/>
        </w:rPr>
      </w:pPr>
      <w:r>
        <w:rPr>
          <w:rFonts w:hint="eastAsia" w:ascii="宋体" w:cs="宋体"/>
        </w:rPr>
        <w:t>滞纳天数从滞纳税款之日起，至保险人赔偿保险金之日止。</w:t>
      </w:r>
    </w:p>
    <w:p w14:paraId="15694319">
      <w:pPr>
        <w:adjustRightInd w:val="0"/>
        <w:snapToGrid w:val="0"/>
        <w:spacing w:before="0" w:beforeLines="0" w:after="0" w:afterLines="0" w:line="360" w:lineRule="auto"/>
        <w:ind w:left="0" w:right="0" w:rightChars="0" w:firstLine="422" w:firstLineChars="200"/>
        <w:rPr>
          <w:rFonts w:ascii="宋体"/>
          <w:kern w:val="0"/>
        </w:rPr>
      </w:pPr>
      <w:r>
        <w:rPr>
          <w:rFonts w:hint="eastAsia" w:ascii="宋体" w:cs="宋体"/>
          <w:b/>
          <w:bCs/>
        </w:rPr>
        <w:t xml:space="preserve">第十五条 </w:t>
      </w:r>
      <w:r>
        <w:rPr>
          <w:rFonts w:hint="eastAsia" w:ascii="宋体" w:cs="宋体"/>
          <w:lang w:val="zh-CN"/>
        </w:rPr>
        <w:t>保险人自向被保险人赔偿保险金之日起，即可在赔偿金额范围内代位行使被保险人对投保人追索的权利</w:t>
      </w:r>
      <w:r>
        <w:rPr>
          <w:rFonts w:hint="eastAsia" w:ascii="宋体" w:cs="宋体"/>
        </w:rPr>
        <w:t>，</w:t>
      </w:r>
      <w:r>
        <w:rPr>
          <w:rFonts w:hint="eastAsia" w:ascii="宋体" w:cs="宋体"/>
          <w:kern w:val="0"/>
        </w:rPr>
        <w:t>被保险人应当向保险人提供必要的文件和所知道的有关情况。</w:t>
      </w:r>
    </w:p>
    <w:p w14:paraId="50341FBA">
      <w:pPr>
        <w:adjustRightInd w:val="0"/>
        <w:snapToGrid w:val="0"/>
        <w:spacing w:before="0" w:beforeLines="0" w:after="0" w:afterLines="0" w:line="360" w:lineRule="auto"/>
        <w:ind w:left="0" w:right="0" w:rightChars="0" w:firstLine="422" w:firstLineChars="200"/>
        <w:rPr>
          <w:rFonts w:ascii="宋体"/>
          <w:kern w:val="0"/>
        </w:rPr>
      </w:pPr>
      <w:r>
        <w:rPr>
          <w:rFonts w:hint="eastAsia" w:ascii="宋体" w:cs="宋体"/>
          <w:b/>
          <w:bCs/>
        </w:rPr>
        <w:t xml:space="preserve">第十六条 </w:t>
      </w:r>
      <w:r>
        <w:rPr>
          <w:rFonts w:hint="eastAsia" w:ascii="宋体" w:cs="宋体"/>
        </w:rPr>
        <w:t>被保险人向保险人请求赔偿的时效期间为二年，自其知道或者应当知道保险事故发生之日起计算。</w:t>
      </w:r>
    </w:p>
    <w:p w14:paraId="45787446">
      <w:pPr>
        <w:adjustRightInd w:val="0"/>
        <w:spacing w:before="156" w:beforeLines="50" w:after="156" w:afterLines="50"/>
        <w:jc w:val="center"/>
        <w:rPr>
          <w:rFonts w:ascii="宋体"/>
        </w:rPr>
      </w:pPr>
      <w:r>
        <w:rPr>
          <w:rFonts w:hint="eastAsia" w:ascii="宋体" w:cs="宋体"/>
          <w:b/>
          <w:bCs/>
        </w:rPr>
        <w:t>合同变更与解除</w:t>
      </w:r>
    </w:p>
    <w:p w14:paraId="00F2D9C5">
      <w:pPr>
        <w:adjustRightInd w:val="0"/>
        <w:snapToGrid w:val="0"/>
        <w:spacing w:before="0" w:beforeLines="0" w:after="0" w:afterLines="0" w:line="360" w:lineRule="auto"/>
        <w:ind w:firstLine="422" w:firstLineChars="200"/>
        <w:rPr>
          <w:rFonts w:ascii="宋体"/>
          <w:b/>
        </w:rPr>
      </w:pPr>
      <w:r>
        <w:rPr>
          <w:rFonts w:hint="eastAsia" w:ascii="宋体" w:cs="宋体"/>
          <w:b/>
          <w:bCs/>
        </w:rPr>
        <w:t xml:space="preserve">第十七条 </w:t>
      </w:r>
      <w:r>
        <w:rPr>
          <w:rFonts w:hint="eastAsia" w:ascii="宋体" w:cs="宋体"/>
          <w:b/>
        </w:rPr>
        <w:t>保险合同成立后，除非征得被保险人同意，投保人和保险人均不得变更或解除本保险合同。</w:t>
      </w:r>
    </w:p>
    <w:p w14:paraId="4497C619">
      <w:pPr>
        <w:adjustRightInd w:val="0"/>
        <w:snapToGrid w:val="0"/>
        <w:spacing w:before="0" w:beforeLines="0" w:after="0" w:afterLines="0" w:line="360" w:lineRule="auto"/>
        <w:ind w:firstLine="420" w:firstLineChars="200"/>
        <w:rPr>
          <w:rFonts w:ascii="宋体"/>
        </w:rPr>
      </w:pPr>
      <w:r>
        <w:rPr>
          <w:rFonts w:hint="eastAsia" w:ascii="宋体" w:cs="宋体"/>
        </w:rPr>
        <w:t>投保人申请变更或解除本保险合同时应向保险人提供：变更</w:t>
      </w:r>
      <w:r>
        <w:rPr>
          <w:rFonts w:hint="eastAsia" w:ascii="宋体"/>
        </w:rPr>
        <w:t>\</w:t>
      </w:r>
      <w:r>
        <w:rPr>
          <w:rFonts w:hint="eastAsia" w:ascii="宋体" w:cs="宋体"/>
        </w:rPr>
        <w:t>退保申请书、保险单、被保险人出具的对变更</w:t>
      </w:r>
      <w:r>
        <w:rPr>
          <w:rFonts w:hint="eastAsia" w:ascii="宋体"/>
        </w:rPr>
        <w:t>\</w:t>
      </w:r>
      <w:r>
        <w:rPr>
          <w:rFonts w:hint="eastAsia" w:ascii="宋体" w:cs="宋体"/>
        </w:rPr>
        <w:t>退保无异议的书面证明。</w:t>
      </w:r>
    </w:p>
    <w:p w14:paraId="1698CE5C">
      <w:pPr>
        <w:adjustRightInd w:val="0"/>
        <w:snapToGrid w:val="0"/>
        <w:spacing w:before="0" w:beforeLines="0" w:after="0" w:afterLines="0" w:line="360" w:lineRule="auto"/>
        <w:ind w:firstLine="420" w:firstLineChars="200"/>
        <w:rPr>
          <w:rFonts w:ascii="宋体"/>
        </w:rPr>
      </w:pPr>
      <w:r>
        <w:rPr>
          <w:rFonts w:hint="eastAsia" w:ascii="宋体" w:cs="宋体"/>
        </w:rPr>
        <w:t>被保险人同意解除本保险合同的，保险人应向投保人退还相应的保险费。应退保险费的计算公式如下：</w:t>
      </w:r>
    </w:p>
    <w:p w14:paraId="6A44E421">
      <w:pPr>
        <w:adjustRightInd w:val="0"/>
        <w:snapToGrid w:val="0"/>
        <w:spacing w:before="0" w:beforeLines="0" w:after="0" w:afterLines="0" w:line="360" w:lineRule="auto"/>
        <w:ind w:firstLine="420" w:firstLineChars="200"/>
        <w:rPr>
          <w:rFonts w:ascii="宋体"/>
        </w:rPr>
      </w:pPr>
      <w:r>
        <w:rPr>
          <w:rFonts w:hint="eastAsia" w:ascii="宋体" w:cs="宋体"/>
        </w:rPr>
        <w:t>应退保险费＝[1－保险合同实际经过天数/保险期间（天）]×实交保险费。</w:t>
      </w:r>
    </w:p>
    <w:p w14:paraId="688FED71">
      <w:pPr>
        <w:adjustRightInd w:val="0"/>
        <w:snapToGrid w:val="0"/>
        <w:spacing w:before="0" w:beforeLines="0" w:after="0" w:afterLines="0" w:line="360" w:lineRule="auto"/>
        <w:ind w:firstLine="422" w:firstLineChars="200"/>
        <w:rPr>
          <w:rFonts w:ascii="宋体"/>
        </w:rPr>
      </w:pPr>
      <w:r>
        <w:rPr>
          <w:rFonts w:hint="eastAsia" w:ascii="宋体" w:cs="宋体"/>
          <w:b/>
          <w:bCs/>
        </w:rPr>
        <w:t xml:space="preserve">第十八条 </w:t>
      </w:r>
      <w:r>
        <w:rPr>
          <w:rFonts w:hint="eastAsia" w:ascii="宋体" w:cs="宋体"/>
        </w:rPr>
        <w:t>本保险合同解除前发生的保险事故，保险人应按照本保险合同的约定负责赔偿。</w:t>
      </w:r>
    </w:p>
    <w:p w14:paraId="625762A4">
      <w:pPr>
        <w:adjustRightInd w:val="0"/>
        <w:spacing w:before="156" w:beforeLines="50" w:after="156" w:afterLines="50"/>
        <w:jc w:val="center"/>
        <w:rPr>
          <w:rFonts w:ascii="宋体"/>
          <w:b/>
          <w:bCs/>
        </w:rPr>
      </w:pPr>
      <w:r>
        <w:rPr>
          <w:rFonts w:hint="eastAsia" w:ascii="宋体" w:cs="宋体"/>
          <w:b/>
          <w:bCs/>
        </w:rPr>
        <w:t>争议解决</w:t>
      </w:r>
    </w:p>
    <w:p w14:paraId="57F1D03E">
      <w:pPr>
        <w:adjustRightInd w:val="0"/>
        <w:snapToGrid w:val="0"/>
        <w:spacing w:before="0" w:beforeLines="0" w:after="0" w:afterLines="0" w:line="360" w:lineRule="auto"/>
        <w:ind w:firstLine="422" w:firstLineChars="200"/>
        <w:rPr>
          <w:rFonts w:ascii="宋体"/>
        </w:rPr>
      </w:pPr>
      <w:r>
        <w:rPr>
          <w:rFonts w:hint="eastAsia" w:ascii="宋体" w:cs="宋体"/>
          <w:b/>
          <w:bCs/>
        </w:rPr>
        <w:t xml:space="preserve">第十九条 </w:t>
      </w:r>
      <w:r>
        <w:rPr>
          <w:rFonts w:hint="eastAsia" w:ascii="宋体" w:cs="宋体"/>
        </w:rPr>
        <w:t>被保险人与保险人因履行本保险合同发生的争议，由双方当事人协商解决。协商不成的，依法向被保险人所在地人民法院起诉。</w:t>
      </w:r>
    </w:p>
    <w:p w14:paraId="4F679278">
      <w:pPr>
        <w:adjustRightInd w:val="0"/>
        <w:snapToGrid w:val="0"/>
        <w:spacing w:before="0" w:beforeLines="0" w:after="0" w:afterLines="0" w:line="360" w:lineRule="auto"/>
        <w:ind w:firstLine="422" w:firstLineChars="200"/>
        <w:rPr>
          <w:rFonts w:ascii="宋体"/>
        </w:rPr>
      </w:pPr>
      <w:r>
        <w:rPr>
          <w:rFonts w:hint="eastAsia" w:ascii="宋体" w:cs="宋体"/>
          <w:b/>
          <w:bCs/>
        </w:rPr>
        <w:t xml:space="preserve">第二十条 </w:t>
      </w:r>
      <w:r>
        <w:rPr>
          <w:rFonts w:hint="eastAsia" w:ascii="宋体" w:cs="宋体"/>
        </w:rPr>
        <w:t>与本保险合同有关的以及履行本保险合同产生的一切争议处理适用中华人民共和国法律</w:t>
      </w:r>
      <w:r>
        <w:rPr>
          <w:rFonts w:hint="eastAsia" w:ascii="宋体" w:cs="宋体"/>
          <w:b/>
          <w:bCs/>
        </w:rPr>
        <w:t>（不包括港、澳、台地区法律）</w:t>
      </w:r>
      <w:r>
        <w:rPr>
          <w:rFonts w:hint="eastAsia" w:ascii="宋体" w:cs="宋体"/>
        </w:rPr>
        <w:t>。</w:t>
      </w:r>
    </w:p>
    <w:p w14:paraId="12C98C90">
      <w:pPr>
        <w:spacing w:before="156" w:beforeLines="50" w:after="156" w:afterLines="50"/>
        <w:ind w:firstLine="420" w:firstLineChars="200"/>
        <w:rPr>
          <w:rFonts w:ascii="宋体"/>
        </w:rPr>
      </w:pPr>
    </w:p>
    <w:p w14:paraId="04071A30">
      <w:pPr>
        <w:adjustRightInd w:val="0"/>
        <w:snapToGrid w:val="0"/>
        <w:spacing w:before="156" w:beforeLines="50" w:after="156" w:afterLines="50"/>
        <w:ind w:firstLine="420" w:firstLineChars="200"/>
        <w:rPr>
          <w:rFonts w:ascii="宋体" w:hAnsi="宋体"/>
        </w:rPr>
      </w:pPr>
    </w:p>
    <w:p w14:paraId="2E0609EA"/>
    <w:p w14:paraId="4CF3A505"/>
    <w:p w14:paraId="1DB05163"/>
    <w:p w14:paraId="73904650"/>
    <w:p w14:paraId="6ABA39BC"/>
    <w:p w14:paraId="13DBD3C5"/>
    <w:p w14:paraId="4F4EEF18"/>
    <w:p w14:paraId="691CD28A"/>
    <w:p w14:paraId="545368DB"/>
    <w:p w14:paraId="75BD465D"/>
    <w:p w14:paraId="08AD89AF"/>
    <w:p w14:paraId="4FB17F67"/>
    <w:p w14:paraId="625FC02C"/>
    <w:p w14:paraId="79B886A3"/>
    <w:p w14:paraId="15ECB446"/>
    <w:p w14:paraId="2501DAFC"/>
    <w:p w14:paraId="3FFA433E"/>
    <w:p w14:paraId="29447E75"/>
    <w:p w14:paraId="73BF7A85"/>
    <w:p w14:paraId="617DD398">
      <w:pPr>
        <w:rPr>
          <w:rFonts w:hint="eastAsia"/>
          <w:lang w:val="en-US" w:eastAsia="zh-CN"/>
        </w:rPr>
      </w:pPr>
      <w:r>
        <w:rPr>
          <w:rFonts w:hint="eastAsia"/>
          <w:lang w:val="en-US" w:eastAsia="zh-CN"/>
        </w:rPr>
        <w:t>附件：</w:t>
      </w:r>
    </w:p>
    <w:p w14:paraId="530681E0">
      <w:pPr>
        <w:rPr>
          <w:rFonts w:hint="eastAsia"/>
          <w:lang w:val="en-US" w:eastAsia="zh-CN"/>
        </w:rPr>
      </w:pPr>
      <w:r>
        <w:rPr>
          <w:rFonts w:hint="eastAsia"/>
          <w:lang w:val="en-US" w:eastAsia="zh-CN"/>
        </w:rPr>
        <w:drawing>
          <wp:inline distT="0" distB="0" distL="114300" distR="114300">
            <wp:extent cx="5267960" cy="7453630"/>
            <wp:effectExtent l="0" t="0" r="8890" b="13970"/>
            <wp:docPr id="2" name="图片 2" descr="6-26 黑珍珠 货品装箱单发票 盖章版B(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6-26 黑珍珠 货品装箱单发票 盖章版B(1)_01"/>
                    <pic:cNvPicPr>
                      <a:picLocks noChangeAspect="1"/>
                    </pic:cNvPicPr>
                  </pic:nvPicPr>
                  <pic:blipFill>
                    <a:blip r:embed="rId5"/>
                    <a:stretch>
                      <a:fillRect/>
                    </a:stretch>
                  </pic:blipFill>
                  <pic:spPr>
                    <a:xfrm>
                      <a:off x="0" y="0"/>
                      <a:ext cx="5267960" cy="7453630"/>
                    </a:xfrm>
                    <a:prstGeom prst="rect">
                      <a:avLst/>
                    </a:prstGeom>
                  </pic:spPr>
                </pic:pic>
              </a:graphicData>
            </a:graphic>
          </wp:inline>
        </w:drawing>
      </w:r>
    </w:p>
    <w:p w14:paraId="4A89844B">
      <w:pPr>
        <w:rPr>
          <w:rFonts w:hint="eastAsia"/>
          <w:lang w:val="en-US" w:eastAsia="zh-CN"/>
        </w:rPr>
      </w:pPr>
    </w:p>
    <w:p w14:paraId="4DE84641">
      <w:pPr>
        <w:rPr>
          <w:rFonts w:hint="eastAsia"/>
          <w:lang w:val="en-US" w:eastAsia="zh-CN"/>
        </w:rPr>
      </w:pPr>
      <w:r>
        <w:rPr>
          <w:rFonts w:hint="eastAsia"/>
          <w:lang w:val="en-US" w:eastAsia="zh-CN"/>
        </w:rPr>
        <w:drawing>
          <wp:inline distT="0" distB="0" distL="114300" distR="114300">
            <wp:extent cx="5271770" cy="1524635"/>
            <wp:effectExtent l="0" t="0" r="5080" b="18415"/>
            <wp:docPr id="3" name="图片 3" descr="0c46fa8da0e0ca8f2b7d68403c72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0c46fa8da0e0ca8f2b7d68403c72321"/>
                    <pic:cNvPicPr>
                      <a:picLocks noChangeAspect="1"/>
                    </pic:cNvPicPr>
                  </pic:nvPicPr>
                  <pic:blipFill>
                    <a:blip r:embed="rId6"/>
                    <a:stretch>
                      <a:fillRect/>
                    </a:stretch>
                  </pic:blipFill>
                  <pic:spPr>
                    <a:xfrm>
                      <a:off x="0" y="0"/>
                      <a:ext cx="5271770" cy="1524635"/>
                    </a:xfrm>
                    <a:prstGeom prst="rect">
                      <a:avLst/>
                    </a:prstGeom>
                  </pic:spPr>
                </pic:pic>
              </a:graphicData>
            </a:graphic>
          </wp:inline>
        </w:drawing>
      </w: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Franklin Gothic Medium">
    <w:panose1 w:val="020B0603020102020204"/>
    <w:charset w:val="00"/>
    <w:family w:val="swiss"/>
    <w:pitch w:val="default"/>
    <w:sig w:usb0="00000287" w:usb1="00000000" w:usb2="00000000" w:usb3="00000000" w:csb0="2000009F" w:csb1="DFD7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FB205D">
    <w:pPr>
      <w:pStyle w:val="9"/>
    </w:pPr>
    <w:r>
      <w:drawing>
        <wp:inline distT="0" distB="0" distL="0" distR="0">
          <wp:extent cx="5274310" cy="886460"/>
          <wp:effectExtent l="0" t="0" r="2540" b="8890"/>
          <wp:docPr id="5" name="图片 5" descr="C:\Users\lenovo\Pictures\无标题.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C:\Users\lenovo\Pictures\无标题.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5274310" cy="88646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D1EB2"/>
    <w:multiLevelType w:val="multilevel"/>
    <w:tmpl w:val="269D1EB2"/>
    <w:lvl w:ilvl="0" w:tentative="0">
      <w:start w:val="1"/>
      <w:numFmt w:val="japaneseCounting"/>
      <w:pStyle w:val="20"/>
      <w:lvlText w:val="第%1条"/>
      <w:lvlJc w:val="left"/>
      <w:pPr>
        <w:ind w:left="1592" w:hanging="1308"/>
      </w:pPr>
      <w:rPr>
        <w:rFonts w:hint="default" w:ascii="宋体" w:hAnsi="宋体" w:eastAsia="宋体" w:cs="Franklin Gothic Medium"/>
        <w:b/>
        <w:color w:val="000000"/>
        <w:sz w:val="21"/>
        <w:szCs w:val="21"/>
        <w:lang w:val="en-US"/>
      </w:rPr>
    </w:lvl>
    <w:lvl w:ilvl="1" w:tentative="0">
      <w:start w:val="1"/>
      <w:numFmt w:val="lowerLetter"/>
      <w:lvlText w:val="%2)"/>
      <w:lvlJc w:val="left"/>
      <w:pPr>
        <w:ind w:left="1729" w:hanging="420"/>
      </w:pPr>
    </w:lvl>
    <w:lvl w:ilvl="2" w:tentative="0">
      <w:start w:val="1"/>
      <w:numFmt w:val="lowerRoman"/>
      <w:lvlText w:val="%3."/>
      <w:lvlJc w:val="right"/>
      <w:pPr>
        <w:ind w:left="2149" w:hanging="420"/>
      </w:pPr>
    </w:lvl>
    <w:lvl w:ilvl="3" w:tentative="0">
      <w:start w:val="1"/>
      <w:numFmt w:val="decimal"/>
      <w:lvlText w:val="%4."/>
      <w:lvlJc w:val="left"/>
      <w:pPr>
        <w:ind w:left="2569" w:hanging="420"/>
      </w:pPr>
    </w:lvl>
    <w:lvl w:ilvl="4" w:tentative="0">
      <w:start w:val="1"/>
      <w:numFmt w:val="lowerLetter"/>
      <w:lvlText w:val="%5)"/>
      <w:lvlJc w:val="left"/>
      <w:pPr>
        <w:ind w:left="2989" w:hanging="420"/>
      </w:pPr>
    </w:lvl>
    <w:lvl w:ilvl="5" w:tentative="0">
      <w:start w:val="1"/>
      <w:numFmt w:val="lowerRoman"/>
      <w:lvlText w:val="%6."/>
      <w:lvlJc w:val="right"/>
      <w:pPr>
        <w:ind w:left="3409" w:hanging="420"/>
      </w:pPr>
    </w:lvl>
    <w:lvl w:ilvl="6" w:tentative="0">
      <w:start w:val="1"/>
      <w:numFmt w:val="decimal"/>
      <w:lvlText w:val="%7."/>
      <w:lvlJc w:val="left"/>
      <w:pPr>
        <w:ind w:left="3829" w:hanging="420"/>
      </w:pPr>
    </w:lvl>
    <w:lvl w:ilvl="7" w:tentative="0">
      <w:start w:val="1"/>
      <w:numFmt w:val="lowerLetter"/>
      <w:lvlText w:val="%8)"/>
      <w:lvlJc w:val="left"/>
      <w:pPr>
        <w:ind w:left="4249" w:hanging="420"/>
      </w:pPr>
    </w:lvl>
    <w:lvl w:ilvl="8" w:tentative="0">
      <w:start w:val="1"/>
      <w:numFmt w:val="lowerRoman"/>
      <w:lvlText w:val="%9."/>
      <w:lvlJc w:val="right"/>
      <w:pPr>
        <w:ind w:left="4669" w:hanging="420"/>
      </w:pPr>
    </w:lvl>
  </w:abstractNum>
  <w:abstractNum w:abstractNumId="1">
    <w:nsid w:val="2D3E4F50"/>
    <w:multiLevelType w:val="multilevel"/>
    <w:tmpl w:val="2D3E4F50"/>
    <w:lvl w:ilvl="0" w:tentative="0">
      <w:start w:val="1"/>
      <w:numFmt w:val="decimal"/>
      <w:lvlText w:val="%1."/>
      <w:lvlJc w:val="left"/>
      <w:pPr>
        <w:tabs>
          <w:tab w:val="left" w:pos="360"/>
        </w:tabs>
        <w:ind w:left="36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JjOTU0MGI3MzAyOTM5ODNhZWM2MDNlNDNjOGYwYWYifQ=="/>
  </w:docVars>
  <w:rsids>
    <w:rsidRoot w:val="1D0E7FF5"/>
    <w:rsid w:val="00100567"/>
    <w:rsid w:val="00131C3A"/>
    <w:rsid w:val="001A2CDF"/>
    <w:rsid w:val="001F2EE5"/>
    <w:rsid w:val="002972CA"/>
    <w:rsid w:val="002D1BB1"/>
    <w:rsid w:val="00363C3F"/>
    <w:rsid w:val="00382203"/>
    <w:rsid w:val="003C6873"/>
    <w:rsid w:val="00424149"/>
    <w:rsid w:val="004306A4"/>
    <w:rsid w:val="00613A87"/>
    <w:rsid w:val="00615A9D"/>
    <w:rsid w:val="00632B1D"/>
    <w:rsid w:val="007040AA"/>
    <w:rsid w:val="00783D92"/>
    <w:rsid w:val="0084267D"/>
    <w:rsid w:val="008F15E8"/>
    <w:rsid w:val="009036B7"/>
    <w:rsid w:val="00953D9C"/>
    <w:rsid w:val="009C68EE"/>
    <w:rsid w:val="00AA6DB1"/>
    <w:rsid w:val="00AD5E89"/>
    <w:rsid w:val="00AE3E78"/>
    <w:rsid w:val="00B2494E"/>
    <w:rsid w:val="00C54C9E"/>
    <w:rsid w:val="00D16907"/>
    <w:rsid w:val="00D31401"/>
    <w:rsid w:val="00D526D5"/>
    <w:rsid w:val="00DD4AFE"/>
    <w:rsid w:val="00E56BC3"/>
    <w:rsid w:val="00E772EA"/>
    <w:rsid w:val="00F37807"/>
    <w:rsid w:val="00F7011F"/>
    <w:rsid w:val="026E6F9B"/>
    <w:rsid w:val="05904DD0"/>
    <w:rsid w:val="05DB0DD3"/>
    <w:rsid w:val="06823015"/>
    <w:rsid w:val="08762705"/>
    <w:rsid w:val="09972933"/>
    <w:rsid w:val="0BF7590B"/>
    <w:rsid w:val="0D7317D0"/>
    <w:rsid w:val="0EB83A78"/>
    <w:rsid w:val="0FEE5277"/>
    <w:rsid w:val="11C7352C"/>
    <w:rsid w:val="13370CE3"/>
    <w:rsid w:val="14F4310F"/>
    <w:rsid w:val="168950DC"/>
    <w:rsid w:val="17CE24A7"/>
    <w:rsid w:val="18B003A0"/>
    <w:rsid w:val="18C96881"/>
    <w:rsid w:val="19DA170E"/>
    <w:rsid w:val="1B9723E9"/>
    <w:rsid w:val="1D0E7FF5"/>
    <w:rsid w:val="205B0707"/>
    <w:rsid w:val="21420A83"/>
    <w:rsid w:val="219043E0"/>
    <w:rsid w:val="23963804"/>
    <w:rsid w:val="256E4A38"/>
    <w:rsid w:val="26103D41"/>
    <w:rsid w:val="2E705E20"/>
    <w:rsid w:val="2E7B00A3"/>
    <w:rsid w:val="2E883074"/>
    <w:rsid w:val="2F397E65"/>
    <w:rsid w:val="300264A9"/>
    <w:rsid w:val="339C4E66"/>
    <w:rsid w:val="35BE2E72"/>
    <w:rsid w:val="3845787B"/>
    <w:rsid w:val="3B890EF3"/>
    <w:rsid w:val="3E907376"/>
    <w:rsid w:val="3FD67F83"/>
    <w:rsid w:val="40491FD5"/>
    <w:rsid w:val="40C718F6"/>
    <w:rsid w:val="40D739A4"/>
    <w:rsid w:val="42BF022A"/>
    <w:rsid w:val="42E63AC9"/>
    <w:rsid w:val="44D426B2"/>
    <w:rsid w:val="452E39F8"/>
    <w:rsid w:val="459836F7"/>
    <w:rsid w:val="468E6891"/>
    <w:rsid w:val="4AE41078"/>
    <w:rsid w:val="4B745BB4"/>
    <w:rsid w:val="4BBB3989"/>
    <w:rsid w:val="4BE5040A"/>
    <w:rsid w:val="4C5C1D73"/>
    <w:rsid w:val="4E86609F"/>
    <w:rsid w:val="51DC5570"/>
    <w:rsid w:val="527520F1"/>
    <w:rsid w:val="527E38BD"/>
    <w:rsid w:val="53BA36A1"/>
    <w:rsid w:val="53CA61FF"/>
    <w:rsid w:val="5406215C"/>
    <w:rsid w:val="55A526EF"/>
    <w:rsid w:val="569856C9"/>
    <w:rsid w:val="56DA0900"/>
    <w:rsid w:val="575B631B"/>
    <w:rsid w:val="5B3D3F8A"/>
    <w:rsid w:val="5E2676F1"/>
    <w:rsid w:val="5F0B0512"/>
    <w:rsid w:val="5F221E14"/>
    <w:rsid w:val="601856F1"/>
    <w:rsid w:val="61500259"/>
    <w:rsid w:val="61603240"/>
    <w:rsid w:val="618E6B9D"/>
    <w:rsid w:val="61FA4982"/>
    <w:rsid w:val="63923B8F"/>
    <w:rsid w:val="66FA7FBF"/>
    <w:rsid w:val="67F51E74"/>
    <w:rsid w:val="682E182A"/>
    <w:rsid w:val="68A12A5C"/>
    <w:rsid w:val="697B7206"/>
    <w:rsid w:val="69DC59D2"/>
    <w:rsid w:val="6A1D1B56"/>
    <w:rsid w:val="6B970B8D"/>
    <w:rsid w:val="6BA37C61"/>
    <w:rsid w:val="6D1234C8"/>
    <w:rsid w:val="6DAF60F5"/>
    <w:rsid w:val="6DF408D7"/>
    <w:rsid w:val="719F7138"/>
    <w:rsid w:val="71B53C24"/>
    <w:rsid w:val="72143654"/>
    <w:rsid w:val="723B408A"/>
    <w:rsid w:val="72964253"/>
    <w:rsid w:val="759B4D21"/>
    <w:rsid w:val="78DF4BA6"/>
    <w:rsid w:val="794F2C0B"/>
    <w:rsid w:val="7AC71620"/>
    <w:rsid w:val="7BD27A94"/>
    <w:rsid w:val="7BDF0A19"/>
    <w:rsid w:val="7EB968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link w:val="14"/>
    <w:unhideWhenUsed/>
    <w:qFormat/>
    <w:uiPriority w:val="0"/>
    <w:pPr>
      <w:keepNext/>
      <w:keepLines/>
      <w:spacing w:before="260" w:after="260" w:line="413" w:lineRule="auto"/>
      <w:outlineLvl w:val="1"/>
    </w:pPr>
    <w:rPr>
      <w:rFonts w:ascii="Arial" w:hAnsi="Arial" w:eastAsia="黑体"/>
      <w:b/>
      <w:sz w:val="32"/>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qFormat/>
    <w:uiPriority w:val="99"/>
    <w:pPr>
      <w:spacing w:after="120"/>
    </w:pPr>
    <w:rPr>
      <w:sz w:val="24"/>
      <w:szCs w:val="24"/>
    </w:rPr>
  </w:style>
  <w:style w:type="paragraph" w:styleId="5">
    <w:name w:val="Body Text Indent"/>
    <w:basedOn w:val="1"/>
    <w:qFormat/>
    <w:uiPriority w:val="0"/>
    <w:pPr>
      <w:spacing w:line="0" w:lineRule="atLeast"/>
      <w:ind w:firstLine="480" w:firstLineChars="200"/>
    </w:pPr>
    <w:rPr>
      <w:sz w:val="24"/>
      <w:szCs w:val="20"/>
    </w:rPr>
  </w:style>
  <w:style w:type="paragraph" w:styleId="6">
    <w:name w:val="Plain Text"/>
    <w:basedOn w:val="1"/>
    <w:qFormat/>
    <w:uiPriority w:val="0"/>
    <w:rPr>
      <w:rFonts w:ascii="宋体" w:hAnsi="Courier New"/>
      <w:kern w:val="0"/>
      <w:sz w:val="20"/>
    </w:rPr>
  </w:style>
  <w:style w:type="paragraph" w:styleId="7">
    <w:name w:val="Balloon Text"/>
    <w:basedOn w:val="1"/>
    <w:link w:val="18"/>
    <w:qFormat/>
    <w:uiPriority w:val="0"/>
    <w:rPr>
      <w:sz w:val="18"/>
      <w:szCs w:val="18"/>
    </w:rPr>
  </w:style>
  <w:style w:type="paragraph" w:styleId="8">
    <w:name w:val="footer"/>
    <w:basedOn w:val="1"/>
    <w:link w:val="16"/>
    <w:qFormat/>
    <w:uiPriority w:val="0"/>
    <w:pPr>
      <w:tabs>
        <w:tab w:val="center" w:pos="4153"/>
        <w:tab w:val="right" w:pos="8306"/>
      </w:tabs>
      <w:snapToGrid w:val="0"/>
      <w:jc w:val="left"/>
    </w:pPr>
    <w:rPr>
      <w:sz w:val="18"/>
      <w:szCs w:val="18"/>
    </w:rPr>
  </w:style>
  <w:style w:type="paragraph" w:styleId="9">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10">
    <w:name w:val="Message Header"/>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4"/>
    </w:rPr>
  </w:style>
  <w:style w:type="character" w:styleId="13">
    <w:name w:val="Hyperlink"/>
    <w:basedOn w:val="12"/>
    <w:qFormat/>
    <w:uiPriority w:val="0"/>
    <w:rPr>
      <w:color w:val="0000FF"/>
      <w:u w:val="single"/>
    </w:rPr>
  </w:style>
  <w:style w:type="character" w:customStyle="1" w:styleId="14">
    <w:name w:val="标题 2 字符"/>
    <w:link w:val="2"/>
    <w:qFormat/>
    <w:uiPriority w:val="0"/>
    <w:rPr>
      <w:rFonts w:ascii="Arial" w:hAnsi="Arial" w:eastAsia="黑体"/>
      <w:b/>
      <w:sz w:val="32"/>
    </w:rPr>
  </w:style>
  <w:style w:type="character" w:customStyle="1" w:styleId="15">
    <w:name w:val="页眉 字符"/>
    <w:basedOn w:val="12"/>
    <w:link w:val="9"/>
    <w:qFormat/>
    <w:uiPriority w:val="0"/>
    <w:rPr>
      <w:kern w:val="2"/>
      <w:sz w:val="18"/>
      <w:szCs w:val="18"/>
    </w:rPr>
  </w:style>
  <w:style w:type="character" w:customStyle="1" w:styleId="16">
    <w:name w:val="页脚 字符"/>
    <w:basedOn w:val="12"/>
    <w:link w:val="8"/>
    <w:qFormat/>
    <w:uiPriority w:val="0"/>
    <w:rPr>
      <w:kern w:val="2"/>
      <w:sz w:val="18"/>
      <w:szCs w:val="18"/>
    </w:rPr>
  </w:style>
  <w:style w:type="paragraph" w:styleId="17">
    <w:name w:val="List Paragraph"/>
    <w:basedOn w:val="1"/>
    <w:qFormat/>
    <w:uiPriority w:val="34"/>
    <w:pPr>
      <w:ind w:firstLine="420" w:firstLineChars="200"/>
    </w:pPr>
    <w:rPr>
      <w:szCs w:val="22"/>
    </w:rPr>
  </w:style>
  <w:style w:type="character" w:customStyle="1" w:styleId="18">
    <w:name w:val="批注框文本 字符"/>
    <w:basedOn w:val="12"/>
    <w:link w:val="7"/>
    <w:qFormat/>
    <w:uiPriority w:val="0"/>
    <w:rPr>
      <w:kern w:val="2"/>
      <w:sz w:val="18"/>
      <w:szCs w:val="18"/>
    </w:rPr>
  </w:style>
  <w:style w:type="paragraph" w:customStyle="1" w:styleId="19">
    <w:name w:val="列出段落1"/>
    <w:basedOn w:val="1"/>
    <w:qFormat/>
    <w:uiPriority w:val="34"/>
    <w:pPr>
      <w:ind w:firstLine="420" w:firstLineChars="200"/>
    </w:pPr>
  </w:style>
  <w:style w:type="paragraph" w:customStyle="1" w:styleId="20">
    <w:name w:val="样式1"/>
    <w:basedOn w:val="19"/>
    <w:qFormat/>
    <w:uiPriority w:val="0"/>
    <w:pPr>
      <w:numPr>
        <w:ilvl w:val="0"/>
        <w:numId w:val="1"/>
      </w:numPr>
      <w:spacing w:afterLines="50"/>
      <w:ind w:firstLine="0" w:firstLineChars="0"/>
    </w:pPr>
    <w:rPr>
      <w:rFonts w:ascii="微软雅黑" w:hAnsi="微软雅黑" w:eastAsia="微软雅黑"/>
      <w:sz w:val="24"/>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6</Pages>
  <Words>2667</Words>
  <Characters>2759</Characters>
  <Lines>11</Lines>
  <Paragraphs>3</Paragraphs>
  <TotalTime>50</TotalTime>
  <ScaleCrop>false</ScaleCrop>
  <LinksUpToDate>false</LinksUpToDate>
  <CharactersWithSpaces>2814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2020-09-30T01:26:00Z</dcterms:created>
  <dc:creator>gm</dc:creator>
  <cp:lastModifiedBy>萧萧~易`水寒</cp:lastModifiedBy>
  <dcterms:modified xsi:type="dcterms:W3CDTF">2026-06-29T01:50:59Z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D44DDD8F884348CC9CBDA6C3F1EE5DB6_13</vt:lpwstr>
  </property>
  <property fmtid="{D5CDD505-2E9C-101B-9397-08002B2CF9AE}" pid="4" name="KSOTemplateDocerSaveRecord">
    <vt:lpwstr>eyJoZGlkIjoiMjdhNmM1OWZmMGY2YzJlMDE1OWZjYTIzMjJhM2FhMTAiLCJ1c2VySWQiOiIxOTUxMDExMzgifQ==</vt:lpwstr>
  </property>
</Properties>
</file>