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line="259" w:lineRule="auto"/>
        <w:jc w:val="center"/>
        <w:outlineLvl w:val="1"/>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Ind w:w="0" w:type="dxa"/>
        <w:tblLayout w:type="fixed"/>
        <w:tblCellMar>
          <w:top w:w="45" w:type="dxa"/>
          <w:left w:w="45" w:type="dxa"/>
          <w:bottom w:w="45" w:type="dxa"/>
          <w:right w:w="45" w:type="dxa"/>
        </w:tblCellMar>
      </w:tblPr>
      <w:tblGrid>
        <w:gridCol w:w="2878"/>
        <w:gridCol w:w="5518"/>
      </w:tblGrid>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eastAsia="宋体"/>
                <w:kern w:val="2"/>
                <w:sz w:val="30"/>
                <w:szCs w:val="30"/>
                <w:lang w:eastAsia="zh-CN"/>
              </w:rPr>
              <w:t>SZZXCG-2025-00567</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spacing w:after="160" w:line="259" w:lineRule="auto"/>
              <w:jc w:val="left"/>
              <w:rPr>
                <w:rFonts w:eastAsia="宋体"/>
                <w:kern w:val="2"/>
                <w:sz w:val="30"/>
                <w:szCs w:val="30"/>
                <w:lang w:eastAsia="zh-CN"/>
              </w:rPr>
            </w:pPr>
            <w:bookmarkStart w:id="0" w:name="OLE_LINK1"/>
            <w:r>
              <w:rPr>
                <w:rFonts w:eastAsia="宋体" w:hint="eastAsia"/>
                <w:kern w:val="2"/>
                <w:sz w:val="30"/>
                <w:szCs w:val="30"/>
                <w:lang w:eastAsia="zh-CN"/>
              </w:rPr>
              <w:t>北京大学深圳医院内镜清洗消毒工作站和内镜洗消追溯管理系统采购</w:t>
            </w:r>
            <w:bookmarkEnd w:id="0"/>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spacing w:after="160" w:line="259" w:lineRule="auto"/>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64"/>
      </w:tblGrid>
      <w:tr>
        <w:tblPrEx>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34"/>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after="160" w:line="360" w:lineRule="exact"/>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after="160" w:line="360" w:lineRule="exact"/>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Ind w:w="0" w:type="dxa"/>
          <w:tblLayout w:type="fixed"/>
          <w:tblCellMar>
            <w:top w:w="20" w:type="dxa"/>
            <w:left w:w="108" w:type="dxa"/>
            <w:bottom w:w="20" w:type="dxa"/>
            <w:right w:w="108" w:type="dxa"/>
          </w:tblCellMar>
        </w:tblPrEx>
        <w:trPr>
          <w:trHeight w:val="20"/>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after="160" w:line="259" w:lineRule="auto"/>
              <w:jc w:val="center"/>
              <w:rPr>
                <w:rFonts w:ascii="宋体" w:eastAsia="宋体" w:hAnsi="宋体" w:cs="宋体"/>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spacing w:after="160" w:line="259" w:lineRule="auto"/>
              <w:jc w:val="both"/>
              <w:rPr>
                <w:rFonts w:ascii="宋体" w:eastAsia="宋体" w:hAnsi="宋体" w:cs="宋体"/>
                <w:kern w:val="2"/>
                <w:sz w:val="21"/>
                <w:szCs w:val="21"/>
                <w:lang w:eastAsia="zh-CN"/>
              </w:rPr>
            </w:pPr>
            <w:bookmarkStart w:id="1" w:name="OLE_LINK2"/>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bookmarkEnd w:id="1"/>
          </w:p>
        </w:tc>
      </w:tr>
    </w:tbl>
    <w:p>
      <w:pPr>
        <w:widowControl w:val="0"/>
        <w:spacing w:before="280" w:after="160" w:line="259" w:lineRule="auto"/>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64"/>
      </w:tblGrid>
      <w:tr>
        <w:tblPrEx>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after="160" w:line="360" w:lineRule="exact"/>
              <w:jc w:val="center"/>
              <w:rPr>
                <w:rFonts w:eastAsia="宋体"/>
                <w:kern w:val="2"/>
                <w:sz w:val="28"/>
                <w:szCs w:val="28"/>
                <w:lang w:eastAsia="zh-CN"/>
              </w:rPr>
            </w:pPr>
            <w:r>
              <w:rPr>
                <w:rFonts w:ascii="宋体" w:eastAsia="宋体" w:hAnsi="宋体" w:cs="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after="160" w:line="360" w:lineRule="exact"/>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或未响应招标文件中带★号条款或响应有负偏离）</w:t>
            </w:r>
            <w:r>
              <w:rPr>
                <w:rFonts w:eastAsia="宋体" w:hint="eastAsia"/>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both"/>
              <w:textAlignment w:val="top"/>
              <w:rPr>
                <w:rFonts w:eastAsia="宋体"/>
                <w:kern w:val="2"/>
                <w:sz w:val="21"/>
                <w:szCs w:val="21"/>
                <w:lang w:eastAsia="zh-CN"/>
              </w:rPr>
            </w:pPr>
            <w:bookmarkStart w:id="2" w:name="OLE_LINK3"/>
            <w:r>
              <w:rPr>
                <w:rFonts w:eastAsia="宋体" w:hint="eastAsia"/>
                <w:kern w:val="2"/>
                <w:sz w:val="21"/>
                <w:lang w:eastAsia="zh-CN"/>
              </w:rPr>
              <w:t>法律、法规、规章、规范性文件规定的其他情形。</w:t>
            </w:r>
            <w:bookmarkEnd w:id="2"/>
          </w:p>
        </w:tc>
      </w:tr>
    </w:tbl>
    <w:p>
      <w:pPr>
        <w:widowControl w:val="0"/>
        <w:spacing w:after="160" w:line="259" w:lineRule="auto"/>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8416"/>
      </w:tblGrid>
      <w:tr>
        <w:tblPrEx>
          <w:tblW w:w="5000" w:type="pct"/>
          <w:jc w:val="center"/>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vAlign w:val="center"/>
          </w:tcPr>
          <w:p>
            <w:pPr>
              <w:widowControl w:val="0"/>
              <w:spacing w:after="160" w:line="259" w:lineRule="auto"/>
              <w:jc w:val="left"/>
              <w:rPr>
                <w:rFonts w:ascii="宋体" w:eastAsia="宋体" w:hAnsi="宋体" w:cs="宋体"/>
                <w:b/>
                <w:bCs/>
                <w:kern w:val="2"/>
                <w:lang w:eastAsia="zh-CN"/>
              </w:rPr>
            </w:pPr>
            <w:r>
              <w:rPr>
                <w:rFonts w:eastAsia="宋体"/>
                <w:b/>
                <w:bCs/>
                <w:kern w:val="2"/>
                <w:sz w:val="21"/>
                <w:lang w:eastAsia="zh-CN"/>
              </w:rPr>
              <w:t>评标方法：综合评分法</w:t>
            </w:r>
          </w:p>
        </w:tc>
      </w:tr>
      <w:tr>
        <w:tblPrEx>
          <w:tblW w:w="5000" w:type="pct"/>
          <w:jc w:val="center"/>
          <w:tblCellSpacing w:w="0" w:type="dxa"/>
          <w:tblInd w:w="0" w:type="dxa"/>
          <w:tblLayout w:type="fixed"/>
          <w:tblCellMar>
            <w:top w:w="45" w:type="dxa"/>
            <w:left w:w="45" w:type="dxa"/>
            <w:bottom w:w="45" w:type="dxa"/>
            <w:right w:w="45" w:type="dxa"/>
          </w:tblCellMar>
        </w:tblPrEx>
        <w:trPr>
          <w:tblCellSpacing w:w="0" w:type="dxa"/>
          <w:jc w:val="center"/>
        </w:trPr>
        <w:tc>
          <w:tcPr>
            <w:tcW w:w="9072" w:type="dxa"/>
            <w:vAlign w:val="center"/>
          </w:tcPr>
          <w:p>
            <w:pPr>
              <w:widowControl w:val="0"/>
              <w:spacing w:after="160" w:line="259" w:lineRule="auto"/>
              <w:ind w:firstLine="420"/>
              <w:jc w:val="both"/>
              <w:rPr>
                <w:rFonts w:eastAsia="宋体"/>
                <w:kern w:val="2"/>
                <w:sz w:val="21"/>
                <w:szCs w:val="21"/>
                <w:lang w:eastAsia="zh-CN"/>
              </w:rPr>
            </w:pPr>
            <w:r>
              <w:rPr>
                <w:rFonts w:eastAsia="宋体" w:hint="eastAsia"/>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after="160" w:line="259" w:lineRule="auto"/>
              <w:ind w:firstLine="420"/>
              <w:jc w:val="both"/>
              <w:rPr>
                <w:rFonts w:eastAsia="宋体"/>
                <w:kern w:val="2"/>
                <w:sz w:val="21"/>
                <w:szCs w:val="21"/>
                <w:lang w:eastAsia="zh-CN"/>
              </w:rPr>
            </w:pPr>
            <w:r>
              <w:rPr>
                <w:rFonts w:eastAsia="宋体" w:hint="eastAsia"/>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spacing w:after="160" w:line="259" w:lineRule="auto"/>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after="160" w:line="259"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pPr>
              <w:widowControl w:val="0"/>
              <w:spacing w:after="160" w:line="259" w:lineRule="auto"/>
              <w:ind w:left="420"/>
              <w:jc w:val="both"/>
              <w:rPr>
                <w:rFonts w:eastAsia="宋体"/>
                <w:kern w:val="2"/>
                <w:sz w:val="21"/>
                <w:szCs w:val="21"/>
                <w:lang w:eastAsia="zh-CN"/>
              </w:rPr>
            </w:pPr>
            <w:r>
              <w:rPr>
                <w:rFonts w:eastAsia="宋体"/>
                <w:kern w:val="2"/>
                <w:sz w:val="21"/>
                <w:szCs w:val="21"/>
                <w:lang w:eastAsia="zh-CN"/>
              </w:rPr>
              <w:t xml:space="preserve">投标报价得分=(评标基准价／投标报价)×100 </w:t>
            </w:r>
          </w:p>
          <w:p>
            <w:pPr>
              <w:widowControl w:val="0"/>
              <w:spacing w:after="160" w:line="259" w:lineRule="auto"/>
              <w:ind w:left="420"/>
              <w:jc w:val="both"/>
              <w:rPr>
                <w:rFonts w:eastAsia="宋体"/>
                <w:kern w:val="2"/>
                <w:sz w:val="21"/>
                <w:szCs w:val="21"/>
                <w:lang w:eastAsia="zh-CN"/>
              </w:rPr>
            </w:pPr>
            <w:r>
              <w:rPr>
                <w:rFonts w:eastAsia="宋体"/>
                <w:kern w:val="2"/>
                <w:sz w:val="21"/>
                <w:szCs w:val="21"/>
                <w:lang w:eastAsia="zh-CN"/>
              </w:rPr>
              <w:t xml:space="preserve">评标总得分＝F1×A1＋F2×A2＋……＋Fn×An </w:t>
            </w:r>
          </w:p>
          <w:p>
            <w:pPr>
              <w:widowControl w:val="0"/>
              <w:spacing w:after="160" w:line="259" w:lineRule="auto"/>
              <w:ind w:left="420"/>
              <w:jc w:val="both"/>
              <w:rPr>
                <w:rFonts w:eastAsia="宋体"/>
                <w:kern w:val="2"/>
                <w:sz w:val="21"/>
                <w:szCs w:val="21"/>
                <w:lang w:eastAsia="zh-CN"/>
              </w:rPr>
            </w:pPr>
            <w:r>
              <w:rPr>
                <w:rFonts w:eastAsia="宋体"/>
                <w:kern w:val="2"/>
                <w:sz w:val="21"/>
                <w:szCs w:val="21"/>
                <w:lang w:eastAsia="zh-CN"/>
              </w:rPr>
              <w:t xml:space="preserve">F1、F2……Fn分别为各项评审因素的得分； </w:t>
            </w:r>
          </w:p>
          <w:p>
            <w:pPr>
              <w:widowControl w:val="0"/>
              <w:spacing w:after="160" w:line="259" w:lineRule="auto"/>
              <w:ind w:left="420"/>
              <w:jc w:val="both"/>
              <w:rPr>
                <w:rFonts w:eastAsia="宋体"/>
                <w:kern w:val="2"/>
                <w:sz w:val="21"/>
                <w:szCs w:val="21"/>
                <w:lang w:eastAsia="zh-CN"/>
              </w:rPr>
            </w:pPr>
            <w:r>
              <w:rPr>
                <w:rFonts w:eastAsia="宋体"/>
                <w:kern w:val="2"/>
                <w:sz w:val="21"/>
                <w:szCs w:val="21"/>
                <w:lang w:eastAsia="zh-CN"/>
              </w:rPr>
              <w:t xml:space="preserve">A1、A2、……An 分别为各项评审因素所占的权重(A1＋A2＋……＋An＝1)。 </w:t>
            </w:r>
          </w:p>
          <w:p>
            <w:pPr>
              <w:widowControl w:val="0"/>
              <w:spacing w:after="160" w:line="259"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pPr>
              <w:widowControl w:val="0"/>
              <w:spacing w:after="160" w:line="259" w:lineRule="auto"/>
              <w:ind w:left="420"/>
              <w:jc w:val="both"/>
              <w:rPr>
                <w:rFonts w:eastAsia="宋体"/>
                <w:kern w:val="2"/>
                <w:sz w:val="21"/>
                <w:szCs w:val="21"/>
                <w:lang w:eastAsia="zh-CN"/>
              </w:rPr>
            </w:pPr>
            <w:r>
              <w:rPr>
                <w:rFonts w:eastAsia="宋体" w:hint="eastAsia"/>
                <w:kern w:val="2"/>
                <w:sz w:val="21"/>
                <w:szCs w:val="21"/>
                <w:lang w:eastAsia="zh-CN"/>
              </w:rPr>
              <w:t>注：投标人的“</w:t>
            </w:r>
            <w:r>
              <w:rPr>
                <w:rFonts w:eastAsia="宋体" w:hint="eastAsia"/>
                <w:color w:val="FF0000"/>
                <w:kern w:val="2"/>
                <w:sz w:val="21"/>
                <w:szCs w:val="21"/>
                <w:lang w:eastAsia="zh-CN"/>
              </w:rPr>
              <w:t>技术规格响应情况</w:t>
            </w:r>
            <w:r>
              <w:rPr>
                <w:rFonts w:eastAsia="宋体" w:hint="eastAsia"/>
                <w:kern w:val="2"/>
                <w:sz w:val="21"/>
                <w:szCs w:val="21"/>
                <w:lang w:eastAsia="zh-CN"/>
              </w:rPr>
              <w:t>”“技术规格偏离情况”等必须与客观实际保持一致，响应不实且情节严重的，经查实，将依法记入供应商诚信档案或受到行政处罚。</w:t>
            </w:r>
          </w:p>
        </w:tc>
      </w:tr>
    </w:tbl>
    <w:tbl>
      <w:tblPr>
        <w:tblStyle w:val="TableNormal"/>
        <w:tblpPr w:leftFromText="180" w:rightFromText="180" w:vertAnchor="text" w:tblpXSpec="center"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71"/>
        <w:gridCol w:w="388"/>
        <w:gridCol w:w="927"/>
        <w:gridCol w:w="675"/>
        <w:gridCol w:w="675"/>
        <w:gridCol w:w="548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383" w:type="dxa"/>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序号</w:t>
            </w:r>
          </w:p>
        </w:tc>
        <w:tc>
          <w:tcPr>
            <w:tcW w:w="2799" w:type="dxa"/>
            <w:gridSpan w:val="4"/>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评分项</w:t>
            </w:r>
          </w:p>
        </w:tc>
        <w:tc>
          <w:tcPr>
            <w:tcW w:w="5897" w:type="dxa"/>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权重</w:t>
            </w:r>
          </w:p>
        </w:tc>
      </w:tr>
      <w:tr>
        <w:tblPrEx>
          <w:tblW w:w="5000" w:type="pct"/>
          <w:tblInd w:w="0" w:type="dxa"/>
          <w:tblLayout w:type="fixed"/>
          <w:tblCellMar>
            <w:top w:w="0" w:type="dxa"/>
            <w:left w:w="108" w:type="dxa"/>
            <w:bottom w:w="0" w:type="dxa"/>
            <w:right w:w="108" w:type="dxa"/>
          </w:tblCellMar>
        </w:tblPrEx>
        <w:trPr>
          <w:trHeight w:val="20"/>
        </w:trPr>
        <w:tc>
          <w:tcPr>
            <w:tcW w:w="383" w:type="dxa"/>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b/>
                <w:bCs/>
                <w:kern w:val="2"/>
                <w:sz w:val="21"/>
                <w:szCs w:val="21"/>
                <w:lang w:eastAsia="zh-CN"/>
              </w:rPr>
              <w:t>1</w:t>
            </w:r>
          </w:p>
        </w:tc>
        <w:tc>
          <w:tcPr>
            <w:tcW w:w="2799" w:type="dxa"/>
            <w:gridSpan w:val="4"/>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价格</w:t>
            </w:r>
          </w:p>
        </w:tc>
        <w:tc>
          <w:tcPr>
            <w:tcW w:w="5897" w:type="dxa"/>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3</w:t>
            </w:r>
            <w:r>
              <w:rPr>
                <w:rFonts w:ascii="宋体" w:eastAsia="宋体" w:hAnsi="宋体"/>
                <w:b/>
                <w:bCs/>
                <w:kern w:val="2"/>
                <w:sz w:val="21"/>
                <w:szCs w:val="21"/>
                <w:lang w:eastAsia="zh-CN"/>
              </w:rPr>
              <w:t>0</w:t>
            </w:r>
          </w:p>
        </w:tc>
      </w:tr>
      <w:tr>
        <w:tblPrEx>
          <w:tblW w:w="5000" w:type="pct"/>
          <w:tblInd w:w="0" w:type="dxa"/>
          <w:tblLayout w:type="fixed"/>
          <w:tblCellMar>
            <w:top w:w="0" w:type="dxa"/>
            <w:left w:w="108" w:type="dxa"/>
            <w:bottom w:w="0" w:type="dxa"/>
            <w:right w:w="108" w:type="dxa"/>
          </w:tblCellMar>
        </w:tblPrEx>
        <w:trPr>
          <w:trHeight w:val="20"/>
        </w:trPr>
        <w:tc>
          <w:tcPr>
            <w:tcW w:w="383" w:type="dxa"/>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b/>
                <w:bCs/>
                <w:kern w:val="2"/>
                <w:sz w:val="21"/>
                <w:szCs w:val="21"/>
                <w:lang w:eastAsia="zh-CN"/>
              </w:rPr>
              <w:t>2</w:t>
            </w:r>
          </w:p>
        </w:tc>
        <w:tc>
          <w:tcPr>
            <w:tcW w:w="2799" w:type="dxa"/>
            <w:gridSpan w:val="4"/>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技术部分</w:t>
            </w:r>
          </w:p>
        </w:tc>
        <w:tc>
          <w:tcPr>
            <w:tcW w:w="5897" w:type="dxa"/>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b/>
                <w:bCs/>
                <w:kern w:val="2"/>
                <w:sz w:val="21"/>
                <w:szCs w:val="21"/>
                <w:lang w:eastAsia="zh-CN"/>
              </w:rPr>
              <w:t>54</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restart"/>
            <w:vAlign w:val="center"/>
          </w:tcPr>
          <w:p>
            <w:pPr>
              <w:widowControl w:val="0"/>
              <w:spacing w:after="160" w:line="259" w:lineRule="auto"/>
              <w:jc w:val="center"/>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序号</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评审因素</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权重</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评分方式</w:t>
            </w:r>
          </w:p>
        </w:tc>
        <w:tc>
          <w:tcPr>
            <w:tcW w:w="5897"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评分准则</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ign w:val="center"/>
          </w:tcPr>
          <w:p>
            <w:pPr>
              <w:keepNext/>
              <w:keepLines/>
              <w:widowControl w:val="0"/>
              <w:spacing w:before="340" w:after="330" w:line="259" w:lineRule="auto"/>
              <w:jc w:val="center"/>
              <w:outlineLvl w:val="0"/>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技术保障措施</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5</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专家打分</w:t>
            </w:r>
          </w:p>
        </w:tc>
        <w:tc>
          <w:tcPr>
            <w:tcW w:w="5897" w:type="dxa"/>
            <w:vAlign w:val="center"/>
          </w:tcPr>
          <w:p>
            <w:pPr>
              <w:widowControl w:val="0"/>
              <w:autoSpaceDE w:val="0"/>
              <w:autoSpaceDN w:val="0"/>
              <w:adjustRightInd w:val="0"/>
              <w:snapToGrid w:val="0"/>
              <w:spacing w:after="160" w:line="259" w:lineRule="auto"/>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（一）评分内容：</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根据投标人对本项目需求制定技术保障措施，内容包括：</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①供货进度安排；②安装调试方案；③质量控制措施；</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④安全保障措施（包括但不限于交货安全、设备安全、信息化安全等）；⑤技术团队情况（包括但不限于交货人员、验收人员、维修保养人员、培训人员等）；</w:t>
            </w:r>
          </w:p>
          <w:p>
            <w:pPr>
              <w:widowControl w:val="0"/>
              <w:autoSpaceDE w:val="0"/>
              <w:autoSpaceDN w:val="0"/>
              <w:adjustRightInd w:val="0"/>
              <w:snapToGrid w:val="0"/>
              <w:spacing w:after="160" w:line="259" w:lineRule="auto"/>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（二）评分依据：</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方案包含以上任意一项内容得12分；最高60分。</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在此基础上，根据方案响应情况进一步评审：</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（1）项目技术保障措施全面具体、针对性强、可操作性强，评价为优，加40分；</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（2）项目技术保障措施比较全面具体、针对性、可操作性较好，评价为良，加30分；</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（3）项目技术保障措施基本全面具体，针对性、可操作性一般。评价为中，加20分；</w:t>
            </w:r>
          </w:p>
          <w:p>
            <w:pPr>
              <w:widowControl w:val="0"/>
              <w:autoSpaceDE w:val="0"/>
              <w:autoSpaceDN w:val="0"/>
              <w:adjustRightInd w:val="0"/>
              <w:snapToGrid w:val="0"/>
              <w:spacing w:after="160" w:line="259"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（4）项目技术保障措施不全不具体、无针对性、无可操作性，或未按采购文件要求提供实施方案的。评价为差，不得分。如果评审为差，要求专家书面说明理由，并记录在档。</w:t>
            </w:r>
          </w:p>
          <w:p>
            <w:pPr>
              <w:widowControl w:val="0"/>
              <w:spacing w:after="160" w:line="259"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以上累计得分，最高得100分。</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ign w:val="center"/>
          </w:tcPr>
          <w:p>
            <w:pPr>
              <w:keepNext/>
              <w:keepLines/>
              <w:widowControl w:val="0"/>
              <w:spacing w:before="260" w:after="260" w:line="259" w:lineRule="auto"/>
              <w:jc w:val="center"/>
              <w:outlineLvl w:val="2"/>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2</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cs="宋体" w:hint="eastAsia"/>
                <w:sz w:val="21"/>
                <w:szCs w:val="21"/>
                <w:lang w:eastAsia="zh-CN"/>
              </w:rPr>
              <w:t>技术要求偏离情况</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cs="宋体"/>
                <w:kern w:val="2"/>
                <w:sz w:val="21"/>
                <w:szCs w:val="21"/>
                <w:lang w:eastAsia="zh-CN"/>
              </w:rPr>
              <w:t>49</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专家打分</w:t>
            </w:r>
          </w:p>
        </w:tc>
        <w:tc>
          <w:tcPr>
            <w:tcW w:w="5897" w:type="dxa"/>
            <w:vAlign w:val="center"/>
          </w:tcPr>
          <w:p>
            <w:pPr>
              <w:widowControl/>
              <w:spacing w:after="160" w:line="259"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（一）评分内容：投标人应如实填写《技术要求偏离表》，评审委员会根据技术需求参数响应情况进行打分，各项技术参数指标及要求全部满足的得100分，</w:t>
            </w:r>
            <w:r>
              <w:rPr>
                <w:rFonts w:eastAsia="宋体"/>
                <w:kern w:val="2"/>
                <w:sz w:val="21"/>
                <w:lang w:eastAsia="zh-CN"/>
              </w:rPr>
              <w:t>所有标注“▲”的重要参数每项负偏离一</w:t>
            </w:r>
            <w:r>
              <w:rPr>
                <w:rFonts w:eastAsia="宋体"/>
                <w:kern w:val="2"/>
                <w:sz w:val="21"/>
                <w:highlight w:val="yellow"/>
                <w:lang w:eastAsia="zh-CN"/>
              </w:rPr>
              <w:t>扣</w:t>
            </w:r>
            <w:r>
              <w:rPr>
                <w:rFonts w:eastAsia="宋体" w:hint="eastAsia"/>
                <w:color w:val="FF0000"/>
                <w:kern w:val="2"/>
                <w:sz w:val="21"/>
                <w:highlight w:val="yellow"/>
                <w:lang w:eastAsia="zh-CN"/>
              </w:rPr>
              <w:t>5</w:t>
            </w:r>
            <w:r>
              <w:rPr>
                <w:rFonts w:eastAsia="宋体"/>
                <w:kern w:val="2"/>
                <w:sz w:val="21"/>
                <w:highlight w:val="yellow"/>
                <w:lang w:eastAsia="zh-CN"/>
              </w:rPr>
              <w:t>分</w:t>
            </w:r>
            <w:r>
              <w:rPr>
                <w:rFonts w:eastAsia="宋体"/>
                <w:kern w:val="2"/>
                <w:sz w:val="21"/>
                <w:lang w:eastAsia="zh-CN"/>
              </w:rPr>
              <w:t>，一般参数每负偏离一条</w:t>
            </w:r>
            <w:r>
              <w:rPr>
                <w:rFonts w:eastAsia="宋体"/>
                <w:kern w:val="2"/>
                <w:sz w:val="21"/>
                <w:highlight w:val="yellow"/>
                <w:lang w:eastAsia="zh-CN"/>
              </w:rPr>
              <w:t>扣</w:t>
            </w:r>
            <w:r>
              <w:rPr>
                <w:rFonts w:eastAsia="宋体" w:hint="eastAsia"/>
                <w:color w:val="FF0000"/>
                <w:kern w:val="2"/>
                <w:sz w:val="21"/>
                <w:highlight w:val="yellow"/>
                <w:lang w:eastAsia="zh-CN"/>
              </w:rPr>
              <w:t>1.6</w:t>
            </w:r>
            <w:r>
              <w:rPr>
                <w:rFonts w:eastAsia="宋体"/>
                <w:kern w:val="2"/>
                <w:sz w:val="21"/>
                <w:highlight w:val="yellow"/>
                <w:lang w:eastAsia="zh-CN"/>
              </w:rPr>
              <w:t>分</w:t>
            </w:r>
            <w:r>
              <w:rPr>
                <w:rFonts w:eastAsia="宋体"/>
                <w:kern w:val="2"/>
                <w:sz w:val="21"/>
                <w:lang w:eastAsia="zh-CN"/>
              </w:rPr>
              <w:t>，扣完为止。 </w:t>
            </w:r>
          </w:p>
        </w:tc>
      </w:tr>
      <w:tr>
        <w:tblPrEx>
          <w:tblW w:w="5000" w:type="pct"/>
          <w:tblInd w:w="0" w:type="dxa"/>
          <w:tblLayout w:type="fixed"/>
          <w:tblCellMar>
            <w:top w:w="0" w:type="dxa"/>
            <w:left w:w="108" w:type="dxa"/>
            <w:bottom w:w="0" w:type="dxa"/>
            <w:right w:w="108" w:type="dxa"/>
          </w:tblCellMar>
        </w:tblPrEx>
        <w:trPr>
          <w:trHeight w:val="20"/>
        </w:trPr>
        <w:tc>
          <w:tcPr>
            <w:tcW w:w="383" w:type="dxa"/>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b/>
                <w:bCs/>
                <w:kern w:val="2"/>
                <w:sz w:val="21"/>
                <w:szCs w:val="21"/>
                <w:lang w:eastAsia="zh-CN"/>
              </w:rPr>
              <w:t>3</w:t>
            </w:r>
          </w:p>
        </w:tc>
        <w:tc>
          <w:tcPr>
            <w:tcW w:w="2799" w:type="dxa"/>
            <w:gridSpan w:val="4"/>
            <w:vAlign w:val="center"/>
          </w:tcPr>
          <w:p>
            <w:pPr>
              <w:widowControl w:val="0"/>
              <w:spacing w:after="160" w:line="259" w:lineRule="auto"/>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商务部分</w:t>
            </w:r>
          </w:p>
        </w:tc>
        <w:tc>
          <w:tcPr>
            <w:tcW w:w="5897" w:type="dxa"/>
            <w:vAlign w:val="center"/>
          </w:tcPr>
          <w:p>
            <w:pPr>
              <w:widowControl w:val="0"/>
              <w:spacing w:after="160" w:line="259" w:lineRule="auto"/>
              <w:jc w:val="center"/>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8</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restart"/>
            <w:vAlign w:val="center"/>
          </w:tcPr>
          <w:p>
            <w:pPr>
              <w:keepNext/>
              <w:keepLines/>
              <w:widowControl w:val="0"/>
              <w:spacing w:before="340" w:after="330" w:line="259" w:lineRule="auto"/>
              <w:jc w:val="center"/>
              <w:outlineLvl w:val="0"/>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序号</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评审因素</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权重</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评分方式</w:t>
            </w:r>
          </w:p>
        </w:tc>
        <w:tc>
          <w:tcPr>
            <w:tcW w:w="5897"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评分准则</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ign w:val="center"/>
          </w:tcPr>
          <w:p>
            <w:pPr>
              <w:keepNext/>
              <w:keepLines/>
              <w:widowControl w:val="0"/>
              <w:spacing w:before="340" w:after="330" w:line="259" w:lineRule="auto"/>
              <w:jc w:val="center"/>
              <w:outlineLvl w:val="0"/>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免费保修期内售后服务条款偏离情况</w:t>
            </w:r>
          </w:p>
        </w:tc>
        <w:tc>
          <w:tcPr>
            <w:tcW w:w="709" w:type="dxa"/>
            <w:vAlign w:val="center"/>
          </w:tcPr>
          <w:p>
            <w:pPr>
              <w:widowControl w:val="0"/>
              <w:spacing w:after="160" w:line="259" w:lineRule="auto"/>
              <w:jc w:val="center"/>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4</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5897" w:type="dxa"/>
            <w:vAlign w:val="center"/>
          </w:tcPr>
          <w:p>
            <w:pPr>
              <w:widowControl w:val="0"/>
              <w:spacing w:after="160" w:line="259"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（一）评分内容：投标人应如实填写《商务要求偏离表（免费保修期内售后服务要求）》，评审委员会根据响应情况进行打分，全部满足要求的得</w:t>
            </w:r>
            <w:r>
              <w:rPr>
                <w:rFonts w:ascii="宋体" w:eastAsia="宋体" w:hAnsi="宋体"/>
                <w:kern w:val="2"/>
                <w:sz w:val="21"/>
                <w:szCs w:val="21"/>
                <w:lang w:eastAsia="zh-CN"/>
              </w:rPr>
              <w:t>100</w:t>
            </w:r>
            <w:r>
              <w:rPr>
                <w:rFonts w:ascii="宋体" w:eastAsia="宋体" w:hAnsi="宋体" w:cs="宋体" w:hint="eastAsia"/>
                <w:kern w:val="2"/>
                <w:sz w:val="21"/>
                <w:szCs w:val="21"/>
                <w:lang w:eastAsia="zh-CN"/>
              </w:rPr>
              <w:t>分，每负偏离一项扣</w:t>
            </w:r>
            <w:r>
              <w:rPr>
                <w:rFonts w:ascii="宋体" w:eastAsia="宋体" w:hAnsi="宋体" w:hint="eastAsia"/>
                <w:kern w:val="2"/>
                <w:sz w:val="21"/>
                <w:szCs w:val="21"/>
                <w:highlight w:val="yellow"/>
                <w:lang w:eastAsia="zh-CN"/>
              </w:rPr>
              <w:t>1</w:t>
            </w:r>
            <w:r>
              <w:rPr>
                <w:rFonts w:ascii="宋体" w:eastAsia="宋体" w:hAnsi="宋体" w:hint="eastAsia"/>
                <w:kern w:val="2"/>
                <w:sz w:val="21"/>
                <w:szCs w:val="21"/>
                <w:highlight w:val="yellow"/>
                <w:lang w:eastAsia="zh-CN"/>
              </w:rPr>
              <w:t>1.2</w:t>
            </w:r>
            <w:r>
              <w:rPr>
                <w:rFonts w:ascii="宋体" w:eastAsia="宋体" w:hAnsi="宋体" w:cs="宋体" w:hint="eastAsia"/>
                <w:kern w:val="2"/>
                <w:sz w:val="21"/>
                <w:szCs w:val="21"/>
                <w:lang w:eastAsia="zh-CN"/>
              </w:rPr>
              <w:t>分，扣完为止。</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ign w:val="center"/>
          </w:tcPr>
          <w:p>
            <w:pPr>
              <w:keepNext/>
              <w:keepLines/>
              <w:widowControl w:val="0"/>
              <w:spacing w:before="260" w:after="260" w:line="259" w:lineRule="auto"/>
              <w:jc w:val="center"/>
              <w:outlineLvl w:val="2"/>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2</w:t>
            </w:r>
          </w:p>
        </w:tc>
        <w:tc>
          <w:tcPr>
            <w:tcW w:w="981" w:type="dxa"/>
            <w:vAlign w:val="center"/>
          </w:tcPr>
          <w:p>
            <w:pPr>
              <w:widowControl w:val="0"/>
              <w:spacing w:after="160" w:line="259"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免费保修期外售后服务条款偏离情况</w:t>
            </w:r>
          </w:p>
        </w:tc>
        <w:tc>
          <w:tcPr>
            <w:tcW w:w="709" w:type="dxa"/>
            <w:vAlign w:val="center"/>
          </w:tcPr>
          <w:p>
            <w:pPr>
              <w:widowControl w:val="0"/>
              <w:spacing w:after="160" w:line="259" w:lineRule="auto"/>
              <w:jc w:val="center"/>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1</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5897" w:type="dxa"/>
            <w:vAlign w:val="center"/>
          </w:tcPr>
          <w:p>
            <w:pPr>
              <w:widowControl w:val="0"/>
              <w:spacing w:after="160" w:line="259"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（一）评分内容：投标人应如实填写《商务要求偏离表（免费保修期外售后服务要求）》，评审委员会根据响应情况进行打分，全部满足要求的得</w:t>
            </w:r>
            <w:r>
              <w:rPr>
                <w:rFonts w:ascii="宋体" w:eastAsia="宋体" w:hAnsi="宋体"/>
                <w:kern w:val="2"/>
                <w:sz w:val="21"/>
                <w:szCs w:val="21"/>
                <w:lang w:eastAsia="zh-CN"/>
              </w:rPr>
              <w:t>100</w:t>
            </w:r>
            <w:r>
              <w:rPr>
                <w:rFonts w:ascii="宋体" w:eastAsia="宋体" w:hAnsi="宋体" w:cs="宋体" w:hint="eastAsia"/>
                <w:kern w:val="2"/>
                <w:sz w:val="21"/>
                <w:szCs w:val="21"/>
                <w:lang w:eastAsia="zh-CN"/>
              </w:rPr>
              <w:t>分，每负偏离一项扣</w:t>
            </w:r>
            <w:r>
              <w:rPr>
                <w:rFonts w:ascii="宋体" w:eastAsia="宋体" w:hAnsi="宋体"/>
                <w:kern w:val="2"/>
                <w:sz w:val="21"/>
                <w:szCs w:val="21"/>
                <w:lang w:eastAsia="zh-CN"/>
              </w:rPr>
              <w:t>50</w:t>
            </w:r>
            <w:r>
              <w:rPr>
                <w:rFonts w:ascii="宋体" w:eastAsia="宋体" w:hAnsi="宋体" w:cs="宋体" w:hint="eastAsia"/>
                <w:kern w:val="2"/>
                <w:sz w:val="21"/>
                <w:szCs w:val="21"/>
                <w:lang w:eastAsia="zh-CN"/>
              </w:rPr>
              <w:t>分，扣完为止。</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ign w:val="center"/>
          </w:tcPr>
          <w:p>
            <w:pPr>
              <w:keepNext/>
              <w:keepLines/>
              <w:widowControl w:val="0"/>
              <w:spacing w:before="260" w:after="260" w:line="259" w:lineRule="auto"/>
              <w:jc w:val="center"/>
              <w:outlineLvl w:val="2"/>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3</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其他商务条款偏离情况</w:t>
            </w:r>
          </w:p>
        </w:tc>
        <w:tc>
          <w:tcPr>
            <w:tcW w:w="709" w:type="dxa"/>
            <w:vAlign w:val="center"/>
          </w:tcPr>
          <w:p>
            <w:pPr>
              <w:widowControl w:val="0"/>
              <w:spacing w:after="160" w:line="259" w:lineRule="auto"/>
              <w:jc w:val="center"/>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3</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5897" w:type="dxa"/>
            <w:vAlign w:val="center"/>
          </w:tcPr>
          <w:p>
            <w:pPr>
              <w:widowControl w:val="0"/>
              <w:spacing w:after="160" w:line="259"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（一）评分内容：投标人应如实填写《商务要求偏离表（其他商务要求）》，评审委员会根据响应情况进行打分，全部满足要求的得</w:t>
            </w:r>
            <w:r>
              <w:rPr>
                <w:rFonts w:ascii="宋体" w:eastAsia="宋体" w:hAnsi="宋体"/>
                <w:kern w:val="2"/>
                <w:sz w:val="21"/>
                <w:szCs w:val="21"/>
                <w:lang w:eastAsia="zh-CN"/>
              </w:rPr>
              <w:t>100</w:t>
            </w:r>
            <w:r>
              <w:rPr>
                <w:rFonts w:ascii="宋体" w:eastAsia="宋体" w:hAnsi="宋体" w:cs="宋体" w:hint="eastAsia"/>
                <w:kern w:val="2"/>
                <w:sz w:val="21"/>
                <w:szCs w:val="21"/>
                <w:lang w:eastAsia="zh-CN"/>
              </w:rPr>
              <w:t>分，每负偏离一项扣</w:t>
            </w:r>
            <w:r>
              <w:rPr>
                <w:rFonts w:ascii="宋体" w:eastAsia="宋体" w:hAnsi="宋体" w:hint="eastAsia"/>
                <w:kern w:val="2"/>
                <w:sz w:val="21"/>
                <w:szCs w:val="21"/>
                <w:highlight w:val="yellow"/>
                <w:lang w:eastAsia="zh-CN"/>
              </w:rPr>
              <w:t>1</w:t>
            </w:r>
            <w:r>
              <w:rPr>
                <w:rFonts w:ascii="宋体" w:eastAsia="宋体" w:hAnsi="宋体" w:hint="eastAsia"/>
                <w:kern w:val="2"/>
                <w:sz w:val="21"/>
                <w:szCs w:val="21"/>
                <w:highlight w:val="yellow"/>
                <w:lang w:eastAsia="zh-CN"/>
              </w:rPr>
              <w:t>1.2</w:t>
            </w:r>
            <w:r>
              <w:rPr>
                <w:rFonts w:ascii="宋体" w:eastAsia="宋体" w:hAnsi="宋体" w:cs="宋体" w:hint="eastAsia"/>
                <w:kern w:val="2"/>
                <w:sz w:val="21"/>
                <w:szCs w:val="21"/>
                <w:lang w:eastAsia="zh-CN"/>
              </w:rPr>
              <w:t>分，扣完为止。</w:t>
            </w:r>
          </w:p>
        </w:tc>
      </w:tr>
      <w:tr>
        <w:tblPrEx>
          <w:tblW w:w="5000" w:type="pct"/>
          <w:tblInd w:w="0" w:type="dxa"/>
          <w:tblLayout w:type="fixed"/>
          <w:tblCellMar>
            <w:top w:w="0" w:type="dxa"/>
            <w:left w:w="108" w:type="dxa"/>
            <w:bottom w:w="0" w:type="dxa"/>
            <w:right w:w="108" w:type="dxa"/>
          </w:tblCellMar>
        </w:tblPrEx>
        <w:trPr>
          <w:trHeight w:val="20"/>
        </w:trPr>
        <w:tc>
          <w:tcPr>
            <w:tcW w:w="383"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4</w:t>
            </w:r>
          </w:p>
        </w:tc>
        <w:tc>
          <w:tcPr>
            <w:tcW w:w="2799" w:type="dxa"/>
            <w:gridSpan w:val="4"/>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诚信情况</w:t>
            </w:r>
          </w:p>
        </w:tc>
        <w:tc>
          <w:tcPr>
            <w:tcW w:w="5897" w:type="dxa"/>
            <w:vAlign w:val="center"/>
          </w:tcPr>
          <w:p>
            <w:pPr>
              <w:widowControl w:val="0"/>
              <w:snapToGrid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5</w:t>
            </w:r>
          </w:p>
        </w:tc>
      </w:tr>
      <w:tr>
        <w:tblPrEx>
          <w:tblW w:w="5000" w:type="pct"/>
          <w:tblInd w:w="0" w:type="dxa"/>
          <w:tblLayout w:type="fixed"/>
          <w:tblCellMar>
            <w:top w:w="0" w:type="dxa"/>
            <w:left w:w="108" w:type="dxa"/>
            <w:bottom w:w="0" w:type="dxa"/>
            <w:right w:w="108" w:type="dxa"/>
          </w:tblCellMar>
        </w:tblPrEx>
        <w:trPr>
          <w:trHeight w:val="90"/>
        </w:trPr>
        <w:tc>
          <w:tcPr>
            <w:tcW w:w="383" w:type="dxa"/>
            <w:vMerge w:val="restart"/>
            <w:vAlign w:val="center"/>
          </w:tcPr>
          <w:p>
            <w:pPr>
              <w:widowControl w:val="0"/>
              <w:spacing w:after="160" w:line="259" w:lineRule="auto"/>
              <w:jc w:val="center"/>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序号</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评审因素</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权重</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评分方式</w:t>
            </w:r>
          </w:p>
        </w:tc>
        <w:tc>
          <w:tcPr>
            <w:tcW w:w="5897"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评分准则</w:t>
            </w:r>
          </w:p>
        </w:tc>
      </w:tr>
      <w:tr>
        <w:tblPrEx>
          <w:tblW w:w="5000" w:type="pct"/>
          <w:tblInd w:w="0" w:type="dxa"/>
          <w:tblLayout w:type="fixed"/>
          <w:tblCellMar>
            <w:top w:w="0" w:type="dxa"/>
            <w:left w:w="108" w:type="dxa"/>
            <w:bottom w:w="0" w:type="dxa"/>
            <w:right w:w="108" w:type="dxa"/>
          </w:tblCellMar>
        </w:tblPrEx>
        <w:trPr>
          <w:trHeight w:val="20"/>
        </w:trPr>
        <w:tc>
          <w:tcPr>
            <w:tcW w:w="383" w:type="dxa"/>
            <w:vMerge/>
            <w:vAlign w:val="center"/>
          </w:tcPr>
          <w:p>
            <w:pPr>
              <w:keepNext/>
              <w:keepLines/>
              <w:widowControl w:val="0"/>
              <w:spacing w:before="340" w:after="330" w:line="259" w:lineRule="auto"/>
              <w:jc w:val="center"/>
              <w:outlineLvl w:val="0"/>
              <w:rPr>
                <w:rFonts w:ascii="宋体" w:eastAsia="宋体" w:hAnsi="宋体"/>
                <w:kern w:val="2"/>
                <w:sz w:val="21"/>
                <w:szCs w:val="21"/>
                <w:lang w:eastAsia="zh-CN"/>
              </w:rPr>
            </w:pPr>
          </w:p>
        </w:tc>
        <w:tc>
          <w:tcPr>
            <w:tcW w:w="400"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981"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诚信</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kern w:val="2"/>
                <w:sz w:val="21"/>
                <w:szCs w:val="21"/>
                <w:lang w:eastAsia="zh-CN"/>
              </w:rPr>
              <w:t>5</w:t>
            </w:r>
          </w:p>
        </w:tc>
        <w:tc>
          <w:tcPr>
            <w:tcW w:w="709" w:type="dxa"/>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5897" w:type="dxa"/>
            <w:vAlign w:val="center"/>
          </w:tcPr>
          <w:p>
            <w:pPr>
              <w:widowControl w:val="0"/>
              <w:spacing w:after="120" w:line="259"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after="160" w:line="259"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spacing w:after="120" w:line="259"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spacing w:after="160" w:line="259"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查询渠道：“信用中国”（www.creditchina.gov.cn，下载信用信息报告）、“中国政府采购网”（www.ccgp.gov.cn）”、“深圳市政府采购监管网”（http://zfcg.sz.gov.cn）以及“深圳政府采购智慧平台信用库”为供应商信用信息的查询渠道，相关信息以开标当日的查询结果为准。</w:t>
            </w:r>
          </w:p>
        </w:tc>
      </w:tr>
      <w:tr>
        <w:tblPrEx>
          <w:tblW w:w="5000" w:type="pct"/>
          <w:tblInd w:w="0" w:type="dxa"/>
          <w:tblLayout w:type="fixed"/>
          <w:tblCellMar>
            <w:top w:w="0" w:type="dxa"/>
            <w:left w:w="108" w:type="dxa"/>
            <w:bottom w:w="0" w:type="dxa"/>
            <w:right w:w="108" w:type="dxa"/>
          </w:tblCellMar>
        </w:tblPrEx>
        <w:trPr>
          <w:trHeight w:val="528"/>
        </w:trPr>
        <w:tc>
          <w:tcPr>
            <w:tcW w:w="383" w:type="dxa"/>
            <w:vAlign w:val="center"/>
          </w:tcPr>
          <w:p>
            <w:pPr>
              <w:keepNext/>
              <w:keepLines/>
              <w:widowControl w:val="0"/>
              <w:spacing w:before="340" w:after="330" w:line="259" w:lineRule="auto"/>
              <w:jc w:val="center"/>
              <w:outlineLvl w:val="0"/>
              <w:rPr>
                <w:rFonts w:ascii="宋体" w:eastAsia="宋体" w:hAnsi="宋体" w:hint="eastAsia"/>
                <w:kern w:val="2"/>
                <w:sz w:val="21"/>
                <w:szCs w:val="21"/>
                <w:lang w:eastAsia="zh-CN"/>
              </w:rPr>
            </w:pPr>
            <w:r>
              <w:rPr>
                <w:rFonts w:ascii="宋体" w:eastAsia="宋体" w:hAnsi="宋体" w:hint="eastAsia"/>
                <w:kern w:val="2"/>
                <w:sz w:val="21"/>
                <w:szCs w:val="21"/>
                <w:lang w:eastAsia="zh-CN"/>
              </w:rPr>
              <w:t>5</w:t>
            </w:r>
          </w:p>
        </w:tc>
        <w:tc>
          <w:tcPr>
            <w:tcW w:w="2799" w:type="dxa"/>
            <w:gridSpan w:val="4"/>
            <w:vAlign w:val="center"/>
          </w:tcPr>
          <w:p>
            <w:pPr>
              <w:widowControl w:val="0"/>
              <w:spacing w:after="160" w:line="259" w:lineRule="auto"/>
              <w:jc w:val="center"/>
              <w:rPr>
                <w:rFonts w:ascii="宋体" w:eastAsia="宋体" w:hAnsi="宋体"/>
                <w:kern w:val="2"/>
                <w:sz w:val="21"/>
                <w:szCs w:val="21"/>
                <w:lang w:eastAsia="zh-CN"/>
              </w:rPr>
            </w:pPr>
            <w:r>
              <w:rPr>
                <w:rFonts w:ascii="宋体" w:eastAsia="宋体" w:hAnsi="宋体" w:hint="eastAsia"/>
                <w:b/>
                <w:bCs/>
                <w:kern w:val="2"/>
                <w:sz w:val="20"/>
                <w:szCs w:val="20"/>
                <w:lang w:eastAsia="zh-CN"/>
              </w:rPr>
              <w:t>综合实力</w:t>
            </w:r>
          </w:p>
        </w:tc>
        <w:tc>
          <w:tcPr>
            <w:tcW w:w="5897" w:type="dxa"/>
            <w:vAlign w:val="center"/>
          </w:tcPr>
          <w:p>
            <w:pPr>
              <w:widowControl w:val="0"/>
              <w:spacing w:after="160" w:line="259" w:lineRule="auto"/>
              <w:jc w:val="center"/>
              <w:rPr>
                <w:rFonts w:ascii="宋体" w:eastAsia="宋体" w:hAnsi="宋体" w:hint="eastAsia"/>
                <w:kern w:val="2"/>
                <w:sz w:val="21"/>
                <w:szCs w:val="21"/>
                <w:lang w:eastAsia="zh-CN"/>
              </w:rPr>
            </w:pPr>
            <w:r>
              <w:rPr>
                <w:rFonts w:ascii="宋体" w:eastAsia="宋体" w:hAnsi="宋体" w:hint="eastAsia"/>
                <w:kern w:val="2"/>
                <w:sz w:val="20"/>
                <w:szCs w:val="20"/>
                <w:lang w:eastAsia="zh-CN"/>
              </w:rPr>
              <w:t>3</w:t>
            </w:r>
          </w:p>
        </w:tc>
      </w:tr>
      <w:tr>
        <w:tblPrEx>
          <w:tblW w:w="5000" w:type="pct"/>
          <w:tblInd w:w="0" w:type="dxa"/>
          <w:tblLayout w:type="fixed"/>
          <w:tblCellMar>
            <w:top w:w="0" w:type="dxa"/>
            <w:left w:w="108" w:type="dxa"/>
            <w:bottom w:w="0" w:type="dxa"/>
            <w:right w:w="108" w:type="dxa"/>
          </w:tblCellMar>
        </w:tblPrEx>
        <w:trPr>
          <w:trHeight w:val="840"/>
        </w:trPr>
        <w:tc>
          <w:tcPr>
            <w:tcW w:w="383" w:type="dxa"/>
            <w:vAlign w:val="center"/>
          </w:tcPr>
          <w:p>
            <w:pPr>
              <w:keepNext/>
              <w:keepLines/>
              <w:widowControl w:val="0"/>
              <w:spacing w:before="340" w:after="330" w:line="259" w:lineRule="auto"/>
              <w:jc w:val="center"/>
              <w:outlineLvl w:val="0"/>
              <w:rPr>
                <w:rFonts w:ascii="宋体" w:eastAsia="宋体" w:hAnsi="宋体"/>
                <w:kern w:val="2"/>
                <w:sz w:val="21"/>
                <w:szCs w:val="21"/>
                <w:lang w:eastAsia="zh-CN"/>
              </w:rPr>
            </w:pPr>
          </w:p>
        </w:tc>
        <w:tc>
          <w:tcPr>
            <w:tcW w:w="400" w:type="dxa"/>
            <w:vAlign w:val="center"/>
          </w:tcPr>
          <w:p>
            <w:pPr>
              <w:widowControl w:val="0"/>
              <w:spacing w:after="160" w:line="240" w:lineRule="exact"/>
              <w:jc w:val="center"/>
              <w:rPr>
                <w:rFonts w:ascii="宋体" w:eastAsia="宋体" w:hAnsi="宋体"/>
                <w:kern w:val="2"/>
                <w:sz w:val="21"/>
                <w:szCs w:val="21"/>
                <w:lang w:eastAsia="zh-CN"/>
              </w:rPr>
            </w:pPr>
            <w:r>
              <w:rPr>
                <w:rFonts w:ascii="宋体" w:eastAsia="宋体" w:hAnsi="宋体" w:hint="eastAsia"/>
                <w:kern w:val="2"/>
                <w:sz w:val="20"/>
                <w:szCs w:val="20"/>
                <w:lang w:eastAsia="zh-CN"/>
              </w:rPr>
              <w:t>序号</w:t>
            </w:r>
          </w:p>
        </w:tc>
        <w:tc>
          <w:tcPr>
            <w:tcW w:w="981" w:type="dxa"/>
            <w:vAlign w:val="center"/>
          </w:tcPr>
          <w:p>
            <w:pPr>
              <w:widowControl w:val="0"/>
              <w:spacing w:after="160" w:line="240" w:lineRule="exact"/>
              <w:jc w:val="center"/>
              <w:rPr>
                <w:rFonts w:ascii="宋体" w:eastAsia="宋体" w:hAnsi="宋体" w:hint="eastAsia"/>
                <w:kern w:val="2"/>
                <w:sz w:val="21"/>
                <w:szCs w:val="21"/>
                <w:lang w:eastAsia="zh-CN"/>
              </w:rPr>
            </w:pPr>
            <w:r>
              <w:rPr>
                <w:rFonts w:ascii="宋体" w:eastAsia="宋体" w:hAnsi="宋体" w:hint="eastAsia"/>
                <w:kern w:val="2"/>
                <w:sz w:val="20"/>
                <w:szCs w:val="20"/>
                <w:lang w:eastAsia="zh-CN"/>
              </w:rPr>
              <w:t>评审因素</w:t>
            </w:r>
          </w:p>
        </w:tc>
        <w:tc>
          <w:tcPr>
            <w:tcW w:w="709" w:type="dxa"/>
            <w:vAlign w:val="center"/>
          </w:tcPr>
          <w:p>
            <w:pPr>
              <w:widowControl w:val="0"/>
              <w:spacing w:after="160" w:line="240" w:lineRule="exact"/>
              <w:jc w:val="center"/>
              <w:rPr>
                <w:rFonts w:ascii="宋体" w:eastAsia="宋体" w:hAnsi="宋体"/>
                <w:kern w:val="2"/>
                <w:sz w:val="21"/>
                <w:szCs w:val="21"/>
                <w:lang w:eastAsia="zh-CN"/>
              </w:rPr>
            </w:pPr>
            <w:r>
              <w:rPr>
                <w:rFonts w:ascii="宋体" w:eastAsia="宋体" w:hAnsi="宋体" w:hint="eastAsia"/>
                <w:kern w:val="2"/>
                <w:sz w:val="20"/>
                <w:szCs w:val="20"/>
                <w:lang w:eastAsia="zh-CN"/>
              </w:rPr>
              <w:t>权重</w:t>
            </w:r>
          </w:p>
        </w:tc>
        <w:tc>
          <w:tcPr>
            <w:tcW w:w="709" w:type="dxa"/>
            <w:vAlign w:val="center"/>
          </w:tcPr>
          <w:p>
            <w:pPr>
              <w:widowControl w:val="0"/>
              <w:spacing w:after="160" w:line="240" w:lineRule="exact"/>
              <w:jc w:val="center"/>
              <w:rPr>
                <w:rFonts w:ascii="宋体" w:eastAsia="宋体" w:hAnsi="宋体" w:hint="eastAsia"/>
                <w:kern w:val="2"/>
                <w:sz w:val="21"/>
                <w:szCs w:val="21"/>
                <w:lang w:eastAsia="zh-CN"/>
              </w:rPr>
            </w:pPr>
            <w:r>
              <w:rPr>
                <w:rFonts w:ascii="宋体" w:eastAsia="宋体" w:hAnsi="宋体" w:hint="eastAsia"/>
                <w:kern w:val="2"/>
                <w:sz w:val="20"/>
                <w:szCs w:val="20"/>
                <w:lang w:eastAsia="zh-CN"/>
              </w:rPr>
              <w:t>评分方式</w:t>
            </w:r>
          </w:p>
        </w:tc>
        <w:tc>
          <w:tcPr>
            <w:tcW w:w="5897" w:type="dxa"/>
            <w:vAlign w:val="center"/>
          </w:tcPr>
          <w:p>
            <w:pPr>
              <w:widowControl w:val="0"/>
              <w:spacing w:after="160" w:line="259" w:lineRule="auto"/>
              <w:jc w:val="center"/>
              <w:rPr>
                <w:rFonts w:ascii="宋体" w:eastAsia="宋体" w:hAnsi="宋体" w:hint="eastAsia"/>
                <w:kern w:val="2"/>
                <w:sz w:val="21"/>
                <w:szCs w:val="21"/>
                <w:lang w:eastAsia="zh-CN"/>
              </w:rPr>
            </w:pPr>
            <w:r>
              <w:rPr>
                <w:rFonts w:ascii="宋体" w:eastAsia="宋体" w:hAnsi="宋体" w:hint="eastAsia"/>
                <w:kern w:val="2"/>
                <w:sz w:val="20"/>
                <w:szCs w:val="20"/>
                <w:lang w:eastAsia="zh-CN"/>
              </w:rPr>
              <w:t>评分准则</w:t>
            </w:r>
          </w:p>
        </w:tc>
      </w:tr>
      <w:tr>
        <w:tblPrEx>
          <w:tblW w:w="5000" w:type="pct"/>
          <w:tblInd w:w="0" w:type="dxa"/>
          <w:tblLayout w:type="fixed"/>
          <w:tblCellMar>
            <w:top w:w="0" w:type="dxa"/>
            <w:left w:w="108" w:type="dxa"/>
            <w:bottom w:w="0" w:type="dxa"/>
            <w:right w:w="108" w:type="dxa"/>
          </w:tblCellMar>
        </w:tblPrEx>
        <w:trPr>
          <w:trHeight w:val="1512"/>
        </w:trPr>
        <w:tc>
          <w:tcPr>
            <w:tcW w:w="383" w:type="dxa"/>
            <w:vAlign w:val="center"/>
          </w:tcPr>
          <w:p>
            <w:pPr>
              <w:keepNext/>
              <w:keepLines/>
              <w:widowControl w:val="0"/>
              <w:spacing w:before="340" w:after="330" w:line="259" w:lineRule="auto"/>
              <w:jc w:val="center"/>
              <w:outlineLvl w:val="0"/>
              <w:rPr>
                <w:rFonts w:ascii="宋体" w:eastAsia="宋体" w:hAnsi="宋体"/>
                <w:kern w:val="2"/>
                <w:sz w:val="21"/>
                <w:szCs w:val="21"/>
                <w:lang w:eastAsia="zh-CN"/>
              </w:rPr>
            </w:pPr>
          </w:p>
        </w:tc>
        <w:tc>
          <w:tcPr>
            <w:tcW w:w="400" w:type="dxa"/>
            <w:vAlign w:val="center"/>
          </w:tcPr>
          <w:p>
            <w:pPr>
              <w:widowControl w:val="0"/>
              <w:spacing w:after="160" w:line="240" w:lineRule="exact"/>
              <w:jc w:val="center"/>
              <w:rPr>
                <w:rFonts w:ascii="宋体" w:eastAsia="宋体" w:hAnsi="宋体" w:hint="eastAsia"/>
                <w:kern w:val="2"/>
                <w:sz w:val="20"/>
                <w:szCs w:val="20"/>
                <w:lang w:eastAsia="zh-CN"/>
              </w:rPr>
            </w:pPr>
            <w:r>
              <w:rPr>
                <w:rFonts w:ascii="宋体" w:eastAsia="宋体" w:hAnsi="宋体" w:hint="eastAsia"/>
                <w:kern w:val="2"/>
                <w:sz w:val="20"/>
                <w:szCs w:val="20"/>
                <w:lang w:eastAsia="zh-CN"/>
              </w:rPr>
              <w:t>1</w:t>
            </w:r>
          </w:p>
        </w:tc>
        <w:tc>
          <w:tcPr>
            <w:tcW w:w="981" w:type="dxa"/>
            <w:vAlign w:val="center"/>
          </w:tcPr>
          <w:p>
            <w:pPr>
              <w:widowControl w:val="0"/>
              <w:pBdr>
                <w:bottom w:val="none" w:sz="0" w:space="0" w:color="auto"/>
              </w:pBdr>
              <w:snapToGrid w:val="0"/>
              <w:spacing w:after="160" w:line="300" w:lineRule="auto"/>
              <w:jc w:val="center"/>
              <w:rPr>
                <w:rFonts w:ascii="宋体" w:eastAsia="宋体" w:hAnsi="宋体" w:hint="eastAsia"/>
                <w:kern w:val="2"/>
                <w:sz w:val="20"/>
                <w:szCs w:val="20"/>
                <w:lang w:eastAsia="zh-CN"/>
              </w:rPr>
            </w:pPr>
            <w:bookmarkStart w:id="3" w:name="OLE_LINK4"/>
            <w:r>
              <w:rPr>
                <w:rFonts w:ascii="宋体" w:eastAsia="宋体" w:hAnsi="宋体" w:cs="宋体" w:hint="eastAsia"/>
                <w:kern w:val="2"/>
                <w:sz w:val="20"/>
                <w:szCs w:val="20"/>
                <w:lang w:eastAsia="zh-CN"/>
              </w:rPr>
              <w:t>供应商同类业绩</w:t>
            </w:r>
            <w:bookmarkEnd w:id="3"/>
          </w:p>
        </w:tc>
        <w:tc>
          <w:tcPr>
            <w:tcW w:w="709" w:type="dxa"/>
            <w:vAlign w:val="center"/>
          </w:tcPr>
          <w:p>
            <w:pPr>
              <w:widowControl w:val="0"/>
              <w:spacing w:after="160" w:line="240" w:lineRule="exact"/>
              <w:jc w:val="center"/>
              <w:rPr>
                <w:rFonts w:ascii="宋体" w:eastAsia="宋体" w:hAnsi="宋体" w:hint="eastAsia"/>
                <w:kern w:val="2"/>
                <w:sz w:val="20"/>
                <w:szCs w:val="20"/>
                <w:lang w:eastAsia="zh-CN"/>
              </w:rPr>
            </w:pPr>
            <w:r>
              <w:rPr>
                <w:rFonts w:ascii="宋体" w:eastAsia="宋体" w:hAnsi="宋体" w:hint="eastAsia"/>
                <w:kern w:val="2"/>
                <w:sz w:val="20"/>
                <w:szCs w:val="20"/>
                <w:lang w:eastAsia="zh-CN"/>
              </w:rPr>
              <w:t>3</w:t>
            </w:r>
          </w:p>
        </w:tc>
        <w:tc>
          <w:tcPr>
            <w:tcW w:w="709" w:type="dxa"/>
            <w:vAlign w:val="center"/>
          </w:tcPr>
          <w:p>
            <w:pPr>
              <w:widowControl w:val="0"/>
              <w:spacing w:after="160" w:line="240" w:lineRule="exact"/>
              <w:jc w:val="center"/>
              <w:rPr>
                <w:rFonts w:ascii="宋体" w:eastAsia="宋体" w:hAnsi="宋体" w:hint="eastAsia"/>
                <w:kern w:val="2"/>
                <w:sz w:val="20"/>
                <w:szCs w:val="20"/>
                <w:lang w:eastAsia="zh-CN"/>
              </w:rPr>
            </w:pPr>
            <w:r>
              <w:rPr>
                <w:rFonts w:ascii="宋体" w:eastAsia="宋体" w:hAnsi="宋体" w:hint="eastAsia"/>
                <w:kern w:val="2"/>
                <w:sz w:val="20"/>
                <w:szCs w:val="20"/>
                <w:lang w:eastAsia="zh-CN"/>
              </w:rPr>
              <w:t>专家打分</w:t>
            </w:r>
          </w:p>
        </w:tc>
        <w:tc>
          <w:tcPr>
            <w:tcW w:w="5897" w:type="dxa"/>
            <w:vAlign w:val="top"/>
          </w:tcPr>
          <w:p>
            <w:pPr>
              <w:widowControl w:val="0"/>
              <w:spacing w:after="160" w:line="240" w:lineRule="exact"/>
              <w:jc w:val="left"/>
              <w:rPr>
                <w:rFonts w:ascii="宋体" w:eastAsia="宋体" w:hAnsi="宋体" w:cs="宋体" w:hint="eastAsia"/>
                <w:kern w:val="2"/>
                <w:sz w:val="20"/>
                <w:szCs w:val="20"/>
                <w:lang w:eastAsia="zh-CN"/>
              </w:rPr>
            </w:pPr>
            <w:r>
              <w:rPr>
                <w:rFonts w:ascii="宋体" w:eastAsia="宋体" w:hAnsi="宋体" w:cs="宋体" w:hint="eastAsia"/>
                <w:kern w:val="2"/>
                <w:sz w:val="20"/>
                <w:szCs w:val="20"/>
                <w:lang w:eastAsia="zh-CN"/>
              </w:rPr>
              <w:t>（一）评分内容</w:t>
            </w:r>
            <w:r>
              <w:rPr>
                <w:rFonts w:ascii="宋体" w:eastAsia="宋体" w:hAnsi="宋体" w:cs="宋体" w:hint="eastAsia"/>
                <w:kern w:val="2"/>
                <w:sz w:val="20"/>
                <w:szCs w:val="20"/>
                <w:lang w:eastAsia="zh-CN"/>
              </w:rPr>
              <w:t>：提供自20</w:t>
            </w:r>
            <w:r>
              <w:rPr>
                <w:rFonts w:ascii="宋体" w:eastAsia="宋体" w:hAnsi="宋体" w:cs="宋体" w:hint="eastAsia"/>
                <w:kern w:val="2"/>
                <w:sz w:val="20"/>
                <w:szCs w:val="20"/>
                <w:lang w:eastAsia="zh-CN"/>
              </w:rPr>
              <w:t>22</w:t>
            </w:r>
            <w:r>
              <w:rPr>
                <w:rFonts w:ascii="宋体" w:eastAsia="宋体" w:hAnsi="宋体" w:cs="宋体" w:hint="eastAsia"/>
                <w:kern w:val="2"/>
                <w:sz w:val="20"/>
                <w:szCs w:val="20"/>
                <w:lang w:eastAsia="zh-CN"/>
              </w:rPr>
              <w:t>年</w:t>
            </w:r>
            <w:r>
              <w:rPr>
                <w:rFonts w:ascii="宋体" w:eastAsia="宋体" w:hAnsi="宋体" w:cs="宋体" w:hint="eastAsia"/>
                <w:kern w:val="2"/>
                <w:sz w:val="20"/>
                <w:szCs w:val="20"/>
                <w:lang w:eastAsia="zh-CN"/>
              </w:rPr>
              <w:t>12</w:t>
            </w:r>
            <w:r>
              <w:rPr>
                <w:rFonts w:ascii="宋体" w:eastAsia="宋体" w:hAnsi="宋体" w:cs="宋体" w:hint="eastAsia"/>
                <w:kern w:val="2"/>
                <w:sz w:val="20"/>
                <w:szCs w:val="20"/>
                <w:lang w:eastAsia="zh-CN"/>
              </w:rPr>
              <w:t>月</w:t>
            </w:r>
            <w:r>
              <w:rPr>
                <w:rFonts w:ascii="宋体" w:eastAsia="宋体" w:hAnsi="宋体" w:cs="宋体" w:hint="eastAsia"/>
                <w:kern w:val="2"/>
                <w:sz w:val="20"/>
                <w:szCs w:val="20"/>
                <w:lang w:eastAsia="zh-CN"/>
              </w:rPr>
              <w:t>1</w:t>
            </w:r>
            <w:r>
              <w:rPr>
                <w:rFonts w:ascii="宋体" w:eastAsia="宋体" w:hAnsi="宋体" w:cs="宋体" w:hint="eastAsia"/>
                <w:kern w:val="2"/>
                <w:sz w:val="20"/>
                <w:szCs w:val="20"/>
                <w:lang w:eastAsia="zh-CN"/>
              </w:rPr>
              <w:t>日至本项目投标截止日，以合同签订时间为准</w:t>
            </w:r>
            <w:r>
              <w:rPr>
                <w:rFonts w:ascii="宋体" w:eastAsia="宋体" w:hAnsi="宋体" w:cs="宋体" w:hint="eastAsia"/>
                <w:kern w:val="2"/>
                <w:sz w:val="20"/>
                <w:szCs w:val="20"/>
                <w:lang w:eastAsia="zh-CN"/>
              </w:rPr>
              <w:t>的</w:t>
            </w:r>
            <w:r>
              <w:rPr>
                <w:rFonts w:ascii="宋体" w:eastAsia="宋体" w:hAnsi="宋体" w:cs="宋体" w:hint="eastAsia"/>
                <w:kern w:val="2"/>
                <w:sz w:val="20"/>
                <w:szCs w:val="20"/>
                <w:highlight w:val="yellow"/>
                <w:lang w:eastAsia="zh-CN"/>
              </w:rPr>
              <w:t>内镜清洗消毒工作站</w:t>
            </w:r>
            <w:r>
              <w:rPr>
                <w:rFonts w:ascii="宋体" w:eastAsia="宋体" w:hAnsi="宋体" w:cs="宋体" w:hint="eastAsia"/>
                <w:kern w:val="2"/>
                <w:sz w:val="20"/>
                <w:szCs w:val="20"/>
                <w:lang w:eastAsia="zh-CN"/>
              </w:rPr>
              <w:t>同类业绩，提供</w:t>
            </w:r>
            <w:r>
              <w:rPr>
                <w:rFonts w:ascii="宋体" w:eastAsia="宋体" w:hAnsi="宋体" w:cs="宋体"/>
                <w:kern w:val="2"/>
                <w:sz w:val="20"/>
                <w:szCs w:val="20"/>
                <w:lang w:eastAsia="zh-CN"/>
              </w:rPr>
              <w:t>3</w:t>
            </w:r>
            <w:r>
              <w:rPr>
                <w:rFonts w:ascii="宋体" w:eastAsia="宋体" w:hAnsi="宋体" w:cs="宋体" w:hint="eastAsia"/>
                <w:kern w:val="2"/>
                <w:sz w:val="20"/>
                <w:szCs w:val="20"/>
                <w:lang w:eastAsia="zh-CN"/>
              </w:rPr>
              <w:t>个即得满分，提供</w:t>
            </w:r>
            <w:r>
              <w:rPr>
                <w:rFonts w:ascii="宋体" w:eastAsia="宋体" w:hAnsi="宋体" w:cs="宋体"/>
                <w:kern w:val="2"/>
                <w:sz w:val="20"/>
                <w:szCs w:val="20"/>
                <w:lang w:eastAsia="zh-CN"/>
              </w:rPr>
              <w:t>2</w:t>
            </w:r>
            <w:r>
              <w:rPr>
                <w:rFonts w:ascii="宋体" w:eastAsia="宋体" w:hAnsi="宋体" w:cs="宋体" w:hint="eastAsia"/>
                <w:kern w:val="2"/>
                <w:sz w:val="20"/>
                <w:szCs w:val="20"/>
                <w:lang w:eastAsia="zh-CN"/>
              </w:rPr>
              <w:t>个得</w:t>
            </w:r>
            <w:r>
              <w:rPr>
                <w:rFonts w:ascii="宋体" w:eastAsia="宋体" w:hAnsi="宋体" w:cs="宋体"/>
                <w:kern w:val="2"/>
                <w:sz w:val="20"/>
                <w:szCs w:val="20"/>
                <w:lang w:eastAsia="zh-CN"/>
              </w:rPr>
              <w:t>60</w:t>
            </w:r>
            <w:r>
              <w:rPr>
                <w:rFonts w:ascii="宋体" w:eastAsia="宋体" w:hAnsi="宋体" w:cs="宋体" w:hint="eastAsia"/>
                <w:kern w:val="2"/>
                <w:sz w:val="20"/>
                <w:szCs w:val="20"/>
                <w:lang w:eastAsia="zh-CN"/>
              </w:rPr>
              <w:t>分，提供</w:t>
            </w:r>
            <w:r>
              <w:rPr>
                <w:rFonts w:ascii="宋体" w:eastAsia="宋体" w:hAnsi="宋体" w:cs="宋体"/>
                <w:kern w:val="2"/>
                <w:sz w:val="20"/>
                <w:szCs w:val="20"/>
                <w:lang w:eastAsia="zh-CN"/>
              </w:rPr>
              <w:t>1</w:t>
            </w:r>
            <w:r>
              <w:rPr>
                <w:rFonts w:ascii="宋体" w:eastAsia="宋体" w:hAnsi="宋体" w:cs="宋体" w:hint="eastAsia"/>
                <w:kern w:val="2"/>
                <w:sz w:val="20"/>
                <w:szCs w:val="20"/>
                <w:lang w:eastAsia="zh-CN"/>
              </w:rPr>
              <w:t>个得</w:t>
            </w:r>
            <w:r>
              <w:rPr>
                <w:rFonts w:ascii="宋体" w:eastAsia="宋体" w:hAnsi="宋体" w:cs="宋体"/>
                <w:kern w:val="2"/>
                <w:sz w:val="20"/>
                <w:szCs w:val="20"/>
                <w:lang w:eastAsia="zh-CN"/>
              </w:rPr>
              <w:t>30</w:t>
            </w:r>
            <w:r>
              <w:rPr>
                <w:rFonts w:ascii="宋体" w:eastAsia="宋体" w:hAnsi="宋体" w:cs="宋体" w:hint="eastAsia"/>
                <w:kern w:val="2"/>
                <w:sz w:val="20"/>
                <w:szCs w:val="20"/>
                <w:lang w:eastAsia="zh-CN"/>
              </w:rPr>
              <w:t>分，未提供的不得分。</w:t>
            </w:r>
          </w:p>
          <w:p>
            <w:pPr>
              <w:widowControl w:val="0"/>
              <w:spacing w:after="160" w:line="240" w:lineRule="exact"/>
              <w:jc w:val="left"/>
              <w:rPr>
                <w:rFonts w:ascii="宋体" w:eastAsia="宋体" w:hAnsi="宋体" w:hint="eastAsia"/>
                <w:kern w:val="2"/>
                <w:sz w:val="20"/>
                <w:szCs w:val="20"/>
                <w:lang w:eastAsia="zh-CN"/>
              </w:rPr>
            </w:pPr>
            <w:r>
              <w:rPr>
                <w:rFonts w:ascii="宋体" w:eastAsia="宋体" w:hAnsi="宋体" w:cs="宋体" w:hint="eastAsia"/>
                <w:kern w:val="2"/>
                <w:sz w:val="20"/>
                <w:szCs w:val="20"/>
                <w:lang w:eastAsia="zh-CN"/>
              </w:rPr>
              <w:t>（二）评分依据</w:t>
            </w:r>
            <w:r>
              <w:rPr>
                <w:rFonts w:ascii="宋体" w:eastAsia="宋体" w:hAnsi="宋体" w:cs="宋体" w:hint="eastAsia"/>
                <w:kern w:val="2"/>
                <w:sz w:val="20"/>
                <w:szCs w:val="20"/>
                <w:lang w:eastAsia="zh-CN"/>
              </w:rPr>
              <w:t>：投标人必须在投标文件中提供每一个项目的合同和验收报告（均加盖合同甲方公章或业务章）扫描件，否则不得分。</w:t>
            </w:r>
          </w:p>
        </w:tc>
      </w:tr>
    </w:tbl>
    <w:p>
      <w:pPr>
        <w:widowControl w:val="0"/>
        <w:spacing w:after="160" w:line="259" w:lineRule="auto"/>
        <w:jc w:val="both"/>
        <w:rPr>
          <w:rFonts w:eastAsia="宋体"/>
          <w:kern w:val="2"/>
          <w:sz w:val="21"/>
          <w:lang w:eastAsia="zh-CN"/>
        </w:rPr>
      </w:pPr>
      <w:r>
        <w:rPr>
          <w:rFonts w:eastAsia="宋体" w:hint="eastAsia"/>
          <w:kern w:val="2"/>
          <w:sz w:val="21"/>
          <w:lang w:eastAsia="zh-CN"/>
        </w:rPr>
        <w:br w:type="page"/>
      </w:r>
    </w:p>
    <w:p>
      <w:pPr>
        <w:widowControl w:val="0"/>
        <w:spacing w:after="160" w:line="259" w:lineRule="auto"/>
        <w:jc w:val="center"/>
        <w:rPr>
          <w:rFonts w:eastAsia="宋体"/>
          <w:b/>
          <w:kern w:val="2"/>
          <w:sz w:val="120"/>
          <w:szCs w:val="120"/>
          <w:lang w:eastAsia="zh-CN"/>
        </w:rPr>
      </w:pPr>
    </w:p>
    <w:p>
      <w:pPr>
        <w:widowControl w:val="0"/>
        <w:spacing w:after="160" w:line="259" w:lineRule="auto"/>
        <w:jc w:val="center"/>
        <w:rPr>
          <w:rFonts w:eastAsia="宋体"/>
          <w:b/>
          <w:kern w:val="2"/>
          <w:sz w:val="120"/>
          <w:szCs w:val="120"/>
          <w:lang w:eastAsia="zh-CN"/>
        </w:rPr>
      </w:pPr>
    </w:p>
    <w:p>
      <w:pPr>
        <w:widowControl w:val="0"/>
        <w:spacing w:after="160" w:line="259" w:lineRule="auto"/>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spacing w:after="160" w:line="259" w:lineRule="auto"/>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spacing w:after="160" w:line="259" w:lineRule="auto"/>
        <w:jc w:val="center"/>
        <w:rPr>
          <w:rFonts w:eastAsia="宋体"/>
          <w:b/>
          <w:kern w:val="2"/>
          <w:sz w:val="52"/>
          <w:szCs w:val="52"/>
          <w:lang w:eastAsia="zh-CN"/>
        </w:rPr>
      </w:pPr>
      <w:r>
        <w:rPr>
          <w:rFonts w:eastAsia="宋体" w:hint="eastAsia"/>
          <w:b/>
          <w:kern w:val="2"/>
          <w:sz w:val="52"/>
          <w:szCs w:val="52"/>
          <w:lang w:eastAsia="zh-CN"/>
        </w:rPr>
        <w:t>（货物类）</w:t>
      </w: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bookmarkStart w:id="4" w:name="_Hlk71465316"/>
      <w:r>
        <w:rPr>
          <w:rFonts w:eastAsia="宋体" w:hint="eastAsia"/>
          <w:b/>
          <w:kern w:val="2"/>
          <w:sz w:val="44"/>
          <w:szCs w:val="44"/>
          <w:lang w:eastAsia="zh-CN"/>
        </w:rPr>
        <w:t>深圳公共资源交易中心</w:t>
      </w:r>
    </w:p>
    <w:p>
      <w:pPr>
        <w:widowControl w:val="0"/>
        <w:spacing w:after="160" w:line="259" w:lineRule="auto"/>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4"/>
    </w:p>
    <w:p>
      <w:pPr>
        <w:widowControl w:val="0"/>
        <w:spacing w:after="160" w:line="259" w:lineRule="auto"/>
        <w:jc w:val="center"/>
        <w:rPr>
          <w:rFonts w:ascii="宋体" w:eastAsia="宋体" w:hAnsi="宋体"/>
          <w:color w:val="FF0000"/>
          <w:kern w:val="2"/>
          <w:sz w:val="21"/>
          <w:szCs w:val="21"/>
          <w:lang w:eastAsia="zh-CN"/>
        </w:rPr>
      </w:pPr>
      <w:r>
        <w:rPr>
          <w:rFonts w:eastAsia="宋体" w:hint="eastAsia"/>
          <w:kern w:val="2"/>
          <w:sz w:val="21"/>
          <w:lang w:eastAsia="zh-CN"/>
        </w:rPr>
        <w:br w:type="page"/>
      </w:r>
      <w:bookmarkStart w:id="5" w:name="_Hlk137453387"/>
      <w:r>
        <w:rPr>
          <w:rFonts w:ascii="宋体" w:eastAsia="黑体" w:hAnsi="宋体" w:hint="eastAsia"/>
          <w:b/>
          <w:bCs/>
          <w:color w:val="FF0000"/>
          <w:kern w:val="44"/>
          <w:sz w:val="28"/>
          <w:szCs w:val="44"/>
          <w:lang w:eastAsia="zh-CN"/>
        </w:rPr>
        <w:t>警示条款</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spacing w:after="160" w:line="240" w:lineRule="exact"/>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spacing w:after="160" w:line="240" w:lineRule="exact"/>
        <w:ind w:firstLine="420" w:firstLineChars="200"/>
        <w:jc w:val="both"/>
        <w:rPr>
          <w:rFonts w:eastAsia="宋体"/>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spacing w:after="160" w:line="240" w:lineRule="exact"/>
        <w:ind w:firstLine="400" w:firstLineChars="200"/>
        <w:jc w:val="both"/>
        <w:rPr>
          <w:rFonts w:eastAsia="宋体"/>
          <w:kern w:val="2"/>
          <w:sz w:val="21"/>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5"/>
    </w:p>
    <w:p>
      <w:pPr>
        <w:widowControl w:val="0"/>
        <w:spacing w:after="160" w:line="360" w:lineRule="auto"/>
        <w:jc w:val="both"/>
        <w:rPr>
          <w:rFonts w:eastAsia="宋体"/>
          <w:b/>
          <w:bCs/>
          <w:kern w:val="2"/>
          <w:lang w:eastAsia="zh-CN"/>
        </w:rPr>
      </w:pPr>
      <w:r>
        <w:rPr>
          <w:rFonts w:eastAsia="宋体"/>
          <w:b/>
          <w:bCs/>
          <w:kern w:val="2"/>
          <w:lang w:eastAsia="zh-CN"/>
        </w:rPr>
        <w:br w:type="page"/>
      </w:r>
    </w:p>
    <w:p>
      <w:pPr>
        <w:widowControl w:val="0"/>
        <w:spacing w:after="160" w:line="300" w:lineRule="exact"/>
        <w:ind w:firstLine="420" w:firstLineChars="200"/>
        <w:jc w:val="both"/>
        <w:rPr>
          <w:rFonts w:eastAsia="宋体"/>
          <w:kern w:val="2"/>
          <w:sz w:val="21"/>
          <w:lang w:eastAsia="zh-CN"/>
        </w:rPr>
      </w:pPr>
    </w:p>
    <w:p>
      <w:pPr>
        <w:keepNext/>
        <w:keepLines/>
        <w:widowControl w:val="0"/>
        <w:spacing w:before="340" w:after="330" w:line="360" w:lineRule="auto"/>
        <w:jc w:val="center"/>
        <w:outlineLvl w:val="0"/>
        <w:rPr>
          <w:rFonts w:ascii="宋体" w:eastAsia="黑体" w:hAnsi="宋体"/>
          <w:b/>
          <w:bCs/>
          <w:kern w:val="44"/>
          <w:sz w:val="28"/>
          <w:szCs w:val="44"/>
          <w:lang w:eastAsia="zh-CN"/>
        </w:rPr>
      </w:pPr>
      <w:r>
        <w:rPr>
          <w:rFonts w:ascii="宋体" w:eastAsia="黑体" w:hAnsi="宋体" w:hint="eastAsia"/>
          <w:b/>
          <w:bCs/>
          <w:kern w:val="44"/>
          <w:sz w:val="28"/>
          <w:szCs w:val="44"/>
          <w:lang w:eastAsia="zh-CN"/>
        </w:rPr>
        <w:t>目   录</w:t>
      </w:r>
    </w:p>
    <w:p>
      <w:pPr>
        <w:widowControl w:val="0"/>
        <w:spacing w:after="160" w:line="259" w:lineRule="auto"/>
        <w:jc w:val="both"/>
        <w:outlineLvl w:val="0"/>
        <w:rPr>
          <w:rFonts w:eastAsia="宋体"/>
          <w:b/>
          <w:kern w:val="2"/>
          <w:lang w:eastAsia="zh-CN"/>
        </w:rPr>
      </w:pPr>
      <w:r>
        <w:rPr>
          <w:rFonts w:eastAsia="宋体" w:hint="eastAsia"/>
          <w:b/>
          <w:kern w:val="2"/>
          <w:lang w:eastAsia="zh-CN"/>
        </w:rPr>
        <w:t>第一册  专用条款</w:t>
      </w:r>
    </w:p>
    <w:p>
      <w:pPr>
        <w:widowControl w:val="0"/>
        <w:spacing w:after="160" w:line="259" w:lineRule="auto"/>
        <w:jc w:val="both"/>
        <w:rPr>
          <w:rFonts w:eastAsia="宋体"/>
          <w:kern w:val="2"/>
          <w:lang w:eastAsia="zh-CN"/>
        </w:rPr>
      </w:pPr>
      <w:r>
        <w:rPr>
          <w:rFonts w:eastAsia="宋体" w:hint="eastAsia"/>
          <w:kern w:val="2"/>
          <w:lang w:eastAsia="zh-CN"/>
        </w:rPr>
        <w:t xml:space="preserve">          关键信息</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6" w:name="_Hlk71994379"/>
      <w:r>
        <w:rPr>
          <w:rFonts w:ascii="宋体" w:eastAsia="宋体" w:hAnsi="宋体" w:hint="eastAsia"/>
          <w:kern w:val="2"/>
          <w:sz w:val="21"/>
          <w:szCs w:val="21"/>
          <w:lang w:eastAsia="zh-CN"/>
        </w:rPr>
        <w:t>对通用条款的补充内容及其他关键信息</w:t>
      </w:r>
      <w:bookmarkEnd w:id="6"/>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spacing w:after="160" w:line="259" w:lineRule="auto"/>
        <w:jc w:val="both"/>
        <w:rPr>
          <w:rFonts w:eastAsia="宋体"/>
          <w:b/>
          <w:kern w:val="2"/>
          <w:lang w:eastAsia="zh-CN"/>
        </w:rPr>
      </w:pPr>
    </w:p>
    <w:p>
      <w:pPr>
        <w:widowControl w:val="0"/>
        <w:spacing w:after="160" w:line="259" w:lineRule="auto"/>
        <w:jc w:val="both"/>
        <w:outlineLvl w:val="0"/>
        <w:rPr>
          <w:rFonts w:eastAsia="宋体"/>
          <w:b/>
          <w:kern w:val="2"/>
          <w:lang w:eastAsia="zh-CN"/>
        </w:rPr>
      </w:pPr>
      <w:r>
        <w:rPr>
          <w:rFonts w:eastAsia="宋体" w:hint="eastAsia"/>
          <w:b/>
          <w:kern w:val="2"/>
          <w:lang w:eastAsia="zh-CN"/>
        </w:rPr>
        <w:t>第二册  通用条款</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spacing w:after="160" w:line="259" w:lineRule="auto"/>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spacing w:after="160" w:line="360" w:lineRule="auto"/>
        <w:ind w:firstLine="420" w:firstLineChars="200"/>
        <w:jc w:val="left"/>
        <w:rPr>
          <w:rFonts w:ascii="宋体" w:eastAsia="宋体" w:hAnsi="宋体"/>
          <w:kern w:val="2"/>
          <w:sz w:val="21"/>
          <w:szCs w:val="21"/>
          <w:lang w:eastAsia="zh-CN"/>
        </w:rPr>
      </w:pPr>
    </w:p>
    <w:p>
      <w:pPr>
        <w:keepNext/>
        <w:keepLines/>
        <w:widowControl w:val="0"/>
        <w:spacing w:before="340" w:after="330" w:line="360" w:lineRule="auto"/>
        <w:jc w:val="center"/>
        <w:outlineLvl w:val="0"/>
        <w:rPr>
          <w:rFonts w:ascii="宋体" w:eastAsia="黑体" w:hAnsi="宋体"/>
          <w:b/>
          <w:bCs/>
          <w:kern w:val="44"/>
          <w:szCs w:val="44"/>
          <w:lang w:eastAsia="zh-CN"/>
        </w:rPr>
      </w:pPr>
      <w:r>
        <w:rPr>
          <w:rFonts w:ascii="宋体" w:eastAsia="黑体" w:hAnsi="宋体"/>
          <w:b/>
          <w:bCs/>
          <w:kern w:val="44"/>
          <w:sz w:val="28"/>
          <w:szCs w:val="44"/>
          <w:lang w:eastAsia="zh-CN"/>
        </w:rPr>
        <w:br w:type="page"/>
      </w:r>
      <w:bookmarkStart w:id="7" w:name="bt本工程承诺书"/>
      <w:bookmarkEnd w:id="7"/>
      <w:bookmarkStart w:id="8" w:name="bt投标人情况介绍"/>
      <w:bookmarkEnd w:id="8"/>
      <w:bookmarkStart w:id="9" w:name="bt其他资料2"/>
      <w:bookmarkEnd w:id="9"/>
      <w:bookmarkStart w:id="10" w:name="bt投标报价汇总表"/>
      <w:bookmarkEnd w:id="10"/>
      <w:bookmarkStart w:id="11" w:name="合同格式"/>
      <w:bookmarkEnd w:id="11"/>
      <w:bookmarkStart w:id="12" w:name="bt其他资料由投标人自定"/>
      <w:bookmarkEnd w:id="12"/>
      <w:bookmarkStart w:id="13" w:name="bt技术标投标文件格式"/>
      <w:bookmarkEnd w:id="13"/>
      <w:bookmarkStart w:id="14" w:name="bt说明"/>
      <w:bookmarkEnd w:id="14"/>
      <w:bookmarkStart w:id="15" w:name="bt投标函"/>
      <w:bookmarkEnd w:id="15"/>
      <w:bookmarkStart w:id="16" w:name="bt投标文件签署授权委托书"/>
      <w:bookmarkEnd w:id="16"/>
      <w:bookmarkStart w:id="17" w:name="bt项目管理班子配备情况"/>
      <w:bookmarkEnd w:id="17"/>
      <w:bookmarkStart w:id="18" w:name="bt商务标投标文件格式"/>
      <w:bookmarkEnd w:id="18"/>
      <w:bookmarkStart w:id="19" w:name="bt合同条款"/>
      <w:bookmarkEnd w:id="19"/>
      <w:bookmarkStart w:id="20" w:name="bt开标一览表"/>
      <w:bookmarkEnd w:id="20"/>
      <w:bookmarkStart w:id="21" w:name="bt投标人须知"/>
      <w:bookmarkEnd w:id="21"/>
      <w:bookmarkStart w:id="22" w:name="bt合同条款及格式"/>
      <w:bookmarkEnd w:id="22"/>
      <w:bookmarkStart w:id="23" w:name="bt合同格式"/>
      <w:bookmarkEnd w:id="23"/>
      <w:r>
        <w:rPr>
          <w:rFonts w:ascii="宋体" w:eastAsia="黑体" w:hAnsi="宋体" w:hint="eastAsia"/>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after="160"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投标人的资格要求：</w:t>
      </w:r>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4"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2.本项目不接受联合体投标（由供应商在《政府采购投标及履约承诺函》中作出声明），是否接受投标人选用进口产品参与投标详见招标文件“货物需求明细”表；</w:t>
      </w:r>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spacing w:after="160" w:line="259" w:lineRule="auto"/>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8.本项目是（否）专门面向中小企业采购：否；</w:t>
      </w:r>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hint="eastAsia"/>
          <w:kern w:val="2"/>
          <w:sz w:val="21"/>
          <w:szCs w:val="21"/>
          <w:lang w:eastAsia="zh-CN"/>
        </w:rPr>
        <w:t>9.</w:t>
      </w:r>
      <w:r>
        <w:rPr>
          <w:rFonts w:ascii="宋体" w:eastAsia="宋体" w:hAnsi="宋体" w:cs="宋体" w:hint="eastAsia"/>
          <w:sz w:val="21"/>
          <w:szCs w:val="21"/>
          <w:lang w:eastAsia="zh-CN"/>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pPr>
        <w:widowControl w:val="0"/>
        <w:spacing w:after="160" w:line="259" w:lineRule="auto"/>
        <w:ind w:firstLine="630" w:firstLineChars="3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10.</w:t>
      </w:r>
      <w:r>
        <w:rPr>
          <w:rFonts w:eastAsia="宋体" w:hint="eastAsia"/>
          <w:color w:val="FF0000"/>
          <w:kern w:val="2"/>
          <w:sz w:val="21"/>
          <w:lang w:eastAsia="zh-CN"/>
        </w:rPr>
        <w:t>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扫描件；所投产品为第三类医疗器械的，提供监督管理部门签发的涵盖所投报医疗器械的《医疗器械经营许可证》(有效期内)扫描件。</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hint="eastAsia"/>
          <w:kern w:val="2"/>
          <w:sz w:val="21"/>
          <w:szCs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spacing w:after="160" w:line="259" w:lineRule="auto"/>
        <w:ind w:firstLine="420" w:firstLineChars="200"/>
        <w:jc w:val="both"/>
        <w:rPr>
          <w:rFonts w:ascii="宋体" w:eastAsia="宋体" w:hAnsi="宋体" w:cs="宋体"/>
          <w:color w:val="FF0000"/>
          <w:sz w:val="21"/>
          <w:szCs w:val="21"/>
          <w:lang w:eastAsia="zh-CN"/>
        </w:rPr>
      </w:pPr>
    </w:p>
    <w:p>
      <w:pPr>
        <w:widowControl w:val="0"/>
        <w:spacing w:after="160" w:line="259"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完整公告内容详见：深圳交易集团（深圳公共资源交易中心）官网https://www.szexgrp.com/jyfw/zfcg-view.html?id=zfcg</w:t>
      </w:r>
    </w:p>
    <w:p>
      <w:pPr>
        <w:widowControl w:val="0"/>
        <w:spacing w:after="160" w:line="259" w:lineRule="auto"/>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bookmarkStart w:id="25" w:name="_Toc60631620"/>
      <w:bookmarkStart w:id="26" w:name="_Toc73517639"/>
      <w:bookmarkStart w:id="27" w:name="_Toc73518117"/>
      <w:bookmarkStart w:id="28" w:name="_Toc100052364"/>
      <w:bookmarkStart w:id="29" w:name="_Toc60560625"/>
      <w:bookmarkStart w:id="30" w:name="_Toc101074876"/>
      <w:bookmarkStart w:id="31" w:name="_Toc73521547"/>
      <w:bookmarkStart w:id="32" w:name="_Toc73521635"/>
      <w:r>
        <w:rPr>
          <w:rFonts w:ascii="宋体" w:eastAsia="宋体" w:hAnsi="宋体" w:hint="eastAsia"/>
          <w:b/>
          <w:bCs/>
          <w:lang w:eastAsia="zh-CN"/>
        </w:rPr>
        <w:t>一、对通用条款的补充内容</w:t>
      </w:r>
    </w:p>
    <w:bookmarkEnd w:id="25"/>
    <w:bookmarkEnd w:id="26"/>
    <w:bookmarkEnd w:id="27"/>
    <w:bookmarkEnd w:id="28"/>
    <w:bookmarkEnd w:id="29"/>
    <w:bookmarkEnd w:id="30"/>
    <w:bookmarkEnd w:id="31"/>
    <w:bookmarkEnd w:id="32"/>
    <w:tbl>
      <w:tblPr>
        <w:tblStyle w:val="TableNormal"/>
        <w:tblpPr w:leftFromText="180" w:rightFromText="180" w:vertAnchor="text" w:tblpXSpec="center" w:tblpY="1"/>
        <w:tblOverlap w:val="never"/>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8"/>
        <w:gridCol w:w="2573"/>
        <w:gridCol w:w="4961"/>
      </w:tblGrid>
      <w:tr>
        <w:tblPrEx>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spacing w:after="160" w:line="259" w:lineRule="auto"/>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spacing w:after="160" w:line="259" w:lineRule="auto"/>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tblInd w:w="0" w:type="dxa"/>
          <w:tblLayout w:type="fixed"/>
          <w:tblCellMar>
            <w:top w:w="0" w:type="dxa"/>
            <w:left w:w="108" w:type="dxa"/>
            <w:bottom w:w="0" w:type="dxa"/>
            <w:right w:w="108" w:type="dxa"/>
          </w:tblCellMar>
        </w:tblPrEx>
        <w:trPr>
          <w:cantSplit/>
          <w:trHeight w:val="20"/>
        </w:trPr>
        <w:tc>
          <w:tcPr>
            <w:tcW w:w="8367" w:type="dxa"/>
            <w:gridSpan w:val="3"/>
            <w:vAlign w:val="center"/>
          </w:tcPr>
          <w:p>
            <w:pPr>
              <w:widowControl w:val="0"/>
              <w:spacing w:after="160" w:line="259" w:lineRule="auto"/>
              <w:jc w:val="both"/>
              <w:rPr>
                <w:rFonts w:ascii="宋体" w:eastAsia="宋体" w:hAnsi="宋体"/>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spacing w:after="160" w:line="259" w:lineRule="auto"/>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北京大学深圳医院</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深圳公共资源交易中心</w:t>
            </w:r>
          </w:p>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9</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spacing w:after="160" w:line="259" w:lineRule="auto"/>
              <w:jc w:val="left"/>
              <w:rPr>
                <w:rFonts w:ascii="宋体" w:eastAsia="宋体" w:hAnsi="宋体"/>
                <w:kern w:val="2"/>
                <w:sz w:val="21"/>
                <w:lang w:eastAsia="zh-CN"/>
              </w:rPr>
            </w:pPr>
            <w:r>
              <w:rPr>
                <w:rFonts w:ascii="宋体" w:eastAsia="宋体" w:hAnsi="宋体" w:hint="eastAsia"/>
                <w:kern w:val="2"/>
                <w:sz w:val="21"/>
                <w:lang w:eastAsia="zh-CN"/>
              </w:rPr>
              <w:t>投标截止日三日前，投标人有义务在招标期间在政府集中采购机构网站浏览与本项目有关的澄清和修改信息</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spacing w:after="160" w:line="259" w:lineRule="auto"/>
              <w:jc w:val="center"/>
              <w:rPr>
                <w:rFonts w:ascii="宋体" w:eastAsia="宋体" w:hAnsi="宋体"/>
                <w:kern w:val="2"/>
                <w:sz w:val="21"/>
                <w:lang w:eastAsia="zh-CN"/>
              </w:rPr>
            </w:pPr>
            <w:bookmarkStart w:id="33" w:name="_Hlk71664860"/>
            <w:r>
              <w:rPr>
                <w:rFonts w:ascii="宋体" w:eastAsia="宋体" w:hAnsi="宋体" w:hint="eastAsia"/>
                <w:kern w:val="2"/>
                <w:sz w:val="21"/>
                <w:lang w:eastAsia="zh-CN"/>
              </w:rPr>
              <w:t>样品、演示、方案讲解</w:t>
            </w:r>
            <w:bookmarkEnd w:id="33"/>
          </w:p>
        </w:tc>
        <w:tc>
          <w:tcPr>
            <w:tcW w:w="4871" w:type="dxa"/>
            <w:vAlign w:val="center"/>
          </w:tcPr>
          <w:p>
            <w:pPr>
              <w:widowControl w:val="0"/>
              <w:spacing w:after="160" w:line="259" w:lineRule="auto"/>
              <w:jc w:val="both"/>
              <w:rPr>
                <w:rFonts w:ascii="宋体" w:eastAsia="宋体" w:hAnsi="宋体"/>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spacing w:after="160" w:line="259" w:lineRule="auto"/>
              <w:jc w:val="left"/>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rPr>
          <w:cantSplit/>
          <w:trHeight w:val="59"/>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spacing w:after="160" w:line="259" w:lineRule="auto"/>
              <w:jc w:val="left"/>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tblInd w:w="0" w:type="dxa"/>
          <w:tblLayout w:type="fixed"/>
          <w:tblCellMar>
            <w:top w:w="0" w:type="dxa"/>
            <w:left w:w="108" w:type="dxa"/>
            <w:bottom w:w="0" w:type="dxa"/>
            <w:right w:w="108" w:type="dxa"/>
          </w:tblCellMar>
        </w:tblPrEx>
        <w:trPr>
          <w:cantSplit/>
          <w:trHeight w:val="552"/>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spacing w:after="160" w:line="259" w:lineRule="auto"/>
              <w:jc w:val="left"/>
              <w:rPr>
                <w:rFonts w:ascii="宋体" w:eastAsia="宋体" w:hAnsi="宋体"/>
                <w:kern w:val="2"/>
                <w:sz w:val="21"/>
                <w:lang w:eastAsia="zh-CN"/>
              </w:rPr>
            </w:pPr>
            <w:r>
              <w:rPr>
                <w:rFonts w:ascii="宋体" w:eastAsia="宋体" w:hAnsi="宋体" w:hint="eastAsia"/>
                <w:kern w:val="2"/>
                <w:sz w:val="21"/>
                <w:lang w:eastAsia="zh-CN"/>
              </w:rPr>
              <w:t>不需要</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52.8</w:t>
            </w:r>
          </w:p>
        </w:tc>
        <w:tc>
          <w:tcPr>
            <w:tcW w:w="2526" w:type="dxa"/>
            <w:vAlign w:val="center"/>
          </w:tcPr>
          <w:p>
            <w:pPr>
              <w:widowControl w:val="0"/>
              <w:spacing w:after="160" w:line="259" w:lineRule="auto"/>
              <w:jc w:val="center"/>
              <w:rPr>
                <w:rFonts w:ascii="宋体" w:eastAsia="宋体" w:hAnsi="宋体"/>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spacing w:after="160" w:line="259" w:lineRule="auto"/>
              <w:jc w:val="left"/>
              <w:rPr>
                <w:rFonts w:ascii="宋体" w:eastAsia="宋体" w:hAnsi="宋体"/>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spacing w:after="160" w:line="259" w:lineRule="auto"/>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spacing w:after="160" w:line="259" w:lineRule="auto"/>
        <w:jc w:val="both"/>
        <w:rPr>
          <w:rFonts w:eastAsia="宋体"/>
          <w:b/>
          <w:kern w:val="2"/>
          <w:sz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spacing w:after="160" w:line="259" w:lineRule="auto"/>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after="160" w:line="276" w:lineRule="auto"/>
        <w:ind w:firstLine="420" w:firstLineChars="200"/>
        <w:jc w:val="left"/>
        <w:rPr>
          <w:rFonts w:ascii="宋体" w:eastAsia="宋体" w:hAnsi="宋体"/>
          <w:b/>
          <w:sz w:val="21"/>
          <w:szCs w:val="20"/>
          <w:lang w:eastAsia="zh-CN"/>
        </w:rPr>
      </w:pPr>
      <w:bookmarkStart w:id="34" w:name="_Hlk72579465"/>
      <w:r>
        <w:rPr>
          <w:rFonts w:ascii="宋体" w:eastAsia="宋体" w:hAnsi="宋体" w:hint="eastAsia"/>
          <w:b/>
          <w:sz w:val="21"/>
          <w:szCs w:val="20"/>
          <w:lang w:eastAsia="zh-CN"/>
        </w:rPr>
        <w:t>1、评标定标信息</w:t>
      </w:r>
    </w:p>
    <w:p>
      <w:pPr>
        <w:widowControl w:val="0"/>
        <w:spacing w:after="160" w:line="259" w:lineRule="auto"/>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04"/>
        <w:gridCol w:w="561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501" w:type="dxa"/>
          </w:tcPr>
          <w:p>
            <w:pPr>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501"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501" w:type="dxa"/>
          </w:tcPr>
          <w:p>
            <w:pPr>
              <w:jc w:val="center"/>
              <w:rPr>
                <w:kern w:val="2"/>
                <w:sz w:val="21"/>
                <w:lang w:eastAsia="zh-CN"/>
              </w:rPr>
            </w:pPr>
            <w:r>
              <w:rPr>
                <w:rFonts w:hint="eastAsia"/>
                <w:kern w:val="2"/>
                <w:sz w:val="21"/>
                <w:lang w:eastAsia="zh-CN"/>
              </w:rPr>
              <w:t>1</w:t>
            </w:r>
          </w:p>
        </w:tc>
      </w:tr>
    </w:tbl>
    <w:p>
      <w:pPr>
        <w:widowControl w:val="0"/>
        <w:spacing w:after="160" w:line="259" w:lineRule="auto"/>
        <w:ind w:firstLine="420" w:firstLineChars="200"/>
        <w:jc w:val="both"/>
        <w:rPr>
          <w:rFonts w:ascii="宋体" w:eastAsia="宋体" w:hAnsi="宋体"/>
          <w:b/>
          <w:kern w:val="2"/>
          <w:sz w:val="21"/>
          <w:lang w:eastAsia="zh-CN"/>
        </w:rPr>
      </w:pPr>
    </w:p>
    <w:bookmarkEnd w:id="34"/>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spacing w:after="160" w:line="259" w:lineRule="auto"/>
        <w:ind w:firstLine="420" w:firstLineChars="200"/>
        <w:jc w:val="both"/>
        <w:rPr>
          <w:rFonts w:ascii="宋体" w:eastAsia="宋体" w:hAnsi="宋体" w:cs="宋体"/>
          <w:b/>
          <w:bCs/>
          <w:kern w:val="2"/>
          <w:sz w:val="21"/>
          <w:lang w:eastAsia="zh-CN"/>
        </w:rPr>
      </w:pPr>
      <w:r>
        <w:rPr>
          <w:rFonts w:ascii="宋体" w:eastAsia="宋体" w:hAnsi="宋体" w:cs="宋体"/>
          <w:b/>
          <w:bCs/>
          <w:kern w:val="2"/>
          <w:sz w:val="21"/>
          <w:lang w:eastAsia="zh-CN"/>
        </w:rPr>
        <w:t>1</w:t>
      </w:r>
      <w:r>
        <w:rPr>
          <w:rFonts w:ascii="宋体" w:eastAsia="宋体" w:hAnsi="宋体" w:cs="宋体" w:hint="eastAsia"/>
          <w:b/>
          <w:bCs/>
          <w:kern w:val="2"/>
          <w:sz w:val="21"/>
          <w:lang w:eastAsia="zh-CN"/>
        </w:rPr>
        <w:t>、关于享受优惠政策的主体及价格扣除比例</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eastAsia="宋体"/>
          <w:b/>
          <w:bCs/>
          <w:color w:val="FF0000"/>
          <w:kern w:val="2"/>
          <w:szCs w:val="32"/>
          <w:u w:val="single"/>
          <w:lang w:eastAsia="zh-CN"/>
        </w:rPr>
        <w:t xml:space="preserve">  </w:t>
      </w:r>
      <w:r>
        <w:rPr>
          <w:rFonts w:eastAsia="宋体" w:hint="eastAsia"/>
          <w:b/>
          <w:bCs/>
          <w:color w:val="FF0000"/>
          <w:kern w:val="2"/>
          <w:szCs w:val="32"/>
          <w:u w:val="single"/>
          <w:lang w:eastAsia="zh-CN"/>
        </w:rPr>
        <w:t xml:space="preserve"> 10</w:t>
      </w:r>
      <w:r>
        <w:rPr>
          <w:rFonts w:eastAsia="宋体"/>
          <w:b/>
          <w:bCs/>
          <w:color w:val="FF0000"/>
          <w:kern w:val="2"/>
          <w:szCs w:val="32"/>
          <w:u w:val="single"/>
          <w:lang w:eastAsia="zh-CN"/>
        </w:rPr>
        <w:t xml:space="preserve">  </w:t>
      </w:r>
      <w:r>
        <w:rPr>
          <w:rFonts w:eastAsia="宋体" w:hint="eastAsia"/>
          <w:b/>
          <w:bCs/>
          <w:color w:val="FF0000"/>
          <w:kern w:val="2"/>
          <w:szCs w:val="32"/>
          <w:u w:val="single"/>
          <w:lang w:eastAsia="zh-CN"/>
        </w:rPr>
        <w:t xml:space="preserve"> </w:t>
      </w:r>
      <w:r>
        <w:rPr>
          <w:rFonts w:eastAsia="宋体"/>
          <w:b/>
          <w:bCs/>
          <w:color w:val="FF0000"/>
          <w:kern w:val="2"/>
          <w:szCs w:val="32"/>
          <w:lang w:eastAsia="zh-CN"/>
        </w:rPr>
        <w:t>%</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的扣除，用扣除后的价格参与评审。满足多项优惠政策的供应商，不重复享受多项价格扣除政策。</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spacing w:after="160" w:line="259"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bookmarkStart w:id="35"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《中小企业声明函》中相关企业所属行业应当与采购标的所属行业相一致。</w:t>
      </w:r>
      <w:r>
        <w:rPr>
          <w:rFonts w:ascii="宋体" w:eastAsia="宋体" w:hAnsi="宋体" w:cs="宋体" w:hint="eastAsia"/>
          <w:kern w:val="2"/>
          <w:sz w:val="21"/>
          <w:szCs w:val="21"/>
          <w:lang w:eastAsia="zh-CN"/>
        </w:rPr>
        <w:t>本项目采购标的（货物）对应的中小企业划分标准所属行业为</w:t>
      </w:r>
      <w:r>
        <w:rPr>
          <w:rFonts w:ascii="宋体" w:eastAsia="宋体" w:hAnsi="宋体" w:cs="宋体" w:hint="eastAsia"/>
          <w:b/>
          <w:bCs/>
          <w:color w:val="FF0000"/>
          <w:kern w:val="2"/>
          <w:u w:val="single"/>
          <w:lang w:eastAsia="zh-CN"/>
        </w:rPr>
        <w:t xml:space="preserve"> 工业 </w:t>
      </w:r>
      <w:r>
        <w:rPr>
          <w:rFonts w:ascii="宋体" w:eastAsia="宋体" w:hAnsi="宋体" w:cs="宋体" w:hint="eastAsia"/>
          <w:kern w:val="2"/>
          <w:sz w:val="21"/>
          <w:szCs w:val="21"/>
          <w:lang w:eastAsia="zh-CN"/>
        </w:rPr>
        <w:t>。</w:t>
      </w:r>
      <w:bookmarkEnd w:id="35"/>
    </w:p>
    <w:p>
      <w:pPr>
        <w:widowControl w:val="0"/>
        <w:numPr>
          <w:ilvl w:val="0"/>
          <w:numId w:val="1"/>
        </w:numPr>
        <w:spacing w:after="160" w:line="259" w:lineRule="auto"/>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spacing w:after="160" w:line="259" w:lineRule="auto"/>
        <w:ind w:firstLine="420" w:firstLineChars="200"/>
        <w:jc w:val="both"/>
        <w:rPr>
          <w:rFonts w:ascii="宋体" w:eastAsia="宋体" w:hAnsi="宋体" w:cs="宋体"/>
          <w:b/>
          <w:bCs/>
          <w:kern w:val="2"/>
          <w:sz w:val="21"/>
          <w:lang w:eastAsia="zh-CN"/>
        </w:rPr>
      </w:pPr>
    </w:p>
    <w:p>
      <w:pPr>
        <w:widowControl w:val="0"/>
        <w:spacing w:after="160" w:line="259" w:lineRule="auto"/>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spacing w:after="160" w:line="259" w:lineRule="auto"/>
        <w:ind w:firstLine="420" w:firstLineChars="200"/>
        <w:jc w:val="both"/>
        <w:rPr>
          <w:rFonts w:ascii="宋体" w:eastAsia="宋体" w:hAnsi="宋体"/>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spacing w:after="160" w:line="259" w:lineRule="auto"/>
        <w:ind w:firstLine="420" w:firstLineChars="200"/>
        <w:jc w:val="both"/>
        <w:rPr>
          <w:rFonts w:ascii="宋体" w:eastAsia="宋体" w:hAnsi="宋体" w:cs="宋体"/>
          <w:b/>
          <w:bCs/>
          <w:kern w:val="2"/>
          <w:sz w:val="21"/>
          <w:lang w:eastAsia="zh-CN"/>
        </w:rPr>
      </w:pPr>
    </w:p>
    <w:p>
      <w:pPr>
        <w:widowControl w:val="0"/>
        <w:spacing w:after="160" w:line="259" w:lineRule="auto"/>
        <w:ind w:firstLine="420" w:firstLineChars="200"/>
        <w:jc w:val="both"/>
        <w:rPr>
          <w:rFonts w:ascii="宋体" w:eastAsia="宋体" w:hAnsi="宋体" w:cs="宋体"/>
          <w:b/>
          <w:bCs/>
          <w:kern w:val="2"/>
          <w:sz w:val="21"/>
          <w:lang w:eastAsia="zh-CN"/>
        </w:rPr>
      </w:pPr>
      <w:r>
        <w:rPr>
          <w:rFonts w:ascii="Wingdings" w:eastAsia="宋体" w:hAnsi="Wingdings" w:cs="宋体"/>
          <w:b/>
          <w:bCs/>
          <w:kern w:val="2"/>
          <w:sz w:val="21"/>
          <w:lang w:eastAsia="zh-CN"/>
        </w:rPr>
        <w:sym w:font="Wingdings" w:char="F0FE"/>
      </w:r>
      <w:r>
        <w:rPr>
          <w:rFonts w:ascii="宋体" w:eastAsia="宋体" w:hAnsi="宋体" w:cs="宋体" w:hint="eastAsia"/>
          <w:b/>
          <w:bCs/>
          <w:kern w:val="2"/>
          <w:sz w:val="21"/>
          <w:lang w:eastAsia="zh-CN"/>
        </w:rPr>
        <w:t>3、</w:t>
      </w:r>
      <w:bookmarkStart w:id="36" w:name="_Hlk72594729"/>
      <w:bookmarkStart w:id="37" w:name="_Hlk76855768"/>
      <w:r>
        <w:rPr>
          <w:rFonts w:ascii="宋体" w:eastAsia="宋体" w:hAnsi="宋体" w:cs="宋体" w:hint="eastAsia"/>
          <w:b/>
          <w:bCs/>
          <w:kern w:val="2"/>
          <w:sz w:val="21"/>
          <w:lang w:eastAsia="zh-CN"/>
        </w:rPr>
        <w:t>本项目为代理服务项目，将向中标（成交）供应商收取代理服务费。</w:t>
      </w:r>
    </w:p>
    <w:bookmarkEnd w:id="36"/>
    <w:bookmarkEnd w:id="37"/>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w:t>
      </w:r>
      <w:r>
        <w:rPr>
          <w:rFonts w:eastAsia="宋体" w:hint="eastAsia"/>
          <w:b/>
          <w:color w:val="FF0000"/>
          <w:kern w:val="2"/>
          <w:sz w:val="21"/>
          <w:u w:val="single"/>
          <w:lang w:eastAsia="zh-CN"/>
        </w:rPr>
        <w:t>货物采购</w:t>
      </w:r>
      <w:r>
        <w:rPr>
          <w:rFonts w:eastAsia="宋体" w:hint="eastAsia"/>
          <w:b/>
          <w:color w:val="FF0000"/>
          <w:kern w:val="2"/>
          <w:sz w:val="21"/>
          <w:lang w:eastAsia="zh-CN"/>
        </w:rPr>
        <w:t>：</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5"/>
        <w:gridCol w:w="1799"/>
        <w:gridCol w:w="1799"/>
        <w:gridCol w:w="1799"/>
      </w:tblGrid>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0.004%</w:t>
            </w:r>
          </w:p>
        </w:tc>
      </w:tr>
    </w:tbl>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spacing w:after="160" w:line="259" w:lineRule="auto"/>
        <w:ind w:firstLine="420" w:firstLineChars="200"/>
        <w:jc w:val="left"/>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（3）中标（成交）供应商中标（成交）后，必须按规定采用银行对公转账方式向深圳交易集团有限公司直接交纳代理服务费，具体交纳信息以《付款（缴款）通知书》内容为准。</w:t>
      </w:r>
    </w:p>
    <w:p>
      <w:pPr>
        <w:widowControl w:val="0"/>
        <w:spacing w:after="160" w:line="259" w:lineRule="auto"/>
        <w:jc w:val="both"/>
        <w:rPr>
          <w:rFonts w:ascii="宋体" w:eastAsia="宋体" w:hAnsi="宋体"/>
          <w:b/>
          <w:bCs/>
          <w:sz w:val="28"/>
          <w:szCs w:val="28"/>
          <w:lang w:eastAsia="zh-CN"/>
        </w:rPr>
      </w:pPr>
      <w:bookmarkStart w:id="38" w:name="_Toc128884461"/>
      <w:r>
        <w:rPr>
          <w:rFonts w:eastAsia="宋体"/>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
        <w:gridCol w:w="4839"/>
        <w:gridCol w:w="325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426"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序号</w:t>
            </w:r>
          </w:p>
        </w:tc>
        <w:tc>
          <w:tcPr>
            <w:tcW w:w="4853"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采购项目名称</w:t>
            </w:r>
          </w:p>
        </w:tc>
        <w:tc>
          <w:tcPr>
            <w:tcW w:w="3266" w:type="dxa"/>
            <w:vAlign w:val="center"/>
          </w:tcPr>
          <w:p>
            <w:pPr>
              <w:widowControl w:val="0"/>
              <w:spacing w:after="160" w:line="259" w:lineRule="auto"/>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426" w:type="dxa"/>
            <w:vAlign w:val="center"/>
          </w:tcPr>
          <w:p>
            <w:pPr>
              <w:widowControl w:val="0"/>
              <w:spacing w:after="160" w:line="259"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853" w:type="dxa"/>
            <w:vAlign w:val="center"/>
          </w:tcPr>
          <w:p>
            <w:pPr>
              <w:widowControl w:val="0"/>
              <w:spacing w:after="160" w:line="259" w:lineRule="auto"/>
              <w:jc w:val="center"/>
              <w:rPr>
                <w:rFonts w:eastAsia="宋体"/>
                <w:b/>
                <w:bCs/>
                <w:color w:val="FF0000"/>
                <w:kern w:val="2"/>
                <w:sz w:val="21"/>
                <w:szCs w:val="21"/>
                <w:lang w:eastAsia="zh-CN"/>
              </w:rPr>
            </w:pPr>
            <w:r>
              <w:rPr>
                <w:rFonts w:eastAsia="宋体" w:hint="eastAsia"/>
                <w:b/>
                <w:bCs/>
                <w:color w:val="FF0000"/>
                <w:kern w:val="2"/>
                <w:sz w:val="21"/>
                <w:szCs w:val="21"/>
                <w:lang w:eastAsia="zh-CN"/>
              </w:rPr>
              <w:t>北京大学深圳医院内镜清洗消毒工作站和内镜洗消追溯管理系统采购</w:t>
            </w:r>
          </w:p>
        </w:tc>
        <w:tc>
          <w:tcPr>
            <w:tcW w:w="3266" w:type="dxa"/>
            <w:vAlign w:val="center"/>
          </w:tcPr>
          <w:p>
            <w:pPr>
              <w:widowControl w:val="0"/>
              <w:spacing w:after="160" w:line="259"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990,000</w:t>
            </w:r>
          </w:p>
        </w:tc>
      </w:tr>
    </w:tbl>
    <w:p>
      <w:pPr>
        <w:widowControl w:val="0"/>
        <w:spacing w:after="160" w:line="259" w:lineRule="auto"/>
        <w:jc w:val="both"/>
        <w:rPr>
          <w:rFonts w:eastAsia="宋体"/>
          <w:kern w:val="2"/>
          <w:sz w:val="21"/>
          <w:lang w:eastAsia="zh-CN"/>
        </w:rPr>
      </w:pPr>
    </w:p>
    <w:p>
      <w:pPr>
        <w:widowControl w:val="0"/>
        <w:spacing w:after="160" w:line="360" w:lineRule="auto"/>
        <w:jc w:val="both"/>
        <w:rPr>
          <w:rFonts w:eastAsia="宋体"/>
          <w:b/>
          <w:bCs/>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color w:val="FF0000"/>
          <w:szCs w:val="21"/>
          <w:lang w:eastAsia="zh-CN"/>
        </w:rPr>
      </w:pPr>
      <w:r>
        <w:rPr>
          <w:rFonts w:ascii="宋体" w:eastAsia="宋体" w:hAnsi="宋体" w:hint="eastAsia"/>
          <w:b/>
          <w:bCs/>
          <w:lang w:eastAsia="zh-CN"/>
        </w:rPr>
        <w:t>二、货物需求明细</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8"/>
        <w:gridCol w:w="2233"/>
        <w:gridCol w:w="629"/>
        <w:gridCol w:w="583"/>
        <w:gridCol w:w="1184"/>
        <w:gridCol w:w="1196"/>
        <w:gridCol w:w="1156"/>
        <w:gridCol w:w="91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605" w:type="dxa"/>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序号</w:t>
            </w:r>
          </w:p>
        </w:tc>
        <w:tc>
          <w:tcPr>
            <w:tcW w:w="2154" w:type="dxa"/>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货物名称</w:t>
            </w:r>
          </w:p>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（标的名称）</w:t>
            </w:r>
          </w:p>
        </w:tc>
        <w:tc>
          <w:tcPr>
            <w:tcW w:w="607" w:type="dxa"/>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计量单位</w:t>
            </w:r>
          </w:p>
        </w:tc>
        <w:tc>
          <w:tcPr>
            <w:tcW w:w="562" w:type="dxa"/>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数量</w:t>
            </w:r>
          </w:p>
        </w:tc>
        <w:tc>
          <w:tcPr>
            <w:tcW w:w="1142" w:type="dxa"/>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预算单价（元）</w:t>
            </w:r>
          </w:p>
        </w:tc>
        <w:tc>
          <w:tcPr>
            <w:tcW w:w="1154" w:type="dxa"/>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预算总价（元）</w:t>
            </w:r>
          </w:p>
        </w:tc>
        <w:tc>
          <w:tcPr>
            <w:tcW w:w="1115" w:type="dxa"/>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财政预算限额（元）</w:t>
            </w:r>
          </w:p>
        </w:tc>
        <w:tc>
          <w:tcPr>
            <w:tcW w:w="881" w:type="dxa"/>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是否</w:t>
            </w:r>
          </w:p>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进口</w:t>
            </w:r>
          </w:p>
        </w:tc>
      </w:tr>
      <w:tr>
        <w:tblPrEx>
          <w:tblW w:w="5000" w:type="pct"/>
          <w:tblInd w:w="0" w:type="dxa"/>
          <w:tblLayout w:type="fixed"/>
          <w:tblCellMar>
            <w:top w:w="0" w:type="dxa"/>
            <w:left w:w="108" w:type="dxa"/>
            <w:bottom w:w="0" w:type="dxa"/>
            <w:right w:w="108" w:type="dxa"/>
          </w:tblCellMar>
        </w:tblPrEx>
        <w:tc>
          <w:tcPr>
            <w:tcW w:w="605"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w:t>
            </w:r>
          </w:p>
        </w:tc>
        <w:tc>
          <w:tcPr>
            <w:tcW w:w="2154"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bCs/>
                <w:kern w:val="2"/>
                <w:sz w:val="21"/>
                <w:szCs w:val="21"/>
                <w:lang w:eastAsia="zh-CN"/>
              </w:rPr>
              <w:t>内镜清洗消毒工作站</w:t>
            </w:r>
          </w:p>
        </w:tc>
        <w:tc>
          <w:tcPr>
            <w:tcW w:w="607"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套</w:t>
            </w:r>
          </w:p>
        </w:tc>
        <w:tc>
          <w:tcPr>
            <w:tcW w:w="562"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6</w:t>
            </w:r>
          </w:p>
        </w:tc>
        <w:tc>
          <w:tcPr>
            <w:tcW w:w="1142"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bCs/>
                <w:kern w:val="2"/>
                <w:sz w:val="21"/>
                <w:szCs w:val="21"/>
                <w:lang w:eastAsia="zh-CN"/>
              </w:rPr>
              <w:t>125</w:t>
            </w:r>
            <w:r>
              <w:rPr>
                <w:rFonts w:ascii="仿宋_GB2312" w:eastAsia="仿宋_GB2312" w:hAnsi="仿宋_GB2312" w:cs="仿宋_GB2312" w:hint="eastAsia"/>
                <w:bCs/>
                <w:kern w:val="2"/>
                <w:sz w:val="21"/>
                <w:szCs w:val="21"/>
                <w:lang w:eastAsia="zh-CN"/>
              </w:rPr>
              <w:t>,000</w:t>
            </w:r>
          </w:p>
        </w:tc>
        <w:tc>
          <w:tcPr>
            <w:tcW w:w="1154"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750,000</w:t>
            </w:r>
          </w:p>
        </w:tc>
        <w:tc>
          <w:tcPr>
            <w:tcW w:w="1115" w:type="dxa"/>
            <w:shd w:val="clear" w:color="auto" w:fill="auto"/>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750,000</w:t>
            </w:r>
          </w:p>
        </w:tc>
        <w:tc>
          <w:tcPr>
            <w:tcW w:w="881"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357"/>
        </w:trPr>
        <w:tc>
          <w:tcPr>
            <w:tcW w:w="605"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w:t>
            </w:r>
          </w:p>
        </w:tc>
        <w:tc>
          <w:tcPr>
            <w:tcW w:w="2154"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内镜洗消追溯管理系统</w:t>
            </w:r>
          </w:p>
        </w:tc>
        <w:tc>
          <w:tcPr>
            <w:tcW w:w="607"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套</w:t>
            </w:r>
          </w:p>
        </w:tc>
        <w:tc>
          <w:tcPr>
            <w:tcW w:w="562"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w:t>
            </w:r>
          </w:p>
        </w:tc>
        <w:tc>
          <w:tcPr>
            <w:tcW w:w="1142"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80,000</w:t>
            </w:r>
          </w:p>
        </w:tc>
        <w:tc>
          <w:tcPr>
            <w:tcW w:w="1154"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240,000</w:t>
            </w:r>
          </w:p>
        </w:tc>
        <w:tc>
          <w:tcPr>
            <w:tcW w:w="1115" w:type="dxa"/>
            <w:shd w:val="clear" w:color="auto" w:fill="auto"/>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240,000</w:t>
            </w:r>
          </w:p>
        </w:tc>
        <w:tc>
          <w:tcPr>
            <w:tcW w:w="881" w:type="dxa"/>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否</w:t>
            </w:r>
          </w:p>
        </w:tc>
      </w:tr>
    </w:tbl>
    <w:p>
      <w:pPr>
        <w:widowControl w:val="0"/>
        <w:spacing w:after="160" w:line="259" w:lineRule="auto"/>
        <w:jc w:val="both"/>
        <w:rPr>
          <w:rFonts w:ascii="宋体" w:eastAsia="宋体" w:hAnsi="宋体"/>
          <w:b/>
          <w:color w:val="FF0000"/>
          <w:kern w:val="2"/>
          <w:sz w:val="21"/>
          <w:szCs w:val="21"/>
          <w:lang w:eastAsia="zh-CN"/>
        </w:rPr>
      </w:pPr>
    </w:p>
    <w:p>
      <w:pPr>
        <w:widowControl w:val="0"/>
        <w:spacing w:after="160" w:line="259" w:lineRule="auto"/>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spacing w:after="160" w:line="259" w:lineRule="auto"/>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spacing w:after="160" w:line="259" w:lineRule="auto"/>
        <w:jc w:val="both"/>
        <w:rPr>
          <w:rFonts w:eastAsia="宋体"/>
          <w:kern w:val="2"/>
          <w:sz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u w:val="single"/>
          <w:lang w:eastAsia="zh-CN"/>
        </w:rPr>
        <w:t>内镜清洗消毒工作站</w:t>
      </w:r>
      <w:r>
        <w:rPr>
          <w:rFonts w:eastAsia="宋体" w:hint="eastAsia"/>
          <w:bCs/>
          <w:color w:val="FF0000"/>
          <w:kern w:val="2"/>
          <w:sz w:val="21"/>
          <w:szCs w:val="21"/>
          <w:u w:val="single"/>
          <w:lang w:eastAsia="zh-CN"/>
        </w:rPr>
        <w:t>（序号1）</w:t>
      </w:r>
      <w:r>
        <w:rPr>
          <w:rFonts w:ascii="宋体" w:eastAsia="宋体" w:hAnsi="宋体" w:hint="eastAsia"/>
          <w:b/>
          <w:color w:val="FF0000"/>
          <w:kern w:val="2"/>
          <w:sz w:val="21"/>
          <w:szCs w:val="21"/>
          <w:u w:val="single"/>
          <w:lang w:eastAsia="zh-CN"/>
        </w:rPr>
        <w:t xml:space="preserve">   </w:t>
      </w:r>
    </w:p>
    <w:p>
      <w:pPr>
        <w:widowControl w:val="0"/>
        <w:spacing w:after="160" w:line="360" w:lineRule="auto"/>
        <w:jc w:val="both"/>
        <w:rPr>
          <w:rFonts w:eastAsia="宋体"/>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9"/>
        <w:gridCol w:w="78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after="160"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654" w:type="dxa"/>
          </w:tcPr>
          <w:p>
            <w:pPr>
              <w:widowControl w:val="0"/>
              <w:adjustRightInd w:val="0"/>
              <w:snapToGrid w:val="0"/>
              <w:spacing w:after="160"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after="160"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654" w:type="dxa"/>
          </w:tcPr>
          <w:p>
            <w:pPr>
              <w:widowControl w:val="0"/>
              <w:spacing w:after="160" w:line="259" w:lineRule="auto"/>
              <w:jc w:val="both"/>
              <w:rPr>
                <w:rFonts w:eastAsia="宋体" w:hAnsi="宋体"/>
                <w:sz w:val="21"/>
                <w:szCs w:val="21"/>
                <w:lang w:eastAsia="zh-CN"/>
              </w:rPr>
            </w:pPr>
            <w:r>
              <w:rPr>
                <w:rFonts w:eastAsia="宋体" w:hint="eastAsia"/>
                <w:kern w:val="2"/>
                <w:sz w:val="21"/>
                <w:lang w:eastAsia="zh-CN"/>
              </w:rPr>
              <w:t>满足本项目标★的条款要求</w:t>
            </w:r>
          </w:p>
        </w:tc>
      </w:tr>
      <w:bookmarkEnd w:id="38"/>
    </w:tbl>
    <w:p>
      <w:pPr>
        <w:widowControl w:val="0"/>
        <w:spacing w:after="160" w:line="259" w:lineRule="auto"/>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after="160" w:line="360" w:lineRule="auto"/>
        <w:jc w:val="both"/>
        <w:rPr>
          <w:rFonts w:ascii="宋体" w:eastAsia="宋体"/>
          <w:b/>
          <w:bCs/>
          <w:szCs w:val="20"/>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widowControl w:val="0"/>
        <w:spacing w:after="160" w:line="259" w:lineRule="auto"/>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widowControl w:val="0"/>
        <w:spacing w:after="160" w:line="259" w:lineRule="auto"/>
        <w:ind w:firstLine="420" w:firstLineChars="200"/>
        <w:jc w:val="both"/>
        <w:rPr>
          <w:rFonts w:eastAsia="宋体"/>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39" w:name="_Hlk72585069"/>
      <w:r>
        <w:rPr>
          <w:rFonts w:eastAsia="宋体" w:hint="eastAsia"/>
          <w:b/>
          <w:kern w:val="2"/>
          <w:sz w:val="21"/>
          <w:szCs w:val="21"/>
          <w:lang w:eastAsia="zh-CN"/>
        </w:rPr>
        <w:t>招标技术要求中，用</w:t>
      </w:r>
      <w:r>
        <w:rPr>
          <w:rFonts w:eastAsia="宋体" w:hint="eastAsia"/>
          <w:b/>
          <w:color w:val="FF0000"/>
          <w:kern w:val="2"/>
          <w:sz w:val="21"/>
          <w:szCs w:val="21"/>
          <w:lang w:eastAsia="zh-CN"/>
        </w:rPr>
        <w:t>红色加粗字体标注</w:t>
      </w:r>
      <w:r>
        <w:rPr>
          <w:rFonts w:eastAsia="宋体" w:hint="eastAsia"/>
          <w:b/>
          <w:kern w:val="2"/>
          <w:sz w:val="21"/>
          <w:szCs w:val="21"/>
          <w:lang w:eastAsia="zh-CN"/>
        </w:rPr>
        <w:t>的指标项均要求提供证明资料；其余指标项未要求提供证明资料，无需提供相关证明资料。</w:t>
      </w:r>
    </w:p>
    <w:p>
      <w:pPr>
        <w:widowControl w:val="0"/>
        <w:spacing w:after="160" w:line="259" w:lineRule="auto"/>
        <w:ind w:firstLine="420" w:firstLineChars="200"/>
        <w:jc w:val="both"/>
        <w:rPr>
          <w:rFonts w:eastAsia="宋体"/>
          <w:b/>
          <w:kern w:val="2"/>
          <w:sz w:val="21"/>
          <w:szCs w:val="21"/>
          <w:lang w:eastAsia="zh-CN"/>
        </w:rPr>
      </w:pPr>
      <w:r>
        <w:rPr>
          <w:rFonts w:eastAsia="宋体" w:hint="eastAsia"/>
          <w:b/>
          <w:color w:val="FF0000"/>
          <w:kern w:val="2"/>
          <w:sz w:val="21"/>
          <w:lang w:eastAsia="zh-CN"/>
        </w:rPr>
        <w:t>4</w:t>
      </w:r>
      <w:r>
        <w:rPr>
          <w:rFonts w:eastAsia="宋体"/>
          <w:b/>
          <w:color w:val="FF0000"/>
          <w:kern w:val="2"/>
          <w:sz w:val="21"/>
          <w:lang w:eastAsia="zh-CN"/>
        </w:rPr>
        <w:t>、</w:t>
      </w:r>
      <w:r>
        <w:rPr>
          <w:rFonts w:eastAsia="宋体" w:hint="eastAsia"/>
          <w:b/>
          <w:color w:val="FF0000"/>
          <w:kern w:val="2"/>
          <w:sz w:val="21"/>
          <w:lang w:eastAsia="zh-CN"/>
        </w:rPr>
        <w:t>涉及区间的技术要求，除特别注明以外，所投产品范围涵盖对应的区间即认定为满足该项技术要求。例：区间要求为5-20ML, 所投产品范围最小值≤5ML，范围最大值≥20ML，即为满足该项技术要求。</w:t>
      </w:r>
    </w:p>
    <w:bookmarkEnd w:id="39"/>
    <w:tbl>
      <w:tblPr>
        <w:tblStyle w:val="TableNormal"/>
        <w:tblpPr w:leftFromText="180" w:rightFromText="180" w:vertAnchor="text" w:horzAnchor="page" w:tblpX="1892" w:tblpY="300"/>
        <w:tblOverlap w:val="never"/>
        <w:tblW w:w="5000" w:type="pct"/>
        <w:tblInd w:w="0" w:type="dxa"/>
        <w:tblLayout w:type="fixed"/>
        <w:tblCellMar>
          <w:top w:w="0" w:type="dxa"/>
          <w:left w:w="108" w:type="dxa"/>
          <w:bottom w:w="0" w:type="dxa"/>
          <w:right w:w="108" w:type="dxa"/>
        </w:tblCellMar>
      </w:tblPr>
      <w:tblGrid>
        <w:gridCol w:w="542"/>
        <w:gridCol w:w="661"/>
        <w:gridCol w:w="7319"/>
      </w:tblGrid>
      <w:tr>
        <w:tblPrEx>
          <w:tblW w:w="5000" w:type="pct"/>
          <w:tblInd w:w="0" w:type="dxa"/>
          <w:tblLayout w:type="fixed"/>
          <w:tblCellMar>
            <w:top w:w="0" w:type="dxa"/>
            <w:left w:w="108" w:type="dxa"/>
            <w:bottom w:w="0" w:type="dxa"/>
            <w:right w:w="108" w:type="dxa"/>
          </w:tblCellMar>
        </w:tblPrEx>
        <w:trPr>
          <w:trHeight w:val="317"/>
        </w:trPr>
        <w:tc>
          <w:tcPr>
            <w:tcW w:w="531" w:type="dxa"/>
            <w:tcBorders>
              <w:top w:val="single" w:sz="4" w:space="0" w:color="000000"/>
              <w:left w:val="single" w:sz="4" w:space="0" w:color="000000"/>
              <w:bottom w:val="single" w:sz="4" w:space="0" w:color="auto"/>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sz w:val="21"/>
                <w:szCs w:val="21"/>
                <w:lang w:eastAsia="zh-CN" w:bidi="ar"/>
              </w:rPr>
              <w:t>序号</w:t>
            </w:r>
          </w:p>
        </w:tc>
        <w:tc>
          <w:tcPr>
            <w:tcW w:w="647" w:type="dxa"/>
            <w:tcBorders>
              <w:top w:val="single" w:sz="4" w:space="0" w:color="000000"/>
              <w:left w:val="single" w:sz="4" w:space="0" w:color="000000"/>
              <w:bottom w:val="single" w:sz="4" w:space="0" w:color="auto"/>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sz w:val="21"/>
                <w:szCs w:val="21"/>
                <w:lang w:eastAsia="zh-CN" w:bidi="ar"/>
              </w:rPr>
              <w:t>货物名称</w:t>
            </w:r>
          </w:p>
        </w:tc>
        <w:tc>
          <w:tcPr>
            <w:tcW w:w="716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sz w:val="21"/>
                <w:szCs w:val="21"/>
                <w:lang w:eastAsia="zh-CN" w:bidi="ar"/>
              </w:rPr>
              <w:t>技术要求</w:t>
            </w:r>
          </w:p>
        </w:tc>
      </w:tr>
      <w:tr>
        <w:tblPrEx>
          <w:tblW w:w="5000" w:type="pct"/>
          <w:tblInd w:w="0" w:type="dxa"/>
          <w:tblLayout w:type="fixed"/>
          <w:tblCellMar>
            <w:top w:w="0" w:type="dxa"/>
            <w:left w:w="108" w:type="dxa"/>
            <w:bottom w:w="0" w:type="dxa"/>
            <w:right w:w="108" w:type="dxa"/>
          </w:tblCellMar>
        </w:tblPrEx>
        <w:trPr>
          <w:trHeight w:val="2286"/>
        </w:trPr>
        <w:tc>
          <w:tcPr>
            <w:tcW w:w="531" w:type="dxa"/>
            <w:vMerge w:val="restart"/>
            <w:tcBorders>
              <w:top w:val="single" w:sz="4" w:space="0" w:color="auto"/>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p>
        </w:tc>
        <w:tc>
          <w:tcPr>
            <w:tcW w:w="647" w:type="dxa"/>
            <w:vMerge w:val="restart"/>
            <w:tcBorders>
              <w:top w:val="single" w:sz="4" w:space="0" w:color="auto"/>
              <w:left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bCs/>
                <w:kern w:val="2"/>
                <w:sz w:val="21"/>
                <w:szCs w:val="21"/>
                <w:lang w:eastAsia="zh-CN"/>
              </w:rPr>
              <w:t>内镜清洗消毒工作站</w:t>
            </w: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胃肠镜清洗流程应由清洗槽、漂洗槽、浸泡消毒槽、终末漂洗槽、干燥台组成，整体采用防泛水设计，采用前高后低的大圆弧防泛水设计，槽面向内侧倾斜低于3度，前端高于后端4厘米；工作站功能槽及功能背板采用改性PMMA-ABS高分子复合材料板材高温一次吸塑成型，PMMA-ABS板材须根据医药行业标准要求进行耐腐蚀性测试，在1%NaOH溶液中浸泡≥48小时无可视变化，在5%H2SO4溶液中浸泡≥48小时无可视变化</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737"/>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2</w:t>
            </w:r>
            <w:r>
              <w:rPr>
                <w:rFonts w:ascii="仿宋_GB2312" w:eastAsia="仿宋_GB2312" w:hAnsi="仿宋_GB2312" w:cs="仿宋_GB2312" w:hint="eastAsia"/>
                <w:b/>
                <w:bCs/>
                <w:color w:val="FF0000"/>
                <w:kern w:val="2"/>
                <w:sz w:val="21"/>
                <w:szCs w:val="21"/>
                <w:lang w:eastAsia="zh-CN"/>
              </w:rPr>
              <w:t>.▲清洗槽大小满足科室内镜清洗需求，洗手池外尺寸长≥500mm×≥宽760mm，嵌入一体式超声波槽外尺寸长≥500mm×宽≥760mm，双方槽外尺寸长≥1315mm×宽≥760mm，单方槽外尺寸长≥685mm×宽≥760mm，胃肠镜干燥台要根据现场情况定制，主体配置及尺寸须符合以上要求，尺寸误差必须控制在±5mm内。（提供符合上述尺寸要求的平面布局图佐证）</w:t>
            </w:r>
          </w:p>
        </w:tc>
      </w:tr>
      <w:tr>
        <w:tblPrEx>
          <w:tblW w:w="5000" w:type="pct"/>
          <w:tblInd w:w="0" w:type="dxa"/>
          <w:tblLayout w:type="fixed"/>
          <w:tblCellMar>
            <w:top w:w="0" w:type="dxa"/>
            <w:left w:w="108" w:type="dxa"/>
            <w:bottom w:w="0" w:type="dxa"/>
            <w:right w:w="108" w:type="dxa"/>
          </w:tblCellMar>
        </w:tblPrEx>
        <w:trPr>
          <w:trHeight w:val="87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3</w:t>
            </w:r>
            <w:r>
              <w:rPr>
                <w:rFonts w:ascii="仿宋_GB2312" w:eastAsia="仿宋_GB2312" w:hAnsi="仿宋_GB2312" w:cs="仿宋_GB2312" w:hint="eastAsia"/>
                <w:color w:val="000000"/>
                <w:kern w:val="2"/>
                <w:sz w:val="21"/>
                <w:szCs w:val="21"/>
                <w:lang w:eastAsia="zh-CN"/>
              </w:rPr>
              <w:t>.全不锈钢高压水气枪：材质采用304#不锈钢一次型铸造成型，内镜清洗专嘴锥型喷头，中端采用橡胶垫可防止吹管腔或吹内镜的注水注气孔时气会反弹，不对内镜接口造成磨损。</w:t>
            </w:r>
          </w:p>
        </w:tc>
      </w:tr>
      <w:tr>
        <w:tblPrEx>
          <w:tblW w:w="5000" w:type="pct"/>
          <w:tblInd w:w="0" w:type="dxa"/>
          <w:tblLayout w:type="fixed"/>
          <w:tblCellMar>
            <w:top w:w="0" w:type="dxa"/>
            <w:left w:w="108" w:type="dxa"/>
            <w:bottom w:w="0" w:type="dxa"/>
            <w:right w:w="108" w:type="dxa"/>
          </w:tblCellMar>
        </w:tblPrEx>
        <w:trPr>
          <w:trHeight w:val="84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4</w:t>
            </w:r>
            <w:r>
              <w:rPr>
                <w:rFonts w:ascii="仿宋_GB2312" w:eastAsia="仿宋_GB2312" w:hAnsi="仿宋_GB2312" w:cs="仿宋_GB2312" w:hint="eastAsia"/>
                <w:b/>
                <w:bCs/>
                <w:color w:val="FF0000"/>
                <w:kern w:val="2"/>
                <w:sz w:val="21"/>
                <w:szCs w:val="21"/>
                <w:lang w:eastAsia="zh-CN"/>
              </w:rPr>
              <w:t>.吊柜开门方式采用平行开门设计，吊柜与触摸屏一体化设计，功能背板应集成无闪烁LED照明系统</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81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5</w:t>
            </w:r>
            <w:r>
              <w:rPr>
                <w:rFonts w:ascii="仿宋_GB2312" w:eastAsia="仿宋_GB2312" w:hAnsi="仿宋_GB2312" w:cs="仿宋_GB2312" w:hint="eastAsia"/>
                <w:color w:val="000000"/>
                <w:kern w:val="2"/>
                <w:sz w:val="21"/>
                <w:szCs w:val="21"/>
                <w:lang w:eastAsia="zh-CN"/>
              </w:rPr>
              <w:t>.中心气体处理器：为灌流和气枪调节恒定的气压，气压调节范围0～0.75Mpa，分离空气中的水分及其它杂质，可以拆装清洗</w:t>
            </w:r>
            <w:r>
              <w:rPr>
                <w:rFonts w:ascii="仿宋_GB2312" w:eastAsia="仿宋_GB2312" w:hAnsi="仿宋_GB2312" w:cs="仿宋_GB2312" w:hint="eastAsia"/>
                <w:color w:val="000000"/>
                <w:kern w:val="2"/>
                <w:sz w:val="21"/>
                <w:szCs w:val="21"/>
                <w:lang w:eastAsia="zh-CN"/>
              </w:rPr>
              <w:t>，</w:t>
            </w:r>
            <w:r>
              <w:rPr>
                <w:rFonts w:ascii="仿宋_GB2312" w:eastAsia="仿宋_GB2312" w:hAnsi="仿宋_GB2312" w:cs="仿宋_GB2312" w:hint="eastAsia"/>
                <w:color w:val="000000"/>
                <w:kern w:val="2"/>
                <w:sz w:val="21"/>
                <w:szCs w:val="21"/>
                <w:lang w:eastAsia="zh-CN"/>
              </w:rPr>
              <w:t>不损伤昂贵的内镜，无耗材、免维护、免清洗。</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6</w:t>
            </w:r>
            <w:r>
              <w:rPr>
                <w:rFonts w:ascii="仿宋_GB2312" w:eastAsia="仿宋_GB2312" w:hAnsi="仿宋_GB2312" w:cs="仿宋_GB2312" w:hint="eastAsia"/>
                <w:b/>
                <w:bCs/>
                <w:color w:val="FF0000"/>
                <w:kern w:val="2"/>
                <w:sz w:val="21"/>
                <w:szCs w:val="21"/>
                <w:lang w:eastAsia="zh-CN"/>
              </w:rPr>
              <w:t>.全优质SUS304不锈钢材质水龙头，水龙头需要实时显示水温</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p>
            <w:pPr>
              <w:widowControl w:val="0"/>
              <w:spacing w:after="160" w:line="259" w:lineRule="auto"/>
              <w:jc w:val="both"/>
              <w:rPr>
                <w:rFonts w:ascii="仿宋_GB2312" w:eastAsia="仿宋_GB2312" w:hAnsi="仿宋_GB2312" w:cs="仿宋_GB2312"/>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26"/>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7</w:t>
            </w:r>
            <w:r>
              <w:rPr>
                <w:rFonts w:ascii="仿宋_GB2312" w:eastAsia="仿宋_GB2312" w:hAnsi="仿宋_GB2312" w:cs="仿宋_GB2312" w:hint="eastAsia"/>
                <w:color w:val="000000"/>
                <w:kern w:val="2"/>
                <w:sz w:val="21"/>
                <w:szCs w:val="21"/>
                <w:lang w:eastAsia="zh-CN"/>
              </w:rPr>
              <w:t>.消毒液槽采用电动翻盖功能，可通过人机界面或脚踢开关实现消毒槽槽盖的打开和关闭，无需用手拿取槽盖。</w:t>
            </w:r>
          </w:p>
        </w:tc>
      </w:tr>
      <w:tr>
        <w:tblPrEx>
          <w:tblW w:w="5000" w:type="pct"/>
          <w:tblInd w:w="0" w:type="dxa"/>
          <w:tblLayout w:type="fixed"/>
          <w:tblCellMar>
            <w:top w:w="0" w:type="dxa"/>
            <w:left w:w="108" w:type="dxa"/>
            <w:bottom w:w="0" w:type="dxa"/>
            <w:right w:w="108" w:type="dxa"/>
          </w:tblCellMar>
        </w:tblPrEx>
        <w:trPr>
          <w:trHeight w:val="926"/>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color w:val="FF0000"/>
                <w:kern w:val="2"/>
                <w:sz w:val="21"/>
                <w:szCs w:val="21"/>
                <w:lang w:eastAsia="zh-CN"/>
              </w:rPr>
              <w:t>8</w:t>
            </w:r>
            <w:r>
              <w:rPr>
                <w:rFonts w:ascii="仿宋_GB2312" w:eastAsia="仿宋_GB2312" w:hAnsi="仿宋_GB2312" w:cs="仿宋_GB2312" w:hint="eastAsia"/>
                <w:color w:val="FF0000"/>
                <w:kern w:val="2"/>
                <w:sz w:val="21"/>
                <w:szCs w:val="21"/>
                <w:lang w:eastAsia="zh-CN"/>
              </w:rPr>
              <w:t>.一体式嵌入式超声波清洗机采用和清洗槽一体式安装，超声频率40KHz，清洗槽有效容积≥10L，</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说明书或技术白皮书，证明超声槽为该工作站结构及组成的法定部件</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889"/>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9</w:t>
            </w:r>
            <w:r>
              <w:rPr>
                <w:rFonts w:ascii="仿宋_GB2312" w:eastAsia="仿宋_GB2312" w:hAnsi="仿宋_GB2312" w:cs="仿宋_GB2312" w:hint="eastAsia"/>
                <w:color w:val="000000"/>
                <w:kern w:val="2"/>
                <w:sz w:val="21"/>
                <w:szCs w:val="21"/>
                <w:lang w:eastAsia="zh-CN"/>
              </w:rPr>
              <w:t xml:space="preserve">.医生洗手池采用改性PMMA高分子材料，用模具高温一次成型和清洗槽自然成为一体，非其它材质和款式，感应式水龙头，水龙头可以洗手和洗眼两用。 </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0</w:t>
            </w:r>
            <w:r>
              <w:rPr>
                <w:rFonts w:ascii="仿宋_GB2312" w:eastAsia="仿宋_GB2312" w:hAnsi="仿宋_GB2312" w:cs="仿宋_GB2312" w:hint="eastAsia"/>
                <w:color w:val="000000"/>
                <w:kern w:val="2"/>
                <w:sz w:val="21"/>
                <w:szCs w:val="21"/>
                <w:lang w:eastAsia="zh-CN"/>
              </w:rPr>
              <w:t>.酶液自动配器采用微电脑芯片控制，通过面板操作实现了定时自动加酶功能自动按照设定比例进行酶液和水的配比，酶液配比比例可调，配比精度≤0.01ml。</w:t>
            </w:r>
          </w:p>
        </w:tc>
      </w:tr>
      <w:tr>
        <w:tblPrEx>
          <w:tblW w:w="5000" w:type="pct"/>
          <w:tblInd w:w="0" w:type="dxa"/>
          <w:tblLayout w:type="fixed"/>
          <w:tblCellMar>
            <w:top w:w="0" w:type="dxa"/>
            <w:left w:w="108" w:type="dxa"/>
            <w:bottom w:w="0" w:type="dxa"/>
            <w:right w:w="108" w:type="dxa"/>
          </w:tblCellMar>
        </w:tblPrEx>
        <w:trPr>
          <w:trHeight w:val="108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.内镜测漏系统和清洗槽结合成为一体，隐藏式主机设计，操作面板固定于背板，测量精度为0.01kPa，测试时间30s～240s ，测试压差0kPa～5kPa，软式内镜通入不大于0.03MPa空气时，若产生泄漏，泄漏检测装置能提供声讯信号。</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2</w:t>
            </w:r>
            <w:r>
              <w:rPr>
                <w:rFonts w:ascii="仿宋_GB2312" w:eastAsia="仿宋_GB2312" w:hAnsi="仿宋_GB2312" w:cs="仿宋_GB2312" w:hint="eastAsia"/>
                <w:b/>
                <w:bCs/>
                <w:color w:val="FF0000"/>
                <w:kern w:val="2"/>
                <w:sz w:val="21"/>
                <w:szCs w:val="21"/>
                <w:lang w:eastAsia="zh-CN"/>
              </w:rPr>
              <w:t>.▲气体消毒洁净处理器采用微电脑控制系统，符合最新内镜最近管理规范提供医疗级汽源供应保证气体干燥洁净度，经洁净气源处理后的输出气体菌落总数&lt;1cfu/m3，多级过滤，可滤除小至0.01μm的液体及固态颗粒，最低残留含油量及PM仅0.01mg/m³，且去除率小于93%。（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3</w:t>
            </w:r>
            <w:r>
              <w:rPr>
                <w:rFonts w:ascii="仿宋_GB2312" w:eastAsia="仿宋_GB2312" w:hAnsi="仿宋_GB2312" w:cs="仿宋_GB2312" w:hint="eastAsia"/>
                <w:b/>
                <w:bCs/>
                <w:color w:val="FF0000"/>
                <w:kern w:val="2"/>
                <w:sz w:val="21"/>
                <w:szCs w:val="21"/>
                <w:lang w:eastAsia="zh-CN"/>
              </w:rPr>
              <w:t>.▲内镜吹干酒精灌流一体机需具有≥2种干燥方式，一机至少包含酒精灌流干燥及吹气干燥两种干燥模式，能够同时对≥3条软式内镜进行干燥处理，本设备可以嵌入清洗工作站干燥台背板上，能够设置各通道干燥参数数值，可设置最高和最低吹气压力，能够设置吹气时间、酒精灌流时间等</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说明书或技术白皮书，佐证上述2种干燥方式及≥3条内镜同时处理的核心性能）</w:t>
            </w:r>
          </w:p>
        </w:tc>
      </w:tr>
      <w:tr>
        <w:tblPrEx>
          <w:tblW w:w="5000" w:type="pct"/>
          <w:tblInd w:w="0" w:type="dxa"/>
          <w:tblLayout w:type="fixed"/>
          <w:tblCellMar>
            <w:top w:w="0" w:type="dxa"/>
            <w:left w:w="108" w:type="dxa"/>
            <w:bottom w:w="0" w:type="dxa"/>
            <w:right w:w="108" w:type="dxa"/>
          </w:tblCellMar>
        </w:tblPrEx>
        <w:trPr>
          <w:trHeight w:val="90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4</w:t>
            </w:r>
            <w:r>
              <w:rPr>
                <w:rFonts w:ascii="仿宋_GB2312" w:eastAsia="仿宋_GB2312" w:hAnsi="仿宋_GB2312" w:cs="仿宋_GB2312" w:hint="eastAsia"/>
                <w:color w:val="000000"/>
                <w:kern w:val="2"/>
                <w:sz w:val="21"/>
                <w:szCs w:val="21"/>
                <w:lang w:eastAsia="zh-CN"/>
              </w:rPr>
              <w:t>.自动排液系统采用不锈钢微型电动球阀，体积小重量轻，具有良好的流量调节功效和封闭密封特性；面板控制电动球阀排水，通过面板控制电动球阀的开合来控制排液，有效的防止手动排水时手对槽内内镜造成的二次污染。</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5</w:t>
            </w:r>
            <w:r>
              <w:rPr>
                <w:rFonts w:ascii="仿宋_GB2312" w:eastAsia="仿宋_GB2312" w:hAnsi="仿宋_GB2312" w:cs="仿宋_GB2312" w:hint="eastAsia"/>
                <w:color w:val="000000"/>
                <w:kern w:val="2"/>
                <w:sz w:val="21"/>
                <w:szCs w:val="21"/>
                <w:lang w:eastAsia="zh-CN"/>
              </w:rPr>
              <w:t>.供电线路根据整套系统负荷设计，所有供电系统都经过漏电和负载保险开关，强电和弱电线路错开，且强电有双重绝缘保护和接地保护开关和插座都有防水保护。</w:t>
            </w:r>
          </w:p>
        </w:tc>
      </w:tr>
      <w:tr>
        <w:tblPrEx>
          <w:tblW w:w="5000" w:type="pct"/>
          <w:tblInd w:w="0" w:type="dxa"/>
          <w:tblLayout w:type="fixed"/>
          <w:tblCellMar>
            <w:top w:w="0" w:type="dxa"/>
            <w:left w:w="108" w:type="dxa"/>
            <w:bottom w:w="0" w:type="dxa"/>
            <w:right w:w="108" w:type="dxa"/>
          </w:tblCellMar>
        </w:tblPrEx>
        <w:trPr>
          <w:trHeight w:val="628"/>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6</w:t>
            </w:r>
            <w:r>
              <w:rPr>
                <w:rFonts w:ascii="仿宋_GB2312" w:eastAsia="仿宋_GB2312" w:hAnsi="仿宋_GB2312" w:cs="仿宋_GB2312" w:hint="eastAsia"/>
                <w:b/>
                <w:bCs/>
                <w:color w:val="FF0000"/>
                <w:kern w:val="2"/>
                <w:sz w:val="21"/>
                <w:szCs w:val="21"/>
                <w:lang w:eastAsia="zh-CN"/>
              </w:rPr>
              <w:t>.▲设计有效使用寿命≥八年</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提供与本次投标设备型号完全一致的设备机身铭牌，作为佐证材料。</w:t>
            </w:r>
          </w:p>
        </w:tc>
      </w:tr>
      <w:tr>
        <w:tblPrEx>
          <w:tblW w:w="5000" w:type="pct"/>
          <w:tblInd w:w="0" w:type="dxa"/>
          <w:tblLayout w:type="fixed"/>
          <w:tblCellMar>
            <w:top w:w="0" w:type="dxa"/>
            <w:left w:w="108" w:type="dxa"/>
            <w:bottom w:w="0" w:type="dxa"/>
            <w:right w:w="108" w:type="dxa"/>
          </w:tblCellMar>
        </w:tblPrEx>
        <w:trPr>
          <w:trHeight w:val="312"/>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7164" w:type="dxa"/>
            <w:tcBorders>
              <w:top w:val="single" w:sz="4" w:space="0" w:color="auto"/>
              <w:left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★配置清单</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双方槽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12组</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单方槽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2个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3</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嵌入一体式超声波槽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1个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4</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洗手洗眼槽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1个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5</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根据场地时间尺寸定制干燥台</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5个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6   功能背板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7   跟背板一样长度的一体功能吊柜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8   嵌入式超声波清洗机                  1台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9   酶液自动配比系统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10  气体消毒洁净处理器                  2套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11  内镜侧漏系统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12  酒精灌流内镜吹干一体机              2台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13  电动自动翻盖                        8套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14  中心气体处理器                      4套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15  水气枪                              30把</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16  自动灌流器                          26套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17  快速接头                            26套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 xml:space="preserve">18  安全用电变电系统                    3套 </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19  照明系统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20  给排水管路                          各6套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21  带温度显示功能的转折式不锈钢水龙头  13套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22  进水自动控制水源电磁控制阀          6套</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color w:val="000000"/>
                <w:kern w:val="2"/>
                <w:sz w:val="21"/>
                <w:szCs w:val="21"/>
                <w:lang w:eastAsia="zh-CN"/>
              </w:rPr>
              <w:t>23  自动排水电磁控制阀                  16套</w:t>
            </w:r>
          </w:p>
        </w:tc>
      </w:tr>
      <w:tr>
        <w:tblPrEx>
          <w:tblW w:w="5000" w:type="pct"/>
          <w:tblInd w:w="0" w:type="dxa"/>
          <w:tblLayout w:type="fixed"/>
          <w:tblCellMar>
            <w:top w:w="0" w:type="dxa"/>
            <w:left w:w="108" w:type="dxa"/>
            <w:bottom w:w="0" w:type="dxa"/>
            <w:right w:w="108" w:type="dxa"/>
          </w:tblCellMar>
        </w:tblPrEx>
        <w:trPr>
          <w:trHeight w:val="385"/>
        </w:trPr>
        <w:tc>
          <w:tcPr>
            <w:tcW w:w="531" w:type="dxa"/>
            <w:vMerge w:val="restart"/>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w:t>
            </w:r>
          </w:p>
        </w:tc>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 xml:space="preserve">内镜追溯管理系统 </w:t>
            </w: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1.采用成熟的 RFID 射频技术，组建内镜中心物联网网络，形成全流程闭环追溯，RFID 芯片防水耐腐蚀，可长期复用。</w:t>
            </w:r>
          </w:p>
        </w:tc>
      </w:tr>
      <w:tr>
        <w:tblPrEx>
          <w:tblW w:w="5000" w:type="pct"/>
          <w:tblInd w:w="0" w:type="dxa"/>
          <w:tblLayout w:type="fixed"/>
          <w:tblCellMar>
            <w:top w:w="0" w:type="dxa"/>
            <w:left w:w="108" w:type="dxa"/>
            <w:bottom w:w="0" w:type="dxa"/>
            <w:right w:w="108" w:type="dxa"/>
          </w:tblCellMar>
        </w:tblPrEx>
        <w:trPr>
          <w:trHeight w:val="53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2.系统结构灵活，支持独立服务器和共享服务器模式，服务器自动备份、客户端自动更新；系统具有扩展性和兼容性，不受清洗槽及流程和自动清洗机数量的限制。</w:t>
            </w:r>
          </w:p>
        </w:tc>
      </w:tr>
      <w:tr>
        <w:tblPrEx>
          <w:tblW w:w="5000" w:type="pct"/>
          <w:tblInd w:w="0" w:type="dxa"/>
          <w:tblLayout w:type="fixed"/>
          <w:tblCellMar>
            <w:top w:w="0" w:type="dxa"/>
            <w:left w:w="108" w:type="dxa"/>
            <w:bottom w:w="0" w:type="dxa"/>
            <w:right w:w="108" w:type="dxa"/>
          </w:tblCellMar>
        </w:tblPrEx>
        <w:trPr>
          <w:trHeight w:val="1264"/>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3.在第三方清洗机厂家开放接口的前提下，实现自动采集设备数据及监控设备运行，支持</w:t>
            </w:r>
            <w:r>
              <w:rPr>
                <w:rFonts w:ascii="仿宋_GB2312" w:eastAsia="仿宋_GB2312" w:hAnsi="仿宋_GB2312" w:cs="仿宋_GB2312" w:hint="eastAsia"/>
                <w:color w:val="000000"/>
                <w:kern w:val="2"/>
                <w:sz w:val="21"/>
                <w:szCs w:val="21"/>
                <w:lang w:eastAsia="zh-CN"/>
              </w:rPr>
              <w:t>与</w:t>
            </w:r>
            <w:r>
              <w:rPr>
                <w:rFonts w:ascii="仿宋_GB2312" w:eastAsia="仿宋_GB2312" w:hAnsi="仿宋_GB2312" w:cs="仿宋_GB2312" w:hint="eastAsia"/>
                <w:color w:val="000000"/>
                <w:kern w:val="2"/>
                <w:sz w:val="21"/>
                <w:szCs w:val="21"/>
                <w:lang w:eastAsia="zh-CN"/>
              </w:rPr>
              <w:t>医院 HIS、PACS 系统融合，实现系统间的互联互通和数据共享，万级数据秒级同步，追溯系统的时间为内镜清洗工作站运行的实际注气、注液时间，为真实清洗数据，非虚拟信号。</w:t>
            </w:r>
          </w:p>
        </w:tc>
      </w:tr>
      <w:tr>
        <w:tblPrEx>
          <w:tblW w:w="5000" w:type="pct"/>
          <w:tblInd w:w="0" w:type="dxa"/>
          <w:tblLayout w:type="fixed"/>
          <w:tblCellMar>
            <w:top w:w="0" w:type="dxa"/>
            <w:left w:w="108" w:type="dxa"/>
            <w:bottom w:w="0" w:type="dxa"/>
            <w:right w:w="108" w:type="dxa"/>
          </w:tblCellMar>
        </w:tblPrEx>
        <w:trPr>
          <w:trHeight w:val="44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4.各清洗流程，系统自动监控、智能感知、自动记录、无需人为操作，对所有的操作进行追踪、记录、分类、统计，并在一个工作平台进行展示。</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5.▲采用专用语音提示装置，所有流程操作语音提示，异常操作自动给予预警，采用阳性病人使用预警、未达到规定清洗时间拿出预警、使用前消毒不合格内镜预警的三重预警，防范感染风险（提供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6.▲可监测消毒液名称、消毒液使用次数，监测次数，消毒液浓度、操作时间、操作人员等与消毒液有关的信息；可对内镜中心使用的耗材出入库管理、材料盘点、库存查询等功能。可对内镜的终身进行登记管理，记录内镜的购入，维修，维修故障信息，维修操作信息（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74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7.提供内镜中心各工作区域或各工作流程工作量、效率值、内镜使用情况的统计数据；提供链式关联追溯，内镜使用病人可通过该链向上对使用此内镜的病人进行追溯。</w:t>
            </w:r>
          </w:p>
        </w:tc>
      </w:tr>
      <w:tr>
        <w:tblPrEx>
          <w:tblW w:w="5000" w:type="pct"/>
          <w:tblInd w:w="0" w:type="dxa"/>
          <w:tblLayout w:type="fixed"/>
          <w:tblCellMar>
            <w:top w:w="0" w:type="dxa"/>
            <w:left w:w="108" w:type="dxa"/>
            <w:bottom w:w="0" w:type="dxa"/>
            <w:right w:w="108" w:type="dxa"/>
          </w:tblCellMar>
        </w:tblPrEx>
        <w:trPr>
          <w:trHeight w:val="68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8.每套系统支持客户端同时访问数量和工作站数量大幅提升，避免出现卡顿和延时现象。洗消数据批量导出和查询响应时间更短，用户体验更佳。</w:t>
            </w:r>
          </w:p>
        </w:tc>
      </w:tr>
      <w:tr>
        <w:tblPrEx>
          <w:tblW w:w="5000" w:type="pct"/>
          <w:tblInd w:w="0" w:type="dxa"/>
          <w:tblLayout w:type="fixed"/>
          <w:tblCellMar>
            <w:top w:w="0" w:type="dxa"/>
            <w:left w:w="108" w:type="dxa"/>
            <w:bottom w:w="0" w:type="dxa"/>
            <w:right w:w="108" w:type="dxa"/>
          </w:tblCellMar>
        </w:tblPrEx>
        <w:trPr>
          <w:trHeight w:val="70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9.系统界面更为简洁、智能、人性化，提供可视化的流程状态实时显示，清洗过程一目了然。</w:t>
            </w:r>
          </w:p>
        </w:tc>
      </w:tr>
      <w:tr>
        <w:tblPrEx>
          <w:tblW w:w="5000" w:type="pct"/>
          <w:tblInd w:w="0" w:type="dxa"/>
          <w:tblLayout w:type="fixed"/>
          <w:tblCellMar>
            <w:top w:w="0" w:type="dxa"/>
            <w:left w:w="108" w:type="dxa"/>
            <w:bottom w:w="0" w:type="dxa"/>
            <w:right w:w="108" w:type="dxa"/>
          </w:tblCellMar>
        </w:tblPrEx>
        <w:trPr>
          <w:trHeight w:val="5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10.消毒液监测：消毒液更换、使用次数、浓度的监测结果登记；监测记录针对内镜、洗消槽的消毒进行监测记录及统计</w:t>
            </w:r>
          </w:p>
        </w:tc>
      </w:tr>
      <w:tr>
        <w:tblPrEx>
          <w:tblW w:w="5000" w:type="pct"/>
          <w:tblInd w:w="0" w:type="dxa"/>
          <w:tblLayout w:type="fixed"/>
          <w:tblCellMar>
            <w:top w:w="0" w:type="dxa"/>
            <w:left w:w="108" w:type="dxa"/>
            <w:bottom w:w="0" w:type="dxa"/>
            <w:right w:w="108" w:type="dxa"/>
          </w:tblCellMar>
        </w:tblPrEx>
        <w:trPr>
          <w:trHeight w:val="57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11.▲工作流程包括：测漏、清洗、漂洗、浸泡、末洗、干燥等环节、并支持流程名称自定义；支持内镜二次洗消记录，支持设定超过规定存放时间自动进行二次洗消提醒；系统自动识别或维护阳性病人、肿瘤活检后及HIV 检查呈阳性的病人使用内镜，系统自动切换到特殊清洗作业模式，且语音实时提醒清洗作业人员注意严格操作；系统可根据不同类型内镜，不同洗消流程提供可配置工作流程；支持设定消毒液使用时长提醒和过期报警功能，在工作台界面进行自动提醒支持。（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2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12.提供可视化的流程状态实时显示，标准化的流程操作提示，系统支持各个环节异常操作系统实时记录，支持手动进行流程环节异常情况登记，支持根据国家规范每天最后使用的内镜进行完结清洗，并进行语言提示</w:t>
            </w:r>
          </w:p>
        </w:tc>
      </w:tr>
      <w:tr>
        <w:tblPrEx>
          <w:tblW w:w="5000" w:type="pct"/>
          <w:tblInd w:w="0" w:type="dxa"/>
          <w:tblLayout w:type="fixed"/>
          <w:tblCellMar>
            <w:top w:w="0" w:type="dxa"/>
            <w:left w:w="108" w:type="dxa"/>
            <w:bottom w:w="0" w:type="dxa"/>
            <w:right w:w="108" w:type="dxa"/>
          </w:tblCellMar>
        </w:tblPrEx>
        <w:trPr>
          <w:trHeight w:val="66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 xml:space="preserve">13.预置各用户角色（医生、护士、洗消人员、系统管理员）权限，权限模块化，提供信息录入管理及RFID卡的绑定功能； </w:t>
            </w:r>
          </w:p>
        </w:tc>
      </w:tr>
      <w:tr>
        <w:tblPrEx>
          <w:tblW w:w="5000" w:type="pct"/>
          <w:tblInd w:w="0" w:type="dxa"/>
          <w:tblLayout w:type="fixed"/>
          <w:tblCellMar>
            <w:top w:w="0" w:type="dxa"/>
            <w:left w:w="108" w:type="dxa"/>
            <w:bottom w:w="0" w:type="dxa"/>
            <w:right w:w="108" w:type="dxa"/>
          </w:tblCellMar>
        </w:tblPrEx>
        <w:trPr>
          <w:trHeight w:val="603"/>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14.▲各流程环节洗消人员工作量统计，洗消数据和使用数据统计和环比数据分析，病人使用检查详细记录查询，清洗和使用记录查询，支持批量到处Excel文件工作明细统计。各流程环节详细工作量统计、质量分析、效率分析数据，支持按条件组合查询。（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78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15.支持病人使用的内镜使用前和使用后的内镜洗消过程明细查询，可对内镜历次循环信息进行前后关联，显示每个循环过程内镜的消毒和使用信息感染追溯；支持对洗消流程进行追溯，找出与感染最可疑的流程点，进行优化患者追溯，可追溯患者在院内使用过的历次内镜信息、使用时间、检查医生及相关清洗消毒信息；支持操作人员所有洗消记录，洗消结果、异常情况详细追溯</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设备追溯；支持追溯清洗工作站，全自动清洗机设备使用次数，历次使用设备详细运行参数等信息。</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r>
              <w:rPr>
                <w:rFonts w:ascii="仿宋_GB2312" w:eastAsia="仿宋_GB2312" w:hAnsi="仿宋_GB2312" w:cs="仿宋_GB2312" w:hint="eastAsia"/>
                <w:color w:val="000000"/>
                <w:kern w:val="2"/>
                <w:sz w:val="21"/>
                <w:szCs w:val="21"/>
                <w:lang w:eastAsia="zh-CN"/>
              </w:rPr>
              <w:t>16.系统支持与医院 HIS、PACS 等系统进行对接获取患者信息关联病人，非接口情况下，系统提供病人信息录入，关联内镜实现内镜信息与病人信息的关联，阳性病人，使用端可以进行记录并保存，使用端可直接查看内镜在清洗环节各个流程的清洗记录及清洗结果是否合格。</w:t>
            </w:r>
          </w:p>
        </w:tc>
      </w:tr>
      <w:tr>
        <w:tblPrEx>
          <w:tblW w:w="5000" w:type="pct"/>
          <w:tblInd w:w="0" w:type="dxa"/>
          <w:tblLayout w:type="fixed"/>
          <w:tblCellMar>
            <w:top w:w="0" w:type="dxa"/>
            <w:left w:w="108" w:type="dxa"/>
            <w:bottom w:w="0" w:type="dxa"/>
            <w:right w:w="108" w:type="dxa"/>
          </w:tblCellMar>
        </w:tblPrEx>
        <w:trPr>
          <w:trHeight w:val="102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17.▲支持耗材名称、种类、规格、有效期、供应商维护管理；支持耗材入库登记及入库记录查询功能，支持耗材出库登记及出库记录查询，支持耗材库存盘点及盘点记录查询（提供系统操作界面截图，需清晰佐证上述耗材信息维护、入库/出库登记及查询、库存盘点及查询等核心功能的实际可用性）。</w:t>
            </w: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18.系统预置多种用户角色权限，支持精细化模块权限管理，支持自定义角色功能，可由用户自行定义角色，并且分配自定义角色的明细权限；支持内镜名称、内镜种类、内镜型号、内镜编号维护管理，并支持内镜清洗流程配置；支持镜柜名称、房间号维护管理，系统基数数据管理，知识库管理，操作日志等后台操作模块管理；支持不同使用病人，不同类型内镜洗消流程自定义化配置，</w:t>
            </w:r>
          </w:p>
        </w:tc>
      </w:tr>
      <w:tr>
        <w:tblPrEx>
          <w:tblW w:w="5000" w:type="pct"/>
          <w:tblInd w:w="0" w:type="dxa"/>
          <w:tblLayout w:type="fixed"/>
          <w:tblCellMar>
            <w:top w:w="0" w:type="dxa"/>
            <w:left w:w="108" w:type="dxa"/>
            <w:bottom w:w="0" w:type="dxa"/>
            <w:right w:w="108" w:type="dxa"/>
          </w:tblCellMar>
        </w:tblPrEx>
        <w:trPr>
          <w:trHeight w:val="39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19.内镜工作站的新增洗消流程配置功能，可实时显示每个点位的工作状态，在第三方清洗机厂家开放接口的前提下，支持硬件对接。可实时显示内镜存储柜的温度、湿度、压差和内镜存储数量、存储明细等信息，支持出入柜记录的查看。内镜信息的录入和管理，支持查看内镜实时状态和内镜使用总次数。</w:t>
            </w:r>
          </w:p>
        </w:tc>
      </w:tr>
      <w:tr>
        <w:tblPrEx>
          <w:tblW w:w="5000" w:type="pct"/>
          <w:tblInd w:w="0" w:type="dxa"/>
          <w:tblLayout w:type="fixed"/>
          <w:tblCellMar>
            <w:top w:w="0" w:type="dxa"/>
            <w:left w:w="108" w:type="dxa"/>
            <w:bottom w:w="0" w:type="dxa"/>
            <w:right w:w="108" w:type="dxa"/>
          </w:tblCellMar>
        </w:tblPrEx>
        <w:trPr>
          <w:trHeight w:val="39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20.大屏展示内容：内镜洗消信息实时显示，内镜使用总数概览、使用量排名。内镜使用和洗消量图表统计和展示，洗消程序偏好统计等功能。实时显示工作站当天的洗消数据、内镜状态、工作站和储镜柜的设备状态和温湿度、压差等信息。设备数量信息概览实时显示每个监测点位的当前温度、湿度数据和每个点位的温湿度变化曲线。</w:t>
            </w:r>
          </w:p>
        </w:tc>
      </w:tr>
      <w:tr>
        <w:tblPrEx>
          <w:tblW w:w="5000" w:type="pct"/>
          <w:tblInd w:w="0" w:type="dxa"/>
          <w:tblLayout w:type="fixed"/>
          <w:tblCellMar>
            <w:top w:w="0" w:type="dxa"/>
            <w:left w:w="108" w:type="dxa"/>
            <w:bottom w:w="0" w:type="dxa"/>
            <w:right w:w="108" w:type="dxa"/>
          </w:tblCellMar>
        </w:tblPrEx>
        <w:trPr>
          <w:trHeight w:val="3082"/>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7164"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★配置清单</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追</w:t>
            </w:r>
            <w:r>
              <w:rPr>
                <w:rFonts w:ascii="仿宋_GB2312" w:eastAsia="仿宋_GB2312" w:hAnsi="仿宋_GB2312" w:cs="仿宋_GB2312" w:hint="eastAsia"/>
                <w:bCs/>
                <w:kern w:val="2"/>
                <w:sz w:val="21"/>
                <w:szCs w:val="21"/>
                <w:lang w:eastAsia="zh-CN"/>
              </w:rPr>
              <w:t>溯</w:t>
            </w:r>
            <w:r>
              <w:rPr>
                <w:rFonts w:ascii="仿宋_GB2312" w:eastAsia="仿宋_GB2312" w:hAnsi="仿宋_GB2312" w:cs="仿宋_GB2312" w:hint="eastAsia"/>
                <w:color w:val="000000"/>
                <w:kern w:val="2"/>
                <w:sz w:val="21"/>
                <w:szCs w:val="21"/>
                <w:lang w:eastAsia="zh-CN"/>
              </w:rPr>
              <w:t>管理软件                    3套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工作站主机                      3台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医用显示器                      3台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医用显示屏                      1台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摄像头                          3个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路由器                          3个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内镜机身读卡器                  100个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人员ID读卡器                   50个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槽内读卡器                      40个</w:t>
            </w:r>
          </w:p>
        </w:tc>
      </w:tr>
    </w:tbl>
    <w:p>
      <w:pPr>
        <w:widowControl w:val="0"/>
        <w:spacing w:after="160" w:line="259" w:lineRule="auto"/>
        <w:jc w:val="both"/>
        <w:rPr>
          <w:rFonts w:eastAsia="宋体"/>
          <w:b/>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lang w:eastAsia="zh-CN"/>
        </w:rPr>
        <w:t>、评分时，如对一项招标商务要求（以划分框为准）中的内容存在两处（或以上）负偏离的，在评分时只作一项负偏离扣分。</w:t>
      </w:r>
    </w:p>
    <w:p>
      <w:pPr>
        <w:widowControl w:val="0"/>
        <w:spacing w:after="160" w:line="259" w:lineRule="auto"/>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1"/>
        <w:gridCol w:w="1701"/>
        <w:gridCol w:w="5730"/>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序号</w:t>
            </w:r>
          </w:p>
        </w:tc>
        <w:tc>
          <w:tcPr>
            <w:tcW w:w="175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目录</w:t>
            </w:r>
          </w:p>
        </w:tc>
        <w:tc>
          <w:tcPr>
            <w:tcW w:w="594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商务要求</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320"/>
        </w:trPr>
        <w:tc>
          <w:tcPr>
            <w:tcW w:w="1123" w:type="dxa"/>
            <w:vMerge w:val="restart"/>
            <w:tcBorders>
              <w:top w:val="single" w:sz="4" w:space="0" w:color="auto"/>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w:t>
            </w:r>
          </w:p>
        </w:tc>
        <w:tc>
          <w:tcPr>
            <w:tcW w:w="1757" w:type="dxa"/>
            <w:vMerge w:val="restart"/>
            <w:tcBorders>
              <w:top w:val="single" w:sz="4" w:space="0" w:color="auto"/>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维修响应及故障解决时间</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bCs/>
                <w:color w:val="000000"/>
                <w:kern w:val="2"/>
                <w:sz w:val="21"/>
                <w:szCs w:val="21"/>
                <w:lang w:eastAsia="zh-CN"/>
              </w:rPr>
              <w:t>1.1免费保修期内，一旦发生质量问题，中标人保证接到通知</w:t>
            </w:r>
            <w:r>
              <w:rPr>
                <w:rFonts w:ascii="仿宋_GB2312" w:eastAsia="仿宋_GB2312" w:hAnsi="仿宋_GB2312" w:cs="仿宋_GB2312" w:hint="eastAsia"/>
                <w:bCs/>
                <w:color w:val="000000"/>
                <w:kern w:val="2"/>
                <w:sz w:val="21"/>
                <w:szCs w:val="21"/>
                <w:u w:val="single"/>
                <w:lang w:eastAsia="zh-CN"/>
              </w:rPr>
              <w:t>后2</w:t>
            </w:r>
            <w:r>
              <w:rPr>
                <w:rFonts w:ascii="仿宋_GB2312" w:eastAsia="仿宋_GB2312" w:hAnsi="仿宋_GB2312" w:cs="仿宋_GB2312" w:hint="eastAsia"/>
                <w:bCs/>
                <w:color w:val="000000"/>
                <w:kern w:val="2"/>
                <w:sz w:val="21"/>
                <w:szCs w:val="21"/>
                <w:lang w:eastAsia="zh-CN"/>
              </w:rPr>
              <w:t>小时响应，</w:t>
            </w:r>
            <w:r>
              <w:rPr>
                <w:rFonts w:ascii="仿宋_GB2312" w:eastAsia="仿宋_GB2312" w:hAnsi="仿宋_GB2312" w:cs="仿宋_GB2312" w:hint="eastAsia"/>
                <w:bCs/>
                <w:color w:val="000000"/>
                <w:kern w:val="2"/>
                <w:sz w:val="21"/>
                <w:szCs w:val="21"/>
                <w:u w:val="single"/>
                <w:lang w:eastAsia="zh-CN"/>
              </w:rPr>
              <w:t>12</w:t>
            </w:r>
            <w:r>
              <w:rPr>
                <w:rFonts w:ascii="仿宋_GB2312" w:eastAsia="仿宋_GB2312" w:hAnsi="仿宋_GB2312" w:cs="仿宋_GB2312" w:hint="eastAsia"/>
                <w:bCs/>
                <w:color w:val="000000"/>
                <w:kern w:val="2"/>
                <w:sz w:val="21"/>
                <w:szCs w:val="21"/>
                <w:lang w:eastAsia="zh-CN"/>
              </w:rPr>
              <w:t>小时到场维修，无法现场完成维修的，需 24 小时内提供可使用的备用机替代，确保临床工作顺利进行。</w:t>
            </w:r>
          </w:p>
        </w:tc>
      </w:tr>
      <w:tr>
        <w:tblPrEx>
          <w:tblW w:w="5000" w:type="pct"/>
          <w:tblInd w:w="108" w:type="dxa"/>
          <w:tblLayout w:type="fixed"/>
          <w:tblCellMar>
            <w:top w:w="0" w:type="dxa"/>
            <w:left w:w="108" w:type="dxa"/>
            <w:bottom w:w="0" w:type="dxa"/>
            <w:right w:w="108" w:type="dxa"/>
          </w:tblCellMar>
        </w:tblPrEx>
        <w:trPr>
          <w:trHeight w:val="320"/>
        </w:trPr>
        <w:tc>
          <w:tcPr>
            <w:tcW w:w="112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color w:val="000000"/>
                <w:kern w:val="2"/>
                <w:sz w:val="21"/>
                <w:szCs w:val="21"/>
                <w:lang w:eastAsia="zh-CN"/>
              </w:rPr>
            </w:pPr>
            <w:r>
              <w:rPr>
                <w:rFonts w:ascii="仿宋_GB2312" w:eastAsia="仿宋_GB2312" w:hAnsi="仿宋_GB2312" w:cs="仿宋_GB2312" w:hint="eastAsia"/>
                <w:bCs/>
                <w:color w:val="000000"/>
                <w:kern w:val="2"/>
                <w:sz w:val="21"/>
                <w:szCs w:val="21"/>
                <w:lang w:eastAsia="zh-CN"/>
              </w:rPr>
              <w:t>1.2按需及时更换零配件，不需要更换配件的情况下4小时内修复；需要更换配件的情况下，按采购人要求提供备用机。单次故障停机修复时间不得超过3天，每超1天，顺延保修期3天。</w:t>
            </w:r>
          </w:p>
        </w:tc>
      </w:tr>
      <w:tr>
        <w:tblPrEx>
          <w:tblW w:w="5000" w:type="pct"/>
          <w:tblInd w:w="108" w:type="dxa"/>
          <w:tblLayout w:type="fixed"/>
          <w:tblCellMar>
            <w:top w:w="0" w:type="dxa"/>
            <w:left w:w="108" w:type="dxa"/>
            <w:bottom w:w="0" w:type="dxa"/>
            <w:right w:w="108" w:type="dxa"/>
          </w:tblCellMar>
        </w:tblPrEx>
        <w:trPr>
          <w:trHeight w:val="320"/>
        </w:trPr>
        <w:tc>
          <w:tcPr>
            <w:tcW w:w="112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color w:val="000000"/>
                <w:kern w:val="2"/>
                <w:sz w:val="21"/>
                <w:szCs w:val="21"/>
                <w:lang w:eastAsia="zh-CN"/>
              </w:rPr>
            </w:pPr>
            <w:r>
              <w:rPr>
                <w:rFonts w:ascii="仿宋_GB2312" w:eastAsia="仿宋_GB2312" w:hAnsi="仿宋_GB2312" w:cs="仿宋_GB2312" w:hint="eastAsia"/>
                <w:bCs/>
                <w:color w:val="000000"/>
                <w:kern w:val="2"/>
                <w:sz w:val="21"/>
                <w:szCs w:val="21"/>
                <w:lang w:eastAsia="zh-CN"/>
              </w:rPr>
              <w:t>1.3如果国内没有配件需要从国外发货的情况下，单次故障停机修复时间不得超过15天（需提供海关报关单等证明材料），每超1天，顺延保修期3天。</w:t>
            </w:r>
          </w:p>
        </w:tc>
      </w:tr>
      <w:tr>
        <w:tblPrEx>
          <w:tblW w:w="5000" w:type="pct"/>
          <w:tblInd w:w="108" w:type="dxa"/>
          <w:tblLayout w:type="fixed"/>
          <w:tblCellMar>
            <w:top w:w="0" w:type="dxa"/>
            <w:left w:w="108" w:type="dxa"/>
            <w:bottom w:w="0" w:type="dxa"/>
            <w:right w:w="108" w:type="dxa"/>
          </w:tblCellMar>
        </w:tblPrEx>
        <w:trPr>
          <w:trHeight w:val="320"/>
        </w:trPr>
        <w:tc>
          <w:tcPr>
            <w:tcW w:w="1123"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757"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color w:val="000000"/>
                <w:kern w:val="2"/>
                <w:sz w:val="21"/>
                <w:szCs w:val="21"/>
                <w:lang w:eastAsia="zh-CN"/>
              </w:rPr>
            </w:pPr>
            <w:r>
              <w:rPr>
                <w:rFonts w:ascii="仿宋_GB2312" w:eastAsia="仿宋_GB2312" w:hAnsi="仿宋_GB2312" w:cs="仿宋_GB2312" w:hint="eastAsia"/>
                <w:bCs/>
                <w:color w:val="000000"/>
                <w:kern w:val="2"/>
                <w:sz w:val="21"/>
                <w:szCs w:val="21"/>
                <w:lang w:eastAsia="zh-CN"/>
              </w:rPr>
              <w:t>1.4以上维修每迟一天，中标人向采购人支付由于设备故障所造成的采购人实际经济损失。保修期内的设备如不能现场进行维修需要运送的，更换维修地点的所有费用包括但不限于包装、运输费用等均由中标人负责。</w:t>
            </w:r>
          </w:p>
        </w:tc>
      </w:tr>
      <w:tr>
        <w:tblPrEx>
          <w:tblW w:w="5000" w:type="pct"/>
          <w:tblInd w:w="108" w:type="dxa"/>
          <w:tblLayout w:type="fixed"/>
          <w:tblCellMar>
            <w:top w:w="0" w:type="dxa"/>
            <w:left w:w="108" w:type="dxa"/>
            <w:bottom w:w="0" w:type="dxa"/>
            <w:right w:w="108" w:type="dxa"/>
          </w:tblCellMar>
        </w:tblPrEx>
        <w:trPr>
          <w:trHeight w:val="32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2</w:t>
            </w:r>
          </w:p>
        </w:tc>
        <w:tc>
          <w:tcPr>
            <w:tcW w:w="175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kern w:val="2"/>
                <w:sz w:val="21"/>
                <w:szCs w:val="21"/>
                <w:lang w:eastAsia="zh-CN"/>
              </w:rPr>
              <w:t>关于免费保修期</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2.1中标人提供为期</w:t>
            </w:r>
            <w:r>
              <w:rPr>
                <w:rFonts w:ascii="仿宋_GB2312" w:eastAsia="仿宋_GB2312" w:hAnsi="仿宋_GB2312" w:cs="仿宋_GB2312" w:hint="eastAsia"/>
                <w:bCs/>
                <w:kern w:val="2"/>
                <w:sz w:val="21"/>
                <w:szCs w:val="21"/>
                <w:u w:val="single"/>
                <w:lang w:eastAsia="zh-CN"/>
              </w:rPr>
              <w:t>5</w:t>
            </w:r>
            <w:r>
              <w:rPr>
                <w:rFonts w:ascii="仿宋_GB2312" w:eastAsia="仿宋_GB2312" w:hAnsi="仿宋_GB2312" w:cs="仿宋_GB2312" w:hint="eastAsia"/>
                <w:bCs/>
                <w:kern w:val="2"/>
                <w:sz w:val="21"/>
                <w:szCs w:val="21"/>
                <w:lang w:eastAsia="zh-CN"/>
              </w:rPr>
              <w:t>年或以上的原厂免费保修服务，保修期自采购人签署最终验收报告之日起开始计算。</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2.2保修期内更换零配件、软件升级、人工等服务如原厂需收费由中标人承担。</w:t>
            </w:r>
          </w:p>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2.3 在保修期内，中标人应确保设备安全正常运行，年开机率保证在95%以上。因设备故障导致开机率不足95%以上，将做以下处理：</w:t>
            </w:r>
          </w:p>
          <w:p>
            <w:pPr>
              <w:widowControl/>
              <w:tabs>
                <w:tab w:val="left" w:pos="3697"/>
              </w:tabs>
              <w:kinsoku w:val="0"/>
              <w:autoSpaceDE w:val="0"/>
              <w:autoSpaceDN w:val="0"/>
              <w:adjustRightInd w:val="0"/>
              <w:snapToGrid w:val="0"/>
              <w:spacing w:after="160" w:line="259" w:lineRule="auto"/>
              <w:ind w:firstLine="420" w:firstLineChars="200"/>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a.年开机率在90%</w:t>
            </w:r>
            <w:r>
              <w:rPr>
                <w:rFonts w:ascii="仿宋_GB2312" w:eastAsia="仿宋_GB2312" w:hAnsi="仿宋_GB2312" w:cs="仿宋_GB2312" w:hint="eastAsia"/>
                <w:bCs/>
                <w:kern w:val="2"/>
                <w:sz w:val="21"/>
                <w:szCs w:val="21"/>
                <w:lang w:eastAsia="zh-CN"/>
              </w:rPr>
              <w:t>（不</w:t>
            </w:r>
            <w:r>
              <w:rPr>
                <w:rFonts w:ascii="仿宋_GB2312" w:eastAsia="仿宋_GB2312" w:hAnsi="仿宋_GB2312" w:cs="仿宋_GB2312" w:hint="eastAsia"/>
                <w:bCs/>
                <w:kern w:val="2"/>
                <w:sz w:val="21"/>
                <w:szCs w:val="21"/>
                <w:lang w:eastAsia="zh-CN"/>
              </w:rPr>
              <w:t>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～95%</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之间按一赔二延长保修期；</w:t>
            </w:r>
          </w:p>
          <w:p>
            <w:pPr>
              <w:widowControl/>
              <w:tabs>
                <w:tab w:val="left" w:pos="3697"/>
              </w:tabs>
              <w:kinsoku w:val="0"/>
              <w:autoSpaceDE w:val="0"/>
              <w:autoSpaceDN w:val="0"/>
              <w:adjustRightInd w:val="0"/>
              <w:snapToGrid w:val="0"/>
              <w:spacing w:after="160" w:line="259" w:lineRule="auto"/>
              <w:ind w:firstLine="420" w:firstLineChars="200"/>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b.年开机率在85%</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不含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～90%</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之间按一赔五延长保修期；</w:t>
            </w:r>
          </w:p>
          <w:p>
            <w:pPr>
              <w:widowControl/>
              <w:tabs>
                <w:tab w:val="left" w:pos="3697"/>
              </w:tabs>
              <w:kinsoku w:val="0"/>
              <w:autoSpaceDE w:val="0"/>
              <w:autoSpaceDN w:val="0"/>
              <w:adjustRightInd w:val="0"/>
              <w:snapToGrid w:val="0"/>
              <w:spacing w:after="160" w:line="259" w:lineRule="auto"/>
              <w:ind w:firstLine="420" w:firstLineChars="200"/>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c.年开机率低于85%</w:t>
            </w:r>
            <w:r>
              <w:rPr>
                <w:rFonts w:eastAsia="宋体" w:hint="eastAsia"/>
                <w:kern w:val="2"/>
                <w:sz w:val="21"/>
                <w:lang w:eastAsia="zh-CN"/>
              </w:rPr>
              <w:t>（</w:t>
            </w:r>
            <w:r>
              <w:rPr>
                <w:rFonts w:eastAsia="宋体" w:hint="eastAsia"/>
                <w:kern w:val="2"/>
                <w:sz w:val="21"/>
                <w:lang w:eastAsia="zh-CN"/>
              </w:rPr>
              <w:t>含</w:t>
            </w:r>
            <w:r>
              <w:rPr>
                <w:rFonts w:eastAsia="宋体" w:hint="eastAsia"/>
                <w:kern w:val="2"/>
                <w:sz w:val="21"/>
                <w:lang w:eastAsia="zh-CN"/>
              </w:rPr>
              <w:t>）</w:t>
            </w:r>
            <w:r>
              <w:rPr>
                <w:rFonts w:ascii="仿宋_GB2312" w:eastAsia="仿宋_GB2312" w:hAnsi="仿宋_GB2312" w:cs="仿宋_GB2312" w:hint="eastAsia"/>
                <w:bCs/>
                <w:kern w:val="2"/>
                <w:sz w:val="21"/>
                <w:szCs w:val="21"/>
                <w:lang w:eastAsia="zh-CN"/>
              </w:rPr>
              <w:t>，中标人必须无条件更换新机，并重新计算保修期，以及赔偿采购人的直接经济损失和间接经济损失，同时，采购人还有权选择退货处理。</w:t>
            </w:r>
          </w:p>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bCs/>
                <w:kern w:val="2"/>
                <w:sz w:val="21"/>
                <w:szCs w:val="21"/>
                <w:lang w:eastAsia="zh-CN"/>
              </w:rPr>
              <w:t>注：年开机率 =（365-停机天数）/365。</w:t>
            </w:r>
          </w:p>
        </w:tc>
      </w:tr>
      <w:tr>
        <w:tblPrEx>
          <w:tblW w:w="5000" w:type="pct"/>
          <w:tblInd w:w="108" w:type="dxa"/>
          <w:tblLayout w:type="fixed"/>
          <w:tblCellMar>
            <w:top w:w="0" w:type="dxa"/>
            <w:left w:w="108" w:type="dxa"/>
            <w:bottom w:w="0" w:type="dxa"/>
            <w:right w:w="108" w:type="dxa"/>
          </w:tblCellMar>
        </w:tblPrEx>
        <w:trPr>
          <w:trHeight w:val="32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3</w:t>
            </w:r>
          </w:p>
        </w:tc>
        <w:tc>
          <w:tcPr>
            <w:tcW w:w="175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备品备件要求</w:t>
            </w:r>
          </w:p>
        </w:tc>
        <w:tc>
          <w:tcPr>
            <w:tcW w:w="5940" w:type="dxa"/>
            <w:tcBorders>
              <w:top w:val="single" w:sz="4" w:space="0" w:color="auto"/>
              <w:left w:val="single" w:sz="4" w:space="0" w:color="auto"/>
              <w:bottom w:val="single" w:sz="4" w:space="0" w:color="auto"/>
              <w:right w:val="single" w:sz="4" w:space="0" w:color="auto"/>
            </w:tcBorders>
          </w:tcPr>
          <w:p>
            <w:pPr>
              <w:widowControl w:val="0"/>
              <w:tabs>
                <w:tab w:val="left" w:pos="3697"/>
              </w:tabs>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 xml:space="preserve">提供专机专用配套试剂及耗材（如有）、主要零配件报价清单。中标人负责设备的终身维修并应继续提供优质的服务，储备足够的零配件备库并保证十年以上维修配件、耗材的正常供应。  </w:t>
            </w:r>
          </w:p>
        </w:tc>
      </w:tr>
      <w:tr>
        <w:tblPrEx>
          <w:tblW w:w="5000" w:type="pct"/>
          <w:tblInd w:w="108" w:type="dxa"/>
          <w:tblLayout w:type="fixed"/>
          <w:tblCellMar>
            <w:top w:w="0" w:type="dxa"/>
            <w:left w:w="108" w:type="dxa"/>
            <w:bottom w:w="0" w:type="dxa"/>
            <w:right w:w="108" w:type="dxa"/>
          </w:tblCellMar>
        </w:tblPrEx>
        <w:trPr>
          <w:trHeight w:val="523"/>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4</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259" w:lineRule="auto"/>
              <w:jc w:val="center"/>
              <w:rPr>
                <w:rFonts w:ascii="仿宋_GB2312" w:eastAsia="仿宋_GB2312" w:hAnsi="仿宋_GB2312" w:cs="仿宋_GB2312"/>
                <w:b/>
                <w:bCs/>
                <w:color w:val="FF0000"/>
                <w:kern w:val="2"/>
                <w:sz w:val="21"/>
                <w:szCs w:val="21"/>
                <w:lang w:eastAsia="zh-CN"/>
              </w:rPr>
            </w:pPr>
            <w:r>
              <w:rPr>
                <w:rFonts w:ascii="仿宋_GB2312" w:eastAsia="仿宋_GB2312" w:hAnsi="仿宋_GB2312" w:cs="仿宋_GB2312" w:hint="eastAsia"/>
                <w:kern w:val="2"/>
                <w:sz w:val="21"/>
                <w:szCs w:val="21"/>
                <w:lang w:eastAsia="zh-CN"/>
              </w:rPr>
              <w:t>软件升级</w:t>
            </w:r>
            <w:r>
              <w:rPr>
                <w:rFonts w:ascii="仿宋_GB2312" w:eastAsia="仿宋_GB2312" w:hAnsi="仿宋_GB2312" w:cs="仿宋_GB2312" w:hint="eastAsia"/>
                <w:bCs/>
                <w:kern w:val="2"/>
                <w:sz w:val="21"/>
                <w:szCs w:val="21"/>
                <w:lang w:eastAsia="zh-CN"/>
              </w:rPr>
              <w:t>（如有）</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十年内免费提供软件升级服务。</w:t>
            </w:r>
          </w:p>
        </w:tc>
      </w:tr>
      <w:tr>
        <w:tblPrEx>
          <w:tblW w:w="5000" w:type="pct"/>
          <w:tblInd w:w="108" w:type="dxa"/>
          <w:tblLayout w:type="fixed"/>
          <w:tblCellMar>
            <w:top w:w="0" w:type="dxa"/>
            <w:left w:w="108" w:type="dxa"/>
            <w:bottom w:w="0" w:type="dxa"/>
            <w:right w:w="108" w:type="dxa"/>
          </w:tblCellMar>
        </w:tblPrEx>
        <w:trPr>
          <w:trHeight w:val="543"/>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信息化系统</w:t>
            </w:r>
            <w:r>
              <w:rPr>
                <w:rFonts w:ascii="仿宋_GB2312" w:eastAsia="仿宋_GB2312" w:hAnsi="仿宋_GB2312" w:cs="仿宋_GB2312" w:hint="eastAsia"/>
                <w:bCs/>
                <w:kern w:val="2"/>
                <w:sz w:val="21"/>
                <w:szCs w:val="21"/>
                <w:lang w:eastAsia="zh-CN"/>
              </w:rPr>
              <w:t>（如有）</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信息化系统要求按招投标文件中条款执行。涉及软件应用的设备，中标人和厂家应配合采购人智慧医院信息化建设。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须无偿派人配合，直至该设备与医院信息系统可进行完整的数据交换，确保数据安全，无外泄。</w:t>
            </w:r>
          </w:p>
        </w:tc>
      </w:tr>
      <w:tr>
        <w:tblPrEx>
          <w:tblW w:w="5000" w:type="pct"/>
          <w:tblInd w:w="108" w:type="dxa"/>
          <w:tblLayout w:type="fixed"/>
          <w:tblCellMar>
            <w:top w:w="0" w:type="dxa"/>
            <w:left w:w="108" w:type="dxa"/>
            <w:bottom w:w="0" w:type="dxa"/>
            <w:right w:w="108" w:type="dxa"/>
          </w:tblCellMar>
        </w:tblPrEx>
        <w:trPr>
          <w:trHeight w:val="523"/>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6</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应急预案</w:t>
            </w:r>
          </w:p>
          <w:p>
            <w:pPr>
              <w:widowControl w:val="0"/>
              <w:spacing w:after="160" w:line="360" w:lineRule="exact"/>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需求</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发生突发问题厂家需携带可使用的备用机24小时内到场，根据现场情况采用现场维修或备用机替代的方法，确保手术顺利进行。</w:t>
            </w:r>
          </w:p>
        </w:tc>
      </w:tr>
      <w:tr>
        <w:tblPrEx>
          <w:tblW w:w="5000" w:type="pct"/>
          <w:tblInd w:w="108" w:type="dxa"/>
          <w:tblLayout w:type="fixed"/>
          <w:tblCellMar>
            <w:top w:w="0" w:type="dxa"/>
            <w:left w:w="108" w:type="dxa"/>
            <w:bottom w:w="0" w:type="dxa"/>
            <w:right w:w="108" w:type="dxa"/>
          </w:tblCellMar>
        </w:tblPrEx>
        <w:trPr>
          <w:trHeight w:val="523"/>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定期三级保养/维护及履约评价需求</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设备保养、维修服务应由厂家工程师或授权维修企业工程师负责，按产品说明书规定或相关行业规定进行保养，</w:t>
            </w:r>
            <w:r>
              <w:rPr>
                <w:rFonts w:ascii="仿宋_GB2312" w:eastAsia="仿宋_GB2312" w:hAnsi="仿宋_GB2312" w:cs="仿宋_GB2312" w:hint="eastAsia"/>
                <w:bCs/>
                <w:color w:val="000000"/>
                <w:kern w:val="2"/>
                <w:sz w:val="21"/>
                <w:szCs w:val="21"/>
                <w:lang w:eastAsia="zh-CN"/>
              </w:rPr>
              <w:t>每半年进行三级保养，并提供三级保养报告</w:t>
            </w:r>
            <w:r>
              <w:rPr>
                <w:rFonts w:ascii="仿宋_GB2312" w:eastAsia="仿宋_GB2312" w:hAnsi="仿宋_GB2312" w:cs="仿宋_GB2312" w:hint="eastAsia"/>
                <w:bCs/>
                <w:kern w:val="2"/>
                <w:sz w:val="21"/>
                <w:szCs w:val="21"/>
                <w:lang w:eastAsia="zh-CN"/>
              </w:rPr>
              <w:t>。并免费提供技术咨询服务。</w:t>
            </w:r>
          </w:p>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货物到达指定位置十日后由临床使用人与归口管理科室进行设备应用质量评价，达到使用质量评价要求后完成验收流程。</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（二）免费保修期外售后服务要求</w:t>
            </w:r>
          </w:p>
        </w:tc>
      </w:tr>
      <w:tr>
        <w:tblPrEx>
          <w:tblW w:w="5000" w:type="pct"/>
          <w:tblInd w:w="108" w:type="dxa"/>
          <w:tblLayout w:type="fixed"/>
          <w:tblCellMar>
            <w:top w:w="0" w:type="dxa"/>
            <w:left w:w="108" w:type="dxa"/>
            <w:bottom w:w="0" w:type="dxa"/>
            <w:right w:w="108" w:type="dxa"/>
          </w:tblCellMar>
        </w:tblPrEx>
        <w:trPr>
          <w:trHeight w:val="35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关于免费保修期后维修服务</w:t>
            </w:r>
          </w:p>
        </w:tc>
        <w:tc>
          <w:tcPr>
            <w:tcW w:w="594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保修期满后，以成本的优惠价供应维修零配件，以成本的优惠价供应消耗品；需维修设备经使用部门验收合格且厂家提供维修专用发票后，采购人仅支付配件费用。中标人及维修厂家不得以任何理由不按时进行设备维修。</w:t>
            </w:r>
          </w:p>
        </w:tc>
      </w:tr>
      <w:tr>
        <w:tblPrEx>
          <w:tblW w:w="5000" w:type="pct"/>
          <w:tblInd w:w="108" w:type="dxa"/>
          <w:tblLayout w:type="fixed"/>
          <w:tblCellMar>
            <w:top w:w="0" w:type="dxa"/>
            <w:left w:w="108" w:type="dxa"/>
            <w:bottom w:w="0" w:type="dxa"/>
            <w:right w:w="108" w:type="dxa"/>
          </w:tblCellMar>
        </w:tblPrEx>
        <w:trPr>
          <w:trHeight w:val="35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关于培训</w:t>
            </w:r>
          </w:p>
        </w:tc>
        <w:tc>
          <w:tcPr>
            <w:tcW w:w="594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中标人有义务根据提供的要求进行每年不少于一次的培训。</w:t>
            </w:r>
          </w:p>
        </w:tc>
      </w:tr>
      <w:tr>
        <w:tblPrEx>
          <w:tblW w:w="5000" w:type="pct"/>
          <w:tblInd w:w="108" w:type="dxa"/>
          <w:tblLayout w:type="fixed"/>
          <w:tblCellMar>
            <w:top w:w="0" w:type="dxa"/>
            <w:left w:w="108" w:type="dxa"/>
            <w:bottom w:w="0" w:type="dxa"/>
            <w:right w:w="108" w:type="dxa"/>
          </w:tblCellMar>
        </w:tblPrEx>
        <w:trPr>
          <w:trHeight w:val="350"/>
        </w:trPr>
        <w:tc>
          <w:tcPr>
            <w:tcW w:w="8820" w:type="dxa"/>
            <w:gridSpan w:val="3"/>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（三）其他商务要求</w:t>
            </w:r>
          </w:p>
        </w:tc>
      </w:tr>
      <w:tr>
        <w:tblPrEx>
          <w:tblW w:w="5000" w:type="pct"/>
          <w:tblInd w:w="108" w:type="dxa"/>
          <w:tblLayout w:type="fixed"/>
          <w:tblCellMar>
            <w:top w:w="0" w:type="dxa"/>
            <w:left w:w="108" w:type="dxa"/>
            <w:bottom w:w="0" w:type="dxa"/>
            <w:right w:w="108" w:type="dxa"/>
          </w:tblCellMar>
        </w:tblPrEx>
        <w:trPr>
          <w:trHeight w:val="375"/>
        </w:trPr>
        <w:tc>
          <w:tcPr>
            <w:tcW w:w="1123" w:type="dxa"/>
            <w:vMerge w:val="restart"/>
            <w:tcBorders>
              <w:top w:val="nil"/>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w:t>
            </w:r>
          </w:p>
        </w:tc>
        <w:tc>
          <w:tcPr>
            <w:tcW w:w="1757" w:type="dxa"/>
            <w:vMerge w:val="restart"/>
            <w:tcBorders>
              <w:top w:val="single" w:sz="4" w:space="0" w:color="auto"/>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关于交货</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1.1交货地点：深圳市福田区莲花路1120号</w:t>
            </w:r>
          </w:p>
        </w:tc>
      </w:tr>
      <w:tr>
        <w:tblPrEx>
          <w:tblW w:w="5000" w:type="pct"/>
          <w:tblInd w:w="108" w:type="dxa"/>
          <w:tblLayout w:type="fixed"/>
          <w:tblCellMar>
            <w:top w:w="0" w:type="dxa"/>
            <w:left w:w="108" w:type="dxa"/>
            <w:bottom w:w="0" w:type="dxa"/>
            <w:right w:w="108" w:type="dxa"/>
          </w:tblCellMar>
        </w:tblPrEx>
        <w:trPr>
          <w:trHeight w:val="1657"/>
        </w:trPr>
        <w:tc>
          <w:tcPr>
            <w:tcW w:w="112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1.2中标人负责将货物安全无损运到采购人指定地点，并承担设备的包装、仓储、运输、保险、装卸、安装调试、培训（须同时提供培训视频文件，视频文件包括但不限于使用、保养、校准、质控等内容）、商检、保修期届满前备品备件等与采购设备及服务相关的所有含税费用。货物风险在最终验收合格前由中标人承担。</w:t>
            </w:r>
          </w:p>
        </w:tc>
      </w:tr>
      <w:tr>
        <w:tblPrEx>
          <w:tblW w:w="5000" w:type="pct"/>
          <w:tblInd w:w="108" w:type="dxa"/>
          <w:tblLayout w:type="fixed"/>
          <w:tblCellMar>
            <w:top w:w="0" w:type="dxa"/>
            <w:left w:w="108" w:type="dxa"/>
            <w:bottom w:w="0" w:type="dxa"/>
            <w:right w:w="108" w:type="dxa"/>
          </w:tblCellMar>
        </w:tblPrEx>
        <w:trPr>
          <w:trHeight w:val="376"/>
        </w:trPr>
        <w:tc>
          <w:tcPr>
            <w:tcW w:w="112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1.3 中标人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采购人指定的验收人员，按照临床要求提供塑封便于悬挂的操作规程及注意事项。如涉及维修密码及更换配件密码，需提供给采购人指定的验收人员。</w:t>
            </w:r>
          </w:p>
        </w:tc>
      </w:tr>
      <w:tr>
        <w:tblPrEx>
          <w:tblW w:w="5000" w:type="pct"/>
          <w:tblInd w:w="108" w:type="dxa"/>
          <w:tblLayout w:type="fixed"/>
          <w:tblCellMar>
            <w:top w:w="0" w:type="dxa"/>
            <w:left w:w="108" w:type="dxa"/>
            <w:bottom w:w="0" w:type="dxa"/>
            <w:right w:w="108" w:type="dxa"/>
          </w:tblCellMar>
        </w:tblPrEx>
        <w:trPr>
          <w:trHeight w:val="376"/>
        </w:trPr>
        <w:tc>
          <w:tcPr>
            <w:tcW w:w="1123" w:type="dxa"/>
            <w:vMerge/>
            <w:tcBorders>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★1.4中标人应在合同签订后30日内现货送到采购人指定交货地点，物流、运费及安装费由中标人承担。</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val="restart"/>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w:t>
            </w:r>
          </w:p>
        </w:tc>
        <w:tc>
          <w:tcPr>
            <w:tcW w:w="1757" w:type="dxa"/>
            <w:vMerge w:val="restart"/>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安装调试及验收</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2.1 中标人提供免费安装服务，设备安装服务应由厂家工程师完成，以确保安装质量。中标人和厂家应在货物运至指定地点后，按照采购人指定时间完成安装、调试，需求部门和业务归口管理部门等共同参与验收。</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2.2 货物收到后，采购人（需求部门、业务归口管理部门等）按合同和招标、投标文件约定的要求和标准及中华人民共和国现行的验收规范和评定标准进行交货验收。</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2.3 中标人货物经过双方检验认可后，签署验收报告，产品保修期自最终验收合格并交付使用之日起计算，由投标人提供产品保修文件。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2.4 验收过程中，采购人有权委托有资质的检测机构检验或测试货物，以确认货物是否符合招投标文件和合同要求。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r>
      <w:tr>
        <w:tblPrEx>
          <w:tblW w:w="5000" w:type="pct"/>
          <w:tblInd w:w="108" w:type="dxa"/>
          <w:tblLayout w:type="fixed"/>
          <w:tblCellMar>
            <w:top w:w="0" w:type="dxa"/>
            <w:left w:w="108" w:type="dxa"/>
            <w:bottom w:w="0" w:type="dxa"/>
            <w:right w:w="108" w:type="dxa"/>
          </w:tblCellMar>
        </w:tblPrEx>
        <w:trPr>
          <w:trHeight w:val="1062"/>
        </w:trPr>
        <w:tc>
          <w:tcPr>
            <w:tcW w:w="112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2.5 设备为特种设备的，中标人应免费提供相关特种检测部门出具的合格检测报告，并办理相应的特种设备使用登记证。</w:t>
            </w:r>
          </w:p>
        </w:tc>
      </w:tr>
      <w:tr>
        <w:tblPrEx>
          <w:tblW w:w="5000" w:type="pct"/>
          <w:tblInd w:w="108" w:type="dxa"/>
          <w:tblLayout w:type="fixed"/>
          <w:tblCellMar>
            <w:top w:w="0" w:type="dxa"/>
            <w:left w:w="108" w:type="dxa"/>
            <w:bottom w:w="0" w:type="dxa"/>
            <w:right w:w="108" w:type="dxa"/>
          </w:tblCellMar>
        </w:tblPrEx>
        <w:trPr>
          <w:trHeight w:val="5380"/>
        </w:trPr>
        <w:tc>
          <w:tcPr>
            <w:tcW w:w="112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kern w:val="2"/>
                <w:sz w:val="21"/>
                <w:szCs w:val="21"/>
                <w:lang w:eastAsia="zh-CN"/>
              </w:rPr>
              <w:t>★</w:t>
            </w:r>
            <w:r>
              <w:rPr>
                <w:rFonts w:ascii="仿宋_GB2312" w:eastAsia="仿宋_GB2312" w:hAnsi="仿宋_GB2312" w:cs="仿宋_GB2312" w:hint="eastAsia"/>
                <w:bCs/>
                <w:kern w:val="2"/>
                <w:sz w:val="21"/>
                <w:szCs w:val="21"/>
                <w:lang w:eastAsia="zh-CN"/>
              </w:rPr>
              <w:t>2.6当满足以下条件时，采购人才向中标人签发货物验收报告：</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（1）设备全新,外观无伤痕变形或明显修饰痕迹。</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（3）技术文件资料、备件等已按规定数量移交完毕。</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（4）按照招标</w:t>
            </w:r>
            <w:r>
              <w:rPr>
                <w:rFonts w:ascii="Calibri" w:eastAsia="仿宋_GB2312" w:hAnsi="Calibri" w:cs="Calibri" w:hint="eastAsia"/>
                <w:bCs/>
                <w:kern w:val="2"/>
                <w:sz w:val="21"/>
                <w:szCs w:val="21"/>
                <w:lang w:eastAsia="zh-CN"/>
              </w:rPr>
              <w:t>文件</w:t>
            </w:r>
            <w:r>
              <w:rPr>
                <w:rFonts w:ascii="仿宋_GB2312" w:eastAsia="仿宋_GB2312" w:hAnsi="仿宋_GB2312" w:cs="仿宋_GB2312" w:hint="eastAsia"/>
                <w:bCs/>
                <w:kern w:val="2"/>
                <w:sz w:val="21"/>
                <w:szCs w:val="21"/>
                <w:lang w:eastAsia="zh-CN"/>
              </w:rPr>
              <w:t>要求及投标文件提供的技术要求验收合格。</w:t>
            </w:r>
          </w:p>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（6）货物具备产品合格证。</w:t>
            </w:r>
          </w:p>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（7）在货物安装调试合格后，所有技术指标达到技术规范书要求，经验收合格后，双方共同签署验收报告。</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val="restart"/>
            <w:tcBorders>
              <w:top w:val="nil"/>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w:t>
            </w:r>
          </w:p>
        </w:tc>
        <w:tc>
          <w:tcPr>
            <w:tcW w:w="1757" w:type="dxa"/>
            <w:vMerge w:val="restart"/>
            <w:tcBorders>
              <w:top w:val="nil"/>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eastAsia="宋体" w:hint="eastAsia"/>
                <w:kern w:val="2"/>
                <w:sz w:val="21"/>
                <w:lang w:eastAsia="zh-CN"/>
              </w:rPr>
              <w:t>★</w:t>
            </w:r>
            <w:r>
              <w:rPr>
                <w:rFonts w:ascii="仿宋_GB2312" w:eastAsia="仿宋_GB2312" w:hAnsi="仿宋_GB2312" w:cs="仿宋_GB2312" w:hint="eastAsia"/>
                <w:kern w:val="2"/>
                <w:sz w:val="21"/>
                <w:szCs w:val="21"/>
                <w:lang w:eastAsia="zh-CN"/>
              </w:rPr>
              <w:t>关于违约</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3.1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tblInd w:w="108" w:type="dxa"/>
          <w:tblLayout w:type="fixed"/>
          <w:tblCellMar>
            <w:top w:w="0" w:type="dxa"/>
            <w:left w:w="108" w:type="dxa"/>
            <w:bottom w:w="0" w:type="dxa"/>
            <w:right w:w="108" w:type="dxa"/>
          </w:tblCellMar>
        </w:tblPrEx>
        <w:trPr>
          <w:trHeight w:val="1115"/>
        </w:trPr>
        <w:tc>
          <w:tcPr>
            <w:tcW w:w="112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3.2 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3.3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left"/>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3.4</w:t>
            </w:r>
            <w:r>
              <w:rPr>
                <w:rFonts w:eastAsia="宋体"/>
                <w:kern w:val="2"/>
                <w:sz w:val="21"/>
                <w:lang w:eastAsia="zh-CN"/>
              </w:rPr>
              <w:t xml:space="preserve"> </w:t>
            </w:r>
            <w:r>
              <w:rPr>
                <w:rFonts w:ascii="仿宋_GB2312" w:eastAsia="仿宋_GB2312" w:hAnsi="仿宋_GB2312" w:cs="仿宋_GB2312"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color w:val="FF0000"/>
                <w:kern w:val="2"/>
                <w:sz w:val="21"/>
                <w:szCs w:val="21"/>
                <w:lang w:eastAsia="zh-CN"/>
              </w:rPr>
            </w:pPr>
            <w:r>
              <w:rPr>
                <w:rFonts w:ascii="仿宋_GB2312" w:eastAsia="仿宋_GB2312" w:hAnsi="仿宋_GB2312" w:cs="仿宋_GB2312" w:hint="eastAsia"/>
                <w:bCs/>
                <w:kern w:val="2"/>
                <w:sz w:val="21"/>
                <w:szCs w:val="21"/>
                <w:lang w:eastAsia="zh-CN"/>
              </w:rPr>
              <w:t>3.5由于中标人的原因，未能按时供货或配合验收的，每迟一天应给付采购人的违约金为合同总额的1%，总额不超过合同总价的30%；如超过供货期30日，采购人有权解除合同，如采购人已支付货款的中标人还应立即退还，违约金不足以弥补损失的，应赔偿相应损失。</w:t>
            </w:r>
          </w:p>
        </w:tc>
      </w:tr>
      <w:tr>
        <w:tblPrEx>
          <w:tblW w:w="5000" w:type="pct"/>
          <w:tblInd w:w="108" w:type="dxa"/>
          <w:tblLayout w:type="fixed"/>
          <w:tblCellMar>
            <w:top w:w="0" w:type="dxa"/>
            <w:left w:w="108" w:type="dxa"/>
            <w:bottom w:w="0" w:type="dxa"/>
            <w:right w:w="108" w:type="dxa"/>
          </w:tblCellMar>
        </w:tblPrEx>
        <w:trPr>
          <w:trHeight w:val="350"/>
        </w:trPr>
        <w:tc>
          <w:tcPr>
            <w:tcW w:w="112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757"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color w:val="FF0000"/>
                <w:kern w:val="2"/>
                <w:sz w:val="21"/>
                <w:szCs w:val="21"/>
                <w:lang w:eastAsia="zh-CN"/>
              </w:rPr>
            </w:pPr>
            <w:r>
              <w:rPr>
                <w:rFonts w:ascii="仿宋_GB2312" w:eastAsia="仿宋_GB2312" w:hAnsi="仿宋_GB2312" w:cs="仿宋_GB2312" w:hint="eastAsia"/>
                <w:bCs/>
                <w:kern w:val="2"/>
                <w:sz w:val="21"/>
                <w:szCs w:val="21"/>
                <w:lang w:eastAsia="zh-CN"/>
              </w:rPr>
              <w:t>3.6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tblInd w:w="108" w:type="dxa"/>
          <w:tblLayout w:type="fixed"/>
          <w:tblCellMar>
            <w:top w:w="0" w:type="dxa"/>
            <w:left w:w="108" w:type="dxa"/>
            <w:bottom w:w="0" w:type="dxa"/>
            <w:right w:w="108" w:type="dxa"/>
          </w:tblCellMar>
        </w:tblPrEx>
        <w:trPr>
          <w:trHeight w:val="1955"/>
        </w:trPr>
        <w:tc>
          <w:tcPr>
            <w:tcW w:w="1123"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757"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3.7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tblInd w:w="108" w:type="dxa"/>
          <w:tblLayout w:type="fixed"/>
          <w:tblCellMar>
            <w:top w:w="0" w:type="dxa"/>
            <w:left w:w="108" w:type="dxa"/>
            <w:bottom w:w="0" w:type="dxa"/>
            <w:right w:w="108" w:type="dxa"/>
          </w:tblCellMar>
        </w:tblPrEx>
        <w:trPr>
          <w:trHeight w:val="980"/>
        </w:trPr>
        <w:tc>
          <w:tcPr>
            <w:tcW w:w="1123" w:type="dxa"/>
            <w:vMerge/>
            <w:tcBorders>
              <w:left w:val="single" w:sz="4" w:space="0" w:color="auto"/>
              <w:bottom w:val="single" w:sz="4" w:space="0" w:color="auto"/>
              <w:right w:val="single" w:sz="4" w:space="0" w:color="auto"/>
            </w:tcBorders>
            <w:vAlign w:val="center"/>
          </w:tcPr>
          <w:p>
            <w:pPr>
              <w:widowControl w:val="0"/>
              <w:spacing w:after="160" w:line="259" w:lineRule="auto"/>
              <w:jc w:val="both"/>
              <w:rPr>
                <w:rFonts w:eastAsia="宋体"/>
                <w:kern w:val="2"/>
                <w:sz w:val="21"/>
                <w:lang w:eastAsia="zh-CN"/>
              </w:rPr>
            </w:pPr>
          </w:p>
        </w:tc>
        <w:tc>
          <w:tcPr>
            <w:tcW w:w="1757" w:type="dxa"/>
            <w:vMerge/>
            <w:tcBorders>
              <w:left w:val="single" w:sz="4" w:space="0" w:color="auto"/>
              <w:bottom w:val="single" w:sz="4" w:space="0" w:color="auto"/>
              <w:right w:val="single" w:sz="4" w:space="0" w:color="auto"/>
            </w:tcBorders>
            <w:vAlign w:val="center"/>
          </w:tcPr>
          <w:p>
            <w:pPr>
              <w:widowControl w:val="0"/>
              <w:spacing w:after="160" w:line="259" w:lineRule="auto"/>
              <w:jc w:val="both"/>
              <w:rPr>
                <w:rFonts w:eastAsia="宋体"/>
                <w:kern w:val="2"/>
                <w:sz w:val="21"/>
                <w:lang w:eastAsia="zh-CN"/>
              </w:rPr>
            </w:pP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3.8乙方提供的设备经调试验收合格后，在保修期内连续三个月内频繁（平均每月1次或1次以上）出现设备不能正常使用的情况，甲方有权选择要求乙方免费更换新机或者退货。</w:t>
            </w:r>
          </w:p>
        </w:tc>
      </w:tr>
      <w:tr>
        <w:tblPrEx>
          <w:tblW w:w="5000" w:type="pct"/>
          <w:tblInd w:w="108" w:type="dxa"/>
          <w:tblLayout w:type="fixed"/>
          <w:tblCellMar>
            <w:top w:w="0" w:type="dxa"/>
            <w:left w:w="108" w:type="dxa"/>
            <w:bottom w:w="0" w:type="dxa"/>
            <w:right w:w="108" w:type="dxa"/>
          </w:tblCellMar>
        </w:tblPrEx>
        <w:trPr>
          <w:trHeight w:val="35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4</w:t>
            </w:r>
          </w:p>
        </w:tc>
        <w:tc>
          <w:tcPr>
            <w:tcW w:w="175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关于付款</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kern w:val="2"/>
                <w:sz w:val="21"/>
                <w:szCs w:val="21"/>
                <w:lang w:eastAsia="zh-CN"/>
              </w:rPr>
              <w:t>★采购人收到中标人提供的货物验收合格且完成设备使用培训后，由中标人按照合同金额开具税务发票，采购人支付货款95%；剩余5%尾款，于乙方提供免费维保年限一致的原厂维保承诺函及原厂维保合同，经采购人确认后不计息支付，收到发票后10个工作日内支付。中标人须提供正确的资金账户，因资金账户异常而导致采购人无法支付的，采购人不承担违约责任，给采购人造成实际损失的，中标人应承担相应的赔偿责任。</w:t>
            </w:r>
          </w:p>
        </w:tc>
      </w:tr>
      <w:tr>
        <w:tblPrEx>
          <w:tblW w:w="5000" w:type="pct"/>
          <w:tblInd w:w="108" w:type="dxa"/>
          <w:tblLayout w:type="fixed"/>
          <w:tblCellMar>
            <w:top w:w="0" w:type="dxa"/>
            <w:left w:w="108" w:type="dxa"/>
            <w:bottom w:w="0" w:type="dxa"/>
            <w:right w:w="108" w:type="dxa"/>
          </w:tblCellMar>
        </w:tblPrEx>
        <w:trPr>
          <w:trHeight w:val="35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5</w:t>
            </w:r>
          </w:p>
        </w:tc>
        <w:tc>
          <w:tcPr>
            <w:tcW w:w="175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报价要求</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kern w:val="2"/>
                <w:sz w:val="21"/>
                <w:szCs w:val="21"/>
                <w:lang w:eastAsia="zh-CN"/>
              </w:rPr>
              <w:t>★</w:t>
            </w:r>
            <w:r>
              <w:rPr>
                <w:rFonts w:ascii="仿宋_GB2312" w:eastAsia="仿宋_GB2312" w:hAnsi="仿宋_GB2312" w:cs="仿宋_GB2312" w:hint="eastAsia"/>
                <w:bCs/>
                <w:kern w:val="2"/>
                <w:sz w:val="21"/>
                <w:szCs w:val="21"/>
                <w:lang w:eastAsia="zh-CN"/>
              </w:rPr>
              <w:t>投标总价是完成该项目的一切费用总和，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tblPrEx>
          <w:tblW w:w="5000" w:type="pct"/>
          <w:tblInd w:w="108" w:type="dxa"/>
          <w:tblLayout w:type="fixed"/>
          <w:tblCellMar>
            <w:top w:w="0" w:type="dxa"/>
            <w:left w:w="108" w:type="dxa"/>
            <w:bottom w:w="0" w:type="dxa"/>
            <w:right w:w="108" w:type="dxa"/>
          </w:tblCellMar>
        </w:tblPrEx>
        <w:trPr>
          <w:trHeight w:val="35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6</w:t>
            </w:r>
          </w:p>
        </w:tc>
        <w:tc>
          <w:tcPr>
            <w:tcW w:w="175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质量要求</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color w:val="FF0000"/>
                <w:kern w:val="2"/>
                <w:sz w:val="21"/>
                <w:szCs w:val="21"/>
                <w:lang w:eastAsia="zh-CN"/>
              </w:rPr>
            </w:pPr>
            <w:r>
              <w:rPr>
                <w:rFonts w:ascii="仿宋_GB2312" w:eastAsia="仿宋_GB2312" w:hAnsi="仿宋_GB2312" w:cs="仿宋_GB2312" w:hint="eastAsia"/>
                <w:kern w:val="2"/>
                <w:sz w:val="21"/>
                <w:szCs w:val="21"/>
                <w:lang w:eastAsia="zh-CN"/>
              </w:rPr>
              <w:t>★</w:t>
            </w:r>
            <w:r>
              <w:rPr>
                <w:rFonts w:ascii="仿宋_GB2312" w:eastAsia="仿宋_GB2312" w:hAnsi="仿宋_GB2312" w:cs="仿宋_GB2312" w:hint="eastAsia"/>
                <w:bCs/>
                <w:kern w:val="2"/>
                <w:sz w:val="21"/>
                <w:szCs w:val="21"/>
                <w:lang w:eastAsia="zh-CN"/>
              </w:rPr>
              <w:t>投标人保证所提供的产品必须是生产日期在一年内未使用过的原厂全新产品（包括零部件），符合国家或省级行业质量标准。确保产品投入使用前，按照国家规定办理好产品所有启用所需的资质证件。</w:t>
            </w:r>
          </w:p>
        </w:tc>
      </w:tr>
      <w:tr>
        <w:tblPrEx>
          <w:tblW w:w="5000" w:type="pct"/>
          <w:tblInd w:w="108" w:type="dxa"/>
          <w:tblLayout w:type="fixed"/>
          <w:tblCellMar>
            <w:top w:w="0" w:type="dxa"/>
            <w:left w:w="108" w:type="dxa"/>
            <w:bottom w:w="0" w:type="dxa"/>
            <w:right w:w="108" w:type="dxa"/>
          </w:tblCellMar>
        </w:tblPrEx>
        <w:trPr>
          <w:trHeight w:val="350"/>
        </w:trPr>
        <w:tc>
          <w:tcPr>
            <w:tcW w:w="112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w:t>
            </w:r>
          </w:p>
        </w:tc>
        <w:tc>
          <w:tcPr>
            <w:tcW w:w="175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知识产权</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highlight w:val="yellow"/>
                <w:lang w:eastAsia="zh-CN"/>
              </w:rPr>
            </w:pPr>
            <w:r>
              <w:rPr>
                <w:rFonts w:ascii="仿宋_GB2312" w:eastAsia="仿宋_GB2312" w:hAnsi="仿宋_GB2312" w:cs="仿宋_GB2312" w:hint="eastAsia"/>
                <w:bCs/>
                <w:kern w:val="2"/>
                <w:sz w:val="21"/>
                <w:szCs w:val="21"/>
                <w:lang w:eastAsia="zh-CN"/>
              </w:rPr>
              <w:t>中标人应保证采购人在使用该货物或其任何一部分时，终身免受第三方提出的侵犯其专利权、商标权、著作权或其他知识产权的起诉。中标人保证所提供软件的合法性，所发生的任何知识产权纠纷与采购人无关。若因为知识产权纠纷造成的一切损害赔偿及损失由中标人承担，包括但不限于实际损失、预期损失和对方要求赔偿损失及支出的诉讼费、律师费、交通费和差旅费等。</w:t>
            </w:r>
          </w:p>
        </w:tc>
      </w:tr>
      <w:tr>
        <w:tblPrEx>
          <w:tblW w:w="5000" w:type="pct"/>
          <w:tblInd w:w="108" w:type="dxa"/>
          <w:tblLayout w:type="fixed"/>
          <w:tblCellMar>
            <w:top w:w="0" w:type="dxa"/>
            <w:left w:w="108" w:type="dxa"/>
            <w:bottom w:w="0" w:type="dxa"/>
            <w:right w:w="108" w:type="dxa"/>
          </w:tblCellMar>
        </w:tblPrEx>
        <w:trPr>
          <w:trHeight w:val="1920"/>
        </w:trPr>
        <w:tc>
          <w:tcPr>
            <w:tcW w:w="1123" w:type="dxa"/>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8</w:t>
            </w:r>
          </w:p>
        </w:tc>
        <w:tc>
          <w:tcPr>
            <w:tcW w:w="1757" w:type="dxa"/>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项目（产品）</w:t>
            </w:r>
          </w:p>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要求</w:t>
            </w:r>
          </w:p>
        </w:tc>
        <w:tc>
          <w:tcPr>
            <w:tcW w:w="594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color w:val="FF0000"/>
                <w:kern w:val="2"/>
                <w:sz w:val="21"/>
                <w:szCs w:val="21"/>
                <w:lang w:eastAsia="zh-CN"/>
              </w:rPr>
            </w:pPr>
            <w:r>
              <w:rPr>
                <w:rFonts w:ascii="仿宋_GB2312" w:eastAsia="仿宋_GB2312" w:hAnsi="仿宋_GB2312" w:cs="仿宋_GB2312" w:hint="eastAsia"/>
                <w:color w:val="FF0000"/>
                <w:kern w:val="2"/>
                <w:sz w:val="21"/>
                <w:szCs w:val="21"/>
                <w:lang w:eastAsia="zh-CN"/>
              </w:rPr>
              <w:t>★8</w:t>
            </w:r>
            <w:r>
              <w:rPr>
                <w:rFonts w:ascii="仿宋_GB2312" w:eastAsia="仿宋_GB2312" w:hAnsi="仿宋_GB2312" w:cs="仿宋_GB2312" w:hint="eastAsia"/>
                <w:b/>
                <w:color w:val="FF0000"/>
                <w:kern w:val="2"/>
                <w:sz w:val="21"/>
                <w:szCs w:val="21"/>
                <w:lang w:eastAsia="zh-CN"/>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pPr>
        <w:widowControl w:val="0"/>
        <w:spacing w:before="78" w:beforeLines="25" w:after="78" w:afterLines="25" w:line="259" w:lineRule="auto"/>
        <w:ind w:firstLine="0"/>
        <w:jc w:val="both"/>
        <w:rPr>
          <w:rFonts w:ascii="宋体" w:eastAsia="宋体" w:hAnsi="宋体"/>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2、投标人应充分了解项目的位置、情况、道路及任何其他足以影响投标报价的情况，任何因忽视或误解项目情况而导致的索赔或服务期限延长申请将不获批准。</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5、除采购合同继续履行将损害国家利益和社会公共利益外，双方当事人不得擅自变更、中止或者终止合同。</w:t>
      </w:r>
    </w:p>
    <w:p>
      <w:pPr>
        <w:widowControl w:val="0"/>
        <w:spacing w:after="160" w:line="360" w:lineRule="auto"/>
        <w:jc w:val="both"/>
        <w:rPr>
          <w:rFonts w:ascii="宋体" w:eastAsia="宋体" w:hAnsi="宋体"/>
          <w:b/>
          <w:bCs/>
          <w:kern w:val="2"/>
          <w:lang w:eastAsia="zh-CN"/>
        </w:rPr>
      </w:pPr>
    </w:p>
    <w:p>
      <w:pPr>
        <w:widowControl/>
        <w:spacing w:after="160" w:line="259" w:lineRule="auto"/>
        <w:ind w:firstLine="420" w:firstLineChars="200"/>
        <w:jc w:val="left"/>
        <w:rPr>
          <w:rFonts w:ascii="宋体" w:eastAsia="宋体" w:hAnsi="宋体"/>
          <w:b/>
          <w:bCs/>
          <w:kern w:val="2"/>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after="160" w:line="259" w:lineRule="auto"/>
        <w:jc w:val="both"/>
        <w:rPr>
          <w:rFonts w:ascii="宋体" w:eastAsia="宋体" w:hAnsi="宋体"/>
          <w:b/>
          <w:bCs/>
          <w:kern w:val="2"/>
          <w:lang w:eastAsia="zh-CN"/>
        </w:rPr>
      </w:pPr>
      <w:r>
        <w:rPr>
          <w:rFonts w:ascii="宋体" w:eastAsia="宋体" w:hAnsi="宋体" w:hint="eastAsia"/>
          <w:b/>
          <w:bCs/>
          <w:kern w:val="2"/>
          <w:lang w:eastAsia="zh-CN"/>
        </w:rPr>
        <w:t>投标文件组成，主要包括以下内容：</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40" w:name="_Hlk72070784"/>
      <w:r>
        <w:rPr>
          <w:rFonts w:eastAsia="宋体" w:hint="eastAsia"/>
          <w:kern w:val="2"/>
          <w:sz w:val="21"/>
          <w:szCs w:val="21"/>
          <w:lang w:eastAsia="zh-CN"/>
        </w:rPr>
        <w:t>投标函</w:t>
      </w:r>
      <w:bookmarkEnd w:id="40"/>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spacing w:after="160" w:line="259" w:lineRule="auto"/>
        <w:ind w:firstLine="420" w:firstLineChars="200"/>
        <w:jc w:val="both"/>
        <w:rPr>
          <w:rFonts w:eastAsia="宋体"/>
          <w:kern w:val="2"/>
          <w:sz w:val="21"/>
          <w:szCs w:val="21"/>
          <w:lang w:eastAsia="zh-CN"/>
        </w:rPr>
      </w:pPr>
      <w:bookmarkStart w:id="41"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41"/>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（5）法定代表人（负责人）证明书</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（6）投标文件签署授权委托书</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（7）实质性条款响应情况表</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（8）技术要求偏离表</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（9）商务要求偏离表</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）技术保障措施</w:t>
      </w:r>
    </w:p>
    <w:p>
      <w:pPr>
        <w:widowControl w:val="0"/>
        <w:spacing w:after="160" w:line="259" w:lineRule="auto"/>
        <w:ind w:firstLine="420" w:firstLineChars="200"/>
        <w:jc w:val="left"/>
        <w:rPr>
          <w:rFonts w:eastAsia="宋体"/>
          <w:kern w:val="2"/>
          <w:sz w:val="21"/>
          <w:lang w:eastAsia="zh-CN"/>
        </w:rPr>
      </w:pPr>
      <w:r>
        <w:rPr>
          <w:rFonts w:eastAsia="宋体" w:hint="eastAsia"/>
          <w:kern w:val="2"/>
          <w:sz w:val="21"/>
          <w:szCs w:val="21"/>
          <w:lang w:eastAsia="zh-CN"/>
        </w:rPr>
        <w:t>（1</w:t>
      </w:r>
      <w:r>
        <w:rPr>
          <w:rFonts w:eastAsia="宋体" w:hint="eastAsia"/>
          <w:kern w:val="2"/>
          <w:sz w:val="21"/>
          <w:szCs w:val="21"/>
          <w:lang w:eastAsia="zh-CN"/>
        </w:rPr>
        <w:t>1</w:t>
      </w:r>
      <w:r>
        <w:rPr>
          <w:rFonts w:eastAsia="宋体" w:hint="eastAsia"/>
          <w:kern w:val="2"/>
          <w:sz w:val="21"/>
          <w:szCs w:val="21"/>
          <w:lang w:eastAsia="zh-CN"/>
        </w:rPr>
        <w:t>）供应商同类业绩</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2</w:t>
      </w:r>
      <w:r>
        <w:rPr>
          <w:rFonts w:eastAsia="宋体" w:hint="eastAsia"/>
          <w:kern w:val="2"/>
          <w:sz w:val="21"/>
          <w:szCs w:val="21"/>
          <w:lang w:eastAsia="zh-CN"/>
        </w:rPr>
        <w:t>）投标人认为需要加以说明的其他内容（格式自定）</w:t>
      </w:r>
    </w:p>
    <w:p>
      <w:pPr>
        <w:widowControl w:val="0"/>
        <w:spacing w:after="160" w:line="259" w:lineRule="auto"/>
        <w:ind w:firstLine="420" w:firstLineChars="200"/>
        <w:jc w:val="both"/>
        <w:rPr>
          <w:rFonts w:eastAsia="宋体"/>
          <w:kern w:val="2"/>
          <w:sz w:val="21"/>
          <w:szCs w:val="21"/>
          <w:lang w:eastAsia="zh-CN"/>
        </w:rPr>
      </w:pPr>
    </w:p>
    <w:p>
      <w:pPr>
        <w:widowControl w:val="0"/>
        <w:spacing w:after="160" w:line="259"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w:t>
      </w:r>
    </w:p>
    <w:p>
      <w:pPr>
        <w:widowControl w:val="0"/>
        <w:spacing w:after="160" w:line="259"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spacing w:after="160" w:line="259"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spacing w:after="160" w:line="259" w:lineRule="auto"/>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after="160" w:line="360" w:lineRule="auto"/>
        <w:jc w:val="both"/>
        <w:rPr>
          <w:rFonts w:ascii="宋体" w:eastAsia="宋体" w:hAnsi="宋体"/>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spacing w:after="160" w:line="259" w:lineRule="auto"/>
        <w:ind w:firstLine="420" w:firstLineChars="200"/>
        <w:jc w:val="both"/>
        <w:rPr>
          <w:rFonts w:ascii="宋体" w:eastAsia="宋体" w:hAnsi="宋体"/>
          <w:kern w:val="2"/>
          <w:sz w:val="21"/>
          <w:szCs w:val="21"/>
          <w:lang w:eastAsia="zh-CN"/>
        </w:rPr>
      </w:pPr>
      <w:bookmarkStart w:id="42"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3" w:name="_Hlk72263588"/>
      <w:r>
        <w:rPr>
          <w:rFonts w:eastAsia="宋体" w:hint="eastAsia"/>
          <w:kern w:val="2"/>
          <w:sz w:val="21"/>
          <w:szCs w:val="21"/>
          <w:lang w:eastAsia="zh-CN"/>
        </w:rPr>
        <w:t>愿意按照招标文件要求承包上述项目并修补其任何缺陷。</w:t>
      </w:r>
      <w:bookmarkEnd w:id="43"/>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spacing w:after="160" w:line="259" w:lineRule="auto"/>
        <w:ind w:left="585" w:hanging="105" w:leftChars="200" w:hangingChars="5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42"/>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spacing w:after="160" w:line="259" w:lineRule="auto"/>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spacing w:after="160" w:line="259" w:lineRule="auto"/>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spacing w:after="160" w:line="259" w:lineRule="auto"/>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spacing w:after="160" w:line="259" w:lineRule="auto"/>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spacing w:after="160" w:line="259" w:lineRule="auto"/>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spacing w:after="160" w:line="259" w:lineRule="auto"/>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spacing w:after="160" w:line="259" w:lineRule="auto"/>
        <w:jc w:val="both"/>
        <w:rPr>
          <w:rFonts w:ascii="黑体" w:eastAsia="黑体" w:hAnsi="宋体"/>
          <w:kern w:val="2"/>
          <w:sz w:val="21"/>
          <w:lang w:eastAsia="zh-CN"/>
        </w:rPr>
      </w:pPr>
    </w:p>
    <w:p>
      <w:pPr>
        <w:widowControl w:val="0"/>
        <w:spacing w:after="160" w:line="259" w:lineRule="auto"/>
        <w:jc w:val="both"/>
        <w:rPr>
          <w:rFonts w:ascii="黑体" w:eastAsia="黑体" w:hAnsi="宋体"/>
          <w:kern w:val="2"/>
          <w:sz w:val="21"/>
          <w:lang w:eastAsia="zh-CN"/>
        </w:rPr>
      </w:pP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二、采购投标及履约承诺函</w:t>
      </w:r>
    </w:p>
    <w:p>
      <w:pPr>
        <w:widowControl w:val="0"/>
        <w:spacing w:after="160" w:line="259" w:lineRule="auto"/>
        <w:jc w:val="both"/>
        <w:rPr>
          <w:rFonts w:ascii="宋体" w:eastAsia="宋体" w:hAnsi="宋体"/>
          <w:kern w:val="2"/>
          <w:lang w:eastAsia="zh-CN"/>
        </w:rPr>
      </w:pPr>
    </w:p>
    <w:p>
      <w:pPr>
        <w:widowControl w:val="0"/>
        <w:spacing w:after="160" w:line="259" w:lineRule="auto"/>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spacing w:after="160" w:line="259" w:lineRule="auto"/>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采购活动时不存在被有关部门禁止参与政府采购活动且在有效期内的情况。符合招标文件关于联合体及进口产品的相关资格要求。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spacing w:after="160" w:line="259" w:lineRule="auto"/>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spacing w:after="160" w:line="259" w:lineRule="auto"/>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spacing w:after="160" w:line="259" w:lineRule="auto"/>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spacing w:after="160" w:line="259" w:lineRule="auto"/>
        <w:ind w:firstLine="420" w:firstLineChars="200"/>
        <w:jc w:val="both"/>
        <w:rPr>
          <w:rFonts w:ascii="宋体" w:eastAsia="宋体" w:hAnsi="宋体" w:cs="宋体"/>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 发展改革委 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spacing w:after="160" w:line="259" w:lineRule="auto"/>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spacing w:after="160" w:line="259" w:lineRule="auto"/>
        <w:ind w:firstLine="420" w:firstLineChars="200"/>
        <w:jc w:val="both"/>
        <w:rPr>
          <w:rFonts w:ascii="宋体" w:eastAsia="宋体" w:hAnsi="宋体"/>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spacing w:after="160" w:line="259" w:lineRule="auto"/>
        <w:ind w:firstLine="420" w:firstLineChars="200"/>
        <w:jc w:val="both"/>
        <w:rPr>
          <w:rFonts w:ascii="宋体" w:eastAsia="宋体" w:hAnsi="宋体"/>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after="160" w:line="259" w:lineRule="auto"/>
        <w:ind w:firstLine="420" w:firstLineChars="200"/>
        <w:jc w:val="both"/>
        <w:rPr>
          <w:rFonts w:ascii="宋体" w:eastAsia="宋体" w:hAnsi="宋体"/>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after="160" w:line="259" w:lineRule="auto"/>
        <w:ind w:firstLine="420" w:firstLineChars="200"/>
        <w:jc w:val="both"/>
        <w:rPr>
          <w:rFonts w:ascii="宋体" w:eastAsia="宋体" w:hAnsi="宋体"/>
          <w:kern w:val="2"/>
          <w:sz w:val="21"/>
          <w:szCs w:val="21"/>
          <w:lang w:eastAsia="zh-CN"/>
        </w:rPr>
      </w:pPr>
    </w:p>
    <w:p>
      <w:pPr>
        <w:widowControl w:val="0"/>
        <w:spacing w:before="78" w:beforeLines="25" w:after="78" w:afterLines="25" w:line="259" w:lineRule="auto"/>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p>
      <w:pPr>
        <w:widowControl w:val="0"/>
        <w:spacing w:before="78" w:beforeLines="25" w:after="78" w:afterLines="25" w:line="259" w:lineRule="auto"/>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spacing w:after="160" w:line="259" w:lineRule="auto"/>
        <w:ind w:firstLine="645"/>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spacing w:after="160" w:line="259" w:lineRule="auto"/>
        <w:jc w:val="both"/>
        <w:rPr>
          <w:rFonts w:eastAsia="宋体"/>
          <w:kern w:val="2"/>
          <w:sz w:val="21"/>
          <w:lang w:eastAsia="zh-CN"/>
        </w:rPr>
      </w:pPr>
    </w:p>
    <w:p>
      <w:pPr>
        <w:widowControl w:val="0"/>
        <w:spacing w:after="160" w:line="259" w:lineRule="auto"/>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spacing w:after="160" w:line="259" w:lineRule="auto"/>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56" w:beforeLines="50" w:after="160" w:line="259" w:lineRule="auto"/>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spacing w:after="160" w:line="259" w:lineRule="auto"/>
        <w:jc w:val="both"/>
        <w:rPr>
          <w:rFonts w:eastAsia="宋体"/>
          <w:kern w:val="2"/>
          <w:sz w:val="21"/>
          <w:lang w:eastAsia="zh-CN"/>
        </w:rPr>
      </w:pPr>
    </w:p>
    <w:p>
      <w:pPr>
        <w:widowControl w:val="0"/>
        <w:spacing w:after="160" w:line="259" w:lineRule="auto"/>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spacing w:after="160" w:line="259" w:lineRule="auto"/>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填写指引：</w:t>
      </w:r>
    </w:p>
    <w:p>
      <w:pPr>
        <w:widowControl w:val="0"/>
        <w:spacing w:after="160" w:line="259" w:lineRule="auto"/>
        <w:ind w:firstLine="420" w:firstLineChars="200"/>
        <w:jc w:val="both"/>
        <w:outlineLvl w:val="3"/>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1、该部分内容由供应商根据自身实际情况填写，</w:t>
      </w:r>
      <w:r>
        <w:rPr>
          <w:rFonts w:ascii="黑体" w:eastAsia="黑体" w:hAnsi="黑体" w:hint="eastAsia"/>
          <w:color w:val="FF0000"/>
          <w:kern w:val="2"/>
          <w:sz w:val="21"/>
          <w:szCs w:val="21"/>
          <w:lang w:eastAsia="zh-CN"/>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spacing w:after="160" w:line="259" w:lineRule="auto"/>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spacing w:after="160" w:line="259" w:lineRule="auto"/>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spacing w:after="160" w:line="259" w:lineRule="auto"/>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 号，以下简称3</w:t>
      </w:r>
      <w:r>
        <w:rPr>
          <w:rFonts w:ascii="黑体" w:eastAsia="黑体" w:hAnsi="黑体"/>
          <w:color w:val="FF0000"/>
          <w:kern w:val="2"/>
          <w:sz w:val="21"/>
          <w:szCs w:val="21"/>
          <w:lang w:eastAsia="zh-CN"/>
        </w:rPr>
        <w:t>00</w:t>
      </w:r>
      <w:r>
        <w:rPr>
          <w:rFonts w:ascii="黑体" w:eastAsia="黑体" w:hAnsi="黑体" w:hint="eastAsia"/>
          <w:color w:val="FF0000"/>
          <w:kern w:val="2"/>
          <w:sz w:val="21"/>
          <w:szCs w:val="21"/>
          <w:lang w:eastAsia="zh-CN"/>
        </w:rPr>
        <w:t>号文）；</w:t>
      </w:r>
    </w:p>
    <w:p>
      <w:pPr>
        <w:widowControl w:val="0"/>
        <w:spacing w:after="160" w:line="259" w:lineRule="auto"/>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 号）；</w:t>
      </w:r>
    </w:p>
    <w:p>
      <w:pPr>
        <w:widowControl w:val="0"/>
        <w:spacing w:after="160" w:line="259" w:lineRule="auto"/>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spacing w:after="160" w:line="259" w:lineRule="auto"/>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第一处，在“单位名称”下划线处应填写采购人名称（深圳公共资源交易中心不是本项目的采购人，而是组织实施机构）；</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 xml:space="preserve">（2）从业人员、资产总额指标以上年度末数据为依据，营业收入指标以上年度累计数据为依据。无上年度数据的新成立企业可不填报。 </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spacing w:after="160" w:line="259" w:lineRule="auto"/>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（5）声明是残疾人福利性单位须填写《残疾人福利性单位声明函》的相关内容，具体参照以上《中小企业声明函》填写要求执行。</w:t>
      </w:r>
    </w:p>
    <w:p>
      <w:pPr>
        <w:widowControl w:val="0"/>
        <w:spacing w:after="160" w:line="259" w:lineRule="auto"/>
        <w:ind w:firstLine="420" w:firstLineChars="200"/>
        <w:jc w:val="both"/>
        <w:outlineLvl w:val="3"/>
        <w:rPr>
          <w:rFonts w:ascii="仿宋_GB2312" w:eastAsia="仿宋_GB2312" w:hAnsi="仿宋_GB2312" w:cs="仿宋_GB2312"/>
          <w:color w:val="000000"/>
          <w:sz w:val="31"/>
          <w:szCs w:val="31"/>
          <w:lang w:eastAsia="zh-CN" w:bidi="ar"/>
        </w:rPr>
      </w:pPr>
      <w:r>
        <w:rPr>
          <w:rFonts w:ascii="黑体" w:eastAsia="黑体" w:hAnsi="宋体" w:hint="eastAsia"/>
          <w:bCs/>
          <w:color w:val="FF0000"/>
          <w:sz w:val="21"/>
          <w:szCs w:val="21"/>
          <w:lang w:eastAsia="zh-CN"/>
        </w:rPr>
        <w:t>（6）声明是监狱企业须填写《监狱企业声明函》的三项内容（填写位置的字体已加粗），具体参照以上《中小企业声明函》填写要求执行。</w:t>
      </w:r>
    </w:p>
    <w:p>
      <w:pPr>
        <w:widowControl w:val="0"/>
        <w:spacing w:after="160" w:line="259" w:lineRule="auto"/>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spacing w:after="160" w:line="259" w:lineRule="auto"/>
        <w:ind w:firstLine="420" w:firstLineChars="200"/>
        <w:jc w:val="both"/>
        <w:rPr>
          <w:rFonts w:ascii="黑体" w:eastAsia="黑体" w:hAnsi="黑体" w:cs="黑体"/>
          <w:color w:val="FF0000"/>
          <w:kern w:val="2"/>
          <w:sz w:val="21"/>
          <w:lang w:eastAsia="zh-CN"/>
        </w:rPr>
      </w:pPr>
    </w:p>
    <w:p>
      <w:pPr>
        <w:widowControl w:val="0"/>
        <w:spacing w:after="160" w:line="259" w:lineRule="auto"/>
        <w:ind w:firstLine="420" w:firstLineChars="200"/>
        <w:jc w:val="both"/>
        <w:rPr>
          <w:rFonts w:eastAsia="宋体"/>
          <w:kern w:val="2"/>
          <w:sz w:val="21"/>
          <w:lang w:eastAsia="zh-CN"/>
        </w:rPr>
      </w:pPr>
    </w:p>
    <w:p>
      <w:pPr>
        <w:widowControl w:val="0"/>
        <w:spacing w:after="160" w:line="259" w:lineRule="auto"/>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（货物）</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郑重声明，根据《政府采购促进中小企业发展管理办法》（财库</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2020</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46号）的规定，本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参加</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单位</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hint="eastAsia"/>
          <w:b/>
          <w:b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（项目名称）</w:t>
      </w:r>
      <w:r>
        <w:rPr>
          <w:rFonts w:ascii="宋体" w:eastAsia="宋体" w:hAnsi="宋体" w:hint="eastAsia"/>
          <w:kern w:val="2"/>
          <w:sz w:val="21"/>
          <w:szCs w:val="21"/>
          <w:lang w:eastAsia="zh-CN"/>
        </w:rPr>
        <w:t>采购活动，提供的货物全部由符合政策要求的中小企业制造。相关企业（含联合体中的中小企业、签订分包意向协议的中小企业）的具体情况如下</w:t>
      </w:r>
      <w:r>
        <w:rPr>
          <w:rFonts w:ascii="宋体" w:eastAsia="宋体" w:hAnsi="宋体"/>
          <w:kern w:val="2"/>
          <w:sz w:val="21"/>
          <w:szCs w:val="21"/>
          <w:lang w:eastAsia="zh-CN"/>
        </w:rPr>
        <w:t>：</w:t>
      </w:r>
    </w:p>
    <w:p>
      <w:pPr>
        <w:widowControl w:val="0"/>
        <w:spacing w:after="160" w:line="259"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after="160" w:line="259"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after="160" w:line="259"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spacing w:after="160" w:line="259" w:lineRule="auto"/>
        <w:ind w:firstLine="420" w:firstLineChars="200"/>
        <w:jc w:val="both"/>
        <w:rPr>
          <w:rFonts w:ascii="宋体" w:eastAsia="宋体" w:hAnsi="宋体" w:cs="宋体"/>
          <w:kern w:val="2"/>
          <w:sz w:val="21"/>
          <w:szCs w:val="21"/>
          <w:lang w:eastAsia="zh-CN"/>
        </w:rPr>
      </w:pPr>
    </w:p>
    <w:p>
      <w:pPr>
        <w:widowControl w:val="0"/>
        <w:spacing w:after="160" w:line="259"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after="160" w:line="259" w:lineRule="auto"/>
        <w:ind w:firstLine="420" w:firstLineChars="200"/>
        <w:jc w:val="both"/>
        <w:rPr>
          <w:rFonts w:ascii="宋体" w:eastAsia="宋体" w:hAnsi="宋体" w:cs="宋体"/>
          <w:kern w:val="2"/>
          <w:sz w:val="21"/>
          <w:szCs w:val="21"/>
          <w:lang w:eastAsia="zh-CN"/>
        </w:rPr>
      </w:pPr>
      <w:bookmarkStart w:id="44"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after="160" w:line="259"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4"/>
    </w:p>
    <w:p>
      <w:pPr>
        <w:widowControl w:val="0"/>
        <w:spacing w:after="160" w:line="259" w:lineRule="auto"/>
        <w:jc w:val="both"/>
        <w:rPr>
          <w:rFonts w:ascii="宋体" w:eastAsia="宋体" w:hAnsi="宋体"/>
          <w:bCs/>
          <w:color w:val="FF0000"/>
          <w:sz w:val="21"/>
          <w:szCs w:val="21"/>
          <w:lang w:eastAsia="zh-CN"/>
        </w:rPr>
      </w:pPr>
    </w:p>
    <w:p>
      <w:pPr>
        <w:widowControl w:val="0"/>
        <w:spacing w:after="160" w:line="259" w:lineRule="auto"/>
        <w:jc w:val="both"/>
        <w:rPr>
          <w:rFonts w:eastAsia="宋体"/>
          <w:kern w:val="2"/>
          <w:sz w:val="21"/>
          <w:lang w:eastAsia="zh-CN"/>
        </w:rPr>
      </w:pPr>
    </w:p>
    <w:p>
      <w:pPr>
        <w:widowControl w:val="0"/>
        <w:spacing w:after="160" w:line="259" w:lineRule="auto"/>
        <w:ind w:firstLine="420" w:firstLineChars="200"/>
        <w:jc w:val="both"/>
        <w:rPr>
          <w:rFonts w:eastAsia="宋体"/>
          <w:kern w:val="2"/>
          <w:sz w:val="21"/>
          <w:lang w:eastAsia="zh-CN"/>
        </w:rPr>
      </w:pPr>
    </w:p>
    <w:p>
      <w:pPr>
        <w:widowControl w:val="0"/>
        <w:spacing w:after="160" w:line="259" w:lineRule="auto"/>
        <w:jc w:val="center"/>
        <w:outlineLvl w:val="3"/>
        <w:rPr>
          <w:rFonts w:eastAsia="宋体"/>
          <w:b/>
          <w:kern w:val="2"/>
          <w:lang w:eastAsia="zh-CN"/>
        </w:rPr>
      </w:pPr>
      <w:r>
        <w:rPr>
          <w:rFonts w:eastAsia="宋体" w:hint="eastAsia"/>
          <w:b/>
          <w:kern w:val="2"/>
          <w:lang w:eastAsia="zh-CN"/>
        </w:rPr>
        <w:t>2、残疾人福利性单位声明函（货物类）</w:t>
      </w:r>
    </w:p>
    <w:p>
      <w:pPr>
        <w:widowControl w:val="0"/>
        <w:spacing w:after="160" w:line="259" w:lineRule="auto"/>
        <w:jc w:val="both"/>
        <w:rPr>
          <w:rFonts w:eastAsia="宋体"/>
          <w:b/>
          <w:bCs/>
          <w:kern w:val="2"/>
          <w:sz w:val="21"/>
          <w:lang w:eastAsia="zh-CN"/>
        </w:rPr>
      </w:pPr>
    </w:p>
    <w:p>
      <w:pPr>
        <w:widowControl w:val="0"/>
        <w:spacing w:after="160" w:line="259" w:lineRule="auto"/>
        <w:ind w:firstLine="420" w:firstLineChars="200"/>
        <w:jc w:val="both"/>
        <w:rPr>
          <w:rFonts w:ascii="宋体" w:eastAsia="宋体" w:hAnsi="宋体" w:cs="宋体"/>
          <w:kern w:val="2"/>
          <w:sz w:val="21"/>
          <w:szCs w:val="21"/>
          <w:lang w:eastAsia="zh-CN"/>
        </w:rPr>
      </w:pPr>
      <w:bookmarkStart w:id="45" w:name="_Hlk73562331"/>
      <w:bookmarkStart w:id="46"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after="160" w:line="259"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after="160" w:line="259"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5"/>
    </w:p>
    <w:bookmarkEnd w:id="46"/>
    <w:p>
      <w:pPr>
        <w:widowControl w:val="0"/>
        <w:spacing w:after="160" w:line="259" w:lineRule="auto"/>
        <w:ind w:firstLine="420" w:firstLineChars="200"/>
        <w:jc w:val="both"/>
        <w:rPr>
          <w:rFonts w:ascii="宋体" w:eastAsia="宋体" w:hAnsi="宋体"/>
          <w:kern w:val="2"/>
          <w:sz w:val="21"/>
          <w:szCs w:val="21"/>
          <w:lang w:eastAsia="zh-CN"/>
        </w:rPr>
      </w:pPr>
    </w:p>
    <w:p>
      <w:pPr>
        <w:widowControl w:val="0"/>
        <w:spacing w:after="160" w:line="259" w:lineRule="auto"/>
        <w:ind w:firstLine="420" w:firstLineChars="200"/>
        <w:jc w:val="both"/>
        <w:rPr>
          <w:rFonts w:ascii="宋体" w:eastAsia="宋体" w:hAnsi="宋体"/>
          <w:kern w:val="2"/>
          <w:sz w:val="21"/>
          <w:szCs w:val="21"/>
          <w:lang w:eastAsia="zh-CN"/>
        </w:rPr>
      </w:pPr>
    </w:p>
    <w:p>
      <w:pPr>
        <w:widowControl w:val="0"/>
        <w:spacing w:after="160" w:line="259" w:lineRule="auto"/>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附：省级以上监狱管理局、戒毒管理局（含新疆生产建设兵团）出具的监狱企业证明文件。    </w:t>
      </w:r>
    </w:p>
    <w:p>
      <w:pPr>
        <w:widowControl w:val="0"/>
        <w:spacing w:after="160" w:line="360" w:lineRule="auto"/>
        <w:jc w:val="both"/>
        <w:rPr>
          <w:rFonts w:eastAsia="宋体"/>
          <w:b/>
          <w:bCs/>
          <w:kern w:val="2"/>
          <w:lang w:eastAsia="zh-CN"/>
        </w:rPr>
      </w:pPr>
    </w:p>
    <w:p>
      <w:pPr>
        <w:widowControl w:val="0"/>
        <w:spacing w:after="160" w:line="259" w:lineRule="auto"/>
        <w:jc w:val="both"/>
        <w:outlineLvl w:val="3"/>
        <w:rPr>
          <w:rFonts w:ascii="黑体" w:eastAsia="黑体" w:hAnsi="宋体"/>
          <w:bCs/>
          <w:szCs w:val="32"/>
          <w:lang w:eastAsia="zh-CN"/>
        </w:rPr>
      </w:pPr>
      <w:r>
        <w:rPr>
          <w:rFonts w:ascii="黑体" w:eastAsia="黑体" w:hAnsi="宋体" w:hint="eastAsia"/>
          <w:bCs/>
          <w:szCs w:val="32"/>
          <w:lang w:eastAsia="zh-CN"/>
        </w:rPr>
        <w:t>（三）《供应商基本情况表》</w:t>
      </w:r>
    </w:p>
    <w:p>
      <w:pPr>
        <w:widowControl w:val="0"/>
        <w:spacing w:after="160" w:line="75" w:lineRule="exact"/>
        <w:jc w:val="both"/>
        <w:rPr>
          <w:rFonts w:ascii="宋体" w:eastAsia="宋体" w:hAnsi="宋体" w:cs="宋体"/>
          <w:color w:val="000000"/>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9"/>
        <w:gridCol w:w="1486"/>
        <w:gridCol w:w="878"/>
        <w:gridCol w:w="734"/>
        <w:gridCol w:w="1109"/>
        <w:gridCol w:w="1391"/>
        <w:gridCol w:w="1401"/>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1315" w:type="dxa"/>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rPr>
              <w:t>采购人</w:t>
            </w:r>
          </w:p>
        </w:tc>
        <w:tc>
          <w:tcPr>
            <w:tcW w:w="2369" w:type="dxa"/>
            <w:gridSpan w:val="2"/>
            <w:vAlign w:val="center"/>
          </w:tcPr>
          <w:p>
            <w:pPr>
              <w:widowControl w:val="0"/>
              <w:jc w:val="both"/>
              <w:rPr>
                <w:rFonts w:ascii="宋体" w:hAnsi="宋体" w:cs="宋体"/>
                <w:color w:val="000000"/>
                <w:kern w:val="2"/>
                <w:sz w:val="21"/>
                <w:szCs w:val="21"/>
                <w:lang w:eastAsia="zh-CN"/>
              </w:rPr>
            </w:pPr>
          </w:p>
        </w:tc>
        <w:tc>
          <w:tcPr>
            <w:tcW w:w="1847" w:type="dxa"/>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rPr>
              <w:t>项目名称</w:t>
            </w:r>
          </w:p>
        </w:tc>
        <w:tc>
          <w:tcPr>
            <w:tcW w:w="2798" w:type="dxa"/>
            <w:gridSpan w:val="2"/>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1315" w:type="dxa"/>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投标（响应）供应商</w:t>
            </w:r>
          </w:p>
        </w:tc>
        <w:tc>
          <w:tcPr>
            <w:tcW w:w="2369" w:type="dxa"/>
            <w:gridSpan w:val="2"/>
            <w:vAlign w:val="center"/>
          </w:tcPr>
          <w:p>
            <w:pPr>
              <w:widowControl w:val="0"/>
              <w:jc w:val="both"/>
              <w:rPr>
                <w:rFonts w:ascii="宋体" w:hAnsi="宋体" w:cs="宋体"/>
                <w:color w:val="000000"/>
                <w:kern w:val="2"/>
                <w:sz w:val="21"/>
                <w:szCs w:val="21"/>
                <w:lang w:eastAsia="zh-CN"/>
              </w:rPr>
            </w:pPr>
          </w:p>
        </w:tc>
        <w:tc>
          <w:tcPr>
            <w:tcW w:w="1847" w:type="dxa"/>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供应商统一社会信用代码</w:t>
            </w:r>
          </w:p>
        </w:tc>
        <w:tc>
          <w:tcPr>
            <w:tcW w:w="2798" w:type="dxa"/>
            <w:gridSpan w:val="2"/>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8329" w:type="dxa"/>
            <w:gridSpan w:val="8"/>
            <w:vAlign w:val="center"/>
          </w:tcPr>
          <w:p>
            <w:pPr>
              <w:widowControl w:val="0"/>
              <w:spacing w:line="198" w:lineRule="auto"/>
              <w:ind w:left="2683"/>
              <w:jc w:val="bot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685" w:type="dxa"/>
            <w:vAlign w:val="center"/>
          </w:tcPr>
          <w:p>
            <w:pPr>
              <w:widowControl w:val="0"/>
              <w:spacing w:line="202" w:lineRule="auto"/>
              <w:ind w:left="145"/>
              <w:jc w:val="both"/>
              <w:rPr>
                <w:rFonts w:ascii="宋体" w:hAnsi="宋体" w:cs="宋体"/>
                <w:color w:val="000000"/>
                <w:spacing w:val="-5"/>
                <w:kern w:val="2"/>
                <w:sz w:val="21"/>
                <w:szCs w:val="21"/>
                <w:lang w:eastAsia="zh-CN"/>
              </w:rPr>
            </w:pPr>
            <w:r>
              <w:rPr>
                <w:rFonts w:ascii="宋体" w:hAnsi="宋体" w:cs="宋体" w:hint="eastAsia"/>
                <w:color w:val="000000"/>
                <w:spacing w:val="-5"/>
                <w:kern w:val="2"/>
                <w:sz w:val="21"/>
                <w:szCs w:val="21"/>
                <w:lang w:eastAsia="zh-CN"/>
              </w:rPr>
              <w:t>序号</w:t>
            </w:r>
          </w:p>
        </w:tc>
        <w:tc>
          <w:tcPr>
            <w:tcW w:w="2119" w:type="dxa"/>
            <w:gridSpan w:val="2"/>
            <w:vAlign w:val="center"/>
          </w:tcPr>
          <w:p>
            <w:pPr>
              <w:widowControl w:val="0"/>
              <w:spacing w:line="202" w:lineRule="auto"/>
              <w:ind w:left="916"/>
              <w:jc w:val="both"/>
              <w:rPr>
                <w:rFonts w:ascii="宋体" w:hAnsi="宋体" w:cs="宋体"/>
                <w:color w:val="000000"/>
                <w:spacing w:val="-6"/>
                <w:kern w:val="2"/>
                <w:sz w:val="21"/>
                <w:szCs w:val="21"/>
                <w:lang w:eastAsia="zh-CN"/>
              </w:rPr>
            </w:pPr>
            <w:r>
              <w:rPr>
                <w:rFonts w:ascii="宋体" w:hAnsi="宋体" w:cs="宋体" w:hint="eastAsia"/>
                <w:color w:val="000000"/>
                <w:spacing w:val="-6"/>
                <w:kern w:val="2"/>
                <w:sz w:val="21"/>
                <w:szCs w:val="21"/>
                <w:lang w:eastAsia="zh-CN"/>
              </w:rPr>
              <w:t>职务</w:t>
            </w:r>
          </w:p>
        </w:tc>
        <w:tc>
          <w:tcPr>
            <w:tcW w:w="880" w:type="dxa"/>
            <w:vAlign w:val="center"/>
          </w:tcPr>
          <w:p>
            <w:pPr>
              <w:widowControl w:val="0"/>
              <w:spacing w:line="203" w:lineRule="auto"/>
              <w:ind w:left="245"/>
              <w:jc w:val="both"/>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姓名</w:t>
            </w:r>
          </w:p>
        </w:tc>
        <w:tc>
          <w:tcPr>
            <w:tcW w:w="1847" w:type="dxa"/>
            <w:gridSpan w:val="2"/>
            <w:vAlign w:val="center"/>
          </w:tcPr>
          <w:p>
            <w:pPr>
              <w:widowControl w:val="0"/>
              <w:spacing w:line="203" w:lineRule="auto"/>
              <w:ind w:left="410"/>
              <w:jc w:val="both"/>
              <w:rPr>
                <w:rFonts w:ascii="宋体" w:hAnsi="宋体" w:cs="宋体"/>
                <w:color w:val="000000"/>
                <w:spacing w:val="-3"/>
                <w:kern w:val="2"/>
                <w:sz w:val="21"/>
                <w:szCs w:val="21"/>
                <w:lang w:eastAsia="zh-CN"/>
              </w:rPr>
            </w:pPr>
            <w:r>
              <w:rPr>
                <w:rFonts w:ascii="宋体" w:hAnsi="宋体" w:cs="宋体" w:hint="eastAsia"/>
                <w:color w:val="000000"/>
                <w:spacing w:val="-3"/>
                <w:kern w:val="2"/>
                <w:sz w:val="21"/>
                <w:szCs w:val="21"/>
                <w:lang w:eastAsia="zh-CN"/>
              </w:rPr>
              <w:t>身份证号码</w:t>
            </w:r>
          </w:p>
        </w:tc>
        <w:tc>
          <w:tcPr>
            <w:tcW w:w="1394" w:type="dxa"/>
            <w:vAlign w:val="center"/>
          </w:tcPr>
          <w:p>
            <w:pPr>
              <w:widowControl w:val="0"/>
              <w:spacing w:line="191" w:lineRule="auto"/>
              <w:ind w:left="288" w:right="266" w:firstLine="5"/>
              <w:jc w:val="both"/>
              <w:rPr>
                <w:rFonts w:ascii="宋体" w:hAnsi="宋体" w:cs="宋体"/>
                <w:color w:val="000000"/>
                <w:spacing w:val="-7"/>
                <w:kern w:val="2"/>
                <w:sz w:val="21"/>
                <w:szCs w:val="21"/>
                <w:lang w:eastAsia="zh-CN"/>
              </w:rPr>
            </w:pPr>
            <w:r>
              <w:rPr>
                <w:rFonts w:ascii="宋体" w:hAnsi="宋体" w:cs="宋体" w:hint="eastAsia"/>
                <w:color w:val="000000"/>
                <w:spacing w:val="-7"/>
                <w:kern w:val="2"/>
                <w:sz w:val="21"/>
                <w:szCs w:val="21"/>
                <w:lang w:eastAsia="zh-CN"/>
              </w:rPr>
              <w:t>劳动合同</w:t>
            </w:r>
          </w:p>
          <w:p>
            <w:pPr>
              <w:widowControl w:val="0"/>
              <w:spacing w:line="191" w:lineRule="auto"/>
              <w:ind w:left="288" w:right="266" w:firstLine="5"/>
              <w:jc w:val="both"/>
              <w:rPr>
                <w:rFonts w:ascii="宋体" w:hAnsi="宋体" w:cs="宋体"/>
                <w:color w:val="000000"/>
                <w:spacing w:val="-7"/>
                <w:kern w:val="2"/>
                <w:sz w:val="21"/>
                <w:szCs w:val="21"/>
                <w:lang w:eastAsia="zh-CN"/>
              </w:rPr>
            </w:pPr>
            <w:r>
              <w:rPr>
                <w:rFonts w:ascii="宋体" w:hAnsi="宋体" w:cs="宋体" w:hint="eastAsia"/>
                <w:color w:val="000000"/>
                <w:spacing w:val="-7"/>
                <w:kern w:val="2"/>
                <w:sz w:val="21"/>
                <w:szCs w:val="21"/>
                <w:lang w:eastAsia="zh-CN"/>
              </w:rPr>
              <w:t>关系单位</w:t>
            </w:r>
          </w:p>
        </w:tc>
        <w:tc>
          <w:tcPr>
            <w:tcW w:w="1404" w:type="dxa"/>
            <w:vAlign w:val="center"/>
          </w:tcPr>
          <w:p>
            <w:pPr>
              <w:widowControl w:val="0"/>
              <w:spacing w:line="191" w:lineRule="auto"/>
              <w:ind w:left="271" w:right="262" w:firstLine="8"/>
              <w:jc w:val="both"/>
              <w:rPr>
                <w:rFonts w:ascii="宋体" w:hAnsi="宋体" w:cs="宋体"/>
                <w:color w:val="000000"/>
                <w:spacing w:val="-5"/>
                <w:kern w:val="2"/>
                <w:sz w:val="21"/>
                <w:szCs w:val="21"/>
                <w:lang w:eastAsia="zh-CN"/>
              </w:rPr>
            </w:pPr>
            <w:r>
              <w:rPr>
                <w:rFonts w:ascii="宋体" w:hAnsi="宋体" w:cs="宋体" w:hint="eastAsia"/>
                <w:color w:val="000000"/>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685" w:type="dxa"/>
            <w:vAlign w:val="center"/>
          </w:tcPr>
          <w:p>
            <w:pPr>
              <w:widowControl w:val="0"/>
              <w:spacing w:line="169" w:lineRule="auto"/>
              <w:ind w:left="321"/>
              <w:jc w:val="both"/>
              <w:rPr>
                <w:rFonts w:ascii="宋体" w:hAnsi="宋体" w:cs="宋体"/>
                <w:color w:val="000000"/>
                <w:kern w:val="2"/>
                <w:sz w:val="21"/>
                <w:szCs w:val="21"/>
              </w:rPr>
            </w:pPr>
            <w:r>
              <w:rPr>
                <w:rFonts w:ascii="宋体" w:hAnsi="宋体" w:cs="宋体" w:hint="eastAsia"/>
                <w:color w:val="000000"/>
                <w:kern w:val="2"/>
                <w:sz w:val="21"/>
                <w:szCs w:val="21"/>
              </w:rPr>
              <w:t>1</w:t>
            </w:r>
          </w:p>
        </w:tc>
        <w:tc>
          <w:tcPr>
            <w:tcW w:w="2119" w:type="dxa"/>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880" w:type="dxa"/>
            <w:vAlign w:val="center"/>
          </w:tcPr>
          <w:p>
            <w:pPr>
              <w:widowControl w:val="0"/>
              <w:jc w:val="both"/>
              <w:rPr>
                <w:rFonts w:ascii="宋体" w:hAnsi="宋体" w:cs="宋体"/>
                <w:color w:val="000000"/>
                <w:kern w:val="2"/>
                <w:sz w:val="21"/>
                <w:szCs w:val="21"/>
                <w:lang w:eastAsia="zh-CN"/>
              </w:rPr>
            </w:pPr>
          </w:p>
        </w:tc>
        <w:tc>
          <w:tcPr>
            <w:tcW w:w="1847" w:type="dxa"/>
            <w:gridSpan w:val="2"/>
            <w:vAlign w:val="center"/>
          </w:tcPr>
          <w:p>
            <w:pPr>
              <w:widowControl w:val="0"/>
              <w:jc w:val="both"/>
              <w:rPr>
                <w:rFonts w:ascii="宋体" w:hAnsi="宋体" w:cs="宋体"/>
                <w:color w:val="000000"/>
                <w:kern w:val="2"/>
                <w:sz w:val="21"/>
                <w:szCs w:val="21"/>
                <w:lang w:eastAsia="zh-CN"/>
              </w:rPr>
            </w:pPr>
          </w:p>
        </w:tc>
        <w:tc>
          <w:tcPr>
            <w:tcW w:w="1394" w:type="dxa"/>
            <w:vAlign w:val="center"/>
          </w:tcPr>
          <w:p>
            <w:pPr>
              <w:widowControl w:val="0"/>
              <w:jc w:val="both"/>
              <w:rPr>
                <w:rFonts w:ascii="宋体" w:hAnsi="宋体" w:cs="宋体"/>
                <w:color w:val="000000"/>
                <w:kern w:val="2"/>
                <w:sz w:val="21"/>
                <w:szCs w:val="21"/>
                <w:lang w:eastAsia="zh-CN"/>
              </w:rPr>
            </w:pPr>
          </w:p>
        </w:tc>
        <w:tc>
          <w:tcPr>
            <w:tcW w:w="1404" w:type="dxa"/>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5" w:type="dxa"/>
            <w:vAlign w:val="center"/>
          </w:tcPr>
          <w:p>
            <w:pPr>
              <w:widowControl w:val="0"/>
              <w:spacing w:line="168" w:lineRule="auto"/>
              <w:ind w:left="322"/>
              <w:jc w:val="both"/>
              <w:rPr>
                <w:rFonts w:ascii="宋体" w:hAnsi="宋体" w:cs="宋体"/>
                <w:color w:val="000000"/>
                <w:kern w:val="2"/>
                <w:sz w:val="21"/>
                <w:szCs w:val="21"/>
              </w:rPr>
            </w:pPr>
            <w:r>
              <w:rPr>
                <w:rFonts w:ascii="宋体" w:hAnsi="宋体" w:cs="宋体" w:hint="eastAsia"/>
                <w:color w:val="000000"/>
                <w:kern w:val="2"/>
                <w:sz w:val="21"/>
                <w:szCs w:val="21"/>
              </w:rPr>
              <w:t>2</w:t>
            </w:r>
          </w:p>
        </w:tc>
        <w:tc>
          <w:tcPr>
            <w:tcW w:w="2119" w:type="dxa"/>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880" w:type="dxa"/>
            <w:vAlign w:val="center"/>
          </w:tcPr>
          <w:p>
            <w:pPr>
              <w:widowControl w:val="0"/>
              <w:jc w:val="both"/>
              <w:rPr>
                <w:rFonts w:ascii="宋体" w:hAnsi="宋体" w:cs="宋体"/>
                <w:color w:val="000000"/>
                <w:kern w:val="2"/>
                <w:sz w:val="21"/>
                <w:szCs w:val="21"/>
                <w:lang w:eastAsia="zh-CN"/>
              </w:rPr>
            </w:pPr>
          </w:p>
        </w:tc>
        <w:tc>
          <w:tcPr>
            <w:tcW w:w="1847" w:type="dxa"/>
            <w:gridSpan w:val="2"/>
            <w:vAlign w:val="center"/>
          </w:tcPr>
          <w:p>
            <w:pPr>
              <w:widowControl w:val="0"/>
              <w:jc w:val="both"/>
              <w:rPr>
                <w:rFonts w:ascii="宋体" w:hAnsi="宋体" w:cs="宋体"/>
                <w:color w:val="000000"/>
                <w:kern w:val="2"/>
                <w:sz w:val="21"/>
                <w:szCs w:val="21"/>
                <w:lang w:eastAsia="zh-CN"/>
              </w:rPr>
            </w:pPr>
          </w:p>
        </w:tc>
        <w:tc>
          <w:tcPr>
            <w:tcW w:w="1394" w:type="dxa"/>
            <w:vAlign w:val="center"/>
          </w:tcPr>
          <w:p>
            <w:pPr>
              <w:widowControl w:val="0"/>
              <w:jc w:val="both"/>
              <w:rPr>
                <w:rFonts w:ascii="宋体" w:hAnsi="宋体" w:cs="宋体"/>
                <w:color w:val="000000"/>
                <w:kern w:val="2"/>
                <w:sz w:val="21"/>
                <w:szCs w:val="21"/>
                <w:lang w:eastAsia="zh-CN"/>
              </w:rPr>
            </w:pPr>
          </w:p>
        </w:tc>
        <w:tc>
          <w:tcPr>
            <w:tcW w:w="1404" w:type="dxa"/>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5" w:type="dxa"/>
            <w:vAlign w:val="center"/>
          </w:tcPr>
          <w:p>
            <w:pPr>
              <w:widowControl w:val="0"/>
              <w:spacing w:line="167" w:lineRule="auto"/>
              <w:ind w:left="321"/>
              <w:jc w:val="both"/>
              <w:rPr>
                <w:rFonts w:ascii="宋体" w:hAnsi="宋体" w:cs="宋体"/>
                <w:color w:val="000000"/>
                <w:kern w:val="2"/>
                <w:sz w:val="21"/>
                <w:szCs w:val="21"/>
              </w:rPr>
            </w:pPr>
            <w:r>
              <w:rPr>
                <w:rFonts w:ascii="宋体" w:hAnsi="宋体" w:cs="宋体" w:hint="eastAsia"/>
                <w:color w:val="000000"/>
                <w:kern w:val="2"/>
                <w:sz w:val="21"/>
                <w:szCs w:val="21"/>
              </w:rPr>
              <w:t>3</w:t>
            </w:r>
          </w:p>
        </w:tc>
        <w:tc>
          <w:tcPr>
            <w:tcW w:w="2119" w:type="dxa"/>
            <w:gridSpan w:val="2"/>
            <w:vAlign w:val="center"/>
          </w:tcPr>
          <w:p>
            <w:pPr>
              <w:widowControl w:val="0"/>
              <w:spacing w:line="201" w:lineRule="auto"/>
              <w:jc w:val="center"/>
              <w:rPr>
                <w:rFonts w:ascii="宋体" w:hAnsi="宋体" w:cs="宋体"/>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880" w:type="dxa"/>
            <w:vAlign w:val="center"/>
          </w:tcPr>
          <w:p>
            <w:pPr>
              <w:widowControl w:val="0"/>
              <w:jc w:val="both"/>
              <w:rPr>
                <w:rFonts w:ascii="宋体" w:hAnsi="宋体" w:cs="宋体"/>
                <w:color w:val="000000"/>
                <w:kern w:val="2"/>
                <w:sz w:val="21"/>
                <w:szCs w:val="21"/>
                <w:lang w:eastAsia="zh-CN"/>
              </w:rPr>
            </w:pPr>
          </w:p>
        </w:tc>
        <w:tc>
          <w:tcPr>
            <w:tcW w:w="1847" w:type="dxa"/>
            <w:gridSpan w:val="2"/>
            <w:vAlign w:val="center"/>
          </w:tcPr>
          <w:p>
            <w:pPr>
              <w:widowControl w:val="0"/>
              <w:jc w:val="both"/>
              <w:rPr>
                <w:rFonts w:ascii="宋体" w:hAnsi="宋体" w:cs="宋体"/>
                <w:color w:val="000000"/>
                <w:kern w:val="2"/>
                <w:sz w:val="21"/>
                <w:szCs w:val="21"/>
                <w:lang w:eastAsia="zh-CN"/>
              </w:rPr>
            </w:pPr>
          </w:p>
        </w:tc>
        <w:tc>
          <w:tcPr>
            <w:tcW w:w="1394" w:type="dxa"/>
            <w:vAlign w:val="center"/>
          </w:tcPr>
          <w:p>
            <w:pPr>
              <w:widowControl w:val="0"/>
              <w:jc w:val="both"/>
              <w:rPr>
                <w:rFonts w:ascii="宋体" w:hAnsi="宋体" w:cs="宋体"/>
                <w:color w:val="000000"/>
                <w:kern w:val="2"/>
                <w:sz w:val="21"/>
                <w:szCs w:val="21"/>
                <w:lang w:eastAsia="zh-CN"/>
              </w:rPr>
            </w:pPr>
          </w:p>
        </w:tc>
        <w:tc>
          <w:tcPr>
            <w:tcW w:w="1404" w:type="dxa"/>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5" w:type="dxa"/>
            <w:vAlign w:val="center"/>
          </w:tcPr>
          <w:p>
            <w:pPr>
              <w:widowControl w:val="0"/>
              <w:spacing w:line="168" w:lineRule="auto"/>
              <w:ind w:left="314"/>
              <w:jc w:val="both"/>
              <w:rPr>
                <w:rFonts w:ascii="宋体" w:hAnsi="宋体" w:cs="宋体"/>
                <w:color w:val="000000"/>
                <w:kern w:val="2"/>
                <w:sz w:val="21"/>
                <w:szCs w:val="21"/>
              </w:rPr>
            </w:pPr>
            <w:r>
              <w:rPr>
                <w:rFonts w:ascii="宋体" w:hAnsi="宋体" w:cs="宋体" w:hint="eastAsia"/>
                <w:color w:val="000000"/>
                <w:kern w:val="2"/>
                <w:sz w:val="21"/>
                <w:szCs w:val="21"/>
              </w:rPr>
              <w:t>4</w:t>
            </w:r>
          </w:p>
        </w:tc>
        <w:tc>
          <w:tcPr>
            <w:tcW w:w="2119" w:type="dxa"/>
            <w:gridSpan w:val="2"/>
            <w:vAlign w:val="center"/>
          </w:tcPr>
          <w:p>
            <w:pPr>
              <w:widowControl w:val="0"/>
              <w:spacing w:line="202" w:lineRule="auto"/>
              <w:jc w:val="center"/>
              <w:rPr>
                <w:rFonts w:ascii="宋体" w:hAnsi="宋体" w:cs="宋体"/>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880" w:type="dxa"/>
            <w:vAlign w:val="center"/>
          </w:tcPr>
          <w:p>
            <w:pPr>
              <w:widowControl w:val="0"/>
              <w:jc w:val="both"/>
              <w:rPr>
                <w:rFonts w:ascii="宋体" w:hAnsi="宋体" w:cs="宋体"/>
                <w:color w:val="000000"/>
                <w:kern w:val="2"/>
                <w:sz w:val="21"/>
                <w:szCs w:val="21"/>
                <w:lang w:eastAsia="zh-CN"/>
              </w:rPr>
            </w:pPr>
          </w:p>
        </w:tc>
        <w:tc>
          <w:tcPr>
            <w:tcW w:w="1847" w:type="dxa"/>
            <w:gridSpan w:val="2"/>
            <w:vAlign w:val="center"/>
          </w:tcPr>
          <w:p>
            <w:pPr>
              <w:widowControl w:val="0"/>
              <w:jc w:val="both"/>
              <w:rPr>
                <w:rFonts w:ascii="宋体" w:hAnsi="宋体" w:cs="宋体"/>
                <w:color w:val="000000"/>
                <w:kern w:val="2"/>
                <w:sz w:val="21"/>
                <w:szCs w:val="21"/>
                <w:lang w:eastAsia="zh-CN"/>
              </w:rPr>
            </w:pPr>
          </w:p>
        </w:tc>
        <w:tc>
          <w:tcPr>
            <w:tcW w:w="1394" w:type="dxa"/>
            <w:vAlign w:val="center"/>
          </w:tcPr>
          <w:p>
            <w:pPr>
              <w:widowControl w:val="0"/>
              <w:jc w:val="both"/>
              <w:rPr>
                <w:rFonts w:ascii="宋体" w:hAnsi="宋体" w:cs="宋体"/>
                <w:color w:val="000000"/>
                <w:kern w:val="2"/>
                <w:sz w:val="21"/>
                <w:szCs w:val="21"/>
                <w:lang w:eastAsia="zh-CN"/>
              </w:rPr>
            </w:pPr>
          </w:p>
        </w:tc>
        <w:tc>
          <w:tcPr>
            <w:tcW w:w="1404" w:type="dxa"/>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5" w:type="dxa"/>
            <w:vAlign w:val="center"/>
          </w:tcPr>
          <w:p>
            <w:pPr>
              <w:widowControl w:val="0"/>
              <w:spacing w:line="165" w:lineRule="auto"/>
              <w:ind w:left="325"/>
              <w:jc w:val="both"/>
              <w:rPr>
                <w:rFonts w:ascii="宋体" w:hAnsi="宋体" w:cs="宋体"/>
                <w:color w:val="000000"/>
                <w:kern w:val="2"/>
                <w:sz w:val="21"/>
                <w:szCs w:val="21"/>
              </w:rPr>
            </w:pPr>
            <w:r>
              <w:rPr>
                <w:rFonts w:ascii="宋体" w:hAnsi="宋体" w:cs="宋体" w:hint="eastAsia"/>
                <w:color w:val="000000"/>
                <w:kern w:val="2"/>
                <w:sz w:val="21"/>
                <w:szCs w:val="21"/>
              </w:rPr>
              <w:t>5</w:t>
            </w:r>
          </w:p>
        </w:tc>
        <w:tc>
          <w:tcPr>
            <w:tcW w:w="2119" w:type="dxa"/>
            <w:gridSpan w:val="2"/>
            <w:vAlign w:val="center"/>
          </w:tcPr>
          <w:p>
            <w:pPr>
              <w:widowControl w:val="0"/>
              <w:spacing w:line="202" w:lineRule="auto"/>
              <w:jc w:val="center"/>
              <w:rPr>
                <w:rFonts w:ascii="宋体" w:hAnsi="宋体" w:cs="宋体"/>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880" w:type="dxa"/>
            <w:vAlign w:val="center"/>
          </w:tcPr>
          <w:p>
            <w:pPr>
              <w:widowControl w:val="0"/>
              <w:jc w:val="both"/>
              <w:rPr>
                <w:rFonts w:ascii="宋体" w:hAnsi="宋体" w:cs="宋体"/>
                <w:color w:val="000000"/>
                <w:kern w:val="2"/>
                <w:sz w:val="21"/>
                <w:szCs w:val="21"/>
                <w:lang w:eastAsia="zh-CN"/>
              </w:rPr>
            </w:pPr>
          </w:p>
        </w:tc>
        <w:tc>
          <w:tcPr>
            <w:tcW w:w="1847" w:type="dxa"/>
            <w:gridSpan w:val="2"/>
            <w:vAlign w:val="center"/>
          </w:tcPr>
          <w:p>
            <w:pPr>
              <w:widowControl w:val="0"/>
              <w:jc w:val="both"/>
              <w:rPr>
                <w:rFonts w:ascii="宋体" w:hAnsi="宋体" w:cs="宋体"/>
                <w:color w:val="000000"/>
                <w:kern w:val="2"/>
                <w:sz w:val="21"/>
                <w:szCs w:val="21"/>
                <w:lang w:eastAsia="zh-CN"/>
              </w:rPr>
            </w:pPr>
          </w:p>
        </w:tc>
        <w:tc>
          <w:tcPr>
            <w:tcW w:w="1394" w:type="dxa"/>
            <w:vAlign w:val="center"/>
          </w:tcPr>
          <w:p>
            <w:pPr>
              <w:widowControl w:val="0"/>
              <w:jc w:val="both"/>
              <w:rPr>
                <w:rFonts w:ascii="宋体" w:hAnsi="宋体" w:cs="宋体"/>
                <w:color w:val="000000"/>
                <w:kern w:val="2"/>
                <w:sz w:val="21"/>
                <w:szCs w:val="21"/>
                <w:lang w:eastAsia="zh-CN"/>
              </w:rPr>
            </w:pPr>
          </w:p>
        </w:tc>
        <w:tc>
          <w:tcPr>
            <w:tcW w:w="1404" w:type="dxa"/>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8329" w:type="dxa"/>
            <w:gridSpan w:val="8"/>
            <w:vAlign w:val="center"/>
          </w:tcPr>
          <w:p>
            <w:pPr>
              <w:widowControl w:val="0"/>
              <w:spacing w:line="198" w:lineRule="auto"/>
              <w:ind w:left="120"/>
              <w:jc w:val="both"/>
              <w:rPr>
                <w:rFonts w:ascii="宋体" w:hAnsi="宋体" w:cs="宋体"/>
                <w:color w:val="000000"/>
                <w:spacing w:val="-1"/>
                <w:kern w:val="2"/>
                <w:sz w:val="21"/>
                <w:szCs w:val="21"/>
                <w:lang w:eastAsia="zh-CN"/>
              </w:rPr>
            </w:pPr>
            <w:r>
              <w:rPr>
                <w:rFonts w:ascii="宋体" w:hAnsi="宋体" w:cs="宋体" w:hint="eastAsia"/>
                <w:color w:val="000000"/>
                <w:spacing w:val="-1"/>
                <w:kern w:val="2"/>
                <w:sz w:val="21"/>
                <w:szCs w:val="21"/>
                <w:lang w:eastAsia="zh-CN"/>
              </w:rPr>
              <w:t>说明：</w:t>
            </w:r>
          </w:p>
          <w:p>
            <w:pPr>
              <w:widowControl w:val="0"/>
              <w:spacing w:line="198" w:lineRule="auto"/>
              <w:ind w:left="120"/>
              <w:jc w:val="both"/>
              <w:rPr>
                <w:rFonts w:ascii="宋体" w:hAnsi="宋体" w:cs="宋体"/>
                <w:color w:val="000000"/>
                <w:kern w:val="2"/>
                <w:sz w:val="21"/>
                <w:szCs w:val="21"/>
                <w:lang w:eastAsia="zh-CN"/>
              </w:rPr>
            </w:pPr>
            <w:r>
              <w:rPr>
                <w:rFonts w:ascii="宋体" w:hAnsi="宋体" w:cs="宋体" w:hint="eastAsia"/>
                <w:color w:val="000000"/>
                <w:spacing w:val="-1"/>
                <w:kern w:val="2"/>
                <w:sz w:val="21"/>
                <w:szCs w:val="21"/>
                <w:lang w:eastAsia="zh-CN"/>
              </w:rPr>
              <w:t>1.同一职务有多人担任（如主要技术人员</w:t>
            </w:r>
            <w:r>
              <w:rPr>
                <w:rFonts w:ascii="宋体" w:hAnsi="宋体" w:cs="宋体" w:hint="eastAsia"/>
                <w:color w:val="000000"/>
                <w:spacing w:val="-42"/>
                <w:w w:val="95"/>
                <w:kern w:val="2"/>
                <w:sz w:val="21"/>
                <w:szCs w:val="21"/>
                <w:lang w:eastAsia="zh-CN"/>
              </w:rPr>
              <w:t>），</w:t>
            </w:r>
            <w:r>
              <w:rPr>
                <w:rFonts w:ascii="宋体" w:hAnsi="宋体" w:cs="宋体" w:hint="eastAsia"/>
                <w:color w:val="000000"/>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8329" w:type="dxa"/>
            <w:gridSpan w:val="8"/>
            <w:vAlign w:val="center"/>
          </w:tcPr>
          <w:p>
            <w:pPr>
              <w:widowControl w:val="0"/>
              <w:spacing w:line="198" w:lineRule="auto"/>
              <w:ind w:left="2683"/>
              <w:jc w:val="bot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685" w:type="dxa"/>
            <w:vAlign w:val="center"/>
          </w:tcPr>
          <w:p>
            <w:pPr>
              <w:widowControl w:val="0"/>
              <w:spacing w:line="202" w:lineRule="auto"/>
              <w:ind w:left="145"/>
              <w:jc w:val="both"/>
              <w:rPr>
                <w:rFonts w:ascii="宋体" w:hAnsi="宋体" w:cs="宋体"/>
                <w:color w:val="000000"/>
                <w:kern w:val="2"/>
                <w:sz w:val="21"/>
                <w:szCs w:val="21"/>
              </w:rPr>
            </w:pPr>
            <w:r>
              <w:rPr>
                <w:rFonts w:ascii="宋体" w:hAnsi="宋体" w:cs="宋体" w:hint="eastAsia"/>
                <w:color w:val="000000"/>
                <w:spacing w:val="-5"/>
                <w:kern w:val="2"/>
                <w:sz w:val="21"/>
                <w:szCs w:val="21"/>
              </w:rPr>
              <w:t>序号</w:t>
            </w:r>
          </w:p>
        </w:tc>
        <w:tc>
          <w:tcPr>
            <w:tcW w:w="2119" w:type="dxa"/>
            <w:gridSpan w:val="2"/>
            <w:vAlign w:val="center"/>
          </w:tcPr>
          <w:p>
            <w:pPr>
              <w:widowControl w:val="0"/>
              <w:spacing w:line="202" w:lineRule="auto"/>
              <w:ind w:left="436"/>
              <w:jc w:val="both"/>
              <w:rPr>
                <w:rFonts w:ascii="宋体" w:hAnsi="宋体" w:cs="宋体"/>
                <w:color w:val="000000"/>
                <w:kern w:val="2"/>
                <w:sz w:val="21"/>
                <w:szCs w:val="21"/>
              </w:rPr>
            </w:pPr>
            <w:r>
              <w:rPr>
                <w:rFonts w:ascii="宋体" w:hAnsi="宋体" w:cs="宋体" w:hint="eastAsia"/>
                <w:color w:val="000000"/>
                <w:spacing w:val="-3"/>
                <w:kern w:val="2"/>
                <w:sz w:val="21"/>
                <w:szCs w:val="21"/>
              </w:rPr>
              <w:t>关联关系类型</w:t>
            </w:r>
          </w:p>
        </w:tc>
        <w:tc>
          <w:tcPr>
            <w:tcW w:w="1616" w:type="dxa"/>
            <w:gridSpan w:val="2"/>
            <w:vAlign w:val="center"/>
          </w:tcPr>
          <w:p>
            <w:pPr>
              <w:widowControl w:val="0"/>
              <w:spacing w:line="203" w:lineRule="auto"/>
              <w:ind w:left="166"/>
              <w:jc w:val="both"/>
              <w:rPr>
                <w:rFonts w:ascii="宋体" w:hAnsi="宋体" w:cs="宋体"/>
                <w:color w:val="000000"/>
                <w:kern w:val="2"/>
                <w:sz w:val="21"/>
                <w:szCs w:val="21"/>
              </w:rPr>
            </w:pPr>
            <w:r>
              <w:rPr>
                <w:rFonts w:ascii="宋体" w:hAnsi="宋体" w:cs="宋体" w:hint="eastAsia"/>
                <w:color w:val="000000"/>
                <w:spacing w:val="-3"/>
                <w:kern w:val="2"/>
                <w:sz w:val="21"/>
                <w:szCs w:val="21"/>
              </w:rPr>
              <w:t>关联主体名称</w:t>
            </w:r>
          </w:p>
        </w:tc>
        <w:tc>
          <w:tcPr>
            <w:tcW w:w="3909" w:type="dxa"/>
            <w:gridSpan w:val="3"/>
            <w:vAlign w:val="center"/>
          </w:tcPr>
          <w:p>
            <w:pPr>
              <w:widowControl w:val="0"/>
              <w:spacing w:line="204" w:lineRule="auto"/>
              <w:ind w:left="1862"/>
              <w:jc w:val="both"/>
              <w:rPr>
                <w:rFonts w:ascii="宋体" w:hAnsi="宋体" w:cs="宋体"/>
                <w:color w:val="000000"/>
                <w:kern w:val="2"/>
                <w:sz w:val="21"/>
                <w:szCs w:val="21"/>
              </w:rPr>
            </w:pPr>
            <w:r>
              <w:rPr>
                <w:rFonts w:ascii="宋体" w:hAnsi="宋体" w:cs="宋体" w:hint="eastAsia"/>
                <w:color w:val="000000"/>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685" w:type="dxa"/>
            <w:vAlign w:val="center"/>
          </w:tcPr>
          <w:p>
            <w:pPr>
              <w:widowControl w:val="0"/>
              <w:spacing w:line="169" w:lineRule="auto"/>
              <w:ind w:left="321"/>
              <w:jc w:val="both"/>
              <w:rPr>
                <w:rFonts w:ascii="宋体" w:hAnsi="宋体" w:cs="宋体"/>
                <w:color w:val="000000"/>
                <w:kern w:val="2"/>
                <w:sz w:val="21"/>
                <w:szCs w:val="21"/>
              </w:rPr>
            </w:pPr>
            <w:r>
              <w:rPr>
                <w:rFonts w:ascii="宋体" w:hAnsi="宋体" w:cs="宋体" w:hint="eastAsia"/>
                <w:color w:val="000000"/>
                <w:kern w:val="2"/>
                <w:sz w:val="21"/>
                <w:szCs w:val="21"/>
              </w:rPr>
              <w:t>1</w:t>
            </w:r>
          </w:p>
        </w:tc>
        <w:tc>
          <w:tcPr>
            <w:tcW w:w="2119" w:type="dxa"/>
            <w:gridSpan w:val="2"/>
            <w:vAlign w:val="center"/>
          </w:tcPr>
          <w:p>
            <w:pPr>
              <w:widowControl w:val="0"/>
              <w:spacing w:line="203" w:lineRule="auto"/>
              <w:jc w:val="center"/>
              <w:rPr>
                <w:rFonts w:ascii="宋体" w:hAnsi="宋体" w:cs="宋体"/>
                <w:color w:val="000000"/>
                <w:kern w:val="2"/>
                <w:sz w:val="21"/>
                <w:szCs w:val="21"/>
              </w:rPr>
            </w:pPr>
            <w:r>
              <w:rPr>
                <w:rFonts w:ascii="宋体" w:hAnsi="宋体" w:cs="宋体" w:hint="eastAsia"/>
                <w:color w:val="000000"/>
                <w:spacing w:val="-4"/>
                <w:kern w:val="2"/>
                <w:sz w:val="21"/>
                <w:szCs w:val="21"/>
              </w:rPr>
              <w:t>控股股东</w:t>
            </w:r>
          </w:p>
        </w:tc>
        <w:tc>
          <w:tcPr>
            <w:tcW w:w="1616" w:type="dxa"/>
            <w:gridSpan w:val="2"/>
            <w:vAlign w:val="center"/>
          </w:tcPr>
          <w:p>
            <w:pPr>
              <w:widowControl w:val="0"/>
              <w:jc w:val="both"/>
              <w:rPr>
                <w:rFonts w:ascii="宋体" w:hAnsi="宋体" w:cs="宋体"/>
                <w:color w:val="000000"/>
                <w:kern w:val="2"/>
                <w:sz w:val="21"/>
                <w:szCs w:val="21"/>
                <w:lang w:eastAsia="zh-CN"/>
              </w:rPr>
            </w:pPr>
          </w:p>
        </w:tc>
        <w:tc>
          <w:tcPr>
            <w:tcW w:w="3909" w:type="dxa"/>
            <w:gridSpan w:val="3"/>
            <w:vAlign w:val="center"/>
          </w:tcPr>
          <w:p>
            <w:pPr>
              <w:widowControl w:val="0"/>
              <w:jc w:val="both"/>
              <w:rPr>
                <w:rFonts w:ascii="宋体" w:hAnsi="宋体" w:cs="宋体"/>
                <w:color w:val="000000"/>
                <w:kern w:val="2"/>
                <w:sz w:val="21"/>
                <w:szCs w:val="21"/>
                <w:lang w:eastAsia="zh-CN"/>
              </w:rPr>
            </w:pPr>
            <w:r>
              <w:rPr>
                <w:rFonts w:ascii="宋体" w:hAnsi="宋体" w:cs="宋体" w:hint="eastAsia"/>
                <w:color w:val="000000"/>
                <w:spacing w:val="-1"/>
                <w:kern w:val="2"/>
                <w:sz w:val="21"/>
                <w:szCs w:val="21"/>
                <w:lang w:eastAsia="zh-CN"/>
              </w:rPr>
              <w:t>指出资额（或持有股份）占投标（响应）供应商资</w:t>
            </w:r>
            <w:r>
              <w:rPr>
                <w:rFonts w:ascii="宋体" w:hAnsi="宋体" w:cs="宋体" w:hint="eastAsia"/>
                <w:color w:val="000000"/>
                <w:spacing w:val="-8"/>
                <w:kern w:val="2"/>
                <w:sz w:val="21"/>
                <w:szCs w:val="21"/>
                <w:lang w:eastAsia="zh-CN"/>
              </w:rPr>
              <w:t>本总额（或股本总额）50%以上的股东，以及出资额</w:t>
            </w:r>
            <w:r>
              <w:rPr>
                <w:rFonts w:ascii="宋体" w:hAnsi="宋体" w:cs="宋体" w:hint="eastAsia"/>
                <w:color w:val="000000"/>
                <w:spacing w:val="-5"/>
                <w:kern w:val="2"/>
                <w:sz w:val="21"/>
                <w:szCs w:val="21"/>
                <w:lang w:eastAsia="zh-CN"/>
              </w:rPr>
              <w:t>（或持有股份）的比例虽然不足50%，但依</w:t>
            </w:r>
            <w:r>
              <w:rPr>
                <w:rFonts w:ascii="宋体" w:hAnsi="宋体" w:cs="宋体" w:hint="eastAsia"/>
                <w:color w:val="000000"/>
                <w:spacing w:val="-6"/>
                <w:kern w:val="2"/>
                <w:sz w:val="21"/>
                <w:szCs w:val="21"/>
                <w:lang w:eastAsia="zh-CN"/>
              </w:rPr>
              <w:t>其出资</w:t>
            </w:r>
            <w:r>
              <w:rPr>
                <w:rFonts w:ascii="宋体" w:hAnsi="宋体" w:cs="宋体" w:hint="eastAsia"/>
                <w:color w:val="000000"/>
                <w:spacing w:val="-9"/>
                <w:kern w:val="2"/>
                <w:sz w:val="21"/>
                <w:szCs w:val="21"/>
                <w:lang w:eastAsia="zh-CN"/>
              </w:rPr>
              <w:t>额（或持有股份）所享有的表决权已足以对投标（响</w:t>
            </w:r>
            <w:r>
              <w:rPr>
                <w:rFonts w:ascii="宋体" w:hAnsi="宋体" w:cs="宋体" w:hint="eastAsia"/>
                <w:color w:val="000000"/>
                <w:kern w:val="2"/>
                <w:sz w:val="21"/>
                <w:szCs w:val="21"/>
                <w:lang w:eastAsia="zh-CN"/>
              </w:rPr>
              <w:t>应）供应商股东会（或股东大会）的决议产生重要</w:t>
            </w:r>
            <w:r>
              <w:rPr>
                <w:rFonts w:ascii="宋体" w:hAnsi="宋体" w:cs="宋体" w:hint="eastAsia"/>
                <w:color w:val="000000"/>
                <w:spacing w:val="6"/>
                <w:kern w:val="2"/>
                <w:sz w:val="21"/>
                <w:szCs w:val="21"/>
                <w:lang w:eastAsia="zh-CN"/>
              </w:rPr>
              <w:t xml:space="preserve"> </w:t>
            </w:r>
            <w:r>
              <w:rPr>
                <w:rFonts w:ascii="宋体" w:hAnsi="宋体" w:cs="宋体" w:hint="eastAsia"/>
                <w:color w:val="000000"/>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685" w:type="dxa"/>
            <w:vAlign w:val="center"/>
          </w:tcPr>
          <w:p>
            <w:pPr>
              <w:widowControl w:val="0"/>
              <w:spacing w:line="168" w:lineRule="auto"/>
              <w:ind w:left="322"/>
              <w:jc w:val="both"/>
              <w:rPr>
                <w:rFonts w:ascii="宋体" w:hAnsi="宋体" w:cs="宋体"/>
                <w:kern w:val="2"/>
                <w:sz w:val="21"/>
                <w:szCs w:val="21"/>
              </w:rPr>
            </w:pPr>
            <w:r>
              <w:rPr>
                <w:rFonts w:ascii="宋体" w:hAnsi="宋体" w:cs="宋体" w:hint="eastAsia"/>
                <w:kern w:val="2"/>
                <w:sz w:val="21"/>
                <w:szCs w:val="21"/>
              </w:rPr>
              <w:t>2</w:t>
            </w:r>
          </w:p>
        </w:tc>
        <w:tc>
          <w:tcPr>
            <w:tcW w:w="2119" w:type="dxa"/>
            <w:gridSpan w:val="2"/>
            <w:vAlign w:val="center"/>
          </w:tcPr>
          <w:p>
            <w:pPr>
              <w:widowControl w:val="0"/>
              <w:spacing w:line="203" w:lineRule="auto"/>
              <w:jc w:val="center"/>
              <w:rPr>
                <w:rFonts w:ascii="宋体" w:hAnsi="宋体" w:cs="宋体"/>
                <w:kern w:val="2"/>
                <w:sz w:val="21"/>
                <w:szCs w:val="21"/>
                <w:lang w:eastAsia="zh-CN"/>
              </w:rPr>
            </w:pPr>
            <w:r>
              <w:rPr>
                <w:rFonts w:ascii="宋体" w:hAnsi="宋体" w:cs="宋体" w:hint="eastAsia"/>
                <w:spacing w:val="-5"/>
                <w:kern w:val="2"/>
                <w:sz w:val="21"/>
                <w:szCs w:val="21"/>
                <w:lang w:eastAsia="zh-CN"/>
              </w:rPr>
              <w:t>管理关系</w:t>
            </w:r>
          </w:p>
        </w:tc>
        <w:tc>
          <w:tcPr>
            <w:tcW w:w="1616" w:type="dxa"/>
            <w:gridSpan w:val="2"/>
            <w:vAlign w:val="center"/>
          </w:tcPr>
          <w:p>
            <w:pPr>
              <w:widowControl w:val="0"/>
              <w:jc w:val="both"/>
              <w:rPr>
                <w:rFonts w:ascii="宋体" w:hAnsi="宋体" w:cs="宋体"/>
                <w:kern w:val="2"/>
                <w:sz w:val="21"/>
                <w:szCs w:val="21"/>
                <w:lang w:eastAsia="zh-CN"/>
              </w:rPr>
            </w:pPr>
          </w:p>
        </w:tc>
        <w:tc>
          <w:tcPr>
            <w:tcW w:w="3909" w:type="dxa"/>
            <w:gridSpan w:val="3"/>
            <w:vAlign w:val="center"/>
          </w:tcPr>
          <w:p>
            <w:pPr>
              <w:widowControl w:val="0"/>
              <w:spacing w:line="190" w:lineRule="auto"/>
              <w:ind w:left="120" w:right="24"/>
              <w:jc w:val="both"/>
              <w:rPr>
                <w:rFonts w:ascii="宋体" w:hAnsi="宋体" w:cs="宋体"/>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361"/>
        </w:trPr>
        <w:tc>
          <w:tcPr>
            <w:tcW w:w="8329" w:type="dxa"/>
            <w:gridSpan w:val="8"/>
            <w:vAlign w:val="center"/>
          </w:tcPr>
          <w:p>
            <w:pPr>
              <w:widowControl w:val="0"/>
              <w:spacing w:line="180" w:lineRule="auto"/>
              <w:ind w:left="120"/>
              <w:jc w:val="both"/>
              <w:rPr>
                <w:rFonts w:ascii="宋体" w:hAnsi="宋体" w:cs="宋体"/>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spacing w:after="160" w:line="259" w:lineRule="auto"/>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四、项目详细报价</w:t>
      </w:r>
    </w:p>
    <w:p>
      <w:pPr>
        <w:widowControl w:val="0"/>
        <w:tabs>
          <w:tab w:val="left" w:pos="720"/>
        </w:tabs>
        <w:spacing w:after="160" w:line="259" w:lineRule="auto"/>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2"/>
        <w:gridCol w:w="1540"/>
        <w:gridCol w:w="678"/>
        <w:gridCol w:w="678"/>
        <w:gridCol w:w="590"/>
        <w:gridCol w:w="700"/>
        <w:gridCol w:w="445"/>
        <w:gridCol w:w="412"/>
        <w:gridCol w:w="551"/>
        <w:gridCol w:w="654"/>
        <w:gridCol w:w="654"/>
        <w:gridCol w:w="828"/>
      </w:tblGrid>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91"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序号</w:t>
            </w:r>
          </w:p>
        </w:tc>
        <w:tc>
          <w:tcPr>
            <w:tcW w:w="1538"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货物名称</w:t>
            </w:r>
          </w:p>
        </w:tc>
        <w:tc>
          <w:tcPr>
            <w:tcW w:w="678" w:type="dxa"/>
            <w:vAlign w:val="center"/>
          </w:tcPr>
          <w:p>
            <w:pPr>
              <w:widowControl w:val="0"/>
              <w:spacing w:after="160" w:line="259" w:lineRule="auto"/>
              <w:jc w:val="center"/>
              <w:rPr>
                <w:rFonts w:eastAsia="宋体"/>
                <w:bCs/>
                <w:kern w:val="2"/>
                <w:sz w:val="21"/>
                <w:szCs w:val="21"/>
                <w:lang w:eastAsia="zh-CN"/>
              </w:rPr>
            </w:pPr>
            <w:r>
              <w:rPr>
                <w:rFonts w:eastAsia="宋体" w:hint="eastAsia"/>
                <w:kern w:val="2"/>
                <w:sz w:val="21"/>
                <w:szCs w:val="21"/>
                <w:lang w:eastAsia="zh-CN"/>
              </w:rPr>
              <w:t>品牌</w:t>
            </w:r>
          </w:p>
        </w:tc>
        <w:tc>
          <w:tcPr>
            <w:tcW w:w="678" w:type="dxa"/>
            <w:vAlign w:val="center"/>
          </w:tcPr>
          <w:p>
            <w:pPr>
              <w:widowControl w:val="0"/>
              <w:spacing w:after="160" w:line="259" w:lineRule="auto"/>
              <w:jc w:val="center"/>
              <w:rPr>
                <w:rFonts w:eastAsia="宋体"/>
                <w:bCs/>
                <w:kern w:val="2"/>
                <w:sz w:val="21"/>
                <w:szCs w:val="21"/>
                <w:lang w:eastAsia="zh-CN"/>
              </w:rPr>
            </w:pPr>
            <w:r>
              <w:rPr>
                <w:rFonts w:eastAsia="宋体" w:hint="eastAsia"/>
                <w:kern w:val="2"/>
                <w:sz w:val="21"/>
                <w:szCs w:val="21"/>
                <w:lang w:eastAsia="zh-CN"/>
              </w:rPr>
              <w:t>规格/型号</w:t>
            </w:r>
          </w:p>
        </w:tc>
        <w:tc>
          <w:tcPr>
            <w:tcW w:w="590" w:type="dxa"/>
            <w:vAlign w:val="center"/>
          </w:tcPr>
          <w:p>
            <w:pPr>
              <w:widowControl w:val="0"/>
              <w:spacing w:after="160" w:line="259" w:lineRule="auto"/>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00" w:type="dxa"/>
            <w:vAlign w:val="center"/>
          </w:tcPr>
          <w:p>
            <w:pPr>
              <w:widowControl w:val="0"/>
              <w:spacing w:after="160" w:line="259" w:lineRule="auto"/>
              <w:jc w:val="center"/>
              <w:rPr>
                <w:rFonts w:eastAsia="宋体"/>
                <w:bCs/>
                <w:kern w:val="2"/>
                <w:sz w:val="21"/>
                <w:szCs w:val="21"/>
                <w:lang w:eastAsia="zh-CN"/>
              </w:rPr>
            </w:pPr>
            <w:r>
              <w:rPr>
                <w:rFonts w:eastAsia="宋体" w:hint="eastAsia"/>
                <w:kern w:val="2"/>
                <w:sz w:val="21"/>
                <w:szCs w:val="21"/>
                <w:lang w:eastAsia="zh-CN"/>
              </w:rPr>
              <w:t>制造商名称</w:t>
            </w:r>
          </w:p>
        </w:tc>
        <w:tc>
          <w:tcPr>
            <w:tcW w:w="445"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数量</w:t>
            </w:r>
          </w:p>
        </w:tc>
        <w:tc>
          <w:tcPr>
            <w:tcW w:w="412"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单位</w:t>
            </w:r>
          </w:p>
        </w:tc>
        <w:tc>
          <w:tcPr>
            <w:tcW w:w="551" w:type="dxa"/>
            <w:vAlign w:val="center"/>
          </w:tcPr>
          <w:p>
            <w:pPr>
              <w:widowControl w:val="0"/>
              <w:spacing w:after="160" w:line="259" w:lineRule="auto"/>
              <w:jc w:val="center"/>
              <w:rPr>
                <w:rFonts w:eastAsia="宋体"/>
                <w:bCs/>
                <w:kern w:val="2"/>
                <w:sz w:val="21"/>
                <w:szCs w:val="21"/>
                <w:lang w:eastAsia="zh-CN"/>
              </w:rPr>
            </w:pPr>
            <w:r>
              <w:rPr>
                <w:rFonts w:eastAsia="宋体" w:hint="eastAsia"/>
                <w:kern w:val="2"/>
                <w:sz w:val="21"/>
                <w:szCs w:val="21"/>
                <w:lang w:eastAsia="zh-CN"/>
              </w:rPr>
              <w:t>单价(元)</w:t>
            </w:r>
          </w:p>
        </w:tc>
        <w:tc>
          <w:tcPr>
            <w:tcW w:w="654" w:type="dxa"/>
            <w:vAlign w:val="center"/>
          </w:tcPr>
          <w:p>
            <w:pPr>
              <w:widowControl w:val="0"/>
              <w:spacing w:after="160" w:line="259" w:lineRule="auto"/>
              <w:jc w:val="center"/>
              <w:rPr>
                <w:rFonts w:eastAsia="宋体" w:hint="eastAsia"/>
                <w:kern w:val="2"/>
                <w:sz w:val="21"/>
                <w:szCs w:val="21"/>
                <w:lang w:eastAsia="zh-CN"/>
              </w:rPr>
            </w:pPr>
            <w:r>
              <w:rPr>
                <w:rFonts w:eastAsia="宋体" w:hint="eastAsia"/>
                <w:kern w:val="2"/>
                <w:sz w:val="21"/>
                <w:szCs w:val="21"/>
                <w:lang w:eastAsia="zh-CN"/>
              </w:rPr>
              <w:t>单价</w:t>
            </w:r>
            <w:r>
              <w:rPr>
                <w:rFonts w:eastAsia="宋体" w:hint="eastAsia"/>
                <w:kern w:val="2"/>
                <w:sz w:val="21"/>
                <w:szCs w:val="21"/>
                <w:lang w:eastAsia="zh-CN"/>
              </w:rPr>
              <w:t>限价</w:t>
            </w:r>
            <w:r>
              <w:rPr>
                <w:rFonts w:eastAsia="宋体" w:hint="eastAsia"/>
                <w:kern w:val="2"/>
                <w:sz w:val="21"/>
                <w:szCs w:val="21"/>
                <w:lang w:eastAsia="zh-CN"/>
              </w:rPr>
              <w:t>(元)</w:t>
            </w:r>
          </w:p>
        </w:tc>
        <w:tc>
          <w:tcPr>
            <w:tcW w:w="654" w:type="dxa"/>
            <w:vAlign w:val="center"/>
          </w:tcPr>
          <w:p>
            <w:pPr>
              <w:widowControl w:val="0"/>
              <w:spacing w:after="160" w:line="259" w:lineRule="auto"/>
              <w:jc w:val="center"/>
              <w:rPr>
                <w:rFonts w:eastAsia="宋体"/>
                <w:bCs/>
                <w:kern w:val="2"/>
                <w:sz w:val="21"/>
                <w:szCs w:val="21"/>
                <w:lang w:eastAsia="zh-CN"/>
              </w:rPr>
            </w:pPr>
            <w:r>
              <w:rPr>
                <w:rFonts w:eastAsia="宋体" w:hint="eastAsia"/>
                <w:kern w:val="2"/>
                <w:sz w:val="21"/>
                <w:szCs w:val="21"/>
                <w:lang w:eastAsia="zh-CN"/>
              </w:rPr>
              <w:t>合价(元)</w:t>
            </w:r>
          </w:p>
        </w:tc>
        <w:tc>
          <w:tcPr>
            <w:tcW w:w="828" w:type="dxa"/>
            <w:vAlign w:val="center"/>
          </w:tcPr>
          <w:p>
            <w:pPr>
              <w:widowControl w:val="0"/>
              <w:spacing w:after="160" w:line="259" w:lineRule="auto"/>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Ind w:w="0" w:type="dxa"/>
          <w:tblLayout w:type="fixed"/>
          <w:tblCellMar>
            <w:top w:w="0" w:type="dxa"/>
            <w:left w:w="108" w:type="dxa"/>
            <w:bottom w:w="0" w:type="dxa"/>
            <w:right w:w="108" w:type="dxa"/>
          </w:tblCellMar>
        </w:tblPrEx>
        <w:trPr>
          <w:jc w:val="center"/>
        </w:trPr>
        <w:tc>
          <w:tcPr>
            <w:tcW w:w="791"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1</w:t>
            </w:r>
          </w:p>
        </w:tc>
        <w:tc>
          <w:tcPr>
            <w:tcW w:w="1538" w:type="dxa"/>
            <w:vAlign w:val="top"/>
          </w:tcPr>
          <w:p>
            <w:pPr>
              <w:widowControl w:val="0"/>
              <w:spacing w:after="160" w:line="259" w:lineRule="auto"/>
              <w:jc w:val="center"/>
              <w:rPr>
                <w:rFonts w:eastAsia="宋体"/>
                <w:bCs/>
                <w:kern w:val="2"/>
                <w:sz w:val="21"/>
                <w:szCs w:val="21"/>
                <w:lang w:eastAsia="zh-CN"/>
              </w:rPr>
            </w:pPr>
            <w:r>
              <w:rPr>
                <w:rFonts w:ascii="仿宋_GB2312" w:eastAsia="仿宋_GB2312" w:hAnsi="仿宋_GB2312" w:cs="仿宋_GB2312"/>
                <w:bCs/>
                <w:kern w:val="2"/>
                <w:sz w:val="21"/>
                <w:szCs w:val="21"/>
                <w:lang w:eastAsia="zh-CN"/>
              </w:rPr>
              <w:t>内镜清洗消毒工作站</w:t>
            </w:r>
          </w:p>
        </w:tc>
        <w:tc>
          <w:tcPr>
            <w:tcW w:w="678" w:type="dxa"/>
            <w:vAlign w:val="center"/>
          </w:tcPr>
          <w:p>
            <w:pPr>
              <w:widowControl w:val="0"/>
              <w:spacing w:after="160" w:line="259" w:lineRule="auto"/>
              <w:jc w:val="center"/>
              <w:rPr>
                <w:rFonts w:eastAsia="宋体"/>
                <w:bCs/>
                <w:kern w:val="2"/>
                <w:sz w:val="21"/>
                <w:szCs w:val="21"/>
                <w:lang w:eastAsia="zh-CN"/>
              </w:rPr>
            </w:pPr>
          </w:p>
        </w:tc>
        <w:tc>
          <w:tcPr>
            <w:tcW w:w="678" w:type="dxa"/>
            <w:vAlign w:val="center"/>
          </w:tcPr>
          <w:p>
            <w:pPr>
              <w:widowControl w:val="0"/>
              <w:spacing w:after="160" w:line="259" w:lineRule="auto"/>
              <w:jc w:val="center"/>
              <w:rPr>
                <w:rFonts w:eastAsia="宋体"/>
                <w:bCs/>
                <w:kern w:val="2"/>
                <w:sz w:val="21"/>
                <w:szCs w:val="21"/>
                <w:lang w:eastAsia="zh-CN"/>
              </w:rPr>
            </w:pPr>
          </w:p>
        </w:tc>
        <w:tc>
          <w:tcPr>
            <w:tcW w:w="590" w:type="dxa"/>
            <w:vAlign w:val="center"/>
          </w:tcPr>
          <w:p>
            <w:pPr>
              <w:widowControl w:val="0"/>
              <w:spacing w:after="160" w:line="259" w:lineRule="auto"/>
              <w:jc w:val="center"/>
              <w:rPr>
                <w:rFonts w:eastAsia="宋体"/>
                <w:bCs/>
                <w:kern w:val="2"/>
                <w:sz w:val="21"/>
                <w:szCs w:val="21"/>
                <w:lang w:eastAsia="zh-CN"/>
              </w:rPr>
            </w:pPr>
          </w:p>
        </w:tc>
        <w:tc>
          <w:tcPr>
            <w:tcW w:w="700" w:type="dxa"/>
            <w:vAlign w:val="center"/>
          </w:tcPr>
          <w:p>
            <w:pPr>
              <w:widowControl w:val="0"/>
              <w:spacing w:after="160" w:line="259" w:lineRule="auto"/>
              <w:jc w:val="center"/>
              <w:rPr>
                <w:rFonts w:eastAsia="宋体"/>
                <w:bCs/>
                <w:kern w:val="2"/>
                <w:sz w:val="21"/>
                <w:szCs w:val="21"/>
                <w:lang w:eastAsia="zh-CN"/>
              </w:rPr>
            </w:pPr>
          </w:p>
        </w:tc>
        <w:tc>
          <w:tcPr>
            <w:tcW w:w="445"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Cs/>
                <w:kern w:val="2"/>
                <w:sz w:val="21"/>
                <w:szCs w:val="21"/>
                <w:lang w:eastAsia="zh-CN"/>
              </w:rPr>
              <w:t>6</w:t>
            </w:r>
          </w:p>
        </w:tc>
        <w:tc>
          <w:tcPr>
            <w:tcW w:w="412"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Cs/>
                <w:kern w:val="2"/>
                <w:sz w:val="21"/>
                <w:szCs w:val="21"/>
                <w:lang w:eastAsia="zh-CN"/>
              </w:rPr>
              <w:t>套</w:t>
            </w:r>
          </w:p>
        </w:tc>
        <w:tc>
          <w:tcPr>
            <w:tcW w:w="551" w:type="dxa"/>
            <w:vAlign w:val="center"/>
          </w:tcPr>
          <w:p>
            <w:pPr>
              <w:widowControl w:val="0"/>
              <w:spacing w:after="160" w:line="259" w:lineRule="auto"/>
              <w:jc w:val="center"/>
              <w:rPr>
                <w:rFonts w:eastAsia="宋体"/>
                <w:bCs/>
                <w:kern w:val="2"/>
                <w:sz w:val="21"/>
                <w:szCs w:val="21"/>
                <w:lang w:eastAsia="zh-CN"/>
              </w:rPr>
            </w:pPr>
          </w:p>
        </w:tc>
        <w:tc>
          <w:tcPr>
            <w:tcW w:w="654" w:type="dxa"/>
            <w:vAlign w:val="top"/>
          </w:tcPr>
          <w:p>
            <w:pPr>
              <w:widowControl w:val="0"/>
              <w:spacing w:after="160" w:line="259" w:lineRule="auto"/>
              <w:jc w:val="center"/>
              <w:rPr>
                <w:rFonts w:eastAsia="宋体"/>
                <w:bCs/>
                <w:kern w:val="2"/>
                <w:sz w:val="21"/>
                <w:szCs w:val="21"/>
                <w:lang w:eastAsia="zh-CN"/>
              </w:rPr>
            </w:pPr>
            <w:r>
              <w:rPr>
                <w:rFonts w:ascii="仿宋_GB2312" w:eastAsia="仿宋_GB2312" w:hAnsi="仿宋_GB2312" w:cs="仿宋_GB2312"/>
                <w:bCs/>
                <w:kern w:val="2"/>
                <w:sz w:val="21"/>
                <w:szCs w:val="21"/>
                <w:lang w:eastAsia="zh-CN"/>
              </w:rPr>
              <w:t>125</w:t>
            </w:r>
            <w:r>
              <w:rPr>
                <w:rFonts w:ascii="仿宋_GB2312" w:eastAsia="仿宋_GB2312" w:hAnsi="仿宋_GB2312" w:cs="仿宋_GB2312" w:hint="eastAsia"/>
                <w:bCs/>
                <w:kern w:val="2"/>
                <w:sz w:val="21"/>
                <w:szCs w:val="21"/>
                <w:lang w:eastAsia="zh-CN"/>
              </w:rPr>
              <w:t>,000</w:t>
            </w:r>
          </w:p>
        </w:tc>
        <w:tc>
          <w:tcPr>
            <w:tcW w:w="654" w:type="dxa"/>
            <w:vAlign w:val="center"/>
          </w:tcPr>
          <w:p>
            <w:pPr>
              <w:widowControl w:val="0"/>
              <w:spacing w:after="160" w:line="259" w:lineRule="auto"/>
              <w:jc w:val="center"/>
              <w:rPr>
                <w:rFonts w:eastAsia="宋体"/>
                <w:bCs/>
                <w:kern w:val="2"/>
                <w:sz w:val="21"/>
                <w:szCs w:val="21"/>
                <w:lang w:eastAsia="zh-CN"/>
              </w:rPr>
            </w:pPr>
          </w:p>
        </w:tc>
        <w:tc>
          <w:tcPr>
            <w:tcW w:w="828" w:type="dxa"/>
            <w:vMerge w:val="restart"/>
            <w:vAlign w:val="center"/>
          </w:tcPr>
          <w:p>
            <w:pPr>
              <w:widowControl w:val="0"/>
              <w:spacing w:after="160" w:line="259" w:lineRule="auto"/>
              <w:jc w:val="center"/>
              <w:rPr>
                <w:rFonts w:eastAsia="宋体"/>
                <w:b/>
                <w:bCs/>
                <w:kern w:val="2"/>
                <w:sz w:val="21"/>
                <w:szCs w:val="21"/>
                <w:lang w:eastAsia="zh-CN"/>
              </w:rPr>
            </w:pPr>
            <w:r>
              <w:rPr>
                <w:rFonts w:eastAsia="宋体" w:hint="eastAsia"/>
                <w:bCs/>
                <w:kern w:val="2"/>
                <w:sz w:val="21"/>
                <w:szCs w:val="21"/>
                <w:lang w:eastAsia="zh-CN"/>
              </w:rPr>
              <w:t>990000</w:t>
            </w:r>
          </w:p>
        </w:tc>
      </w:tr>
      <w:tr>
        <w:tblPrEx>
          <w:tblW w:w="5000" w:type="pct"/>
          <w:jc w:val="center"/>
          <w:tblInd w:w="0" w:type="dxa"/>
          <w:tblLayout w:type="fixed"/>
          <w:tblCellMar>
            <w:top w:w="0" w:type="dxa"/>
            <w:left w:w="108" w:type="dxa"/>
            <w:bottom w:w="0" w:type="dxa"/>
            <w:right w:w="108" w:type="dxa"/>
          </w:tblCellMar>
        </w:tblPrEx>
        <w:trPr>
          <w:jc w:val="center"/>
        </w:trPr>
        <w:tc>
          <w:tcPr>
            <w:tcW w:w="791"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2</w:t>
            </w:r>
          </w:p>
        </w:tc>
        <w:tc>
          <w:tcPr>
            <w:tcW w:w="1538" w:type="dxa"/>
            <w:vAlign w:val="top"/>
          </w:tcPr>
          <w:p>
            <w:pPr>
              <w:widowControl w:val="0"/>
              <w:spacing w:after="160" w:line="259" w:lineRule="auto"/>
              <w:jc w:val="center"/>
              <w:rPr>
                <w:rFonts w:eastAsia="宋体"/>
                <w:bCs/>
                <w:kern w:val="2"/>
                <w:sz w:val="21"/>
                <w:szCs w:val="21"/>
                <w:lang w:eastAsia="zh-CN"/>
              </w:rPr>
            </w:pPr>
            <w:r>
              <w:rPr>
                <w:rFonts w:ascii="仿宋_GB2312" w:eastAsia="仿宋_GB2312" w:hAnsi="仿宋_GB2312" w:cs="仿宋_GB2312" w:hint="eastAsia"/>
                <w:bCs/>
                <w:kern w:val="2"/>
                <w:sz w:val="21"/>
                <w:szCs w:val="21"/>
                <w:lang w:eastAsia="zh-CN"/>
              </w:rPr>
              <w:t>内镜洗消追溯管理系统</w:t>
            </w:r>
          </w:p>
        </w:tc>
        <w:tc>
          <w:tcPr>
            <w:tcW w:w="678" w:type="dxa"/>
            <w:vAlign w:val="center"/>
          </w:tcPr>
          <w:p>
            <w:pPr>
              <w:widowControl w:val="0"/>
              <w:spacing w:after="160" w:line="259" w:lineRule="auto"/>
              <w:jc w:val="center"/>
              <w:rPr>
                <w:rFonts w:eastAsia="宋体"/>
                <w:bCs/>
                <w:kern w:val="2"/>
                <w:sz w:val="21"/>
                <w:szCs w:val="21"/>
                <w:lang w:eastAsia="zh-CN"/>
              </w:rPr>
            </w:pPr>
          </w:p>
        </w:tc>
        <w:tc>
          <w:tcPr>
            <w:tcW w:w="678" w:type="dxa"/>
            <w:vAlign w:val="center"/>
          </w:tcPr>
          <w:p>
            <w:pPr>
              <w:widowControl w:val="0"/>
              <w:spacing w:after="160" w:line="259" w:lineRule="auto"/>
              <w:jc w:val="center"/>
              <w:rPr>
                <w:rFonts w:eastAsia="宋体"/>
                <w:bCs/>
                <w:kern w:val="2"/>
                <w:sz w:val="21"/>
                <w:szCs w:val="21"/>
                <w:lang w:eastAsia="zh-CN"/>
              </w:rPr>
            </w:pPr>
          </w:p>
        </w:tc>
        <w:tc>
          <w:tcPr>
            <w:tcW w:w="590" w:type="dxa"/>
            <w:vAlign w:val="center"/>
          </w:tcPr>
          <w:p>
            <w:pPr>
              <w:widowControl w:val="0"/>
              <w:spacing w:after="160" w:line="259" w:lineRule="auto"/>
              <w:jc w:val="center"/>
              <w:rPr>
                <w:rFonts w:eastAsia="宋体"/>
                <w:bCs/>
                <w:kern w:val="2"/>
                <w:sz w:val="21"/>
                <w:szCs w:val="21"/>
                <w:lang w:eastAsia="zh-CN"/>
              </w:rPr>
            </w:pPr>
          </w:p>
        </w:tc>
        <w:tc>
          <w:tcPr>
            <w:tcW w:w="700" w:type="dxa"/>
            <w:vAlign w:val="center"/>
          </w:tcPr>
          <w:p>
            <w:pPr>
              <w:widowControl w:val="0"/>
              <w:spacing w:after="160" w:line="259" w:lineRule="auto"/>
              <w:jc w:val="center"/>
              <w:rPr>
                <w:rFonts w:eastAsia="宋体"/>
                <w:bCs/>
                <w:kern w:val="2"/>
                <w:sz w:val="21"/>
                <w:szCs w:val="21"/>
                <w:lang w:eastAsia="zh-CN"/>
              </w:rPr>
            </w:pPr>
          </w:p>
        </w:tc>
        <w:tc>
          <w:tcPr>
            <w:tcW w:w="445"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3</w:t>
            </w:r>
          </w:p>
        </w:tc>
        <w:tc>
          <w:tcPr>
            <w:tcW w:w="412"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套</w:t>
            </w:r>
          </w:p>
        </w:tc>
        <w:tc>
          <w:tcPr>
            <w:tcW w:w="551" w:type="dxa"/>
            <w:vAlign w:val="center"/>
          </w:tcPr>
          <w:p>
            <w:pPr>
              <w:widowControl w:val="0"/>
              <w:spacing w:after="160" w:line="259" w:lineRule="auto"/>
              <w:jc w:val="center"/>
              <w:rPr>
                <w:rFonts w:eastAsia="宋体"/>
                <w:bCs/>
                <w:kern w:val="2"/>
                <w:sz w:val="21"/>
                <w:szCs w:val="21"/>
                <w:lang w:eastAsia="zh-CN"/>
              </w:rPr>
            </w:pPr>
          </w:p>
        </w:tc>
        <w:tc>
          <w:tcPr>
            <w:tcW w:w="654" w:type="dxa"/>
            <w:vAlign w:val="top"/>
          </w:tcPr>
          <w:p>
            <w:pPr>
              <w:widowControl w:val="0"/>
              <w:spacing w:after="160" w:line="259" w:lineRule="auto"/>
              <w:jc w:val="center"/>
              <w:rPr>
                <w:rFonts w:eastAsia="宋体"/>
                <w:bCs/>
                <w:kern w:val="2"/>
                <w:sz w:val="21"/>
                <w:szCs w:val="21"/>
                <w:lang w:eastAsia="zh-CN"/>
              </w:rPr>
            </w:pPr>
            <w:r>
              <w:rPr>
                <w:rFonts w:ascii="仿宋_GB2312" w:eastAsia="仿宋_GB2312" w:hAnsi="仿宋_GB2312" w:cs="仿宋_GB2312" w:hint="eastAsia"/>
                <w:bCs/>
                <w:kern w:val="2"/>
                <w:sz w:val="21"/>
                <w:szCs w:val="21"/>
                <w:lang w:eastAsia="zh-CN"/>
              </w:rPr>
              <w:t>80,000</w:t>
            </w:r>
          </w:p>
        </w:tc>
        <w:tc>
          <w:tcPr>
            <w:tcW w:w="654" w:type="dxa"/>
            <w:vAlign w:val="center"/>
          </w:tcPr>
          <w:p>
            <w:pPr>
              <w:widowControl w:val="0"/>
              <w:spacing w:after="160" w:line="259" w:lineRule="auto"/>
              <w:jc w:val="center"/>
              <w:rPr>
                <w:rFonts w:eastAsia="宋体"/>
                <w:bCs/>
                <w:kern w:val="2"/>
                <w:sz w:val="21"/>
                <w:szCs w:val="21"/>
                <w:lang w:eastAsia="zh-CN"/>
              </w:rPr>
            </w:pPr>
          </w:p>
        </w:tc>
        <w:tc>
          <w:tcPr>
            <w:tcW w:w="828" w:type="dxa"/>
            <w:vMerge/>
            <w:vAlign w:val="center"/>
          </w:tcPr>
          <w:p>
            <w:pPr>
              <w:widowControl w:val="0"/>
              <w:spacing w:after="160" w:line="259" w:lineRule="auto"/>
              <w:jc w:val="center"/>
              <w:rPr>
                <w:rFonts w:eastAsia="宋体"/>
                <w:b/>
                <w:bCs/>
                <w:color w:val="FF0000"/>
                <w:kern w:val="2"/>
                <w:sz w:val="21"/>
                <w:szCs w:val="21"/>
                <w:lang w:eastAsia="zh-CN"/>
              </w:rPr>
            </w:pPr>
          </w:p>
        </w:tc>
      </w:tr>
      <w:tr>
        <w:tblPrEx>
          <w:tblW w:w="5000" w:type="pct"/>
          <w:jc w:val="center"/>
          <w:tblInd w:w="0" w:type="dxa"/>
          <w:tblLayout w:type="fixed"/>
          <w:tblCellMar>
            <w:top w:w="0" w:type="dxa"/>
            <w:left w:w="108" w:type="dxa"/>
            <w:bottom w:w="0" w:type="dxa"/>
            <w:right w:w="108" w:type="dxa"/>
          </w:tblCellMar>
        </w:tblPrEx>
        <w:trPr>
          <w:jc w:val="center"/>
        </w:trPr>
        <w:tc>
          <w:tcPr>
            <w:tcW w:w="8519" w:type="dxa"/>
            <w:gridSpan w:val="12"/>
            <w:vAlign w:val="center"/>
          </w:tcPr>
          <w:p>
            <w:pPr>
              <w:widowControl w:val="0"/>
              <w:spacing w:after="160" w:line="259" w:lineRule="auto"/>
              <w:ind w:firstLine="420" w:firstLineChars="200"/>
              <w:jc w:val="both"/>
              <w:rPr>
                <w:rFonts w:eastAsia="宋体"/>
                <w:b/>
                <w:bCs/>
                <w:color w:val="FF0000"/>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spacing w:after="160" w:line="259" w:lineRule="auto"/>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spacing w:after="160" w:line="259" w:lineRule="auto"/>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w:t>
      </w:r>
    </w:p>
    <w:p>
      <w:pPr>
        <w:widowControl w:val="0"/>
        <w:spacing w:after="160" w:line="259" w:lineRule="auto"/>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w:t>
      </w:r>
      <w:bookmarkStart w:id="47" w:name="_Hlk73646428"/>
      <w:r>
        <w:rPr>
          <w:rFonts w:ascii="宋体" w:eastAsia="宋体" w:hAnsi="宋体" w:hint="eastAsia"/>
          <w:b/>
          <w:kern w:val="2"/>
          <w:lang w:eastAsia="zh-CN"/>
        </w:rPr>
        <w:t>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由供应商承担。经评审委员会认定，在使用综合评分法的项目中一项此类填写错误或缺漏将按照一项普通招标技术要求（一般参数/普通参数）负偏离扣分处理。</w:t>
      </w:r>
      <w:bookmarkEnd w:id="47"/>
    </w:p>
    <w:p>
      <w:pPr>
        <w:widowControl w:val="0"/>
        <w:spacing w:after="160" w:line="259" w:lineRule="auto"/>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spacing w:after="160" w:line="259" w:lineRule="auto"/>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.所投货物均应填写制造商名称，“制造商”是指产品品牌厂商，产品代工制造的，应填写接受委托生产制造的制造商。</w:t>
      </w:r>
    </w:p>
    <w:p>
      <w:pPr>
        <w:widowControl w:val="0"/>
        <w:spacing w:after="160" w:line="259" w:lineRule="auto"/>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spacing w:after="160" w:line="259" w:lineRule="auto"/>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spacing w:after="160" w:line="259" w:lineRule="auto"/>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val="0"/>
        <w:spacing w:after="160" w:line="259" w:lineRule="auto"/>
        <w:ind w:firstLine="480" w:firstLineChars="200"/>
        <w:jc w:val="both"/>
        <w:rPr>
          <w:rFonts w:ascii="宋体" w:eastAsia="宋体" w:hAnsi="宋体"/>
          <w:b/>
          <w:color w:val="FF0000"/>
          <w:kern w:val="2"/>
          <w:lang w:eastAsia="zh-CN"/>
        </w:rPr>
      </w:pPr>
    </w:p>
    <w:p>
      <w:pPr>
        <w:widowControl w:val="0"/>
        <w:spacing w:after="160" w:line="259" w:lineRule="auto"/>
        <w:ind w:firstLine="480" w:firstLineChars="200"/>
        <w:jc w:val="both"/>
        <w:rPr>
          <w:rFonts w:ascii="宋体" w:eastAsia="宋体" w:hAnsi="宋体"/>
          <w:b/>
          <w:color w:val="FF0000"/>
          <w:kern w:val="2"/>
          <w:lang w:eastAsia="zh-CN"/>
        </w:rPr>
      </w:pPr>
    </w:p>
    <w:p>
      <w:pPr>
        <w:widowControl w:val="0"/>
        <w:tabs>
          <w:tab w:val="left" w:pos="720"/>
        </w:tabs>
        <w:spacing w:after="160" w:line="259" w:lineRule="auto"/>
        <w:jc w:val="center"/>
        <w:rPr>
          <w:rFonts w:eastAsia="宋体"/>
          <w:b/>
          <w:kern w:val="2"/>
          <w:lang w:eastAsia="zh-CN"/>
        </w:rPr>
      </w:pPr>
      <w:r>
        <w:rPr>
          <w:rFonts w:eastAsia="宋体" w:hint="eastAsia"/>
          <w:b/>
          <w:kern w:val="2"/>
          <w:lang w:eastAsia="zh-CN"/>
        </w:rPr>
        <w:t>（二）核心产品品牌</w:t>
      </w:r>
    </w:p>
    <w:p>
      <w:pPr>
        <w:widowControl w:val="0"/>
        <w:spacing w:after="160" w:line="259" w:lineRule="auto"/>
        <w:ind w:firstLine="480" w:firstLineChars="200"/>
        <w:jc w:val="both"/>
        <w:rPr>
          <w:rFonts w:ascii="宋体" w:eastAsia="宋体" w:hAnsi="宋体"/>
          <w:b/>
          <w:color w:val="FF0000"/>
          <w:kern w:val="2"/>
          <w:lang w:eastAsia="zh-CN"/>
        </w:rPr>
      </w:pPr>
    </w:p>
    <w:p>
      <w:pPr>
        <w:widowControl w:val="0"/>
        <w:spacing w:after="160" w:line="259" w:lineRule="auto"/>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spacing w:after="160" w:line="259" w:lineRule="auto"/>
        <w:ind w:firstLine="480" w:firstLineChars="200"/>
        <w:jc w:val="both"/>
        <w:rPr>
          <w:rFonts w:ascii="宋体" w:eastAsia="宋体" w:hAnsi="宋体"/>
          <w:kern w:val="2"/>
          <w:lang w:eastAsia="zh-CN"/>
        </w:rPr>
      </w:pPr>
      <w:r>
        <w:rPr>
          <w:rFonts w:ascii="宋体" w:eastAsia="宋体" w:hAnsi="宋体" w:hint="eastAsia"/>
          <w:kern w:val="2"/>
          <w:lang w:eastAsia="zh-CN"/>
        </w:rPr>
        <w:t>备注：单一产品采购项目，核心产品即为该单一产品。</w:t>
      </w:r>
    </w:p>
    <w:p>
      <w:pPr>
        <w:widowControl w:val="0"/>
        <w:spacing w:after="160" w:line="259" w:lineRule="auto"/>
        <w:jc w:val="both"/>
        <w:rPr>
          <w:rFonts w:eastAsia="宋体"/>
          <w:b/>
          <w:kern w:val="2"/>
          <w:lang w:eastAsia="zh-CN"/>
        </w:rPr>
      </w:pPr>
    </w:p>
    <w:p>
      <w:pPr>
        <w:widowControl w:val="0"/>
        <w:tabs>
          <w:tab w:val="left" w:pos="720"/>
        </w:tabs>
        <w:spacing w:after="160" w:line="259" w:lineRule="auto"/>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spacing w:after="160" w:line="259" w:lineRule="auto"/>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spacing w:after="160" w:line="259" w:lineRule="auto"/>
        <w:ind w:firstLine="480" w:firstLineChars="200"/>
        <w:jc w:val="both"/>
        <w:rPr>
          <w:rFonts w:eastAsia="宋体" w:hAnsi="宋体"/>
          <w:b/>
          <w:bCs/>
          <w:kern w:val="2"/>
          <w:lang w:eastAsia="zh-CN"/>
        </w:rPr>
      </w:pPr>
    </w:p>
    <w:p>
      <w:pPr>
        <w:widowControl w:val="0"/>
        <w:tabs>
          <w:tab w:val="left" w:pos="720"/>
        </w:tabs>
        <w:spacing w:after="160" w:line="259" w:lineRule="auto"/>
        <w:jc w:val="center"/>
        <w:rPr>
          <w:rFonts w:eastAsia="宋体"/>
          <w:b/>
          <w:kern w:val="2"/>
          <w:lang w:eastAsia="zh-CN"/>
        </w:rPr>
      </w:pPr>
      <w:r>
        <w:rPr>
          <w:rFonts w:eastAsia="宋体" w:hint="eastAsia"/>
          <w:b/>
          <w:kern w:val="2"/>
          <w:lang w:eastAsia="zh-CN"/>
        </w:rPr>
        <w:t>（四）</w:t>
      </w:r>
      <w:bookmarkStart w:id="48" w:name="_Hlk72073235"/>
      <w:r>
        <w:rPr>
          <w:rFonts w:eastAsia="宋体" w:hint="eastAsia"/>
          <w:b/>
          <w:kern w:val="2"/>
          <w:lang w:eastAsia="zh-CN"/>
        </w:rPr>
        <w:t>投标人认为需要涉及的其他内容报价清单</w:t>
      </w:r>
      <w:bookmarkEnd w:id="48"/>
    </w:p>
    <w:p>
      <w:pPr>
        <w:widowControl w:val="0"/>
        <w:spacing w:after="160" w:line="259" w:lineRule="auto"/>
        <w:jc w:val="both"/>
        <w:outlineLvl w:val="3"/>
        <w:rPr>
          <w:rFonts w:eastAsia="宋体"/>
          <w:b/>
          <w:color w:val="FF0000"/>
          <w:kern w:val="2"/>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五、</w:t>
      </w:r>
      <w:bookmarkStart w:id="49" w:name="_Hlk72092499"/>
      <w:r>
        <w:rPr>
          <w:rFonts w:ascii="黑体" w:eastAsia="黑体" w:hAnsi="宋体" w:hint="eastAsia"/>
          <w:bCs/>
          <w:kern w:val="2"/>
          <w:szCs w:val="32"/>
          <w:lang w:eastAsia="zh-CN"/>
        </w:rPr>
        <w:t>法定代表人（负责人）证明书</w:t>
      </w:r>
      <w:bookmarkEnd w:id="49"/>
    </w:p>
    <w:p>
      <w:pPr>
        <w:widowControl w:val="0"/>
        <w:spacing w:after="160" w:line="259" w:lineRule="auto"/>
        <w:jc w:val="both"/>
        <w:rPr>
          <w:rFonts w:eastAsia="宋体"/>
          <w:kern w:val="2"/>
          <w:lang w:eastAsia="zh-CN"/>
        </w:rPr>
      </w:pP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2"/>
        </w:numPr>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2"/>
        </w:numPr>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2"/>
        </w:numPr>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spacing w:after="160" w:line="259" w:lineRule="auto"/>
        <w:ind w:firstLine="480" w:firstLineChars="200"/>
        <w:jc w:val="both"/>
        <w:rPr>
          <w:rFonts w:eastAsia="宋体"/>
          <w:kern w:val="2"/>
          <w:lang w:eastAsia="zh-CN"/>
        </w:rPr>
      </w:pPr>
    </w:p>
    <w:p>
      <w:pPr>
        <w:widowControl w:val="0"/>
        <w:spacing w:after="160" w:line="259" w:lineRule="auto"/>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六、投标文件签署授权委托书</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after="160" w:line="259" w:lineRule="auto"/>
        <w:ind w:firstLine="420" w:firstLineChars="200"/>
        <w:jc w:val="both"/>
        <w:rPr>
          <w:rFonts w:eastAsia="宋体"/>
          <w:kern w:val="2"/>
          <w:sz w:val="21"/>
          <w:szCs w:val="21"/>
          <w:lang w:eastAsia="zh-CN"/>
        </w:rPr>
      </w:pP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after="160" w:line="259"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七、</w:t>
      </w:r>
      <w:bookmarkStart w:id="50" w:name="_Hlk72092634"/>
      <w:r>
        <w:rPr>
          <w:rFonts w:ascii="黑体" w:eastAsia="黑体" w:hAnsi="宋体" w:hint="eastAsia"/>
          <w:bCs/>
          <w:lang w:eastAsia="zh-CN"/>
        </w:rPr>
        <w:t>实质性条款响应情况表</w:t>
      </w:r>
      <w:bookmarkEnd w:id="50"/>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3644"/>
        <w:gridCol w:w="1617"/>
        <w:gridCol w:w="1323"/>
        <w:gridCol w:w="120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after="160" w:line="360" w:lineRule="auto"/>
              <w:jc w:val="center"/>
              <w:rPr>
                <w:rFonts w:ascii="宋体" w:eastAsia="宋体" w:hAnsi="宋体"/>
                <w:sz w:val="21"/>
                <w:szCs w:val="21"/>
                <w:lang w:eastAsia="zh-CN"/>
              </w:rPr>
            </w:pPr>
            <w:bookmarkStart w:id="51"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after="160"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after="160"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after="160"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163" w:type="dxa"/>
            <w:vAlign w:val="center"/>
          </w:tcPr>
          <w:p>
            <w:pPr>
              <w:widowControl w:val="0"/>
              <w:adjustRightInd w:val="0"/>
              <w:snapToGrid w:val="0"/>
              <w:spacing w:after="160"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51"/>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after="160"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3514" w:type="dxa"/>
          </w:tcPr>
          <w:p>
            <w:pPr>
              <w:widowControl w:val="0"/>
              <w:adjustRightInd w:val="0"/>
              <w:snapToGrid w:val="0"/>
              <w:spacing w:after="160" w:line="360" w:lineRule="auto"/>
              <w:jc w:val="left"/>
              <w:rPr>
                <w:rFonts w:eastAsia="宋体" w:hAnsi="宋体"/>
                <w:sz w:val="21"/>
                <w:szCs w:val="21"/>
                <w:lang w:eastAsia="zh-CN"/>
              </w:rPr>
            </w:pPr>
            <w:r>
              <w:rPr>
                <w:rFonts w:eastAsia="宋体" w:hint="eastAsia"/>
                <w:kern w:val="2"/>
                <w:sz w:val="21"/>
                <w:lang w:eastAsia="zh-CN"/>
              </w:rPr>
              <w:t>满足本项目标★的条款要求</w:t>
            </w:r>
          </w:p>
        </w:tc>
        <w:tc>
          <w:tcPr>
            <w:tcW w:w="1559" w:type="dxa"/>
          </w:tcPr>
          <w:p>
            <w:pPr>
              <w:widowControl w:val="0"/>
              <w:adjustRightInd w:val="0"/>
              <w:snapToGrid w:val="0"/>
              <w:spacing w:after="160" w:line="360" w:lineRule="auto"/>
              <w:jc w:val="both"/>
              <w:rPr>
                <w:rFonts w:ascii="宋体" w:eastAsia="宋体" w:hAnsi="宋体"/>
                <w:sz w:val="21"/>
                <w:szCs w:val="21"/>
                <w:lang w:eastAsia="zh-CN"/>
              </w:rPr>
            </w:pPr>
          </w:p>
        </w:tc>
        <w:tc>
          <w:tcPr>
            <w:tcW w:w="1276" w:type="dxa"/>
          </w:tcPr>
          <w:p>
            <w:pPr>
              <w:widowControl w:val="0"/>
              <w:adjustRightInd w:val="0"/>
              <w:snapToGrid w:val="0"/>
              <w:spacing w:after="160" w:line="360" w:lineRule="auto"/>
              <w:jc w:val="both"/>
              <w:rPr>
                <w:rFonts w:ascii="宋体" w:eastAsia="宋体" w:hAnsi="宋体"/>
                <w:sz w:val="21"/>
                <w:szCs w:val="21"/>
                <w:lang w:eastAsia="zh-CN"/>
              </w:rPr>
            </w:pPr>
          </w:p>
        </w:tc>
        <w:tc>
          <w:tcPr>
            <w:tcW w:w="1163" w:type="dxa"/>
          </w:tcPr>
          <w:p>
            <w:pPr>
              <w:widowControl w:val="0"/>
              <w:adjustRightInd w:val="0"/>
              <w:snapToGrid w:val="0"/>
              <w:spacing w:after="160" w:line="360" w:lineRule="auto"/>
              <w:jc w:val="both"/>
              <w:rPr>
                <w:rFonts w:ascii="宋体" w:eastAsia="宋体" w:hAnsi="宋体"/>
                <w:sz w:val="21"/>
                <w:szCs w:val="21"/>
                <w:lang w:eastAsia="zh-CN"/>
              </w:rPr>
            </w:pPr>
          </w:p>
        </w:tc>
      </w:tr>
    </w:tbl>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spacing w:after="160" w:line="259" w:lineRule="auto"/>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spacing w:after="160" w:line="259" w:lineRule="auto"/>
        <w:jc w:val="both"/>
        <w:rPr>
          <w:rFonts w:eastAsia="宋体"/>
          <w:b/>
          <w:bCs/>
          <w:kern w:val="2"/>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八、技术要求偏离表</w:t>
      </w:r>
    </w:p>
    <w:tbl>
      <w:tblPr>
        <w:tblStyle w:val="TableNormal"/>
        <w:tblpPr w:leftFromText="180" w:rightFromText="180" w:vertAnchor="text" w:horzAnchor="page" w:tblpX="1892" w:tblpY="300"/>
        <w:tblOverlap w:val="never"/>
        <w:tblW w:w="5000" w:type="pct"/>
        <w:tblInd w:w="0" w:type="dxa"/>
        <w:tblLayout w:type="fixed"/>
        <w:tblCellMar>
          <w:top w:w="0" w:type="dxa"/>
          <w:left w:w="108" w:type="dxa"/>
          <w:bottom w:w="0" w:type="dxa"/>
          <w:right w:w="108" w:type="dxa"/>
        </w:tblCellMar>
      </w:tblPr>
      <w:tblGrid>
        <w:gridCol w:w="522"/>
        <w:gridCol w:w="635"/>
        <w:gridCol w:w="5428"/>
        <w:gridCol w:w="893"/>
        <w:gridCol w:w="649"/>
        <w:gridCol w:w="395"/>
      </w:tblGrid>
      <w:tr>
        <w:tblPrEx>
          <w:tblW w:w="5000" w:type="pct"/>
          <w:tblInd w:w="0" w:type="dxa"/>
          <w:tblLayout w:type="fixed"/>
          <w:tblCellMar>
            <w:top w:w="0" w:type="dxa"/>
            <w:left w:w="108" w:type="dxa"/>
            <w:bottom w:w="0" w:type="dxa"/>
            <w:right w:w="108" w:type="dxa"/>
          </w:tblCellMar>
        </w:tblPrEx>
        <w:trPr>
          <w:trHeight w:val="317"/>
        </w:trPr>
        <w:tc>
          <w:tcPr>
            <w:tcW w:w="531" w:type="dxa"/>
            <w:tcBorders>
              <w:top w:val="single" w:sz="4" w:space="0" w:color="000000"/>
              <w:left w:val="single" w:sz="4" w:space="0" w:color="000000"/>
              <w:bottom w:val="single" w:sz="4" w:space="0" w:color="auto"/>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sz w:val="21"/>
                <w:szCs w:val="21"/>
                <w:lang w:eastAsia="zh-CN" w:bidi="ar"/>
              </w:rPr>
              <w:t>序号</w:t>
            </w:r>
          </w:p>
        </w:tc>
        <w:tc>
          <w:tcPr>
            <w:tcW w:w="647" w:type="dxa"/>
            <w:tcBorders>
              <w:top w:val="single" w:sz="4" w:space="0" w:color="000000"/>
              <w:left w:val="single" w:sz="4" w:space="0" w:color="000000"/>
              <w:bottom w:val="single" w:sz="4" w:space="0" w:color="auto"/>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sz w:val="21"/>
                <w:szCs w:val="21"/>
                <w:lang w:eastAsia="zh-CN" w:bidi="ar"/>
              </w:rPr>
              <w:t>货物名称</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sz w:val="21"/>
                <w:szCs w:val="21"/>
                <w:lang w:eastAsia="zh-CN" w:bidi="ar"/>
              </w:rPr>
              <w:t>技术要求</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hint="eastAsia"/>
                <w:color w:val="000000"/>
                <w:sz w:val="21"/>
                <w:szCs w:val="21"/>
                <w:lang w:eastAsia="zh-CN" w:bidi="ar"/>
              </w:rPr>
            </w:pPr>
            <w:r>
              <w:rPr>
                <w:rFonts w:ascii="仿宋_GB2312" w:eastAsia="仿宋_GB2312" w:hAnsi="仿宋_GB2312" w:cs="仿宋_GB2312" w:hint="eastAsia"/>
                <w:color w:val="000000"/>
                <w:sz w:val="21"/>
                <w:szCs w:val="21"/>
                <w:lang w:eastAsia="zh-CN" w:bidi="ar"/>
              </w:rPr>
              <w:t>投标技术响应</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hint="eastAsia"/>
                <w:color w:val="000000"/>
                <w:sz w:val="21"/>
                <w:szCs w:val="21"/>
                <w:lang w:eastAsia="zh-CN" w:bidi="ar"/>
              </w:rPr>
            </w:pPr>
            <w:r>
              <w:rPr>
                <w:rFonts w:ascii="仿宋_GB2312" w:eastAsia="仿宋_GB2312" w:hAnsi="仿宋_GB2312" w:cs="仿宋_GB2312" w:hint="eastAsia"/>
                <w:color w:val="000000"/>
                <w:sz w:val="21"/>
                <w:szCs w:val="21"/>
                <w:lang w:eastAsia="zh-CN" w:bidi="ar"/>
              </w:rPr>
              <w:t>偏离情况</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after="160" w:line="259" w:lineRule="auto"/>
              <w:jc w:val="center"/>
              <w:textAlignment w:val="bottom"/>
              <w:rPr>
                <w:rFonts w:ascii="仿宋_GB2312" w:eastAsia="仿宋_GB2312" w:hAnsi="仿宋_GB2312" w:cs="仿宋_GB2312" w:hint="eastAsia"/>
                <w:color w:val="000000"/>
                <w:sz w:val="21"/>
                <w:szCs w:val="21"/>
                <w:lang w:eastAsia="zh-CN" w:bidi="ar"/>
              </w:rPr>
            </w:pPr>
            <w:r>
              <w:rPr>
                <w:rFonts w:ascii="仿宋_GB2312" w:eastAsia="仿宋_GB2312" w:hAnsi="仿宋_GB2312" w:cs="仿宋_GB2312" w:hint="eastAsia"/>
                <w:color w:val="000000"/>
                <w:sz w:val="21"/>
                <w:szCs w:val="21"/>
                <w:lang w:eastAsia="zh-CN" w:bidi="ar"/>
              </w:rPr>
              <w:t>说明</w:t>
            </w:r>
          </w:p>
        </w:tc>
      </w:tr>
      <w:tr>
        <w:tblPrEx>
          <w:tblW w:w="5000" w:type="pct"/>
          <w:tblInd w:w="0" w:type="dxa"/>
          <w:tblLayout w:type="fixed"/>
          <w:tblCellMar>
            <w:top w:w="0" w:type="dxa"/>
            <w:left w:w="108" w:type="dxa"/>
            <w:bottom w:w="0" w:type="dxa"/>
            <w:right w:w="108" w:type="dxa"/>
          </w:tblCellMar>
        </w:tblPrEx>
        <w:trPr>
          <w:trHeight w:val="2286"/>
        </w:trPr>
        <w:tc>
          <w:tcPr>
            <w:tcW w:w="531" w:type="dxa"/>
            <w:vMerge w:val="restart"/>
            <w:tcBorders>
              <w:top w:val="single" w:sz="4" w:space="0" w:color="auto"/>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p>
        </w:tc>
        <w:tc>
          <w:tcPr>
            <w:tcW w:w="647" w:type="dxa"/>
            <w:vMerge w:val="restart"/>
            <w:tcBorders>
              <w:top w:val="single" w:sz="4" w:space="0" w:color="auto"/>
              <w:left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bCs/>
                <w:kern w:val="2"/>
                <w:sz w:val="21"/>
                <w:szCs w:val="21"/>
                <w:lang w:eastAsia="zh-CN"/>
              </w:rPr>
              <w:t>内镜清洗消毒工作站</w:t>
            </w: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胃肠镜清洗流程应由清洗槽、漂洗槽、浸泡消毒槽、终末漂洗槽、干燥台组成，整体采用防泛水设计，采用前高后低的大圆弧防泛水设计，槽面向内侧倾斜低于3度，前端高于后端4厘米；工作站功能槽及功能背板采用改性PMMA-ABS高分子复合材料板材高温一次吸塑成型，PMMA-ABS板材须根据医药行业标准要求进行耐腐蚀性测试，在1%NaOH溶液中浸泡≥48小时无可视变化，在5%H2SO4溶液中浸泡≥48小时无可视变化</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37"/>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2</w:t>
            </w:r>
            <w:r>
              <w:rPr>
                <w:rFonts w:ascii="仿宋_GB2312" w:eastAsia="仿宋_GB2312" w:hAnsi="仿宋_GB2312" w:cs="仿宋_GB2312" w:hint="eastAsia"/>
                <w:b/>
                <w:bCs/>
                <w:color w:val="FF0000"/>
                <w:kern w:val="2"/>
                <w:sz w:val="21"/>
                <w:szCs w:val="21"/>
                <w:lang w:eastAsia="zh-CN"/>
              </w:rPr>
              <w:t>.▲清洗槽大小满足科室内镜清洗需求，洗手池外尺寸长≥500mm×≥宽760mm，嵌入一体式超声波槽外尺寸长≥500mm×宽≥760mm，双方槽外尺寸长≥1315mm×宽≥760mm，单方槽外尺寸长≥685mm×宽≥760mm，胃肠镜干燥台要根据现场情况定制，主体配置及尺寸须符合以上要求，尺寸误差必须控制在±5mm内。（提供符合上述尺寸要求的平面布局图佐证）</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7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3</w:t>
            </w:r>
            <w:r>
              <w:rPr>
                <w:rFonts w:ascii="仿宋_GB2312" w:eastAsia="仿宋_GB2312" w:hAnsi="仿宋_GB2312" w:cs="仿宋_GB2312" w:hint="eastAsia"/>
                <w:color w:val="000000"/>
                <w:kern w:val="2"/>
                <w:sz w:val="21"/>
                <w:szCs w:val="21"/>
                <w:lang w:eastAsia="zh-CN"/>
              </w:rPr>
              <w:t>.全不锈钢高压水气枪：材质采用304#不锈钢一次型铸造成型，内镜清洗专嘴锥型喷头，中端采用橡胶垫可防止吹管腔或吹内镜的注水注气孔时气会反弹，不对内镜接口造成磨损。</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4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4</w:t>
            </w:r>
            <w:r>
              <w:rPr>
                <w:rFonts w:ascii="仿宋_GB2312" w:eastAsia="仿宋_GB2312" w:hAnsi="仿宋_GB2312" w:cs="仿宋_GB2312" w:hint="eastAsia"/>
                <w:b/>
                <w:bCs/>
                <w:color w:val="FF0000"/>
                <w:kern w:val="2"/>
                <w:sz w:val="21"/>
                <w:szCs w:val="21"/>
                <w:lang w:eastAsia="zh-CN"/>
              </w:rPr>
              <w:t>.吊柜开门方式采用平行开门设计，吊柜与触摸屏一体化设计，功能背板应集成无闪烁LED照明系统</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1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5</w:t>
            </w:r>
            <w:r>
              <w:rPr>
                <w:rFonts w:ascii="仿宋_GB2312" w:eastAsia="仿宋_GB2312" w:hAnsi="仿宋_GB2312" w:cs="仿宋_GB2312" w:hint="eastAsia"/>
                <w:color w:val="000000"/>
                <w:kern w:val="2"/>
                <w:sz w:val="21"/>
                <w:szCs w:val="21"/>
                <w:lang w:eastAsia="zh-CN"/>
              </w:rPr>
              <w:t>.中心气体处理器：为灌流和气枪调节恒定的气压，气压调节范围0～0.75Mpa，分离空气中的水分及其它杂质，可以拆装清洗</w:t>
            </w:r>
            <w:r>
              <w:rPr>
                <w:rFonts w:ascii="仿宋_GB2312" w:eastAsia="仿宋_GB2312" w:hAnsi="仿宋_GB2312" w:cs="仿宋_GB2312" w:hint="eastAsia"/>
                <w:color w:val="000000"/>
                <w:kern w:val="2"/>
                <w:sz w:val="21"/>
                <w:szCs w:val="21"/>
                <w:lang w:eastAsia="zh-CN"/>
              </w:rPr>
              <w:t>，</w:t>
            </w:r>
            <w:r>
              <w:rPr>
                <w:rFonts w:ascii="仿宋_GB2312" w:eastAsia="仿宋_GB2312" w:hAnsi="仿宋_GB2312" w:cs="仿宋_GB2312" w:hint="eastAsia"/>
                <w:color w:val="000000"/>
                <w:kern w:val="2"/>
                <w:sz w:val="21"/>
                <w:szCs w:val="21"/>
                <w:lang w:eastAsia="zh-CN"/>
              </w:rPr>
              <w:t>不损伤昂贵的内镜，无耗材、免维护、免清洗。</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6</w:t>
            </w:r>
            <w:r>
              <w:rPr>
                <w:rFonts w:ascii="仿宋_GB2312" w:eastAsia="仿宋_GB2312" w:hAnsi="仿宋_GB2312" w:cs="仿宋_GB2312" w:hint="eastAsia"/>
                <w:b/>
                <w:bCs/>
                <w:color w:val="FF0000"/>
                <w:kern w:val="2"/>
                <w:sz w:val="21"/>
                <w:szCs w:val="21"/>
                <w:lang w:eastAsia="zh-CN"/>
              </w:rPr>
              <w:t>.全优质SUS304不锈钢材质水龙头，水龙头需要实时显示水温</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p>
            <w:pPr>
              <w:widowControl w:val="0"/>
              <w:spacing w:after="160" w:line="259" w:lineRule="auto"/>
              <w:jc w:val="both"/>
              <w:rPr>
                <w:rFonts w:ascii="仿宋_GB2312" w:eastAsia="仿宋_GB2312" w:hAnsi="仿宋_GB2312" w:cs="仿宋_GB2312"/>
                <w:color w:val="000000"/>
                <w:kern w:val="2"/>
                <w:sz w:val="21"/>
                <w:szCs w:val="21"/>
                <w:lang w:eastAsia="zh-CN"/>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26"/>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7</w:t>
            </w:r>
            <w:r>
              <w:rPr>
                <w:rFonts w:ascii="仿宋_GB2312" w:eastAsia="仿宋_GB2312" w:hAnsi="仿宋_GB2312" w:cs="仿宋_GB2312" w:hint="eastAsia"/>
                <w:color w:val="000000"/>
                <w:kern w:val="2"/>
                <w:sz w:val="21"/>
                <w:szCs w:val="21"/>
                <w:lang w:eastAsia="zh-CN"/>
              </w:rPr>
              <w:t>.消毒液槽采用电动翻盖功能，可通过人机界面或脚踢开关实现消毒槽槽盖的打开和关闭，无需用手拿取槽盖。</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26"/>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color w:val="FF0000"/>
                <w:kern w:val="2"/>
                <w:sz w:val="21"/>
                <w:szCs w:val="21"/>
                <w:lang w:eastAsia="zh-CN"/>
              </w:rPr>
              <w:t>8</w:t>
            </w:r>
            <w:r>
              <w:rPr>
                <w:rFonts w:ascii="仿宋_GB2312" w:eastAsia="仿宋_GB2312" w:hAnsi="仿宋_GB2312" w:cs="仿宋_GB2312" w:hint="eastAsia"/>
                <w:color w:val="FF0000"/>
                <w:kern w:val="2"/>
                <w:sz w:val="21"/>
                <w:szCs w:val="21"/>
                <w:lang w:eastAsia="zh-CN"/>
              </w:rPr>
              <w:t>.一体式嵌入式超声波清洗机采用和清洗槽一体式安装，超声频率40KHz，清洗槽有效容积≥10L，</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说明书或技术白皮书，证明超声槽为该工作站结构及组成的法定部件</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89"/>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9</w:t>
            </w:r>
            <w:r>
              <w:rPr>
                <w:rFonts w:ascii="仿宋_GB2312" w:eastAsia="仿宋_GB2312" w:hAnsi="仿宋_GB2312" w:cs="仿宋_GB2312" w:hint="eastAsia"/>
                <w:color w:val="000000"/>
                <w:kern w:val="2"/>
                <w:sz w:val="21"/>
                <w:szCs w:val="21"/>
                <w:lang w:eastAsia="zh-CN"/>
              </w:rPr>
              <w:t xml:space="preserve">.医生洗手池采用改性PMMA高分子材料，用模具高温一次成型和清洗槽自然成为一体，非其它材质和款式，感应式水龙头，水龙头可以洗手和洗眼两用。 </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0</w:t>
            </w:r>
            <w:r>
              <w:rPr>
                <w:rFonts w:ascii="仿宋_GB2312" w:eastAsia="仿宋_GB2312" w:hAnsi="仿宋_GB2312" w:cs="仿宋_GB2312" w:hint="eastAsia"/>
                <w:color w:val="000000"/>
                <w:kern w:val="2"/>
                <w:sz w:val="21"/>
                <w:szCs w:val="21"/>
                <w:lang w:eastAsia="zh-CN"/>
              </w:rPr>
              <w:t>.酶液自动配器采用微电脑芯片控制，通过面板操作实现了定时自动加酶功能自动按照设定比例进行酶液和水的配比，酶液配比比例可调，配比精度≤0.01ml。</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8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.内镜测漏系统和清洗槽结合成为一体，隐藏式主机设计，操作面板固定于背板，测量精度为0.01kPa，测试时间30s～240s ，测试压差0kPa～5kPa，软式内镜通入不大于0.03MPa空气时，若产生泄漏，泄漏检测装置能提供声讯信号。</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2</w:t>
            </w:r>
            <w:r>
              <w:rPr>
                <w:rFonts w:ascii="仿宋_GB2312" w:eastAsia="仿宋_GB2312" w:hAnsi="仿宋_GB2312" w:cs="仿宋_GB2312" w:hint="eastAsia"/>
                <w:b/>
                <w:bCs/>
                <w:color w:val="FF0000"/>
                <w:kern w:val="2"/>
                <w:sz w:val="21"/>
                <w:szCs w:val="21"/>
                <w:lang w:eastAsia="zh-CN"/>
              </w:rPr>
              <w:t>.▲气体消毒洁净处理器采用微电脑控制系统，符合最新内镜最近管理规范提供医疗级汽源供应保证气体干燥洁净度，经洁净气源处理后的输出气体菌落总数&lt;1cfu/m3，多级过滤，可滤除小至0.01μm的液体及固态颗粒，最低残留含油量及PM仅0.01mg/m³，且去除率小于93%。（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3</w:t>
            </w:r>
            <w:r>
              <w:rPr>
                <w:rFonts w:ascii="仿宋_GB2312" w:eastAsia="仿宋_GB2312" w:hAnsi="仿宋_GB2312" w:cs="仿宋_GB2312" w:hint="eastAsia"/>
                <w:b/>
                <w:bCs/>
                <w:color w:val="FF0000"/>
                <w:kern w:val="2"/>
                <w:sz w:val="21"/>
                <w:szCs w:val="21"/>
                <w:lang w:eastAsia="zh-CN"/>
              </w:rPr>
              <w:t>.▲内镜吹干酒精灌流一体机需具有≥2种干燥方式，一机至少包含酒精灌流干燥及吹气干燥两种干燥模式，能够同时对≥3条软式内镜进行干燥处理，本设备可以嵌入清洗工作站干燥台背板上，能够设置各通道干燥参数数值，可设置最高和最低吹气压力，能够设置吹气时间、酒精灌流时间等</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（提供产品彩页</w:t>
            </w:r>
            <w:r>
              <w:rPr>
                <w:rFonts w:ascii="仿宋_GB2312" w:eastAsia="仿宋_GB2312" w:hAnsi="仿宋_GB2312" w:cs="仿宋_GB2312" w:hint="eastAsia"/>
                <w:b/>
                <w:bCs/>
                <w:color w:val="FF0000"/>
                <w:kern w:val="2"/>
                <w:sz w:val="21"/>
                <w:szCs w:val="21"/>
                <w:lang w:eastAsia="zh-CN"/>
              </w:rPr>
              <w:t>或</w:t>
            </w:r>
            <w:r>
              <w:rPr>
                <w:rFonts w:ascii="仿宋_GB2312" w:eastAsia="仿宋_GB2312" w:hAnsi="仿宋_GB2312" w:cs="仿宋_GB2312" w:hint="eastAsia"/>
                <w:b/>
                <w:bCs/>
                <w:color w:val="FF0000"/>
                <w:kern w:val="2"/>
                <w:sz w:val="21"/>
                <w:szCs w:val="21"/>
                <w:lang w:eastAsia="zh-CN"/>
              </w:rPr>
              <w:t>说明书或技术白皮书，佐证上述2种干燥方式及≥3条内镜同时处理的核心性能）</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5"/>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4</w:t>
            </w:r>
            <w:r>
              <w:rPr>
                <w:rFonts w:ascii="仿宋_GB2312" w:eastAsia="仿宋_GB2312" w:hAnsi="仿宋_GB2312" w:cs="仿宋_GB2312" w:hint="eastAsia"/>
                <w:color w:val="000000"/>
                <w:kern w:val="2"/>
                <w:sz w:val="21"/>
                <w:szCs w:val="21"/>
                <w:lang w:eastAsia="zh-CN"/>
              </w:rPr>
              <w:t>.自动排液系统采用不锈钢微型电动球阀，体积小重量轻，具有良好的流量调节功效和封闭密封特性；面板控制电动球阀排水，通过面板控制电动球阀的开合来控制排液，有效的防止手动排水时手对槽内内镜造成的二次污染。</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5</w:t>
            </w:r>
            <w:r>
              <w:rPr>
                <w:rFonts w:ascii="仿宋_GB2312" w:eastAsia="仿宋_GB2312" w:hAnsi="仿宋_GB2312" w:cs="仿宋_GB2312" w:hint="eastAsia"/>
                <w:color w:val="000000"/>
                <w:kern w:val="2"/>
                <w:sz w:val="21"/>
                <w:szCs w:val="21"/>
                <w:lang w:eastAsia="zh-CN"/>
              </w:rPr>
              <w:t>.供电线路根据整套系统负荷设计，所有供电系统都经过漏电和负载保险开关，强电和弱电线路错开，且强电有双重绝缘保护和接地保护开关和插座都有防水保护。</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28"/>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w:t>
            </w:r>
            <w:r>
              <w:rPr>
                <w:rFonts w:ascii="仿宋_GB2312" w:eastAsia="仿宋_GB2312" w:hAnsi="仿宋_GB2312" w:cs="仿宋_GB2312" w:hint="eastAsia"/>
                <w:b/>
                <w:bCs/>
                <w:color w:val="FF0000"/>
                <w:kern w:val="2"/>
                <w:sz w:val="21"/>
                <w:szCs w:val="21"/>
                <w:lang w:eastAsia="zh-CN"/>
              </w:rPr>
              <w:t>6</w:t>
            </w:r>
            <w:r>
              <w:rPr>
                <w:rFonts w:ascii="仿宋_GB2312" w:eastAsia="仿宋_GB2312" w:hAnsi="仿宋_GB2312" w:cs="仿宋_GB2312" w:hint="eastAsia"/>
                <w:b/>
                <w:bCs/>
                <w:color w:val="FF0000"/>
                <w:kern w:val="2"/>
                <w:sz w:val="21"/>
                <w:szCs w:val="21"/>
                <w:lang w:eastAsia="zh-CN"/>
              </w:rPr>
              <w:t>.▲设计有效使用寿命≥八年</w:t>
            </w:r>
            <w:r>
              <w:rPr>
                <w:rFonts w:ascii="仿宋_GB2312" w:eastAsia="仿宋_GB2312" w:hAnsi="仿宋_GB2312" w:cs="仿宋_GB2312" w:hint="eastAsia"/>
                <w:b/>
                <w:bCs/>
                <w:color w:val="FF0000"/>
                <w:kern w:val="2"/>
                <w:sz w:val="21"/>
                <w:szCs w:val="21"/>
                <w:lang w:eastAsia="zh-CN"/>
              </w:rPr>
              <w:t>，</w:t>
            </w:r>
            <w:r>
              <w:rPr>
                <w:rFonts w:ascii="仿宋_GB2312" w:eastAsia="仿宋_GB2312" w:hAnsi="仿宋_GB2312" w:cs="仿宋_GB2312" w:hint="eastAsia"/>
                <w:b/>
                <w:bCs/>
                <w:color w:val="FF0000"/>
                <w:kern w:val="2"/>
                <w:sz w:val="21"/>
                <w:szCs w:val="21"/>
                <w:lang w:eastAsia="zh-CN"/>
              </w:rPr>
              <w:t>提供与本次投标设备型号完全一致的设备机身铭牌，作为佐证材料。</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12"/>
        </w:trPr>
        <w:tc>
          <w:tcPr>
            <w:tcW w:w="531"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left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5588" w:type="dxa"/>
            <w:tcBorders>
              <w:top w:val="single" w:sz="4" w:space="0" w:color="auto"/>
              <w:left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★配置清单</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双方槽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12组</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单方槽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2个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3</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嵌入一体式超声波槽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1个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4</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洗手洗眼槽</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1个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5</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根据场地时间尺寸定制干燥台</w:t>
            </w:r>
            <w:r>
              <w:rPr>
                <w:rFonts w:ascii="仿宋_GB2312" w:eastAsia="仿宋_GB2312" w:hAnsi="仿宋_GB2312" w:cs="仿宋_GB2312" w:hint="eastAsia"/>
                <w:color w:val="000000"/>
                <w:kern w:val="2"/>
                <w:sz w:val="21"/>
                <w:szCs w:val="21"/>
                <w:lang w:eastAsia="zh-CN"/>
              </w:rPr>
              <w:tab/>
            </w:r>
            <w:r>
              <w:rPr>
                <w:rFonts w:ascii="仿宋_GB2312" w:eastAsia="仿宋_GB2312" w:hAnsi="仿宋_GB2312" w:cs="仿宋_GB2312" w:hint="eastAsia"/>
                <w:color w:val="000000"/>
                <w:kern w:val="2"/>
                <w:sz w:val="21"/>
                <w:szCs w:val="21"/>
                <w:lang w:eastAsia="zh-CN"/>
              </w:rPr>
              <w:t xml:space="preserve">        5个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6   功能背板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7   跟背板一样长度的一体功能吊柜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8   嵌入式超声波清洗机                  1台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9   酶液自动配比系统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10  气体消毒洁净处理器                  2套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11  内镜侧漏系统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12  酒精灌流内镜吹干一体机              2台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13  电动自动翻盖                        8套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14  中心气体处理器                      4套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15  水气枪                              30把</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16  自动灌流器                          26套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17  快速接头                            26套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 xml:space="preserve">18  安全用电变电系统                    3套 </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19  照明系统                            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20  给排水管路                          各6套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21  带温度显示功能的转折式不锈钢水龙头  13套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22  进水自动控制水源电磁控制阀          6套</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color w:val="000000"/>
                <w:kern w:val="2"/>
                <w:sz w:val="21"/>
                <w:szCs w:val="21"/>
                <w:lang w:eastAsia="zh-CN"/>
              </w:rPr>
              <w:t>23  自动排水电磁控制阀                  16套</w:t>
            </w:r>
          </w:p>
        </w:tc>
        <w:tc>
          <w:tcPr>
            <w:tcW w:w="913" w:type="dxa"/>
            <w:tcBorders>
              <w:top w:val="single" w:sz="4" w:space="0" w:color="auto"/>
              <w:left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85"/>
        </w:trPr>
        <w:tc>
          <w:tcPr>
            <w:tcW w:w="531" w:type="dxa"/>
            <w:vMerge w:val="restart"/>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w:t>
            </w:r>
          </w:p>
        </w:tc>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 xml:space="preserve">内镜追溯管理系统 </w:t>
            </w: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1.采用成熟的 RFID 射频技术，组建内镜中心物联网网络，形成全流程闭环追溯，RFID 芯片防水耐腐蚀，可长期复用。</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3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2.系统结构灵活，支持独立服务器和共享服务器模式，服务器自动备份、客户端自动更新；系统具有扩展性和兼容性，不受清洗槽及流程和自动清洗机数量的限制。</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264"/>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3.在第三方清洗机厂家开放接口的前提下，实现自动采集设备数据及监控设备运行，支持</w:t>
            </w:r>
            <w:r>
              <w:rPr>
                <w:rFonts w:ascii="仿宋_GB2312" w:eastAsia="仿宋_GB2312" w:hAnsi="仿宋_GB2312" w:cs="仿宋_GB2312" w:hint="eastAsia"/>
                <w:color w:val="000000"/>
                <w:kern w:val="2"/>
                <w:sz w:val="21"/>
                <w:szCs w:val="21"/>
                <w:lang w:eastAsia="zh-CN"/>
              </w:rPr>
              <w:t>与</w:t>
            </w:r>
            <w:r>
              <w:rPr>
                <w:rFonts w:ascii="仿宋_GB2312" w:eastAsia="仿宋_GB2312" w:hAnsi="仿宋_GB2312" w:cs="仿宋_GB2312" w:hint="eastAsia"/>
                <w:color w:val="000000"/>
                <w:kern w:val="2"/>
                <w:sz w:val="21"/>
                <w:szCs w:val="21"/>
                <w:lang w:eastAsia="zh-CN"/>
              </w:rPr>
              <w:t>医院 HIS、PACS 系统融合，实现系统间的互联互通和数据共享，万级数据秒级同步，追溯系统的时间为内镜清洗工作站运行的实际注气、注液时间，为真实清洗数据，非虚拟信号。</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4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4.各清洗流程，系统自动监控、智能感知、自动记录、无需人为操作，对所有的操作进行追踪、记录、分类、统计，并在一个工作平台进行展示。</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5.▲采用专用语音提示装置，所有流程操作语音提示，异常操作自动给予预警，采用阳性病人使用预警、未达到规定清洗时间拿出预警、使用前消毒不合格内镜预警的三重预警，防范感染风险（提供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6.▲可监测消毒液名称、消毒液使用次数，监测次数，消毒液浓度、操作时间、操作人员等与消毒液有关的信息；可对内镜中心使用的耗材出入库管理、材料盘点、库存查询等功能。可对内镜的终身进行登记管理，记录内镜的购入，维修，维修故障信息，维修操作信息（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4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7.提供内镜中心各工作区域或各工作流程工作量、效率值、内镜使用情况的统计数据；提供链式关联追溯，内镜使用病人可通过该链向上对使用此内镜的病人进行追溯。</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8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8.每套系统支持客户端同时访问数量和工作站数量大幅提升，避免出现卡顿和延时现象。洗消数据批量导出和查询响应时间更短，用户体验更佳。</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0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9.系统界面更为简洁、智能、人性化，提供可视化的流程状态实时显示，清洗过程一目了然。</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10.消毒液监测：消毒液更换、使用次数、浓度的监测结果登记；监测记录针对内镜、洗消槽的消毒进行监测记录及统计</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7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11.▲工作流程包括：测漏、清洗、漂洗、浸泡、末洗、干燥等环节、并支持流程名称自定义；支持内镜二次洗消记录，支持设定超过规定存放时间自动进行二次洗消提醒；系统自动识别或维护阳性病人、肿瘤活检后及HIV 检查呈阳性的病人使用内镜，系统自动切换到特殊清洗作业模式，且语音实时提醒清洗作业人员注意严格操作；系统可根据不同类型内镜，不同洗消流程提供可配置工作流程；支持设定消毒液使用时长提醒和过期报警功能，在工作台界面进行自动提醒支持。（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2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12.提供可视化的流程状态实时显示，标准化的流程操作提示，系统支持各个环节异常操作系统实时记录，支持手动进行流程环节异常情况登记，支持根据国家规范每天最后使用的内镜进行完结清洗，并进行语言提示</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6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 xml:space="preserve">13.预置各用户角色（医生、护士、洗消人员、系统管理员）权限，权限模块化，提供信息录入管理及RFID卡的绑定功能； </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03"/>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14.▲各流程环节洗消人员工作量统计，洗消数据和使用数据统计和环比数据分析，病人使用检查详细记录查询，清洗和使用记录查询，支持批量到处Excel文件工作明细统计。各流程环节详细工作量统计、质量分析、效率分析数据，支持按条件组合查询。（提供</w:t>
            </w:r>
            <w:r>
              <w:rPr>
                <w:rFonts w:ascii="仿宋_GB2312" w:eastAsia="仿宋_GB2312" w:hAnsi="仿宋_GB2312" w:cs="仿宋_GB2312" w:hint="eastAsia"/>
                <w:b/>
                <w:bCs/>
                <w:color w:val="FF0000"/>
                <w:kern w:val="2"/>
                <w:sz w:val="21"/>
                <w:szCs w:val="21"/>
                <w:lang w:eastAsia="zh-CN"/>
              </w:rPr>
              <w:t>产品彩页或说明书或技术白皮书佐证</w:t>
            </w:r>
            <w:r>
              <w:rPr>
                <w:rFonts w:ascii="仿宋_GB2312" w:eastAsia="仿宋_GB2312" w:hAnsi="仿宋_GB2312" w:cs="仿宋_GB2312" w:hint="eastAsia"/>
                <w:b/>
                <w:bCs/>
                <w:color w:val="FF0000"/>
                <w:kern w:val="2"/>
                <w:sz w:val="21"/>
                <w:szCs w:val="21"/>
                <w:lang w:eastAsia="zh-CN"/>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8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15.支持病人使用的内镜使用前和使用后的内镜洗消过程明细查询，可对内镜历次循环信息进行前后关联，显示每个循环过程内镜的消毒和使用信息感染追溯；支持对洗消流程进行追溯，找出与感染最可疑的流程点，进行优化患者追溯，可追溯患者在院内使用过的历次内镜信息、使用时间、检查医生及相关清洗消毒信息；支持操作人员所有洗消记录，洗消结果、异常情况详细追溯</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设备追溯；支持追溯清洗工作站，全自动清洗机设备使用次数，历次使用设备详细运行参数等信息。</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r>
              <w:rPr>
                <w:rFonts w:ascii="仿宋_GB2312" w:eastAsia="仿宋_GB2312" w:hAnsi="仿宋_GB2312" w:cs="仿宋_GB2312" w:hint="eastAsia"/>
                <w:color w:val="000000"/>
                <w:kern w:val="2"/>
                <w:sz w:val="21"/>
                <w:szCs w:val="21"/>
                <w:lang w:eastAsia="zh-CN"/>
              </w:rPr>
              <w:t>16.系统支持与医院 HIS、PACS 等系统进行对接获取患者信息关联病人，非接口情况下，系统提供病人信息录入，关联内镜实现内镜信息与病人信息的关联，阳性病人，使用端可以进行记录并保存，使用端可直接查看内镜在清洗环节各个流程的清洗记录及清洗结果是否合格。</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02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r>
              <w:rPr>
                <w:rFonts w:ascii="仿宋_GB2312" w:eastAsia="仿宋_GB2312" w:hAnsi="仿宋_GB2312" w:cs="仿宋_GB2312" w:hint="eastAsia"/>
                <w:b/>
                <w:bCs/>
                <w:color w:val="FF0000"/>
                <w:kern w:val="2"/>
                <w:sz w:val="21"/>
                <w:szCs w:val="21"/>
                <w:lang w:eastAsia="zh-CN"/>
              </w:rPr>
              <w:t>17.▲支持耗材名称、种类、规格、有效期、供应商维护管理；支持耗材入库登记及入库记录查询功能，支持耗材出库登记及出库记录查询，支持耗材库存盘点及盘点记录查询（提供系统操作界面截图，需清晰佐证上述耗材信息维护、入库/出库登记及查询、库存盘点及查询等核心功能的实际可用性）。</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18.系统预置多种用户角色权限，支持精细化模块权限管理，支持自定义角色功能，可由用户自行定义角色，并且分配自定义角色的明细权限；支持内镜名称、内镜种类、内镜型号、内镜编号维护管理，并支持内镜清洗流程配置；支持镜柜名称、房间号维护管理，系统基数数据管理，知识库管理，操作日志等后台操作模块管理；支持不同使用病人，不同类型内镜洗消流程自定义化配置，</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9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19.内镜工作站的新增洗消流程配置功能，可实时显示每个点位的工作状态，在第三方清洗机厂家开放接口的前提下，支持硬件对接。可实时显示内镜存储柜的温度、湿度、压差和内镜存储数量、存储明细等信息，支持出入柜记录的查看。内镜信息的录入和管理，支持查看内镜实时状态和内镜使用总次数。</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95"/>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20.大屏展示内容：内镜洗消信息实时显示，内镜使用总数概览、使用量排名。内镜使用和洗消量图表统计和展示，洗消程序偏好统计等功能。实时显示工作站当天的洗消数据、内镜状态、工作站和储镜柜的设备状态和温湿度、压差等信息。设备数量信息概览实时显示每个监测点位的当前温度、湿度数据和每个点位的温湿度变化曲线。</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082"/>
        </w:trPr>
        <w:tc>
          <w:tcPr>
            <w:tcW w:w="531"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center"/>
              <w:rPr>
                <w:rFonts w:ascii="仿宋_GB2312" w:eastAsia="仿宋_GB2312" w:hAnsi="仿宋_GB2312" w:cs="仿宋_GB2312"/>
                <w:color w:val="000000"/>
                <w:kern w:val="2"/>
                <w:sz w:val="21"/>
                <w:szCs w:val="21"/>
                <w:lang w:eastAsia="zh-CN"/>
              </w:rPr>
            </w:pPr>
          </w:p>
        </w:tc>
        <w:tc>
          <w:tcPr>
            <w:tcW w:w="647" w:type="dxa"/>
            <w:vMerge/>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p>
        </w:tc>
        <w:tc>
          <w:tcPr>
            <w:tcW w:w="5588"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★配置清单</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追</w:t>
            </w:r>
            <w:r>
              <w:rPr>
                <w:rFonts w:ascii="仿宋_GB2312" w:eastAsia="仿宋_GB2312" w:hAnsi="仿宋_GB2312" w:cs="仿宋_GB2312" w:hint="eastAsia"/>
                <w:bCs/>
                <w:kern w:val="2"/>
                <w:sz w:val="21"/>
                <w:szCs w:val="21"/>
                <w:lang w:eastAsia="zh-CN"/>
              </w:rPr>
              <w:t>溯</w:t>
            </w:r>
            <w:r>
              <w:rPr>
                <w:rFonts w:ascii="仿宋_GB2312" w:eastAsia="仿宋_GB2312" w:hAnsi="仿宋_GB2312" w:cs="仿宋_GB2312" w:hint="eastAsia"/>
                <w:color w:val="000000"/>
                <w:kern w:val="2"/>
                <w:sz w:val="21"/>
                <w:szCs w:val="21"/>
                <w:lang w:eastAsia="zh-CN"/>
              </w:rPr>
              <w:t>管理软件                    3套</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工作站主机                      3台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医用显示器                      3台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医用显示屏                      1台</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摄像头                          3个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路由器                          3个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内镜机身读卡器                  100个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人员ID读卡器                   50个</w:t>
            </w:r>
          </w:p>
          <w:p>
            <w:pPr>
              <w:widowControl w:val="0"/>
              <w:spacing w:after="160" w:line="259" w:lineRule="auto"/>
              <w:jc w:val="both"/>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槽内读卡器                      40个</w:t>
            </w:r>
          </w:p>
        </w:tc>
        <w:tc>
          <w:tcPr>
            <w:tcW w:w="913"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662"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259" w:lineRule="auto"/>
              <w:jc w:val="both"/>
              <w:rPr>
                <w:rFonts w:ascii="仿宋_GB2312" w:eastAsia="仿宋_GB2312" w:hAnsi="仿宋_GB2312" w:cs="仿宋_GB2312" w:hint="eastAsia"/>
                <w:color w:val="000000"/>
                <w:kern w:val="2"/>
                <w:sz w:val="21"/>
                <w:szCs w:val="21"/>
                <w:lang w:eastAsia="zh-CN"/>
              </w:rPr>
            </w:pPr>
          </w:p>
        </w:tc>
      </w:tr>
    </w:tbl>
    <w:p>
      <w:pPr>
        <w:widowControl w:val="0"/>
        <w:spacing w:after="160" w:line="259" w:lineRule="auto"/>
        <w:jc w:val="both"/>
        <w:rPr>
          <w:rFonts w:eastAsia="宋体"/>
          <w:kern w:val="2"/>
          <w:lang w:eastAsia="zh-CN"/>
        </w:rPr>
      </w:pPr>
    </w:p>
    <w:p>
      <w:pPr>
        <w:widowControl w:val="0"/>
        <w:spacing w:after="160" w:line="259" w:lineRule="auto"/>
        <w:jc w:val="both"/>
        <w:rPr>
          <w:rFonts w:eastAsia="宋体"/>
          <w:kern w:val="2"/>
          <w:sz w:val="21"/>
          <w:szCs w:val="21"/>
          <w:lang w:eastAsia="zh-CN"/>
        </w:rPr>
      </w:pPr>
      <w:bookmarkStart w:id="52" w:name="_Hlk72095977"/>
      <w:r>
        <w:rPr>
          <w:rFonts w:eastAsia="宋体" w:hint="eastAsia"/>
          <w:kern w:val="2"/>
          <w:sz w:val="21"/>
          <w:szCs w:val="21"/>
          <w:lang w:eastAsia="zh-CN"/>
        </w:rPr>
        <w:t>证明资料【如有的话，提供的证明资料应统一编号（排序），格式自定】</w:t>
      </w:r>
      <w:bookmarkEnd w:id="52"/>
      <w:r>
        <w:rPr>
          <w:rFonts w:eastAsia="宋体" w:hint="eastAsia"/>
          <w:kern w:val="2"/>
          <w:sz w:val="21"/>
          <w:szCs w:val="21"/>
          <w:lang w:eastAsia="zh-CN"/>
        </w:rPr>
        <w:t>：</w:t>
      </w:r>
    </w:p>
    <w:p>
      <w:pPr>
        <w:widowControl w:val="0"/>
        <w:spacing w:after="160" w:line="259" w:lineRule="auto"/>
        <w:ind w:firstLine="420" w:firstLineChars="200"/>
        <w:jc w:val="both"/>
        <w:rPr>
          <w:rFonts w:eastAsia="宋体"/>
          <w:b/>
          <w:kern w:val="2"/>
          <w:sz w:val="21"/>
          <w:szCs w:val="21"/>
          <w:lang w:eastAsia="zh-CN"/>
        </w:rPr>
      </w:pPr>
    </w:p>
    <w:p>
      <w:pPr>
        <w:widowControl w:val="0"/>
        <w:spacing w:after="160" w:line="259" w:lineRule="auto"/>
        <w:ind w:firstLine="420" w:firstLineChars="200"/>
        <w:jc w:val="both"/>
        <w:rPr>
          <w:rFonts w:eastAsia="宋体"/>
          <w:b/>
          <w:kern w:val="2"/>
          <w:sz w:val="21"/>
          <w:szCs w:val="21"/>
          <w:lang w:eastAsia="zh-CN"/>
        </w:rPr>
      </w:pP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53" w:name="_Hlk72094407"/>
      <w:r>
        <w:rPr>
          <w:rFonts w:eastAsia="宋体" w:hint="eastAsia"/>
          <w:bCs/>
          <w:kern w:val="2"/>
          <w:sz w:val="21"/>
          <w:szCs w:val="21"/>
          <w:lang w:eastAsia="zh-CN"/>
        </w:rPr>
        <w:t>对应“用户需求书”中的“技术要求”章节</w:t>
      </w:r>
      <w:bookmarkEnd w:id="53"/>
      <w:r>
        <w:rPr>
          <w:rFonts w:eastAsia="宋体" w:hint="eastAsia"/>
          <w:bCs/>
          <w:kern w:val="2"/>
          <w:sz w:val="21"/>
          <w:szCs w:val="21"/>
          <w:lang w:eastAsia="zh-CN"/>
        </w:rPr>
        <w:t>相关内容。</w:t>
      </w:r>
    </w:p>
    <w:p>
      <w:pPr>
        <w:widowControl w:val="0"/>
        <w:spacing w:after="160" w:line="259" w:lineRule="auto"/>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2、“投标技术响应”一栏必须一一对照“招标技术要求”，详细填写投标人自身投标货物的具体参数，而不能不合理照搬照抄招标文件的技术要求，以体现具体响应情况。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“投标技术响应”必须与所投产品客观实际保持一致，响应不实且情节严重的，经查实，将依法记入供应商诚信档案或受到行政处罚。</w:t>
      </w:r>
    </w:p>
    <w:p>
      <w:pPr>
        <w:widowControl w:val="0"/>
        <w:spacing w:after="160" w:line="259" w:lineRule="auto"/>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54" w:name="_Hlk72158270"/>
      <w:r>
        <w:rPr>
          <w:rFonts w:eastAsia="宋体" w:hint="eastAsia"/>
          <w:bCs/>
          <w:kern w:val="2"/>
          <w:sz w:val="21"/>
          <w:szCs w:val="21"/>
          <w:lang w:eastAsia="zh-CN"/>
        </w:rPr>
        <w:t>“偏离情况”</w:t>
      </w:r>
      <w:bookmarkEnd w:id="54"/>
      <w:r>
        <w:rPr>
          <w:rFonts w:eastAsia="宋体" w:hint="eastAsia"/>
          <w:bCs/>
          <w:kern w:val="2"/>
          <w:sz w:val="21"/>
          <w:szCs w:val="21"/>
          <w:lang w:eastAsia="zh-CN"/>
        </w:rPr>
        <w:t>一栏填写如实填写“正偏离”、“负偏离”或“无偏离”，其中：</w:t>
      </w:r>
      <w:bookmarkStart w:id="55"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55"/>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spacing w:after="160" w:line="259" w:lineRule="auto"/>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6" w:name="_Hlk72096106"/>
      <w:r>
        <w:rPr>
          <w:rFonts w:eastAsia="宋体" w:hint="eastAsia"/>
          <w:bCs/>
          <w:kern w:val="2"/>
          <w:sz w:val="21"/>
          <w:szCs w:val="21"/>
          <w:lang w:eastAsia="zh-CN"/>
        </w:rPr>
        <w:t>证明资料条款响应要求</w:t>
      </w:r>
      <w:bookmarkEnd w:id="56"/>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7"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8" w:name="_Hlk73558164"/>
      <w:r>
        <w:rPr>
          <w:rFonts w:eastAsia="宋体" w:hint="eastAsia"/>
          <w:bCs/>
          <w:kern w:val="2"/>
          <w:sz w:val="21"/>
          <w:szCs w:val="21"/>
          <w:lang w:eastAsia="zh-CN"/>
        </w:rPr>
        <w:t>且投标人在“偏离情况”一栏响应为“正偏离”或“无偏离”的，经评审委员会认定，将判定为负偏离。</w:t>
      </w:r>
      <w:bookmarkEnd w:id="57"/>
      <w:bookmarkEnd w:id="58"/>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59" w:name="_Hlk72096137"/>
      <w:r>
        <w:rPr>
          <w:rFonts w:eastAsia="宋体" w:hint="eastAsia"/>
          <w:bCs/>
          <w:kern w:val="2"/>
          <w:sz w:val="21"/>
          <w:szCs w:val="21"/>
          <w:lang w:eastAsia="zh-CN"/>
        </w:rPr>
        <w:t>表后“证明资料”部分内容的编制</w:t>
      </w:r>
      <w:bookmarkEnd w:id="59"/>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60"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60"/>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61" w:name="_Hlk72096176"/>
      <w:r>
        <w:rPr>
          <w:rFonts w:eastAsia="宋体" w:hint="eastAsia"/>
          <w:bCs/>
          <w:kern w:val="2"/>
          <w:sz w:val="21"/>
          <w:szCs w:val="21"/>
          <w:lang w:eastAsia="zh-CN"/>
        </w:rPr>
        <w:t>证明资料的形式及其他具体要求</w:t>
      </w:r>
      <w:bookmarkEnd w:id="61"/>
      <w:r>
        <w:rPr>
          <w:rFonts w:eastAsia="宋体" w:hint="eastAsia"/>
          <w:bCs/>
          <w:kern w:val="2"/>
          <w:sz w:val="21"/>
          <w:szCs w:val="21"/>
          <w:lang w:eastAsia="zh-CN"/>
        </w:rPr>
        <w:t>：</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（1）除照片、图片（截图）及不需加盖公章的文字说明（技术说明）外，其他证明资料均要求为原件扫描件；</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其他证明资料的形式要求参照以上要求执行；</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8、其他注意事项：</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62"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62"/>
    </w:p>
    <w:p>
      <w:pPr>
        <w:widowControl w:val="0"/>
        <w:spacing w:after="160" w:line="259" w:lineRule="auto"/>
        <w:ind w:firstLine="480" w:firstLineChars="200"/>
        <w:jc w:val="both"/>
        <w:rPr>
          <w:rFonts w:eastAsia="宋体"/>
          <w:b/>
          <w:kern w:val="2"/>
          <w:lang w:eastAsia="zh-CN"/>
        </w:rPr>
      </w:pPr>
    </w:p>
    <w:p>
      <w:pPr>
        <w:widowControl w:val="0"/>
        <w:spacing w:after="160" w:line="259" w:lineRule="auto"/>
        <w:jc w:val="both"/>
        <w:rPr>
          <w:rFonts w:eastAsia="宋体"/>
          <w:kern w:val="2"/>
          <w:lang w:eastAsia="zh-CN"/>
        </w:rPr>
      </w:pPr>
    </w:p>
    <w:p>
      <w:pPr>
        <w:keepNext/>
        <w:keepLines/>
        <w:widowControl w:val="0"/>
        <w:spacing w:before="260" w:after="260" w:line="240" w:lineRule="auto"/>
        <w:jc w:val="center"/>
        <w:outlineLvl w:val="2"/>
        <w:rPr>
          <w:rFonts w:ascii="宋体" w:eastAsia="宋体" w:hAnsi="宋体" w:hint="eastAsia"/>
          <w:b/>
          <w:bCs/>
          <w:kern w:val="2"/>
          <w:sz w:val="28"/>
          <w:szCs w:val="21"/>
          <w:lang w:eastAsia="zh-CN"/>
        </w:rPr>
      </w:pPr>
      <w:r>
        <w:rPr>
          <w:rFonts w:ascii="黑体" w:eastAsia="黑体" w:hAnsi="宋体" w:hint="eastAsia"/>
          <w:bCs/>
          <w:kern w:val="2"/>
          <w:lang w:eastAsia="zh-CN"/>
        </w:rPr>
        <w:t>九、商务要求偏离表</w:t>
      </w:r>
    </w:p>
    <w:tbl>
      <w:tblPr>
        <w:tblStyle w:val="TableNormal"/>
        <w:tblW w:w="5000" w:type="pct"/>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81"/>
        <w:gridCol w:w="1215"/>
        <w:gridCol w:w="4883"/>
        <w:gridCol w:w="775"/>
        <w:gridCol w:w="680"/>
        <w:gridCol w:w="488"/>
      </w:tblGrid>
      <w:tr>
        <w:tblPrEx>
          <w:tblW w:w="5000" w:type="pct"/>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序号</w:t>
            </w:r>
          </w:p>
        </w:tc>
        <w:tc>
          <w:tcPr>
            <w:tcW w:w="126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目录</w:t>
            </w:r>
          </w:p>
        </w:tc>
        <w:tc>
          <w:tcPr>
            <w:tcW w:w="5097"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
                <w:kern w:val="2"/>
                <w:sz w:val="21"/>
                <w:szCs w:val="21"/>
                <w:lang w:eastAsia="zh-CN"/>
              </w:rPr>
            </w:pPr>
            <w:r>
              <w:rPr>
                <w:rFonts w:ascii="仿宋_GB2312" w:eastAsia="仿宋_GB2312" w:hAnsi="仿宋_GB2312" w:cs="仿宋_GB2312" w:hint="eastAsia"/>
                <w:b/>
                <w:kern w:val="2"/>
                <w:sz w:val="21"/>
                <w:szCs w:val="21"/>
                <w:lang w:eastAsia="zh-CN"/>
              </w:rPr>
              <w:t>商务要求</w:t>
            </w:r>
          </w:p>
        </w:tc>
        <w:tc>
          <w:tcPr>
            <w:tcW w:w="80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hint="eastAsia"/>
                <w:b/>
                <w:kern w:val="2"/>
                <w:sz w:val="21"/>
                <w:szCs w:val="21"/>
                <w:lang w:eastAsia="zh-CN"/>
              </w:rPr>
            </w:pPr>
            <w:r>
              <w:rPr>
                <w:rFonts w:ascii="仿宋_GB2312" w:eastAsia="仿宋_GB2312" w:hAnsi="仿宋_GB2312" w:cs="仿宋_GB2312" w:hint="eastAsia"/>
                <w:b/>
                <w:kern w:val="2"/>
                <w:sz w:val="21"/>
                <w:szCs w:val="21"/>
                <w:lang w:eastAsia="zh-CN"/>
              </w:rPr>
              <w:t>投标商务响应</w:t>
            </w:r>
          </w:p>
        </w:tc>
        <w:tc>
          <w:tcPr>
            <w:tcW w:w="70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hint="eastAsia"/>
                <w:b/>
                <w:kern w:val="2"/>
                <w:sz w:val="21"/>
                <w:szCs w:val="21"/>
                <w:lang w:eastAsia="zh-CN"/>
              </w:rPr>
            </w:pPr>
            <w:r>
              <w:rPr>
                <w:rFonts w:ascii="仿宋_GB2312" w:eastAsia="仿宋_GB2312" w:hAnsi="仿宋_GB2312" w:cs="仿宋_GB2312" w:hint="eastAsia"/>
                <w:b/>
                <w:kern w:val="2"/>
                <w:sz w:val="21"/>
                <w:szCs w:val="21"/>
                <w:lang w:eastAsia="zh-CN"/>
              </w:rPr>
              <w:t>偏离情况</w:t>
            </w:r>
          </w:p>
        </w:tc>
        <w:tc>
          <w:tcPr>
            <w:tcW w:w="50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hint="eastAsia"/>
                <w:b/>
                <w:kern w:val="2"/>
                <w:sz w:val="21"/>
                <w:szCs w:val="21"/>
                <w:lang w:eastAsia="zh-CN"/>
              </w:rPr>
            </w:pPr>
            <w:r>
              <w:rPr>
                <w:rFonts w:ascii="仿宋_GB2312" w:eastAsia="仿宋_GB2312" w:hAnsi="仿宋_GB2312" w:cs="仿宋_GB2312" w:hint="eastAsia"/>
                <w:b/>
                <w:kern w:val="2"/>
                <w:sz w:val="21"/>
                <w:szCs w:val="21"/>
                <w:lang w:eastAsia="zh-CN"/>
              </w:rPr>
              <w:t>说明</w:t>
            </w:r>
          </w:p>
        </w:tc>
      </w:tr>
      <w:tr>
        <w:tblPrEx>
          <w:tblW w:w="5000" w:type="pct"/>
          <w:tblInd w:w="-193" w:type="dxa"/>
          <w:tblLayout w:type="fixed"/>
          <w:tblCellMar>
            <w:top w:w="0" w:type="dxa"/>
            <w:left w:w="108" w:type="dxa"/>
            <w:bottom w:w="0" w:type="dxa"/>
            <w:right w:w="108" w:type="dxa"/>
          </w:tblCellMar>
        </w:tblPrEx>
        <w:trPr>
          <w:trHeight w:val="280"/>
        </w:trPr>
        <w:tc>
          <w:tcPr>
            <w:tcW w:w="8850" w:type="dxa"/>
            <w:gridSpan w:val="6"/>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
                <w:kern w:val="2"/>
                <w:sz w:val="21"/>
                <w:szCs w:val="21"/>
                <w:lang w:eastAsia="zh-CN"/>
              </w:rPr>
            </w:pPr>
            <w:r>
              <w:rPr>
                <w:rFonts w:ascii="仿宋_GB2312" w:eastAsia="仿宋_GB2312" w:hAnsi="仿宋_GB2312" w:cs="仿宋_GB2312" w:hint="eastAsia"/>
                <w:b/>
                <w:kern w:val="2"/>
                <w:sz w:val="21"/>
                <w:szCs w:val="21"/>
                <w:lang w:eastAsia="zh-CN"/>
              </w:rPr>
              <w:t>（一）免费保修期内售后服务要求</w:t>
            </w:r>
          </w:p>
        </w:tc>
      </w:tr>
      <w:tr>
        <w:tblPrEx>
          <w:tblW w:w="5000" w:type="pct"/>
          <w:tblInd w:w="-193" w:type="dxa"/>
          <w:tblLayout w:type="fixed"/>
          <w:tblCellMar>
            <w:top w:w="0" w:type="dxa"/>
            <w:left w:w="108" w:type="dxa"/>
            <w:bottom w:w="0" w:type="dxa"/>
            <w:right w:w="108" w:type="dxa"/>
          </w:tblCellMar>
        </w:tblPrEx>
        <w:trPr>
          <w:trHeight w:val="320"/>
        </w:trPr>
        <w:tc>
          <w:tcPr>
            <w:tcW w:w="493" w:type="dxa"/>
            <w:vMerge w:val="restart"/>
            <w:tcBorders>
              <w:top w:val="single" w:sz="4" w:space="0" w:color="auto"/>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w:t>
            </w:r>
          </w:p>
        </w:tc>
        <w:tc>
          <w:tcPr>
            <w:tcW w:w="1260" w:type="dxa"/>
            <w:vMerge w:val="restart"/>
            <w:tcBorders>
              <w:top w:val="single" w:sz="4" w:space="0" w:color="auto"/>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维修响应及故障解决时间</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bCs/>
                <w:color w:val="000000"/>
                <w:kern w:val="2"/>
                <w:sz w:val="21"/>
                <w:szCs w:val="21"/>
                <w:lang w:eastAsia="zh-CN"/>
              </w:rPr>
              <w:t>1.1免费保修期内，一旦发生质量问题，中标人保证接到通知</w:t>
            </w:r>
            <w:r>
              <w:rPr>
                <w:rFonts w:ascii="仿宋_GB2312" w:eastAsia="仿宋_GB2312" w:hAnsi="仿宋_GB2312" w:cs="仿宋_GB2312" w:hint="eastAsia"/>
                <w:bCs/>
                <w:color w:val="000000"/>
                <w:kern w:val="2"/>
                <w:sz w:val="21"/>
                <w:szCs w:val="21"/>
                <w:u w:val="single"/>
                <w:lang w:eastAsia="zh-CN"/>
              </w:rPr>
              <w:t>后2</w:t>
            </w:r>
            <w:r>
              <w:rPr>
                <w:rFonts w:ascii="仿宋_GB2312" w:eastAsia="仿宋_GB2312" w:hAnsi="仿宋_GB2312" w:cs="仿宋_GB2312" w:hint="eastAsia"/>
                <w:bCs/>
                <w:color w:val="000000"/>
                <w:kern w:val="2"/>
                <w:sz w:val="21"/>
                <w:szCs w:val="21"/>
                <w:lang w:eastAsia="zh-CN"/>
              </w:rPr>
              <w:t>小时响应，</w:t>
            </w:r>
            <w:r>
              <w:rPr>
                <w:rFonts w:ascii="仿宋_GB2312" w:eastAsia="仿宋_GB2312" w:hAnsi="仿宋_GB2312" w:cs="仿宋_GB2312" w:hint="eastAsia"/>
                <w:bCs/>
                <w:color w:val="000000"/>
                <w:kern w:val="2"/>
                <w:sz w:val="21"/>
                <w:szCs w:val="21"/>
                <w:u w:val="single"/>
                <w:lang w:eastAsia="zh-CN"/>
              </w:rPr>
              <w:t>12</w:t>
            </w:r>
            <w:r>
              <w:rPr>
                <w:rFonts w:ascii="仿宋_GB2312" w:eastAsia="仿宋_GB2312" w:hAnsi="仿宋_GB2312" w:cs="仿宋_GB2312" w:hint="eastAsia"/>
                <w:bCs/>
                <w:color w:val="000000"/>
                <w:kern w:val="2"/>
                <w:sz w:val="21"/>
                <w:szCs w:val="21"/>
                <w:lang w:eastAsia="zh-CN"/>
              </w:rPr>
              <w:t>小时到场维修，无法现场完成维修的，需 24 小时内提供可使用的备用机替代，确保临床工作顺利进行。</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20"/>
        </w:trPr>
        <w:tc>
          <w:tcPr>
            <w:tcW w:w="49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color w:val="000000"/>
                <w:kern w:val="2"/>
                <w:sz w:val="21"/>
                <w:szCs w:val="21"/>
                <w:lang w:eastAsia="zh-CN"/>
              </w:rPr>
            </w:pPr>
            <w:r>
              <w:rPr>
                <w:rFonts w:ascii="仿宋_GB2312" w:eastAsia="仿宋_GB2312" w:hAnsi="仿宋_GB2312" w:cs="仿宋_GB2312" w:hint="eastAsia"/>
                <w:bCs/>
                <w:color w:val="000000"/>
                <w:kern w:val="2"/>
                <w:sz w:val="21"/>
                <w:szCs w:val="21"/>
                <w:lang w:eastAsia="zh-CN"/>
              </w:rPr>
              <w:t>1.2按需及时更换零配件，不需要更换配件的情况下4小时内修复；需要更换配件的情况下，按采购人要求提供备用机。单次故障停机修复时间不得超过3天，每超1天，顺延保修期3天。</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20"/>
        </w:trPr>
        <w:tc>
          <w:tcPr>
            <w:tcW w:w="49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color w:val="000000"/>
                <w:kern w:val="2"/>
                <w:sz w:val="21"/>
                <w:szCs w:val="21"/>
                <w:lang w:eastAsia="zh-CN"/>
              </w:rPr>
            </w:pPr>
            <w:r>
              <w:rPr>
                <w:rFonts w:ascii="仿宋_GB2312" w:eastAsia="仿宋_GB2312" w:hAnsi="仿宋_GB2312" w:cs="仿宋_GB2312" w:hint="eastAsia"/>
                <w:bCs/>
                <w:color w:val="000000"/>
                <w:kern w:val="2"/>
                <w:sz w:val="21"/>
                <w:szCs w:val="21"/>
                <w:lang w:eastAsia="zh-CN"/>
              </w:rPr>
              <w:t>1.3如果国内没有配件需要从国外发货的情况下，单次故障停机修复时间不得超过15天（需提供海关报关单等证明材料），每超1天，顺延保修期3天。</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20"/>
        </w:trPr>
        <w:tc>
          <w:tcPr>
            <w:tcW w:w="493"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260"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color w:val="000000"/>
                <w:kern w:val="2"/>
                <w:sz w:val="21"/>
                <w:szCs w:val="21"/>
                <w:lang w:eastAsia="zh-CN"/>
              </w:rPr>
            </w:pPr>
            <w:r>
              <w:rPr>
                <w:rFonts w:ascii="仿宋_GB2312" w:eastAsia="仿宋_GB2312" w:hAnsi="仿宋_GB2312" w:cs="仿宋_GB2312" w:hint="eastAsia"/>
                <w:bCs/>
                <w:color w:val="000000"/>
                <w:kern w:val="2"/>
                <w:sz w:val="21"/>
                <w:szCs w:val="21"/>
                <w:lang w:eastAsia="zh-CN"/>
              </w:rPr>
              <w:t>1.4以上维修每迟一天，中标人向采购人支付由于设备故障所造成的采购人实际经济损失。保修期内的设备如不能现场进行维修需要运送的，更换维修地点的所有费用包括但不限于包装、运输费用等均由中标人负责。</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color w:val="000000"/>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2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2</w:t>
            </w:r>
          </w:p>
        </w:tc>
        <w:tc>
          <w:tcPr>
            <w:tcW w:w="126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kern w:val="2"/>
                <w:sz w:val="21"/>
                <w:szCs w:val="21"/>
                <w:lang w:eastAsia="zh-CN"/>
              </w:rPr>
              <w:t>关于免费保修期</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2.1中标人提供为期</w:t>
            </w:r>
            <w:r>
              <w:rPr>
                <w:rFonts w:ascii="仿宋_GB2312" w:eastAsia="仿宋_GB2312" w:hAnsi="仿宋_GB2312" w:cs="仿宋_GB2312" w:hint="eastAsia"/>
                <w:bCs/>
                <w:kern w:val="2"/>
                <w:sz w:val="21"/>
                <w:szCs w:val="21"/>
                <w:u w:val="single"/>
                <w:lang w:eastAsia="zh-CN"/>
              </w:rPr>
              <w:t>5</w:t>
            </w:r>
            <w:r>
              <w:rPr>
                <w:rFonts w:ascii="仿宋_GB2312" w:eastAsia="仿宋_GB2312" w:hAnsi="仿宋_GB2312" w:cs="仿宋_GB2312" w:hint="eastAsia"/>
                <w:bCs/>
                <w:kern w:val="2"/>
                <w:sz w:val="21"/>
                <w:szCs w:val="21"/>
                <w:lang w:eastAsia="zh-CN"/>
              </w:rPr>
              <w:t>年或以上的原厂免费保修服务，保修期自采购人签署最终验收报告之日起开始计算。</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2.2保修期内更换零配件、软件升级、人工等服务如原厂需收费由中标人承担。</w:t>
            </w:r>
          </w:p>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2.3 在保修期内，中标人应确保设备安全正常运行，年开机率保证在95%以上。因设备故障导致开机率不足95%以上，将做以下处理：</w:t>
            </w:r>
          </w:p>
          <w:p>
            <w:pPr>
              <w:widowControl/>
              <w:tabs>
                <w:tab w:val="left" w:pos="3697"/>
              </w:tabs>
              <w:kinsoku w:val="0"/>
              <w:autoSpaceDE w:val="0"/>
              <w:autoSpaceDN w:val="0"/>
              <w:adjustRightInd w:val="0"/>
              <w:snapToGrid w:val="0"/>
              <w:spacing w:after="160" w:line="259" w:lineRule="auto"/>
              <w:ind w:firstLine="420" w:firstLineChars="200"/>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a.年开机率在90%</w:t>
            </w:r>
            <w:r>
              <w:rPr>
                <w:rFonts w:ascii="仿宋_GB2312" w:eastAsia="仿宋_GB2312" w:hAnsi="仿宋_GB2312" w:cs="仿宋_GB2312" w:hint="eastAsia"/>
                <w:bCs/>
                <w:kern w:val="2"/>
                <w:sz w:val="21"/>
                <w:szCs w:val="21"/>
                <w:lang w:eastAsia="zh-CN"/>
              </w:rPr>
              <w:t>（不</w:t>
            </w:r>
            <w:r>
              <w:rPr>
                <w:rFonts w:ascii="仿宋_GB2312" w:eastAsia="仿宋_GB2312" w:hAnsi="仿宋_GB2312" w:cs="仿宋_GB2312" w:hint="eastAsia"/>
                <w:bCs/>
                <w:kern w:val="2"/>
                <w:sz w:val="21"/>
                <w:szCs w:val="21"/>
                <w:lang w:eastAsia="zh-CN"/>
              </w:rPr>
              <w:t>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～95%</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之间按一赔二延长保修期；</w:t>
            </w:r>
          </w:p>
          <w:p>
            <w:pPr>
              <w:widowControl/>
              <w:tabs>
                <w:tab w:val="left" w:pos="3697"/>
              </w:tabs>
              <w:kinsoku w:val="0"/>
              <w:autoSpaceDE w:val="0"/>
              <w:autoSpaceDN w:val="0"/>
              <w:adjustRightInd w:val="0"/>
              <w:snapToGrid w:val="0"/>
              <w:spacing w:after="160" w:line="259" w:lineRule="auto"/>
              <w:ind w:firstLine="420" w:firstLineChars="200"/>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b.年开机率在85%</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不含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～90%</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含</w:t>
            </w:r>
            <w:r>
              <w:rPr>
                <w:rFonts w:ascii="仿宋_GB2312" w:eastAsia="仿宋_GB2312" w:hAnsi="仿宋_GB2312" w:cs="仿宋_GB2312" w:hint="eastAsia"/>
                <w:bCs/>
                <w:kern w:val="2"/>
                <w:sz w:val="21"/>
                <w:szCs w:val="21"/>
                <w:lang w:eastAsia="zh-CN"/>
              </w:rPr>
              <w:t>）</w:t>
            </w:r>
            <w:r>
              <w:rPr>
                <w:rFonts w:ascii="仿宋_GB2312" w:eastAsia="仿宋_GB2312" w:hAnsi="仿宋_GB2312" w:cs="仿宋_GB2312" w:hint="eastAsia"/>
                <w:bCs/>
                <w:kern w:val="2"/>
                <w:sz w:val="21"/>
                <w:szCs w:val="21"/>
                <w:lang w:eastAsia="zh-CN"/>
              </w:rPr>
              <w:t>之间按一赔五延长保修期；</w:t>
            </w:r>
          </w:p>
          <w:p>
            <w:pPr>
              <w:widowControl/>
              <w:tabs>
                <w:tab w:val="left" w:pos="3697"/>
              </w:tabs>
              <w:kinsoku w:val="0"/>
              <w:autoSpaceDE w:val="0"/>
              <w:autoSpaceDN w:val="0"/>
              <w:adjustRightInd w:val="0"/>
              <w:snapToGrid w:val="0"/>
              <w:spacing w:after="160" w:line="259" w:lineRule="auto"/>
              <w:ind w:firstLine="420" w:firstLineChars="200"/>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c.年开机率低于85%</w:t>
            </w:r>
            <w:r>
              <w:rPr>
                <w:rFonts w:eastAsia="宋体" w:hint="eastAsia"/>
                <w:kern w:val="2"/>
                <w:sz w:val="21"/>
                <w:lang w:eastAsia="zh-CN"/>
              </w:rPr>
              <w:t>（</w:t>
            </w:r>
            <w:r>
              <w:rPr>
                <w:rFonts w:eastAsia="宋体" w:hint="eastAsia"/>
                <w:kern w:val="2"/>
                <w:sz w:val="21"/>
                <w:lang w:eastAsia="zh-CN"/>
              </w:rPr>
              <w:t>含</w:t>
            </w:r>
            <w:r>
              <w:rPr>
                <w:rFonts w:eastAsia="宋体" w:hint="eastAsia"/>
                <w:kern w:val="2"/>
                <w:sz w:val="21"/>
                <w:lang w:eastAsia="zh-CN"/>
              </w:rPr>
              <w:t>）</w:t>
            </w:r>
            <w:r>
              <w:rPr>
                <w:rFonts w:ascii="仿宋_GB2312" w:eastAsia="仿宋_GB2312" w:hAnsi="仿宋_GB2312" w:cs="仿宋_GB2312" w:hint="eastAsia"/>
                <w:bCs/>
                <w:kern w:val="2"/>
                <w:sz w:val="21"/>
                <w:szCs w:val="21"/>
                <w:lang w:eastAsia="zh-CN"/>
              </w:rPr>
              <w:t>，中标人必须无条件更换新机，并重新计算保修期，以及赔偿采购人的直接经济损失和间接经济损失，同时，采购人还有权选择退货处理。</w:t>
            </w:r>
          </w:p>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bCs/>
                <w:kern w:val="2"/>
                <w:sz w:val="21"/>
                <w:szCs w:val="21"/>
                <w:lang w:eastAsia="zh-CN"/>
              </w:rPr>
              <w:t>注：年开机率 =（365-停机天数）/365。</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2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3</w:t>
            </w:r>
          </w:p>
        </w:tc>
        <w:tc>
          <w:tcPr>
            <w:tcW w:w="126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备品备件要求</w:t>
            </w:r>
          </w:p>
        </w:tc>
        <w:tc>
          <w:tcPr>
            <w:tcW w:w="5097" w:type="dxa"/>
            <w:tcBorders>
              <w:top w:val="single" w:sz="4" w:space="0" w:color="auto"/>
              <w:left w:val="single" w:sz="4" w:space="0" w:color="auto"/>
              <w:bottom w:val="single" w:sz="4" w:space="0" w:color="auto"/>
              <w:right w:val="single" w:sz="4" w:space="0" w:color="auto"/>
            </w:tcBorders>
          </w:tcPr>
          <w:p>
            <w:pPr>
              <w:widowControl w:val="0"/>
              <w:tabs>
                <w:tab w:val="left" w:pos="3697"/>
              </w:tabs>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 xml:space="preserve">提供专机专用配套试剂及耗材（如有）、主要零配件报价清单。中标人负责设备的终身维修并应继续提供优质的服务，储备足够的零配件备库并保证十年以上维修配件、耗材的正常供应。  </w:t>
            </w:r>
          </w:p>
        </w:tc>
        <w:tc>
          <w:tcPr>
            <w:tcW w:w="800" w:type="dxa"/>
            <w:tcBorders>
              <w:top w:val="single" w:sz="4" w:space="0" w:color="auto"/>
              <w:left w:val="single" w:sz="4" w:space="0" w:color="auto"/>
              <w:bottom w:val="single" w:sz="4" w:space="0" w:color="auto"/>
              <w:right w:val="single" w:sz="4" w:space="0" w:color="auto"/>
            </w:tcBorders>
          </w:tcPr>
          <w:p>
            <w:pPr>
              <w:widowControl w:val="0"/>
              <w:tabs>
                <w:tab w:val="left" w:pos="3697"/>
              </w:tabs>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tabs>
                <w:tab w:val="left" w:pos="3697"/>
              </w:tabs>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tabs>
                <w:tab w:val="left" w:pos="3697"/>
              </w:tabs>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523"/>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259" w:lineRule="auto"/>
              <w:jc w:val="center"/>
              <w:rPr>
                <w:rFonts w:ascii="仿宋_GB2312" w:eastAsia="仿宋_GB2312" w:hAnsi="仿宋_GB2312" w:cs="仿宋_GB2312"/>
                <w:b/>
                <w:bCs/>
                <w:color w:val="FF0000"/>
                <w:kern w:val="2"/>
                <w:sz w:val="21"/>
                <w:szCs w:val="21"/>
                <w:lang w:eastAsia="zh-CN"/>
              </w:rPr>
            </w:pPr>
            <w:r>
              <w:rPr>
                <w:rFonts w:ascii="仿宋_GB2312" w:eastAsia="仿宋_GB2312" w:hAnsi="仿宋_GB2312" w:cs="仿宋_GB2312" w:hint="eastAsia"/>
                <w:kern w:val="2"/>
                <w:sz w:val="21"/>
                <w:szCs w:val="21"/>
                <w:lang w:eastAsia="zh-CN"/>
              </w:rPr>
              <w:t>软件升级</w:t>
            </w:r>
            <w:r>
              <w:rPr>
                <w:rFonts w:ascii="仿宋_GB2312" w:eastAsia="仿宋_GB2312" w:hAnsi="仿宋_GB2312" w:cs="仿宋_GB2312" w:hint="eastAsia"/>
                <w:bCs/>
                <w:kern w:val="2"/>
                <w:sz w:val="21"/>
                <w:szCs w:val="21"/>
                <w:lang w:eastAsia="zh-CN"/>
              </w:rPr>
              <w:t>（如有）</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十年内免费提供软件升级服务。</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543"/>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信息化系统</w:t>
            </w:r>
            <w:r>
              <w:rPr>
                <w:rFonts w:ascii="仿宋_GB2312" w:eastAsia="仿宋_GB2312" w:hAnsi="仿宋_GB2312" w:cs="仿宋_GB2312" w:hint="eastAsia"/>
                <w:bCs/>
                <w:kern w:val="2"/>
                <w:sz w:val="21"/>
                <w:szCs w:val="21"/>
                <w:lang w:eastAsia="zh-CN"/>
              </w:rPr>
              <w:t>（如有）</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信息化系统要求按招投标文件中条款执行。涉及软件应用的设备，中标人和厂家应配合采购人智慧医院信息化建设。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须无偿派人配合，直至该设备与医院信息系统可进行完整的数据交换，确保数据安全，无外泄。</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523"/>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应急预案</w:t>
            </w:r>
          </w:p>
          <w:p>
            <w:pPr>
              <w:widowControl w:val="0"/>
              <w:spacing w:after="160" w:line="360" w:lineRule="exact"/>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需求</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发生突发问题厂家需携带可使用的备用机24小时内到场，根据现场情况采用现场维修或备用机替代的方法，确保手术顺利进行。</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tabs>
                <w:tab w:val="left" w:pos="3697"/>
              </w:tabs>
              <w:kinsoku w:val="0"/>
              <w:autoSpaceDE w:val="0"/>
              <w:autoSpaceDN w:val="0"/>
              <w:adjustRightInd w:val="0"/>
              <w:snapToGrid w:val="0"/>
              <w:spacing w:after="160" w:line="259" w:lineRule="auto"/>
              <w:jc w:val="both"/>
              <w:textAlignment w:val="baseline"/>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523"/>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color w:val="000000"/>
                <w:kern w:val="2"/>
                <w:sz w:val="21"/>
                <w:szCs w:val="21"/>
                <w:lang w:eastAsia="zh-CN"/>
              </w:rPr>
            </w:pPr>
            <w:r>
              <w:rPr>
                <w:rFonts w:ascii="仿宋_GB2312" w:eastAsia="仿宋_GB2312" w:hAnsi="仿宋_GB2312" w:cs="仿宋_GB2312" w:hint="eastAsia"/>
                <w:color w:val="000000"/>
                <w:kern w:val="2"/>
                <w:sz w:val="21"/>
                <w:szCs w:val="21"/>
                <w:lang w:eastAsia="zh-CN"/>
              </w:rPr>
              <w:t>定期三级保养/维护及履约评价需求</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设备保养、维修服务应由厂家工程师或授权维修企业工程师负责，按产品说明书规定或相关行业规定进行保养，</w:t>
            </w:r>
            <w:r>
              <w:rPr>
                <w:rFonts w:ascii="仿宋_GB2312" w:eastAsia="仿宋_GB2312" w:hAnsi="仿宋_GB2312" w:cs="仿宋_GB2312" w:hint="eastAsia"/>
                <w:bCs/>
                <w:color w:val="000000"/>
                <w:kern w:val="2"/>
                <w:sz w:val="21"/>
                <w:szCs w:val="21"/>
                <w:lang w:eastAsia="zh-CN"/>
              </w:rPr>
              <w:t>每半年进行三级保养，并提供三级保养报告</w:t>
            </w:r>
            <w:r>
              <w:rPr>
                <w:rFonts w:ascii="仿宋_GB2312" w:eastAsia="仿宋_GB2312" w:hAnsi="仿宋_GB2312" w:cs="仿宋_GB2312" w:hint="eastAsia"/>
                <w:bCs/>
                <w:kern w:val="2"/>
                <w:sz w:val="21"/>
                <w:szCs w:val="21"/>
                <w:lang w:eastAsia="zh-CN"/>
              </w:rPr>
              <w:t>。并免费提供技术咨询服务。</w:t>
            </w:r>
          </w:p>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货物到达指定位置十日后由临床使用人与归口管理科室进行设备应用质量评价，达到使用质量评价要求后完成验收流程。</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280"/>
        </w:trPr>
        <w:tc>
          <w:tcPr>
            <w:tcW w:w="8850" w:type="dxa"/>
            <w:gridSpan w:val="6"/>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
                <w:kern w:val="2"/>
                <w:sz w:val="21"/>
                <w:szCs w:val="21"/>
                <w:lang w:eastAsia="zh-CN"/>
              </w:rPr>
            </w:pPr>
            <w:r>
              <w:rPr>
                <w:rFonts w:ascii="仿宋_GB2312" w:eastAsia="仿宋_GB2312" w:hAnsi="仿宋_GB2312" w:cs="仿宋_GB2312" w:hint="eastAsia"/>
                <w:b/>
                <w:kern w:val="2"/>
                <w:sz w:val="21"/>
                <w:szCs w:val="21"/>
                <w:lang w:eastAsia="zh-CN"/>
              </w:rPr>
              <w:t>（二）免费保修期外售后服务要求</w:t>
            </w:r>
          </w:p>
        </w:tc>
      </w:tr>
      <w:tr>
        <w:tblPrEx>
          <w:tblW w:w="5000" w:type="pct"/>
          <w:tblInd w:w="-193" w:type="dxa"/>
          <w:tblLayout w:type="fixed"/>
          <w:tblCellMar>
            <w:top w:w="0" w:type="dxa"/>
            <w:left w:w="108" w:type="dxa"/>
            <w:bottom w:w="0" w:type="dxa"/>
            <w:right w:w="108" w:type="dxa"/>
          </w:tblCellMar>
        </w:tblPrEx>
        <w:trPr>
          <w:trHeight w:val="35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关于免费保修期后维修服务</w:t>
            </w:r>
          </w:p>
        </w:tc>
        <w:tc>
          <w:tcPr>
            <w:tcW w:w="5097"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保修期满后，以成本的优惠价供应维修零配件，以成本的优惠价供应消耗品；需维修设备经使用部门验收合格且厂家提供维修专用发票后，采购人仅支付配件费用。中标人及维修厂家不得以任何理由不按时进行设备维修。</w:t>
            </w:r>
          </w:p>
        </w:tc>
        <w:tc>
          <w:tcPr>
            <w:tcW w:w="8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160" w:line="360" w:lineRule="exact"/>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关于培训</w:t>
            </w:r>
          </w:p>
        </w:tc>
        <w:tc>
          <w:tcPr>
            <w:tcW w:w="5097"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中标人有义务根据提供的要求进行每年不少于一次的培训。</w:t>
            </w:r>
          </w:p>
        </w:tc>
        <w:tc>
          <w:tcPr>
            <w:tcW w:w="8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pPr>
              <w:widowControl w:val="0"/>
              <w:spacing w:after="160" w:line="36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8850" w:type="dxa"/>
            <w:gridSpan w:val="6"/>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
                <w:kern w:val="2"/>
                <w:sz w:val="21"/>
                <w:szCs w:val="21"/>
                <w:lang w:eastAsia="zh-CN"/>
              </w:rPr>
            </w:pPr>
            <w:r>
              <w:rPr>
                <w:rFonts w:ascii="仿宋_GB2312" w:eastAsia="仿宋_GB2312" w:hAnsi="仿宋_GB2312" w:cs="仿宋_GB2312" w:hint="eastAsia"/>
                <w:b/>
                <w:kern w:val="2"/>
                <w:sz w:val="21"/>
                <w:szCs w:val="21"/>
                <w:lang w:eastAsia="zh-CN"/>
              </w:rPr>
              <w:t>（三）其他商务要求</w:t>
            </w:r>
          </w:p>
        </w:tc>
      </w:tr>
      <w:tr>
        <w:tblPrEx>
          <w:tblW w:w="5000" w:type="pct"/>
          <w:tblInd w:w="-193" w:type="dxa"/>
          <w:tblLayout w:type="fixed"/>
          <w:tblCellMar>
            <w:top w:w="0" w:type="dxa"/>
            <w:left w:w="108" w:type="dxa"/>
            <w:bottom w:w="0" w:type="dxa"/>
            <w:right w:w="108" w:type="dxa"/>
          </w:tblCellMar>
        </w:tblPrEx>
        <w:trPr>
          <w:trHeight w:val="375"/>
        </w:trPr>
        <w:tc>
          <w:tcPr>
            <w:tcW w:w="493" w:type="dxa"/>
            <w:vMerge w:val="restart"/>
            <w:tcBorders>
              <w:top w:val="nil"/>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w:t>
            </w:r>
          </w:p>
        </w:tc>
        <w:tc>
          <w:tcPr>
            <w:tcW w:w="1260" w:type="dxa"/>
            <w:vMerge w:val="restart"/>
            <w:tcBorders>
              <w:top w:val="single" w:sz="4" w:space="0" w:color="auto"/>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关于交货</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1.1交货地点：深圳市福田区莲花路1120号</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1657"/>
        </w:trPr>
        <w:tc>
          <w:tcPr>
            <w:tcW w:w="49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1.2中标人负责将货物安全无损运到采购人指定地点，并承担设备的包装、仓储、运输、保险、装卸、安装调试、培训（须同时提供培训视频文件，视频文件包括但不限于使用、保养、校准、质控等内容）、商检、保修期届满前备品备件等与采购设备及服务相关的所有含税费用。货物风险在最终验收合格前由中标人承担。</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76"/>
        </w:trPr>
        <w:tc>
          <w:tcPr>
            <w:tcW w:w="49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1.3 中标人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采购人指定的验收人员，按照临床要求提供塑封便于悬挂的操作规程及注意事项。如涉及维修密码及更换配件密码，需提供给采购人指定的验收人员。</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76"/>
        </w:trPr>
        <w:tc>
          <w:tcPr>
            <w:tcW w:w="493" w:type="dxa"/>
            <w:vMerge/>
            <w:tcBorders>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★1.4中标人应在合同签订后30日内现货送到采购人指定交货地点，物流、运费及安装费由中标人承担。</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val="restart"/>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w:t>
            </w:r>
          </w:p>
        </w:tc>
        <w:tc>
          <w:tcPr>
            <w:tcW w:w="1260" w:type="dxa"/>
            <w:vMerge w:val="restart"/>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安装调试及验收</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2.1 中标人提供免费安装服务，设备安装服务应由厂家工程师完成，以确保安装质量。中标人和厂家应在货物运至指定地点后，按照采购人指定时间完成安装、调试，需求部门和业务归口管理部门等共同参与验收。</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2.2 货物收到后，采购人（需求部门、业务归口管理部门等）按合同和招标、投标文件约定的要求和标准及中华人民共和国现行的验收规范和评定标准进行交货验收。</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2.3 中标人货物经过双方检验认可后，签署验收报告，产品保修期自最终验收合格并交付使用之日起计算，由投标人提供产品保修文件。</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2.4 验收过程中，采购人有权委托有资质的检测机构检验或测试货物，以确认货物是否符合招投标文件和合同要求。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1062"/>
        </w:trPr>
        <w:tc>
          <w:tcPr>
            <w:tcW w:w="49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2.5 设备为特种设备的，中标人应免费提供相关特种检测部门出具的合格检测报告，并办理相应的特种设备使用登记证。</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5380"/>
        </w:trPr>
        <w:tc>
          <w:tcPr>
            <w:tcW w:w="493" w:type="dxa"/>
            <w:vMerge/>
            <w:tcBorders>
              <w:top w:val="nil"/>
              <w:left w:val="single" w:sz="4" w:space="0" w:color="auto"/>
              <w:bottom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top w:val="nil"/>
              <w:left w:val="single" w:sz="4" w:space="0" w:color="auto"/>
              <w:bottom w:val="single" w:sz="4" w:space="0" w:color="auto"/>
              <w:right w:val="single" w:sz="4" w:space="0" w:color="auto"/>
            </w:tcBorders>
            <w:vAlign w:val="center"/>
          </w:tcPr>
          <w:p>
            <w:pPr>
              <w:widowControl/>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kern w:val="2"/>
                <w:sz w:val="21"/>
                <w:szCs w:val="21"/>
                <w:lang w:eastAsia="zh-CN"/>
              </w:rPr>
              <w:t>★</w:t>
            </w:r>
            <w:r>
              <w:rPr>
                <w:rFonts w:ascii="仿宋_GB2312" w:eastAsia="仿宋_GB2312" w:hAnsi="仿宋_GB2312" w:cs="仿宋_GB2312" w:hint="eastAsia"/>
                <w:bCs/>
                <w:kern w:val="2"/>
                <w:sz w:val="21"/>
                <w:szCs w:val="21"/>
                <w:lang w:eastAsia="zh-CN"/>
              </w:rPr>
              <w:t>2.6当满足以下条件时，采购人才向中标人签发货物验收报告：</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（1）设备全新,外观无伤痕变形或明显修饰痕迹。</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（3）技术文件资料、备件等已按规定数量移交完毕。</w:t>
            </w:r>
          </w:p>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（4）按照招标</w:t>
            </w:r>
            <w:r>
              <w:rPr>
                <w:rFonts w:ascii="Calibri" w:eastAsia="仿宋_GB2312" w:hAnsi="Calibri" w:cs="Calibri" w:hint="eastAsia"/>
                <w:bCs/>
                <w:kern w:val="2"/>
                <w:sz w:val="21"/>
                <w:szCs w:val="21"/>
                <w:lang w:eastAsia="zh-CN"/>
              </w:rPr>
              <w:t>文件</w:t>
            </w:r>
            <w:r>
              <w:rPr>
                <w:rFonts w:ascii="仿宋_GB2312" w:eastAsia="仿宋_GB2312" w:hAnsi="仿宋_GB2312" w:cs="仿宋_GB2312" w:hint="eastAsia"/>
                <w:bCs/>
                <w:kern w:val="2"/>
                <w:sz w:val="21"/>
                <w:szCs w:val="21"/>
                <w:lang w:eastAsia="zh-CN"/>
              </w:rPr>
              <w:t>要求及投标文件提供的技术要求验收合格。</w:t>
            </w:r>
          </w:p>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（6）货物具备产品合格证。</w:t>
            </w:r>
          </w:p>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（7）在货物安装调试合格后，所有技术指标达到技术规范书要求，经验收合格后，双方共同签署验收报告。</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val="restart"/>
            <w:tcBorders>
              <w:top w:val="nil"/>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w:t>
            </w:r>
          </w:p>
        </w:tc>
        <w:tc>
          <w:tcPr>
            <w:tcW w:w="1260" w:type="dxa"/>
            <w:vMerge w:val="restart"/>
            <w:tcBorders>
              <w:top w:val="nil"/>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eastAsia="宋体" w:hint="eastAsia"/>
                <w:kern w:val="2"/>
                <w:sz w:val="21"/>
                <w:lang w:eastAsia="zh-CN"/>
              </w:rPr>
              <w:t>★</w:t>
            </w:r>
            <w:r>
              <w:rPr>
                <w:rFonts w:ascii="仿宋_GB2312" w:eastAsia="仿宋_GB2312" w:hAnsi="仿宋_GB2312" w:cs="仿宋_GB2312" w:hint="eastAsia"/>
                <w:kern w:val="2"/>
                <w:sz w:val="21"/>
                <w:szCs w:val="21"/>
                <w:lang w:eastAsia="zh-CN"/>
              </w:rPr>
              <w:t>关于违约</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3.1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1115"/>
        </w:trPr>
        <w:tc>
          <w:tcPr>
            <w:tcW w:w="49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3.2 中标人无正当理由不能交付设备的，采购人有权解除合同，中标人应向采购人支付合同总价30%的违约金，如违约金不足以弥补采购人损失的，中标人还应按实际损失对采购人予以赔偿。</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3.3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340" w:lineRule="exact"/>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spacing w:after="160" w:line="259" w:lineRule="auto"/>
              <w:jc w:val="left"/>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left"/>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3.4</w:t>
            </w:r>
            <w:r>
              <w:rPr>
                <w:rFonts w:eastAsia="宋体"/>
                <w:kern w:val="2"/>
                <w:sz w:val="21"/>
                <w:lang w:eastAsia="zh-CN"/>
              </w:rPr>
              <w:t xml:space="preserve"> </w:t>
            </w:r>
            <w:r>
              <w:rPr>
                <w:rFonts w:ascii="仿宋_GB2312" w:eastAsia="仿宋_GB2312" w:hAnsi="仿宋_GB2312" w:cs="仿宋_GB2312"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left"/>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left"/>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left"/>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color w:val="FF0000"/>
                <w:kern w:val="2"/>
                <w:sz w:val="21"/>
                <w:szCs w:val="21"/>
                <w:lang w:eastAsia="zh-CN"/>
              </w:rPr>
            </w:pPr>
            <w:r>
              <w:rPr>
                <w:rFonts w:ascii="仿宋_GB2312" w:eastAsia="仿宋_GB2312" w:hAnsi="仿宋_GB2312" w:cs="仿宋_GB2312" w:hint="eastAsia"/>
                <w:bCs/>
                <w:kern w:val="2"/>
                <w:sz w:val="21"/>
                <w:szCs w:val="21"/>
                <w:lang w:eastAsia="zh-CN"/>
              </w:rPr>
              <w:t>3.5由于中标人的原因，未能按时供货或配合验收的，每迟一天应给付采购人的违约金为合同总额的1%，总额不超过合同总价的30%；如超过供货期30日，采购人有权解除合同，如采购人已支付货款的中标人还应立即退还，违约金不足以弥补损失的，应赔偿相应损失。</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260" w:type="dxa"/>
            <w:vMerge/>
            <w:tcBorders>
              <w:left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color w:val="FF0000"/>
                <w:kern w:val="2"/>
                <w:sz w:val="21"/>
                <w:szCs w:val="21"/>
                <w:lang w:eastAsia="zh-CN"/>
              </w:rPr>
            </w:pPr>
            <w:r>
              <w:rPr>
                <w:rFonts w:ascii="仿宋_GB2312" w:eastAsia="仿宋_GB2312" w:hAnsi="仿宋_GB2312" w:cs="仿宋_GB2312" w:hint="eastAsia"/>
                <w:bCs/>
                <w:kern w:val="2"/>
                <w:sz w:val="21"/>
                <w:szCs w:val="21"/>
                <w:lang w:eastAsia="zh-CN"/>
              </w:rPr>
              <w:t>3.6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1955"/>
        </w:trPr>
        <w:tc>
          <w:tcPr>
            <w:tcW w:w="493"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p>
        </w:tc>
        <w:tc>
          <w:tcPr>
            <w:tcW w:w="1260" w:type="dxa"/>
            <w:vMerge/>
            <w:tcBorders>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3.7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980"/>
        </w:trPr>
        <w:tc>
          <w:tcPr>
            <w:tcW w:w="493" w:type="dxa"/>
            <w:vMerge/>
            <w:tcBorders>
              <w:left w:val="single" w:sz="4" w:space="0" w:color="auto"/>
              <w:bottom w:val="single" w:sz="4" w:space="0" w:color="auto"/>
              <w:right w:val="single" w:sz="4" w:space="0" w:color="auto"/>
            </w:tcBorders>
            <w:vAlign w:val="center"/>
          </w:tcPr>
          <w:p>
            <w:pPr>
              <w:widowControl w:val="0"/>
              <w:spacing w:after="160" w:line="259" w:lineRule="auto"/>
              <w:jc w:val="both"/>
              <w:rPr>
                <w:rFonts w:eastAsia="宋体"/>
                <w:kern w:val="2"/>
                <w:sz w:val="21"/>
                <w:lang w:eastAsia="zh-CN"/>
              </w:rPr>
            </w:pPr>
          </w:p>
        </w:tc>
        <w:tc>
          <w:tcPr>
            <w:tcW w:w="1260" w:type="dxa"/>
            <w:vMerge/>
            <w:tcBorders>
              <w:left w:val="single" w:sz="4" w:space="0" w:color="auto"/>
              <w:bottom w:val="single" w:sz="4" w:space="0" w:color="auto"/>
              <w:right w:val="single" w:sz="4" w:space="0" w:color="auto"/>
            </w:tcBorders>
            <w:vAlign w:val="center"/>
          </w:tcPr>
          <w:p>
            <w:pPr>
              <w:widowControl w:val="0"/>
              <w:spacing w:after="160" w:line="259" w:lineRule="auto"/>
              <w:jc w:val="both"/>
              <w:rPr>
                <w:rFonts w:eastAsia="宋体"/>
                <w:kern w:val="2"/>
                <w:sz w:val="21"/>
                <w:lang w:eastAsia="zh-CN"/>
              </w:rPr>
            </w:pP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3.8乙方提供的设备经调试验收合格后，在保修期内连续三个月内频繁（平均每月1次或1次以上）出现设备不能正常使用的情况，甲方有权选择要求乙方免费更换新机或者退货。</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4</w:t>
            </w:r>
          </w:p>
        </w:tc>
        <w:tc>
          <w:tcPr>
            <w:tcW w:w="126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关于付款</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kern w:val="2"/>
                <w:sz w:val="21"/>
                <w:szCs w:val="21"/>
                <w:lang w:eastAsia="zh-CN"/>
              </w:rPr>
            </w:pPr>
            <w:r>
              <w:rPr>
                <w:rFonts w:ascii="仿宋_GB2312" w:eastAsia="仿宋_GB2312" w:hAnsi="仿宋_GB2312" w:cs="仿宋_GB2312" w:hint="eastAsia"/>
                <w:kern w:val="2"/>
                <w:sz w:val="21"/>
                <w:szCs w:val="21"/>
                <w:lang w:eastAsia="zh-CN"/>
              </w:rPr>
              <w:t>★采购人收到中标人提供的货物验收合格且完成设备使用培训后，由中标人按照合同金额开具税务发票，采购人支付货款95%；剩余5%尾款，于乙方提供免费维保年限一致的原厂维保承诺函及原厂维保合同，经采购人确认后不计息支付，收到发票后10个工作日内支付。中标人须提供正确的资金账户，因资金账户异常而导致采购人无法支付的，采购人不承担违约责任，给采购人造成实际损失的，中标人应承担相应的赔偿责任。</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5</w:t>
            </w:r>
          </w:p>
        </w:tc>
        <w:tc>
          <w:tcPr>
            <w:tcW w:w="126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报价要求</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lang w:eastAsia="zh-CN"/>
              </w:rPr>
            </w:pPr>
            <w:r>
              <w:rPr>
                <w:rFonts w:ascii="仿宋_GB2312" w:eastAsia="仿宋_GB2312" w:hAnsi="仿宋_GB2312" w:cs="仿宋_GB2312" w:hint="eastAsia"/>
                <w:kern w:val="2"/>
                <w:sz w:val="21"/>
                <w:szCs w:val="21"/>
                <w:lang w:eastAsia="zh-CN"/>
              </w:rPr>
              <w:t>★</w:t>
            </w:r>
            <w:r>
              <w:rPr>
                <w:rFonts w:ascii="仿宋_GB2312" w:eastAsia="仿宋_GB2312" w:hAnsi="仿宋_GB2312" w:cs="仿宋_GB2312" w:hint="eastAsia"/>
                <w:bCs/>
                <w:kern w:val="2"/>
                <w:sz w:val="21"/>
                <w:szCs w:val="21"/>
                <w:lang w:eastAsia="zh-CN"/>
              </w:rPr>
              <w:t>投标总价是完成该项目的一切费用总和，包括完成采购项目所需的一切费用，即：设备费、软件费、税费、运输费、装卸费、安装费、调试费、培训费、计量及技术服务费、外贸服务费和一切不可预见等费用，项目结算时不做任何单价或费用的调整(因数量变更除外)。</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6</w:t>
            </w:r>
          </w:p>
        </w:tc>
        <w:tc>
          <w:tcPr>
            <w:tcW w:w="126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质量要求</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color w:val="FF0000"/>
                <w:kern w:val="2"/>
                <w:sz w:val="21"/>
                <w:szCs w:val="21"/>
                <w:lang w:eastAsia="zh-CN"/>
              </w:rPr>
            </w:pPr>
            <w:r>
              <w:rPr>
                <w:rFonts w:ascii="仿宋_GB2312" w:eastAsia="仿宋_GB2312" w:hAnsi="仿宋_GB2312" w:cs="仿宋_GB2312" w:hint="eastAsia"/>
                <w:kern w:val="2"/>
                <w:sz w:val="21"/>
                <w:szCs w:val="21"/>
                <w:lang w:eastAsia="zh-CN"/>
              </w:rPr>
              <w:t>★</w:t>
            </w:r>
            <w:r>
              <w:rPr>
                <w:rFonts w:ascii="仿宋_GB2312" w:eastAsia="仿宋_GB2312" w:hAnsi="仿宋_GB2312" w:cs="仿宋_GB2312" w:hint="eastAsia"/>
                <w:bCs/>
                <w:kern w:val="2"/>
                <w:sz w:val="21"/>
                <w:szCs w:val="21"/>
                <w:lang w:eastAsia="zh-CN"/>
              </w:rPr>
              <w:t>投标人保证所提供的产品必须是生产日期在一年内未使用过的原厂全新产品（包括零部件），符合国家或省级行业质量标准。确保产品投入使用前，按照国家规定办理好产品所有启用所需的资质证件。</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350"/>
        </w:trPr>
        <w:tc>
          <w:tcPr>
            <w:tcW w:w="493"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7</w:t>
            </w:r>
          </w:p>
        </w:tc>
        <w:tc>
          <w:tcPr>
            <w:tcW w:w="1260" w:type="dxa"/>
            <w:tcBorders>
              <w:top w:val="single" w:sz="4" w:space="0" w:color="auto"/>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知识产权</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Cs/>
                <w:kern w:val="2"/>
                <w:sz w:val="21"/>
                <w:szCs w:val="21"/>
                <w:highlight w:val="yellow"/>
                <w:lang w:eastAsia="zh-CN"/>
              </w:rPr>
            </w:pPr>
            <w:r>
              <w:rPr>
                <w:rFonts w:ascii="仿宋_GB2312" w:eastAsia="仿宋_GB2312" w:hAnsi="仿宋_GB2312" w:cs="仿宋_GB2312" w:hint="eastAsia"/>
                <w:bCs/>
                <w:kern w:val="2"/>
                <w:sz w:val="21"/>
                <w:szCs w:val="21"/>
                <w:lang w:eastAsia="zh-CN"/>
              </w:rPr>
              <w:t>中标人应保证采购人在使用该货物或其任何一部分时，终身免受第三方提出的侵犯其专利权、商标权、著作权或其他知识产权的起诉。中标人保证所提供软件的合法性，所发生的任何知识产权纠纷与采购人无关。若因为知识产权纠纷造成的一切损害赔偿及损失由中标人承担，包括但不限于实际损失、预期损失和对方要求赔偿损失及支出的诉讼费、律师费、交通费和差旅费等。</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bCs/>
                <w:kern w:val="2"/>
                <w:sz w:val="21"/>
                <w:szCs w:val="21"/>
                <w:lang w:eastAsia="zh-CN"/>
              </w:rPr>
            </w:pPr>
          </w:p>
        </w:tc>
      </w:tr>
      <w:tr>
        <w:tblPrEx>
          <w:tblW w:w="5000" w:type="pct"/>
          <w:tblInd w:w="-193" w:type="dxa"/>
          <w:tblLayout w:type="fixed"/>
          <w:tblCellMar>
            <w:top w:w="0" w:type="dxa"/>
            <w:left w:w="108" w:type="dxa"/>
            <w:bottom w:w="0" w:type="dxa"/>
            <w:right w:w="108" w:type="dxa"/>
          </w:tblCellMar>
        </w:tblPrEx>
        <w:trPr>
          <w:trHeight w:val="1920"/>
        </w:trPr>
        <w:tc>
          <w:tcPr>
            <w:tcW w:w="493" w:type="dxa"/>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bCs/>
                <w:kern w:val="2"/>
                <w:sz w:val="21"/>
                <w:szCs w:val="21"/>
                <w:lang w:eastAsia="zh-CN"/>
              </w:rPr>
            </w:pPr>
            <w:r>
              <w:rPr>
                <w:rFonts w:ascii="仿宋_GB2312" w:eastAsia="仿宋_GB2312" w:hAnsi="仿宋_GB2312" w:cs="仿宋_GB2312" w:hint="eastAsia"/>
                <w:bCs/>
                <w:kern w:val="2"/>
                <w:sz w:val="21"/>
                <w:szCs w:val="21"/>
                <w:lang w:eastAsia="zh-CN"/>
              </w:rPr>
              <w:t>8</w:t>
            </w:r>
          </w:p>
        </w:tc>
        <w:tc>
          <w:tcPr>
            <w:tcW w:w="1260" w:type="dxa"/>
            <w:tcBorders>
              <w:top w:val="nil"/>
              <w:left w:val="single" w:sz="4" w:space="0" w:color="auto"/>
              <w:bottom w:val="single" w:sz="4" w:space="0" w:color="auto"/>
              <w:right w:val="single" w:sz="4" w:space="0" w:color="auto"/>
            </w:tcBorders>
            <w:vAlign w:val="center"/>
          </w:tcPr>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项目（产品）</w:t>
            </w:r>
          </w:p>
          <w:p>
            <w:pPr>
              <w:widowControl w:val="0"/>
              <w:spacing w:after="160" w:line="259" w:lineRule="auto"/>
              <w:jc w:val="center"/>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要求</w:t>
            </w:r>
          </w:p>
        </w:tc>
        <w:tc>
          <w:tcPr>
            <w:tcW w:w="5097"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b/>
                <w:color w:val="FF0000"/>
                <w:kern w:val="2"/>
                <w:sz w:val="21"/>
                <w:szCs w:val="21"/>
                <w:lang w:eastAsia="zh-CN"/>
              </w:rPr>
            </w:pPr>
            <w:r>
              <w:rPr>
                <w:rFonts w:ascii="仿宋_GB2312" w:eastAsia="仿宋_GB2312" w:hAnsi="仿宋_GB2312" w:cs="仿宋_GB2312" w:hint="eastAsia"/>
                <w:color w:val="FF0000"/>
                <w:kern w:val="2"/>
                <w:sz w:val="21"/>
                <w:szCs w:val="21"/>
                <w:lang w:eastAsia="zh-CN"/>
              </w:rPr>
              <w:t>★8</w:t>
            </w:r>
            <w:r>
              <w:rPr>
                <w:rFonts w:ascii="仿宋_GB2312" w:eastAsia="仿宋_GB2312" w:hAnsi="仿宋_GB2312" w:cs="仿宋_GB2312" w:hint="eastAsia"/>
                <w:b/>
                <w:color w:val="FF0000"/>
                <w:kern w:val="2"/>
                <w:sz w:val="21"/>
                <w:szCs w:val="21"/>
                <w:lang w:eastAsia="zh-CN"/>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8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color w:val="FF0000"/>
                <w:kern w:val="2"/>
                <w:sz w:val="21"/>
                <w:szCs w:val="21"/>
                <w:lang w:eastAsia="zh-CN"/>
              </w:rPr>
            </w:pPr>
          </w:p>
        </w:tc>
        <w:tc>
          <w:tcPr>
            <w:tcW w:w="7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color w:val="FF0000"/>
                <w:kern w:val="2"/>
                <w:sz w:val="21"/>
                <w:szCs w:val="21"/>
                <w:lang w:eastAsia="zh-CN"/>
              </w:rPr>
            </w:pPr>
          </w:p>
        </w:tc>
        <w:tc>
          <w:tcPr>
            <w:tcW w:w="500" w:type="dxa"/>
            <w:tcBorders>
              <w:top w:val="single" w:sz="4" w:space="0" w:color="auto"/>
              <w:left w:val="single" w:sz="4" w:space="0" w:color="auto"/>
              <w:bottom w:val="single" w:sz="4" w:space="0" w:color="auto"/>
              <w:right w:val="single" w:sz="4" w:space="0" w:color="auto"/>
            </w:tcBorders>
          </w:tcPr>
          <w:p>
            <w:pPr>
              <w:widowControl w:val="0"/>
              <w:spacing w:after="160" w:line="259" w:lineRule="auto"/>
              <w:jc w:val="both"/>
              <w:rPr>
                <w:rFonts w:ascii="仿宋_GB2312" w:eastAsia="仿宋_GB2312" w:hAnsi="仿宋_GB2312" w:cs="仿宋_GB2312" w:hint="eastAsia"/>
                <w:color w:val="FF0000"/>
                <w:kern w:val="2"/>
                <w:sz w:val="21"/>
                <w:szCs w:val="21"/>
                <w:lang w:eastAsia="zh-CN"/>
              </w:rPr>
            </w:pPr>
          </w:p>
        </w:tc>
      </w:tr>
    </w:tbl>
    <w:p>
      <w:pPr>
        <w:widowControl w:val="0"/>
        <w:spacing w:after="160" w:line="259" w:lineRule="auto"/>
        <w:ind w:firstLine="420" w:firstLineChars="200"/>
        <w:jc w:val="both"/>
        <w:rPr>
          <w:rFonts w:eastAsia="宋体" w:hint="eastAsia"/>
          <w:bCs/>
          <w:kern w:val="2"/>
          <w:sz w:val="21"/>
          <w:szCs w:val="21"/>
          <w:lang w:eastAsia="zh-CN"/>
        </w:rPr>
      </w:pP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1、商务要求偏离表的序号、商务需求项、招标商务要求等栏目对应“用户需求书”中的“商务要求”章节相关内容。</w:t>
      </w:r>
    </w:p>
    <w:p>
      <w:pPr>
        <w:widowControl w:val="0"/>
        <w:spacing w:after="160" w:line="259" w:lineRule="auto"/>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spacing w:after="160" w:line="259" w:lineRule="auto"/>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spacing w:after="160" w:line="259" w:lineRule="auto"/>
        <w:jc w:val="both"/>
        <w:rPr>
          <w:rFonts w:eastAsia="宋体"/>
          <w:bCs/>
          <w:kern w:val="2"/>
          <w:sz w:val="21"/>
          <w:szCs w:val="21"/>
          <w:lang w:eastAsia="zh-CN"/>
        </w:rPr>
      </w:pP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p>
    <w:p>
      <w:pPr>
        <w:widowControl w:val="0"/>
        <w:spacing w:after="160" w:line="259"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4、带★号条款为不可偏离条款，如未响应或出现负偏离的，将作投标无效处理。</w:t>
      </w:r>
    </w:p>
    <w:p>
      <w:pPr>
        <w:widowControl w:val="0"/>
        <w:spacing w:after="160" w:line="259" w:lineRule="auto"/>
        <w:jc w:val="both"/>
        <w:rPr>
          <w:rFonts w:eastAsia="宋体"/>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十、技术保障措施（格式自定）</w:t>
      </w:r>
    </w:p>
    <w:p>
      <w:pPr>
        <w:widowControl w:val="0"/>
        <w:spacing w:after="160" w:line="259" w:lineRule="auto"/>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widowControl w:val="0"/>
        <w:spacing w:after="160" w:line="259" w:lineRule="auto"/>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十一、供应商同类业绩</w:t>
      </w:r>
    </w:p>
    <w:tbl>
      <w:tblPr>
        <w:tblStyle w:val="TableNormal"/>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9"/>
        <w:gridCol w:w="1416"/>
        <w:gridCol w:w="1984"/>
        <w:gridCol w:w="849"/>
        <w:gridCol w:w="992"/>
        <w:gridCol w:w="2182"/>
      </w:tblGrid>
      <w:tr>
        <w:tblPrEx>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99" w:type="dxa"/>
            <w:vAlign w:val="center"/>
          </w:tcPr>
          <w:p>
            <w:pPr>
              <w:widowControl w:val="0"/>
              <w:spacing w:after="160" w:line="259" w:lineRule="auto"/>
              <w:jc w:val="center"/>
              <w:rPr>
                <w:rFonts w:ascii="宋体" w:eastAsia="宋体" w:hAnsi="宋体"/>
                <w:kern w:val="2"/>
                <w:sz w:val="20"/>
                <w:szCs w:val="21"/>
                <w:lang w:eastAsia="zh-CN"/>
              </w:rPr>
            </w:pPr>
            <w:r>
              <w:rPr>
                <w:rFonts w:ascii="宋体" w:eastAsia="宋体" w:hAnsi="宋体" w:hint="eastAsia"/>
                <w:kern w:val="2"/>
                <w:sz w:val="20"/>
                <w:szCs w:val="21"/>
                <w:lang w:eastAsia="zh-CN"/>
              </w:rPr>
              <w:t>采购人</w:t>
            </w:r>
          </w:p>
        </w:tc>
        <w:tc>
          <w:tcPr>
            <w:tcW w:w="1416" w:type="dxa"/>
            <w:vAlign w:val="center"/>
          </w:tcPr>
          <w:p>
            <w:pPr>
              <w:widowControl w:val="0"/>
              <w:spacing w:after="160" w:line="259" w:lineRule="auto"/>
              <w:jc w:val="center"/>
              <w:rPr>
                <w:rFonts w:ascii="宋体" w:eastAsia="宋体" w:hAnsi="宋体"/>
                <w:kern w:val="2"/>
                <w:sz w:val="20"/>
                <w:szCs w:val="21"/>
                <w:lang w:eastAsia="zh-CN"/>
              </w:rPr>
            </w:pPr>
            <w:r>
              <w:rPr>
                <w:rFonts w:ascii="宋体" w:eastAsia="宋体" w:hAnsi="宋体" w:hint="eastAsia"/>
                <w:kern w:val="2"/>
                <w:sz w:val="20"/>
                <w:szCs w:val="21"/>
                <w:lang w:eastAsia="zh-CN"/>
              </w:rPr>
              <w:t>项目名称</w:t>
            </w:r>
          </w:p>
        </w:tc>
        <w:tc>
          <w:tcPr>
            <w:tcW w:w="1984" w:type="dxa"/>
            <w:vAlign w:val="center"/>
          </w:tcPr>
          <w:p>
            <w:pPr>
              <w:widowControl w:val="0"/>
              <w:spacing w:after="160" w:line="259" w:lineRule="auto"/>
              <w:jc w:val="center"/>
              <w:rPr>
                <w:rFonts w:ascii="宋体" w:eastAsia="宋体" w:hAnsi="宋体"/>
                <w:kern w:val="2"/>
                <w:sz w:val="20"/>
                <w:szCs w:val="21"/>
                <w:lang w:eastAsia="zh-CN"/>
              </w:rPr>
            </w:pPr>
            <w:r>
              <w:rPr>
                <w:rFonts w:ascii="宋体" w:eastAsia="宋体" w:hAnsi="宋体" w:hint="eastAsia"/>
                <w:kern w:val="2"/>
                <w:sz w:val="20"/>
                <w:szCs w:val="21"/>
                <w:lang w:eastAsia="zh-CN"/>
              </w:rPr>
              <w:t>项目规模（金额）</w:t>
            </w:r>
          </w:p>
        </w:tc>
        <w:tc>
          <w:tcPr>
            <w:tcW w:w="849" w:type="dxa"/>
            <w:vAlign w:val="center"/>
          </w:tcPr>
          <w:p>
            <w:pPr>
              <w:widowControl w:val="0"/>
              <w:spacing w:after="160" w:line="259" w:lineRule="auto"/>
              <w:jc w:val="center"/>
              <w:rPr>
                <w:rFonts w:ascii="宋体" w:eastAsia="宋体" w:hAnsi="宋体"/>
                <w:kern w:val="2"/>
                <w:sz w:val="20"/>
                <w:szCs w:val="21"/>
                <w:lang w:eastAsia="zh-CN"/>
              </w:rPr>
            </w:pPr>
            <w:r>
              <w:rPr>
                <w:rFonts w:ascii="宋体" w:eastAsia="宋体" w:hAnsi="宋体" w:hint="eastAsia"/>
                <w:kern w:val="2"/>
                <w:sz w:val="20"/>
                <w:szCs w:val="21"/>
                <w:lang w:eastAsia="zh-CN"/>
              </w:rPr>
              <w:t>合同签订日期</w:t>
            </w:r>
          </w:p>
        </w:tc>
        <w:tc>
          <w:tcPr>
            <w:tcW w:w="992" w:type="dxa"/>
            <w:vAlign w:val="center"/>
          </w:tcPr>
          <w:p>
            <w:pPr>
              <w:widowControl w:val="0"/>
              <w:spacing w:after="160" w:line="259" w:lineRule="auto"/>
              <w:jc w:val="center"/>
              <w:rPr>
                <w:rFonts w:ascii="宋体" w:eastAsia="宋体" w:hAnsi="宋体"/>
                <w:kern w:val="2"/>
                <w:sz w:val="20"/>
                <w:szCs w:val="21"/>
                <w:lang w:eastAsia="zh-CN"/>
              </w:rPr>
            </w:pPr>
            <w:r>
              <w:rPr>
                <w:rFonts w:ascii="宋体" w:eastAsia="宋体" w:hAnsi="宋体" w:hint="eastAsia"/>
                <w:kern w:val="2"/>
                <w:sz w:val="20"/>
                <w:szCs w:val="21"/>
                <w:lang w:eastAsia="zh-CN"/>
              </w:rPr>
              <w:t>履约验收时间</w:t>
            </w:r>
          </w:p>
        </w:tc>
        <w:tc>
          <w:tcPr>
            <w:tcW w:w="2182" w:type="dxa"/>
            <w:vAlign w:val="center"/>
          </w:tcPr>
          <w:p>
            <w:pPr>
              <w:widowControl w:val="0"/>
              <w:spacing w:after="160" w:line="259" w:lineRule="auto"/>
              <w:jc w:val="center"/>
              <w:rPr>
                <w:rFonts w:ascii="宋体" w:eastAsia="宋体" w:hAnsi="宋体"/>
                <w:kern w:val="2"/>
                <w:sz w:val="20"/>
                <w:szCs w:val="21"/>
                <w:lang w:eastAsia="zh-CN"/>
              </w:rPr>
            </w:pPr>
            <w:r>
              <w:rPr>
                <w:rFonts w:ascii="宋体" w:eastAsia="宋体" w:hAnsi="宋体" w:hint="eastAsia"/>
                <w:kern w:val="2"/>
                <w:sz w:val="20"/>
                <w:szCs w:val="21"/>
                <w:lang w:eastAsia="zh-CN"/>
              </w:rPr>
              <w:t>完成质量情况（以履约验收报告为准）</w:t>
            </w:r>
          </w:p>
        </w:tc>
      </w:tr>
      <w:tr>
        <w:tblPrEx>
          <w:tblW w:w="5000" w:type="pct"/>
          <w:tblInd w:w="0" w:type="dxa"/>
          <w:tblLayout w:type="fixed"/>
          <w:tblCellMar>
            <w:top w:w="0" w:type="dxa"/>
            <w:left w:w="108" w:type="dxa"/>
            <w:bottom w:w="0" w:type="dxa"/>
            <w:right w:w="108" w:type="dxa"/>
          </w:tblCellMar>
        </w:tblPrEx>
        <w:tc>
          <w:tcPr>
            <w:tcW w:w="1099" w:type="dxa"/>
            <w:vAlign w:val="center"/>
          </w:tcPr>
          <w:p>
            <w:pPr>
              <w:widowControl w:val="0"/>
              <w:spacing w:after="160" w:line="259" w:lineRule="auto"/>
              <w:ind w:firstLine="400" w:firstLineChars="200"/>
              <w:jc w:val="both"/>
              <w:rPr>
                <w:rFonts w:ascii="宋体" w:eastAsia="宋体" w:hAnsi="宋体"/>
                <w:kern w:val="2"/>
                <w:sz w:val="20"/>
                <w:szCs w:val="21"/>
                <w:lang w:eastAsia="zh-CN"/>
              </w:rPr>
            </w:pPr>
            <w:r>
              <w:rPr>
                <w:rFonts w:ascii="宋体" w:eastAsia="宋体" w:hAnsi="宋体"/>
                <w:kern w:val="2"/>
                <w:sz w:val="20"/>
                <w:szCs w:val="21"/>
                <w:lang w:eastAsia="zh-CN"/>
              </w:rPr>
              <w:t>……</w:t>
            </w:r>
          </w:p>
        </w:tc>
        <w:tc>
          <w:tcPr>
            <w:tcW w:w="1416"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1984"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849"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992"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2182"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1099"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1416"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1984"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849"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992"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2182"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1099"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1416"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1984"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849"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c>
          <w:tcPr>
            <w:tcW w:w="992"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p>
            <w:pPr>
              <w:widowControl w:val="0"/>
              <w:spacing w:after="160" w:line="259" w:lineRule="auto"/>
              <w:jc w:val="both"/>
              <w:rPr>
                <w:rFonts w:eastAsia="宋体"/>
                <w:kern w:val="2"/>
                <w:sz w:val="21"/>
                <w:lang w:eastAsia="zh-CN"/>
              </w:rPr>
            </w:pPr>
          </w:p>
        </w:tc>
        <w:tc>
          <w:tcPr>
            <w:tcW w:w="2182" w:type="dxa"/>
            <w:vAlign w:val="center"/>
          </w:tcPr>
          <w:p>
            <w:pPr>
              <w:widowControl w:val="0"/>
              <w:spacing w:after="160" w:line="259" w:lineRule="auto"/>
              <w:ind w:firstLine="400" w:firstLineChars="200"/>
              <w:jc w:val="both"/>
              <w:rPr>
                <w:rFonts w:ascii="宋体" w:eastAsia="宋体" w:hAnsi="宋体"/>
                <w:kern w:val="2"/>
                <w:sz w:val="20"/>
                <w:szCs w:val="21"/>
                <w:lang w:eastAsia="zh-CN"/>
              </w:rPr>
            </w:pPr>
          </w:p>
        </w:tc>
      </w:tr>
    </w:tbl>
    <w:p>
      <w:pPr>
        <w:widowControl w:val="0"/>
        <w:spacing w:after="160" w:line="259" w:lineRule="auto"/>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（特别提示：投标人须按本招标文件评标信息中这一评审因素要求，提供详细证明资料）</w:t>
      </w:r>
    </w:p>
    <w:p>
      <w:pPr>
        <w:widowControl w:val="0"/>
        <w:spacing w:after="160" w:line="259" w:lineRule="auto"/>
        <w:jc w:val="both"/>
        <w:rPr>
          <w:rFonts w:eastAsia="宋体"/>
          <w:b/>
          <w:color w:val="FF0000"/>
          <w:kern w:val="2"/>
          <w:lang w:eastAsia="zh-CN"/>
        </w:rPr>
      </w:pPr>
    </w:p>
    <w:p>
      <w:pPr>
        <w:widowControl w:val="0"/>
        <w:spacing w:after="160" w:line="360" w:lineRule="auto"/>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二</w:t>
      </w:r>
      <w:r>
        <w:rPr>
          <w:rFonts w:ascii="黑体" w:eastAsia="黑体" w:hAnsi="宋体" w:hint="eastAsia"/>
          <w:bCs/>
          <w:kern w:val="2"/>
          <w:lang w:eastAsia="zh-CN"/>
        </w:rPr>
        <w:t>、投标人认为需要加以说明的其他内容（格式自定）</w:t>
      </w:r>
    </w:p>
    <w:p>
      <w:pPr>
        <w:widowControl w:val="0"/>
        <w:spacing w:after="160" w:line="360" w:lineRule="auto"/>
        <w:jc w:val="both"/>
        <w:rPr>
          <w:rFonts w:eastAsia="宋体"/>
          <w:b/>
          <w:bCs/>
          <w:kern w:val="2"/>
          <w:lang w:eastAsia="zh-CN"/>
        </w:rPr>
      </w:pPr>
    </w:p>
    <w:p>
      <w:pPr>
        <w:widowControl/>
        <w:spacing w:after="160" w:line="259" w:lineRule="auto"/>
        <w:jc w:val="center"/>
        <w:rPr>
          <w:rFonts w:ascii="黑体" w:eastAsia="黑体" w:hAnsi="宋体"/>
          <w:szCs w:val="20"/>
          <w:lang w:eastAsia="zh-CN"/>
        </w:rPr>
      </w:pPr>
      <w:r>
        <w:rPr>
          <w:rFonts w:ascii="黑体" w:eastAsia="黑体" w:hAnsi="宋体" w:hint="eastAsia"/>
          <w:szCs w:val="20"/>
          <w:lang w:eastAsia="zh-CN"/>
        </w:rPr>
        <w:t>（一）采购违法行为风险知悉确认书</w:t>
      </w:r>
    </w:p>
    <w:p>
      <w:pPr>
        <w:widowControl/>
        <w:spacing w:after="160" w:line="259" w:lineRule="auto"/>
        <w:jc w:val="center"/>
        <w:rPr>
          <w:rFonts w:ascii="黑体" w:eastAsia="黑体" w:hAnsi="宋体"/>
          <w:szCs w:val="20"/>
          <w:lang w:eastAsia="zh-CN"/>
        </w:rPr>
      </w:pP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spacing w:after="160" w:line="259" w:lineRule="auto"/>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lang w:eastAsia="zh-CN"/>
        </w:rPr>
        <w:t>四、本公司已充分知悉政府采购违法、违规行为的法律后果。</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after="160" w:line="40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after="160" w:line="40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after="160" w:line="40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after="160" w:line="400" w:lineRule="exact"/>
        <w:ind w:firstLine="420" w:firstLineChars="200"/>
        <w:jc w:val="left"/>
        <w:rPr>
          <w:rFonts w:ascii="宋体" w:eastAsia="宋体" w:hAnsi="宋体"/>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after="160" w:line="400" w:lineRule="exact"/>
        <w:ind w:firstLine="420" w:firstLineChars="200"/>
        <w:jc w:val="left"/>
        <w:rPr>
          <w:rFonts w:ascii="宋体" w:eastAsia="宋体" w:hAnsi="宋体"/>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after="160" w:line="400" w:lineRule="exact"/>
        <w:ind w:firstLine="420" w:firstLineChars="200"/>
        <w:jc w:val="left"/>
        <w:rPr>
          <w:rFonts w:ascii="宋体" w:eastAsia="宋体" w:hAnsi="宋体"/>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spacing w:after="160" w:line="360" w:lineRule="auto"/>
        <w:jc w:val="left"/>
        <w:rPr>
          <w:rFonts w:eastAsia="宋体"/>
          <w:b/>
          <w:bCs/>
          <w:lang w:eastAsia="zh-CN"/>
        </w:rPr>
      </w:pPr>
    </w:p>
    <w:p>
      <w:pPr>
        <w:widowControl w:val="0"/>
        <w:spacing w:after="160"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after="160" w:line="360" w:lineRule="auto"/>
        <w:jc w:val="both"/>
        <w:rPr>
          <w:rFonts w:eastAsia="宋体"/>
          <w:kern w:val="2"/>
          <w:lang w:eastAsia="zh-CN"/>
        </w:rPr>
      </w:pPr>
    </w:p>
    <w:p>
      <w:pPr>
        <w:widowControl/>
        <w:spacing w:after="160" w:line="259" w:lineRule="auto"/>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spacing w:after="160" w:line="259" w:lineRule="auto"/>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spacing w:after="160" w:line="259" w:lineRule="auto"/>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自行采购货物买卖合同</w:t>
      </w:r>
    </w:p>
    <w:p>
      <w:pPr>
        <w:widowControl w:val="0"/>
        <w:spacing w:after="160" w:line="259" w:lineRule="auto"/>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（试行）</w:t>
      </w:r>
      <w:bookmarkStart w:id="63" w:name="_GoBack"/>
      <w:bookmarkEnd w:id="63"/>
    </w:p>
    <w:p>
      <w:pPr>
        <w:widowControl w:val="0"/>
        <w:spacing w:after="160" w:line="259" w:lineRule="auto"/>
        <w:jc w:val="both"/>
        <w:rPr>
          <w:rFonts w:ascii="宋体" w:eastAsia="宋体" w:hAnsi="宋体" w:cs="宋体"/>
          <w:b/>
          <w:bCs/>
          <w:spacing w:val="-20"/>
          <w:kern w:val="44"/>
          <w:sz w:val="40"/>
          <w:szCs w:val="40"/>
          <w:lang w:eastAsia="zh-CN"/>
        </w:rPr>
      </w:pPr>
    </w:p>
    <w:p>
      <w:pPr>
        <w:widowControl w:val="0"/>
        <w:spacing w:after="160" w:line="259" w:lineRule="auto"/>
        <w:jc w:val="both"/>
        <w:rPr>
          <w:rFonts w:ascii="宋体" w:eastAsia="宋体" w:hAnsi="宋体" w:cs="宋体"/>
          <w:b/>
          <w:bCs/>
          <w:spacing w:val="-20"/>
          <w:kern w:val="44"/>
          <w:sz w:val="40"/>
          <w:szCs w:val="40"/>
          <w:lang w:eastAsia="zh-CN"/>
        </w:rPr>
      </w:pPr>
    </w:p>
    <w:p>
      <w:pPr>
        <w:widowControl w:val="0"/>
        <w:spacing w:after="160" w:line="259" w:lineRule="auto"/>
        <w:jc w:val="both"/>
        <w:rPr>
          <w:rFonts w:ascii="宋体" w:eastAsia="宋体" w:hAnsi="宋体" w:cs="宋体"/>
          <w:b/>
          <w:bCs/>
          <w:spacing w:val="-20"/>
          <w:kern w:val="44"/>
          <w:sz w:val="40"/>
          <w:szCs w:val="40"/>
          <w:lang w:eastAsia="zh-CN"/>
        </w:rPr>
      </w:pPr>
    </w:p>
    <w:p>
      <w:pPr>
        <w:widowControl w:val="0"/>
        <w:spacing w:after="160"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after="160"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after="160"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after="160"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after="160"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spacing w:after="160" w:line="259" w:lineRule="auto"/>
        <w:jc w:val="both"/>
        <w:rPr>
          <w:rFonts w:eastAsia="宋体"/>
          <w:kern w:val="2"/>
          <w:sz w:val="21"/>
          <w:lang w:eastAsia="zh-CN"/>
        </w:rPr>
      </w:pPr>
    </w:p>
    <w:p>
      <w:pPr>
        <w:widowControl w:val="0"/>
        <w:spacing w:after="160" w:line="259" w:lineRule="auto"/>
        <w:jc w:val="both"/>
        <w:rPr>
          <w:rFonts w:eastAsia="黑体"/>
          <w:kern w:val="2"/>
          <w:sz w:val="44"/>
          <w:szCs w:val="44"/>
          <w:lang w:eastAsia="zh-CN"/>
        </w:rPr>
      </w:pPr>
      <w:r>
        <w:rPr>
          <w:rFonts w:eastAsia="黑体"/>
          <w:kern w:val="2"/>
          <w:sz w:val="44"/>
          <w:szCs w:val="44"/>
          <w:lang w:eastAsia="zh-CN"/>
        </w:rPr>
        <w:br w:type="page"/>
      </w:r>
    </w:p>
    <w:p>
      <w:pPr>
        <w:widowControl w:val="0"/>
        <w:spacing w:after="160" w:line="259" w:lineRule="auto"/>
        <w:jc w:val="both"/>
        <w:rPr>
          <w:rFonts w:eastAsia="黑体"/>
          <w:kern w:val="2"/>
          <w:sz w:val="44"/>
          <w:szCs w:val="44"/>
          <w:lang w:eastAsia="zh-CN"/>
        </w:rPr>
      </w:pPr>
    </w:p>
    <w:p>
      <w:pPr>
        <w:widowControl w:val="0"/>
        <w:spacing w:after="160" w:line="259" w:lineRule="auto"/>
        <w:jc w:val="both"/>
        <w:rPr>
          <w:rFonts w:eastAsia="黑体"/>
          <w:kern w:val="2"/>
          <w:sz w:val="44"/>
          <w:szCs w:val="44"/>
          <w:lang w:eastAsia="zh-CN"/>
        </w:rPr>
      </w:pPr>
    </w:p>
    <w:p>
      <w:pPr>
        <w:widowControl w:val="0"/>
        <w:spacing w:after="160" w:line="259" w:lineRule="auto"/>
        <w:jc w:val="center"/>
        <w:rPr>
          <w:rFonts w:eastAsia="黑体"/>
          <w:kern w:val="2"/>
          <w:sz w:val="44"/>
          <w:szCs w:val="44"/>
          <w:lang w:eastAsia="zh-CN"/>
        </w:rPr>
      </w:pPr>
      <w:r>
        <w:rPr>
          <w:rFonts w:eastAsia="黑体" w:hint="eastAsia"/>
          <w:kern w:val="2"/>
          <w:sz w:val="44"/>
          <w:szCs w:val="44"/>
          <w:lang w:eastAsia="zh-CN"/>
        </w:rPr>
        <w:t>使 用 说 明</w:t>
      </w:r>
    </w:p>
    <w:p>
      <w:pPr>
        <w:widowControl w:val="0"/>
        <w:spacing w:after="160" w:line="259" w:lineRule="auto"/>
        <w:ind w:firstLine="640" w:firstLineChars="200"/>
        <w:jc w:val="both"/>
        <w:rPr>
          <w:rFonts w:ascii="仿宋_GB2312" w:eastAsia="仿宋_GB2312" w:hAnsi="仿宋_GB2312" w:cs="仿宋_GB2312"/>
          <w:kern w:val="2"/>
          <w:sz w:val="32"/>
          <w:szCs w:val="32"/>
          <w:lang w:eastAsia="zh-CN"/>
        </w:rPr>
      </w:pPr>
    </w:p>
    <w:p>
      <w:pPr>
        <w:widowControl w:val="0"/>
        <w:spacing w:after="160" w:line="259" w:lineRule="auto"/>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spacing w:after="160" w:line="259" w:lineRule="auto"/>
        <w:ind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2.本合同标准文本为采购货物买卖合同编制提供参考，可以结合采购项目具体情况，对文本作必要的调整修订后使用。</w:t>
      </w:r>
    </w:p>
    <w:p>
      <w:pPr>
        <w:widowControl w:val="0"/>
        <w:spacing w:after="160" w:line="259" w:lineRule="auto"/>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spacing w:after="160" w:line="259" w:lineRule="auto"/>
        <w:ind w:firstLine="880" w:firstLineChars="200"/>
        <w:jc w:val="both"/>
        <w:rPr>
          <w:rFonts w:eastAsia="黑体"/>
          <w:kern w:val="2"/>
          <w:sz w:val="44"/>
          <w:szCs w:val="44"/>
          <w:lang w:eastAsia="zh-CN"/>
        </w:rPr>
        <w:sectPr>
          <w:headerReference w:type="default" r:id="rId4"/>
          <w:footerReference w:type="default" r:id="rId5"/>
          <w:pgSz w:w="11906" w:h="16838"/>
          <w:pgMar w:top="1440" w:right="1800" w:bottom="1440" w:left="1800" w:header="851" w:footer="992" w:gutter="0"/>
          <w:cols w:num="1" w:space="425"/>
          <w:docGrid w:type="lines" w:linePitch="312" w:charSpace="0"/>
        </w:sectPr>
      </w:pPr>
    </w:p>
    <w:p>
      <w:pPr>
        <w:widowControl w:val="0"/>
        <w:spacing w:after="160" w:line="259" w:lineRule="auto"/>
        <w:jc w:val="both"/>
        <w:rPr>
          <w:rFonts w:eastAsia="宋体"/>
          <w:kern w:val="2"/>
          <w:sz w:val="21"/>
          <w:lang w:eastAsia="zh-CN"/>
        </w:rPr>
      </w:pPr>
      <w:bookmarkStart w:id="64" w:name="_Toc22209"/>
    </w:p>
    <w:p>
      <w:pPr>
        <w:keepNext/>
        <w:keepLines/>
        <w:widowControl w:val="0"/>
        <w:adjustRightInd w:val="0"/>
        <w:snapToGrid w:val="0"/>
        <w:spacing w:after="160" w:line="400" w:lineRule="exact"/>
        <w:jc w:val="center"/>
        <w:outlineLvl w:val="1"/>
        <w:rPr>
          <w:rFonts w:ascii="黑体" w:eastAsia="黑体" w:hAnsi="华文中宋"/>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采购合同协议书</w:t>
      </w:r>
      <w:bookmarkEnd w:id="64"/>
    </w:p>
    <w:p>
      <w:pPr>
        <w:widowControl w:val="0"/>
        <w:spacing w:after="160" w:line="259" w:lineRule="auto"/>
        <w:jc w:val="both"/>
        <w:rPr>
          <w:rFonts w:eastAsia="宋体"/>
          <w:kern w:val="2"/>
          <w:sz w:val="21"/>
          <w:lang w:eastAsia="zh-CN"/>
        </w:rPr>
      </w:pPr>
    </w:p>
    <w:p>
      <w:pPr>
        <w:widowControl w:val="0"/>
        <w:adjustRightInd w:val="0"/>
        <w:snapToGrid w:val="0"/>
        <w:spacing w:after="16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（采购人、受采购人委托签订合同的单位或采购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文件约定的合同甲方）</w:t>
      </w:r>
    </w:p>
    <w:p>
      <w:pPr>
        <w:widowControl w:val="0"/>
        <w:adjustRightInd w:val="0"/>
        <w:snapToGrid w:val="0"/>
        <w:spacing w:after="16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乙方1（全称）：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after="16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after="160" w:line="400" w:lineRule="exact"/>
        <w:jc w:val="both"/>
        <w:rPr>
          <w:rFonts w:ascii="宋体" w:eastAsia="宋体" w:hAnsi="宋体"/>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after="160" w:line="400" w:lineRule="exact"/>
        <w:jc w:val="both"/>
        <w:rPr>
          <w:rFonts w:eastAsia="宋体"/>
          <w:kern w:val="2"/>
          <w:sz w:val="21"/>
          <w:lang w:eastAsia="zh-CN"/>
        </w:rPr>
      </w:pP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widowControl w:val="0"/>
        <w:numPr>
          <w:ilvl w:val="0"/>
          <w:numId w:val="3"/>
        </w:numPr>
        <w:adjustRightInd w:val="0"/>
        <w:snapToGrid w:val="0"/>
        <w:spacing w:after="16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4"/>
        </w:numPr>
        <w:adjustRightInd w:val="0"/>
        <w:snapToGrid w:val="0"/>
        <w:spacing w:after="160" w:line="400" w:lineRule="exact"/>
        <w:ind w:firstLine="42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采购标的及数量（台/套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after="16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after="16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after="160" w:line="400" w:lineRule="exact"/>
        <w:ind w:left="0" w:firstLine="945" w:firstLineChars="450"/>
        <w:jc w:val="both"/>
        <w:rPr>
          <w:rFonts w:ascii="宋体" w:eastAsia="宋体" w:hAnsi="宋体" w:cs="宋体"/>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after="160" w:line="400" w:lineRule="exact"/>
        <w:ind w:left="0" w:firstLine="420" w:firstLineChars="200"/>
        <w:jc w:val="both"/>
        <w:rPr>
          <w:rFonts w:ascii="宋体" w:eastAsia="宋体" w:hAnsi="宋体" w:cs="宋体"/>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after="160"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after="160"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after="160"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after="160"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after="160"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after="160"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after="160" w:line="400" w:lineRule="exact"/>
        <w:ind w:left="240" w:firstLine="210" w:leftChars="100" w:firstLineChars="1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after="160" w:line="400" w:lineRule="exact"/>
        <w:ind w:left="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after="160" w:line="400" w:lineRule="exact"/>
        <w:ind w:left="0" w:firstLine="220" w:firstLineChars="100"/>
        <w:jc w:val="both"/>
        <w:rPr>
          <w:rFonts w:ascii="宋体" w:eastAsia="宋体" w:hAnsi="宋体"/>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after="160" w:line="400" w:lineRule="exact"/>
        <w:ind w:left="0" w:firstLine="0"/>
        <w:jc w:val="both"/>
        <w:rPr>
          <w:rFonts w:ascii="宋体" w:eastAsia="宋体" w:hAnsi="宋体"/>
          <w:iCs/>
          <w:kern w:val="2"/>
          <w:sz w:val="21"/>
          <w:szCs w:val="21"/>
          <w:lang w:eastAsia="zh-CN"/>
        </w:rPr>
      </w:pPr>
      <w:r>
        <w:rPr>
          <w:rFonts w:ascii="宋体" w:eastAsia="宋体" w:hAnsi="宋体" w:hint="eastAsia"/>
          <w:kern w:val="2"/>
          <w:sz w:val="21"/>
          <w:szCs w:val="21"/>
          <w:lang w:eastAsia="zh-CN"/>
        </w:rPr>
        <w:t xml:space="preserve">         本合同是否为专门面向中小企业的采购合同（中小企业预留合同）：</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after="160" w:line="400" w:lineRule="exact"/>
        <w:ind w:left="0" w:firstLine="0"/>
        <w:jc w:val="both"/>
        <w:rPr>
          <w:rFonts w:ascii="宋体" w:eastAsia="宋体" w:hAnsi="宋体"/>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after="160" w:line="400" w:lineRule="exact"/>
        <w:ind w:left="0" w:firstLine="0"/>
        <w:jc w:val="both"/>
        <w:rPr>
          <w:rFonts w:ascii="宋体" w:eastAsia="宋体" w:hAnsi="宋体"/>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snapToGrid w:val="0"/>
        <w:spacing w:after="160" w:line="400" w:lineRule="exact"/>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after="16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分包主要内容：</w:t>
      </w:r>
      <w:r>
        <w:rPr>
          <w:rFonts w:ascii="宋体" w:eastAsia="宋体" w:hAnsi="宋体" w:hint="eastAsia"/>
          <w:kern w:val="2"/>
          <w:sz w:val="21"/>
          <w:szCs w:val="21"/>
          <w:u w:val="single"/>
          <w:lang w:eastAsia="zh-CN"/>
        </w:rPr>
        <w:t xml:space="preserve">                                            </w:t>
      </w:r>
    </w:p>
    <w:p>
      <w:pPr>
        <w:widowControl w:val="0"/>
        <w:adjustRightInd w:val="0"/>
        <w:snapToGrid w:val="0"/>
        <w:spacing w:after="160" w:line="400" w:lineRule="exact"/>
        <w:ind w:firstLine="840" w:firstLineChars="4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分包供应商/制造商名称（如供应商和制造商不同，请分别填写）：</w:t>
      </w:r>
    </w:p>
    <w:p>
      <w:pPr>
        <w:widowControl w:val="0"/>
        <w:adjustRightInd w:val="0"/>
        <w:snapToGrid w:val="0"/>
        <w:spacing w:after="16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after="160" w:line="400" w:lineRule="exact"/>
        <w:ind w:firstLine="840" w:firstLineChars="4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分包供应商/制造商类型（如果供应商和制造商不同，只填写制造商类型）：</w:t>
      </w:r>
    </w:p>
    <w:p>
      <w:pPr>
        <w:widowControl w:val="0"/>
        <w:adjustRightInd w:val="0"/>
        <w:snapToGrid w:val="0"/>
        <w:spacing w:after="160" w:line="400" w:lineRule="exact"/>
        <w:ind w:firstLine="840" w:firstLineChars="40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小微型企业  </w:t>
      </w:r>
    </w:p>
    <w:p>
      <w:pPr>
        <w:widowControl w:val="0"/>
        <w:adjustRightInd w:val="0"/>
        <w:snapToGrid w:val="0"/>
        <w:spacing w:after="16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残疾人福利性单位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监狱企业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after="160" w:line="400" w:lineRule="exact"/>
        <w:ind w:left="0" w:firstLine="0"/>
        <w:jc w:val="both"/>
        <w:rPr>
          <w:rFonts w:ascii="宋体" w:eastAsia="宋体" w:hAnsi="宋体" w:cs="宋体"/>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after="160"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after="160"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after="160" w:line="400" w:lineRule="exact"/>
        <w:ind w:left="0" w:firstLine="840" w:firstLineChars="4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after="160" w:line="400" w:lineRule="exact"/>
        <w:ind w:left="0" w:firstLine="840" w:firstLineChars="40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after="160" w:line="400" w:lineRule="exact"/>
        <w:ind w:firstLine="840" w:firstLineChars="4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pPr>
        <w:widowControl w:val="0"/>
        <w:autoSpaceDE w:val="0"/>
        <w:autoSpaceDN w:val="0"/>
        <w:adjustRightInd w:val="0"/>
        <w:spacing w:after="160" w:line="400" w:lineRule="exact"/>
        <w:ind w:firstLine="420"/>
        <w:jc w:val="both"/>
        <w:rPr>
          <w:rFonts w:ascii="宋体" w:eastAsia="宋体" w:hAnsi="宋体" w:cs="华文楷体"/>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after="160" w:line="400" w:lineRule="exact"/>
        <w:ind w:left="0" w:firstLine="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autoSpaceDE w:val="0"/>
        <w:autoSpaceDN w:val="0"/>
        <w:adjustRightInd w:val="0"/>
        <w:spacing w:after="160" w:line="400" w:lineRule="exact"/>
        <w:ind w:firstLine="420"/>
        <w:jc w:val="both"/>
        <w:rPr>
          <w:rFonts w:ascii="宋体" w:eastAsia="华文楷体" w:hAnsi="宋体" w:cs="华文楷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after="160" w:line="400" w:lineRule="exact"/>
        <w:ind w:left="0" w:firstLine="840" w:firstLineChars="4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否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3"/>
        </w:numPr>
        <w:adjustRightInd w:val="0"/>
        <w:snapToGrid w:val="0"/>
        <w:spacing w:after="16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p>
    <w:p>
      <w:pPr>
        <w:widowControl w:val="0"/>
        <w:adjustRightInd w:val="0"/>
        <w:snapToGrid w:val="0"/>
        <w:spacing w:after="160" w:line="400" w:lineRule="exact"/>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大写：</w:t>
      </w:r>
      <w:r>
        <w:rPr>
          <w:rFonts w:ascii="宋体" w:eastAsia="宋体" w:hAnsi="宋体" w:hint="eastAsia"/>
          <w:kern w:val="2"/>
          <w:sz w:val="21"/>
          <w:szCs w:val="21"/>
          <w:u w:val="single"/>
          <w:lang w:eastAsia="zh-CN"/>
        </w:rPr>
        <w:t xml:space="preserve">                           </w:t>
      </w:r>
    </w:p>
    <w:p>
      <w:pPr>
        <w:widowControl w:val="0"/>
        <w:adjustRightInd w:val="0"/>
        <w:snapToGrid w:val="0"/>
        <w:spacing w:after="16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分包金额（如有）小写：</w:t>
      </w:r>
      <w:r>
        <w:rPr>
          <w:rFonts w:ascii="宋体" w:eastAsia="宋体" w:hAnsi="宋体" w:hint="eastAsia"/>
          <w:kern w:val="2"/>
          <w:sz w:val="21"/>
          <w:szCs w:val="21"/>
          <w:u w:val="single"/>
          <w:lang w:eastAsia="zh-CN"/>
        </w:rPr>
        <w:t xml:space="preserve">                   </w:t>
      </w:r>
    </w:p>
    <w:p>
      <w:pPr>
        <w:widowControl w:val="0"/>
        <w:adjustRightInd w:val="0"/>
        <w:snapToGrid w:val="0"/>
        <w:spacing w:after="160" w:line="400" w:lineRule="exact"/>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大写：</w:t>
      </w:r>
      <w:r>
        <w:rPr>
          <w:rFonts w:ascii="宋体" w:eastAsia="宋体" w:hAnsi="宋体" w:hint="eastAsia"/>
          <w:kern w:val="2"/>
          <w:sz w:val="21"/>
          <w:szCs w:val="21"/>
          <w:u w:val="single"/>
          <w:lang w:eastAsia="zh-CN"/>
        </w:rPr>
        <w:t xml:space="preserve">                       </w:t>
      </w:r>
    </w:p>
    <w:p>
      <w:pPr>
        <w:widowControl w:val="0"/>
        <w:adjustRightInd w:val="0"/>
        <w:snapToGrid w:val="0"/>
        <w:spacing w:after="16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after="160"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（2）合同定价方式（采用组合定价方式的，可以勾选多项）：</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固定单价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固定费率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绩效激励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after="16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after="16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（应明确一次性支付合同款项的条件）                    </w:t>
      </w:r>
    </w:p>
    <w:p>
      <w:pPr>
        <w:widowControl w:val="0"/>
        <w:snapToGrid w:val="0"/>
        <w:spacing w:after="16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after="16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after="16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3"/>
        </w:numPr>
        <w:adjustRightInd w:val="0"/>
        <w:snapToGrid w:val="0"/>
        <w:spacing w:after="16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after="160"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after="160" w:line="400" w:lineRule="exact"/>
        <w:ind w:firstLine="440" w:firstLineChars="200"/>
        <w:jc w:val="both"/>
        <w:rPr>
          <w:rFonts w:ascii="宋体" w:eastAsia="宋体" w:hAnsi="宋体" w:cs="宋体"/>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after="160" w:line="400" w:lineRule="exact"/>
        <w:ind w:firstLine="420" w:firstLineChars="200"/>
        <w:jc w:val="both"/>
        <w:rPr>
          <w:rFonts w:ascii="宋体" w:eastAsia="宋体" w:hAnsi="宋体" w:cs="宋体"/>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3"/>
        </w:numPr>
        <w:adjustRightInd w:val="0"/>
        <w:snapToGrid w:val="0"/>
        <w:spacing w:after="16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5"/>
        </w:numPr>
        <w:adjustRightInd w:val="0"/>
        <w:snapToGrid w:val="0"/>
        <w:spacing w:after="16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adjustRightInd w:val="0"/>
        <w:snapToGrid w:val="0"/>
        <w:spacing w:after="160" w:line="400" w:lineRule="exact"/>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验收主体：</w:t>
      </w:r>
      <w:r>
        <w:rPr>
          <w:rFonts w:ascii="宋体" w:eastAsia="宋体" w:hAnsi="宋体" w:hint="eastAsia"/>
          <w:bCs/>
          <w:kern w:val="2"/>
          <w:sz w:val="21"/>
          <w:szCs w:val="21"/>
          <w:u w:val="single"/>
          <w:lang w:eastAsia="zh-CN"/>
        </w:rPr>
        <w:t xml:space="preserve">                  </w:t>
      </w:r>
    </w:p>
    <w:p>
      <w:pPr>
        <w:widowControl w:val="0"/>
        <w:adjustRightInd w:val="0"/>
        <w:snapToGrid w:val="0"/>
        <w:spacing w:after="160" w:line="400" w:lineRule="exact"/>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after="16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after="16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after="16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after="16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after="160" w:line="400" w:lineRule="exact"/>
        <w:ind w:firstLine="840" w:firstLineChars="4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after="16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after="160" w:line="400" w:lineRule="exact"/>
        <w:ind w:firstLine="840" w:firstLineChars="4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 xml:space="preserve">（计划于何时验收/供应商提出验收申请之日起   日内组织验收） </w:t>
      </w:r>
    </w:p>
    <w:p>
      <w:pPr>
        <w:widowControl w:val="0"/>
        <w:adjustRightInd w:val="0"/>
        <w:snapToGrid w:val="0"/>
        <w:spacing w:after="16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after="160" w:line="400" w:lineRule="exact"/>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u w:val="single"/>
          <w:lang w:eastAsia="zh-CN"/>
        </w:rPr>
        <w:t xml:space="preserve"> （应明确分期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after="16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after="160" w:line="400" w:lineRule="exact"/>
        <w:ind w:firstLine="420" w:firstLineChars="200"/>
        <w:jc w:val="both"/>
        <w:rPr>
          <w:rFonts w:ascii="宋体" w:eastAsia="宋体" w:hAnsi="宋体" w:cs="宋体"/>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pPr>
        <w:widowControl w:val="0"/>
        <w:numPr>
          <w:ilvl w:val="0"/>
          <w:numId w:val="3"/>
        </w:numPr>
        <w:adjustRightInd w:val="0"/>
        <w:snapToGrid w:val="0"/>
        <w:spacing w:after="16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（1）采购合同协议书及其变更、补充协议</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（2）采购合同专用条款</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（3）采购合同通用条款</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（4）中标（成交）通知书</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（5）投标（响应）文件</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3"/>
        </w:numPr>
        <w:adjustRightInd w:val="0"/>
        <w:snapToGrid w:val="0"/>
        <w:spacing w:after="16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3"/>
        </w:numPr>
        <w:adjustRightInd w:val="0"/>
        <w:snapToGrid w:val="0"/>
        <w:spacing w:after="16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份，甲方执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份，乙方执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after="16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after="16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附件：具体标的及其技术要求和商务要求、联合协议、分包意向协议等。</w:t>
      </w:r>
    </w:p>
    <w:p>
      <w:pPr>
        <w:widowControl w:val="0"/>
        <w:spacing w:after="160" w:line="259" w:lineRule="auto"/>
        <w:jc w:val="both"/>
        <w:rPr>
          <w:rFonts w:eastAsia="宋体"/>
          <w:kern w:val="2"/>
          <w:sz w:val="21"/>
          <w:lang w:eastAsia="zh-CN"/>
        </w:rPr>
      </w:pPr>
      <w:r>
        <w:rPr>
          <w:rFonts w:eastAsia="宋体" w:hint="eastAsia"/>
          <w:kern w:val="2"/>
          <w:sz w:val="21"/>
          <w:lang w:eastAsia="zh-CN"/>
        </w:rPr>
        <w:br w:type="page"/>
      </w:r>
    </w:p>
    <w:p>
      <w:pPr>
        <w:widowControl w:val="0"/>
        <w:spacing w:after="160" w:line="259" w:lineRule="auto"/>
        <w:ind w:firstLine="420" w:firstLineChars="200"/>
        <w:jc w:val="both"/>
        <w:rPr>
          <w:rFonts w:eastAsia="宋体"/>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after="160"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after="160"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住  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住  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after="160"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after="160"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160" w:line="360" w:lineRule="auto"/>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after="16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65" w:name="_Toc27624"/>
      <w:r>
        <w:rPr>
          <w:rFonts w:ascii="黑体" w:eastAsia="黑体" w:hAnsi="黑体" w:hint="eastAsia"/>
          <w:kern w:val="2"/>
          <w:sz w:val="28"/>
          <w:szCs w:val="28"/>
          <w:lang w:eastAsia="zh-CN"/>
        </w:rPr>
        <w:t>第二节 采购合同通用条款</w:t>
      </w:r>
      <w:bookmarkEnd w:id="65"/>
    </w:p>
    <w:p>
      <w:pPr>
        <w:widowControl w:val="0"/>
        <w:tabs>
          <w:tab w:val="left" w:pos="8820"/>
          <w:tab w:val="left" w:pos="9345"/>
          <w:tab w:val="left" w:pos="9765"/>
        </w:tabs>
        <w:adjustRightInd w:val="0"/>
        <w:snapToGrid w:val="0"/>
        <w:spacing w:after="160" w:line="400" w:lineRule="exact"/>
        <w:jc w:val="left"/>
        <w:rPr>
          <w:rFonts w:ascii="宋体" w:eastAsia="宋体" w:hAnsi="宋体"/>
          <w:b/>
          <w:bCs/>
          <w:kern w:val="2"/>
          <w:lang w:eastAsia="zh-CN"/>
        </w:rPr>
      </w:pPr>
      <w:r>
        <w:rPr>
          <w:rFonts w:ascii="宋体" w:eastAsia="宋体" w:hAnsi="宋体" w:hint="eastAsia"/>
          <w:b/>
          <w:kern w:val="2"/>
          <w:lang w:eastAsia="zh-CN"/>
        </w:rPr>
        <w:t xml:space="preserve">1. </w:t>
      </w:r>
      <w:r>
        <w:rPr>
          <w:rFonts w:ascii="宋体" w:eastAsia="宋体" w:hAnsi="宋体" w:hint="eastAsia"/>
          <w:b/>
          <w:bCs/>
          <w:kern w:val="2"/>
          <w:lang w:eastAsia="zh-CN"/>
        </w:rPr>
        <w:t>定义</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（1）采购人（以下称甲方）是指使用财政性资金，通过采购方式向供应商购买货物及其相关服务的国家机关、事业单位、团体组织。</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（2）供应商（以下称乙方）是指参加采购活动并且中标（成交），向采购人提供合同约定的货物及其相关服务的法人、非法人组织或者自然人。</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采购合同协议书及其变更、补充协议，采购合同专用条款，采购合同通用条款，中标（成交）通知书，投标（响应）文件，采购文件，有关技术文件和图纸，以及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kern w:val="2"/>
          <w:sz w:val="21"/>
          <w:szCs w:val="21"/>
          <w:lang w:eastAsia="zh-CN"/>
        </w:rPr>
        <w:t>（3）“货物”系指乙方根据本合同规定须向甲方提供的各种形态和种类的物品，包括原材料、设备、产品（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技术资料和材料等。</w:t>
      </w:r>
    </w:p>
    <w:p>
      <w:pPr>
        <w:widowControl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服务”系指根据合同规定，乙方应提供的与货物有关的技术、管理和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kern w:val="2"/>
          <w:sz w:val="21"/>
          <w:szCs w:val="21"/>
          <w:lang w:eastAsia="zh-CN"/>
        </w:rPr>
        <w:t>“联合体”系指由两个以上的自然人、法人或者非法人组织组成，以一个供应商的身份共同参加采购的主体</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hint="eastAsia"/>
          <w:b/>
          <w:bCs/>
          <w:color w:val="000000"/>
          <w:kern w:val="2"/>
          <w:sz w:val="21"/>
          <w:szCs w:val="21"/>
          <w:lang w:eastAsia="zh-CN"/>
        </w:rPr>
        <w:t>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（7）其他术语解释，见【</w:t>
      </w:r>
      <w:r>
        <w:rPr>
          <w:rFonts w:ascii="宋体" w:eastAsia="宋体" w:hAnsi="宋体" w:hint="eastAsia"/>
          <w:b/>
          <w:bCs/>
          <w:color w:val="000000"/>
          <w:kern w:val="2"/>
          <w:sz w:val="21"/>
          <w:szCs w:val="21"/>
          <w:lang w:eastAsia="zh-CN"/>
        </w:rPr>
        <w:t>采购合同专用条款</w:t>
      </w:r>
      <w:r>
        <w:rPr>
          <w:rFonts w:ascii="宋体" w:eastAsia="宋体" w:hAnsi="宋体" w:hint="eastAsia"/>
          <w:color w:val="000000"/>
          <w:kern w:val="2"/>
          <w:sz w:val="21"/>
          <w:szCs w:val="21"/>
          <w:lang w:eastAsia="zh-CN"/>
        </w:rPr>
        <w:t>】。</w:t>
      </w:r>
    </w:p>
    <w:p>
      <w:pPr>
        <w:widowControl w:val="0"/>
        <w:numPr>
          <w:ilvl w:val="0"/>
          <w:numId w:val="6"/>
        </w:numPr>
        <w:autoSpaceDE w:val="0"/>
        <w:autoSpaceDN w:val="0"/>
        <w:adjustRightInd w:val="0"/>
        <w:snapToGrid w:val="0"/>
        <w:spacing w:after="16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after="16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after="16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 履行合同的时间、地点和方式</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pPr>
        <w:widowControl w:val="0"/>
        <w:autoSpaceDE w:val="0"/>
        <w:autoSpaceDN w:val="0"/>
        <w:adjustRightInd w:val="0"/>
        <w:snapToGrid w:val="0"/>
        <w:spacing w:after="16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 甲方的权利和义务</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4.2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after="160" w:line="400" w:lineRule="exact"/>
        <w:ind w:firstLine="420" w:firstLineChars="200"/>
        <w:jc w:val="both"/>
        <w:rPr>
          <w:rFonts w:eastAsia="华文楷体"/>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 xml:space="preserve">5 </w:t>
      </w:r>
      <w:r>
        <w:rPr>
          <w:rFonts w:ascii="宋体" w:eastAsia="宋体" w:hAnsi="宋体" w:hint="eastAsia"/>
          <w:color w:val="000000"/>
          <w:kern w:val="2"/>
          <w:sz w:val="21"/>
          <w:szCs w:val="21"/>
          <w:lang w:eastAsia="zh-CN"/>
        </w:rPr>
        <w:t>甲方应当根据合同约定及时向乙方支付合同价款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【采购合同专用条款】</w:t>
      </w:r>
      <w:r>
        <w:rPr>
          <w:rFonts w:ascii="宋体" w:eastAsia="宋体" w:hAnsi="宋体" w:hint="eastAsia"/>
          <w:color w:val="000000"/>
          <w:kern w:val="2"/>
          <w:sz w:val="21"/>
          <w:szCs w:val="21"/>
          <w:lang w:eastAsia="zh-CN"/>
        </w:rPr>
        <w:t>约定应由甲方承担的其他义务和责任。</w:t>
      </w:r>
    </w:p>
    <w:p>
      <w:pPr>
        <w:widowControl w:val="0"/>
        <w:autoSpaceDE w:val="0"/>
        <w:autoSpaceDN w:val="0"/>
        <w:adjustRightInd w:val="0"/>
        <w:snapToGrid w:val="0"/>
        <w:spacing w:after="16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 乙方的权利和义务</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5.1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提供的货物及相关服务符合合同有关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。接受项目行业管理部门及政府有关部门的指导，配合甲方的履约检查及验收，并</w:t>
      </w:r>
      <w:r>
        <w:rPr>
          <w:rFonts w:ascii="宋体" w:eastAsia="宋体" w:hAnsi="宋体"/>
          <w:color w:val="000000"/>
          <w:kern w:val="2"/>
          <w:sz w:val="21"/>
          <w:szCs w:val="21"/>
          <w:lang w:eastAsia="zh-CN"/>
        </w:rPr>
        <w:t>负责项目实施过程中的所有协调工作。</w:t>
      </w:r>
    </w:p>
    <w:p>
      <w:pPr>
        <w:widowControl w:val="0"/>
        <w:spacing w:after="16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16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7"/>
        </w:numPr>
        <w:autoSpaceDE w:val="0"/>
        <w:autoSpaceDN w:val="0"/>
        <w:adjustRightInd w:val="0"/>
        <w:snapToGrid w:val="0"/>
        <w:spacing w:after="16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合同履行</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after="16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after="16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 货物包装、运输、保险和交付要求</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7.1 本合同</w:t>
      </w:r>
      <w:r>
        <w:rPr>
          <w:rFonts w:ascii="宋体" w:eastAsia="宋体" w:hAnsi="宋体" w:hint="eastAsia"/>
          <w:bCs/>
          <w:color w:val="000000"/>
          <w:kern w:val="2"/>
          <w:sz w:val="21"/>
          <w:szCs w:val="21"/>
          <w:lang w:eastAsia="zh-CN"/>
        </w:rPr>
        <w:t>涉及商品包装、快递包装的，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另有约定外，</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7.2 除</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另有约定外，</w:t>
      </w:r>
      <w:r>
        <w:rPr>
          <w:rFonts w:ascii="宋体" w:eastAsia="宋体" w:hAnsi="宋体" w:hint="eastAsia"/>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7.3 货物保险要求按</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after="160"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after="160" w:line="400" w:lineRule="exact"/>
        <w:jc w:val="left"/>
        <w:rPr>
          <w:rFonts w:ascii="宋体" w:eastAsia="宋体" w:hAnsi="宋体"/>
          <w:b/>
          <w:kern w:val="2"/>
          <w:lang w:eastAsia="zh-CN"/>
        </w:rPr>
      </w:pPr>
      <w:r>
        <w:rPr>
          <w:rFonts w:ascii="宋体" w:eastAsia="宋体" w:hAnsi="宋体" w:hint="eastAsia"/>
          <w:b/>
          <w:color w:val="000000"/>
          <w:kern w:val="2"/>
          <w:lang w:eastAsia="zh-CN"/>
        </w:rPr>
        <w:t xml:space="preserve">8. </w:t>
      </w:r>
      <w:r>
        <w:rPr>
          <w:rFonts w:ascii="宋体" w:eastAsia="宋体" w:hAnsi="宋体" w:hint="eastAsia"/>
          <w:b/>
          <w:kern w:val="2"/>
          <w:lang w:eastAsia="zh-CN"/>
        </w:rPr>
        <w:t>质量标准和保证</w:t>
      </w:r>
    </w:p>
    <w:p>
      <w:pPr>
        <w:widowControl w:val="0"/>
        <w:adjustRightInd w:val="0"/>
        <w:snapToGrid w:val="0"/>
        <w:spacing w:after="16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after="16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（3）乙方所提供的货物应符合国家有关安全、环保、卫生的规定。</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8.2 保证</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hint="eastAsia"/>
          <w:kern w:val="2"/>
          <w:sz w:val="21"/>
          <w:szCs w:val="21"/>
          <w:lang w:eastAsia="zh-CN"/>
        </w:rPr>
        <w:t>。存在质量保证期的，货物最终交付验收合格后在</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（3）乙方收到通知后，应在</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after="16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9.1 乙方保证对其出售的货物享有合法的权利。</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after="16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after="16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10. 知识产权保护</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10.1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66"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66"/>
      <w:r>
        <w:rPr>
          <w:rFonts w:ascii="宋体" w:eastAsia="宋体" w:hAnsi="宋体" w:hint="eastAsia"/>
          <w:kern w:val="2"/>
          <w:sz w:val="21"/>
          <w:szCs w:val="21"/>
          <w:lang w:eastAsia="zh-CN"/>
        </w:rPr>
        <w:t>。</w:t>
      </w:r>
    </w:p>
    <w:p>
      <w:pPr>
        <w:widowControl w:val="0"/>
        <w:autoSpaceDE w:val="0"/>
        <w:autoSpaceDN w:val="0"/>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kern w:val="2"/>
          <w:lang w:eastAsia="zh-CN"/>
        </w:rPr>
        <w:t>11. 保密义务</w:t>
      </w:r>
    </w:p>
    <w:p>
      <w:pPr>
        <w:widowControl w:val="0"/>
        <w:autoSpaceDE w:val="0"/>
        <w:autoSpaceDN w:val="0"/>
        <w:adjustRightInd w:val="0"/>
        <w:snapToGrid w:val="0"/>
        <w:spacing w:after="160" w:line="400" w:lineRule="exact"/>
        <w:ind w:firstLine="420" w:firstLineChars="200"/>
        <w:jc w:val="left"/>
        <w:rPr>
          <w:rFonts w:ascii="宋体" w:eastAsia="宋体" w:hAnsi="宋体" w:cs="宋体"/>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kern w:val="2"/>
          <w:lang w:eastAsia="zh-CN"/>
        </w:rPr>
        <w:t>12. 合同价款支付</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12.1 合同价款支付按照国库集中支付制度及财政管理相关规定执行。</w:t>
      </w:r>
    </w:p>
    <w:p>
      <w:pPr>
        <w:widowControl w:val="0"/>
        <w:autoSpaceDE w:val="0"/>
        <w:autoSpaceDN w:val="0"/>
        <w:adjustRightInd w:val="0"/>
        <w:snapToGrid w:val="0"/>
        <w:spacing w:after="160" w:line="400" w:lineRule="exact"/>
        <w:ind w:firstLine="420" w:firstLineChars="200"/>
        <w:jc w:val="left"/>
        <w:rPr>
          <w:rFonts w:ascii="Arial" w:eastAsia="宋体" w:hAnsi="Arial"/>
          <w:b/>
          <w:bCs/>
          <w:kern w:val="2"/>
          <w:szCs w:val="32"/>
          <w:lang w:eastAsia="zh-CN"/>
        </w:rPr>
      </w:pPr>
      <w:r>
        <w:rPr>
          <w:rFonts w:ascii="宋体" w:eastAsia="宋体" w:hAnsi="宋体" w:hint="eastAsia"/>
          <w:kern w:val="2"/>
          <w:sz w:val="21"/>
          <w:szCs w:val="21"/>
          <w:lang w:eastAsia="zh-CN"/>
        </w:rPr>
        <w:t>12.2 对于满足合同约定支付条件的，甲方原则上应当自收到发票后10个工作日内将资金</w:t>
      </w:r>
      <w:r>
        <w:rPr>
          <w:rFonts w:ascii="宋体" w:eastAsia="宋体" w:hAnsi="宋体" w:cs="宋体" w:hint="eastAsia"/>
          <w:kern w:val="2"/>
          <w:sz w:val="21"/>
          <w:szCs w:val="15"/>
          <w:lang w:eastAsia="zh-CN"/>
        </w:rPr>
        <w:t>支付</w:t>
      </w:r>
      <w:r>
        <w:rPr>
          <w:rFonts w:ascii="宋体" w:eastAsia="宋体" w:hAnsi="宋体" w:hint="eastAsia"/>
          <w:kern w:val="2"/>
          <w:sz w:val="21"/>
          <w:szCs w:val="21"/>
          <w:lang w:eastAsia="zh-CN"/>
        </w:rPr>
        <w:t>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】中约定。</w:t>
      </w:r>
    </w:p>
    <w:p>
      <w:pPr>
        <w:widowControl w:val="0"/>
        <w:spacing w:after="16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13.2 如果乙方出现</w:t>
      </w:r>
      <w:r>
        <w:rPr>
          <w:rFonts w:ascii="宋体" w:eastAsia="宋体" w:hAnsi="宋体" w:cs="宋体" w:hint="eastAsia"/>
          <w:b/>
          <w:bCs/>
          <w:kern w:val="2"/>
          <w:sz w:val="21"/>
          <w:szCs w:val="15"/>
          <w:lang w:eastAsia="zh-CN"/>
        </w:rPr>
        <w:t>【采购合同专用条款】</w:t>
      </w:r>
      <w:r>
        <w:rPr>
          <w:rFonts w:ascii="宋体" w:eastAsia="宋体" w:hAnsi="宋体" w:cs="宋体" w:hint="eastAsia"/>
          <w:kern w:val="2"/>
          <w:sz w:val="21"/>
          <w:szCs w:val="15"/>
          <w:lang w:eastAsia="zh-CN"/>
        </w:rPr>
        <w:t>约定情形的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after="160" w:line="400" w:lineRule="exact"/>
        <w:ind w:firstLine="420"/>
        <w:jc w:val="both"/>
        <w:rPr>
          <w:rFonts w:eastAsia="宋体"/>
          <w:kern w:val="2"/>
          <w:sz w:val="21"/>
          <w:lang w:eastAsia="zh-CN"/>
        </w:rPr>
      </w:pPr>
      <w:r>
        <w:rPr>
          <w:rFonts w:ascii="宋体" w:eastAsia="宋体" w:hAnsi="宋体" w:hint="eastAsia"/>
          <w:kern w:val="2"/>
          <w:sz w:val="21"/>
          <w:szCs w:val="21"/>
          <w:lang w:eastAsia="zh-CN"/>
        </w:rPr>
        <w:t>13.3 甲方在项目通过验收后按照</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after="160" w:line="400" w:lineRule="exact"/>
        <w:jc w:val="left"/>
        <w:rPr>
          <w:rFonts w:ascii="宋体" w:eastAsia="宋体" w:hAnsi="宋体"/>
          <w:b/>
          <w:kern w:val="2"/>
          <w:lang w:eastAsia="zh-CN"/>
        </w:rPr>
      </w:pPr>
      <w:r>
        <w:rPr>
          <w:rFonts w:ascii="宋体" w:eastAsia="宋体" w:hAnsi="宋体" w:hint="eastAsia"/>
          <w:b/>
          <w:bCs/>
          <w:kern w:val="2"/>
          <w:lang w:eastAsia="zh-CN"/>
        </w:rPr>
        <w:t xml:space="preserve">14.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【采购合同专用条款】</w:t>
      </w:r>
      <w:r>
        <w:rPr>
          <w:rFonts w:ascii="宋体" w:eastAsia="宋体" w:hAnsi="宋体" w:hint="eastAsia"/>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14.2 乙方提供的售后服务的费用已包含在合同价款中，甲方不再另行支付。</w:t>
      </w:r>
    </w:p>
    <w:p>
      <w:pPr>
        <w:widowControl w:val="0"/>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kern w:val="2"/>
          <w:lang w:eastAsia="zh-CN"/>
        </w:rPr>
        <w:t>15. 违约责任</w:t>
      </w:r>
    </w:p>
    <w:p>
      <w:pPr>
        <w:widowControl w:val="0"/>
        <w:adjustRightInd w:val="0"/>
        <w:snapToGrid w:val="0"/>
        <w:spacing w:after="16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15.1质量瑕疵的违约责任</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乙方提供的产品不符合合同约定的质量标准或存在产品质量缺陷，甲方有权要求乙方根据</w:t>
      </w:r>
      <w:r>
        <w:rPr>
          <w:rFonts w:ascii="宋体" w:eastAsia="宋体" w:hAnsi="宋体" w:hint="eastAsia"/>
          <w:b/>
          <w:kern w:val="2"/>
          <w:sz w:val="21"/>
          <w:szCs w:val="21"/>
          <w:lang w:eastAsia="zh-CN"/>
        </w:rPr>
        <w:t>【采购合同专用条款】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及时修理、重作、更换，并承担由此给甲方造成的损失。</w:t>
      </w:r>
    </w:p>
    <w:p>
      <w:pPr>
        <w:widowControl w:val="0"/>
        <w:autoSpaceDE w:val="0"/>
        <w:autoSpaceDN w:val="0"/>
        <w:adjustRightInd w:val="0"/>
        <w:snapToGrid w:val="0"/>
        <w:spacing w:after="16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15.2 迟延交货的违约责任</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15.3 迟延支付的违约责任</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规定的逾期付款利息。</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15.4其他违约责任根据项目实际需要按</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规定执行。</w:t>
      </w:r>
    </w:p>
    <w:p>
      <w:pPr>
        <w:widowControl w:val="0"/>
        <w:numPr>
          <w:ilvl w:val="0"/>
          <w:numId w:val="8"/>
        </w:numPr>
        <w:autoSpaceDE w:val="0"/>
        <w:autoSpaceDN w:val="0"/>
        <w:adjustRightInd w:val="0"/>
        <w:snapToGrid w:val="0"/>
        <w:spacing w:after="160" w:line="400" w:lineRule="exact"/>
        <w:jc w:val="left"/>
        <w:rPr>
          <w:rFonts w:ascii="宋体" w:eastAsia="宋体" w:hAnsi="宋体"/>
          <w:b/>
          <w:kern w:val="2"/>
          <w:lang w:eastAsia="zh-CN"/>
        </w:rPr>
      </w:pPr>
      <w:r>
        <w:rPr>
          <w:rFonts w:ascii="宋体" w:eastAsia="宋体" w:hAnsi="宋体" w:hint="eastAsia"/>
          <w:b/>
          <w:kern w:val="2"/>
          <w:lang w:eastAsia="zh-CN"/>
        </w:rPr>
        <w:t>合同变更、中止与终止</w:t>
      </w:r>
    </w:p>
    <w:p>
      <w:pPr>
        <w:widowControl w:val="0"/>
        <w:adjustRightInd w:val="0"/>
        <w:snapToGrid w:val="0"/>
        <w:spacing w:after="160" w:line="40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    16.1合同的变更</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采购合同履行中，在不改变合同其他条款的前提下，甲方可以在合同价款10%的范围内追加与合同标的相同的货物，并就此与乙方协商一致后签订补充协议。</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16.2合同的中止</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after="160"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after="16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（4）甲方不得以行政区划调整、政府换届、机构或者职能调整以及相关责任人更替为由中止合同。</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16.3合同的终止</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hint="eastAsia"/>
          <w:kern w:val="2"/>
          <w:sz w:val="21"/>
          <w:szCs w:val="21"/>
          <w:lang w:eastAsia="zh-CN"/>
        </w:rPr>
        <w:t>。</w:t>
      </w:r>
    </w:p>
    <w:p>
      <w:pPr>
        <w:widowControl w:val="0"/>
        <w:autoSpaceDE w:val="0"/>
        <w:autoSpaceDN w:val="0"/>
        <w:adjustRightInd w:val="0"/>
        <w:spacing w:after="160" w:line="400" w:lineRule="exact"/>
        <w:ind w:firstLine="440" w:firstLineChars="200"/>
        <w:jc w:val="both"/>
        <w:rPr>
          <w:rFonts w:ascii="宋体" w:eastAsia="华文楷体" w:hAnsi="宋体" w:cs="华文楷体"/>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after="160"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kern w:val="2"/>
          <w:lang w:eastAsia="zh-CN"/>
        </w:rPr>
        <w:t>17. 合同分包</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17.2 乙方执行采购政策向中小企业依法分包的，乙方应当按采购文件和投标（响应）文件签订分包意向协议，分包意向协议属于本合同组成部分。</w:t>
      </w:r>
    </w:p>
    <w:p>
      <w:pPr>
        <w:widowControl w:val="0"/>
        <w:autoSpaceDE w:val="0"/>
        <w:autoSpaceDN w:val="0"/>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kern w:val="2"/>
          <w:lang w:eastAsia="zh-CN"/>
        </w:rPr>
        <w:t>18. 不可抗力</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18.1 不可抗力是指合同双方不能预见、不能避免且不能克服的客观情况。</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kern w:val="2"/>
          <w:lang w:eastAsia="zh-CN"/>
        </w:rPr>
        <w:t>19. 解决争议的方法</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after="160" w:line="400" w:lineRule="exact"/>
        <w:jc w:val="left"/>
        <w:rPr>
          <w:rFonts w:ascii="宋体" w:eastAsia="宋体" w:hAnsi="宋体"/>
          <w:kern w:val="2"/>
          <w:lang w:eastAsia="zh-CN"/>
        </w:rPr>
      </w:pPr>
      <w:r>
        <w:rPr>
          <w:rFonts w:ascii="宋体" w:eastAsia="宋体" w:hAnsi="宋体" w:hint="eastAsia"/>
          <w:b/>
          <w:kern w:val="2"/>
          <w:lang w:eastAsia="zh-CN"/>
        </w:rPr>
        <w:t>20. 采购政策</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16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after="160" w:line="400" w:lineRule="exact"/>
        <w:jc w:val="left"/>
        <w:rPr>
          <w:rFonts w:ascii="宋体" w:eastAsia="宋体" w:hAnsi="宋体"/>
          <w:b/>
          <w:kern w:val="2"/>
          <w:lang w:eastAsia="zh-CN"/>
        </w:rPr>
      </w:pPr>
      <w:r>
        <w:rPr>
          <w:rFonts w:ascii="宋体" w:eastAsia="宋体" w:hAnsi="宋体" w:hint="eastAsia"/>
          <w:b/>
          <w:kern w:val="2"/>
          <w:lang w:eastAsia="zh-CN"/>
        </w:rPr>
        <w:t>21. 法律适用</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after="160" w:line="400" w:lineRule="exact"/>
        <w:ind w:left="0" w:firstLine="0"/>
        <w:jc w:val="left"/>
        <w:rPr>
          <w:rFonts w:ascii="宋体" w:eastAsia="宋体" w:hAnsi="宋体"/>
          <w:b/>
          <w:kern w:val="2"/>
          <w:lang w:eastAsia="zh-CN"/>
        </w:rPr>
      </w:pPr>
      <w:r>
        <w:rPr>
          <w:rFonts w:ascii="宋体" w:eastAsia="宋体" w:hAnsi="宋体" w:hint="eastAsia"/>
          <w:b/>
          <w:kern w:val="2"/>
          <w:lang w:eastAsia="zh-CN"/>
        </w:rPr>
        <w:t>22. 通知</w:t>
      </w:r>
    </w:p>
    <w:p>
      <w:pPr>
        <w:widowControl w:val="0"/>
        <w:autoSpaceDE w:val="0"/>
        <w:autoSpaceDN w:val="0"/>
        <w:adjustRightInd w:val="0"/>
        <w:spacing w:after="160"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本合同任何一方向对方发出的通知、信件、数据电文等，应当发送至本合同第一部分《采购合同协议书》所约定的通讯地址、联系人、联系电话或电子邮箱。</w:t>
      </w:r>
    </w:p>
    <w:p>
      <w:pPr>
        <w:widowControl w:val="0"/>
        <w:autoSpaceDE w:val="0"/>
        <w:autoSpaceDN w:val="0"/>
        <w:adjustRightInd w:val="0"/>
        <w:spacing w:after="160" w:line="400" w:lineRule="exact"/>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after="16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22.4通知以送达之日或通知书中规定的生效之日起生效，两者中以较迟之日为准。</w:t>
      </w:r>
    </w:p>
    <w:p>
      <w:pPr>
        <w:widowControl w:val="0"/>
        <w:numPr>
          <w:ilvl w:val="0"/>
          <w:numId w:val="9"/>
        </w:numPr>
        <w:adjustRightInd w:val="0"/>
        <w:snapToGrid w:val="0"/>
        <w:spacing w:after="16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after="16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23.1合同未尽事项见</w:t>
      </w:r>
      <w:r>
        <w:rPr>
          <w:rFonts w:ascii="宋体" w:eastAsia="宋体" w:hAnsi="宋体" w:hint="eastAsia"/>
          <w:b/>
          <w:kern w:val="2"/>
          <w:sz w:val="21"/>
          <w:szCs w:val="21"/>
          <w:lang w:eastAsia="zh-CN"/>
        </w:rPr>
        <w:t>【采购合同专用条款】</w:t>
      </w:r>
      <w:r>
        <w:rPr>
          <w:rFonts w:ascii="宋体" w:eastAsia="宋体" w:hAnsi="宋体" w:hint="eastAsia"/>
          <w:bCs/>
          <w:kern w:val="2"/>
          <w:sz w:val="21"/>
          <w:szCs w:val="21"/>
          <w:lang w:eastAsia="zh-CN"/>
        </w:rPr>
        <w:t>。</w:t>
      </w:r>
    </w:p>
    <w:p>
      <w:pPr>
        <w:widowControl w:val="0"/>
        <w:adjustRightInd w:val="0"/>
        <w:snapToGrid w:val="0"/>
        <w:spacing w:after="160" w:line="400" w:lineRule="exact"/>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67" w:name="_Toc20313"/>
    </w:p>
    <w:p>
      <w:pPr>
        <w:widowControl w:val="0"/>
        <w:adjustRightInd w:val="0"/>
        <w:snapToGrid w:val="0"/>
        <w:spacing w:after="160" w:line="259" w:lineRule="auto"/>
        <w:jc w:val="center"/>
        <w:rPr>
          <w:rFonts w:ascii="黑体" w:eastAsia="黑体" w:hAnsi="华文中宋"/>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after="160"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采购合同专用条款</w:t>
      </w:r>
      <w:bookmarkEnd w:id="67"/>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第1.2（6）项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第1.2（7）项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第4.4款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第4.6款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snapToGrid w:val="0"/>
              <w:spacing w:after="160" w:line="259" w:lineRule="auto"/>
              <w:jc w:val="center"/>
              <w:rPr>
                <w:rFonts w:eastAsia="宋体"/>
                <w:kern w:val="2"/>
                <w:sz w:val="21"/>
                <w:lang w:eastAsia="zh-CN"/>
              </w:rPr>
            </w:pPr>
            <w:r>
              <w:rPr>
                <w:rFonts w:ascii="宋体" w:eastAsia="宋体" w:hAnsi="宋体" w:hint="eastAsia"/>
                <w:kern w:val="2"/>
                <w:sz w:val="21"/>
                <w:szCs w:val="21"/>
                <w:lang w:eastAsia="zh-CN"/>
              </w:rPr>
              <w:t>第5.4款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第6.1款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第7.1款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包装特殊要求</w:t>
            </w:r>
          </w:p>
        </w:tc>
        <w:tc>
          <w:tcPr>
            <w:tcW w:w="5170" w:type="dxa"/>
            <w:vAlign w:val="center"/>
          </w:tcPr>
          <w:p>
            <w:pPr>
              <w:widowControl w:val="0"/>
              <w:spacing w:after="160" w:line="259" w:lineRule="auto"/>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spacing w:after="160" w:line="259" w:lineRule="auto"/>
              <w:jc w:val="center"/>
              <w:rPr>
                <w:rFonts w:ascii="宋体" w:eastAsia="宋体" w:hAnsi="宋体"/>
                <w:kern w:val="2"/>
                <w:sz w:val="21"/>
                <w:szCs w:val="21"/>
                <w:lang w:eastAsia="zh-CN"/>
              </w:rPr>
            </w:pP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spacing w:after="160" w:line="259" w:lineRule="auto"/>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第7.2款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spacing w:after="160" w:line="259" w:lineRule="auto"/>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第7.3款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spacing w:after="160" w:line="259" w:lineRule="auto"/>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第8.2（1）项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spacing w:after="160" w:line="259" w:lineRule="auto"/>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第8.2（3）项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spacing w:after="160" w:line="259"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after="160" w:line="400" w:lineRule="exact"/>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spacing w:after="160" w:line="259"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第12.2款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合同价款支付时间</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第13.2款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第13.3款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履约保证金退还时间及逾期退还的违约金</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第14.1（3）项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第14.1（5）项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第14.1（6）项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第15.1款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第15.2（2）项</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第15.3款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spacing w:after="160" w:line="259" w:lineRule="auto"/>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after="160" w:line="400" w:lineRule="exact"/>
              <w:jc w:val="lef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after="160" w:line="400" w:lineRule="exact"/>
              <w:jc w:val="lef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spacing w:after="160" w:line="259" w:lineRule="auto"/>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spacing w:after="160" w:line="259"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第23.1款</w:t>
            </w:r>
          </w:p>
        </w:tc>
        <w:tc>
          <w:tcPr>
            <w:tcW w:w="1742"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spacing w:after="160" w:line="259" w:lineRule="auto"/>
              <w:jc w:val="left"/>
              <w:rPr>
                <w:rFonts w:ascii="宋体" w:eastAsia="宋体" w:hAnsi="宋体"/>
                <w:kern w:val="2"/>
                <w:sz w:val="21"/>
                <w:szCs w:val="21"/>
                <w:lang w:eastAsia="zh-CN"/>
              </w:rPr>
            </w:pPr>
          </w:p>
        </w:tc>
      </w:tr>
    </w:tbl>
    <w:p>
      <w:pPr>
        <w:widowControl/>
        <w:spacing w:after="160" w:line="259" w:lineRule="auto"/>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bookmarkStart w:id="68" w:name="_Hlk72399513"/>
      <w:bookmarkStart w:id="69" w:name="_Hlk72439706"/>
      <w:r>
        <w:rPr>
          <w:rFonts w:ascii="Cambria" w:eastAsia="宋体" w:hAnsi="Cambria" w:cstheme="majorBidi" w:hint="eastAsia"/>
          <w:b/>
          <w:bCs/>
          <w:kern w:val="2"/>
          <w:sz w:val="28"/>
          <w:szCs w:val="28"/>
          <w:lang w:eastAsia="zh-CN"/>
        </w:rPr>
        <w:t>总则</w:t>
      </w:r>
    </w:p>
    <w:bookmarkEnd w:id="68"/>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 通用条款说明</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70" w:name="_Hlk72399729"/>
      <w:r>
        <w:rPr>
          <w:rFonts w:ascii="宋体" w:eastAsia="宋体" w:hAnsi="宋体" w:hint="eastAsia"/>
          <w:kern w:val="2"/>
          <w:sz w:val="21"/>
          <w:szCs w:val="21"/>
          <w:lang w:eastAsia="zh-CN"/>
        </w:rPr>
        <w:t>如有需要，政府集中采购机构可以对通用条款的内容进行补充。</w:t>
      </w:r>
      <w:bookmarkEnd w:id="70"/>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spacing w:after="160" w:line="259" w:lineRule="auto"/>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3．定义</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 xml:space="preserve">4. </w:t>
      </w:r>
      <w:bookmarkStart w:id="71" w:name="_Hlk72398643"/>
      <w:r>
        <w:rPr>
          <w:rFonts w:ascii="黑体" w:eastAsia="黑体" w:hAnsi="宋体" w:hint="eastAsia"/>
          <w:kern w:val="2"/>
          <w:sz w:val="21"/>
          <w:szCs w:val="21"/>
          <w:lang w:eastAsia="zh-CN"/>
        </w:rPr>
        <w:t>自行采购供应商责任</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5．投标人参加自行采购的条件</w:t>
      </w:r>
    </w:p>
    <w:p>
      <w:pPr>
        <w:widowControl w:val="0"/>
        <w:spacing w:after="160" w:line="259" w:lineRule="auto"/>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6．政策导向</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spacing w:after="160" w:line="259" w:lineRule="auto"/>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72"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2"/>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8．投标费用</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9．踏勘现场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spacing w:after="160" w:line="259" w:lineRule="auto"/>
        <w:ind w:firstLine="420" w:firstLineChars="200"/>
        <w:jc w:val="both"/>
        <w:rPr>
          <w:rFonts w:ascii="宋体" w:eastAsia="宋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71"/>
    <w:p>
      <w:pPr>
        <w:widowControl w:val="0"/>
        <w:spacing w:after="160" w:line="259" w:lineRule="auto"/>
        <w:ind w:firstLine="412" w:firstLineChars="196"/>
        <w:jc w:val="both"/>
        <w:rPr>
          <w:rFonts w:ascii="宋体" w:eastAsia="宋体" w:hAnsi="宋体"/>
          <w:kern w:val="2"/>
          <w:sz w:val="21"/>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73" w:name="_Hlk72399819"/>
      <w:r>
        <w:rPr>
          <w:rFonts w:ascii="黑体" w:eastAsia="黑体" w:hAnsi="宋体" w:hint="eastAsia"/>
          <w:kern w:val="2"/>
          <w:sz w:val="21"/>
          <w:szCs w:val="21"/>
          <w:lang w:eastAsia="zh-CN"/>
        </w:rPr>
        <w:t>招标文件的编制与组成</w:t>
      </w:r>
    </w:p>
    <w:p>
      <w:pPr>
        <w:widowControl w:val="0"/>
        <w:snapToGrid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spacing w:after="160" w:line="259" w:lineRule="auto"/>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spacing w:after="160" w:line="259" w:lineRule="auto"/>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spacing w:after="160" w:line="259" w:lineRule="auto"/>
        <w:ind w:firstLine="420" w:firstLineChars="200"/>
        <w:jc w:val="both"/>
        <w:rPr>
          <w:rFonts w:ascii="宋体" w:eastAsia="宋体" w:hAnsi="宋体"/>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spacing w:after="160" w:line="259" w:lineRule="auto"/>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spacing w:after="160" w:line="259" w:lineRule="auto"/>
        <w:ind w:firstLine="420" w:firstLineChars="20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3"/>
    </w:p>
    <w:p>
      <w:pPr>
        <w:widowControl w:val="0"/>
        <w:spacing w:after="160" w:line="259" w:lineRule="auto"/>
        <w:jc w:val="both"/>
        <w:rPr>
          <w:rFonts w:ascii="宋体" w:eastAsia="宋体" w:hAnsi="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14．</w:t>
      </w:r>
      <w:bookmarkStart w:id="74" w:name="_Hlk72400236"/>
      <w:r>
        <w:rPr>
          <w:rFonts w:ascii="黑体" w:eastAsia="黑体" w:hAnsi="宋体" w:hint="eastAsia"/>
          <w:kern w:val="2"/>
          <w:sz w:val="21"/>
          <w:szCs w:val="21"/>
          <w:lang w:eastAsia="zh-CN"/>
        </w:rPr>
        <w:t>投标文件的语言及度量单位</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74"/>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15．</w:t>
      </w:r>
      <w:bookmarkStart w:id="75" w:name="_Hlk72401567"/>
      <w:r>
        <w:rPr>
          <w:rFonts w:ascii="黑体" w:eastAsia="黑体" w:hAnsi="宋体" w:hint="eastAsia"/>
          <w:kern w:val="2"/>
          <w:sz w:val="21"/>
          <w:szCs w:val="21"/>
          <w:lang w:eastAsia="zh-CN"/>
        </w:rPr>
        <w:t>投标文件的组成</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kern w:val="2"/>
          <w:sz w:val="21"/>
          <w:szCs w:val="21"/>
          <w:lang w:eastAsia="zh-CN"/>
        </w:rPr>
        <w:t>16．投标文件格式</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17．投标货币</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75"/>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18．</w:t>
      </w:r>
      <w:bookmarkStart w:id="76"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76"/>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19．</w:t>
      </w:r>
      <w:bookmarkStart w:id="77" w:name="_Hlk72402034"/>
      <w:r>
        <w:rPr>
          <w:rFonts w:ascii="黑体" w:eastAsia="黑体" w:hAnsi="宋体" w:hint="eastAsia"/>
          <w:kern w:val="2"/>
          <w:sz w:val="21"/>
          <w:szCs w:val="21"/>
          <w:lang w:eastAsia="zh-CN"/>
        </w:rPr>
        <w:t>投标文件其他证明文件的要求</w:t>
      </w:r>
    </w:p>
    <w:p>
      <w:pPr>
        <w:widowControl w:val="0"/>
        <w:spacing w:after="160" w:line="259" w:lineRule="auto"/>
        <w:ind w:firstLine="420" w:firstLineChars="200"/>
        <w:jc w:val="both"/>
        <w:rPr>
          <w:rFonts w:ascii="宋体" w:eastAsia="宋体" w:hAnsi="宋体"/>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8" w:name="_Hlk71407299"/>
    </w:p>
    <w:bookmarkEnd w:id="78"/>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20．投标有效期</w:t>
      </w:r>
    </w:p>
    <w:bookmarkEnd w:id="77"/>
    <w:p>
      <w:pPr>
        <w:widowControl w:val="0"/>
        <w:spacing w:after="160" w:line="259" w:lineRule="auto"/>
        <w:ind w:firstLine="420" w:firstLineChars="200"/>
        <w:jc w:val="both"/>
        <w:rPr>
          <w:rFonts w:ascii="宋体" w:eastAsia="宋体" w:hAnsi="宋体"/>
          <w:kern w:val="2"/>
          <w:sz w:val="21"/>
          <w:szCs w:val="21"/>
          <w:lang w:eastAsia="zh-CN"/>
        </w:rPr>
      </w:pPr>
      <w:bookmarkStart w:id="79"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79"/>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21．</w:t>
      </w:r>
      <w:bookmarkStart w:id="80" w:name="_Hlk72402325"/>
      <w:r>
        <w:rPr>
          <w:rFonts w:ascii="黑体" w:eastAsia="黑体" w:hAnsi="宋体" w:hint="eastAsia"/>
          <w:kern w:val="2"/>
          <w:sz w:val="21"/>
          <w:szCs w:val="21"/>
          <w:lang w:eastAsia="zh-CN"/>
        </w:rPr>
        <w:t xml:space="preserve">关于投标保证金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22．投标人的替代方案</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80"/>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23．</w:t>
      </w:r>
      <w:bookmarkStart w:id="81"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23.2.6投标人在编辑投标文件时，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spacing w:after="160" w:line="259" w:lineRule="auto"/>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spacing w:after="160" w:line="259" w:lineRule="auto"/>
        <w:ind w:firstLine="420" w:firstLineChars="200"/>
        <w:jc w:val="both"/>
        <w:rPr>
          <w:rFonts w:ascii="宋体" w:eastAsia="宋体" w:hAnsi="宋体"/>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81"/>
    </w:p>
    <w:p>
      <w:pPr>
        <w:widowControl w:val="0"/>
        <w:spacing w:after="160" w:line="259" w:lineRule="auto"/>
        <w:ind w:firstLine="412" w:firstLineChars="196"/>
        <w:jc w:val="both"/>
        <w:rPr>
          <w:rFonts w:ascii="宋体" w:eastAsia="宋体" w:hAnsi="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spacing w:after="160" w:line="259" w:lineRule="auto"/>
        <w:ind w:firstLine="420" w:firstLineChars="200"/>
        <w:jc w:val="both"/>
        <w:rPr>
          <w:rFonts w:ascii="黑体" w:eastAsia="黑体" w:hAnsi="宋体"/>
          <w:kern w:val="2"/>
          <w:sz w:val="21"/>
          <w:szCs w:val="21"/>
          <w:lang w:eastAsia="zh-CN"/>
        </w:rPr>
      </w:pPr>
      <w:bookmarkStart w:id="82" w:name="_Hlk72405459"/>
      <w:r>
        <w:rPr>
          <w:rFonts w:ascii="黑体" w:eastAsia="黑体" w:hAnsi="宋体" w:hint="eastAsia"/>
          <w:kern w:val="2"/>
          <w:sz w:val="21"/>
          <w:szCs w:val="21"/>
          <w:lang w:eastAsia="zh-CN"/>
        </w:rPr>
        <w:t>24．投标文件的保密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spacing w:after="160" w:line="259" w:lineRule="auto"/>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spacing w:after="160" w:line="259" w:lineRule="auto"/>
        <w:ind w:firstLine="420" w:firstLineChars="200"/>
        <w:jc w:val="both"/>
        <w:rPr>
          <w:rFonts w:ascii="黑体" w:eastAsia="黑体" w:hAnsi="宋体"/>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82"/>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26. 样品、现场演示、方案讲解</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spacing w:after="160" w:line="259" w:lineRule="auto"/>
        <w:ind w:firstLine="420" w:firstLineChars="200"/>
        <w:jc w:val="both"/>
        <w:rPr>
          <w:rFonts w:ascii="黑体" w:eastAsia="黑体" w:hAnsi="宋体"/>
          <w:kern w:val="2"/>
          <w:sz w:val="21"/>
          <w:szCs w:val="21"/>
          <w:lang w:eastAsia="zh-CN"/>
        </w:rPr>
      </w:pPr>
      <w:bookmarkStart w:id="83"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83"/>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wordWrap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28．开标</w:t>
      </w:r>
    </w:p>
    <w:p>
      <w:pPr>
        <w:widowControl w:val="0"/>
        <w:wordWrap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wordWrap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spacing w:after="160" w:line="259" w:lineRule="auto"/>
        <w:ind w:firstLine="315" w:firstLineChars="150"/>
        <w:jc w:val="both"/>
        <w:rPr>
          <w:rFonts w:ascii="宋体" w:eastAsia="宋体" w:hAnsi="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29．评审委员会组成</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spacing w:after="160" w:line="259" w:lineRule="auto"/>
        <w:ind w:firstLine="420" w:firstLineChars="200"/>
        <w:jc w:val="both"/>
        <w:rPr>
          <w:rFonts w:ascii="宋体" w:eastAsia="宋体" w:hAnsi="宋体"/>
          <w:kern w:val="2"/>
          <w:sz w:val="21"/>
          <w:szCs w:val="21"/>
          <w:lang w:eastAsia="zh-CN"/>
        </w:rPr>
      </w:pPr>
      <w:bookmarkStart w:id="84"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84"/>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30．向评审委员会提供的资料</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30.2其他评标必须的资料。</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（1）招标的目的；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（2）招标项目需求的范围和性质；</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31．独立评审</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spacing w:after="160" w:line="259" w:lineRule="auto"/>
        <w:ind w:firstLine="412" w:firstLineChars="196"/>
        <w:jc w:val="both"/>
        <w:rPr>
          <w:rFonts w:ascii="宋体" w:eastAsia="宋体" w:hAnsi="宋体"/>
          <w:bCs/>
          <w:kern w:val="2"/>
          <w:sz w:val="21"/>
          <w:szCs w:val="21"/>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32．投标文件初审</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spacing w:after="160" w:line="259" w:lineRule="auto"/>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spacing w:after="160" w:line="259" w:lineRule="auto"/>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spacing w:after="160" w:line="259" w:lineRule="auto"/>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33．澄清有关问题</w:t>
      </w:r>
    </w:p>
    <w:p>
      <w:pPr>
        <w:widowControl w:val="0"/>
        <w:spacing w:after="160" w:line="259" w:lineRule="auto"/>
        <w:ind w:firstLine="420" w:firstLineChars="200"/>
        <w:jc w:val="both"/>
        <w:rPr>
          <w:rFonts w:ascii="宋体" w:eastAsia="宋体" w:hAnsi="宋体"/>
          <w:kern w:val="2"/>
          <w:sz w:val="21"/>
          <w:szCs w:val="21"/>
          <w:lang w:eastAsia="zh-CN"/>
        </w:rPr>
      </w:pPr>
      <w:bookmarkStart w:id="85"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85"/>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spacing w:after="160" w:line="259" w:lineRule="auto"/>
        <w:ind w:firstLine="420" w:firstLineChars="200"/>
        <w:jc w:val="both"/>
        <w:rPr>
          <w:rFonts w:ascii="黑体" w:eastAsia="黑体" w:hAnsi="宋体"/>
          <w:kern w:val="2"/>
          <w:sz w:val="21"/>
          <w:szCs w:val="21"/>
          <w:lang w:eastAsia="zh-CN"/>
        </w:rPr>
      </w:pPr>
      <w:bookmarkStart w:id="86" w:name="_Toc100052400"/>
      <w:bookmarkStart w:id="87" w:name="_Toc73518151"/>
      <w:bookmarkStart w:id="88" w:name="_Toc73521581"/>
      <w:bookmarkStart w:id="89" w:name="_Toc73521669"/>
      <w:bookmarkStart w:id="90" w:name="_Toc73517673"/>
      <w:r>
        <w:rPr>
          <w:rFonts w:ascii="黑体" w:eastAsia="黑体" w:hAnsi="宋体" w:hint="eastAsia"/>
          <w:kern w:val="2"/>
          <w:sz w:val="21"/>
          <w:szCs w:val="21"/>
          <w:lang w:eastAsia="zh-CN"/>
        </w:rPr>
        <w:t>34．错误的修正</w:t>
      </w:r>
      <w:bookmarkEnd w:id="86"/>
      <w:bookmarkEnd w:id="87"/>
      <w:bookmarkEnd w:id="88"/>
      <w:bookmarkEnd w:id="89"/>
      <w:bookmarkEnd w:id="90"/>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35．投标文件的比较与评价</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36. 实地考察或资料查验</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37．评审方法</w:t>
      </w:r>
    </w:p>
    <w:p>
      <w:pPr>
        <w:widowControl w:val="0"/>
        <w:spacing w:after="160" w:line="259" w:lineRule="auto"/>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spacing w:after="160" w:line="259" w:lineRule="auto"/>
        <w:ind w:firstLine="420" w:firstLineChars="200"/>
        <w:jc w:val="both"/>
        <w:rPr>
          <w:rFonts w:ascii="ˎ̥" w:eastAsia="宋体" w:hAnsi="ˎ̥"/>
          <w:kern w:val="2"/>
          <w:sz w:val="21"/>
          <w:szCs w:val="21"/>
          <w:lang w:eastAsia="zh-CN"/>
        </w:rPr>
      </w:pPr>
      <w:bookmarkStart w:id="91"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spacing w:after="160" w:line="259" w:lineRule="auto"/>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spacing w:after="160" w:line="259" w:lineRule="auto"/>
        <w:ind w:firstLine="420" w:firstLineChars="200"/>
        <w:jc w:val="both"/>
        <w:rPr>
          <w:rFonts w:ascii="ˎ̥" w:eastAsia="宋体" w:hAnsi="ˎ̥"/>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91"/>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spacing w:after="160" w:line="259" w:lineRule="auto"/>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spacing w:after="160" w:line="259" w:lineRule="auto"/>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spacing w:after="160" w:line="259" w:lineRule="auto"/>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spacing w:after="160" w:line="259" w:lineRule="auto"/>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spacing w:after="160" w:line="259"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spacing w:after="160" w:line="259" w:lineRule="auto"/>
        <w:ind w:firstLine="412" w:firstLineChars="196"/>
        <w:jc w:val="both"/>
        <w:rPr>
          <w:rFonts w:ascii="宋体" w:eastAsia="宋体" w:hAnsi="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38．定标方法</w:t>
      </w:r>
    </w:p>
    <w:p>
      <w:pPr>
        <w:widowControl w:val="0"/>
        <w:spacing w:after="160" w:line="259" w:lineRule="auto"/>
        <w:ind w:firstLine="420" w:firstLineChars="200"/>
        <w:jc w:val="both"/>
        <w:rPr>
          <w:rFonts w:ascii="宋体" w:eastAsia="宋体" w:hAnsi="宋体"/>
          <w:kern w:val="2"/>
          <w:sz w:val="21"/>
          <w:szCs w:val="21"/>
          <w:lang w:eastAsia="zh-CN"/>
        </w:rPr>
      </w:pPr>
      <w:bookmarkStart w:id="92" w:name="_Hlk73782795"/>
      <w:r>
        <w:rPr>
          <w:rFonts w:ascii="宋体" w:eastAsia="宋体" w:hAnsi="宋体" w:hint="eastAsia"/>
          <w:kern w:val="2"/>
          <w:sz w:val="21"/>
          <w:szCs w:val="21"/>
          <w:lang w:eastAsia="zh-CN"/>
        </w:rPr>
        <w:t>38.1非评定分离项目定标方法</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spacing w:after="160" w:line="259" w:lineRule="auto"/>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93" w:name="_Hlk73821177"/>
      <w:r>
        <w:rPr>
          <w:rFonts w:ascii="ˎ̥" w:eastAsia="宋体" w:hAnsi="ˎ̥" w:hint="eastAsia"/>
          <w:kern w:val="2"/>
          <w:sz w:val="21"/>
          <w:szCs w:val="21"/>
          <w:lang w:eastAsia="zh-CN"/>
        </w:rPr>
        <w:t>唯一候选中标供应商</w:t>
      </w:r>
      <w:bookmarkEnd w:id="93"/>
      <w:r>
        <w:rPr>
          <w:rFonts w:ascii="ˎ̥" w:eastAsia="宋体" w:hAnsi="ˎ̥"/>
          <w:kern w:val="2"/>
          <w:sz w:val="21"/>
          <w:szCs w:val="21"/>
          <w:lang w:eastAsia="zh-CN"/>
        </w:rPr>
        <w:t>。</w:t>
      </w:r>
    </w:p>
    <w:p>
      <w:pPr>
        <w:widowControl w:val="0"/>
        <w:spacing w:after="160" w:line="259" w:lineRule="auto"/>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spacing w:after="160" w:line="259" w:lineRule="auto"/>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94"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95"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94"/>
      <w:bookmarkEnd w:id="95"/>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92"/>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39．编写评审报告</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40．中标（成交）公告</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96"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96"/>
      <w:bookmarkStart w:id="97"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97"/>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41．中标通知书</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98"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98"/>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spacing w:after="160" w:line="259" w:lineRule="auto"/>
        <w:ind w:firstLine="420" w:firstLineChars="200"/>
        <w:jc w:val="both"/>
        <w:rPr>
          <w:rFonts w:ascii="宋体" w:eastAsia="宋体" w:hAnsi="宋体"/>
          <w:kern w:val="2"/>
          <w:sz w:val="21"/>
          <w:szCs w:val="21"/>
          <w:lang w:eastAsia="zh-CN"/>
        </w:rPr>
      </w:pPr>
      <w:bookmarkStart w:id="99"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99"/>
    <w:p>
      <w:pPr>
        <w:widowControl w:val="0"/>
        <w:spacing w:after="160" w:line="259" w:lineRule="auto"/>
        <w:ind w:firstLine="412" w:firstLineChars="196"/>
        <w:jc w:val="both"/>
        <w:rPr>
          <w:rFonts w:ascii="宋体" w:eastAsia="宋体" w:hAnsi="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42．公开招标失败的处理</w:t>
      </w:r>
    </w:p>
    <w:p>
      <w:pPr>
        <w:widowControl w:val="0"/>
        <w:spacing w:after="160" w:line="259" w:lineRule="auto"/>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spacing w:after="160" w:line="259" w:lineRule="auto"/>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spacing w:after="160" w:line="259" w:lineRule="auto"/>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spacing w:after="160" w:line="259" w:lineRule="auto"/>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spacing w:after="160" w:line="259" w:lineRule="auto"/>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spacing w:after="160" w:line="259" w:lineRule="auto"/>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spacing w:after="160" w:line="259" w:lineRule="auto"/>
        <w:ind w:firstLine="420" w:firstLineChars="200"/>
        <w:jc w:val="both"/>
        <w:rPr>
          <w:rFonts w:ascii="黑体" w:eastAsia="黑体" w:hAnsi="宋体"/>
          <w:kern w:val="2"/>
          <w:lang w:eastAsia="zh-CN"/>
        </w:rPr>
      </w:pPr>
      <w:r>
        <w:rPr>
          <w:rFonts w:ascii="宋体" w:eastAsia="宋体" w:hAnsi="宋体" w:hint="eastAsia"/>
          <w:kern w:val="2"/>
          <w:sz w:val="21"/>
          <w:lang w:eastAsia="zh-CN"/>
        </w:rPr>
        <w:t>42.5公开招标失败的采购项目经采购人主管部门批准转为竞争性谈判或单一来源谈判方式采购的，按规定要求组织自行采购工作。</w:t>
      </w:r>
    </w:p>
    <w:p>
      <w:pPr>
        <w:widowControl w:val="0"/>
        <w:spacing w:after="160" w:line="259" w:lineRule="auto"/>
        <w:ind w:firstLine="420" w:firstLineChars="200"/>
        <w:jc w:val="both"/>
        <w:rPr>
          <w:rFonts w:ascii="宋体" w:eastAsia="宋体" w:hAnsi="宋体"/>
          <w:kern w:val="2"/>
          <w:sz w:val="21"/>
          <w:szCs w:val="21"/>
          <w:lang w:eastAsia="zh-CN"/>
        </w:rPr>
      </w:pPr>
    </w:p>
    <w:p>
      <w:pPr>
        <w:widowControl w:val="0"/>
        <w:spacing w:after="160" w:line="259" w:lineRule="auto"/>
        <w:jc w:val="both"/>
        <w:rPr>
          <w:rFonts w:ascii="黑体" w:eastAsia="黑体" w:hAnsi="宋体"/>
          <w:kern w:val="2"/>
          <w:lang w:eastAsia="zh-CN"/>
        </w:rPr>
      </w:pPr>
    </w:p>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bookmarkStart w:id="100" w:name="_Hlk72439043"/>
      <w:r>
        <w:rPr>
          <w:rFonts w:ascii="Cambria" w:eastAsia="宋体" w:hAnsi="Cambria" w:cstheme="majorBidi" w:hint="eastAsia"/>
          <w:b/>
          <w:bCs/>
          <w:kern w:val="2"/>
          <w:sz w:val="28"/>
          <w:szCs w:val="28"/>
          <w:lang w:eastAsia="zh-CN"/>
        </w:rPr>
        <w:t>合同的授予与备案</w:t>
      </w:r>
      <w:bookmarkEnd w:id="100"/>
    </w:p>
    <w:p>
      <w:pPr>
        <w:widowControl w:val="0"/>
        <w:spacing w:after="160" w:line="259" w:lineRule="auto"/>
        <w:ind w:firstLine="420" w:firstLineChars="200"/>
        <w:jc w:val="both"/>
        <w:rPr>
          <w:rFonts w:ascii="黑体" w:eastAsia="黑体" w:hAnsi="宋体"/>
          <w:kern w:val="2"/>
          <w:sz w:val="21"/>
          <w:szCs w:val="21"/>
          <w:lang w:eastAsia="zh-CN"/>
        </w:rPr>
      </w:pPr>
      <w:bookmarkStart w:id="101" w:name="_Toc73521586"/>
      <w:bookmarkStart w:id="102" w:name="_Toc100052408"/>
      <w:bookmarkStart w:id="103" w:name="_Toc73521674"/>
      <w:bookmarkStart w:id="104" w:name="_Toc73517679"/>
      <w:bookmarkStart w:id="105" w:name="_Toc73518157"/>
      <w:bookmarkStart w:id="106" w:name="_Hlk72439088"/>
      <w:r>
        <w:rPr>
          <w:rFonts w:ascii="黑体" w:eastAsia="黑体" w:hAnsi="宋体" w:hint="eastAsia"/>
          <w:kern w:val="2"/>
          <w:sz w:val="21"/>
          <w:szCs w:val="21"/>
          <w:lang w:eastAsia="zh-CN"/>
        </w:rPr>
        <w:t>43．合同授予标准</w:t>
      </w:r>
      <w:bookmarkEnd w:id="101"/>
      <w:bookmarkEnd w:id="102"/>
      <w:bookmarkEnd w:id="103"/>
      <w:bookmarkEnd w:id="104"/>
      <w:bookmarkEnd w:id="105"/>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spacing w:after="160" w:line="259" w:lineRule="auto"/>
        <w:ind w:firstLine="420" w:firstLineChars="200"/>
        <w:jc w:val="both"/>
        <w:rPr>
          <w:rFonts w:ascii="黑体" w:eastAsia="黑体" w:hAnsi="宋体"/>
          <w:kern w:val="2"/>
          <w:sz w:val="21"/>
          <w:szCs w:val="21"/>
          <w:lang w:eastAsia="zh-CN"/>
        </w:rPr>
      </w:pPr>
      <w:bookmarkStart w:id="107" w:name="_Toc73518158"/>
      <w:bookmarkStart w:id="108" w:name="_Toc73521587"/>
      <w:bookmarkStart w:id="109" w:name="_Toc73521675"/>
      <w:bookmarkStart w:id="110" w:name="_Toc100052409"/>
      <w:bookmarkStart w:id="111" w:name="_Toc73517680"/>
      <w:r>
        <w:rPr>
          <w:rFonts w:ascii="黑体" w:eastAsia="黑体" w:hAnsi="宋体" w:hint="eastAsia"/>
          <w:kern w:val="2"/>
          <w:sz w:val="21"/>
          <w:szCs w:val="21"/>
          <w:lang w:eastAsia="zh-CN"/>
        </w:rPr>
        <w:t>44．</w:t>
      </w:r>
      <w:bookmarkEnd w:id="107"/>
      <w:bookmarkEnd w:id="108"/>
      <w:bookmarkEnd w:id="109"/>
      <w:bookmarkEnd w:id="110"/>
      <w:bookmarkEnd w:id="111"/>
      <w:r>
        <w:rPr>
          <w:rFonts w:ascii="黑体" w:eastAsia="黑体" w:hAnsi="宋体" w:hint="eastAsia"/>
          <w:kern w:val="2"/>
          <w:sz w:val="21"/>
          <w:szCs w:val="21"/>
          <w:lang w:eastAsia="zh-CN"/>
        </w:rPr>
        <w:t>接受和拒绝任何或所有投标的权力</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spacing w:after="160" w:line="259" w:lineRule="auto"/>
        <w:ind w:firstLine="420" w:firstLineChars="200"/>
        <w:jc w:val="both"/>
        <w:rPr>
          <w:rFonts w:ascii="黑体" w:eastAsia="黑体" w:hAnsi="宋体"/>
          <w:kern w:val="2"/>
          <w:sz w:val="21"/>
          <w:szCs w:val="21"/>
          <w:lang w:eastAsia="zh-CN"/>
        </w:rPr>
      </w:pPr>
      <w:bookmarkStart w:id="112" w:name="_Toc100052410"/>
      <w:bookmarkStart w:id="113" w:name="_Toc73517682"/>
      <w:bookmarkStart w:id="114" w:name="_Toc73521677"/>
      <w:bookmarkStart w:id="115" w:name="_Toc73518160"/>
      <w:bookmarkStart w:id="116" w:name="_Toc73521589"/>
      <w:r>
        <w:rPr>
          <w:rFonts w:ascii="黑体" w:eastAsia="黑体" w:hAnsi="宋体" w:hint="eastAsia"/>
          <w:kern w:val="2"/>
          <w:sz w:val="21"/>
          <w:szCs w:val="21"/>
          <w:lang w:eastAsia="zh-CN"/>
        </w:rPr>
        <w:t>45．合同的签订</w:t>
      </w:r>
      <w:bookmarkEnd w:id="112"/>
      <w:bookmarkEnd w:id="113"/>
      <w:bookmarkEnd w:id="114"/>
      <w:bookmarkEnd w:id="115"/>
      <w:bookmarkEnd w:id="116"/>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spacing w:after="160" w:line="259" w:lineRule="auto"/>
        <w:ind w:firstLine="420" w:firstLineChars="200"/>
        <w:jc w:val="both"/>
        <w:rPr>
          <w:rFonts w:ascii="黑体" w:eastAsia="黑体" w:hAnsi="宋体"/>
          <w:kern w:val="2"/>
          <w:sz w:val="21"/>
          <w:szCs w:val="21"/>
          <w:lang w:eastAsia="zh-CN"/>
        </w:rPr>
      </w:pPr>
      <w:bookmarkStart w:id="117" w:name="_Toc73521678"/>
      <w:bookmarkStart w:id="118" w:name="_Toc73521590"/>
      <w:bookmarkStart w:id="119" w:name="_Toc73517683"/>
      <w:bookmarkStart w:id="120" w:name="_Toc73518161"/>
      <w:bookmarkStart w:id="121" w:name="_Toc100052411"/>
      <w:r>
        <w:rPr>
          <w:rFonts w:ascii="黑体" w:eastAsia="黑体" w:hAnsi="宋体" w:hint="eastAsia"/>
          <w:kern w:val="2"/>
          <w:sz w:val="21"/>
          <w:szCs w:val="21"/>
          <w:lang w:eastAsia="zh-CN"/>
        </w:rPr>
        <w:t>46．履约担保</w:t>
      </w:r>
      <w:bookmarkEnd w:id="117"/>
      <w:bookmarkEnd w:id="118"/>
      <w:bookmarkEnd w:id="119"/>
      <w:bookmarkEnd w:id="120"/>
      <w:bookmarkEnd w:id="121"/>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47. 合同备案</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48. 合同变更</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49. 项目验收</w:t>
      </w:r>
    </w:p>
    <w:p>
      <w:pPr>
        <w:widowControl/>
        <w:spacing w:after="160" w:line="259" w:lineRule="auto"/>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50. 宣传</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a.名片、宣传册、广告标语等；</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b.案例介绍、推广等；</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51. 供应商违法责任</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22"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22"/>
      <w:r>
        <w:rPr>
          <w:rFonts w:ascii="宋体" w:eastAsia="宋体" w:hAnsi="宋体" w:hint="eastAsia"/>
          <w:kern w:val="2"/>
          <w:sz w:val="21"/>
          <w:szCs w:val="21"/>
          <w:lang w:eastAsia="zh-CN"/>
        </w:rPr>
        <w:t>记入供应商诚信档案，予以通报：</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after="160" w:line="360" w:lineRule="auto"/>
        <w:jc w:val="both"/>
        <w:rPr>
          <w:rFonts w:eastAsia="宋体"/>
          <w:b/>
          <w:bCs/>
          <w:kern w:val="2"/>
          <w:lang w:eastAsia="zh-CN"/>
        </w:rPr>
      </w:pPr>
    </w:p>
    <w:bookmarkEnd w:id="106"/>
    <w:p>
      <w:pPr>
        <w:keepNext/>
        <w:keepLines/>
        <w:widowControl w:val="0"/>
        <w:numPr>
          <w:ilvl w:val="0"/>
          <w:numId w:val="10"/>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52.质疑提出与答复</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52.1提出质疑</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52.3质疑条件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23" w:name="_Hlk75374941"/>
      <w:r>
        <w:rPr>
          <w:rFonts w:ascii="宋体" w:eastAsia="宋体" w:hAnsi="宋体" w:hint="eastAsia"/>
          <w:kern w:val="2"/>
          <w:sz w:val="21"/>
          <w:szCs w:val="21"/>
          <w:lang w:eastAsia="zh-CN"/>
        </w:rPr>
        <w:t>以联合体形式参与的，质疑应当由组成联合体的所有成员共同提出</w:t>
      </w:r>
      <w:bookmarkEnd w:id="123"/>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spacing w:after="160" w:line="259" w:lineRule="auto"/>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spacing w:after="160" w:line="259" w:lineRule="auto"/>
        <w:ind w:firstLine="420" w:firstLineChars="200"/>
        <w:jc w:val="both"/>
        <w:rPr>
          <w:rFonts w:ascii="仿宋" w:eastAsia="仿宋" w:hAnsi="仿宋"/>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52.7质疑答复时限</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自收文之日起七个工作日内。</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52.8</w:t>
      </w:r>
      <w:r>
        <w:rPr>
          <w:rFonts w:ascii="宋体" w:eastAsia="宋体" w:hAnsi="宋体" w:hint="eastAsia"/>
          <w:kern w:val="2"/>
          <w:sz w:val="21"/>
          <w:lang w:eastAsia="zh-CN"/>
        </w:rPr>
        <w:t>争议（投诉）</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spacing w:after="160" w:line="259" w:lineRule="auto"/>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53. 质疑后续处理</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spacing w:after="160" w:line="259" w:lineRule="auto"/>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spacing w:after="160" w:line="259" w:lineRule="auto"/>
        <w:jc w:val="center"/>
        <w:rPr>
          <w:rFonts w:eastAsia="宋体"/>
          <w:kern w:val="2"/>
          <w:sz w:val="21"/>
          <w:lang w:eastAsia="zh-CN"/>
        </w:rPr>
      </w:pPr>
      <w:r>
        <w:rPr>
          <w:rFonts w:eastAsia="宋体"/>
          <w:kern w:val="2"/>
          <w:sz w:val="21"/>
          <w:lang w:eastAsia="zh-CN"/>
        </w:rPr>
        <w:t>---- END ----</w:t>
      </w:r>
      <w:bookmarkEnd w:id="69"/>
    </w:p>
    <w:p>
      <w:pPr>
        <w:widowControl w:val="0"/>
        <w:spacing w:after="160" w:line="259" w:lineRule="auto"/>
        <w:jc w:val="both"/>
        <w:rPr>
          <w:rFonts w:ascii="宋体" w:eastAsia="宋体" w:hAnsi="宋体"/>
          <w:kern w:val="2"/>
          <w:sz w:val="21"/>
          <w:szCs w:val="21"/>
          <w:lang w:eastAsia="zh-CN"/>
        </w:rPr>
        <w:sectPr>
          <w:footerReference w:type="even" r:id="rId6"/>
          <w:footerReference w:type="default" r:id="rId7"/>
          <w:headerReference w:type="first" r:id="rId8"/>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内镜清洗消毒工作站及洗消追溯管理系统-A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SZZXCG-2025-00567-001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内镜清洗消毒工作站及洗消追溯管理系统-A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66</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A0F6431"/>
    <w:multiLevelType w:val="singleLevel"/>
    <w:tmpl w:val="7A0F6431"/>
    <w:lvl w:ilvl="0">
      <w:start w:val="1"/>
      <w:numFmt w:val="decimal"/>
      <w:suff w:val="space"/>
      <w:lvlText w:val="%1."/>
      <w:lvlJc w:val="left"/>
    </w:lvl>
  </w:abstractNum>
  <w:num w:numId="1">
    <w:abstractNumId w:val="0"/>
  </w:num>
  <w:num w:numId="2">
    <w:abstractNumId w:val="1"/>
  </w:num>
  <w:num w:numId="3">
    <w:abstractNumId w:val="9"/>
  </w:num>
  <w:num w:numId="4">
    <w:abstractNumId w:val="3"/>
  </w:num>
  <w:num w:numId="5">
    <w:abstractNumId w:val="7"/>
  </w:num>
  <w:num w:numId="6">
    <w:abstractNumId w:val="5"/>
  </w:num>
  <w:num w:numId="7">
    <w:abstractNumId w:val="4"/>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0"/>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a"/>
    <w:uiPriority w:val="99"/>
    <w:qFormat/>
    <w:pPr>
      <w:widowControl w:val="0"/>
      <w:spacing w:after="160" w:line="259" w:lineRule="auto"/>
      <w:jc w:val="both"/>
    </w:pPr>
    <w:rPr>
      <w:rFonts w:eastAsia="宋体"/>
      <w:kern w:val="2"/>
      <w:lang w:eastAsia="zh-CN"/>
    </w:rPr>
  </w:style>
  <w:style w:type="character" w:customStyle="1" w:styleId="a">
    <w:name w:val="普通(网站) 字符"/>
    <w:link w:val="NormalWeb"/>
    <w:qFormat/>
    <w:rPr>
      <w:rFonts w:eastAsia="宋体"/>
      <w:kern w:val="2"/>
      <w:sz w:val="24"/>
      <w:szCs w:val="24"/>
    </w:rPr>
  </w:style>
  <w:style w:type="paragraph" w:styleId="BodyText">
    <w:name w:val="Body Text"/>
    <w:basedOn w:val="Normal"/>
    <w:next w:val="BodyText2"/>
    <w:link w:val="a0"/>
    <w:qFormat/>
    <w:pPr>
      <w:widowControl w:val="0"/>
      <w:spacing w:after="160" w:line="360" w:lineRule="auto"/>
      <w:jc w:val="both"/>
    </w:pPr>
    <w:rPr>
      <w:rFonts w:eastAsia="宋体"/>
      <w:b/>
      <w:bCs/>
      <w:kern w:val="2"/>
      <w:lang w:eastAsia="zh-CN"/>
    </w:rPr>
  </w:style>
  <w:style w:type="paragraph" w:styleId="BodyText2">
    <w:name w:val="Body Text 2"/>
    <w:basedOn w:val="Normal"/>
    <w:link w:val="2"/>
    <w:qFormat/>
    <w:pPr>
      <w:widowControl w:val="0"/>
      <w:spacing w:after="160" w:line="360" w:lineRule="auto"/>
      <w:jc w:val="both"/>
    </w:pPr>
    <w:rPr>
      <w:rFonts w:eastAsia="宋体"/>
      <w:kern w:val="2"/>
      <w:lang w:eastAsia="zh-CN"/>
    </w:rPr>
  </w:style>
  <w:style w:type="character" w:customStyle="1" w:styleId="2">
    <w:name w:val="正文文本 2 字符"/>
    <w:link w:val="BodyText2"/>
    <w:qFormat/>
    <w:rPr>
      <w:rFonts w:eastAsia="宋体"/>
      <w:kern w:val="2"/>
      <w:sz w:val="24"/>
      <w:szCs w:val="24"/>
      <w:lang w:eastAsia="zh-CN"/>
    </w:rPr>
  </w:style>
  <w:style w:type="character" w:customStyle="1" w:styleId="a0">
    <w:name w:val="正文文本 字符"/>
    <w:link w:val="BodyText"/>
    <w:qFormat/>
    <w:rPr>
      <w:rFonts w:eastAsia="宋体"/>
      <w:b/>
      <w:bCs/>
      <w:kern w:val="2"/>
      <w:sz w:val="24"/>
      <w:szCs w:val="24"/>
      <w:lang w:eastAsia="zh-CN"/>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0">
    <w:name w:val="标题 2 字符"/>
    <w:link w:val="Heading2"/>
    <w:qFormat/>
    <w:rPr>
      <w:rFonts w:ascii="宋体" w:eastAsia="宋体" w:hAnsi="宋体"/>
      <w:b/>
      <w:bCs/>
      <w:sz w:val="24"/>
      <w:lang w:eastAsia="zh-CN"/>
    </w:rPr>
  </w:style>
  <w:style w:type="table" w:styleId="TableGrid">
    <w:name w:val="Table Grid"/>
    <w:basedOn w:val="TableNormal"/>
    <w:uiPriority w:val="39"/>
    <w:qFormat/>
    <w:pPr>
      <w:widowControl w:val="0"/>
      <w:spacing w:after="160" w:line="259" w:lineRule="auto"/>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a1"/>
    <w:qFormat/>
    <w:pPr>
      <w:widowControl w:val="0"/>
      <w:spacing w:after="160" w:line="259" w:lineRule="auto"/>
      <w:ind w:firstLine="420"/>
      <w:jc w:val="both"/>
    </w:pPr>
    <w:rPr>
      <w:rFonts w:eastAsia="宋体"/>
      <w:kern w:val="2"/>
      <w:sz w:val="21"/>
      <w:szCs w:val="20"/>
      <w:lang w:eastAsia="zh-CN"/>
    </w:rPr>
  </w:style>
  <w:style w:type="character" w:customStyle="1" w:styleId="a1">
    <w:name w:val="正文缩进 字符"/>
    <w:link w:val="NormalIndent"/>
    <w:qFormat/>
    <w:rPr>
      <w:rFonts w:eastAsia="宋体"/>
      <w:kern w:val="2"/>
      <w:sz w:val="21"/>
      <w:lang w:eastAsia="zh-CN"/>
    </w:rPr>
  </w:style>
  <w:style w:type="table" w:customStyle="1" w:styleId="TableNormal0">
    <w:name w:val="Table Normal_0"/>
    <w:semiHidden/>
    <w:unhideWhenUsed/>
    <w:qFormat/>
    <w:pPr>
      <w:spacing w:after="160" w:line="259" w:lineRule="auto"/>
    </w:pPr>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spacing w:after="160" w:line="259" w:lineRule="auto"/>
      <w:jc w:val="both"/>
    </w:pPr>
    <w:rPr>
      <w:rFonts w:ascii="微软雅黑" w:eastAsia="微软雅黑" w:hAnsi="微软雅黑" w:cs="微软雅黑"/>
      <w:kern w:val="2"/>
    </w:rPr>
  </w:style>
  <w:style w:type="table" w:customStyle="1" w:styleId="10">
    <w:name w:val="网格型1"/>
    <w:basedOn w:val="TableNormal"/>
    <w:qFormat/>
    <w:pPr>
      <w:widowControl w:val="0"/>
      <w:spacing w:after="160" w:line="259"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2"/>
    <w:uiPriority w:val="99"/>
    <w:qFormat/>
    <w:pPr>
      <w:widowControl w:val="0"/>
      <w:pBdr>
        <w:bottom w:val="single" w:sz="6" w:space="1" w:color="auto"/>
      </w:pBdr>
      <w:tabs>
        <w:tab w:val="center" w:pos="4153"/>
        <w:tab w:val="right" w:pos="8306"/>
      </w:tabs>
      <w:snapToGrid w:val="0"/>
      <w:spacing w:after="160" w:line="259" w:lineRule="auto"/>
      <w:jc w:val="center"/>
    </w:pPr>
    <w:rPr>
      <w:rFonts w:eastAsia="宋体"/>
      <w:kern w:val="2"/>
      <w:sz w:val="18"/>
      <w:szCs w:val="18"/>
      <w:lang w:eastAsia="zh-CN"/>
    </w:rPr>
  </w:style>
  <w:style w:type="character" w:customStyle="1" w:styleId="a2">
    <w:name w:val="页眉 字符"/>
    <w:link w:val="Header"/>
    <w:uiPriority w:val="99"/>
    <w:qFormat/>
    <w:rPr>
      <w:rFonts w:eastAsia="宋体"/>
      <w:kern w:val="2"/>
      <w:sz w:val="18"/>
      <w:szCs w:val="18"/>
      <w:lang w:eastAsia="zh-CN"/>
    </w:rPr>
  </w:style>
  <w:style w:type="paragraph" w:styleId="Footer">
    <w:name w:val="footer"/>
    <w:basedOn w:val="Normal"/>
    <w:link w:val="a3"/>
    <w:qFormat/>
    <w:pPr>
      <w:widowControl w:val="0"/>
      <w:tabs>
        <w:tab w:val="center" w:pos="4153"/>
        <w:tab w:val="right" w:pos="8306"/>
      </w:tabs>
      <w:snapToGrid w:val="0"/>
      <w:spacing w:after="160" w:line="259" w:lineRule="auto"/>
    </w:pPr>
    <w:rPr>
      <w:rFonts w:eastAsia="宋体"/>
      <w:kern w:val="2"/>
      <w:sz w:val="18"/>
      <w:szCs w:val="18"/>
      <w:lang w:eastAsia="zh-CN"/>
    </w:rPr>
  </w:style>
  <w:style w:type="character" w:customStyle="1" w:styleId="a3">
    <w:name w:val="页脚 字符"/>
    <w:link w:val="Footer"/>
    <w:qFormat/>
    <w:rPr>
      <w:rFonts w:eastAsia="宋体"/>
      <w:kern w:val="2"/>
      <w:sz w:val="18"/>
      <w:szCs w:val="18"/>
      <w:lang w:eastAsia="zh-CN"/>
    </w:rPr>
  </w:style>
  <w:style w:type="character" w:styleId="PageNumber">
    <w:name w:val="page number"/>
    <w:basedOn w:val="DefaultParagraphFont"/>
    <w:qFormat/>
  </w:style>
  <w:style w:type="paragraph" w:styleId="ListParagraph">
    <w:name w:val="List Paragraph"/>
    <w:basedOn w:val="Normal"/>
    <w:uiPriority w:val="34"/>
    <w:qFormat/>
    <w:pPr>
      <w:widowControl w:val="0"/>
      <w:spacing w:after="160" w:line="259" w:lineRule="auto"/>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