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spacing w:before="0" w:beforeAutospacing="1" w:after="0" w:afterAutospacing="1" w:line="259" w:lineRule="auto"/>
        <w:jc w:val="center"/>
        <w:outlineLvl w:val="1"/>
        <w:rPr>
          <w:rFonts w:ascii="方正小标宋简体" w:eastAsia="方正小标宋简体" w:hAnsi="方正小标宋简体" w:cs="方正小标宋简体"/>
          <w:bCs/>
          <w:color w:val="000000"/>
          <w:kern w:val="2"/>
          <w:sz w:val="44"/>
          <w:szCs w:val="44"/>
          <w:lang w:eastAsia="zh-CN"/>
        </w:rPr>
      </w:pPr>
      <w:r>
        <w:rPr>
          <w:rFonts w:ascii="方正小标宋简体" w:eastAsia="方正小标宋简体" w:hAnsi="方正小标宋简体" w:cs="方正小标宋简体" w:hint="eastAsia"/>
          <w:bCs/>
          <w:color w:val="000000"/>
          <w:kern w:val="2"/>
          <w:sz w:val="44"/>
          <w:szCs w:val="44"/>
          <w:lang w:eastAsia="zh-CN"/>
        </w:rPr>
        <w:t>招标文件信息</w:t>
      </w:r>
    </w:p>
    <w:tbl>
      <w:tblPr>
        <w:tblStyle w:val="TableNormal"/>
        <w:tblW w:w="5000" w:type="pct"/>
        <w:jc w:val="center"/>
        <w:tblCellSpacing w:w="0" w:type="dxa"/>
        <w:tblInd w:w="0" w:type="dxa"/>
        <w:tblLayout w:type="fixed"/>
        <w:tblCellMar>
          <w:top w:w="45" w:type="dxa"/>
          <w:left w:w="45" w:type="dxa"/>
          <w:bottom w:w="45" w:type="dxa"/>
          <w:right w:w="45" w:type="dxa"/>
        </w:tblCellMar>
      </w:tblPr>
      <w:tblGrid>
        <w:gridCol w:w="2878"/>
        <w:gridCol w:w="5518"/>
      </w:tblGrid>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项目编号：</w:t>
            </w:r>
          </w:p>
        </w:tc>
        <w:tc>
          <w:tcPr>
            <w:tcW w:w="5220" w:type="dxa"/>
            <w:shd w:val="clear" w:color="auto" w:fill="auto"/>
            <w:vAlign w:val="center"/>
          </w:tcPr>
          <w:p>
            <w:pPr>
              <w:widowControl/>
              <w:spacing w:after="160" w:line="259" w:lineRule="auto"/>
              <w:jc w:val="left"/>
              <w:rPr>
                <w:rFonts w:eastAsia="宋体"/>
                <w:kern w:val="2"/>
                <w:sz w:val="30"/>
                <w:szCs w:val="30"/>
                <w:lang w:eastAsia="zh-CN"/>
              </w:rPr>
            </w:pPr>
            <w:r>
              <w:rPr>
                <w:rFonts w:eastAsia="宋体"/>
                <w:kern w:val="2"/>
                <w:sz w:val="30"/>
                <w:szCs w:val="30"/>
                <w:lang w:eastAsia="zh-CN"/>
              </w:rPr>
              <w:t>SZZXCG-2025-00567</w:t>
            </w:r>
          </w:p>
        </w:tc>
      </w:tr>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项目名称：</w:t>
            </w:r>
          </w:p>
        </w:tc>
        <w:tc>
          <w:tcPr>
            <w:tcW w:w="5220" w:type="dxa"/>
            <w:shd w:val="clear" w:color="auto" w:fill="auto"/>
            <w:vAlign w:val="center"/>
          </w:tcPr>
          <w:p>
            <w:pPr>
              <w:widowControl/>
              <w:spacing w:after="160" w:line="259" w:lineRule="auto"/>
              <w:jc w:val="left"/>
              <w:rPr>
                <w:rFonts w:eastAsia="宋体"/>
                <w:kern w:val="2"/>
                <w:sz w:val="30"/>
                <w:szCs w:val="30"/>
                <w:lang w:eastAsia="zh-CN"/>
              </w:rPr>
            </w:pPr>
            <w:bookmarkStart w:id="0" w:name="OLE_LINK1"/>
            <w:r>
              <w:rPr>
                <w:rFonts w:eastAsia="宋体" w:hint="eastAsia"/>
                <w:kern w:val="2"/>
                <w:sz w:val="30"/>
                <w:szCs w:val="30"/>
                <w:lang w:eastAsia="zh-CN"/>
              </w:rPr>
              <w:t>北京大学深圳医院内镜清洗消毒工作站和内镜洗消追溯管理系统采购</w:t>
            </w:r>
            <w:bookmarkEnd w:id="0"/>
          </w:p>
        </w:tc>
      </w:tr>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包 号：</w:t>
            </w:r>
          </w:p>
        </w:tc>
        <w:tc>
          <w:tcPr>
            <w:tcW w:w="5220" w:type="dxa"/>
            <w:shd w:val="clear" w:color="auto" w:fill="auto"/>
            <w:vAlign w:val="center"/>
          </w:tcPr>
          <w:p>
            <w:pPr>
              <w:widowControl/>
              <w:spacing w:after="160" w:line="259" w:lineRule="auto"/>
              <w:jc w:val="left"/>
              <w:rPr>
                <w:rFonts w:eastAsia="宋体"/>
                <w:kern w:val="2"/>
                <w:sz w:val="30"/>
                <w:szCs w:val="30"/>
                <w:lang w:eastAsia="zh-CN"/>
              </w:rPr>
            </w:pPr>
            <w:r>
              <w:rPr>
                <w:rFonts w:ascii="宋体" w:eastAsia="宋体" w:hAnsi="宋体" w:cs="宋体"/>
                <w:sz w:val="30"/>
                <w:szCs w:val="30"/>
                <w:lang w:eastAsia="zh-CN"/>
              </w:rPr>
              <w:t>A</w:t>
            </w:r>
          </w:p>
        </w:tc>
      </w:tr>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项目类型：</w:t>
            </w:r>
          </w:p>
        </w:tc>
        <w:tc>
          <w:tcPr>
            <w:tcW w:w="5220" w:type="dxa"/>
            <w:shd w:val="clear" w:color="auto" w:fill="auto"/>
            <w:vAlign w:val="center"/>
          </w:tcPr>
          <w:p>
            <w:pPr>
              <w:widowControl/>
              <w:spacing w:after="160" w:line="259" w:lineRule="auto"/>
              <w:jc w:val="left"/>
              <w:rPr>
                <w:rFonts w:eastAsia="宋体"/>
                <w:kern w:val="2"/>
                <w:sz w:val="30"/>
                <w:szCs w:val="30"/>
                <w:lang w:eastAsia="zh-CN"/>
              </w:rPr>
            </w:pPr>
            <w:r>
              <w:rPr>
                <w:rFonts w:ascii="宋体" w:eastAsia="宋体" w:hAnsi="宋体" w:cs="宋体"/>
                <w:sz w:val="30"/>
                <w:szCs w:val="30"/>
                <w:lang w:eastAsia="zh-CN" w:bidi="ar"/>
              </w:rPr>
              <w:t>货物类</w:t>
            </w:r>
          </w:p>
        </w:tc>
      </w:tr>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采购方式：</w:t>
            </w:r>
          </w:p>
        </w:tc>
        <w:tc>
          <w:tcPr>
            <w:tcW w:w="5220" w:type="dxa"/>
            <w:shd w:val="clear" w:color="auto" w:fill="auto"/>
            <w:vAlign w:val="center"/>
          </w:tcPr>
          <w:p>
            <w:pPr>
              <w:widowControl/>
              <w:spacing w:after="160" w:line="259" w:lineRule="auto"/>
              <w:jc w:val="left"/>
              <w:rPr>
                <w:rFonts w:eastAsia="宋体"/>
                <w:kern w:val="2"/>
                <w:sz w:val="30"/>
                <w:szCs w:val="30"/>
                <w:lang w:eastAsia="zh-CN"/>
              </w:rPr>
            </w:pPr>
            <w:r>
              <w:rPr>
                <w:rFonts w:ascii="宋体" w:eastAsia="宋体" w:hAnsi="宋体" w:cs="宋体"/>
                <w:sz w:val="30"/>
                <w:szCs w:val="30"/>
                <w:lang w:eastAsia="zh-CN"/>
              </w:rPr>
              <w:t>公开</w:t>
            </w:r>
            <w:r>
              <w:rPr>
                <w:rFonts w:ascii="宋体" w:eastAsia="宋体" w:hAnsi="宋体" w:cs="宋体" w:hint="eastAsia"/>
                <w:sz w:val="30"/>
                <w:szCs w:val="30"/>
                <w:lang w:eastAsia="zh-CN"/>
              </w:rPr>
              <w:t>招标</w:t>
            </w:r>
          </w:p>
        </w:tc>
      </w:tr>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货币类型：</w:t>
            </w:r>
          </w:p>
        </w:tc>
        <w:tc>
          <w:tcPr>
            <w:tcW w:w="5220" w:type="dxa"/>
            <w:shd w:val="clear" w:color="auto" w:fill="auto"/>
            <w:vAlign w:val="center"/>
          </w:tcPr>
          <w:p>
            <w:pPr>
              <w:widowControl/>
              <w:spacing w:after="160" w:line="259" w:lineRule="auto"/>
              <w:jc w:val="left"/>
              <w:rPr>
                <w:rFonts w:eastAsia="宋体"/>
                <w:kern w:val="2"/>
                <w:sz w:val="30"/>
                <w:szCs w:val="30"/>
                <w:lang w:eastAsia="zh-CN"/>
              </w:rPr>
            </w:pPr>
            <w:r>
              <w:rPr>
                <w:rFonts w:ascii="宋体" w:eastAsia="宋体" w:hAnsi="宋体" w:cs="宋体"/>
                <w:sz w:val="30"/>
                <w:szCs w:val="30"/>
                <w:lang w:eastAsia="zh-CN"/>
              </w:rPr>
              <w:t>人民币</w:t>
            </w:r>
          </w:p>
        </w:tc>
      </w:tr>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评标方法：</w:t>
            </w:r>
          </w:p>
        </w:tc>
        <w:tc>
          <w:tcPr>
            <w:tcW w:w="5220" w:type="dxa"/>
            <w:shd w:val="clear" w:color="auto" w:fill="auto"/>
            <w:vAlign w:val="center"/>
          </w:tcPr>
          <w:p>
            <w:pPr>
              <w:widowControl/>
              <w:spacing w:after="160" w:line="259" w:lineRule="auto"/>
              <w:jc w:val="left"/>
              <w:rPr>
                <w:rFonts w:eastAsia="宋体"/>
                <w:kern w:val="2"/>
                <w:sz w:val="30"/>
                <w:szCs w:val="30"/>
                <w:lang w:eastAsia="zh-CN"/>
              </w:rPr>
            </w:pPr>
            <w:r>
              <w:rPr>
                <w:rFonts w:ascii="宋体" w:eastAsia="宋体" w:hAnsi="宋体" w:cs="宋体"/>
                <w:sz w:val="30"/>
                <w:szCs w:val="30"/>
                <w:lang w:eastAsia="zh-CN" w:bidi="ar"/>
              </w:rPr>
              <w:t>综合评分法</w:t>
            </w:r>
          </w:p>
        </w:tc>
      </w:tr>
    </w:tbl>
    <w:p>
      <w:pPr>
        <w:widowControl w:val="0"/>
        <w:spacing w:after="160" w:line="259" w:lineRule="auto"/>
        <w:jc w:val="center"/>
        <w:outlineLvl w:val="1"/>
        <w:rPr>
          <w:rFonts w:ascii="黑体" w:eastAsia="黑体" w:hAnsi="黑体"/>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8"/>
        <w:gridCol w:w="7764"/>
      </w:tblGrid>
      <w:tr>
        <w:tblPrEx>
          <w:tblW w:w="5000" w:type="pct"/>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rHeight w:val="34"/>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after="160" w:line="360" w:lineRule="exact"/>
              <w:jc w:val="center"/>
              <w:rPr>
                <w:rFonts w:ascii="宋体" w:eastAsia="宋体" w:hAnsi="宋体" w:cs="宋体"/>
                <w:kern w:val="2"/>
                <w:sz w:val="28"/>
                <w:szCs w:val="28"/>
                <w:lang w:eastAsia="zh-CN"/>
              </w:rPr>
            </w:pPr>
            <w:r>
              <w:rPr>
                <w:rFonts w:eastAsia="宋体"/>
                <w:kern w:val="2"/>
                <w:sz w:val="28"/>
                <w:szCs w:val="28"/>
                <w:lang w:eastAsia="zh-CN"/>
              </w:rPr>
              <w:t>序号</w:t>
            </w:r>
          </w:p>
        </w:tc>
        <w:tc>
          <w:tcPr>
            <w:tcW w:w="8278"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after="160" w:line="360" w:lineRule="exact"/>
              <w:jc w:val="center"/>
              <w:rPr>
                <w:rFonts w:ascii="宋体" w:eastAsia="宋体" w:hAnsi="宋体" w:cs="宋体"/>
                <w:kern w:val="2"/>
                <w:sz w:val="28"/>
                <w:szCs w:val="28"/>
                <w:lang w:eastAsia="zh-CN"/>
              </w:rPr>
            </w:pPr>
            <w:r>
              <w:rPr>
                <w:rFonts w:eastAsia="宋体"/>
                <w:kern w:val="2"/>
                <w:sz w:val="28"/>
                <w:szCs w:val="28"/>
                <w:lang w:eastAsia="zh-CN"/>
              </w:rPr>
              <w:t>内容</w:t>
            </w:r>
          </w:p>
        </w:tc>
      </w:tr>
      <w:tr>
        <w:tblPrEx>
          <w:tblW w:w="5000" w:type="pct"/>
          <w:jc w:val="center"/>
          <w:tblInd w:w="0" w:type="dxa"/>
          <w:tblLayout w:type="fixed"/>
          <w:tblCellMar>
            <w:top w:w="20" w:type="dxa"/>
            <w:left w:w="108" w:type="dxa"/>
            <w:bottom w:w="20" w:type="dxa"/>
            <w:right w:w="108" w:type="dxa"/>
          </w:tblCellMar>
        </w:tblPrEx>
        <w:trPr>
          <w:trHeight w:val="20"/>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center"/>
              <w:rPr>
                <w:rFonts w:ascii="宋体" w:eastAsia="宋体" w:hAnsi="宋体" w:cs="宋体"/>
                <w:kern w:val="2"/>
                <w:sz w:val="21"/>
                <w:szCs w:val="21"/>
                <w:lang w:eastAsia="zh-CN"/>
              </w:rPr>
            </w:pPr>
            <w:r>
              <w:rPr>
                <w:rFonts w:eastAsia="宋体"/>
                <w:kern w:val="2"/>
                <w:sz w:val="21"/>
                <w:szCs w:val="21"/>
                <w:lang w:eastAsia="zh-CN"/>
              </w:rPr>
              <w:t>1</w:t>
            </w:r>
          </w:p>
        </w:tc>
        <w:tc>
          <w:tcPr>
            <w:tcW w:w="8278"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both"/>
              <w:rPr>
                <w:rFonts w:ascii="宋体" w:eastAsia="宋体" w:hAnsi="宋体" w:cs="宋体"/>
                <w:kern w:val="2"/>
                <w:sz w:val="21"/>
                <w:szCs w:val="21"/>
                <w:lang w:eastAsia="zh-CN"/>
              </w:rPr>
            </w:pPr>
            <w:bookmarkStart w:id="1" w:name="OLE_LINK2"/>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w:t>
            </w:r>
            <w:r>
              <w:rPr>
                <w:rFonts w:ascii="宋体" w:eastAsia="宋体" w:hAnsi="宋体" w:cs="宋体" w:hint="eastAsia"/>
                <w:sz w:val="21"/>
                <w:szCs w:val="21"/>
                <w:lang w:eastAsia="zh-CN"/>
              </w:rPr>
              <w:t>招标</w:t>
            </w:r>
            <w:r>
              <w:rPr>
                <w:rFonts w:ascii="宋体" w:eastAsia="宋体" w:hAnsi="宋体" w:cs="宋体"/>
                <w:sz w:val="21"/>
                <w:szCs w:val="21"/>
                <w:lang w:eastAsia="zh-CN"/>
              </w:rPr>
              <w:t>公告</w:t>
            </w:r>
            <w:r>
              <w:rPr>
                <w:rFonts w:ascii="宋体" w:eastAsia="宋体" w:hAnsi="宋体" w:hint="eastAsia"/>
                <w:kern w:val="2"/>
                <w:sz w:val="21"/>
                <w:szCs w:val="21"/>
                <w:lang w:eastAsia="zh-CN"/>
              </w:rPr>
              <w:t>投标人资格要求</w:t>
            </w:r>
            <w:r>
              <w:rPr>
                <w:rFonts w:ascii="宋体" w:eastAsia="宋体" w:hAnsi="宋体" w:cs="宋体"/>
                <w:sz w:val="21"/>
                <w:szCs w:val="21"/>
                <w:lang w:eastAsia="zh-CN"/>
              </w:rPr>
              <w:t>）</w:t>
            </w:r>
            <w:bookmarkEnd w:id="1"/>
          </w:p>
        </w:tc>
      </w:tr>
    </w:tbl>
    <w:p>
      <w:pPr>
        <w:widowControl w:val="0"/>
        <w:spacing w:before="280" w:after="160" w:line="259" w:lineRule="auto"/>
        <w:jc w:val="center"/>
        <w:outlineLvl w:val="1"/>
        <w:rPr>
          <w:rFonts w:ascii="黑体" w:eastAsia="黑体" w:hAnsi="黑体"/>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8"/>
        <w:gridCol w:w="7764"/>
      </w:tblGrid>
      <w:tr>
        <w:tblPrEx>
          <w:tblW w:w="5000" w:type="pct"/>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spacing w:after="160" w:line="360" w:lineRule="exact"/>
              <w:jc w:val="center"/>
              <w:rPr>
                <w:rFonts w:eastAsia="宋体"/>
                <w:kern w:val="2"/>
                <w:sz w:val="28"/>
                <w:szCs w:val="28"/>
                <w:lang w:eastAsia="zh-CN"/>
              </w:rPr>
            </w:pPr>
            <w:r>
              <w:rPr>
                <w:rFonts w:ascii="宋体" w:eastAsia="宋体" w:hAnsi="宋体" w:cs="宋体"/>
                <w:sz w:val="28"/>
                <w:szCs w:val="28"/>
                <w:lang w:eastAsia="zh-CN"/>
              </w:rPr>
              <w:t>序号</w:t>
            </w:r>
          </w:p>
        </w:tc>
        <w:tc>
          <w:tcPr>
            <w:tcW w:w="828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spacing w:after="160" w:line="360" w:lineRule="exact"/>
              <w:jc w:val="center"/>
              <w:rPr>
                <w:rFonts w:eastAsia="宋体"/>
                <w:kern w:val="2"/>
                <w:sz w:val="28"/>
                <w:szCs w:val="28"/>
                <w:lang w:eastAsia="zh-CN"/>
              </w:rPr>
            </w:pPr>
            <w:r>
              <w:rPr>
                <w:rFonts w:ascii="宋体" w:eastAsia="宋体" w:hAnsi="宋体" w:cs="宋体"/>
                <w:sz w:val="28"/>
                <w:szCs w:val="28"/>
                <w:lang w:eastAsia="zh-CN"/>
              </w:rPr>
              <w:t>内容</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center"/>
              <w:textAlignment w:val="top"/>
              <w:rPr>
                <w:rFonts w:eastAsia="宋体"/>
                <w:kern w:val="2"/>
                <w:sz w:val="21"/>
                <w:szCs w:val="21"/>
                <w:lang w:eastAsia="zh-CN"/>
              </w:rPr>
            </w:pPr>
            <w:r>
              <w:rPr>
                <w:rFonts w:ascii="宋体" w:eastAsia="宋体" w:hAnsi="宋体" w:cs="宋体"/>
                <w:sz w:val="21"/>
                <w:szCs w:val="21"/>
                <w:lang w:eastAsia="zh-CN"/>
              </w:rPr>
              <w:t>1</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both"/>
              <w:textAlignment w:val="top"/>
              <w:rPr>
                <w:rFonts w:eastAsia="宋体"/>
                <w:kern w:val="2"/>
                <w:sz w:val="21"/>
                <w:szCs w:val="21"/>
                <w:lang w:eastAsia="zh-CN"/>
              </w:rPr>
            </w:pPr>
            <w:r>
              <w:rPr>
                <w:rFonts w:eastAsia="宋体" w:hint="eastAsia"/>
                <w:kern w:val="2"/>
                <w:sz w:val="21"/>
                <w:lang w:eastAsia="zh-CN"/>
              </w:rPr>
              <w:t>不得将一个包内容拆开投标；</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center"/>
              <w:textAlignment w:val="top"/>
              <w:rPr>
                <w:rFonts w:eastAsia="宋体"/>
                <w:kern w:val="2"/>
                <w:sz w:val="21"/>
                <w:szCs w:val="21"/>
                <w:lang w:eastAsia="zh-CN"/>
              </w:rPr>
            </w:pPr>
            <w:r>
              <w:rPr>
                <w:rFonts w:ascii="宋体" w:eastAsia="宋体" w:hAnsi="宋体" w:cs="宋体"/>
                <w:sz w:val="21"/>
                <w:szCs w:val="21"/>
                <w:lang w:eastAsia="zh-CN"/>
              </w:rPr>
              <w:t>2</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both"/>
              <w:textAlignment w:val="top"/>
              <w:rPr>
                <w:rFonts w:eastAsia="宋体"/>
                <w:kern w:val="2"/>
                <w:sz w:val="21"/>
                <w:szCs w:val="21"/>
                <w:lang w:eastAsia="zh-CN"/>
              </w:rPr>
            </w:pPr>
            <w:r>
              <w:rPr>
                <w:rFonts w:eastAsia="宋体" w:hint="eastAsia"/>
                <w:kern w:val="2"/>
                <w:sz w:val="21"/>
                <w:lang w:eastAsia="zh-CN"/>
              </w:rPr>
              <w:t>对同一项目投标时，不得提供两套以上的投标方案（招标文件另有规定的除外）；</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center"/>
              <w:textAlignment w:val="top"/>
              <w:rPr>
                <w:rFonts w:eastAsia="宋体"/>
                <w:kern w:val="2"/>
                <w:sz w:val="21"/>
                <w:szCs w:val="21"/>
                <w:lang w:eastAsia="zh-CN"/>
              </w:rPr>
            </w:pPr>
            <w:r>
              <w:rPr>
                <w:rFonts w:ascii="宋体" w:eastAsia="宋体" w:hAnsi="宋体" w:cs="宋体"/>
                <w:sz w:val="21"/>
                <w:szCs w:val="21"/>
                <w:lang w:eastAsia="zh-CN"/>
              </w:rPr>
              <w:t>3</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both"/>
              <w:textAlignment w:val="top"/>
              <w:rPr>
                <w:rFonts w:eastAsia="宋体"/>
                <w:kern w:val="2"/>
                <w:sz w:val="21"/>
                <w:szCs w:val="21"/>
                <w:lang w:eastAsia="zh-CN"/>
              </w:rPr>
            </w:pPr>
            <w:r>
              <w:rPr>
                <w:rFonts w:eastAsia="宋体" w:hint="eastAsia"/>
                <w:kern w:val="2"/>
                <w:sz w:val="21"/>
                <w:lang w:eastAsia="zh-CN"/>
              </w:rPr>
              <w:t>分项报价或投标总价不得高于相应预算金额（或设定的预算金额下的最高限价）；</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center"/>
              <w:textAlignment w:val="top"/>
              <w:rPr>
                <w:rFonts w:eastAsia="宋体"/>
                <w:kern w:val="2"/>
                <w:sz w:val="21"/>
                <w:szCs w:val="21"/>
                <w:lang w:eastAsia="zh-CN"/>
              </w:rPr>
            </w:pPr>
            <w:r>
              <w:rPr>
                <w:rFonts w:ascii="宋体" w:eastAsia="宋体" w:hAnsi="宋体" w:cs="宋体"/>
                <w:sz w:val="21"/>
                <w:szCs w:val="21"/>
                <w:lang w:eastAsia="zh-CN"/>
              </w:rPr>
              <w:t>4</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both"/>
              <w:textAlignment w:val="top"/>
              <w:rPr>
                <w:rFonts w:eastAsia="宋体"/>
                <w:kern w:val="2"/>
                <w:sz w:val="21"/>
                <w:szCs w:val="21"/>
                <w:lang w:eastAsia="zh-CN"/>
              </w:rPr>
            </w:pPr>
            <w:r>
              <w:rPr>
                <w:rFonts w:eastAsia="宋体" w:hint="eastAsia"/>
                <w:kern w:val="2"/>
                <w:sz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center"/>
              <w:textAlignment w:val="top"/>
              <w:rPr>
                <w:rFonts w:eastAsia="宋体"/>
                <w:kern w:val="2"/>
                <w:sz w:val="21"/>
                <w:szCs w:val="21"/>
                <w:lang w:eastAsia="zh-CN"/>
              </w:rPr>
            </w:pPr>
            <w:r>
              <w:rPr>
                <w:rFonts w:ascii="宋体" w:eastAsia="宋体" w:hAnsi="宋体" w:cs="宋体"/>
                <w:sz w:val="21"/>
                <w:szCs w:val="21"/>
                <w:lang w:eastAsia="zh-CN"/>
              </w:rPr>
              <w:t>5</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both"/>
              <w:textAlignment w:val="top"/>
              <w:rPr>
                <w:rFonts w:eastAsia="宋体"/>
                <w:kern w:val="2"/>
                <w:sz w:val="21"/>
                <w:szCs w:val="21"/>
                <w:lang w:eastAsia="zh-CN"/>
              </w:rPr>
            </w:pPr>
            <w:r>
              <w:rPr>
                <w:rFonts w:eastAsia="宋体" w:hint="eastAsia"/>
                <w:kern w:val="2"/>
                <w:sz w:val="21"/>
                <w:lang w:eastAsia="zh-CN"/>
              </w:rPr>
              <w:t>投标人响应的内容在技术、商务等方面没有实质性满足（</w:t>
            </w:r>
            <w:r>
              <w:rPr>
                <w:rFonts w:ascii="Calibri" w:eastAsia="宋体" w:hAnsi="Calibri" w:hint="eastAsia"/>
                <w:kern w:val="2"/>
                <w:sz w:val="21"/>
                <w:lang w:eastAsia="zh-CN"/>
              </w:rPr>
              <w:t>或未响应招标文件中带★号条款或响应有负偏离）</w:t>
            </w:r>
            <w:r>
              <w:rPr>
                <w:rFonts w:eastAsia="宋体" w:hint="eastAsia"/>
                <w:kern w:val="2"/>
                <w:sz w:val="21"/>
                <w:lang w:eastAsia="zh-CN"/>
              </w:rPr>
              <w:t>招标文件要求的（是否实质性满足招标文件要求，由评审委员会根据实质性条款响应情况作出评判，若招标文件未设置实质性条款，不得据此做投标无效处理）；</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center"/>
              <w:textAlignment w:val="top"/>
              <w:rPr>
                <w:rFonts w:eastAsia="宋体"/>
                <w:kern w:val="2"/>
                <w:sz w:val="21"/>
                <w:szCs w:val="21"/>
                <w:lang w:eastAsia="zh-CN"/>
              </w:rPr>
            </w:pPr>
            <w:r>
              <w:rPr>
                <w:rFonts w:ascii="宋体" w:eastAsia="宋体" w:hAnsi="宋体" w:cs="宋体"/>
                <w:sz w:val="21"/>
                <w:szCs w:val="21"/>
                <w:lang w:eastAsia="zh-CN"/>
              </w:rPr>
              <w:t>6</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both"/>
              <w:textAlignment w:val="top"/>
              <w:rPr>
                <w:rFonts w:eastAsia="宋体"/>
                <w:kern w:val="2"/>
                <w:sz w:val="21"/>
                <w:szCs w:val="21"/>
                <w:lang w:eastAsia="zh-CN"/>
              </w:rPr>
            </w:pPr>
            <w:r>
              <w:rPr>
                <w:rFonts w:eastAsia="宋体" w:hint="eastAsia"/>
                <w:kern w:val="2"/>
                <w:sz w:val="21"/>
                <w:lang w:eastAsia="zh-CN"/>
              </w:rPr>
              <w:t>未按招标文件所提供的样式填写《投标函》；未按招标文件所提供的《采购投标及履约承诺函》进行承诺或不符合承诺的；未按招标文件对投标文件组成的要求提供投标文件；</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center"/>
              <w:textAlignment w:val="top"/>
              <w:rPr>
                <w:rFonts w:eastAsia="宋体"/>
                <w:kern w:val="2"/>
                <w:sz w:val="21"/>
                <w:szCs w:val="21"/>
                <w:lang w:eastAsia="zh-CN"/>
              </w:rPr>
            </w:pPr>
            <w:r>
              <w:rPr>
                <w:rFonts w:ascii="宋体" w:eastAsia="宋体" w:hAnsi="宋体" w:cs="宋体"/>
                <w:sz w:val="21"/>
                <w:szCs w:val="21"/>
                <w:lang w:eastAsia="zh-CN"/>
              </w:rPr>
              <w:t>7</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both"/>
              <w:textAlignment w:val="top"/>
              <w:rPr>
                <w:rFonts w:eastAsia="宋体"/>
                <w:kern w:val="2"/>
                <w:sz w:val="21"/>
                <w:szCs w:val="21"/>
                <w:lang w:eastAsia="zh-CN"/>
              </w:rPr>
            </w:pPr>
            <w:r>
              <w:rPr>
                <w:rFonts w:eastAsia="宋体" w:hint="eastAsia"/>
                <w:kern w:val="2"/>
                <w:sz w:val="21"/>
                <w:lang w:eastAsia="zh-CN"/>
              </w:rPr>
              <w:t>采购标的/所投产品/货物清单有缺漏项或响应不全或报价有缺漏或者对招标文件规定的项目需求内容或者需求数量进行修改，评审委员会判定投标响应不满足采购需求；</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center"/>
              <w:textAlignment w:val="top"/>
              <w:rPr>
                <w:rFonts w:eastAsia="宋体"/>
                <w:kern w:val="2"/>
                <w:sz w:val="21"/>
                <w:szCs w:val="21"/>
                <w:lang w:eastAsia="zh-CN"/>
              </w:rPr>
            </w:pPr>
            <w:r>
              <w:rPr>
                <w:rFonts w:ascii="宋体" w:eastAsia="宋体" w:hAnsi="宋体" w:cs="宋体" w:hint="eastAsia"/>
                <w:sz w:val="21"/>
                <w:szCs w:val="21"/>
                <w:lang w:eastAsia="zh-CN"/>
              </w:rPr>
              <w:t>8</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both"/>
              <w:textAlignment w:val="top"/>
              <w:rPr>
                <w:rFonts w:eastAsia="宋体"/>
                <w:kern w:val="2"/>
                <w:sz w:val="21"/>
                <w:szCs w:val="21"/>
                <w:lang w:eastAsia="zh-CN"/>
              </w:rPr>
            </w:pPr>
            <w:r>
              <w:rPr>
                <w:rFonts w:eastAsia="宋体" w:hint="eastAsia"/>
                <w:kern w:val="2"/>
                <w:sz w:val="21"/>
                <w:lang w:eastAsia="zh-CN"/>
              </w:rPr>
              <w:t>投标文件电子文档不得带病毒；</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center"/>
              <w:textAlignment w:val="top"/>
              <w:rPr>
                <w:rFonts w:eastAsia="宋体"/>
                <w:kern w:val="2"/>
                <w:sz w:val="21"/>
                <w:szCs w:val="21"/>
                <w:lang w:eastAsia="zh-CN"/>
              </w:rPr>
            </w:pPr>
            <w:r>
              <w:rPr>
                <w:rFonts w:ascii="宋体" w:eastAsia="宋体" w:hAnsi="宋体" w:cs="宋体" w:hint="eastAsia"/>
                <w:sz w:val="21"/>
                <w:szCs w:val="21"/>
                <w:lang w:eastAsia="zh-CN"/>
              </w:rPr>
              <w:t>9</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both"/>
              <w:textAlignment w:val="top"/>
              <w:rPr>
                <w:rFonts w:eastAsia="宋体"/>
                <w:kern w:val="2"/>
                <w:sz w:val="21"/>
                <w:szCs w:val="21"/>
                <w:lang w:eastAsia="zh-CN"/>
              </w:rPr>
            </w:pPr>
            <w:r>
              <w:rPr>
                <w:rFonts w:eastAsia="宋体" w:hint="eastAsia"/>
                <w:kern w:val="2"/>
                <w:sz w:val="21"/>
                <w:lang w:eastAsia="zh-CN"/>
              </w:rPr>
              <w:t>投标文件用不属于本公司的电子密钥进行加密或投标文件未按时解密的；</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center"/>
              <w:textAlignment w:val="top"/>
              <w:rPr>
                <w:rFonts w:eastAsia="宋体"/>
                <w:kern w:val="2"/>
                <w:sz w:val="21"/>
                <w:szCs w:val="21"/>
                <w:lang w:eastAsia="zh-CN"/>
              </w:rPr>
            </w:pPr>
            <w:r>
              <w:rPr>
                <w:rFonts w:ascii="宋体" w:eastAsia="宋体" w:hAnsi="宋体" w:cs="宋体"/>
                <w:sz w:val="21"/>
                <w:szCs w:val="21"/>
                <w:lang w:eastAsia="zh-CN"/>
              </w:rPr>
              <w:t>1</w:t>
            </w:r>
            <w:r>
              <w:rPr>
                <w:rFonts w:ascii="宋体" w:eastAsia="宋体" w:hAnsi="宋体" w:cs="宋体" w:hint="eastAsia"/>
                <w:sz w:val="21"/>
                <w:szCs w:val="21"/>
                <w:lang w:eastAsia="zh-CN"/>
              </w:rPr>
              <w:t>0</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both"/>
              <w:textAlignment w:val="top"/>
              <w:rPr>
                <w:rFonts w:eastAsia="宋体"/>
                <w:kern w:val="2"/>
                <w:sz w:val="21"/>
                <w:szCs w:val="21"/>
                <w:lang w:eastAsia="zh-CN"/>
              </w:rPr>
            </w:pPr>
            <w:bookmarkStart w:id="2" w:name="OLE_LINK3"/>
            <w:r>
              <w:rPr>
                <w:rFonts w:eastAsia="宋体" w:hint="eastAsia"/>
                <w:kern w:val="2"/>
                <w:sz w:val="21"/>
                <w:lang w:eastAsia="zh-CN"/>
              </w:rPr>
              <w:t>法律、法规、规章、规范性文件规定的其他情形。</w:t>
            </w:r>
            <w:bookmarkEnd w:id="2"/>
          </w:p>
        </w:tc>
      </w:tr>
    </w:tbl>
    <w:p>
      <w:pPr>
        <w:widowControl w:val="0"/>
        <w:spacing w:after="160" w:line="259" w:lineRule="auto"/>
        <w:jc w:val="center"/>
        <w:outlineLvl w:val="1"/>
        <w:rPr>
          <w:rFonts w:ascii="黑体" w:eastAsia="黑体" w:hAnsi="黑体"/>
          <w:kern w:val="2"/>
          <w:sz w:val="40"/>
          <w:szCs w:val="40"/>
          <w:lang w:eastAsia="zh-CN"/>
        </w:rPr>
      </w:pPr>
      <w:r>
        <w:rPr>
          <w:rFonts w:ascii="黑体" w:eastAsia="黑体" w:hAnsi="黑体" w:hint="eastAsia"/>
          <w:kern w:val="2"/>
          <w:sz w:val="40"/>
          <w:szCs w:val="40"/>
          <w:lang w:eastAsia="zh-CN"/>
        </w:rPr>
        <w:t>评标信息</w:t>
      </w:r>
    </w:p>
    <w:tbl>
      <w:tblPr>
        <w:tblStyle w:val="TableNormal"/>
        <w:tblW w:w="5000" w:type="pct"/>
        <w:jc w:val="center"/>
        <w:tblCellSpacing w:w="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Pr>
      <w:tblGrid>
        <w:gridCol w:w="8416"/>
      </w:tblGrid>
      <w:tr>
        <w:tblPrEx>
          <w:tblW w:w="5000" w:type="pct"/>
          <w:jc w:val="center"/>
          <w:tblCellSpacing w:w="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PrEx>
        <w:trPr>
          <w:tblCellSpacing w:w="0" w:type="dxa"/>
          <w:jc w:val="center"/>
        </w:trPr>
        <w:tc>
          <w:tcPr>
            <w:tcW w:w="9072" w:type="dxa"/>
            <w:vAlign w:val="center"/>
          </w:tcPr>
          <w:p>
            <w:pPr>
              <w:widowControl w:val="0"/>
              <w:spacing w:after="160" w:line="259" w:lineRule="auto"/>
              <w:jc w:val="left"/>
              <w:rPr>
                <w:rFonts w:ascii="宋体" w:eastAsia="宋体" w:hAnsi="宋体" w:cs="宋体"/>
                <w:b/>
                <w:bCs/>
                <w:kern w:val="2"/>
                <w:lang w:eastAsia="zh-CN"/>
              </w:rPr>
            </w:pPr>
            <w:r>
              <w:rPr>
                <w:rFonts w:eastAsia="宋体"/>
                <w:b/>
                <w:bCs/>
                <w:kern w:val="2"/>
                <w:sz w:val="21"/>
                <w:lang w:eastAsia="zh-CN"/>
              </w:rPr>
              <w:t>评标方法：综合评分法</w:t>
            </w:r>
          </w:p>
        </w:tc>
      </w:tr>
      <w:tr>
        <w:tblPrEx>
          <w:tblW w:w="5000" w:type="pct"/>
          <w:jc w:val="center"/>
          <w:tblCellSpacing w:w="0" w:type="dxa"/>
          <w:tblInd w:w="0" w:type="dxa"/>
          <w:tblLayout w:type="fixed"/>
          <w:tblCellMar>
            <w:top w:w="45" w:type="dxa"/>
            <w:left w:w="45" w:type="dxa"/>
            <w:bottom w:w="45" w:type="dxa"/>
            <w:right w:w="45" w:type="dxa"/>
          </w:tblCellMar>
        </w:tblPrEx>
        <w:trPr>
          <w:tblCellSpacing w:w="0" w:type="dxa"/>
          <w:jc w:val="center"/>
        </w:trPr>
        <w:tc>
          <w:tcPr>
            <w:tcW w:w="9072" w:type="dxa"/>
            <w:vAlign w:val="center"/>
          </w:tcPr>
          <w:p>
            <w:pPr>
              <w:widowControl w:val="0"/>
              <w:spacing w:after="160" w:line="259" w:lineRule="auto"/>
              <w:ind w:firstLine="420"/>
              <w:jc w:val="both"/>
              <w:rPr>
                <w:rFonts w:eastAsia="宋体"/>
                <w:kern w:val="2"/>
                <w:sz w:val="21"/>
                <w:szCs w:val="21"/>
                <w:lang w:eastAsia="zh-CN"/>
              </w:rPr>
            </w:pPr>
            <w:r>
              <w:rPr>
                <w:rFonts w:eastAsia="宋体" w:hint="eastAsia"/>
                <w:kern w:val="2"/>
                <w:sz w:val="21"/>
                <w:szCs w:val="21"/>
                <w:lang w:eastAsia="zh-CN"/>
              </w:rPr>
              <w:t>综合评分法，是指投标文件满足招标文件全部实质性要求，且按照评审因素的量化指标评审得分最高的投标人为中标候选人的评标方法。 （适用于中标候选人为1家的情形）</w:t>
            </w:r>
          </w:p>
          <w:p>
            <w:pPr>
              <w:widowControl w:val="0"/>
              <w:spacing w:after="160" w:line="259" w:lineRule="auto"/>
              <w:ind w:firstLine="420"/>
              <w:jc w:val="both"/>
              <w:rPr>
                <w:rFonts w:eastAsia="宋体"/>
                <w:kern w:val="2"/>
                <w:sz w:val="21"/>
                <w:szCs w:val="21"/>
                <w:lang w:eastAsia="zh-CN"/>
              </w:rPr>
            </w:pPr>
            <w:r>
              <w:rPr>
                <w:rFonts w:eastAsia="宋体" w:hint="eastAsia"/>
                <w:kern w:val="2"/>
                <w:sz w:val="21"/>
                <w:szCs w:val="21"/>
                <w:lang w:eastAsia="zh-CN"/>
              </w:rPr>
              <w:t>综合评分法。在最大限度地满足招标文件实质性要求的前提下，按照招标文件中规定的各项因素进行综合评审，评标总得分排名前列的投标人，作为推荐的候选中标供应商。（适用于中标候选人为多家的情形）</w:t>
            </w:r>
          </w:p>
          <w:p>
            <w:pPr>
              <w:widowControl w:val="0"/>
              <w:spacing w:after="160" w:line="259" w:lineRule="auto"/>
              <w:ind w:firstLine="420"/>
              <w:jc w:val="both"/>
              <w:rPr>
                <w:rFonts w:eastAsia="宋体"/>
                <w:kern w:val="2"/>
                <w:sz w:val="21"/>
                <w:szCs w:val="21"/>
                <w:lang w:eastAsia="zh-CN"/>
              </w:rPr>
            </w:pPr>
            <w:r>
              <w:rPr>
                <w:rFonts w:eastAsia="宋体"/>
                <w:kern w:val="2"/>
                <w:sz w:val="21"/>
                <w:szCs w:val="21"/>
                <w:lang w:eastAsia="zh-CN"/>
              </w:rPr>
              <w:t>价格分计算方法：</w:t>
            </w:r>
          </w:p>
          <w:p>
            <w:pPr>
              <w:widowControl w:val="0"/>
              <w:spacing w:after="160" w:line="259" w:lineRule="auto"/>
              <w:ind w:left="420"/>
              <w:jc w:val="both"/>
              <w:rPr>
                <w:rFonts w:eastAsia="宋体"/>
                <w:kern w:val="2"/>
                <w:sz w:val="21"/>
                <w:szCs w:val="21"/>
                <w:lang w:eastAsia="zh-CN"/>
              </w:rPr>
            </w:pPr>
            <w:r>
              <w:rPr>
                <w:rFonts w:eastAsia="宋体"/>
                <w:kern w:val="2"/>
                <w:sz w:val="21"/>
                <w:szCs w:val="21"/>
                <w:lang w:eastAsia="zh-CN"/>
              </w:rPr>
              <w:t>采用低价优先法计算，即满足</w:t>
            </w:r>
            <w:r>
              <w:rPr>
                <w:rFonts w:eastAsia="宋体" w:hint="eastAsia"/>
                <w:kern w:val="2"/>
                <w:sz w:val="21"/>
                <w:szCs w:val="21"/>
                <w:lang w:eastAsia="zh-CN"/>
              </w:rPr>
              <w:t>招标</w:t>
            </w:r>
            <w:r>
              <w:rPr>
                <w:rFonts w:eastAsia="宋体"/>
                <w:kern w:val="2"/>
                <w:sz w:val="21"/>
                <w:szCs w:val="21"/>
                <w:lang w:eastAsia="zh-CN"/>
              </w:rPr>
              <w:t xml:space="preserve">文件要求且投标价格最低的投标报价为评标基准价，其价格分为满分。其他投标人的价格分统一按照下列公式计算： </w:t>
            </w:r>
          </w:p>
          <w:p>
            <w:pPr>
              <w:widowControl w:val="0"/>
              <w:spacing w:after="160" w:line="259" w:lineRule="auto"/>
              <w:ind w:left="420"/>
              <w:jc w:val="both"/>
              <w:rPr>
                <w:rFonts w:eastAsia="宋体"/>
                <w:kern w:val="2"/>
                <w:sz w:val="21"/>
                <w:szCs w:val="21"/>
                <w:lang w:eastAsia="zh-CN"/>
              </w:rPr>
            </w:pPr>
            <w:r>
              <w:rPr>
                <w:rFonts w:eastAsia="宋体"/>
                <w:kern w:val="2"/>
                <w:sz w:val="21"/>
                <w:szCs w:val="21"/>
                <w:lang w:eastAsia="zh-CN"/>
              </w:rPr>
              <w:t xml:space="preserve">投标报价得分=(评标基准价／投标报价)×100 </w:t>
            </w:r>
          </w:p>
          <w:p>
            <w:pPr>
              <w:widowControl w:val="0"/>
              <w:spacing w:after="160" w:line="259" w:lineRule="auto"/>
              <w:ind w:left="420"/>
              <w:jc w:val="both"/>
              <w:rPr>
                <w:rFonts w:eastAsia="宋体"/>
                <w:kern w:val="2"/>
                <w:sz w:val="21"/>
                <w:szCs w:val="21"/>
                <w:lang w:eastAsia="zh-CN"/>
              </w:rPr>
            </w:pPr>
            <w:r>
              <w:rPr>
                <w:rFonts w:eastAsia="宋体"/>
                <w:kern w:val="2"/>
                <w:sz w:val="21"/>
                <w:szCs w:val="21"/>
                <w:lang w:eastAsia="zh-CN"/>
              </w:rPr>
              <w:t xml:space="preserve">评标总得分＝F1×A1＋F2×A2＋……＋Fn×An </w:t>
            </w:r>
          </w:p>
          <w:p>
            <w:pPr>
              <w:widowControl w:val="0"/>
              <w:spacing w:after="160" w:line="259" w:lineRule="auto"/>
              <w:ind w:left="420"/>
              <w:jc w:val="both"/>
              <w:rPr>
                <w:rFonts w:eastAsia="宋体"/>
                <w:kern w:val="2"/>
                <w:sz w:val="21"/>
                <w:szCs w:val="21"/>
                <w:lang w:eastAsia="zh-CN"/>
              </w:rPr>
            </w:pPr>
            <w:r>
              <w:rPr>
                <w:rFonts w:eastAsia="宋体"/>
                <w:kern w:val="2"/>
                <w:sz w:val="21"/>
                <w:szCs w:val="21"/>
                <w:lang w:eastAsia="zh-CN"/>
              </w:rPr>
              <w:t xml:space="preserve">F1、F2……Fn分别为各项评审因素的得分； </w:t>
            </w:r>
          </w:p>
          <w:p>
            <w:pPr>
              <w:widowControl w:val="0"/>
              <w:spacing w:after="160" w:line="259" w:lineRule="auto"/>
              <w:ind w:left="420"/>
              <w:jc w:val="both"/>
              <w:rPr>
                <w:rFonts w:eastAsia="宋体"/>
                <w:kern w:val="2"/>
                <w:sz w:val="21"/>
                <w:szCs w:val="21"/>
                <w:lang w:eastAsia="zh-CN"/>
              </w:rPr>
            </w:pPr>
            <w:r>
              <w:rPr>
                <w:rFonts w:eastAsia="宋体"/>
                <w:kern w:val="2"/>
                <w:sz w:val="21"/>
                <w:szCs w:val="21"/>
                <w:lang w:eastAsia="zh-CN"/>
              </w:rPr>
              <w:t xml:space="preserve">A1、A2、……An 分别为各项评审因素所占的权重(A1＋A2＋……＋An＝1)。 </w:t>
            </w:r>
          </w:p>
          <w:p>
            <w:pPr>
              <w:widowControl w:val="0"/>
              <w:spacing w:after="160" w:line="259" w:lineRule="auto"/>
              <w:ind w:left="420"/>
              <w:jc w:val="both"/>
              <w:rPr>
                <w:rFonts w:eastAsia="宋体"/>
                <w:kern w:val="2"/>
                <w:sz w:val="21"/>
                <w:szCs w:val="21"/>
                <w:lang w:eastAsia="zh-CN"/>
              </w:rPr>
            </w:pPr>
            <w:r>
              <w:rPr>
                <w:rFonts w:eastAsia="宋体"/>
                <w:kern w:val="2"/>
                <w:sz w:val="21"/>
                <w:szCs w:val="21"/>
                <w:lang w:eastAsia="zh-CN"/>
              </w:rPr>
              <w:t>评标过程中，不得去掉报价中的最高报价和最低报价。</w:t>
            </w:r>
          </w:p>
          <w:p>
            <w:pPr>
              <w:widowControl w:val="0"/>
              <w:spacing w:after="160" w:line="259" w:lineRule="auto"/>
              <w:ind w:left="420"/>
              <w:jc w:val="both"/>
              <w:rPr>
                <w:rFonts w:eastAsia="宋体"/>
                <w:kern w:val="2"/>
                <w:sz w:val="21"/>
                <w:szCs w:val="21"/>
                <w:lang w:eastAsia="zh-CN"/>
              </w:rPr>
            </w:pPr>
            <w:r>
              <w:rPr>
                <w:rFonts w:eastAsia="宋体" w:hint="eastAsia"/>
                <w:kern w:val="2"/>
                <w:sz w:val="21"/>
                <w:szCs w:val="21"/>
                <w:lang w:eastAsia="zh-CN"/>
              </w:rPr>
              <w:t>注：投标人的“</w:t>
            </w:r>
            <w:r>
              <w:rPr>
                <w:rFonts w:eastAsia="宋体" w:hint="eastAsia"/>
                <w:color w:val="FF0000"/>
                <w:kern w:val="2"/>
                <w:sz w:val="21"/>
                <w:szCs w:val="21"/>
                <w:lang w:eastAsia="zh-CN"/>
              </w:rPr>
              <w:t>技术规格响应情况</w:t>
            </w:r>
            <w:r>
              <w:rPr>
                <w:rFonts w:eastAsia="宋体" w:hint="eastAsia"/>
                <w:kern w:val="2"/>
                <w:sz w:val="21"/>
                <w:szCs w:val="21"/>
                <w:lang w:eastAsia="zh-CN"/>
              </w:rPr>
              <w:t>”“技术规格偏离情况”等必须与客观实际保持一致，响应不实且情节严重的，经查实，将依法记入供应商诚信档案或受到行政处罚。</w:t>
            </w:r>
          </w:p>
        </w:tc>
      </w:tr>
    </w:tbl>
    <w:tbl>
      <w:tblPr>
        <w:tblStyle w:val="TableNormal"/>
        <w:tblpPr w:leftFromText="180" w:rightFromText="180" w:vertAnchor="text" w:tblpXSpec="center" w:tblpY="1"/>
        <w:tblOverlap w:val="neve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71"/>
        <w:gridCol w:w="388"/>
        <w:gridCol w:w="927"/>
        <w:gridCol w:w="675"/>
        <w:gridCol w:w="675"/>
        <w:gridCol w:w="548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0"/>
        </w:trPr>
        <w:tc>
          <w:tcPr>
            <w:tcW w:w="383" w:type="dxa"/>
            <w:vAlign w:val="center"/>
          </w:tcPr>
          <w:p>
            <w:pPr>
              <w:widowControl w:val="0"/>
              <w:spacing w:after="160" w:line="259" w:lineRule="auto"/>
              <w:jc w:val="center"/>
              <w:rPr>
                <w:rFonts w:ascii="宋体" w:eastAsia="宋体" w:hAnsi="宋体"/>
                <w:b/>
                <w:bCs/>
                <w:kern w:val="2"/>
                <w:sz w:val="21"/>
                <w:szCs w:val="21"/>
                <w:lang w:eastAsia="zh-CN"/>
              </w:rPr>
            </w:pPr>
            <w:r>
              <w:rPr>
                <w:rFonts w:ascii="宋体" w:eastAsia="宋体" w:hAnsi="宋体" w:hint="eastAsia"/>
                <w:b/>
                <w:bCs/>
                <w:kern w:val="2"/>
                <w:sz w:val="21"/>
                <w:szCs w:val="21"/>
                <w:lang w:eastAsia="zh-CN"/>
              </w:rPr>
              <w:t>序号</w:t>
            </w:r>
          </w:p>
        </w:tc>
        <w:tc>
          <w:tcPr>
            <w:tcW w:w="2799" w:type="dxa"/>
            <w:gridSpan w:val="4"/>
            <w:vAlign w:val="center"/>
          </w:tcPr>
          <w:p>
            <w:pPr>
              <w:widowControl w:val="0"/>
              <w:spacing w:after="160" w:line="259" w:lineRule="auto"/>
              <w:jc w:val="center"/>
              <w:rPr>
                <w:rFonts w:ascii="宋体" w:eastAsia="宋体" w:hAnsi="宋体"/>
                <w:b/>
                <w:bCs/>
                <w:kern w:val="2"/>
                <w:sz w:val="21"/>
                <w:szCs w:val="21"/>
                <w:lang w:eastAsia="zh-CN"/>
              </w:rPr>
            </w:pPr>
            <w:r>
              <w:rPr>
                <w:rFonts w:ascii="宋体" w:eastAsia="宋体" w:hAnsi="宋体" w:hint="eastAsia"/>
                <w:b/>
                <w:bCs/>
                <w:kern w:val="2"/>
                <w:sz w:val="21"/>
                <w:szCs w:val="21"/>
                <w:lang w:eastAsia="zh-CN"/>
              </w:rPr>
              <w:t>评分项</w:t>
            </w:r>
          </w:p>
        </w:tc>
        <w:tc>
          <w:tcPr>
            <w:tcW w:w="5897" w:type="dxa"/>
            <w:vAlign w:val="center"/>
          </w:tcPr>
          <w:p>
            <w:pPr>
              <w:widowControl w:val="0"/>
              <w:spacing w:after="160" w:line="259" w:lineRule="auto"/>
              <w:jc w:val="center"/>
              <w:rPr>
                <w:rFonts w:ascii="宋体" w:eastAsia="宋体" w:hAnsi="宋体"/>
                <w:b/>
                <w:bCs/>
                <w:kern w:val="2"/>
                <w:sz w:val="21"/>
                <w:szCs w:val="21"/>
                <w:lang w:eastAsia="zh-CN"/>
              </w:rPr>
            </w:pPr>
            <w:r>
              <w:rPr>
                <w:rFonts w:ascii="宋体" w:eastAsia="宋体" w:hAnsi="宋体" w:hint="eastAsia"/>
                <w:b/>
                <w:bCs/>
                <w:kern w:val="2"/>
                <w:sz w:val="21"/>
                <w:szCs w:val="21"/>
                <w:lang w:eastAsia="zh-CN"/>
              </w:rPr>
              <w:t>权重</w:t>
            </w:r>
          </w:p>
        </w:tc>
      </w:tr>
      <w:tr>
        <w:tblPrEx>
          <w:tblW w:w="5000" w:type="pct"/>
          <w:tblInd w:w="0" w:type="dxa"/>
          <w:tblLayout w:type="fixed"/>
          <w:tblCellMar>
            <w:top w:w="0" w:type="dxa"/>
            <w:left w:w="108" w:type="dxa"/>
            <w:bottom w:w="0" w:type="dxa"/>
            <w:right w:w="108" w:type="dxa"/>
          </w:tblCellMar>
        </w:tblPrEx>
        <w:trPr>
          <w:trHeight w:val="20"/>
        </w:trPr>
        <w:tc>
          <w:tcPr>
            <w:tcW w:w="383" w:type="dxa"/>
            <w:vAlign w:val="center"/>
          </w:tcPr>
          <w:p>
            <w:pPr>
              <w:widowControl w:val="0"/>
              <w:spacing w:after="160" w:line="259" w:lineRule="auto"/>
              <w:jc w:val="center"/>
              <w:rPr>
                <w:rFonts w:ascii="宋体" w:eastAsia="宋体" w:hAnsi="宋体"/>
                <w:b/>
                <w:bCs/>
                <w:kern w:val="2"/>
                <w:sz w:val="21"/>
                <w:szCs w:val="21"/>
                <w:lang w:eastAsia="zh-CN"/>
              </w:rPr>
            </w:pPr>
            <w:r>
              <w:rPr>
                <w:rFonts w:ascii="宋体" w:eastAsia="宋体" w:hAnsi="宋体"/>
                <w:b/>
                <w:bCs/>
                <w:kern w:val="2"/>
                <w:sz w:val="21"/>
                <w:szCs w:val="21"/>
                <w:lang w:eastAsia="zh-CN"/>
              </w:rPr>
              <w:t>1</w:t>
            </w:r>
          </w:p>
        </w:tc>
        <w:tc>
          <w:tcPr>
            <w:tcW w:w="2799" w:type="dxa"/>
            <w:gridSpan w:val="4"/>
            <w:vAlign w:val="center"/>
          </w:tcPr>
          <w:p>
            <w:pPr>
              <w:widowControl w:val="0"/>
              <w:spacing w:after="160" w:line="259" w:lineRule="auto"/>
              <w:jc w:val="center"/>
              <w:rPr>
                <w:rFonts w:ascii="宋体" w:eastAsia="宋体" w:hAnsi="宋体"/>
                <w:b/>
                <w:bCs/>
                <w:kern w:val="2"/>
                <w:sz w:val="21"/>
                <w:szCs w:val="21"/>
                <w:lang w:eastAsia="zh-CN"/>
              </w:rPr>
            </w:pPr>
            <w:r>
              <w:rPr>
                <w:rFonts w:ascii="宋体" w:eastAsia="宋体" w:hAnsi="宋体" w:hint="eastAsia"/>
                <w:b/>
                <w:bCs/>
                <w:kern w:val="2"/>
                <w:sz w:val="21"/>
                <w:szCs w:val="21"/>
                <w:lang w:eastAsia="zh-CN"/>
              </w:rPr>
              <w:t>价格</w:t>
            </w:r>
          </w:p>
        </w:tc>
        <w:tc>
          <w:tcPr>
            <w:tcW w:w="5897" w:type="dxa"/>
            <w:vAlign w:val="center"/>
          </w:tcPr>
          <w:p>
            <w:pPr>
              <w:widowControl w:val="0"/>
              <w:spacing w:after="160" w:line="259" w:lineRule="auto"/>
              <w:jc w:val="center"/>
              <w:rPr>
                <w:rFonts w:ascii="宋体" w:eastAsia="宋体" w:hAnsi="宋体"/>
                <w:b/>
                <w:bCs/>
                <w:kern w:val="2"/>
                <w:sz w:val="21"/>
                <w:szCs w:val="21"/>
                <w:lang w:eastAsia="zh-CN"/>
              </w:rPr>
            </w:pPr>
            <w:r>
              <w:rPr>
                <w:rFonts w:ascii="宋体" w:eastAsia="宋体" w:hAnsi="宋体" w:hint="eastAsia"/>
                <w:b/>
                <w:bCs/>
                <w:kern w:val="2"/>
                <w:sz w:val="21"/>
                <w:szCs w:val="21"/>
                <w:lang w:eastAsia="zh-CN"/>
              </w:rPr>
              <w:t>3</w:t>
            </w:r>
            <w:r>
              <w:rPr>
                <w:rFonts w:ascii="宋体" w:eastAsia="宋体" w:hAnsi="宋体"/>
                <w:b/>
                <w:bCs/>
                <w:kern w:val="2"/>
                <w:sz w:val="21"/>
                <w:szCs w:val="21"/>
                <w:lang w:eastAsia="zh-CN"/>
              </w:rPr>
              <w:t>0</w:t>
            </w:r>
          </w:p>
        </w:tc>
      </w:tr>
      <w:tr>
        <w:tblPrEx>
          <w:tblW w:w="5000" w:type="pct"/>
          <w:tblInd w:w="0" w:type="dxa"/>
          <w:tblLayout w:type="fixed"/>
          <w:tblCellMar>
            <w:top w:w="0" w:type="dxa"/>
            <w:left w:w="108" w:type="dxa"/>
            <w:bottom w:w="0" w:type="dxa"/>
            <w:right w:w="108" w:type="dxa"/>
          </w:tblCellMar>
        </w:tblPrEx>
        <w:trPr>
          <w:trHeight w:val="20"/>
        </w:trPr>
        <w:tc>
          <w:tcPr>
            <w:tcW w:w="383" w:type="dxa"/>
            <w:vAlign w:val="center"/>
          </w:tcPr>
          <w:p>
            <w:pPr>
              <w:widowControl w:val="0"/>
              <w:spacing w:after="160" w:line="259" w:lineRule="auto"/>
              <w:jc w:val="center"/>
              <w:rPr>
                <w:rFonts w:ascii="宋体" w:eastAsia="宋体" w:hAnsi="宋体"/>
                <w:b/>
                <w:bCs/>
                <w:kern w:val="2"/>
                <w:sz w:val="21"/>
                <w:szCs w:val="21"/>
                <w:lang w:eastAsia="zh-CN"/>
              </w:rPr>
            </w:pPr>
            <w:r>
              <w:rPr>
                <w:rFonts w:ascii="宋体" w:eastAsia="宋体" w:hAnsi="宋体"/>
                <w:b/>
                <w:bCs/>
                <w:kern w:val="2"/>
                <w:sz w:val="21"/>
                <w:szCs w:val="21"/>
                <w:lang w:eastAsia="zh-CN"/>
              </w:rPr>
              <w:t>2</w:t>
            </w:r>
          </w:p>
        </w:tc>
        <w:tc>
          <w:tcPr>
            <w:tcW w:w="2799" w:type="dxa"/>
            <w:gridSpan w:val="4"/>
            <w:vAlign w:val="center"/>
          </w:tcPr>
          <w:p>
            <w:pPr>
              <w:widowControl w:val="0"/>
              <w:spacing w:after="160" w:line="259" w:lineRule="auto"/>
              <w:jc w:val="center"/>
              <w:rPr>
                <w:rFonts w:ascii="宋体" w:eastAsia="宋体" w:hAnsi="宋体"/>
                <w:b/>
                <w:bCs/>
                <w:kern w:val="2"/>
                <w:sz w:val="21"/>
                <w:szCs w:val="21"/>
                <w:lang w:eastAsia="zh-CN"/>
              </w:rPr>
            </w:pPr>
            <w:r>
              <w:rPr>
                <w:rFonts w:ascii="宋体" w:eastAsia="宋体" w:hAnsi="宋体" w:hint="eastAsia"/>
                <w:b/>
                <w:bCs/>
                <w:kern w:val="2"/>
                <w:sz w:val="21"/>
                <w:szCs w:val="21"/>
                <w:lang w:eastAsia="zh-CN"/>
              </w:rPr>
              <w:t>技术部分</w:t>
            </w:r>
          </w:p>
        </w:tc>
        <w:tc>
          <w:tcPr>
            <w:tcW w:w="5897" w:type="dxa"/>
            <w:vAlign w:val="center"/>
          </w:tcPr>
          <w:p>
            <w:pPr>
              <w:widowControl w:val="0"/>
              <w:spacing w:after="160" w:line="259" w:lineRule="auto"/>
              <w:jc w:val="center"/>
              <w:rPr>
                <w:rFonts w:ascii="宋体" w:eastAsia="宋体" w:hAnsi="宋体"/>
                <w:b/>
                <w:bCs/>
                <w:kern w:val="2"/>
                <w:sz w:val="21"/>
                <w:szCs w:val="21"/>
                <w:lang w:eastAsia="zh-CN"/>
              </w:rPr>
            </w:pPr>
            <w:r>
              <w:rPr>
                <w:rFonts w:ascii="宋体" w:eastAsia="宋体" w:hAnsi="宋体"/>
                <w:b/>
                <w:bCs/>
                <w:kern w:val="2"/>
                <w:sz w:val="21"/>
                <w:szCs w:val="21"/>
                <w:lang w:eastAsia="zh-CN"/>
              </w:rPr>
              <w:t>54</w:t>
            </w:r>
          </w:p>
        </w:tc>
      </w:tr>
      <w:tr>
        <w:tblPrEx>
          <w:tblW w:w="5000" w:type="pct"/>
          <w:tblInd w:w="0" w:type="dxa"/>
          <w:tblLayout w:type="fixed"/>
          <w:tblCellMar>
            <w:top w:w="0" w:type="dxa"/>
            <w:left w:w="108" w:type="dxa"/>
            <w:bottom w:w="0" w:type="dxa"/>
            <w:right w:w="108" w:type="dxa"/>
          </w:tblCellMar>
        </w:tblPrEx>
        <w:trPr>
          <w:trHeight w:val="20"/>
        </w:trPr>
        <w:tc>
          <w:tcPr>
            <w:tcW w:w="383" w:type="dxa"/>
            <w:vMerge w:val="restart"/>
            <w:vAlign w:val="center"/>
          </w:tcPr>
          <w:p>
            <w:pPr>
              <w:widowControl w:val="0"/>
              <w:spacing w:after="160" w:line="259" w:lineRule="auto"/>
              <w:jc w:val="center"/>
              <w:rPr>
                <w:rFonts w:ascii="宋体" w:eastAsia="宋体" w:hAnsi="宋体"/>
                <w:kern w:val="2"/>
                <w:sz w:val="21"/>
                <w:szCs w:val="21"/>
                <w:lang w:eastAsia="zh-CN"/>
              </w:rPr>
            </w:pPr>
          </w:p>
        </w:tc>
        <w:tc>
          <w:tcPr>
            <w:tcW w:w="400"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序号</w:t>
            </w:r>
          </w:p>
        </w:tc>
        <w:tc>
          <w:tcPr>
            <w:tcW w:w="981"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评审因素</w:t>
            </w:r>
          </w:p>
        </w:tc>
        <w:tc>
          <w:tcPr>
            <w:tcW w:w="709"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权重</w:t>
            </w:r>
          </w:p>
        </w:tc>
        <w:tc>
          <w:tcPr>
            <w:tcW w:w="709"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评分方式</w:t>
            </w:r>
          </w:p>
        </w:tc>
        <w:tc>
          <w:tcPr>
            <w:tcW w:w="5897"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评分准则</w:t>
            </w:r>
          </w:p>
        </w:tc>
      </w:tr>
      <w:tr>
        <w:tblPrEx>
          <w:tblW w:w="5000" w:type="pct"/>
          <w:tblInd w:w="0" w:type="dxa"/>
          <w:tblLayout w:type="fixed"/>
          <w:tblCellMar>
            <w:top w:w="0" w:type="dxa"/>
            <w:left w:w="108" w:type="dxa"/>
            <w:bottom w:w="0" w:type="dxa"/>
            <w:right w:w="108" w:type="dxa"/>
          </w:tblCellMar>
        </w:tblPrEx>
        <w:trPr>
          <w:trHeight w:val="20"/>
        </w:trPr>
        <w:tc>
          <w:tcPr>
            <w:tcW w:w="383" w:type="dxa"/>
            <w:vMerge/>
            <w:vAlign w:val="center"/>
          </w:tcPr>
          <w:p>
            <w:pPr>
              <w:keepNext/>
              <w:keepLines/>
              <w:widowControl w:val="0"/>
              <w:spacing w:before="340" w:after="330" w:line="259" w:lineRule="auto"/>
              <w:jc w:val="center"/>
              <w:outlineLvl w:val="0"/>
              <w:rPr>
                <w:rFonts w:ascii="宋体" w:eastAsia="宋体" w:hAnsi="宋体"/>
                <w:kern w:val="2"/>
                <w:sz w:val="21"/>
                <w:szCs w:val="21"/>
                <w:lang w:eastAsia="zh-CN"/>
              </w:rPr>
            </w:pPr>
          </w:p>
        </w:tc>
        <w:tc>
          <w:tcPr>
            <w:tcW w:w="400"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kern w:val="2"/>
                <w:sz w:val="21"/>
                <w:szCs w:val="21"/>
                <w:lang w:eastAsia="zh-CN"/>
              </w:rPr>
              <w:t>1</w:t>
            </w:r>
          </w:p>
        </w:tc>
        <w:tc>
          <w:tcPr>
            <w:tcW w:w="981"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技术保障措施</w:t>
            </w:r>
          </w:p>
        </w:tc>
        <w:tc>
          <w:tcPr>
            <w:tcW w:w="709"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5</w:t>
            </w:r>
          </w:p>
        </w:tc>
        <w:tc>
          <w:tcPr>
            <w:tcW w:w="709"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专家打分</w:t>
            </w:r>
          </w:p>
        </w:tc>
        <w:tc>
          <w:tcPr>
            <w:tcW w:w="5897" w:type="dxa"/>
            <w:vAlign w:val="center"/>
          </w:tcPr>
          <w:p>
            <w:pPr>
              <w:widowControl w:val="0"/>
              <w:autoSpaceDE w:val="0"/>
              <w:autoSpaceDN w:val="0"/>
              <w:adjustRightInd w:val="0"/>
              <w:snapToGrid w:val="0"/>
              <w:spacing w:after="160" w:line="259" w:lineRule="auto"/>
              <w:jc w:val="left"/>
              <w:rPr>
                <w:rFonts w:ascii="宋体" w:eastAsia="宋体" w:hAnsi="宋体" w:cs="宋体"/>
                <w:b/>
                <w:bCs/>
                <w:sz w:val="21"/>
                <w:szCs w:val="21"/>
                <w:lang w:eastAsia="zh-CN"/>
              </w:rPr>
            </w:pPr>
            <w:r>
              <w:rPr>
                <w:rFonts w:ascii="宋体" w:eastAsia="宋体" w:hAnsi="宋体" w:cs="宋体" w:hint="eastAsia"/>
                <w:b/>
                <w:bCs/>
                <w:sz w:val="21"/>
                <w:szCs w:val="21"/>
                <w:lang w:eastAsia="zh-CN"/>
              </w:rPr>
              <w:t>（一）评分内容：</w:t>
            </w:r>
          </w:p>
          <w:p>
            <w:pPr>
              <w:widowControl w:val="0"/>
              <w:autoSpaceDE w:val="0"/>
              <w:autoSpaceDN w:val="0"/>
              <w:adjustRightInd w:val="0"/>
              <w:snapToGrid w:val="0"/>
              <w:spacing w:after="160" w:line="259" w:lineRule="auto"/>
              <w:jc w:val="left"/>
              <w:rPr>
                <w:rFonts w:ascii="宋体" w:eastAsia="宋体" w:hAnsi="宋体" w:cs="宋体"/>
                <w:sz w:val="21"/>
                <w:szCs w:val="21"/>
                <w:lang w:eastAsia="zh-CN"/>
              </w:rPr>
            </w:pPr>
            <w:r>
              <w:rPr>
                <w:rFonts w:ascii="宋体" w:eastAsia="宋体" w:hAnsi="宋体" w:cs="宋体" w:hint="eastAsia"/>
                <w:sz w:val="21"/>
                <w:szCs w:val="21"/>
                <w:lang w:eastAsia="zh-CN"/>
              </w:rPr>
              <w:t>根据投标人对本项目需求制定技术保障措施，内容包括：</w:t>
            </w:r>
          </w:p>
          <w:p>
            <w:pPr>
              <w:widowControl w:val="0"/>
              <w:autoSpaceDE w:val="0"/>
              <w:autoSpaceDN w:val="0"/>
              <w:adjustRightInd w:val="0"/>
              <w:snapToGrid w:val="0"/>
              <w:spacing w:after="160" w:line="259" w:lineRule="auto"/>
              <w:jc w:val="left"/>
              <w:rPr>
                <w:rFonts w:ascii="宋体" w:eastAsia="宋体" w:hAnsi="宋体" w:cs="宋体"/>
                <w:sz w:val="21"/>
                <w:szCs w:val="21"/>
                <w:lang w:eastAsia="zh-CN"/>
              </w:rPr>
            </w:pPr>
            <w:r>
              <w:rPr>
                <w:rFonts w:ascii="宋体" w:eastAsia="宋体" w:hAnsi="宋体" w:cs="宋体" w:hint="eastAsia"/>
                <w:sz w:val="21"/>
                <w:szCs w:val="21"/>
                <w:lang w:eastAsia="zh-CN"/>
              </w:rPr>
              <w:t>①供货进度安排；②安装调试方案；③质量控制措施；</w:t>
            </w:r>
          </w:p>
          <w:p>
            <w:pPr>
              <w:widowControl w:val="0"/>
              <w:autoSpaceDE w:val="0"/>
              <w:autoSpaceDN w:val="0"/>
              <w:adjustRightInd w:val="0"/>
              <w:snapToGrid w:val="0"/>
              <w:spacing w:after="160" w:line="259" w:lineRule="auto"/>
              <w:jc w:val="left"/>
              <w:rPr>
                <w:rFonts w:ascii="宋体" w:eastAsia="宋体" w:hAnsi="宋体" w:cs="宋体"/>
                <w:sz w:val="21"/>
                <w:szCs w:val="21"/>
                <w:lang w:eastAsia="zh-CN"/>
              </w:rPr>
            </w:pPr>
            <w:r>
              <w:rPr>
                <w:rFonts w:ascii="宋体" w:eastAsia="宋体" w:hAnsi="宋体" w:cs="宋体" w:hint="eastAsia"/>
                <w:sz w:val="21"/>
                <w:szCs w:val="21"/>
                <w:lang w:eastAsia="zh-CN"/>
              </w:rPr>
              <w:t>④安全保障措施（包括但不限于交货安全、设备安全、信息化安全等）；⑤技术团队情况（包括但不限于交货人员、验收人员、维修保养人员、培训人员等）；</w:t>
            </w:r>
          </w:p>
          <w:p>
            <w:pPr>
              <w:widowControl w:val="0"/>
              <w:autoSpaceDE w:val="0"/>
              <w:autoSpaceDN w:val="0"/>
              <w:adjustRightInd w:val="0"/>
              <w:snapToGrid w:val="0"/>
              <w:spacing w:after="160" w:line="259" w:lineRule="auto"/>
              <w:jc w:val="left"/>
              <w:rPr>
                <w:rFonts w:ascii="宋体" w:eastAsia="宋体" w:hAnsi="宋体" w:cs="宋体"/>
                <w:b/>
                <w:bCs/>
                <w:sz w:val="21"/>
                <w:szCs w:val="21"/>
                <w:lang w:eastAsia="zh-CN"/>
              </w:rPr>
            </w:pPr>
            <w:r>
              <w:rPr>
                <w:rFonts w:ascii="宋体" w:eastAsia="宋体" w:hAnsi="宋体" w:cs="宋体" w:hint="eastAsia"/>
                <w:b/>
                <w:bCs/>
                <w:sz w:val="21"/>
                <w:szCs w:val="21"/>
                <w:lang w:eastAsia="zh-CN"/>
              </w:rPr>
              <w:t>（二）评分依据：</w:t>
            </w:r>
          </w:p>
          <w:p>
            <w:pPr>
              <w:widowControl w:val="0"/>
              <w:autoSpaceDE w:val="0"/>
              <w:autoSpaceDN w:val="0"/>
              <w:adjustRightInd w:val="0"/>
              <w:snapToGrid w:val="0"/>
              <w:spacing w:after="160" w:line="259" w:lineRule="auto"/>
              <w:jc w:val="left"/>
              <w:rPr>
                <w:rFonts w:ascii="宋体" w:eastAsia="宋体" w:hAnsi="宋体" w:cs="宋体"/>
                <w:sz w:val="21"/>
                <w:szCs w:val="21"/>
                <w:lang w:eastAsia="zh-CN"/>
              </w:rPr>
            </w:pPr>
            <w:r>
              <w:rPr>
                <w:rFonts w:ascii="宋体" w:eastAsia="宋体" w:hAnsi="宋体" w:cs="宋体" w:hint="eastAsia"/>
                <w:sz w:val="21"/>
                <w:szCs w:val="21"/>
                <w:lang w:eastAsia="zh-CN"/>
              </w:rPr>
              <w:t>方案包含以上任意一项内容得12分；最高60分。</w:t>
            </w:r>
          </w:p>
          <w:p>
            <w:pPr>
              <w:widowControl w:val="0"/>
              <w:autoSpaceDE w:val="0"/>
              <w:autoSpaceDN w:val="0"/>
              <w:adjustRightInd w:val="0"/>
              <w:snapToGrid w:val="0"/>
              <w:spacing w:after="160" w:line="259" w:lineRule="auto"/>
              <w:jc w:val="left"/>
              <w:rPr>
                <w:rFonts w:ascii="宋体" w:eastAsia="宋体" w:hAnsi="宋体" w:cs="宋体"/>
                <w:sz w:val="21"/>
                <w:szCs w:val="21"/>
                <w:lang w:eastAsia="zh-CN"/>
              </w:rPr>
            </w:pPr>
            <w:r>
              <w:rPr>
                <w:rFonts w:ascii="宋体" w:eastAsia="宋体" w:hAnsi="宋体" w:cs="宋体" w:hint="eastAsia"/>
                <w:sz w:val="21"/>
                <w:szCs w:val="21"/>
                <w:lang w:eastAsia="zh-CN"/>
              </w:rPr>
              <w:t>在此基础上，根据方案响应情况进一步评审：</w:t>
            </w:r>
          </w:p>
          <w:p>
            <w:pPr>
              <w:widowControl w:val="0"/>
              <w:autoSpaceDE w:val="0"/>
              <w:autoSpaceDN w:val="0"/>
              <w:adjustRightInd w:val="0"/>
              <w:snapToGrid w:val="0"/>
              <w:spacing w:after="160" w:line="259" w:lineRule="auto"/>
              <w:jc w:val="left"/>
              <w:rPr>
                <w:rFonts w:ascii="宋体" w:eastAsia="宋体" w:hAnsi="宋体" w:cs="宋体"/>
                <w:sz w:val="21"/>
                <w:szCs w:val="21"/>
                <w:lang w:eastAsia="zh-CN"/>
              </w:rPr>
            </w:pPr>
            <w:r>
              <w:rPr>
                <w:rFonts w:ascii="宋体" w:eastAsia="宋体" w:hAnsi="宋体" w:cs="宋体" w:hint="eastAsia"/>
                <w:sz w:val="21"/>
                <w:szCs w:val="21"/>
                <w:lang w:eastAsia="zh-CN"/>
              </w:rPr>
              <w:t>（1）项目技术保障措施全面具体、针对性强、可操作性强，评价为优，加40分；</w:t>
            </w:r>
          </w:p>
          <w:p>
            <w:pPr>
              <w:widowControl w:val="0"/>
              <w:autoSpaceDE w:val="0"/>
              <w:autoSpaceDN w:val="0"/>
              <w:adjustRightInd w:val="0"/>
              <w:snapToGrid w:val="0"/>
              <w:spacing w:after="160" w:line="259" w:lineRule="auto"/>
              <w:jc w:val="left"/>
              <w:rPr>
                <w:rFonts w:ascii="宋体" w:eastAsia="宋体" w:hAnsi="宋体" w:cs="宋体"/>
                <w:sz w:val="21"/>
                <w:szCs w:val="21"/>
                <w:lang w:eastAsia="zh-CN"/>
              </w:rPr>
            </w:pPr>
            <w:r>
              <w:rPr>
                <w:rFonts w:ascii="宋体" w:eastAsia="宋体" w:hAnsi="宋体" w:cs="宋体" w:hint="eastAsia"/>
                <w:sz w:val="21"/>
                <w:szCs w:val="21"/>
                <w:lang w:eastAsia="zh-CN"/>
              </w:rPr>
              <w:t>（2）项目技术保障措施比较全面具体、针对性、可操作性较好，评价为良，加30分；</w:t>
            </w:r>
          </w:p>
          <w:p>
            <w:pPr>
              <w:widowControl w:val="0"/>
              <w:autoSpaceDE w:val="0"/>
              <w:autoSpaceDN w:val="0"/>
              <w:adjustRightInd w:val="0"/>
              <w:snapToGrid w:val="0"/>
              <w:spacing w:after="160" w:line="259" w:lineRule="auto"/>
              <w:jc w:val="left"/>
              <w:rPr>
                <w:rFonts w:ascii="宋体" w:eastAsia="宋体" w:hAnsi="宋体" w:cs="宋体"/>
                <w:sz w:val="21"/>
                <w:szCs w:val="21"/>
                <w:lang w:eastAsia="zh-CN"/>
              </w:rPr>
            </w:pPr>
            <w:r>
              <w:rPr>
                <w:rFonts w:ascii="宋体" w:eastAsia="宋体" w:hAnsi="宋体" w:cs="宋体" w:hint="eastAsia"/>
                <w:sz w:val="21"/>
                <w:szCs w:val="21"/>
                <w:lang w:eastAsia="zh-CN"/>
              </w:rPr>
              <w:t>（3）项目技术保障措施基本全面具体，针对性、可操作性一般。评价为中，加20分；</w:t>
            </w:r>
          </w:p>
          <w:p>
            <w:pPr>
              <w:widowControl w:val="0"/>
              <w:autoSpaceDE w:val="0"/>
              <w:autoSpaceDN w:val="0"/>
              <w:adjustRightInd w:val="0"/>
              <w:snapToGrid w:val="0"/>
              <w:spacing w:after="160" w:line="259" w:lineRule="auto"/>
              <w:jc w:val="left"/>
              <w:rPr>
                <w:rFonts w:ascii="宋体" w:eastAsia="宋体" w:hAnsi="宋体" w:cs="宋体"/>
                <w:sz w:val="21"/>
                <w:szCs w:val="21"/>
                <w:lang w:eastAsia="zh-CN"/>
              </w:rPr>
            </w:pPr>
            <w:r>
              <w:rPr>
                <w:rFonts w:ascii="宋体" w:eastAsia="宋体" w:hAnsi="宋体" w:cs="宋体" w:hint="eastAsia"/>
                <w:sz w:val="21"/>
                <w:szCs w:val="21"/>
                <w:lang w:eastAsia="zh-CN"/>
              </w:rPr>
              <w:t>（4）项目技术保障措施不全不具体、无针对性、无可操作性，或未按采购文件要求提供实施方案的。评价为差，不得分。如果评审为差，要求专家书面说明理由，并记录在档。</w:t>
            </w:r>
          </w:p>
          <w:p>
            <w:pPr>
              <w:widowControl w:val="0"/>
              <w:spacing w:after="160" w:line="259" w:lineRule="auto"/>
              <w:jc w:val="left"/>
              <w:rPr>
                <w:rFonts w:ascii="宋体" w:eastAsia="宋体" w:hAnsi="宋体" w:cs="宋体"/>
                <w:kern w:val="2"/>
                <w:sz w:val="21"/>
                <w:szCs w:val="21"/>
                <w:lang w:eastAsia="zh-CN"/>
              </w:rPr>
            </w:pPr>
            <w:r>
              <w:rPr>
                <w:rFonts w:ascii="宋体" w:eastAsia="宋体" w:hAnsi="宋体" w:cs="宋体" w:hint="eastAsia"/>
                <w:sz w:val="21"/>
                <w:szCs w:val="21"/>
                <w:lang w:eastAsia="zh-CN"/>
              </w:rPr>
              <w:t>以上累计得分，最高得100分。</w:t>
            </w:r>
          </w:p>
        </w:tc>
      </w:tr>
      <w:tr>
        <w:tblPrEx>
          <w:tblW w:w="5000" w:type="pct"/>
          <w:tblInd w:w="0" w:type="dxa"/>
          <w:tblLayout w:type="fixed"/>
          <w:tblCellMar>
            <w:top w:w="0" w:type="dxa"/>
            <w:left w:w="108" w:type="dxa"/>
            <w:bottom w:w="0" w:type="dxa"/>
            <w:right w:w="108" w:type="dxa"/>
          </w:tblCellMar>
        </w:tblPrEx>
        <w:trPr>
          <w:trHeight w:val="20"/>
        </w:trPr>
        <w:tc>
          <w:tcPr>
            <w:tcW w:w="383" w:type="dxa"/>
            <w:vMerge/>
            <w:vAlign w:val="center"/>
          </w:tcPr>
          <w:p>
            <w:pPr>
              <w:keepNext/>
              <w:keepLines/>
              <w:widowControl w:val="0"/>
              <w:spacing w:before="260" w:after="260" w:line="259" w:lineRule="auto"/>
              <w:jc w:val="center"/>
              <w:outlineLvl w:val="2"/>
              <w:rPr>
                <w:rFonts w:ascii="宋体" w:eastAsia="宋体" w:hAnsi="宋体"/>
                <w:kern w:val="2"/>
                <w:sz w:val="21"/>
                <w:szCs w:val="21"/>
                <w:lang w:eastAsia="zh-CN"/>
              </w:rPr>
            </w:pPr>
          </w:p>
        </w:tc>
        <w:tc>
          <w:tcPr>
            <w:tcW w:w="400"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kern w:val="2"/>
                <w:sz w:val="21"/>
                <w:szCs w:val="21"/>
                <w:lang w:eastAsia="zh-CN"/>
              </w:rPr>
              <w:t>2</w:t>
            </w:r>
          </w:p>
        </w:tc>
        <w:tc>
          <w:tcPr>
            <w:tcW w:w="981"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cs="宋体" w:hint="eastAsia"/>
                <w:sz w:val="21"/>
                <w:szCs w:val="21"/>
                <w:lang w:eastAsia="zh-CN"/>
              </w:rPr>
              <w:t>技术要求偏离情况</w:t>
            </w:r>
          </w:p>
        </w:tc>
        <w:tc>
          <w:tcPr>
            <w:tcW w:w="709"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cs="宋体"/>
                <w:kern w:val="2"/>
                <w:sz w:val="21"/>
                <w:szCs w:val="21"/>
                <w:lang w:eastAsia="zh-CN"/>
              </w:rPr>
              <w:t>49</w:t>
            </w:r>
          </w:p>
        </w:tc>
        <w:tc>
          <w:tcPr>
            <w:tcW w:w="709"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专家打分</w:t>
            </w:r>
          </w:p>
        </w:tc>
        <w:tc>
          <w:tcPr>
            <w:tcW w:w="5897" w:type="dxa"/>
            <w:vAlign w:val="center"/>
          </w:tcPr>
          <w:p>
            <w:pPr>
              <w:widowControl/>
              <w:spacing w:after="160" w:line="259" w:lineRule="auto"/>
              <w:jc w:val="left"/>
              <w:rPr>
                <w:rFonts w:ascii="宋体" w:eastAsia="宋体" w:hAnsi="宋体" w:cs="宋体"/>
                <w:kern w:val="2"/>
                <w:sz w:val="21"/>
                <w:szCs w:val="21"/>
                <w:lang w:eastAsia="zh-CN"/>
              </w:rPr>
            </w:pPr>
            <w:r>
              <w:rPr>
                <w:rFonts w:ascii="宋体" w:eastAsia="宋体" w:hAnsi="宋体" w:cs="宋体" w:hint="eastAsia"/>
                <w:sz w:val="21"/>
                <w:szCs w:val="21"/>
                <w:lang w:eastAsia="zh-CN"/>
              </w:rPr>
              <w:t>（一）评分内容：投标人应如实填写《技术要求偏离表》，评审委员会根据技术需求参数响应情况进行打分，各项技术参数指标及要求全部满足的得100分，</w:t>
            </w:r>
            <w:r>
              <w:rPr>
                <w:rFonts w:eastAsia="宋体"/>
                <w:kern w:val="2"/>
                <w:sz w:val="21"/>
                <w:lang w:eastAsia="zh-CN"/>
              </w:rPr>
              <w:t>所有标注“▲”的重要参数每项负偏离一</w:t>
            </w:r>
            <w:r>
              <w:rPr>
                <w:rFonts w:eastAsia="宋体"/>
                <w:kern w:val="2"/>
                <w:sz w:val="21"/>
                <w:highlight w:val="yellow"/>
                <w:lang w:eastAsia="zh-CN"/>
              </w:rPr>
              <w:t>扣</w:t>
            </w:r>
            <w:r>
              <w:rPr>
                <w:rFonts w:eastAsia="宋体" w:hint="eastAsia"/>
                <w:color w:val="FF0000"/>
                <w:kern w:val="2"/>
                <w:sz w:val="21"/>
                <w:highlight w:val="yellow"/>
                <w:lang w:eastAsia="zh-CN"/>
              </w:rPr>
              <w:t>5</w:t>
            </w:r>
            <w:r>
              <w:rPr>
                <w:rFonts w:eastAsia="宋体"/>
                <w:kern w:val="2"/>
                <w:sz w:val="21"/>
                <w:highlight w:val="yellow"/>
                <w:lang w:eastAsia="zh-CN"/>
              </w:rPr>
              <w:t>分</w:t>
            </w:r>
            <w:r>
              <w:rPr>
                <w:rFonts w:eastAsia="宋体"/>
                <w:kern w:val="2"/>
                <w:sz w:val="21"/>
                <w:lang w:eastAsia="zh-CN"/>
              </w:rPr>
              <w:t>，一般参数每负偏离一条</w:t>
            </w:r>
            <w:r>
              <w:rPr>
                <w:rFonts w:eastAsia="宋体"/>
                <w:kern w:val="2"/>
                <w:sz w:val="21"/>
                <w:highlight w:val="yellow"/>
                <w:lang w:eastAsia="zh-CN"/>
              </w:rPr>
              <w:t>扣</w:t>
            </w:r>
            <w:r>
              <w:rPr>
                <w:rFonts w:eastAsia="宋体" w:hint="eastAsia"/>
                <w:color w:val="FF0000"/>
                <w:kern w:val="2"/>
                <w:sz w:val="21"/>
                <w:highlight w:val="yellow"/>
                <w:lang w:eastAsia="zh-CN"/>
              </w:rPr>
              <w:t>1.6</w:t>
            </w:r>
            <w:r>
              <w:rPr>
                <w:rFonts w:eastAsia="宋体"/>
                <w:kern w:val="2"/>
                <w:sz w:val="21"/>
                <w:highlight w:val="yellow"/>
                <w:lang w:eastAsia="zh-CN"/>
              </w:rPr>
              <w:t>分</w:t>
            </w:r>
            <w:r>
              <w:rPr>
                <w:rFonts w:eastAsia="宋体"/>
                <w:kern w:val="2"/>
                <w:sz w:val="21"/>
                <w:lang w:eastAsia="zh-CN"/>
              </w:rPr>
              <w:t>，扣完为止。 </w:t>
            </w:r>
          </w:p>
        </w:tc>
      </w:tr>
      <w:tr>
        <w:tblPrEx>
          <w:tblW w:w="5000" w:type="pct"/>
          <w:tblInd w:w="0" w:type="dxa"/>
          <w:tblLayout w:type="fixed"/>
          <w:tblCellMar>
            <w:top w:w="0" w:type="dxa"/>
            <w:left w:w="108" w:type="dxa"/>
            <w:bottom w:w="0" w:type="dxa"/>
            <w:right w:w="108" w:type="dxa"/>
          </w:tblCellMar>
        </w:tblPrEx>
        <w:trPr>
          <w:trHeight w:val="20"/>
        </w:trPr>
        <w:tc>
          <w:tcPr>
            <w:tcW w:w="383" w:type="dxa"/>
            <w:vAlign w:val="center"/>
          </w:tcPr>
          <w:p>
            <w:pPr>
              <w:widowControl w:val="0"/>
              <w:spacing w:after="160" w:line="259" w:lineRule="auto"/>
              <w:jc w:val="center"/>
              <w:rPr>
                <w:rFonts w:ascii="宋体" w:eastAsia="宋体" w:hAnsi="宋体"/>
                <w:b/>
                <w:bCs/>
                <w:kern w:val="2"/>
                <w:sz w:val="21"/>
                <w:szCs w:val="21"/>
                <w:lang w:eastAsia="zh-CN"/>
              </w:rPr>
            </w:pPr>
            <w:r>
              <w:rPr>
                <w:rFonts w:ascii="宋体" w:eastAsia="宋体" w:hAnsi="宋体"/>
                <w:b/>
                <w:bCs/>
                <w:kern w:val="2"/>
                <w:sz w:val="21"/>
                <w:szCs w:val="21"/>
                <w:lang w:eastAsia="zh-CN"/>
              </w:rPr>
              <w:t>3</w:t>
            </w:r>
          </w:p>
        </w:tc>
        <w:tc>
          <w:tcPr>
            <w:tcW w:w="2799" w:type="dxa"/>
            <w:gridSpan w:val="4"/>
            <w:vAlign w:val="center"/>
          </w:tcPr>
          <w:p>
            <w:pPr>
              <w:widowControl w:val="0"/>
              <w:spacing w:after="160" w:line="259" w:lineRule="auto"/>
              <w:jc w:val="center"/>
              <w:rPr>
                <w:rFonts w:ascii="宋体" w:eastAsia="宋体" w:hAnsi="宋体"/>
                <w:b/>
                <w:bCs/>
                <w:kern w:val="2"/>
                <w:sz w:val="21"/>
                <w:szCs w:val="21"/>
                <w:lang w:eastAsia="zh-CN"/>
              </w:rPr>
            </w:pPr>
            <w:r>
              <w:rPr>
                <w:rFonts w:ascii="宋体" w:eastAsia="宋体" w:hAnsi="宋体" w:hint="eastAsia"/>
                <w:b/>
                <w:bCs/>
                <w:kern w:val="2"/>
                <w:sz w:val="21"/>
                <w:szCs w:val="21"/>
                <w:lang w:eastAsia="zh-CN"/>
              </w:rPr>
              <w:t>商务部分</w:t>
            </w:r>
          </w:p>
        </w:tc>
        <w:tc>
          <w:tcPr>
            <w:tcW w:w="5897" w:type="dxa"/>
            <w:vAlign w:val="center"/>
          </w:tcPr>
          <w:p>
            <w:pPr>
              <w:widowControl w:val="0"/>
              <w:spacing w:after="160" w:line="259" w:lineRule="auto"/>
              <w:jc w:val="center"/>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8</w:t>
            </w:r>
          </w:p>
        </w:tc>
      </w:tr>
      <w:tr>
        <w:tblPrEx>
          <w:tblW w:w="5000" w:type="pct"/>
          <w:tblInd w:w="0" w:type="dxa"/>
          <w:tblLayout w:type="fixed"/>
          <w:tblCellMar>
            <w:top w:w="0" w:type="dxa"/>
            <w:left w:w="108" w:type="dxa"/>
            <w:bottom w:w="0" w:type="dxa"/>
            <w:right w:w="108" w:type="dxa"/>
          </w:tblCellMar>
        </w:tblPrEx>
        <w:trPr>
          <w:trHeight w:val="20"/>
        </w:trPr>
        <w:tc>
          <w:tcPr>
            <w:tcW w:w="383" w:type="dxa"/>
            <w:vMerge w:val="restart"/>
            <w:vAlign w:val="center"/>
          </w:tcPr>
          <w:p>
            <w:pPr>
              <w:keepNext/>
              <w:keepLines/>
              <w:widowControl w:val="0"/>
              <w:spacing w:before="340" w:after="330" w:line="259" w:lineRule="auto"/>
              <w:jc w:val="center"/>
              <w:outlineLvl w:val="0"/>
              <w:rPr>
                <w:rFonts w:ascii="宋体" w:eastAsia="宋体" w:hAnsi="宋体"/>
                <w:kern w:val="2"/>
                <w:sz w:val="21"/>
                <w:szCs w:val="21"/>
                <w:lang w:eastAsia="zh-CN"/>
              </w:rPr>
            </w:pPr>
          </w:p>
        </w:tc>
        <w:tc>
          <w:tcPr>
            <w:tcW w:w="400"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序号</w:t>
            </w:r>
          </w:p>
        </w:tc>
        <w:tc>
          <w:tcPr>
            <w:tcW w:w="981"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评审因素</w:t>
            </w:r>
          </w:p>
        </w:tc>
        <w:tc>
          <w:tcPr>
            <w:tcW w:w="709"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权重</w:t>
            </w:r>
          </w:p>
        </w:tc>
        <w:tc>
          <w:tcPr>
            <w:tcW w:w="709"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评分方式</w:t>
            </w:r>
          </w:p>
        </w:tc>
        <w:tc>
          <w:tcPr>
            <w:tcW w:w="5897"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评分准则</w:t>
            </w:r>
          </w:p>
        </w:tc>
      </w:tr>
      <w:tr>
        <w:tblPrEx>
          <w:tblW w:w="5000" w:type="pct"/>
          <w:tblInd w:w="0" w:type="dxa"/>
          <w:tblLayout w:type="fixed"/>
          <w:tblCellMar>
            <w:top w:w="0" w:type="dxa"/>
            <w:left w:w="108" w:type="dxa"/>
            <w:bottom w:w="0" w:type="dxa"/>
            <w:right w:w="108" w:type="dxa"/>
          </w:tblCellMar>
        </w:tblPrEx>
        <w:trPr>
          <w:trHeight w:val="20"/>
        </w:trPr>
        <w:tc>
          <w:tcPr>
            <w:tcW w:w="383" w:type="dxa"/>
            <w:vMerge/>
            <w:vAlign w:val="center"/>
          </w:tcPr>
          <w:p>
            <w:pPr>
              <w:keepNext/>
              <w:keepLines/>
              <w:widowControl w:val="0"/>
              <w:spacing w:before="340" w:after="330" w:line="259" w:lineRule="auto"/>
              <w:jc w:val="center"/>
              <w:outlineLvl w:val="0"/>
              <w:rPr>
                <w:rFonts w:ascii="宋体" w:eastAsia="宋体" w:hAnsi="宋体"/>
                <w:kern w:val="2"/>
                <w:sz w:val="21"/>
                <w:szCs w:val="21"/>
                <w:lang w:eastAsia="zh-CN"/>
              </w:rPr>
            </w:pPr>
          </w:p>
        </w:tc>
        <w:tc>
          <w:tcPr>
            <w:tcW w:w="400"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kern w:val="2"/>
                <w:sz w:val="21"/>
                <w:szCs w:val="21"/>
                <w:lang w:eastAsia="zh-CN"/>
              </w:rPr>
              <w:t>1</w:t>
            </w:r>
          </w:p>
        </w:tc>
        <w:tc>
          <w:tcPr>
            <w:tcW w:w="981"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免费保修期内售后服务条款偏离情况</w:t>
            </w:r>
          </w:p>
        </w:tc>
        <w:tc>
          <w:tcPr>
            <w:tcW w:w="709" w:type="dxa"/>
            <w:vAlign w:val="center"/>
          </w:tcPr>
          <w:p>
            <w:pPr>
              <w:widowControl w:val="0"/>
              <w:spacing w:after="160" w:line="259" w:lineRule="auto"/>
              <w:jc w:val="center"/>
              <w:rPr>
                <w:rFonts w:ascii="宋体" w:eastAsia="宋体" w:hAnsi="宋体" w:hint="eastAsia"/>
                <w:kern w:val="2"/>
                <w:sz w:val="21"/>
                <w:szCs w:val="21"/>
                <w:lang w:eastAsia="zh-CN"/>
              </w:rPr>
            </w:pPr>
            <w:r>
              <w:rPr>
                <w:rFonts w:ascii="宋体" w:eastAsia="宋体" w:hAnsi="宋体" w:cs="宋体" w:hint="eastAsia"/>
                <w:kern w:val="2"/>
                <w:sz w:val="21"/>
                <w:szCs w:val="21"/>
                <w:lang w:eastAsia="zh-CN"/>
              </w:rPr>
              <w:t>4</w:t>
            </w:r>
          </w:p>
        </w:tc>
        <w:tc>
          <w:tcPr>
            <w:tcW w:w="709"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专家评分</w:t>
            </w:r>
          </w:p>
        </w:tc>
        <w:tc>
          <w:tcPr>
            <w:tcW w:w="5897" w:type="dxa"/>
            <w:vAlign w:val="center"/>
          </w:tcPr>
          <w:p>
            <w:pPr>
              <w:widowControl w:val="0"/>
              <w:spacing w:after="160" w:line="259" w:lineRule="auto"/>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（一）评分内容：投标人应如实填写《商务要求偏离表（免费保修期内售后服务要求）》，评审委员会根据响应情况进行打分，全部满足要求的得</w:t>
            </w:r>
            <w:r>
              <w:rPr>
                <w:rFonts w:ascii="宋体" w:eastAsia="宋体" w:hAnsi="宋体"/>
                <w:kern w:val="2"/>
                <w:sz w:val="21"/>
                <w:szCs w:val="21"/>
                <w:lang w:eastAsia="zh-CN"/>
              </w:rPr>
              <w:t>100</w:t>
            </w:r>
            <w:r>
              <w:rPr>
                <w:rFonts w:ascii="宋体" w:eastAsia="宋体" w:hAnsi="宋体" w:cs="宋体" w:hint="eastAsia"/>
                <w:kern w:val="2"/>
                <w:sz w:val="21"/>
                <w:szCs w:val="21"/>
                <w:lang w:eastAsia="zh-CN"/>
              </w:rPr>
              <w:t>分，每负偏离一项扣</w:t>
            </w:r>
            <w:r>
              <w:rPr>
                <w:rFonts w:ascii="宋体" w:eastAsia="宋体" w:hAnsi="宋体" w:hint="eastAsia"/>
                <w:kern w:val="2"/>
                <w:sz w:val="21"/>
                <w:szCs w:val="21"/>
                <w:highlight w:val="yellow"/>
                <w:lang w:eastAsia="zh-CN"/>
              </w:rPr>
              <w:t>1</w:t>
            </w:r>
            <w:r>
              <w:rPr>
                <w:rFonts w:ascii="宋体" w:eastAsia="宋体" w:hAnsi="宋体" w:hint="eastAsia"/>
                <w:kern w:val="2"/>
                <w:sz w:val="21"/>
                <w:szCs w:val="21"/>
                <w:highlight w:val="yellow"/>
                <w:lang w:eastAsia="zh-CN"/>
              </w:rPr>
              <w:t>1.2</w:t>
            </w:r>
            <w:r>
              <w:rPr>
                <w:rFonts w:ascii="宋体" w:eastAsia="宋体" w:hAnsi="宋体" w:cs="宋体" w:hint="eastAsia"/>
                <w:kern w:val="2"/>
                <w:sz w:val="21"/>
                <w:szCs w:val="21"/>
                <w:lang w:eastAsia="zh-CN"/>
              </w:rPr>
              <w:t>分，扣完为止。</w:t>
            </w:r>
          </w:p>
        </w:tc>
      </w:tr>
      <w:tr>
        <w:tblPrEx>
          <w:tblW w:w="5000" w:type="pct"/>
          <w:tblInd w:w="0" w:type="dxa"/>
          <w:tblLayout w:type="fixed"/>
          <w:tblCellMar>
            <w:top w:w="0" w:type="dxa"/>
            <w:left w:w="108" w:type="dxa"/>
            <w:bottom w:w="0" w:type="dxa"/>
            <w:right w:w="108" w:type="dxa"/>
          </w:tblCellMar>
        </w:tblPrEx>
        <w:trPr>
          <w:trHeight w:val="20"/>
        </w:trPr>
        <w:tc>
          <w:tcPr>
            <w:tcW w:w="383" w:type="dxa"/>
            <w:vMerge/>
            <w:vAlign w:val="center"/>
          </w:tcPr>
          <w:p>
            <w:pPr>
              <w:keepNext/>
              <w:keepLines/>
              <w:widowControl w:val="0"/>
              <w:spacing w:before="260" w:after="260" w:line="259" w:lineRule="auto"/>
              <w:jc w:val="center"/>
              <w:outlineLvl w:val="2"/>
              <w:rPr>
                <w:rFonts w:ascii="宋体" w:eastAsia="宋体" w:hAnsi="宋体"/>
                <w:kern w:val="2"/>
                <w:sz w:val="21"/>
                <w:szCs w:val="21"/>
                <w:lang w:eastAsia="zh-CN"/>
              </w:rPr>
            </w:pPr>
          </w:p>
        </w:tc>
        <w:tc>
          <w:tcPr>
            <w:tcW w:w="400"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kern w:val="2"/>
                <w:sz w:val="21"/>
                <w:szCs w:val="21"/>
                <w:lang w:eastAsia="zh-CN"/>
              </w:rPr>
              <w:t>2</w:t>
            </w:r>
          </w:p>
        </w:tc>
        <w:tc>
          <w:tcPr>
            <w:tcW w:w="981" w:type="dxa"/>
            <w:vAlign w:val="center"/>
          </w:tcPr>
          <w:p>
            <w:pPr>
              <w:widowControl w:val="0"/>
              <w:spacing w:after="160" w:line="259"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免费保修期外售后服务条款偏离情况</w:t>
            </w:r>
          </w:p>
        </w:tc>
        <w:tc>
          <w:tcPr>
            <w:tcW w:w="709" w:type="dxa"/>
            <w:vAlign w:val="center"/>
          </w:tcPr>
          <w:p>
            <w:pPr>
              <w:widowControl w:val="0"/>
              <w:spacing w:after="160" w:line="259" w:lineRule="auto"/>
              <w:jc w:val="center"/>
              <w:rPr>
                <w:rFonts w:ascii="宋体" w:eastAsia="宋体" w:hAnsi="宋体" w:hint="eastAsia"/>
                <w:kern w:val="2"/>
                <w:sz w:val="21"/>
                <w:szCs w:val="21"/>
                <w:lang w:eastAsia="zh-CN"/>
              </w:rPr>
            </w:pPr>
            <w:r>
              <w:rPr>
                <w:rFonts w:ascii="宋体" w:eastAsia="宋体" w:hAnsi="宋体" w:cs="宋体" w:hint="eastAsia"/>
                <w:kern w:val="2"/>
                <w:sz w:val="21"/>
                <w:szCs w:val="21"/>
                <w:lang w:eastAsia="zh-CN"/>
              </w:rPr>
              <w:t>1</w:t>
            </w:r>
          </w:p>
        </w:tc>
        <w:tc>
          <w:tcPr>
            <w:tcW w:w="709"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专家评分</w:t>
            </w:r>
          </w:p>
        </w:tc>
        <w:tc>
          <w:tcPr>
            <w:tcW w:w="5897" w:type="dxa"/>
            <w:vAlign w:val="center"/>
          </w:tcPr>
          <w:p>
            <w:pPr>
              <w:widowControl w:val="0"/>
              <w:spacing w:after="160" w:line="259" w:lineRule="auto"/>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（一）评分内容：投标人应如实填写《商务要求偏离表（免费保修期外售后服务要求）》，评审委员会根据响应情况进行打分，全部满足要求的得</w:t>
            </w:r>
            <w:r>
              <w:rPr>
                <w:rFonts w:ascii="宋体" w:eastAsia="宋体" w:hAnsi="宋体"/>
                <w:kern w:val="2"/>
                <w:sz w:val="21"/>
                <w:szCs w:val="21"/>
                <w:lang w:eastAsia="zh-CN"/>
              </w:rPr>
              <w:t>100</w:t>
            </w:r>
            <w:r>
              <w:rPr>
                <w:rFonts w:ascii="宋体" w:eastAsia="宋体" w:hAnsi="宋体" w:cs="宋体" w:hint="eastAsia"/>
                <w:kern w:val="2"/>
                <w:sz w:val="21"/>
                <w:szCs w:val="21"/>
                <w:lang w:eastAsia="zh-CN"/>
              </w:rPr>
              <w:t>分，每负偏离一项扣</w:t>
            </w:r>
            <w:r>
              <w:rPr>
                <w:rFonts w:ascii="宋体" w:eastAsia="宋体" w:hAnsi="宋体"/>
                <w:kern w:val="2"/>
                <w:sz w:val="21"/>
                <w:szCs w:val="21"/>
                <w:lang w:eastAsia="zh-CN"/>
              </w:rPr>
              <w:t>50</w:t>
            </w:r>
            <w:r>
              <w:rPr>
                <w:rFonts w:ascii="宋体" w:eastAsia="宋体" w:hAnsi="宋体" w:cs="宋体" w:hint="eastAsia"/>
                <w:kern w:val="2"/>
                <w:sz w:val="21"/>
                <w:szCs w:val="21"/>
                <w:lang w:eastAsia="zh-CN"/>
              </w:rPr>
              <w:t>分，扣完为止。</w:t>
            </w:r>
          </w:p>
        </w:tc>
      </w:tr>
      <w:tr>
        <w:tblPrEx>
          <w:tblW w:w="5000" w:type="pct"/>
          <w:tblInd w:w="0" w:type="dxa"/>
          <w:tblLayout w:type="fixed"/>
          <w:tblCellMar>
            <w:top w:w="0" w:type="dxa"/>
            <w:left w:w="108" w:type="dxa"/>
            <w:bottom w:w="0" w:type="dxa"/>
            <w:right w:w="108" w:type="dxa"/>
          </w:tblCellMar>
        </w:tblPrEx>
        <w:trPr>
          <w:trHeight w:val="20"/>
        </w:trPr>
        <w:tc>
          <w:tcPr>
            <w:tcW w:w="383" w:type="dxa"/>
            <w:vMerge/>
            <w:vAlign w:val="center"/>
          </w:tcPr>
          <w:p>
            <w:pPr>
              <w:keepNext/>
              <w:keepLines/>
              <w:widowControl w:val="0"/>
              <w:spacing w:before="260" w:after="260" w:line="259" w:lineRule="auto"/>
              <w:jc w:val="center"/>
              <w:outlineLvl w:val="2"/>
              <w:rPr>
                <w:rFonts w:ascii="宋体" w:eastAsia="宋体" w:hAnsi="宋体"/>
                <w:kern w:val="2"/>
                <w:sz w:val="21"/>
                <w:szCs w:val="21"/>
                <w:lang w:eastAsia="zh-CN"/>
              </w:rPr>
            </w:pPr>
          </w:p>
        </w:tc>
        <w:tc>
          <w:tcPr>
            <w:tcW w:w="400"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kern w:val="2"/>
                <w:sz w:val="21"/>
                <w:szCs w:val="21"/>
                <w:lang w:eastAsia="zh-CN"/>
              </w:rPr>
              <w:t>3</w:t>
            </w:r>
          </w:p>
        </w:tc>
        <w:tc>
          <w:tcPr>
            <w:tcW w:w="981"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其他商务条款偏离情况</w:t>
            </w:r>
          </w:p>
        </w:tc>
        <w:tc>
          <w:tcPr>
            <w:tcW w:w="709" w:type="dxa"/>
            <w:vAlign w:val="center"/>
          </w:tcPr>
          <w:p>
            <w:pPr>
              <w:widowControl w:val="0"/>
              <w:spacing w:after="160" w:line="259" w:lineRule="auto"/>
              <w:jc w:val="center"/>
              <w:rPr>
                <w:rFonts w:ascii="宋体" w:eastAsia="宋体" w:hAnsi="宋体" w:hint="eastAsia"/>
                <w:kern w:val="2"/>
                <w:sz w:val="21"/>
                <w:szCs w:val="21"/>
                <w:lang w:eastAsia="zh-CN"/>
              </w:rPr>
            </w:pPr>
            <w:r>
              <w:rPr>
                <w:rFonts w:ascii="宋体" w:eastAsia="宋体" w:hAnsi="宋体" w:cs="宋体" w:hint="eastAsia"/>
                <w:kern w:val="2"/>
                <w:sz w:val="21"/>
                <w:szCs w:val="21"/>
                <w:lang w:eastAsia="zh-CN"/>
              </w:rPr>
              <w:t>3</w:t>
            </w:r>
          </w:p>
        </w:tc>
        <w:tc>
          <w:tcPr>
            <w:tcW w:w="709"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专家评分</w:t>
            </w:r>
          </w:p>
        </w:tc>
        <w:tc>
          <w:tcPr>
            <w:tcW w:w="5897" w:type="dxa"/>
            <w:vAlign w:val="center"/>
          </w:tcPr>
          <w:p>
            <w:pPr>
              <w:widowControl w:val="0"/>
              <w:spacing w:after="160" w:line="259" w:lineRule="auto"/>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（一）评分内容：投标人应如实填写《商务要求偏离表（其他商务要求）》，评审委员会根据响应情况进行打分，全部满足要求的得</w:t>
            </w:r>
            <w:r>
              <w:rPr>
                <w:rFonts w:ascii="宋体" w:eastAsia="宋体" w:hAnsi="宋体"/>
                <w:kern w:val="2"/>
                <w:sz w:val="21"/>
                <w:szCs w:val="21"/>
                <w:lang w:eastAsia="zh-CN"/>
              </w:rPr>
              <w:t>100</w:t>
            </w:r>
            <w:r>
              <w:rPr>
                <w:rFonts w:ascii="宋体" w:eastAsia="宋体" w:hAnsi="宋体" w:cs="宋体" w:hint="eastAsia"/>
                <w:kern w:val="2"/>
                <w:sz w:val="21"/>
                <w:szCs w:val="21"/>
                <w:lang w:eastAsia="zh-CN"/>
              </w:rPr>
              <w:t>分，每负偏离一项扣</w:t>
            </w:r>
            <w:r>
              <w:rPr>
                <w:rFonts w:ascii="宋体" w:eastAsia="宋体" w:hAnsi="宋体" w:hint="eastAsia"/>
                <w:kern w:val="2"/>
                <w:sz w:val="21"/>
                <w:szCs w:val="21"/>
                <w:highlight w:val="yellow"/>
                <w:lang w:eastAsia="zh-CN"/>
              </w:rPr>
              <w:t>1</w:t>
            </w:r>
            <w:r>
              <w:rPr>
                <w:rFonts w:ascii="宋体" w:eastAsia="宋体" w:hAnsi="宋体" w:hint="eastAsia"/>
                <w:kern w:val="2"/>
                <w:sz w:val="21"/>
                <w:szCs w:val="21"/>
                <w:highlight w:val="yellow"/>
                <w:lang w:eastAsia="zh-CN"/>
              </w:rPr>
              <w:t>1.2</w:t>
            </w:r>
            <w:r>
              <w:rPr>
                <w:rFonts w:ascii="宋体" w:eastAsia="宋体" w:hAnsi="宋体" w:cs="宋体" w:hint="eastAsia"/>
                <w:kern w:val="2"/>
                <w:sz w:val="21"/>
                <w:szCs w:val="21"/>
                <w:lang w:eastAsia="zh-CN"/>
              </w:rPr>
              <w:t>分，扣完为止。</w:t>
            </w:r>
          </w:p>
        </w:tc>
      </w:tr>
      <w:tr>
        <w:tblPrEx>
          <w:tblW w:w="5000" w:type="pct"/>
          <w:tblInd w:w="0" w:type="dxa"/>
          <w:tblLayout w:type="fixed"/>
          <w:tblCellMar>
            <w:top w:w="0" w:type="dxa"/>
            <w:left w:w="108" w:type="dxa"/>
            <w:bottom w:w="0" w:type="dxa"/>
            <w:right w:w="108" w:type="dxa"/>
          </w:tblCellMar>
        </w:tblPrEx>
        <w:trPr>
          <w:trHeight w:val="20"/>
        </w:trPr>
        <w:tc>
          <w:tcPr>
            <w:tcW w:w="383"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4</w:t>
            </w:r>
          </w:p>
        </w:tc>
        <w:tc>
          <w:tcPr>
            <w:tcW w:w="2799" w:type="dxa"/>
            <w:gridSpan w:val="4"/>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诚信情况</w:t>
            </w:r>
          </w:p>
        </w:tc>
        <w:tc>
          <w:tcPr>
            <w:tcW w:w="5897" w:type="dxa"/>
            <w:vAlign w:val="center"/>
          </w:tcPr>
          <w:p>
            <w:pPr>
              <w:widowControl w:val="0"/>
              <w:snapToGrid w:val="0"/>
              <w:spacing w:after="160" w:line="259" w:lineRule="auto"/>
              <w:jc w:val="center"/>
              <w:rPr>
                <w:rFonts w:ascii="宋体" w:eastAsia="宋体" w:hAnsi="宋体"/>
                <w:kern w:val="2"/>
                <w:sz w:val="21"/>
                <w:szCs w:val="21"/>
                <w:lang w:eastAsia="zh-CN"/>
              </w:rPr>
            </w:pPr>
            <w:r>
              <w:rPr>
                <w:rFonts w:ascii="宋体" w:eastAsia="宋体" w:hAnsi="宋体"/>
                <w:kern w:val="2"/>
                <w:sz w:val="21"/>
                <w:szCs w:val="21"/>
                <w:lang w:eastAsia="zh-CN"/>
              </w:rPr>
              <w:t>5</w:t>
            </w:r>
          </w:p>
        </w:tc>
      </w:tr>
      <w:tr>
        <w:tblPrEx>
          <w:tblW w:w="5000" w:type="pct"/>
          <w:tblInd w:w="0" w:type="dxa"/>
          <w:tblLayout w:type="fixed"/>
          <w:tblCellMar>
            <w:top w:w="0" w:type="dxa"/>
            <w:left w:w="108" w:type="dxa"/>
            <w:bottom w:w="0" w:type="dxa"/>
            <w:right w:w="108" w:type="dxa"/>
          </w:tblCellMar>
        </w:tblPrEx>
        <w:trPr>
          <w:trHeight w:val="90"/>
        </w:trPr>
        <w:tc>
          <w:tcPr>
            <w:tcW w:w="383" w:type="dxa"/>
            <w:vMerge w:val="restart"/>
            <w:vAlign w:val="center"/>
          </w:tcPr>
          <w:p>
            <w:pPr>
              <w:widowControl w:val="0"/>
              <w:spacing w:after="160" w:line="259" w:lineRule="auto"/>
              <w:jc w:val="center"/>
              <w:rPr>
                <w:rFonts w:ascii="宋体" w:eastAsia="宋体" w:hAnsi="宋体"/>
                <w:kern w:val="2"/>
                <w:sz w:val="21"/>
                <w:szCs w:val="21"/>
                <w:lang w:eastAsia="zh-CN"/>
              </w:rPr>
            </w:pPr>
          </w:p>
        </w:tc>
        <w:tc>
          <w:tcPr>
            <w:tcW w:w="400"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序号</w:t>
            </w:r>
          </w:p>
        </w:tc>
        <w:tc>
          <w:tcPr>
            <w:tcW w:w="981"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评审因素</w:t>
            </w:r>
          </w:p>
        </w:tc>
        <w:tc>
          <w:tcPr>
            <w:tcW w:w="709"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权重</w:t>
            </w:r>
          </w:p>
        </w:tc>
        <w:tc>
          <w:tcPr>
            <w:tcW w:w="709"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评分方式</w:t>
            </w:r>
          </w:p>
        </w:tc>
        <w:tc>
          <w:tcPr>
            <w:tcW w:w="5897"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评分准则</w:t>
            </w:r>
          </w:p>
        </w:tc>
      </w:tr>
      <w:tr>
        <w:tblPrEx>
          <w:tblW w:w="5000" w:type="pct"/>
          <w:tblInd w:w="0" w:type="dxa"/>
          <w:tblLayout w:type="fixed"/>
          <w:tblCellMar>
            <w:top w:w="0" w:type="dxa"/>
            <w:left w:w="108" w:type="dxa"/>
            <w:bottom w:w="0" w:type="dxa"/>
            <w:right w:w="108" w:type="dxa"/>
          </w:tblCellMar>
        </w:tblPrEx>
        <w:trPr>
          <w:trHeight w:val="20"/>
        </w:trPr>
        <w:tc>
          <w:tcPr>
            <w:tcW w:w="383" w:type="dxa"/>
            <w:vMerge/>
            <w:vAlign w:val="center"/>
          </w:tcPr>
          <w:p>
            <w:pPr>
              <w:keepNext/>
              <w:keepLines/>
              <w:widowControl w:val="0"/>
              <w:spacing w:before="340" w:after="330" w:line="259" w:lineRule="auto"/>
              <w:jc w:val="center"/>
              <w:outlineLvl w:val="0"/>
              <w:rPr>
                <w:rFonts w:ascii="宋体" w:eastAsia="宋体" w:hAnsi="宋体"/>
                <w:kern w:val="2"/>
                <w:sz w:val="21"/>
                <w:szCs w:val="21"/>
                <w:lang w:eastAsia="zh-CN"/>
              </w:rPr>
            </w:pPr>
          </w:p>
        </w:tc>
        <w:tc>
          <w:tcPr>
            <w:tcW w:w="400"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kern w:val="2"/>
                <w:sz w:val="21"/>
                <w:szCs w:val="21"/>
                <w:lang w:eastAsia="zh-CN"/>
              </w:rPr>
              <w:t>1</w:t>
            </w:r>
          </w:p>
        </w:tc>
        <w:tc>
          <w:tcPr>
            <w:tcW w:w="981"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诚信</w:t>
            </w:r>
          </w:p>
        </w:tc>
        <w:tc>
          <w:tcPr>
            <w:tcW w:w="709"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kern w:val="2"/>
                <w:sz w:val="21"/>
                <w:szCs w:val="21"/>
                <w:lang w:eastAsia="zh-CN"/>
              </w:rPr>
              <w:t>5</w:t>
            </w:r>
          </w:p>
        </w:tc>
        <w:tc>
          <w:tcPr>
            <w:tcW w:w="709" w:type="dxa"/>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专家评分</w:t>
            </w:r>
          </w:p>
        </w:tc>
        <w:tc>
          <w:tcPr>
            <w:tcW w:w="5897" w:type="dxa"/>
            <w:vAlign w:val="center"/>
          </w:tcPr>
          <w:p>
            <w:pPr>
              <w:widowControl w:val="0"/>
              <w:spacing w:after="12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（一）评分内容：</w:t>
            </w: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供应商存在《深圳市财政局政府采购供应商信用信息管理办法》（深财规〔2023〕3号）列明的一般行政处罚信息、一般违法失信记录信息的，本项不得分，不存在上述情形的本项得100分。供应商无需提供任何证明材料，评标过程中由工作人员向评审委员会提供有关供应商诚信查询结果。</w:t>
            </w:r>
          </w:p>
          <w:p>
            <w:pPr>
              <w:widowControl w:val="0"/>
              <w:spacing w:after="12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（二）评分依据：</w:t>
            </w: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查询渠道：“信用中国”（www.creditchina.gov.cn，下载信用信息报告）、“中国政府采购网”（www.ccgp.gov.cn）”、“深圳市政府采购监管网”（http://zfcg.sz.gov.cn）以及“深圳政府采购智慧平台信用库”为供应商信用信息的查询渠道，相关信息以开标当日的查询结果为准。</w:t>
            </w:r>
          </w:p>
        </w:tc>
      </w:tr>
      <w:tr>
        <w:tblPrEx>
          <w:tblW w:w="5000" w:type="pct"/>
          <w:tblInd w:w="0" w:type="dxa"/>
          <w:tblLayout w:type="fixed"/>
          <w:tblCellMar>
            <w:top w:w="0" w:type="dxa"/>
            <w:left w:w="108" w:type="dxa"/>
            <w:bottom w:w="0" w:type="dxa"/>
            <w:right w:w="108" w:type="dxa"/>
          </w:tblCellMar>
        </w:tblPrEx>
        <w:trPr>
          <w:trHeight w:val="528"/>
        </w:trPr>
        <w:tc>
          <w:tcPr>
            <w:tcW w:w="383" w:type="dxa"/>
            <w:vAlign w:val="center"/>
          </w:tcPr>
          <w:p>
            <w:pPr>
              <w:keepNext/>
              <w:keepLines/>
              <w:widowControl w:val="0"/>
              <w:spacing w:before="340" w:after="330" w:line="259" w:lineRule="auto"/>
              <w:jc w:val="center"/>
              <w:outlineLvl w:val="0"/>
              <w:rPr>
                <w:rFonts w:ascii="宋体" w:eastAsia="宋体" w:hAnsi="宋体" w:hint="eastAsia"/>
                <w:kern w:val="2"/>
                <w:sz w:val="21"/>
                <w:szCs w:val="21"/>
                <w:lang w:eastAsia="zh-CN"/>
              </w:rPr>
            </w:pPr>
            <w:r>
              <w:rPr>
                <w:rFonts w:ascii="宋体" w:eastAsia="宋体" w:hAnsi="宋体" w:hint="eastAsia"/>
                <w:kern w:val="2"/>
                <w:sz w:val="21"/>
                <w:szCs w:val="21"/>
                <w:lang w:eastAsia="zh-CN"/>
              </w:rPr>
              <w:t>5</w:t>
            </w:r>
          </w:p>
        </w:tc>
        <w:tc>
          <w:tcPr>
            <w:tcW w:w="2799" w:type="dxa"/>
            <w:gridSpan w:val="4"/>
            <w:vAlign w:val="center"/>
          </w:tcPr>
          <w:p>
            <w:pPr>
              <w:widowControl w:val="0"/>
              <w:spacing w:after="160" w:line="259" w:lineRule="auto"/>
              <w:jc w:val="center"/>
              <w:rPr>
                <w:rFonts w:ascii="宋体" w:eastAsia="宋体" w:hAnsi="宋体"/>
                <w:kern w:val="2"/>
                <w:sz w:val="21"/>
                <w:szCs w:val="21"/>
                <w:lang w:eastAsia="zh-CN"/>
              </w:rPr>
            </w:pPr>
            <w:r>
              <w:rPr>
                <w:rFonts w:ascii="宋体" w:eastAsia="宋体" w:hAnsi="宋体" w:hint="eastAsia"/>
                <w:b/>
                <w:bCs/>
                <w:kern w:val="2"/>
                <w:sz w:val="20"/>
                <w:szCs w:val="20"/>
                <w:lang w:eastAsia="zh-CN"/>
              </w:rPr>
              <w:t>综合实力</w:t>
            </w:r>
          </w:p>
        </w:tc>
        <w:tc>
          <w:tcPr>
            <w:tcW w:w="5897" w:type="dxa"/>
            <w:vAlign w:val="center"/>
          </w:tcPr>
          <w:p>
            <w:pPr>
              <w:widowControl w:val="0"/>
              <w:spacing w:after="160" w:line="259" w:lineRule="auto"/>
              <w:jc w:val="center"/>
              <w:rPr>
                <w:rFonts w:ascii="宋体" w:eastAsia="宋体" w:hAnsi="宋体" w:hint="eastAsia"/>
                <w:kern w:val="2"/>
                <w:sz w:val="21"/>
                <w:szCs w:val="21"/>
                <w:lang w:eastAsia="zh-CN"/>
              </w:rPr>
            </w:pPr>
            <w:r>
              <w:rPr>
                <w:rFonts w:ascii="宋体" w:eastAsia="宋体" w:hAnsi="宋体" w:hint="eastAsia"/>
                <w:kern w:val="2"/>
                <w:sz w:val="20"/>
                <w:szCs w:val="20"/>
                <w:lang w:eastAsia="zh-CN"/>
              </w:rPr>
              <w:t>3</w:t>
            </w:r>
          </w:p>
        </w:tc>
      </w:tr>
      <w:tr>
        <w:tblPrEx>
          <w:tblW w:w="5000" w:type="pct"/>
          <w:tblInd w:w="0" w:type="dxa"/>
          <w:tblLayout w:type="fixed"/>
          <w:tblCellMar>
            <w:top w:w="0" w:type="dxa"/>
            <w:left w:w="108" w:type="dxa"/>
            <w:bottom w:w="0" w:type="dxa"/>
            <w:right w:w="108" w:type="dxa"/>
          </w:tblCellMar>
        </w:tblPrEx>
        <w:trPr>
          <w:trHeight w:val="840"/>
        </w:trPr>
        <w:tc>
          <w:tcPr>
            <w:tcW w:w="383" w:type="dxa"/>
            <w:vAlign w:val="center"/>
          </w:tcPr>
          <w:p>
            <w:pPr>
              <w:keepNext/>
              <w:keepLines/>
              <w:widowControl w:val="0"/>
              <w:spacing w:before="340" w:after="330" w:line="259" w:lineRule="auto"/>
              <w:jc w:val="center"/>
              <w:outlineLvl w:val="0"/>
              <w:rPr>
                <w:rFonts w:ascii="宋体" w:eastAsia="宋体" w:hAnsi="宋体"/>
                <w:kern w:val="2"/>
                <w:sz w:val="21"/>
                <w:szCs w:val="21"/>
                <w:lang w:eastAsia="zh-CN"/>
              </w:rPr>
            </w:pPr>
          </w:p>
        </w:tc>
        <w:tc>
          <w:tcPr>
            <w:tcW w:w="400" w:type="dxa"/>
            <w:vAlign w:val="center"/>
          </w:tcPr>
          <w:p>
            <w:pPr>
              <w:widowControl w:val="0"/>
              <w:spacing w:after="160" w:line="240" w:lineRule="exact"/>
              <w:jc w:val="center"/>
              <w:rPr>
                <w:rFonts w:ascii="宋体" w:eastAsia="宋体" w:hAnsi="宋体"/>
                <w:kern w:val="2"/>
                <w:sz w:val="21"/>
                <w:szCs w:val="21"/>
                <w:lang w:eastAsia="zh-CN"/>
              </w:rPr>
            </w:pPr>
            <w:r>
              <w:rPr>
                <w:rFonts w:ascii="宋体" w:eastAsia="宋体" w:hAnsi="宋体" w:hint="eastAsia"/>
                <w:kern w:val="2"/>
                <w:sz w:val="20"/>
                <w:szCs w:val="20"/>
                <w:lang w:eastAsia="zh-CN"/>
              </w:rPr>
              <w:t>序号</w:t>
            </w:r>
          </w:p>
        </w:tc>
        <w:tc>
          <w:tcPr>
            <w:tcW w:w="981" w:type="dxa"/>
            <w:vAlign w:val="center"/>
          </w:tcPr>
          <w:p>
            <w:pPr>
              <w:widowControl w:val="0"/>
              <w:spacing w:after="160" w:line="240" w:lineRule="exact"/>
              <w:jc w:val="center"/>
              <w:rPr>
                <w:rFonts w:ascii="宋体" w:eastAsia="宋体" w:hAnsi="宋体" w:hint="eastAsia"/>
                <w:kern w:val="2"/>
                <w:sz w:val="21"/>
                <w:szCs w:val="21"/>
                <w:lang w:eastAsia="zh-CN"/>
              </w:rPr>
            </w:pPr>
            <w:r>
              <w:rPr>
                <w:rFonts w:ascii="宋体" w:eastAsia="宋体" w:hAnsi="宋体" w:hint="eastAsia"/>
                <w:kern w:val="2"/>
                <w:sz w:val="20"/>
                <w:szCs w:val="20"/>
                <w:lang w:eastAsia="zh-CN"/>
              </w:rPr>
              <w:t>评审因素</w:t>
            </w:r>
          </w:p>
        </w:tc>
        <w:tc>
          <w:tcPr>
            <w:tcW w:w="709" w:type="dxa"/>
            <w:vAlign w:val="center"/>
          </w:tcPr>
          <w:p>
            <w:pPr>
              <w:widowControl w:val="0"/>
              <w:spacing w:after="160" w:line="240" w:lineRule="exact"/>
              <w:jc w:val="center"/>
              <w:rPr>
                <w:rFonts w:ascii="宋体" w:eastAsia="宋体" w:hAnsi="宋体"/>
                <w:kern w:val="2"/>
                <w:sz w:val="21"/>
                <w:szCs w:val="21"/>
                <w:lang w:eastAsia="zh-CN"/>
              </w:rPr>
            </w:pPr>
            <w:r>
              <w:rPr>
                <w:rFonts w:ascii="宋体" w:eastAsia="宋体" w:hAnsi="宋体" w:hint="eastAsia"/>
                <w:kern w:val="2"/>
                <w:sz w:val="20"/>
                <w:szCs w:val="20"/>
                <w:lang w:eastAsia="zh-CN"/>
              </w:rPr>
              <w:t>权重</w:t>
            </w:r>
          </w:p>
        </w:tc>
        <w:tc>
          <w:tcPr>
            <w:tcW w:w="709" w:type="dxa"/>
            <w:vAlign w:val="center"/>
          </w:tcPr>
          <w:p>
            <w:pPr>
              <w:widowControl w:val="0"/>
              <w:spacing w:after="160" w:line="240" w:lineRule="exact"/>
              <w:jc w:val="center"/>
              <w:rPr>
                <w:rFonts w:ascii="宋体" w:eastAsia="宋体" w:hAnsi="宋体" w:hint="eastAsia"/>
                <w:kern w:val="2"/>
                <w:sz w:val="21"/>
                <w:szCs w:val="21"/>
                <w:lang w:eastAsia="zh-CN"/>
              </w:rPr>
            </w:pPr>
            <w:r>
              <w:rPr>
                <w:rFonts w:ascii="宋体" w:eastAsia="宋体" w:hAnsi="宋体" w:hint="eastAsia"/>
                <w:kern w:val="2"/>
                <w:sz w:val="20"/>
                <w:szCs w:val="20"/>
                <w:lang w:eastAsia="zh-CN"/>
              </w:rPr>
              <w:t>评分方式</w:t>
            </w:r>
          </w:p>
        </w:tc>
        <w:tc>
          <w:tcPr>
            <w:tcW w:w="5897" w:type="dxa"/>
            <w:vAlign w:val="center"/>
          </w:tcPr>
          <w:p>
            <w:pPr>
              <w:widowControl w:val="0"/>
              <w:spacing w:after="160" w:line="259" w:lineRule="auto"/>
              <w:jc w:val="center"/>
              <w:rPr>
                <w:rFonts w:ascii="宋体" w:eastAsia="宋体" w:hAnsi="宋体" w:hint="eastAsia"/>
                <w:kern w:val="2"/>
                <w:sz w:val="21"/>
                <w:szCs w:val="21"/>
                <w:lang w:eastAsia="zh-CN"/>
              </w:rPr>
            </w:pPr>
            <w:r>
              <w:rPr>
                <w:rFonts w:ascii="宋体" w:eastAsia="宋体" w:hAnsi="宋体" w:hint="eastAsia"/>
                <w:kern w:val="2"/>
                <w:sz w:val="20"/>
                <w:szCs w:val="20"/>
                <w:lang w:eastAsia="zh-CN"/>
              </w:rPr>
              <w:t>评分准则</w:t>
            </w:r>
          </w:p>
        </w:tc>
      </w:tr>
      <w:tr>
        <w:tblPrEx>
          <w:tblW w:w="5000" w:type="pct"/>
          <w:tblInd w:w="0" w:type="dxa"/>
          <w:tblLayout w:type="fixed"/>
          <w:tblCellMar>
            <w:top w:w="0" w:type="dxa"/>
            <w:left w:w="108" w:type="dxa"/>
            <w:bottom w:w="0" w:type="dxa"/>
            <w:right w:w="108" w:type="dxa"/>
          </w:tblCellMar>
        </w:tblPrEx>
        <w:trPr>
          <w:trHeight w:val="1512"/>
        </w:trPr>
        <w:tc>
          <w:tcPr>
            <w:tcW w:w="383" w:type="dxa"/>
            <w:vAlign w:val="center"/>
          </w:tcPr>
          <w:p>
            <w:pPr>
              <w:keepNext/>
              <w:keepLines/>
              <w:widowControl w:val="0"/>
              <w:spacing w:before="340" w:after="330" w:line="259" w:lineRule="auto"/>
              <w:jc w:val="center"/>
              <w:outlineLvl w:val="0"/>
              <w:rPr>
                <w:rFonts w:ascii="宋体" w:eastAsia="宋体" w:hAnsi="宋体"/>
                <w:kern w:val="2"/>
                <w:sz w:val="21"/>
                <w:szCs w:val="21"/>
                <w:lang w:eastAsia="zh-CN"/>
              </w:rPr>
            </w:pPr>
          </w:p>
        </w:tc>
        <w:tc>
          <w:tcPr>
            <w:tcW w:w="400" w:type="dxa"/>
            <w:vAlign w:val="center"/>
          </w:tcPr>
          <w:p>
            <w:pPr>
              <w:widowControl w:val="0"/>
              <w:spacing w:after="160" w:line="240" w:lineRule="exact"/>
              <w:jc w:val="center"/>
              <w:rPr>
                <w:rFonts w:ascii="宋体" w:eastAsia="宋体" w:hAnsi="宋体" w:hint="eastAsia"/>
                <w:kern w:val="2"/>
                <w:sz w:val="20"/>
                <w:szCs w:val="20"/>
                <w:lang w:eastAsia="zh-CN"/>
              </w:rPr>
            </w:pPr>
            <w:r>
              <w:rPr>
                <w:rFonts w:ascii="宋体" w:eastAsia="宋体" w:hAnsi="宋体" w:hint="eastAsia"/>
                <w:kern w:val="2"/>
                <w:sz w:val="20"/>
                <w:szCs w:val="20"/>
                <w:lang w:eastAsia="zh-CN"/>
              </w:rPr>
              <w:t>1</w:t>
            </w:r>
          </w:p>
        </w:tc>
        <w:tc>
          <w:tcPr>
            <w:tcW w:w="981" w:type="dxa"/>
            <w:vAlign w:val="center"/>
          </w:tcPr>
          <w:p>
            <w:pPr>
              <w:widowControl w:val="0"/>
              <w:pBdr>
                <w:bottom w:val="none" w:sz="0" w:space="0" w:color="auto"/>
              </w:pBdr>
              <w:snapToGrid w:val="0"/>
              <w:spacing w:after="160" w:line="300" w:lineRule="auto"/>
              <w:jc w:val="center"/>
              <w:rPr>
                <w:rFonts w:ascii="宋体" w:eastAsia="宋体" w:hAnsi="宋体" w:hint="eastAsia"/>
                <w:kern w:val="2"/>
                <w:sz w:val="20"/>
                <w:szCs w:val="20"/>
                <w:lang w:eastAsia="zh-CN"/>
              </w:rPr>
            </w:pPr>
            <w:bookmarkStart w:id="3" w:name="OLE_LINK4"/>
            <w:r>
              <w:rPr>
                <w:rFonts w:ascii="宋体" w:eastAsia="宋体" w:hAnsi="宋体" w:cs="宋体" w:hint="eastAsia"/>
                <w:kern w:val="2"/>
                <w:sz w:val="20"/>
                <w:szCs w:val="20"/>
                <w:lang w:eastAsia="zh-CN"/>
              </w:rPr>
              <w:t>供应商同类业绩</w:t>
            </w:r>
            <w:bookmarkEnd w:id="3"/>
          </w:p>
        </w:tc>
        <w:tc>
          <w:tcPr>
            <w:tcW w:w="709" w:type="dxa"/>
            <w:vAlign w:val="center"/>
          </w:tcPr>
          <w:p>
            <w:pPr>
              <w:widowControl w:val="0"/>
              <w:spacing w:after="160" w:line="240" w:lineRule="exact"/>
              <w:jc w:val="center"/>
              <w:rPr>
                <w:rFonts w:ascii="宋体" w:eastAsia="宋体" w:hAnsi="宋体" w:hint="eastAsia"/>
                <w:kern w:val="2"/>
                <w:sz w:val="20"/>
                <w:szCs w:val="20"/>
                <w:lang w:eastAsia="zh-CN"/>
              </w:rPr>
            </w:pPr>
            <w:r>
              <w:rPr>
                <w:rFonts w:ascii="宋体" w:eastAsia="宋体" w:hAnsi="宋体" w:hint="eastAsia"/>
                <w:kern w:val="2"/>
                <w:sz w:val="20"/>
                <w:szCs w:val="20"/>
                <w:lang w:eastAsia="zh-CN"/>
              </w:rPr>
              <w:t>3</w:t>
            </w:r>
          </w:p>
        </w:tc>
        <w:tc>
          <w:tcPr>
            <w:tcW w:w="709" w:type="dxa"/>
            <w:vAlign w:val="center"/>
          </w:tcPr>
          <w:p>
            <w:pPr>
              <w:widowControl w:val="0"/>
              <w:spacing w:after="160" w:line="240" w:lineRule="exact"/>
              <w:jc w:val="center"/>
              <w:rPr>
                <w:rFonts w:ascii="宋体" w:eastAsia="宋体" w:hAnsi="宋体" w:hint="eastAsia"/>
                <w:kern w:val="2"/>
                <w:sz w:val="20"/>
                <w:szCs w:val="20"/>
                <w:lang w:eastAsia="zh-CN"/>
              </w:rPr>
            </w:pPr>
            <w:r>
              <w:rPr>
                <w:rFonts w:ascii="宋体" w:eastAsia="宋体" w:hAnsi="宋体" w:hint="eastAsia"/>
                <w:kern w:val="2"/>
                <w:sz w:val="20"/>
                <w:szCs w:val="20"/>
                <w:lang w:eastAsia="zh-CN"/>
              </w:rPr>
              <w:t>专家打分</w:t>
            </w:r>
          </w:p>
        </w:tc>
        <w:tc>
          <w:tcPr>
            <w:tcW w:w="5897" w:type="dxa"/>
            <w:vAlign w:val="top"/>
          </w:tcPr>
          <w:p>
            <w:pPr>
              <w:widowControl w:val="0"/>
              <w:spacing w:after="160" w:line="240" w:lineRule="exact"/>
              <w:jc w:val="left"/>
              <w:rPr>
                <w:rFonts w:ascii="宋体" w:eastAsia="宋体" w:hAnsi="宋体" w:cs="宋体" w:hint="eastAsia"/>
                <w:kern w:val="2"/>
                <w:sz w:val="20"/>
                <w:szCs w:val="20"/>
                <w:lang w:eastAsia="zh-CN"/>
              </w:rPr>
            </w:pPr>
            <w:r>
              <w:rPr>
                <w:rFonts w:ascii="宋体" w:eastAsia="宋体" w:hAnsi="宋体" w:cs="宋体" w:hint="eastAsia"/>
                <w:kern w:val="2"/>
                <w:sz w:val="20"/>
                <w:szCs w:val="20"/>
                <w:lang w:eastAsia="zh-CN"/>
              </w:rPr>
              <w:t>（一）评分内容</w:t>
            </w:r>
            <w:r>
              <w:rPr>
                <w:rFonts w:ascii="宋体" w:eastAsia="宋体" w:hAnsi="宋体" w:cs="宋体" w:hint="eastAsia"/>
                <w:kern w:val="2"/>
                <w:sz w:val="20"/>
                <w:szCs w:val="20"/>
                <w:lang w:eastAsia="zh-CN"/>
              </w:rPr>
              <w:t>：提供自20</w:t>
            </w:r>
            <w:r>
              <w:rPr>
                <w:rFonts w:ascii="宋体" w:eastAsia="宋体" w:hAnsi="宋体" w:cs="宋体" w:hint="eastAsia"/>
                <w:kern w:val="2"/>
                <w:sz w:val="20"/>
                <w:szCs w:val="20"/>
                <w:lang w:eastAsia="zh-CN"/>
              </w:rPr>
              <w:t>22</w:t>
            </w:r>
            <w:r>
              <w:rPr>
                <w:rFonts w:ascii="宋体" w:eastAsia="宋体" w:hAnsi="宋体" w:cs="宋体" w:hint="eastAsia"/>
                <w:kern w:val="2"/>
                <w:sz w:val="20"/>
                <w:szCs w:val="20"/>
                <w:lang w:eastAsia="zh-CN"/>
              </w:rPr>
              <w:t>年</w:t>
            </w:r>
            <w:r>
              <w:rPr>
                <w:rFonts w:ascii="宋体" w:eastAsia="宋体" w:hAnsi="宋体" w:cs="宋体" w:hint="eastAsia"/>
                <w:kern w:val="2"/>
                <w:sz w:val="20"/>
                <w:szCs w:val="20"/>
                <w:lang w:eastAsia="zh-CN"/>
              </w:rPr>
              <w:t>12</w:t>
            </w:r>
            <w:r>
              <w:rPr>
                <w:rFonts w:ascii="宋体" w:eastAsia="宋体" w:hAnsi="宋体" w:cs="宋体" w:hint="eastAsia"/>
                <w:kern w:val="2"/>
                <w:sz w:val="20"/>
                <w:szCs w:val="20"/>
                <w:lang w:eastAsia="zh-CN"/>
              </w:rPr>
              <w:t>月</w:t>
            </w:r>
            <w:r>
              <w:rPr>
                <w:rFonts w:ascii="宋体" w:eastAsia="宋体" w:hAnsi="宋体" w:cs="宋体" w:hint="eastAsia"/>
                <w:kern w:val="2"/>
                <w:sz w:val="20"/>
                <w:szCs w:val="20"/>
                <w:lang w:eastAsia="zh-CN"/>
              </w:rPr>
              <w:t>1</w:t>
            </w:r>
            <w:r>
              <w:rPr>
                <w:rFonts w:ascii="宋体" w:eastAsia="宋体" w:hAnsi="宋体" w:cs="宋体" w:hint="eastAsia"/>
                <w:kern w:val="2"/>
                <w:sz w:val="20"/>
                <w:szCs w:val="20"/>
                <w:lang w:eastAsia="zh-CN"/>
              </w:rPr>
              <w:t>日至本项目投标截止日，以合同签订时间为准</w:t>
            </w:r>
            <w:r>
              <w:rPr>
                <w:rFonts w:ascii="宋体" w:eastAsia="宋体" w:hAnsi="宋体" w:cs="宋体" w:hint="eastAsia"/>
                <w:kern w:val="2"/>
                <w:sz w:val="20"/>
                <w:szCs w:val="20"/>
                <w:lang w:eastAsia="zh-CN"/>
              </w:rPr>
              <w:t>的</w:t>
            </w:r>
            <w:r>
              <w:rPr>
                <w:rFonts w:ascii="宋体" w:eastAsia="宋体" w:hAnsi="宋体" w:cs="宋体" w:hint="eastAsia"/>
                <w:kern w:val="2"/>
                <w:sz w:val="20"/>
                <w:szCs w:val="20"/>
                <w:highlight w:val="yellow"/>
                <w:lang w:eastAsia="zh-CN"/>
              </w:rPr>
              <w:t>内镜清洗消毒工作站</w:t>
            </w:r>
            <w:r>
              <w:rPr>
                <w:rFonts w:ascii="宋体" w:eastAsia="宋体" w:hAnsi="宋体" w:cs="宋体" w:hint="eastAsia"/>
                <w:kern w:val="2"/>
                <w:sz w:val="20"/>
                <w:szCs w:val="20"/>
                <w:lang w:eastAsia="zh-CN"/>
              </w:rPr>
              <w:t>同类业绩，提供</w:t>
            </w:r>
            <w:r>
              <w:rPr>
                <w:rFonts w:ascii="宋体" w:eastAsia="宋体" w:hAnsi="宋体" w:cs="宋体"/>
                <w:kern w:val="2"/>
                <w:sz w:val="20"/>
                <w:szCs w:val="20"/>
                <w:lang w:eastAsia="zh-CN"/>
              </w:rPr>
              <w:t>3</w:t>
            </w:r>
            <w:r>
              <w:rPr>
                <w:rFonts w:ascii="宋体" w:eastAsia="宋体" w:hAnsi="宋体" w:cs="宋体" w:hint="eastAsia"/>
                <w:kern w:val="2"/>
                <w:sz w:val="20"/>
                <w:szCs w:val="20"/>
                <w:lang w:eastAsia="zh-CN"/>
              </w:rPr>
              <w:t>个即得满分，提供</w:t>
            </w:r>
            <w:r>
              <w:rPr>
                <w:rFonts w:ascii="宋体" w:eastAsia="宋体" w:hAnsi="宋体" w:cs="宋体"/>
                <w:kern w:val="2"/>
                <w:sz w:val="20"/>
                <w:szCs w:val="20"/>
                <w:lang w:eastAsia="zh-CN"/>
              </w:rPr>
              <w:t>2</w:t>
            </w:r>
            <w:r>
              <w:rPr>
                <w:rFonts w:ascii="宋体" w:eastAsia="宋体" w:hAnsi="宋体" w:cs="宋体" w:hint="eastAsia"/>
                <w:kern w:val="2"/>
                <w:sz w:val="20"/>
                <w:szCs w:val="20"/>
                <w:lang w:eastAsia="zh-CN"/>
              </w:rPr>
              <w:t>个得</w:t>
            </w:r>
            <w:r>
              <w:rPr>
                <w:rFonts w:ascii="宋体" w:eastAsia="宋体" w:hAnsi="宋体" w:cs="宋体"/>
                <w:kern w:val="2"/>
                <w:sz w:val="20"/>
                <w:szCs w:val="20"/>
                <w:lang w:eastAsia="zh-CN"/>
              </w:rPr>
              <w:t>60</w:t>
            </w:r>
            <w:r>
              <w:rPr>
                <w:rFonts w:ascii="宋体" w:eastAsia="宋体" w:hAnsi="宋体" w:cs="宋体" w:hint="eastAsia"/>
                <w:kern w:val="2"/>
                <w:sz w:val="20"/>
                <w:szCs w:val="20"/>
                <w:lang w:eastAsia="zh-CN"/>
              </w:rPr>
              <w:t>分，提供</w:t>
            </w:r>
            <w:r>
              <w:rPr>
                <w:rFonts w:ascii="宋体" w:eastAsia="宋体" w:hAnsi="宋体" w:cs="宋体"/>
                <w:kern w:val="2"/>
                <w:sz w:val="20"/>
                <w:szCs w:val="20"/>
                <w:lang w:eastAsia="zh-CN"/>
              </w:rPr>
              <w:t>1</w:t>
            </w:r>
            <w:r>
              <w:rPr>
                <w:rFonts w:ascii="宋体" w:eastAsia="宋体" w:hAnsi="宋体" w:cs="宋体" w:hint="eastAsia"/>
                <w:kern w:val="2"/>
                <w:sz w:val="20"/>
                <w:szCs w:val="20"/>
                <w:lang w:eastAsia="zh-CN"/>
              </w:rPr>
              <w:t>个得</w:t>
            </w:r>
            <w:r>
              <w:rPr>
                <w:rFonts w:ascii="宋体" w:eastAsia="宋体" w:hAnsi="宋体" w:cs="宋体"/>
                <w:kern w:val="2"/>
                <w:sz w:val="20"/>
                <w:szCs w:val="20"/>
                <w:lang w:eastAsia="zh-CN"/>
              </w:rPr>
              <w:t>30</w:t>
            </w:r>
            <w:r>
              <w:rPr>
                <w:rFonts w:ascii="宋体" w:eastAsia="宋体" w:hAnsi="宋体" w:cs="宋体" w:hint="eastAsia"/>
                <w:kern w:val="2"/>
                <w:sz w:val="20"/>
                <w:szCs w:val="20"/>
                <w:lang w:eastAsia="zh-CN"/>
              </w:rPr>
              <w:t>分，未提供的不得分。</w:t>
            </w:r>
          </w:p>
          <w:p>
            <w:pPr>
              <w:widowControl w:val="0"/>
              <w:spacing w:after="160" w:line="240" w:lineRule="exact"/>
              <w:jc w:val="left"/>
              <w:rPr>
                <w:rFonts w:ascii="宋体" w:eastAsia="宋体" w:hAnsi="宋体" w:hint="eastAsia"/>
                <w:kern w:val="2"/>
                <w:sz w:val="20"/>
                <w:szCs w:val="20"/>
                <w:lang w:eastAsia="zh-CN"/>
              </w:rPr>
            </w:pPr>
            <w:r>
              <w:rPr>
                <w:rFonts w:ascii="宋体" w:eastAsia="宋体" w:hAnsi="宋体" w:cs="宋体" w:hint="eastAsia"/>
                <w:kern w:val="2"/>
                <w:sz w:val="20"/>
                <w:szCs w:val="20"/>
                <w:lang w:eastAsia="zh-CN"/>
              </w:rPr>
              <w:t>（二）评分依据</w:t>
            </w:r>
            <w:r>
              <w:rPr>
                <w:rFonts w:ascii="宋体" w:eastAsia="宋体" w:hAnsi="宋体" w:cs="宋体" w:hint="eastAsia"/>
                <w:kern w:val="2"/>
                <w:sz w:val="20"/>
                <w:szCs w:val="20"/>
                <w:lang w:eastAsia="zh-CN"/>
              </w:rPr>
              <w:t>：投标人必须在投标文件中提供每一个项目的合同和验收报告（均加盖合同甲方公章或业务章）扫描件，否则不得分。</w:t>
            </w:r>
          </w:p>
        </w:tc>
      </w:tr>
    </w:tbl>
    <w:p>
      <w:pPr>
        <w:widowControl w:val="0"/>
        <w:spacing w:after="160" w:line="259" w:lineRule="auto"/>
        <w:jc w:val="both"/>
        <w:rPr>
          <w:rFonts w:eastAsia="宋体"/>
          <w:kern w:val="2"/>
          <w:sz w:val="21"/>
          <w:lang w:eastAsia="zh-CN"/>
        </w:rPr>
      </w:pPr>
      <w:r>
        <w:rPr>
          <w:rFonts w:eastAsia="宋体" w:hint="eastAsia"/>
          <w:kern w:val="2"/>
          <w:sz w:val="21"/>
          <w:lang w:eastAsia="zh-CN"/>
        </w:rPr>
        <w:br w:type="page"/>
      </w:r>
    </w:p>
    <w:p>
      <w:pPr>
        <w:widowControl w:val="0"/>
        <w:spacing w:after="160" w:line="259" w:lineRule="auto"/>
        <w:jc w:val="center"/>
        <w:rPr>
          <w:rFonts w:eastAsia="宋体"/>
          <w:b/>
          <w:kern w:val="2"/>
          <w:sz w:val="120"/>
          <w:szCs w:val="120"/>
          <w:lang w:eastAsia="zh-CN"/>
        </w:rPr>
      </w:pPr>
    </w:p>
    <w:p>
      <w:pPr>
        <w:widowControl w:val="0"/>
        <w:spacing w:after="160" w:line="259" w:lineRule="auto"/>
        <w:jc w:val="center"/>
        <w:rPr>
          <w:rFonts w:eastAsia="宋体"/>
          <w:b/>
          <w:kern w:val="2"/>
          <w:sz w:val="120"/>
          <w:szCs w:val="120"/>
          <w:lang w:eastAsia="zh-CN"/>
        </w:rPr>
      </w:pPr>
    </w:p>
    <w:p>
      <w:pPr>
        <w:widowControl w:val="0"/>
        <w:spacing w:after="160" w:line="259" w:lineRule="auto"/>
        <w:jc w:val="center"/>
        <w:rPr>
          <w:rFonts w:eastAsia="宋体"/>
          <w:b/>
          <w:kern w:val="2"/>
          <w:sz w:val="120"/>
          <w:szCs w:val="120"/>
          <w:lang w:eastAsia="zh-CN"/>
        </w:rPr>
      </w:pPr>
      <w:r>
        <w:rPr>
          <w:rFonts w:eastAsia="宋体" w:hint="eastAsia"/>
          <w:b/>
          <w:kern w:val="2"/>
          <w:sz w:val="120"/>
          <w:szCs w:val="120"/>
          <w:lang w:eastAsia="zh-CN"/>
        </w:rPr>
        <w:t>自行采购</w:t>
      </w:r>
    </w:p>
    <w:p>
      <w:pPr>
        <w:widowControl w:val="0"/>
        <w:spacing w:after="160" w:line="259" w:lineRule="auto"/>
        <w:jc w:val="center"/>
        <w:rPr>
          <w:rFonts w:eastAsia="宋体"/>
          <w:b/>
          <w:kern w:val="2"/>
          <w:sz w:val="120"/>
          <w:szCs w:val="120"/>
          <w:lang w:eastAsia="zh-CN"/>
        </w:rPr>
      </w:pPr>
      <w:r>
        <w:rPr>
          <w:rFonts w:eastAsia="宋体" w:hint="eastAsia"/>
          <w:b/>
          <w:kern w:val="2"/>
          <w:sz w:val="120"/>
          <w:szCs w:val="120"/>
          <w:lang w:eastAsia="zh-CN"/>
        </w:rPr>
        <w:t>招标文件</w:t>
      </w:r>
    </w:p>
    <w:p>
      <w:pPr>
        <w:widowControl w:val="0"/>
        <w:spacing w:after="160" w:line="259" w:lineRule="auto"/>
        <w:jc w:val="center"/>
        <w:rPr>
          <w:rFonts w:eastAsia="宋体"/>
          <w:b/>
          <w:kern w:val="2"/>
          <w:sz w:val="52"/>
          <w:szCs w:val="52"/>
          <w:lang w:eastAsia="zh-CN"/>
        </w:rPr>
      </w:pPr>
      <w:r>
        <w:rPr>
          <w:rFonts w:eastAsia="宋体" w:hint="eastAsia"/>
          <w:b/>
          <w:kern w:val="2"/>
          <w:sz w:val="52"/>
          <w:szCs w:val="52"/>
          <w:lang w:eastAsia="zh-CN"/>
        </w:rPr>
        <w:t>（货物类）</w:t>
      </w:r>
    </w:p>
    <w:p>
      <w:pPr>
        <w:widowControl w:val="0"/>
        <w:spacing w:after="160" w:line="259" w:lineRule="auto"/>
        <w:jc w:val="center"/>
        <w:rPr>
          <w:rFonts w:eastAsia="宋体"/>
          <w:kern w:val="2"/>
          <w:sz w:val="21"/>
          <w:lang w:eastAsia="zh-CN"/>
        </w:rPr>
      </w:pPr>
    </w:p>
    <w:p>
      <w:pPr>
        <w:widowControl w:val="0"/>
        <w:spacing w:after="160" w:line="259" w:lineRule="auto"/>
        <w:jc w:val="center"/>
        <w:rPr>
          <w:rFonts w:eastAsia="宋体"/>
          <w:kern w:val="2"/>
          <w:sz w:val="21"/>
          <w:lang w:eastAsia="zh-CN"/>
        </w:rPr>
      </w:pPr>
    </w:p>
    <w:p>
      <w:pPr>
        <w:widowControl w:val="0"/>
        <w:spacing w:after="160" w:line="259" w:lineRule="auto"/>
        <w:jc w:val="center"/>
        <w:rPr>
          <w:rFonts w:eastAsia="宋体"/>
          <w:kern w:val="2"/>
          <w:sz w:val="21"/>
          <w:lang w:eastAsia="zh-CN"/>
        </w:rPr>
      </w:pPr>
    </w:p>
    <w:p>
      <w:pPr>
        <w:widowControl w:val="0"/>
        <w:spacing w:after="160" w:line="259" w:lineRule="auto"/>
        <w:jc w:val="center"/>
        <w:rPr>
          <w:rFonts w:eastAsia="宋体"/>
          <w:kern w:val="2"/>
          <w:sz w:val="21"/>
          <w:lang w:eastAsia="zh-CN"/>
        </w:rPr>
      </w:pPr>
    </w:p>
    <w:p>
      <w:pPr>
        <w:widowControl w:val="0"/>
        <w:spacing w:after="160" w:line="259" w:lineRule="auto"/>
        <w:jc w:val="center"/>
        <w:rPr>
          <w:rFonts w:eastAsia="宋体"/>
          <w:kern w:val="2"/>
          <w:sz w:val="21"/>
          <w:lang w:eastAsia="zh-CN"/>
        </w:rPr>
      </w:pPr>
    </w:p>
    <w:p>
      <w:pPr>
        <w:widowControl w:val="0"/>
        <w:spacing w:after="160" w:line="259" w:lineRule="auto"/>
        <w:jc w:val="center"/>
        <w:rPr>
          <w:rFonts w:eastAsia="宋体"/>
          <w:b/>
          <w:kern w:val="2"/>
          <w:sz w:val="44"/>
          <w:szCs w:val="44"/>
          <w:lang w:eastAsia="zh-CN"/>
        </w:rPr>
      </w:pPr>
    </w:p>
    <w:p>
      <w:pPr>
        <w:widowControl w:val="0"/>
        <w:spacing w:after="160" w:line="259" w:lineRule="auto"/>
        <w:jc w:val="center"/>
        <w:rPr>
          <w:rFonts w:eastAsia="宋体"/>
          <w:b/>
          <w:kern w:val="2"/>
          <w:sz w:val="44"/>
          <w:szCs w:val="44"/>
          <w:lang w:eastAsia="zh-CN"/>
        </w:rPr>
      </w:pPr>
    </w:p>
    <w:p>
      <w:pPr>
        <w:widowControl w:val="0"/>
        <w:spacing w:after="160" w:line="259" w:lineRule="auto"/>
        <w:jc w:val="center"/>
        <w:rPr>
          <w:rFonts w:eastAsia="宋体"/>
          <w:b/>
          <w:kern w:val="2"/>
          <w:sz w:val="44"/>
          <w:szCs w:val="44"/>
          <w:lang w:eastAsia="zh-CN"/>
        </w:rPr>
      </w:pPr>
    </w:p>
    <w:p>
      <w:pPr>
        <w:widowControl w:val="0"/>
        <w:spacing w:after="160" w:line="259" w:lineRule="auto"/>
        <w:jc w:val="center"/>
        <w:rPr>
          <w:rFonts w:eastAsia="宋体"/>
          <w:b/>
          <w:kern w:val="2"/>
          <w:sz w:val="44"/>
          <w:szCs w:val="44"/>
          <w:lang w:eastAsia="zh-CN"/>
        </w:rPr>
      </w:pPr>
    </w:p>
    <w:p>
      <w:pPr>
        <w:widowControl w:val="0"/>
        <w:spacing w:after="160" w:line="259" w:lineRule="auto"/>
        <w:jc w:val="center"/>
        <w:rPr>
          <w:rFonts w:eastAsia="宋体"/>
          <w:b/>
          <w:kern w:val="2"/>
          <w:sz w:val="44"/>
          <w:szCs w:val="44"/>
          <w:lang w:eastAsia="zh-CN"/>
        </w:rPr>
      </w:pPr>
      <w:bookmarkStart w:id="4" w:name="_Hlk71465316"/>
      <w:r>
        <w:rPr>
          <w:rFonts w:eastAsia="宋体" w:hint="eastAsia"/>
          <w:b/>
          <w:kern w:val="2"/>
          <w:sz w:val="44"/>
          <w:szCs w:val="44"/>
          <w:lang w:eastAsia="zh-CN"/>
        </w:rPr>
        <w:t>深圳公共资源交易中心</w:t>
      </w:r>
    </w:p>
    <w:p>
      <w:pPr>
        <w:widowControl w:val="0"/>
        <w:spacing w:after="160" w:line="259" w:lineRule="auto"/>
        <w:jc w:val="center"/>
        <w:rPr>
          <w:rFonts w:eastAsia="宋体"/>
          <w:kern w:val="2"/>
          <w:sz w:val="28"/>
          <w:szCs w:val="28"/>
          <w:lang w:eastAsia="zh-CN"/>
        </w:rPr>
      </w:pPr>
      <w:r>
        <w:rPr>
          <w:rFonts w:eastAsia="宋体" w:hint="eastAsia"/>
          <w:b/>
          <w:kern w:val="2"/>
          <w:sz w:val="28"/>
          <w:szCs w:val="28"/>
          <w:lang w:eastAsia="zh-CN"/>
        </w:rPr>
        <w:t>（</w:t>
      </w:r>
      <w:r>
        <w:rPr>
          <w:rFonts w:eastAsia="宋体"/>
          <w:b/>
          <w:kern w:val="2"/>
          <w:sz w:val="28"/>
          <w:szCs w:val="28"/>
          <w:lang w:eastAsia="zh-CN"/>
        </w:rPr>
        <w:t>20</w:t>
      </w:r>
      <w:r>
        <w:rPr>
          <w:rFonts w:eastAsia="宋体" w:hint="eastAsia"/>
          <w:b/>
          <w:kern w:val="2"/>
          <w:sz w:val="28"/>
          <w:szCs w:val="28"/>
          <w:lang w:eastAsia="zh-CN"/>
        </w:rPr>
        <w:t>25年）</w:t>
      </w:r>
      <w:bookmarkEnd w:id="4"/>
    </w:p>
    <w:p>
      <w:pPr>
        <w:widowControl w:val="0"/>
        <w:spacing w:after="160" w:line="259" w:lineRule="auto"/>
        <w:jc w:val="center"/>
        <w:rPr>
          <w:rFonts w:ascii="宋体" w:eastAsia="宋体" w:hAnsi="宋体"/>
          <w:color w:val="FF0000"/>
          <w:kern w:val="2"/>
          <w:sz w:val="21"/>
          <w:szCs w:val="21"/>
          <w:lang w:eastAsia="zh-CN"/>
        </w:rPr>
      </w:pPr>
      <w:r>
        <w:rPr>
          <w:rFonts w:eastAsia="宋体" w:hint="eastAsia"/>
          <w:kern w:val="2"/>
          <w:sz w:val="21"/>
          <w:lang w:eastAsia="zh-CN"/>
        </w:rPr>
        <w:br w:type="page"/>
      </w:r>
      <w:bookmarkStart w:id="5" w:name="_Hlk137453387"/>
      <w:r>
        <w:rPr>
          <w:rFonts w:ascii="宋体" w:eastAsia="黑体" w:hAnsi="宋体" w:hint="eastAsia"/>
          <w:b/>
          <w:bCs/>
          <w:color w:val="FF0000"/>
          <w:kern w:val="44"/>
          <w:sz w:val="28"/>
          <w:szCs w:val="44"/>
          <w:lang w:eastAsia="zh-CN"/>
        </w:rPr>
        <w:t>警示条款</w:t>
      </w:r>
    </w:p>
    <w:p>
      <w:pPr>
        <w:widowControl w:val="0"/>
        <w:spacing w:after="160" w:line="240" w:lineRule="exact"/>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本项目为自行采购项目，参照《深圳经济特区政府采购条例》、《深圳经济特区政府采购条例实施细则》及政府采购其他法律法规，按照采购人内控制度，通过公开招标方式确定中标供应商。</w:t>
      </w:r>
    </w:p>
    <w:p>
      <w:pPr>
        <w:widowControl w:val="0"/>
        <w:spacing w:after="160" w:line="240" w:lineRule="exact"/>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一、</w:t>
      </w:r>
      <w:r>
        <w:rPr>
          <w:rFonts w:ascii="宋体" w:eastAsia="宋体" w:hAnsi="宋体" w:hint="eastAsia"/>
          <w:b/>
          <w:bCs/>
          <w:color w:val="FF0000"/>
          <w:kern w:val="2"/>
          <w:sz w:val="20"/>
          <w:szCs w:val="20"/>
          <w:lang w:eastAsia="zh-CN"/>
        </w:rPr>
        <w:t>《深圳经济特区政府采购条例》第五十七条</w:t>
      </w:r>
      <w:r>
        <w:rPr>
          <w:rFonts w:ascii="宋体" w:eastAsia="宋体" w:hAnsi="宋体" w:hint="eastAsia"/>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pPr>
        <w:widowControl w:val="0"/>
        <w:spacing w:after="160" w:line="240" w:lineRule="exact"/>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（一）在采购活动中应当回避而未回避的；</w:t>
      </w:r>
    </w:p>
    <w:p>
      <w:pPr>
        <w:widowControl w:val="0"/>
        <w:spacing w:after="160" w:line="240" w:lineRule="exact"/>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（二）未按本条例规定签订、履行采购合同，造成严重后果的；</w:t>
      </w:r>
    </w:p>
    <w:p>
      <w:pPr>
        <w:widowControl w:val="0"/>
        <w:spacing w:after="160" w:line="240" w:lineRule="exact"/>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（三）隐瞒真实情况，提供虚假资料的；</w:t>
      </w:r>
    </w:p>
    <w:p>
      <w:pPr>
        <w:widowControl w:val="0"/>
        <w:spacing w:after="160" w:line="240" w:lineRule="exact"/>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（四）以非法手段排斥其他供应商参与竞争的；</w:t>
      </w:r>
    </w:p>
    <w:p>
      <w:pPr>
        <w:widowControl w:val="0"/>
        <w:spacing w:after="160" w:line="240" w:lineRule="exact"/>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（五）与其他采购参加人串通投标的；</w:t>
      </w:r>
    </w:p>
    <w:p>
      <w:pPr>
        <w:widowControl w:val="0"/>
        <w:spacing w:after="160" w:line="240" w:lineRule="exact"/>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（六）恶意投诉的；</w:t>
      </w:r>
    </w:p>
    <w:p>
      <w:pPr>
        <w:widowControl w:val="0"/>
        <w:spacing w:after="160" w:line="240" w:lineRule="exact"/>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（七）向采购项目相关人行贿或者提供其他不当利益的；</w:t>
      </w:r>
    </w:p>
    <w:p>
      <w:pPr>
        <w:widowControl w:val="0"/>
        <w:spacing w:after="160" w:line="240" w:lineRule="exact"/>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（八）阻碍、抗拒主管部门监督检查的；</w:t>
      </w:r>
    </w:p>
    <w:p>
      <w:pPr>
        <w:widowControl w:val="0"/>
        <w:spacing w:after="160" w:line="240" w:lineRule="exact"/>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（九）其他违反本条例规定的行为。</w:t>
      </w:r>
    </w:p>
    <w:p>
      <w:pPr>
        <w:widowControl w:val="0"/>
        <w:spacing w:after="160" w:line="240" w:lineRule="exact"/>
        <w:ind w:firstLine="400" w:firstLineChars="200"/>
        <w:jc w:val="both"/>
        <w:rPr>
          <w:rFonts w:ascii="宋体" w:eastAsia="宋体" w:hAnsi="宋体"/>
          <w:color w:val="FF0000"/>
          <w:kern w:val="2"/>
          <w:sz w:val="20"/>
          <w:szCs w:val="20"/>
          <w:lang w:eastAsia="zh-CN"/>
        </w:rPr>
      </w:pPr>
      <w:r>
        <w:rPr>
          <w:rFonts w:ascii="宋体" w:eastAsia="宋体" w:hAnsi="宋体" w:hint="eastAsia"/>
          <w:b/>
          <w:bCs/>
          <w:color w:val="FF0000"/>
          <w:kern w:val="2"/>
          <w:sz w:val="20"/>
          <w:szCs w:val="20"/>
          <w:lang w:eastAsia="zh-CN"/>
        </w:rPr>
        <w:t>二、《深圳经济特区政府采购条例实施细则》第七十五条 </w:t>
      </w:r>
      <w:r>
        <w:rPr>
          <w:rFonts w:ascii="宋体" w:eastAsia="宋体" w:hAnsi="宋体" w:hint="eastAsia"/>
          <w:color w:val="FF0000"/>
          <w:kern w:val="2"/>
          <w:sz w:val="20"/>
          <w:szCs w:val="20"/>
          <w:lang w:eastAsia="zh-CN"/>
        </w:rPr>
        <w:t>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spacing w:after="160" w:line="240" w:lineRule="exact"/>
        <w:ind w:firstLine="400" w:firstLineChars="200"/>
        <w:jc w:val="both"/>
        <w:rPr>
          <w:rFonts w:ascii="宋体" w:eastAsia="宋体" w:hAnsi="宋体"/>
          <w:color w:val="FF0000"/>
          <w:kern w:val="2"/>
          <w:sz w:val="20"/>
          <w:szCs w:val="20"/>
          <w:lang w:eastAsia="zh-CN"/>
        </w:rPr>
      </w:pPr>
      <w:r>
        <w:rPr>
          <w:rFonts w:ascii="宋体" w:eastAsia="宋体" w:hAnsi="宋体" w:hint="eastAsia"/>
          <w:b/>
          <w:bCs/>
          <w:color w:val="FF0000"/>
          <w:kern w:val="2"/>
          <w:sz w:val="20"/>
          <w:szCs w:val="20"/>
          <w:lang w:eastAsia="zh-CN"/>
        </w:rPr>
        <w:t>三、《深圳经济特区政府采购条例实施细则》第七十七条 </w:t>
      </w:r>
      <w:r>
        <w:rPr>
          <w:rFonts w:ascii="宋体" w:eastAsia="宋体" w:hAnsi="宋体"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spacing w:after="160" w:line="240" w:lineRule="exact"/>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投标供应商不能提供项目负责人或者主要技术人员的劳动合同、社会保险等劳动关系证明材料的，视为存在前款第（三）项规定的情形。</w:t>
      </w:r>
    </w:p>
    <w:p>
      <w:pPr>
        <w:widowControl w:val="0"/>
        <w:spacing w:after="160" w:line="240" w:lineRule="exact"/>
        <w:ind w:firstLine="420" w:firstLineChars="200"/>
        <w:jc w:val="both"/>
        <w:rPr>
          <w:rFonts w:eastAsia="宋体"/>
          <w:b/>
          <w:color w:val="FF0000"/>
          <w:kern w:val="2"/>
          <w:sz w:val="21"/>
          <w:lang w:eastAsia="zh-CN"/>
        </w:rPr>
      </w:pPr>
      <w:r>
        <w:rPr>
          <w:rFonts w:eastAsia="宋体" w:hint="eastAsia"/>
          <w:b/>
          <w:color w:val="FF0000"/>
          <w:kern w:val="2"/>
          <w:sz w:val="21"/>
          <w:lang w:eastAsia="zh-CN"/>
        </w:rPr>
        <w:t>四、请投标供应商阅读《采购违法行为风险知悉确认书》（内容详见“第四章 投标文件组成要求及格式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spacing w:after="160" w:line="240" w:lineRule="exact"/>
        <w:ind w:firstLine="400" w:firstLineChars="200"/>
        <w:jc w:val="both"/>
        <w:rPr>
          <w:rFonts w:eastAsia="宋体"/>
          <w:kern w:val="2"/>
          <w:sz w:val="21"/>
          <w:lang w:eastAsia="zh-CN"/>
        </w:rPr>
      </w:pPr>
      <w:r>
        <w:rPr>
          <w:rFonts w:ascii="宋体" w:eastAsia="宋体" w:hAnsi="宋体" w:hint="eastAsia"/>
          <w:color w:val="FF0000"/>
          <w:kern w:val="2"/>
          <w:sz w:val="20"/>
          <w:szCs w:val="20"/>
          <w:lang w:eastAsia="zh-CN"/>
        </w:rPr>
        <w:t>五、</w:t>
      </w:r>
      <w:r>
        <w:rPr>
          <w:rFonts w:ascii="宋体" w:eastAsia="宋体" w:hAnsi="宋体"/>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秘钥。</w:t>
      </w:r>
      <w:bookmarkEnd w:id="5"/>
    </w:p>
    <w:p>
      <w:pPr>
        <w:widowControl w:val="0"/>
        <w:spacing w:after="160" w:line="360" w:lineRule="auto"/>
        <w:jc w:val="both"/>
        <w:rPr>
          <w:rFonts w:eastAsia="宋体"/>
          <w:b/>
          <w:bCs/>
          <w:kern w:val="2"/>
          <w:lang w:eastAsia="zh-CN"/>
        </w:rPr>
      </w:pPr>
      <w:r>
        <w:rPr>
          <w:rFonts w:eastAsia="宋体"/>
          <w:b/>
          <w:bCs/>
          <w:kern w:val="2"/>
          <w:lang w:eastAsia="zh-CN"/>
        </w:rPr>
        <w:br w:type="page"/>
      </w:r>
    </w:p>
    <w:p>
      <w:pPr>
        <w:widowControl w:val="0"/>
        <w:spacing w:after="160" w:line="300" w:lineRule="exact"/>
        <w:ind w:firstLine="420" w:firstLineChars="200"/>
        <w:jc w:val="both"/>
        <w:rPr>
          <w:rFonts w:eastAsia="宋体"/>
          <w:kern w:val="2"/>
          <w:sz w:val="21"/>
          <w:lang w:eastAsia="zh-CN"/>
        </w:rPr>
      </w:pPr>
    </w:p>
    <w:p>
      <w:pPr>
        <w:keepNext/>
        <w:keepLines/>
        <w:widowControl w:val="0"/>
        <w:spacing w:before="340" w:after="330" w:line="360" w:lineRule="auto"/>
        <w:jc w:val="center"/>
        <w:outlineLvl w:val="0"/>
        <w:rPr>
          <w:rFonts w:ascii="宋体" w:eastAsia="黑体" w:hAnsi="宋体"/>
          <w:b/>
          <w:bCs/>
          <w:kern w:val="44"/>
          <w:sz w:val="28"/>
          <w:szCs w:val="44"/>
          <w:lang w:eastAsia="zh-CN"/>
        </w:rPr>
      </w:pPr>
      <w:r>
        <w:rPr>
          <w:rFonts w:ascii="宋体" w:eastAsia="黑体" w:hAnsi="宋体" w:hint="eastAsia"/>
          <w:b/>
          <w:bCs/>
          <w:kern w:val="44"/>
          <w:sz w:val="28"/>
          <w:szCs w:val="44"/>
          <w:lang w:eastAsia="zh-CN"/>
        </w:rPr>
        <w:t>目   录</w:t>
      </w:r>
    </w:p>
    <w:p>
      <w:pPr>
        <w:widowControl w:val="0"/>
        <w:spacing w:after="160" w:line="259" w:lineRule="auto"/>
        <w:jc w:val="both"/>
        <w:outlineLvl w:val="0"/>
        <w:rPr>
          <w:rFonts w:eastAsia="宋体"/>
          <w:b/>
          <w:kern w:val="2"/>
          <w:lang w:eastAsia="zh-CN"/>
        </w:rPr>
      </w:pPr>
      <w:r>
        <w:rPr>
          <w:rFonts w:eastAsia="宋体" w:hint="eastAsia"/>
          <w:b/>
          <w:kern w:val="2"/>
          <w:lang w:eastAsia="zh-CN"/>
        </w:rPr>
        <w:t>第一册  专用条款</w:t>
      </w:r>
    </w:p>
    <w:p>
      <w:pPr>
        <w:widowControl w:val="0"/>
        <w:spacing w:after="160" w:line="259" w:lineRule="auto"/>
        <w:jc w:val="both"/>
        <w:rPr>
          <w:rFonts w:eastAsia="宋体"/>
          <w:kern w:val="2"/>
          <w:lang w:eastAsia="zh-CN"/>
        </w:rPr>
      </w:pPr>
      <w:r>
        <w:rPr>
          <w:rFonts w:eastAsia="宋体" w:hint="eastAsia"/>
          <w:kern w:val="2"/>
          <w:lang w:eastAsia="zh-CN"/>
        </w:rPr>
        <w:t xml:space="preserve">          关键信息</w:t>
      </w:r>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第一章  招标公告</w:t>
      </w:r>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第二章  </w:t>
      </w:r>
      <w:bookmarkStart w:id="6" w:name="_Hlk71994379"/>
      <w:r>
        <w:rPr>
          <w:rFonts w:ascii="宋体" w:eastAsia="宋体" w:hAnsi="宋体" w:hint="eastAsia"/>
          <w:kern w:val="2"/>
          <w:sz w:val="21"/>
          <w:szCs w:val="21"/>
          <w:lang w:eastAsia="zh-CN"/>
        </w:rPr>
        <w:t>对通用条款的补充内容及其他关键信息</w:t>
      </w:r>
      <w:bookmarkEnd w:id="6"/>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第三章 </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用户需求书</w:t>
      </w:r>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第四章 </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投标文件组成要求及格式</w:t>
      </w:r>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第五章  合同条款及格式</w:t>
      </w:r>
    </w:p>
    <w:p>
      <w:pPr>
        <w:widowControl w:val="0"/>
        <w:spacing w:after="160" w:line="259" w:lineRule="auto"/>
        <w:jc w:val="both"/>
        <w:rPr>
          <w:rFonts w:eastAsia="宋体"/>
          <w:b/>
          <w:kern w:val="2"/>
          <w:lang w:eastAsia="zh-CN"/>
        </w:rPr>
      </w:pPr>
    </w:p>
    <w:p>
      <w:pPr>
        <w:widowControl w:val="0"/>
        <w:spacing w:after="160" w:line="259" w:lineRule="auto"/>
        <w:jc w:val="both"/>
        <w:outlineLvl w:val="0"/>
        <w:rPr>
          <w:rFonts w:eastAsia="宋体"/>
          <w:b/>
          <w:kern w:val="2"/>
          <w:lang w:eastAsia="zh-CN"/>
        </w:rPr>
      </w:pPr>
      <w:r>
        <w:rPr>
          <w:rFonts w:eastAsia="宋体" w:hint="eastAsia"/>
          <w:b/>
          <w:kern w:val="2"/>
          <w:lang w:eastAsia="zh-CN"/>
        </w:rPr>
        <w:t>第二册  通用条款</w:t>
      </w:r>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第一章  总则</w:t>
      </w:r>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第二章  招标文件</w:t>
      </w:r>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第三章  投标文件的编制</w:t>
      </w:r>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第四章  投标文件的递交</w:t>
      </w:r>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第五章  开标</w:t>
      </w:r>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第六章  评审要求</w:t>
      </w:r>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第七章  评审程序及评审方法</w:t>
      </w:r>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第八章  定标及公示</w:t>
      </w:r>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第九章  公开招标失败的后续处理</w:t>
      </w:r>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第十章  合同的授予与备案</w:t>
      </w:r>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第十一章  质疑处理</w:t>
      </w:r>
    </w:p>
    <w:p>
      <w:pPr>
        <w:widowControl w:val="0"/>
        <w:spacing w:after="160" w:line="360" w:lineRule="auto"/>
        <w:ind w:firstLine="420" w:firstLineChars="200"/>
        <w:jc w:val="left"/>
        <w:rPr>
          <w:rFonts w:ascii="宋体" w:eastAsia="宋体" w:hAnsi="宋体"/>
          <w:kern w:val="2"/>
          <w:sz w:val="21"/>
          <w:szCs w:val="21"/>
          <w:lang w:eastAsia="zh-CN"/>
        </w:rPr>
      </w:pPr>
    </w:p>
    <w:p>
      <w:pPr>
        <w:keepNext/>
        <w:keepLines/>
        <w:widowControl w:val="0"/>
        <w:spacing w:before="340" w:after="330" w:line="360" w:lineRule="auto"/>
        <w:jc w:val="center"/>
        <w:outlineLvl w:val="0"/>
        <w:rPr>
          <w:rFonts w:ascii="宋体" w:eastAsia="黑体" w:hAnsi="宋体"/>
          <w:b/>
          <w:bCs/>
          <w:kern w:val="44"/>
          <w:szCs w:val="44"/>
          <w:lang w:eastAsia="zh-CN"/>
        </w:rPr>
      </w:pPr>
      <w:r>
        <w:rPr>
          <w:rFonts w:ascii="宋体" w:eastAsia="黑体" w:hAnsi="宋体"/>
          <w:b/>
          <w:bCs/>
          <w:kern w:val="44"/>
          <w:sz w:val="28"/>
          <w:szCs w:val="44"/>
          <w:lang w:eastAsia="zh-CN"/>
        </w:rPr>
        <w:br w:type="page"/>
      </w:r>
      <w:bookmarkStart w:id="7" w:name="bt本工程承诺书"/>
      <w:bookmarkEnd w:id="7"/>
      <w:bookmarkStart w:id="8" w:name="bt投标人情况介绍"/>
      <w:bookmarkEnd w:id="8"/>
      <w:bookmarkStart w:id="9" w:name="bt其他资料2"/>
      <w:bookmarkEnd w:id="9"/>
      <w:bookmarkStart w:id="10" w:name="bt投标报价汇总表"/>
      <w:bookmarkEnd w:id="10"/>
      <w:bookmarkStart w:id="11" w:name="合同格式"/>
      <w:bookmarkEnd w:id="11"/>
      <w:bookmarkStart w:id="12" w:name="bt其他资料由投标人自定"/>
      <w:bookmarkEnd w:id="12"/>
      <w:bookmarkStart w:id="13" w:name="bt技术标投标文件格式"/>
      <w:bookmarkEnd w:id="13"/>
      <w:bookmarkStart w:id="14" w:name="bt说明"/>
      <w:bookmarkEnd w:id="14"/>
      <w:bookmarkStart w:id="15" w:name="bt投标函"/>
      <w:bookmarkEnd w:id="15"/>
      <w:bookmarkStart w:id="16" w:name="bt投标文件签署授权委托书"/>
      <w:bookmarkEnd w:id="16"/>
      <w:bookmarkStart w:id="17" w:name="bt项目管理班子配备情况"/>
      <w:bookmarkEnd w:id="17"/>
      <w:bookmarkStart w:id="18" w:name="bt商务标投标文件格式"/>
      <w:bookmarkEnd w:id="18"/>
      <w:bookmarkStart w:id="19" w:name="bt合同条款"/>
      <w:bookmarkEnd w:id="19"/>
      <w:bookmarkStart w:id="20" w:name="bt开标一览表"/>
      <w:bookmarkEnd w:id="20"/>
      <w:bookmarkStart w:id="21" w:name="bt投标人须知"/>
      <w:bookmarkEnd w:id="21"/>
      <w:bookmarkStart w:id="22" w:name="bt合同条款及格式"/>
      <w:bookmarkEnd w:id="22"/>
      <w:bookmarkStart w:id="23" w:name="bt合同格式"/>
      <w:bookmarkEnd w:id="23"/>
      <w:r>
        <w:rPr>
          <w:rFonts w:ascii="宋体" w:eastAsia="黑体" w:hAnsi="宋体" w:hint="eastAsia"/>
          <w:b/>
          <w:bCs/>
          <w:kern w:val="44"/>
          <w:sz w:val="28"/>
          <w:szCs w:val="44"/>
          <w:lang w:eastAsia="zh-CN"/>
        </w:rPr>
        <w:t>第一册专用条款</w:t>
      </w:r>
    </w:p>
    <w:p>
      <w:pPr>
        <w:keepNext/>
        <w:keepLines/>
        <w:widowControl w:val="0"/>
        <w:adjustRightInd w:val="0"/>
        <w:spacing w:before="260" w:after="260" w:line="240" w:lineRule="auto"/>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第一章  招标公告</w:t>
      </w:r>
    </w:p>
    <w:p>
      <w:pPr>
        <w:widowControl w:val="0"/>
        <w:spacing w:after="160" w:line="360" w:lineRule="auto"/>
        <w:jc w:val="both"/>
        <w:rPr>
          <w:rFonts w:ascii="宋体" w:eastAsia="宋体" w:hAnsi="宋体" w:cs="宋体"/>
          <w:b/>
          <w:bCs/>
          <w:sz w:val="21"/>
          <w:szCs w:val="21"/>
          <w:lang w:eastAsia="zh-CN"/>
        </w:rPr>
      </w:pPr>
      <w:r>
        <w:rPr>
          <w:rFonts w:ascii="宋体" w:eastAsia="宋体" w:hAnsi="宋体" w:cs="宋体" w:hint="eastAsia"/>
          <w:b/>
          <w:bCs/>
          <w:sz w:val="21"/>
          <w:szCs w:val="21"/>
          <w:lang w:eastAsia="zh-CN"/>
        </w:rPr>
        <w:t>投标人的资格要求：</w:t>
      </w:r>
    </w:p>
    <w:p>
      <w:pPr>
        <w:widowControl w:val="0"/>
        <w:spacing w:after="160" w:line="259" w:lineRule="auto"/>
        <w:ind w:firstLine="630" w:firstLineChars="300"/>
        <w:jc w:val="both"/>
        <w:rPr>
          <w:rFonts w:ascii="宋体" w:eastAsia="宋体" w:hAnsi="宋体" w:cs="宋体"/>
          <w:sz w:val="21"/>
          <w:szCs w:val="21"/>
          <w:lang w:eastAsia="zh-CN"/>
        </w:rPr>
      </w:pPr>
      <w:r>
        <w:rPr>
          <w:rFonts w:ascii="宋体" w:eastAsia="宋体" w:hAnsi="宋体" w:cs="宋体" w:hint="eastAsia"/>
          <w:sz w:val="21"/>
          <w:szCs w:val="21"/>
          <w:lang w:eastAsia="zh-CN"/>
        </w:rPr>
        <w:t>1</w:t>
      </w:r>
      <w:r>
        <w:rPr>
          <w:rFonts w:ascii="宋体" w:eastAsia="宋体" w:hAnsi="宋体" w:cs="宋体"/>
          <w:sz w:val="21"/>
          <w:szCs w:val="21"/>
          <w:lang w:eastAsia="zh-CN"/>
        </w:rPr>
        <w:t>.</w:t>
      </w:r>
      <w:bookmarkStart w:id="24" w:name="_Hlk72162904"/>
      <w:r>
        <w:rPr>
          <w:rFonts w:ascii="宋体" w:eastAsia="宋体" w:hAnsi="宋体" w:cs="宋体" w:hint="eastAsia"/>
          <w:sz w:val="21"/>
          <w:szCs w:val="21"/>
          <w:lang w:eastAsia="zh-CN"/>
        </w:rPr>
        <w:t>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bookmarkEnd w:id="24"/>
    </w:p>
    <w:p>
      <w:pPr>
        <w:widowControl w:val="0"/>
        <w:spacing w:after="160" w:line="259" w:lineRule="auto"/>
        <w:ind w:firstLine="630" w:firstLineChars="300"/>
        <w:jc w:val="both"/>
        <w:rPr>
          <w:rFonts w:ascii="宋体" w:eastAsia="宋体" w:hAnsi="宋体" w:cs="宋体"/>
          <w:sz w:val="21"/>
          <w:szCs w:val="21"/>
          <w:lang w:eastAsia="zh-CN"/>
        </w:rPr>
      </w:pPr>
      <w:r>
        <w:rPr>
          <w:rFonts w:ascii="宋体" w:eastAsia="宋体" w:hAnsi="宋体" w:cs="宋体" w:hint="eastAsia"/>
          <w:color w:val="FF0000"/>
          <w:sz w:val="21"/>
          <w:szCs w:val="21"/>
          <w:lang w:eastAsia="zh-CN"/>
        </w:rPr>
        <w:t>2.本项目不接受联合体投标（由供应商在《政府采购投标及履约承诺函》中作出声明），是否接受投标人选用进口产品参与投标详见招标文件“货物需求明细”表；</w:t>
      </w:r>
    </w:p>
    <w:p>
      <w:pPr>
        <w:widowControl w:val="0"/>
        <w:spacing w:after="160" w:line="259" w:lineRule="auto"/>
        <w:ind w:firstLine="630" w:firstLineChars="300"/>
        <w:jc w:val="both"/>
        <w:rPr>
          <w:rFonts w:ascii="宋体" w:eastAsia="宋体" w:hAnsi="宋体" w:cs="宋体"/>
          <w:sz w:val="21"/>
          <w:szCs w:val="21"/>
          <w:lang w:eastAsia="zh-CN"/>
        </w:rPr>
      </w:pPr>
      <w:r>
        <w:rPr>
          <w:rFonts w:ascii="宋体" w:eastAsia="宋体" w:hAnsi="宋体" w:cs="宋体" w:hint="eastAsia"/>
          <w:sz w:val="21"/>
          <w:szCs w:val="21"/>
          <w:lang w:eastAsia="zh-CN"/>
        </w:rPr>
        <w:t>3</w:t>
      </w:r>
      <w:r>
        <w:rPr>
          <w:rFonts w:ascii="宋体" w:eastAsia="宋体" w:hAnsi="宋体" w:cs="宋体"/>
          <w:sz w:val="21"/>
          <w:szCs w:val="21"/>
          <w:lang w:eastAsia="zh-CN"/>
        </w:rPr>
        <w:t>.</w:t>
      </w:r>
      <w:r>
        <w:rPr>
          <w:rFonts w:ascii="宋体" w:eastAsia="宋体" w:hAnsi="宋体" w:cs="宋体" w:hint="eastAsia"/>
          <w:sz w:val="21"/>
          <w:szCs w:val="21"/>
          <w:lang w:eastAsia="zh-CN"/>
        </w:rPr>
        <w:t>参与本项目采购活动时不存在被有关部门禁止参与政府采购活动且在有效期内的情况（由供应商在《采购投标及履约承诺函》中作出声明）；</w:t>
      </w:r>
    </w:p>
    <w:p>
      <w:pPr>
        <w:widowControl w:val="0"/>
        <w:spacing w:after="160" w:line="259" w:lineRule="auto"/>
        <w:ind w:firstLine="630" w:firstLineChars="300"/>
        <w:jc w:val="both"/>
        <w:rPr>
          <w:rFonts w:ascii="宋体" w:eastAsia="宋体" w:hAnsi="宋体" w:cs="宋体"/>
          <w:sz w:val="21"/>
          <w:szCs w:val="21"/>
          <w:lang w:eastAsia="zh-CN"/>
        </w:rPr>
      </w:pPr>
      <w:r>
        <w:rPr>
          <w:rFonts w:ascii="宋体" w:eastAsia="宋体" w:hAnsi="宋体" w:cs="宋体" w:hint="eastAsia"/>
          <w:sz w:val="21"/>
          <w:szCs w:val="21"/>
          <w:lang w:eastAsia="zh-CN"/>
        </w:rPr>
        <w:t>4</w:t>
      </w:r>
      <w:r>
        <w:rPr>
          <w:rFonts w:ascii="宋体" w:eastAsia="宋体" w:hAnsi="宋体" w:cs="宋体"/>
          <w:sz w:val="21"/>
          <w:szCs w:val="21"/>
          <w:lang w:eastAsia="zh-CN"/>
        </w:rPr>
        <w:t>.</w:t>
      </w:r>
      <w:r>
        <w:rPr>
          <w:rFonts w:ascii="宋体" w:eastAsia="宋体" w:hAnsi="宋体" w:cs="宋体" w:hint="eastAsia"/>
          <w:sz w:val="21"/>
          <w:szCs w:val="21"/>
          <w:lang w:eastAsia="zh-CN"/>
        </w:rPr>
        <w:t>具备《中华人民共和国政府采购法》第二十二条第一款的条件（由供应商在《采购投标及履约承诺函》中作出声明）；</w:t>
      </w:r>
    </w:p>
    <w:p>
      <w:pPr>
        <w:widowControl w:val="0"/>
        <w:spacing w:after="160" w:line="259" w:lineRule="auto"/>
        <w:ind w:firstLine="630" w:firstLineChars="300"/>
        <w:jc w:val="both"/>
        <w:rPr>
          <w:rFonts w:ascii="宋体" w:eastAsia="宋体" w:hAnsi="宋体" w:cs="宋体"/>
          <w:sz w:val="21"/>
          <w:szCs w:val="21"/>
          <w:lang w:eastAsia="zh-CN"/>
        </w:rPr>
      </w:pPr>
      <w:r>
        <w:rPr>
          <w:rFonts w:ascii="宋体" w:eastAsia="宋体" w:hAnsi="宋体" w:cs="宋体" w:hint="eastAsia"/>
          <w:sz w:val="21"/>
          <w:szCs w:val="21"/>
          <w:lang w:eastAsia="zh-CN"/>
        </w:rPr>
        <w:t>5</w:t>
      </w:r>
      <w:r>
        <w:rPr>
          <w:rFonts w:ascii="宋体" w:eastAsia="宋体" w:hAnsi="宋体" w:cs="宋体"/>
          <w:sz w:val="21"/>
          <w:szCs w:val="21"/>
          <w:lang w:eastAsia="zh-CN"/>
        </w:rPr>
        <w:t>.</w:t>
      </w:r>
      <w:r>
        <w:rPr>
          <w:rFonts w:ascii="宋体" w:eastAsia="宋体" w:hAnsi="宋体" w:cs="宋体" w:hint="eastAsia"/>
          <w:sz w:val="21"/>
          <w:szCs w:val="21"/>
          <w:lang w:eastAsia="zh-CN"/>
        </w:rPr>
        <w:t>未被列入失信被执行人、重大税收违法案件当事人名单、政府采购严重违法失信行为记录名单（由供应商在《采购投标及履约承诺函》中作出声明）；</w:t>
      </w:r>
    </w:p>
    <w:p>
      <w:pPr>
        <w:widowControl w:val="0"/>
        <w:spacing w:after="160" w:line="259" w:lineRule="auto"/>
        <w:ind w:firstLine="630" w:firstLineChars="300"/>
        <w:jc w:val="both"/>
        <w:rPr>
          <w:rFonts w:ascii="宋体" w:eastAsia="宋体" w:hAnsi="宋体" w:cs="宋体"/>
          <w:color w:val="FF0000"/>
          <w:sz w:val="21"/>
          <w:szCs w:val="21"/>
          <w:lang w:eastAsia="zh-CN"/>
        </w:rPr>
      </w:pPr>
      <w:r>
        <w:rPr>
          <w:rFonts w:ascii="宋体" w:eastAsia="宋体" w:hAnsi="宋体" w:cs="宋体" w:hint="eastAsia"/>
          <w:color w:val="FF0000"/>
          <w:sz w:val="21"/>
          <w:szCs w:val="21"/>
          <w:lang w:eastAsia="zh-CN"/>
        </w:rPr>
        <w:t>6.不存在《深圳市财政局政府采购供应商信用信息管理办法》（深财规〔2023〕3号）列明的严重违法失信行为（由供应商在《采购投标及履约承诺函》中作出声明）；</w:t>
      </w:r>
    </w:p>
    <w:p>
      <w:pPr>
        <w:widowControl w:val="0"/>
        <w:spacing w:after="160" w:line="259" w:lineRule="auto"/>
        <w:ind w:firstLine="630" w:firstLineChars="300"/>
        <w:jc w:val="both"/>
        <w:rPr>
          <w:rFonts w:ascii="宋体" w:eastAsia="宋体" w:hAnsi="宋体" w:cs="宋体"/>
          <w:sz w:val="21"/>
          <w:szCs w:val="21"/>
          <w:lang w:eastAsia="zh-CN"/>
        </w:rPr>
      </w:pPr>
      <w:r>
        <w:rPr>
          <w:rFonts w:ascii="宋体" w:eastAsia="宋体" w:hAnsi="宋体" w:cs="宋体" w:hint="eastAsia"/>
          <w:sz w:val="21"/>
          <w:szCs w:val="21"/>
          <w:lang w:eastAsia="zh-CN"/>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采购投标及履约承诺函》中作出声明）；</w:t>
      </w:r>
    </w:p>
    <w:p>
      <w:pPr>
        <w:widowControl w:val="0"/>
        <w:spacing w:after="160" w:line="259" w:lineRule="auto"/>
        <w:ind w:firstLine="630" w:firstLineChars="300"/>
        <w:jc w:val="both"/>
        <w:rPr>
          <w:rFonts w:ascii="宋体" w:eastAsia="宋体" w:hAnsi="宋体" w:cs="宋体"/>
          <w:sz w:val="21"/>
          <w:szCs w:val="21"/>
          <w:lang w:eastAsia="zh-CN"/>
        </w:rPr>
      </w:pPr>
      <w:r>
        <w:rPr>
          <w:rFonts w:ascii="宋体" w:eastAsia="宋体" w:hAnsi="宋体" w:cs="宋体" w:hint="eastAsia"/>
          <w:sz w:val="21"/>
          <w:szCs w:val="21"/>
          <w:lang w:eastAsia="zh-CN"/>
        </w:rPr>
        <w:t>8.本项目是（否）专门面向中小企业采购：否；</w:t>
      </w:r>
    </w:p>
    <w:p>
      <w:pPr>
        <w:widowControl w:val="0"/>
        <w:spacing w:after="160" w:line="259" w:lineRule="auto"/>
        <w:ind w:firstLine="630" w:firstLineChars="300"/>
        <w:jc w:val="both"/>
        <w:rPr>
          <w:rFonts w:ascii="宋体" w:eastAsia="宋体" w:hAnsi="宋体" w:cs="宋体" w:hint="eastAsia"/>
          <w:sz w:val="21"/>
          <w:szCs w:val="21"/>
          <w:lang w:eastAsia="zh-CN"/>
        </w:rPr>
      </w:pPr>
      <w:r>
        <w:rPr>
          <w:rFonts w:ascii="宋体" w:eastAsia="宋体" w:hAnsi="宋体" w:hint="eastAsia"/>
          <w:kern w:val="2"/>
          <w:sz w:val="21"/>
          <w:szCs w:val="21"/>
          <w:lang w:eastAsia="zh-CN"/>
        </w:rPr>
        <w:t>9.</w:t>
      </w:r>
      <w:r>
        <w:rPr>
          <w:rFonts w:ascii="宋体" w:eastAsia="宋体" w:hAnsi="宋体" w:cs="宋体" w:hint="eastAsia"/>
          <w:sz w:val="21"/>
          <w:szCs w:val="21"/>
          <w:lang w:eastAsia="zh-CN"/>
        </w:rPr>
        <w:t>不存在不同投标供应商法定代表人、投标授权代表人、项目负责人（如有）、主要技术人员（如有）、投标文件编制人员为同一人、属同一单位或者在同一单位缴纳社会保险的情形；不同投标供应商不存在直接控股、管理关系的情形（由供应商提供《供应商基本情况表》并加盖供应商公章，格式见第四章 投标文件组成要求及格式-三、投标人情况及资格证明文件-（三）《供应商基本情况表》，如供应商存在未提供《供应商基本情况表》或所提供《供应商基本情况表》不符合采购文件要求的情形，按资格审查不通过处理）。</w:t>
      </w:r>
    </w:p>
    <w:p>
      <w:pPr>
        <w:widowControl w:val="0"/>
        <w:spacing w:after="160" w:line="259" w:lineRule="auto"/>
        <w:ind w:firstLine="630" w:firstLineChars="300"/>
        <w:jc w:val="both"/>
        <w:rPr>
          <w:rFonts w:ascii="宋体" w:eastAsia="宋体" w:hAnsi="宋体" w:cs="宋体"/>
          <w:sz w:val="21"/>
          <w:szCs w:val="21"/>
          <w:lang w:eastAsia="zh-CN"/>
        </w:rPr>
      </w:pPr>
      <w:r>
        <w:rPr>
          <w:rFonts w:ascii="宋体" w:eastAsia="宋体" w:hAnsi="宋体" w:cs="宋体" w:hint="eastAsia"/>
          <w:color w:val="FF0000"/>
          <w:sz w:val="21"/>
          <w:szCs w:val="21"/>
          <w:lang w:eastAsia="zh-CN"/>
        </w:rPr>
        <w:t>10.</w:t>
      </w:r>
      <w:r>
        <w:rPr>
          <w:rFonts w:eastAsia="宋体" w:hint="eastAsia"/>
          <w:color w:val="FF0000"/>
          <w:kern w:val="2"/>
          <w:sz w:val="21"/>
          <w:lang w:eastAsia="zh-CN"/>
        </w:rPr>
        <w:t>投标人若为生产企业：所投产品为第二、三类医疗器械的，提供监督管理部门签发的涵盖所投报医疗器械的《医疗器械生产许可证》(有效期内)扫描件；投标人若为经营企业：所投产品为第二类医疗器械的，提供监督管理部门签发的涵盖所投报医疗器械的《医疗器械经营备案凭证》扫描件；所投产品为第三类医疗器械的，提供监督管理部门签发的涵盖所投报医疗器械的《医疗器械经营许可证》(有效期内)扫描件。</w:t>
      </w:r>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hint="eastAsia"/>
          <w:kern w:val="2"/>
          <w:sz w:val="21"/>
          <w:szCs w:val="21"/>
          <w:lang w:eastAsia="zh-CN"/>
        </w:rPr>
        <w:t>（2）供应商投标（上传投标文件）必须先行办理注册手续，具体操作指引请按照深圳公共资源交易网/交易服务指南/资料下载/深圳政府采购自行采购系统用户操作指引（供应商）相关内容指引办理。</w:t>
      </w:r>
    </w:p>
    <w:p>
      <w:pPr>
        <w:widowControl w:val="0"/>
        <w:spacing w:after="160" w:line="259" w:lineRule="auto"/>
        <w:ind w:firstLine="420" w:firstLineChars="200"/>
        <w:jc w:val="both"/>
        <w:rPr>
          <w:rFonts w:ascii="宋体" w:eastAsia="宋体" w:hAnsi="宋体" w:cs="宋体"/>
          <w:color w:val="FF0000"/>
          <w:sz w:val="21"/>
          <w:szCs w:val="21"/>
          <w:lang w:eastAsia="zh-CN"/>
        </w:rPr>
      </w:pP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完整公告内容详见：深圳交易集团（深圳公共资源交易中心）官网https://www.szexgrp.com/jyfw/zfcg-view.html?id=zfcg</w:t>
      </w:r>
    </w:p>
    <w:p>
      <w:pPr>
        <w:widowControl w:val="0"/>
        <w:spacing w:after="160" w:line="259" w:lineRule="auto"/>
        <w:jc w:val="both"/>
        <w:rPr>
          <w:rFonts w:eastAsia="宋体"/>
          <w:kern w:val="2"/>
          <w:sz w:val="21"/>
          <w:lang w:eastAsia="zh-CN"/>
        </w:rPr>
      </w:pPr>
      <w:r>
        <w:rPr>
          <w:rFonts w:eastAsia="宋体" w:hint="eastAsia"/>
          <w:kern w:val="2"/>
          <w:sz w:val="21"/>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第二章 对通用条款的补充内容及其他关键信息</w:t>
      </w:r>
    </w:p>
    <w:p>
      <w:pPr>
        <w:keepNext/>
        <w:keepLines/>
        <w:widowControl w:val="0"/>
        <w:adjustRightInd w:val="0"/>
        <w:spacing w:before="156" w:beforeLines="50" w:after="156" w:afterLines="50" w:line="240" w:lineRule="auto"/>
        <w:jc w:val="center"/>
        <w:textAlignment w:val="baseline"/>
        <w:outlineLvl w:val="1"/>
        <w:rPr>
          <w:rFonts w:ascii="宋体" w:eastAsia="宋体" w:hAnsi="宋体"/>
          <w:b/>
          <w:bCs/>
          <w:sz w:val="28"/>
          <w:szCs w:val="28"/>
          <w:lang w:eastAsia="zh-CN"/>
        </w:rPr>
      </w:pPr>
      <w:bookmarkStart w:id="25" w:name="_Toc60631620"/>
      <w:bookmarkStart w:id="26" w:name="_Toc73517639"/>
      <w:bookmarkStart w:id="27" w:name="_Toc73518117"/>
      <w:bookmarkStart w:id="28" w:name="_Toc100052364"/>
      <w:bookmarkStart w:id="29" w:name="_Toc60560625"/>
      <w:bookmarkStart w:id="30" w:name="_Toc101074876"/>
      <w:bookmarkStart w:id="31" w:name="_Toc73521547"/>
      <w:bookmarkStart w:id="32" w:name="_Toc73521635"/>
      <w:r>
        <w:rPr>
          <w:rFonts w:ascii="宋体" w:eastAsia="宋体" w:hAnsi="宋体" w:hint="eastAsia"/>
          <w:b/>
          <w:bCs/>
          <w:lang w:eastAsia="zh-CN"/>
        </w:rPr>
        <w:t>一、对通用条款的补充内容</w:t>
      </w:r>
    </w:p>
    <w:bookmarkEnd w:id="25"/>
    <w:bookmarkEnd w:id="26"/>
    <w:bookmarkEnd w:id="27"/>
    <w:bookmarkEnd w:id="28"/>
    <w:bookmarkEnd w:id="29"/>
    <w:bookmarkEnd w:id="30"/>
    <w:bookmarkEnd w:id="31"/>
    <w:bookmarkEnd w:id="32"/>
    <w:tbl>
      <w:tblPr>
        <w:tblStyle w:val="TableNormal"/>
        <w:tblpPr w:leftFromText="180" w:rightFromText="180" w:vertAnchor="text" w:tblpXSpec="center" w:tblpY="1"/>
        <w:tblOverlap w:val="never"/>
        <w:tblW w:w="5000" w:type="pct"/>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88"/>
        <w:gridCol w:w="2573"/>
        <w:gridCol w:w="4961"/>
      </w:tblGrid>
      <w:tr>
        <w:tblPrEx>
          <w:tblW w:w="5000" w:type="pct"/>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trPr>
        <w:tc>
          <w:tcPr>
            <w:tcW w:w="970" w:type="dxa"/>
            <w:vAlign w:val="center"/>
          </w:tcPr>
          <w:p>
            <w:pPr>
              <w:widowControl w:val="0"/>
              <w:spacing w:after="160" w:line="259" w:lineRule="auto"/>
              <w:jc w:val="center"/>
              <w:rPr>
                <w:rFonts w:ascii="宋体" w:eastAsia="宋体" w:hAnsi="宋体"/>
                <w:b/>
                <w:bCs/>
                <w:kern w:val="2"/>
                <w:sz w:val="21"/>
                <w:lang w:eastAsia="zh-CN"/>
              </w:rPr>
            </w:pPr>
            <w:r>
              <w:rPr>
                <w:rFonts w:ascii="宋体" w:eastAsia="宋体" w:hAnsi="宋体" w:hint="eastAsia"/>
                <w:b/>
                <w:bCs/>
                <w:kern w:val="2"/>
                <w:sz w:val="21"/>
                <w:lang w:eastAsia="zh-CN"/>
              </w:rPr>
              <w:t>通用条款序号</w:t>
            </w:r>
          </w:p>
        </w:tc>
        <w:tc>
          <w:tcPr>
            <w:tcW w:w="2526" w:type="dxa"/>
            <w:vAlign w:val="center"/>
          </w:tcPr>
          <w:p>
            <w:pPr>
              <w:widowControl w:val="0"/>
              <w:spacing w:after="160" w:line="259" w:lineRule="auto"/>
              <w:jc w:val="center"/>
              <w:rPr>
                <w:rFonts w:ascii="宋体" w:eastAsia="宋体" w:hAnsi="宋体"/>
                <w:b/>
                <w:bCs/>
                <w:kern w:val="2"/>
                <w:sz w:val="21"/>
                <w:lang w:eastAsia="zh-CN"/>
              </w:rPr>
            </w:pPr>
            <w:r>
              <w:rPr>
                <w:rFonts w:ascii="宋体" w:eastAsia="宋体" w:hAnsi="宋体" w:hint="eastAsia"/>
                <w:b/>
                <w:bCs/>
                <w:kern w:val="2"/>
                <w:sz w:val="21"/>
                <w:lang w:eastAsia="zh-CN"/>
              </w:rPr>
              <w:t>涉及事项</w:t>
            </w:r>
          </w:p>
        </w:tc>
        <w:tc>
          <w:tcPr>
            <w:tcW w:w="4871" w:type="dxa"/>
            <w:vAlign w:val="center"/>
          </w:tcPr>
          <w:p>
            <w:pPr>
              <w:widowControl w:val="0"/>
              <w:spacing w:after="160" w:line="259" w:lineRule="auto"/>
              <w:jc w:val="center"/>
              <w:rPr>
                <w:rFonts w:ascii="宋体" w:eastAsia="宋体" w:hAnsi="宋体"/>
                <w:b/>
                <w:bCs/>
                <w:kern w:val="2"/>
                <w:sz w:val="21"/>
                <w:lang w:eastAsia="zh-CN"/>
              </w:rPr>
            </w:pPr>
            <w:r>
              <w:rPr>
                <w:rFonts w:ascii="宋体" w:eastAsia="宋体" w:hAnsi="宋体" w:hint="eastAsia"/>
                <w:b/>
                <w:bCs/>
                <w:kern w:val="2"/>
                <w:sz w:val="21"/>
                <w:lang w:eastAsia="zh-CN"/>
              </w:rPr>
              <w:t xml:space="preserve">具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体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补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充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内 </w:t>
            </w:r>
            <w:r>
              <w:rPr>
                <w:rFonts w:ascii="宋体" w:eastAsia="宋体" w:hAnsi="宋体"/>
                <w:b/>
                <w:bCs/>
                <w:kern w:val="2"/>
                <w:sz w:val="21"/>
                <w:lang w:eastAsia="zh-CN"/>
              </w:rPr>
              <w:t xml:space="preserve"> </w:t>
            </w:r>
            <w:r>
              <w:rPr>
                <w:rFonts w:ascii="宋体" w:eastAsia="宋体" w:hAnsi="宋体" w:hint="eastAsia"/>
                <w:b/>
                <w:bCs/>
                <w:kern w:val="2"/>
                <w:sz w:val="21"/>
                <w:lang w:eastAsia="zh-CN"/>
              </w:rPr>
              <w:t>容</w:t>
            </w:r>
          </w:p>
        </w:tc>
      </w:tr>
      <w:tr>
        <w:tblPrEx>
          <w:tblW w:w="5000" w:type="pct"/>
          <w:tblInd w:w="0" w:type="dxa"/>
          <w:tblLayout w:type="fixed"/>
          <w:tblCellMar>
            <w:top w:w="0" w:type="dxa"/>
            <w:left w:w="108" w:type="dxa"/>
            <w:bottom w:w="0" w:type="dxa"/>
            <w:right w:w="108" w:type="dxa"/>
          </w:tblCellMar>
        </w:tblPrEx>
        <w:trPr>
          <w:cantSplit/>
          <w:trHeight w:val="20"/>
        </w:trPr>
        <w:tc>
          <w:tcPr>
            <w:tcW w:w="8367" w:type="dxa"/>
            <w:gridSpan w:val="3"/>
            <w:vAlign w:val="center"/>
          </w:tcPr>
          <w:p>
            <w:pPr>
              <w:widowControl w:val="0"/>
              <w:spacing w:after="160" w:line="259" w:lineRule="auto"/>
              <w:jc w:val="both"/>
              <w:rPr>
                <w:rFonts w:ascii="宋体" w:eastAsia="宋体" w:hAnsi="宋体"/>
                <w:b/>
                <w:bCs/>
                <w:kern w:val="2"/>
                <w:sz w:val="21"/>
                <w:lang w:eastAsia="zh-CN"/>
              </w:rPr>
            </w:pPr>
            <w:r>
              <w:rPr>
                <w:rFonts w:eastAsia="宋体" w:hint="eastAsia"/>
                <w:kern w:val="2"/>
                <w:sz w:val="21"/>
                <w:lang w:eastAsia="zh-CN"/>
              </w:rPr>
              <w:t>本项目为自行采购项目，相关事宜按照招标文件要求及采购单位内控制度执行。</w:t>
            </w:r>
          </w:p>
        </w:tc>
      </w:tr>
      <w:tr>
        <w:tblPrEx>
          <w:tblW w:w="5000" w:type="pct"/>
          <w:tblInd w:w="0" w:type="dxa"/>
          <w:tblLayout w:type="fixed"/>
          <w:tblCellMar>
            <w:top w:w="0" w:type="dxa"/>
            <w:left w:w="108" w:type="dxa"/>
            <w:bottom w:w="0" w:type="dxa"/>
            <w:right w:w="108" w:type="dxa"/>
          </w:tblCellMar>
        </w:tblPrEx>
        <w:trPr>
          <w:cantSplit/>
          <w:trHeight w:val="20"/>
        </w:trPr>
        <w:tc>
          <w:tcPr>
            <w:tcW w:w="97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.1</w:t>
            </w:r>
          </w:p>
        </w:tc>
        <w:tc>
          <w:tcPr>
            <w:tcW w:w="2526" w:type="dxa"/>
            <w:vAlign w:val="center"/>
          </w:tcPr>
          <w:p>
            <w:pPr>
              <w:widowControl w:val="0"/>
              <w:spacing w:after="160" w:line="259" w:lineRule="auto"/>
              <w:jc w:val="center"/>
              <w:rPr>
                <w:rFonts w:eastAsia="宋体"/>
                <w:kern w:val="2"/>
                <w:sz w:val="21"/>
                <w:lang w:eastAsia="zh-CN"/>
              </w:rPr>
            </w:pPr>
            <w:r>
              <w:rPr>
                <w:rFonts w:eastAsia="宋体" w:hint="eastAsia"/>
                <w:kern w:val="2"/>
                <w:sz w:val="21"/>
                <w:lang w:eastAsia="zh-CN"/>
              </w:rPr>
              <w:t>采购人</w:t>
            </w:r>
          </w:p>
        </w:tc>
        <w:tc>
          <w:tcPr>
            <w:tcW w:w="4871"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北京大学深圳医院</w:t>
            </w:r>
          </w:p>
        </w:tc>
      </w:tr>
      <w:tr>
        <w:tblPrEx>
          <w:tblW w:w="5000" w:type="pct"/>
          <w:tblInd w:w="0" w:type="dxa"/>
          <w:tblLayout w:type="fixed"/>
          <w:tblCellMar>
            <w:top w:w="0" w:type="dxa"/>
            <w:left w:w="108" w:type="dxa"/>
            <w:bottom w:w="0" w:type="dxa"/>
            <w:right w:w="108" w:type="dxa"/>
          </w:tblCellMar>
        </w:tblPrEx>
        <w:trPr>
          <w:cantSplit/>
          <w:trHeight w:val="20"/>
        </w:trPr>
        <w:tc>
          <w:tcPr>
            <w:tcW w:w="97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.2</w:t>
            </w:r>
          </w:p>
        </w:tc>
        <w:tc>
          <w:tcPr>
            <w:tcW w:w="2526"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政府集中采购机构</w:t>
            </w:r>
          </w:p>
        </w:tc>
        <w:tc>
          <w:tcPr>
            <w:tcW w:w="4871"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深圳公共资源交易中心</w:t>
            </w:r>
          </w:p>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（深圳交易集团有限公司政府采购业务分公司）</w:t>
            </w:r>
          </w:p>
        </w:tc>
      </w:tr>
      <w:tr>
        <w:tblPrEx>
          <w:tblW w:w="5000" w:type="pct"/>
          <w:tblInd w:w="0" w:type="dxa"/>
          <w:tblLayout w:type="fixed"/>
          <w:tblCellMar>
            <w:top w:w="0" w:type="dxa"/>
            <w:left w:w="108" w:type="dxa"/>
            <w:bottom w:w="0" w:type="dxa"/>
            <w:right w:w="108" w:type="dxa"/>
          </w:tblCellMar>
        </w:tblPrEx>
        <w:trPr>
          <w:cantSplit/>
          <w:trHeight w:val="20"/>
        </w:trPr>
        <w:tc>
          <w:tcPr>
            <w:tcW w:w="97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9</w:t>
            </w:r>
          </w:p>
        </w:tc>
        <w:tc>
          <w:tcPr>
            <w:tcW w:w="2526"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踏勘现场</w:t>
            </w:r>
          </w:p>
        </w:tc>
        <w:tc>
          <w:tcPr>
            <w:tcW w:w="4871"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不组织</w:t>
            </w:r>
          </w:p>
        </w:tc>
      </w:tr>
      <w:tr>
        <w:tblPrEx>
          <w:tblW w:w="5000" w:type="pct"/>
          <w:tblInd w:w="0" w:type="dxa"/>
          <w:tblLayout w:type="fixed"/>
          <w:tblCellMar>
            <w:top w:w="0" w:type="dxa"/>
            <w:left w:w="108" w:type="dxa"/>
            <w:bottom w:w="0" w:type="dxa"/>
            <w:right w:w="108" w:type="dxa"/>
          </w:tblCellMar>
        </w:tblPrEx>
        <w:trPr>
          <w:cantSplit/>
          <w:trHeight w:val="20"/>
        </w:trPr>
        <w:tc>
          <w:tcPr>
            <w:tcW w:w="97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0</w:t>
            </w:r>
          </w:p>
        </w:tc>
        <w:tc>
          <w:tcPr>
            <w:tcW w:w="2526"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标前会议</w:t>
            </w:r>
          </w:p>
        </w:tc>
        <w:tc>
          <w:tcPr>
            <w:tcW w:w="4871"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不组织</w:t>
            </w:r>
          </w:p>
        </w:tc>
      </w:tr>
      <w:tr>
        <w:tblPrEx>
          <w:tblW w:w="5000" w:type="pct"/>
          <w:tblInd w:w="0" w:type="dxa"/>
          <w:tblLayout w:type="fixed"/>
          <w:tblCellMar>
            <w:top w:w="0" w:type="dxa"/>
            <w:left w:w="108" w:type="dxa"/>
            <w:bottom w:w="0" w:type="dxa"/>
            <w:right w:w="108" w:type="dxa"/>
          </w:tblCellMar>
        </w:tblPrEx>
        <w:trPr>
          <w:cantSplit/>
          <w:trHeight w:val="20"/>
        </w:trPr>
        <w:tc>
          <w:tcPr>
            <w:tcW w:w="97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2</w:t>
            </w:r>
            <w:r>
              <w:rPr>
                <w:rFonts w:ascii="宋体" w:eastAsia="宋体" w:hAnsi="宋体" w:hint="eastAsia"/>
                <w:kern w:val="2"/>
                <w:sz w:val="21"/>
                <w:lang w:eastAsia="zh-CN"/>
              </w:rPr>
              <w:t>/1</w:t>
            </w:r>
            <w:r>
              <w:rPr>
                <w:rFonts w:ascii="宋体" w:eastAsia="宋体" w:hAnsi="宋体"/>
                <w:kern w:val="2"/>
                <w:sz w:val="21"/>
                <w:lang w:eastAsia="zh-CN"/>
              </w:rPr>
              <w:t>3</w:t>
            </w:r>
          </w:p>
        </w:tc>
        <w:tc>
          <w:tcPr>
            <w:tcW w:w="2526"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招标文件的澄清和修改</w:t>
            </w:r>
          </w:p>
        </w:tc>
        <w:tc>
          <w:tcPr>
            <w:tcW w:w="4871" w:type="dxa"/>
            <w:vAlign w:val="center"/>
          </w:tcPr>
          <w:p>
            <w:pPr>
              <w:widowControl w:val="0"/>
              <w:spacing w:after="160" w:line="259" w:lineRule="auto"/>
              <w:jc w:val="left"/>
              <w:rPr>
                <w:rFonts w:ascii="宋体" w:eastAsia="宋体" w:hAnsi="宋体"/>
                <w:kern w:val="2"/>
                <w:sz w:val="21"/>
                <w:lang w:eastAsia="zh-CN"/>
              </w:rPr>
            </w:pPr>
            <w:r>
              <w:rPr>
                <w:rFonts w:ascii="宋体" w:eastAsia="宋体" w:hAnsi="宋体" w:hint="eastAsia"/>
                <w:kern w:val="2"/>
                <w:sz w:val="21"/>
                <w:lang w:eastAsia="zh-CN"/>
              </w:rPr>
              <w:t>投标截止日三日前，投标人有义务在招标期间在政府集中采购机构网站浏览与本项目有关的澄清和修改信息</w:t>
            </w:r>
          </w:p>
        </w:tc>
      </w:tr>
      <w:tr>
        <w:tblPrEx>
          <w:tblW w:w="5000" w:type="pct"/>
          <w:tblInd w:w="0" w:type="dxa"/>
          <w:tblLayout w:type="fixed"/>
          <w:tblCellMar>
            <w:top w:w="0" w:type="dxa"/>
            <w:left w:w="108" w:type="dxa"/>
            <w:bottom w:w="0" w:type="dxa"/>
            <w:right w:w="108" w:type="dxa"/>
          </w:tblCellMar>
        </w:tblPrEx>
        <w:trPr>
          <w:cantSplit/>
          <w:trHeight w:val="20"/>
        </w:trPr>
        <w:tc>
          <w:tcPr>
            <w:tcW w:w="97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0</w:t>
            </w:r>
          </w:p>
        </w:tc>
        <w:tc>
          <w:tcPr>
            <w:tcW w:w="2526"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投标有效期</w:t>
            </w:r>
          </w:p>
        </w:tc>
        <w:tc>
          <w:tcPr>
            <w:tcW w:w="4871"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120个日历日</w:t>
            </w:r>
          </w:p>
        </w:tc>
      </w:tr>
      <w:tr>
        <w:tblPrEx>
          <w:tblW w:w="5000" w:type="pct"/>
          <w:tblInd w:w="0" w:type="dxa"/>
          <w:tblLayout w:type="fixed"/>
          <w:tblCellMar>
            <w:top w:w="0" w:type="dxa"/>
            <w:left w:w="108" w:type="dxa"/>
            <w:bottom w:w="0" w:type="dxa"/>
            <w:right w:w="108" w:type="dxa"/>
          </w:tblCellMar>
        </w:tblPrEx>
        <w:trPr>
          <w:cantSplit/>
          <w:trHeight w:val="20"/>
        </w:trPr>
        <w:tc>
          <w:tcPr>
            <w:tcW w:w="97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2</w:t>
            </w:r>
          </w:p>
        </w:tc>
        <w:tc>
          <w:tcPr>
            <w:tcW w:w="2526"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投标人的替代方案</w:t>
            </w:r>
          </w:p>
        </w:tc>
        <w:tc>
          <w:tcPr>
            <w:tcW w:w="4871"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不接受</w:t>
            </w:r>
          </w:p>
        </w:tc>
      </w:tr>
      <w:tr>
        <w:tblPrEx>
          <w:tblW w:w="5000" w:type="pct"/>
          <w:tblInd w:w="0" w:type="dxa"/>
          <w:tblLayout w:type="fixed"/>
          <w:tblCellMar>
            <w:top w:w="0" w:type="dxa"/>
            <w:left w:w="108" w:type="dxa"/>
            <w:bottom w:w="0" w:type="dxa"/>
            <w:right w:w="108" w:type="dxa"/>
          </w:tblCellMar>
        </w:tblPrEx>
        <w:trPr>
          <w:cantSplit/>
          <w:trHeight w:val="20"/>
        </w:trPr>
        <w:tc>
          <w:tcPr>
            <w:tcW w:w="97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5</w:t>
            </w:r>
          </w:p>
        </w:tc>
        <w:tc>
          <w:tcPr>
            <w:tcW w:w="2526"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投标文件的大小</w:t>
            </w:r>
          </w:p>
        </w:tc>
        <w:tc>
          <w:tcPr>
            <w:tcW w:w="4871"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投标文件大小不得超过</w:t>
            </w:r>
            <w:r>
              <w:rPr>
                <w:rFonts w:ascii="宋体" w:eastAsia="宋体" w:hAnsi="宋体"/>
                <w:kern w:val="2"/>
                <w:sz w:val="21"/>
                <w:lang w:eastAsia="zh-CN"/>
              </w:rPr>
              <w:t>1</w:t>
            </w:r>
            <w:r>
              <w:rPr>
                <w:rFonts w:ascii="宋体" w:eastAsia="宋体" w:hAnsi="宋体" w:hint="eastAsia"/>
                <w:kern w:val="2"/>
                <w:sz w:val="21"/>
                <w:lang w:eastAsia="zh-CN"/>
              </w:rPr>
              <w:t>00MB</w:t>
            </w:r>
          </w:p>
        </w:tc>
      </w:tr>
      <w:tr>
        <w:tblPrEx>
          <w:tblW w:w="5000" w:type="pct"/>
          <w:tblInd w:w="0" w:type="dxa"/>
          <w:tblLayout w:type="fixed"/>
          <w:tblCellMar>
            <w:top w:w="0" w:type="dxa"/>
            <w:left w:w="108" w:type="dxa"/>
            <w:bottom w:w="0" w:type="dxa"/>
            <w:right w:w="108" w:type="dxa"/>
          </w:tblCellMar>
        </w:tblPrEx>
        <w:trPr>
          <w:cantSplit/>
          <w:trHeight w:val="20"/>
        </w:trPr>
        <w:tc>
          <w:tcPr>
            <w:tcW w:w="97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6</w:t>
            </w:r>
          </w:p>
        </w:tc>
        <w:tc>
          <w:tcPr>
            <w:tcW w:w="2526" w:type="dxa"/>
            <w:vAlign w:val="center"/>
          </w:tcPr>
          <w:p>
            <w:pPr>
              <w:widowControl w:val="0"/>
              <w:spacing w:after="160" w:line="259" w:lineRule="auto"/>
              <w:jc w:val="center"/>
              <w:rPr>
                <w:rFonts w:ascii="宋体" w:eastAsia="宋体" w:hAnsi="宋体"/>
                <w:kern w:val="2"/>
                <w:sz w:val="21"/>
                <w:lang w:eastAsia="zh-CN"/>
              </w:rPr>
            </w:pPr>
            <w:bookmarkStart w:id="33" w:name="_Hlk71664860"/>
            <w:r>
              <w:rPr>
                <w:rFonts w:ascii="宋体" w:eastAsia="宋体" w:hAnsi="宋体" w:hint="eastAsia"/>
                <w:kern w:val="2"/>
                <w:sz w:val="21"/>
                <w:lang w:eastAsia="zh-CN"/>
              </w:rPr>
              <w:t>样品、演示、方案讲解</w:t>
            </w:r>
            <w:bookmarkEnd w:id="33"/>
          </w:p>
        </w:tc>
        <w:tc>
          <w:tcPr>
            <w:tcW w:w="4871" w:type="dxa"/>
            <w:vAlign w:val="center"/>
          </w:tcPr>
          <w:p>
            <w:pPr>
              <w:widowControl w:val="0"/>
              <w:spacing w:after="160" w:line="259" w:lineRule="auto"/>
              <w:jc w:val="both"/>
              <w:rPr>
                <w:rFonts w:ascii="宋体" w:eastAsia="宋体" w:hAnsi="宋体"/>
                <w:kern w:val="2"/>
                <w:sz w:val="21"/>
                <w:lang w:eastAsia="zh-CN"/>
              </w:rPr>
            </w:pPr>
            <w:r>
              <w:rPr>
                <w:rFonts w:ascii="宋体" w:eastAsia="宋体" w:hAnsi="宋体" w:hint="eastAsia"/>
                <w:kern w:val="2"/>
                <w:sz w:val="21"/>
                <w:lang w:eastAsia="zh-CN"/>
              </w:rPr>
              <w:t>如有样品、演示、方案讲解，具体安排见第三章 用户需求书相关要求</w:t>
            </w:r>
          </w:p>
        </w:tc>
      </w:tr>
      <w:tr>
        <w:tblPrEx>
          <w:tblW w:w="5000" w:type="pct"/>
          <w:tblInd w:w="0" w:type="dxa"/>
          <w:tblLayout w:type="fixed"/>
          <w:tblCellMar>
            <w:top w:w="0" w:type="dxa"/>
            <w:left w:w="108" w:type="dxa"/>
            <w:bottom w:w="0" w:type="dxa"/>
            <w:right w:w="108" w:type="dxa"/>
          </w:tblCellMar>
        </w:tblPrEx>
        <w:trPr>
          <w:cantSplit/>
          <w:trHeight w:val="20"/>
        </w:trPr>
        <w:tc>
          <w:tcPr>
            <w:tcW w:w="97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7</w:t>
            </w:r>
          </w:p>
        </w:tc>
        <w:tc>
          <w:tcPr>
            <w:tcW w:w="2526"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评审方法</w:t>
            </w:r>
          </w:p>
        </w:tc>
        <w:tc>
          <w:tcPr>
            <w:tcW w:w="4871" w:type="dxa"/>
            <w:vAlign w:val="center"/>
          </w:tcPr>
          <w:p>
            <w:pPr>
              <w:widowControl w:val="0"/>
              <w:spacing w:after="160" w:line="259" w:lineRule="auto"/>
              <w:jc w:val="left"/>
              <w:rPr>
                <w:rFonts w:ascii="宋体" w:eastAsia="宋体" w:hAnsi="宋体"/>
                <w:kern w:val="2"/>
                <w:sz w:val="21"/>
                <w:lang w:eastAsia="zh-CN"/>
              </w:rPr>
            </w:pPr>
            <w:r>
              <w:rPr>
                <w:rFonts w:ascii="宋体" w:eastAsia="宋体" w:hAnsi="宋体" w:hint="eastAsia"/>
                <w:kern w:val="2"/>
                <w:sz w:val="21"/>
                <w:lang w:eastAsia="zh-CN"/>
              </w:rPr>
              <w:t>综合评分法</w:t>
            </w:r>
          </w:p>
        </w:tc>
      </w:tr>
      <w:tr>
        <w:tblPrEx>
          <w:tblW w:w="5000" w:type="pct"/>
          <w:tblInd w:w="0" w:type="dxa"/>
          <w:tblLayout w:type="fixed"/>
          <w:tblCellMar>
            <w:top w:w="0" w:type="dxa"/>
            <w:left w:w="108" w:type="dxa"/>
            <w:bottom w:w="0" w:type="dxa"/>
            <w:right w:w="108" w:type="dxa"/>
          </w:tblCellMar>
        </w:tblPrEx>
        <w:trPr>
          <w:cantSplit/>
          <w:trHeight w:val="59"/>
        </w:trPr>
        <w:tc>
          <w:tcPr>
            <w:tcW w:w="97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8</w:t>
            </w:r>
          </w:p>
        </w:tc>
        <w:tc>
          <w:tcPr>
            <w:tcW w:w="2526"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定标方法</w:t>
            </w:r>
          </w:p>
        </w:tc>
        <w:tc>
          <w:tcPr>
            <w:tcW w:w="4871" w:type="dxa"/>
            <w:vAlign w:val="center"/>
          </w:tcPr>
          <w:p>
            <w:pPr>
              <w:widowControl w:val="0"/>
              <w:spacing w:after="160" w:line="259" w:lineRule="auto"/>
              <w:jc w:val="left"/>
              <w:rPr>
                <w:rFonts w:ascii="宋体" w:eastAsia="宋体" w:hAnsi="宋体"/>
                <w:kern w:val="2"/>
                <w:sz w:val="21"/>
                <w:lang w:eastAsia="zh-CN"/>
              </w:rPr>
            </w:pPr>
            <w:r>
              <w:rPr>
                <w:rFonts w:ascii="宋体" w:eastAsia="宋体" w:hAnsi="宋体" w:hint="eastAsia"/>
                <w:kern w:val="2"/>
                <w:sz w:val="21"/>
                <w:lang w:eastAsia="zh-CN"/>
              </w:rPr>
              <w:t>非评定分离</w:t>
            </w:r>
          </w:p>
        </w:tc>
      </w:tr>
      <w:tr>
        <w:tblPrEx>
          <w:tblW w:w="5000" w:type="pct"/>
          <w:tblInd w:w="0" w:type="dxa"/>
          <w:tblLayout w:type="fixed"/>
          <w:tblCellMar>
            <w:top w:w="0" w:type="dxa"/>
            <w:left w:w="108" w:type="dxa"/>
            <w:bottom w:w="0" w:type="dxa"/>
            <w:right w:w="108" w:type="dxa"/>
          </w:tblCellMar>
        </w:tblPrEx>
        <w:trPr>
          <w:cantSplit/>
          <w:trHeight w:val="552"/>
        </w:trPr>
        <w:tc>
          <w:tcPr>
            <w:tcW w:w="97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4</w:t>
            </w:r>
            <w:r>
              <w:rPr>
                <w:rFonts w:ascii="宋体" w:eastAsia="宋体" w:hAnsi="宋体"/>
                <w:kern w:val="2"/>
                <w:sz w:val="21"/>
                <w:lang w:eastAsia="zh-CN"/>
              </w:rPr>
              <w:t>6</w:t>
            </w:r>
          </w:p>
        </w:tc>
        <w:tc>
          <w:tcPr>
            <w:tcW w:w="2526"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履约担保</w:t>
            </w:r>
          </w:p>
        </w:tc>
        <w:tc>
          <w:tcPr>
            <w:tcW w:w="4871" w:type="dxa"/>
            <w:vAlign w:val="center"/>
          </w:tcPr>
          <w:p>
            <w:pPr>
              <w:widowControl w:val="0"/>
              <w:spacing w:after="160" w:line="259" w:lineRule="auto"/>
              <w:jc w:val="left"/>
              <w:rPr>
                <w:rFonts w:ascii="宋体" w:eastAsia="宋体" w:hAnsi="宋体"/>
                <w:kern w:val="2"/>
                <w:sz w:val="21"/>
                <w:lang w:eastAsia="zh-CN"/>
              </w:rPr>
            </w:pPr>
            <w:r>
              <w:rPr>
                <w:rFonts w:ascii="宋体" w:eastAsia="宋体" w:hAnsi="宋体" w:hint="eastAsia"/>
                <w:kern w:val="2"/>
                <w:sz w:val="21"/>
                <w:lang w:eastAsia="zh-CN"/>
              </w:rPr>
              <w:t>不需要</w:t>
            </w:r>
          </w:p>
        </w:tc>
      </w:tr>
      <w:tr>
        <w:tblPrEx>
          <w:tblW w:w="5000" w:type="pct"/>
          <w:tblInd w:w="0" w:type="dxa"/>
          <w:tblLayout w:type="fixed"/>
          <w:tblCellMar>
            <w:top w:w="0" w:type="dxa"/>
            <w:left w:w="108" w:type="dxa"/>
            <w:bottom w:w="0" w:type="dxa"/>
            <w:right w:w="108" w:type="dxa"/>
          </w:tblCellMar>
        </w:tblPrEx>
        <w:trPr>
          <w:cantSplit/>
          <w:trHeight w:val="20"/>
        </w:trPr>
        <w:tc>
          <w:tcPr>
            <w:tcW w:w="97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52.8</w:t>
            </w:r>
          </w:p>
        </w:tc>
        <w:tc>
          <w:tcPr>
            <w:tcW w:w="2526"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争议（投诉）</w:t>
            </w:r>
          </w:p>
        </w:tc>
        <w:tc>
          <w:tcPr>
            <w:tcW w:w="4871" w:type="dxa"/>
            <w:vAlign w:val="center"/>
          </w:tcPr>
          <w:p>
            <w:pPr>
              <w:widowControl w:val="0"/>
              <w:spacing w:after="160" w:line="259" w:lineRule="auto"/>
              <w:jc w:val="left"/>
              <w:rPr>
                <w:rFonts w:ascii="宋体" w:eastAsia="宋体" w:hAnsi="宋体"/>
                <w:b/>
                <w:kern w:val="2"/>
                <w:sz w:val="21"/>
                <w:lang w:eastAsia="zh-CN"/>
              </w:rPr>
            </w:pPr>
            <w:r>
              <w:rPr>
                <w:rFonts w:ascii="宋体" w:eastAsia="宋体" w:hAnsi="宋体" w:hint="eastAsia"/>
                <w:kern w:val="2"/>
                <w:sz w:val="21"/>
                <w:lang w:eastAsia="zh-CN"/>
              </w:rPr>
              <w:t>对被质疑人的答复不满意或者被质疑人未在规定时间内答复的，提出质疑的供应商可以在答复期满后十五个工作日内向本项目预算主管单位投诉。供应商投诉的事项应当是经过质疑的事项。</w:t>
            </w:r>
          </w:p>
        </w:tc>
      </w:tr>
    </w:tbl>
    <w:p>
      <w:pPr>
        <w:widowControl w:val="0"/>
        <w:spacing w:after="160" w:line="259" w:lineRule="auto"/>
        <w:jc w:val="both"/>
        <w:rPr>
          <w:rFonts w:eastAsia="宋体"/>
          <w:b/>
          <w:kern w:val="2"/>
          <w:sz w:val="21"/>
          <w:lang w:eastAsia="zh-CN"/>
        </w:rPr>
      </w:pPr>
      <w:r>
        <w:rPr>
          <w:rFonts w:eastAsia="宋体" w:hint="eastAsia"/>
          <w:kern w:val="2"/>
          <w:sz w:val="21"/>
          <w:szCs w:val="21"/>
          <w:lang w:eastAsia="zh-CN"/>
        </w:rPr>
        <w:t>备注：本表是通用条款相关条款的补充和明确，如与通用条款内容相冲突的，以本表为准。</w:t>
      </w:r>
    </w:p>
    <w:p>
      <w:pPr>
        <w:widowControl w:val="0"/>
        <w:spacing w:after="160" w:line="259" w:lineRule="auto"/>
        <w:jc w:val="both"/>
        <w:rPr>
          <w:rFonts w:eastAsia="宋体"/>
          <w:b/>
          <w:kern w:val="2"/>
          <w:sz w:val="21"/>
          <w:lang w:eastAsia="zh-CN"/>
        </w:rPr>
      </w:pPr>
    </w:p>
    <w:p>
      <w:pPr>
        <w:keepNext/>
        <w:keepLines/>
        <w:widowControl w:val="0"/>
        <w:adjustRightInd w:val="0"/>
        <w:spacing w:before="156" w:beforeLines="50" w:after="156" w:afterLines="50" w:line="240" w:lineRule="auto"/>
        <w:jc w:val="center"/>
        <w:textAlignment w:val="baseline"/>
        <w:outlineLvl w:val="1"/>
        <w:rPr>
          <w:rFonts w:ascii="宋体" w:eastAsia="宋体" w:hAnsi="宋体"/>
          <w:b/>
          <w:bCs/>
          <w:lang w:eastAsia="zh-CN"/>
        </w:rPr>
      </w:pPr>
      <w:r>
        <w:rPr>
          <w:rFonts w:ascii="宋体" w:eastAsia="宋体" w:hAnsi="宋体" w:hint="eastAsia"/>
          <w:b/>
          <w:bCs/>
          <w:lang w:eastAsia="zh-CN"/>
        </w:rPr>
        <w:t>二、其他关键信息</w:t>
      </w:r>
    </w:p>
    <w:p>
      <w:pPr>
        <w:widowControl w:val="0"/>
        <w:spacing w:after="160" w:line="259" w:lineRule="auto"/>
        <w:ind w:firstLine="420" w:firstLineChars="200"/>
        <w:jc w:val="both"/>
        <w:rPr>
          <w:rFonts w:eastAsia="宋体"/>
          <w:b/>
          <w:bCs/>
          <w:kern w:val="2"/>
          <w:sz w:val="21"/>
          <w:lang w:eastAsia="zh-CN"/>
        </w:rPr>
      </w:pPr>
      <w:r>
        <w:rPr>
          <w:rFonts w:eastAsia="宋体" w:hint="eastAsia"/>
          <w:b/>
          <w:bCs/>
          <w:kern w:val="2"/>
          <w:sz w:val="21"/>
          <w:lang w:eastAsia="zh-CN"/>
        </w:rPr>
        <w:t>（一）与“对通用条款的补充内容”章节相关的事项</w:t>
      </w:r>
    </w:p>
    <w:p>
      <w:pPr>
        <w:widowControl w:val="0"/>
        <w:spacing w:after="160" w:line="276" w:lineRule="auto"/>
        <w:ind w:firstLine="420" w:firstLineChars="200"/>
        <w:jc w:val="left"/>
        <w:rPr>
          <w:rFonts w:ascii="宋体" w:eastAsia="宋体" w:hAnsi="宋体"/>
          <w:b/>
          <w:sz w:val="21"/>
          <w:szCs w:val="20"/>
          <w:lang w:eastAsia="zh-CN"/>
        </w:rPr>
      </w:pPr>
      <w:bookmarkStart w:id="34" w:name="_Hlk72579465"/>
      <w:r>
        <w:rPr>
          <w:rFonts w:ascii="宋体" w:eastAsia="宋体" w:hAnsi="宋体" w:hint="eastAsia"/>
          <w:b/>
          <w:sz w:val="21"/>
          <w:szCs w:val="20"/>
          <w:lang w:eastAsia="zh-CN"/>
        </w:rPr>
        <w:t>1、评标定标信息</w:t>
      </w:r>
    </w:p>
    <w:p>
      <w:pPr>
        <w:widowControl w:val="0"/>
        <w:spacing w:after="160" w:line="259" w:lineRule="auto"/>
        <w:jc w:val="center"/>
        <w:rPr>
          <w:rFonts w:eastAsia="宋体"/>
          <w:kern w:val="2"/>
          <w:sz w:val="21"/>
          <w:lang w:eastAsia="zh-CN"/>
        </w:rPr>
      </w:pPr>
      <w:r>
        <w:rPr>
          <w:rFonts w:eastAsia="宋体" w:hint="eastAsia"/>
          <w:b/>
          <w:kern w:val="2"/>
          <w:sz w:val="21"/>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904"/>
        <w:gridCol w:w="561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844" w:type="dxa"/>
          </w:tcPr>
          <w:p>
            <w:pPr>
              <w:jc w:val="center"/>
              <w:rPr>
                <w:kern w:val="2"/>
                <w:sz w:val="21"/>
                <w:lang w:eastAsia="zh-CN"/>
              </w:rPr>
            </w:pPr>
            <w:r>
              <w:rPr>
                <w:rFonts w:hint="eastAsia"/>
                <w:kern w:val="2"/>
                <w:sz w:val="21"/>
                <w:lang w:eastAsia="zh-CN"/>
              </w:rPr>
              <w:t>评标方法</w:t>
            </w:r>
          </w:p>
        </w:tc>
        <w:tc>
          <w:tcPr>
            <w:tcW w:w="5501" w:type="dxa"/>
          </w:tcPr>
          <w:p>
            <w:pPr>
              <w:jc w:val="center"/>
              <w:rPr>
                <w:kern w:val="2"/>
                <w:sz w:val="21"/>
                <w:lang w:eastAsia="zh-CN"/>
              </w:rPr>
            </w:pPr>
            <w:r>
              <w:rPr>
                <w:rFonts w:ascii="Wingdings" w:hAnsi="Wingdings"/>
                <w:kern w:val="2"/>
                <w:sz w:val="21"/>
                <w:lang w:eastAsia="zh-CN"/>
              </w:rPr>
              <w:sym w:font="Wingdings" w:char="F0FE"/>
            </w:r>
            <w:r>
              <w:rPr>
                <w:rFonts w:hint="eastAsia"/>
                <w:kern w:val="2"/>
                <w:sz w:val="21"/>
                <w:lang w:eastAsia="zh-CN"/>
              </w:rPr>
              <w:t>综合评分法</w:t>
            </w:r>
          </w:p>
        </w:tc>
      </w:tr>
      <w:tr>
        <w:tblPrEx>
          <w:tblW w:w="5000" w:type="pct"/>
          <w:tblInd w:w="0" w:type="dxa"/>
          <w:tblLayout w:type="fixed"/>
          <w:tblCellMar>
            <w:top w:w="0" w:type="dxa"/>
            <w:left w:w="108" w:type="dxa"/>
            <w:bottom w:w="0" w:type="dxa"/>
            <w:right w:w="108" w:type="dxa"/>
          </w:tblCellMar>
        </w:tblPrEx>
        <w:tc>
          <w:tcPr>
            <w:tcW w:w="2844" w:type="dxa"/>
          </w:tcPr>
          <w:p>
            <w:pPr>
              <w:jc w:val="center"/>
              <w:rPr>
                <w:kern w:val="2"/>
                <w:sz w:val="21"/>
                <w:lang w:eastAsia="zh-CN"/>
              </w:rPr>
            </w:pPr>
            <w:r>
              <w:rPr>
                <w:rFonts w:hint="eastAsia"/>
                <w:kern w:val="2"/>
                <w:sz w:val="21"/>
                <w:lang w:eastAsia="zh-CN"/>
              </w:rPr>
              <w:t>候选中标供应商家数</w:t>
            </w:r>
          </w:p>
        </w:tc>
        <w:tc>
          <w:tcPr>
            <w:tcW w:w="5501" w:type="dxa"/>
          </w:tcPr>
          <w:p>
            <w:pPr>
              <w:jc w:val="center"/>
              <w:rPr>
                <w:kern w:val="2"/>
                <w:sz w:val="21"/>
                <w:lang w:eastAsia="zh-CN"/>
              </w:rPr>
            </w:pPr>
            <w:r>
              <w:rPr>
                <w:rFonts w:hint="eastAsia"/>
                <w:kern w:val="2"/>
                <w:sz w:val="21"/>
                <w:lang w:eastAsia="zh-CN"/>
              </w:rPr>
              <w:t>3</w:t>
            </w:r>
          </w:p>
        </w:tc>
      </w:tr>
      <w:tr>
        <w:tblPrEx>
          <w:tblW w:w="5000" w:type="pct"/>
          <w:tblInd w:w="0" w:type="dxa"/>
          <w:tblLayout w:type="fixed"/>
          <w:tblCellMar>
            <w:top w:w="0" w:type="dxa"/>
            <w:left w:w="108" w:type="dxa"/>
            <w:bottom w:w="0" w:type="dxa"/>
            <w:right w:w="108" w:type="dxa"/>
          </w:tblCellMar>
        </w:tblPrEx>
        <w:tc>
          <w:tcPr>
            <w:tcW w:w="2844" w:type="dxa"/>
          </w:tcPr>
          <w:p>
            <w:pPr>
              <w:jc w:val="center"/>
              <w:rPr>
                <w:kern w:val="2"/>
                <w:sz w:val="21"/>
                <w:lang w:eastAsia="zh-CN"/>
              </w:rPr>
            </w:pPr>
            <w:r>
              <w:rPr>
                <w:rFonts w:hint="eastAsia"/>
                <w:kern w:val="2"/>
                <w:sz w:val="21"/>
                <w:lang w:eastAsia="zh-CN"/>
              </w:rPr>
              <w:t>中标供应商家数</w:t>
            </w:r>
          </w:p>
        </w:tc>
        <w:tc>
          <w:tcPr>
            <w:tcW w:w="5501" w:type="dxa"/>
          </w:tcPr>
          <w:p>
            <w:pPr>
              <w:jc w:val="center"/>
              <w:rPr>
                <w:kern w:val="2"/>
                <w:sz w:val="21"/>
                <w:lang w:eastAsia="zh-CN"/>
              </w:rPr>
            </w:pPr>
            <w:r>
              <w:rPr>
                <w:rFonts w:hint="eastAsia"/>
                <w:kern w:val="2"/>
                <w:sz w:val="21"/>
                <w:lang w:eastAsia="zh-CN"/>
              </w:rPr>
              <w:t>1</w:t>
            </w:r>
          </w:p>
        </w:tc>
      </w:tr>
    </w:tbl>
    <w:p>
      <w:pPr>
        <w:widowControl w:val="0"/>
        <w:spacing w:after="160" w:line="259" w:lineRule="auto"/>
        <w:ind w:firstLine="420" w:firstLineChars="200"/>
        <w:jc w:val="both"/>
        <w:rPr>
          <w:rFonts w:ascii="宋体" w:eastAsia="宋体" w:hAnsi="宋体"/>
          <w:b/>
          <w:kern w:val="2"/>
          <w:sz w:val="21"/>
          <w:lang w:eastAsia="zh-CN"/>
        </w:rPr>
      </w:pPr>
    </w:p>
    <w:bookmarkEnd w:id="34"/>
    <w:p>
      <w:pPr>
        <w:widowControl w:val="0"/>
        <w:spacing w:after="160" w:line="259" w:lineRule="auto"/>
        <w:ind w:firstLine="420" w:firstLineChars="200"/>
        <w:jc w:val="both"/>
        <w:rPr>
          <w:rFonts w:eastAsia="宋体"/>
          <w:b/>
          <w:kern w:val="2"/>
          <w:sz w:val="21"/>
          <w:lang w:eastAsia="zh-CN"/>
        </w:rPr>
      </w:pPr>
      <w:r>
        <w:rPr>
          <w:rFonts w:eastAsia="宋体" w:hint="eastAsia"/>
          <w:b/>
          <w:kern w:val="2"/>
          <w:sz w:val="21"/>
          <w:lang w:eastAsia="zh-CN"/>
        </w:rPr>
        <w:t>（二）其他事项</w:t>
      </w:r>
    </w:p>
    <w:p>
      <w:pPr>
        <w:widowControl w:val="0"/>
        <w:spacing w:after="160" w:line="259" w:lineRule="auto"/>
        <w:ind w:firstLine="420" w:firstLineChars="200"/>
        <w:jc w:val="both"/>
        <w:rPr>
          <w:rFonts w:ascii="宋体" w:eastAsia="宋体" w:hAnsi="宋体" w:cs="宋体"/>
          <w:b/>
          <w:bCs/>
          <w:kern w:val="2"/>
          <w:sz w:val="21"/>
          <w:lang w:eastAsia="zh-CN"/>
        </w:rPr>
      </w:pPr>
      <w:r>
        <w:rPr>
          <w:rFonts w:ascii="宋体" w:eastAsia="宋体" w:hAnsi="宋体" w:cs="宋体"/>
          <w:b/>
          <w:bCs/>
          <w:kern w:val="2"/>
          <w:sz w:val="21"/>
          <w:lang w:eastAsia="zh-CN"/>
        </w:rPr>
        <w:t>1</w:t>
      </w:r>
      <w:r>
        <w:rPr>
          <w:rFonts w:ascii="宋体" w:eastAsia="宋体" w:hAnsi="宋体" w:cs="宋体" w:hint="eastAsia"/>
          <w:b/>
          <w:bCs/>
          <w:kern w:val="2"/>
          <w:sz w:val="21"/>
          <w:lang w:eastAsia="zh-CN"/>
        </w:rPr>
        <w:t>、关于享受优惠政策的主体及价格扣除比例</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（1）专门面向中小企业采购的项目，不再执行价格扣除比例。</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（2）非专门面向中小企业采购的项目，应执行价格扣除比例：投标人提供的货物（以招标文件用户需求书“货物清单明细”的“货物名称”一栏为准）全部均由优惠主体制造，则对其投标总价给予</w:t>
      </w:r>
      <w:r>
        <w:rPr>
          <w:rFonts w:eastAsia="宋体"/>
          <w:b/>
          <w:bCs/>
          <w:color w:val="FF0000"/>
          <w:kern w:val="2"/>
          <w:szCs w:val="32"/>
          <w:u w:val="single"/>
          <w:lang w:eastAsia="zh-CN"/>
        </w:rPr>
        <w:t xml:space="preserve">  </w:t>
      </w:r>
      <w:r>
        <w:rPr>
          <w:rFonts w:eastAsia="宋体" w:hint="eastAsia"/>
          <w:b/>
          <w:bCs/>
          <w:color w:val="FF0000"/>
          <w:kern w:val="2"/>
          <w:szCs w:val="32"/>
          <w:u w:val="single"/>
          <w:lang w:eastAsia="zh-CN"/>
        </w:rPr>
        <w:t xml:space="preserve"> 10</w:t>
      </w:r>
      <w:r>
        <w:rPr>
          <w:rFonts w:eastAsia="宋体"/>
          <w:b/>
          <w:bCs/>
          <w:color w:val="FF0000"/>
          <w:kern w:val="2"/>
          <w:szCs w:val="32"/>
          <w:u w:val="single"/>
          <w:lang w:eastAsia="zh-CN"/>
        </w:rPr>
        <w:t xml:space="preserve">  </w:t>
      </w:r>
      <w:r>
        <w:rPr>
          <w:rFonts w:eastAsia="宋体" w:hint="eastAsia"/>
          <w:b/>
          <w:bCs/>
          <w:color w:val="FF0000"/>
          <w:kern w:val="2"/>
          <w:szCs w:val="32"/>
          <w:u w:val="single"/>
          <w:lang w:eastAsia="zh-CN"/>
        </w:rPr>
        <w:t xml:space="preserve"> </w:t>
      </w:r>
      <w:r>
        <w:rPr>
          <w:rFonts w:eastAsia="宋体"/>
          <w:b/>
          <w:bCs/>
          <w:color w:val="FF0000"/>
          <w:kern w:val="2"/>
          <w:szCs w:val="32"/>
          <w:lang w:eastAsia="zh-CN"/>
        </w:rPr>
        <w:t>%</w:t>
      </w:r>
      <w:r>
        <w:rPr>
          <w:rFonts w:eastAsia="宋体" w:hint="eastAsia"/>
          <w:color w:val="000000"/>
          <w:kern w:val="2"/>
          <w:sz w:val="21"/>
          <w:lang w:eastAsia="zh-CN"/>
        </w:rPr>
        <w:t>（10%~20%）</w:t>
      </w:r>
      <w:r>
        <w:rPr>
          <w:rFonts w:eastAsia="宋体" w:hint="eastAsia"/>
          <w:kern w:val="2"/>
          <w:sz w:val="21"/>
          <w:lang w:eastAsia="zh-CN"/>
        </w:rPr>
        <w:t>的扣除，用扣除后的价格参与评审。满足多项优惠政策的供应商，不重复享受多项价格扣除政策。</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自行采购活动中视同中小企业；(</w:t>
      </w:r>
      <w:r>
        <w:rPr>
          <w:rFonts w:eastAsia="宋体"/>
          <w:kern w:val="2"/>
          <w:sz w:val="21"/>
          <w:lang w:eastAsia="zh-CN"/>
        </w:rPr>
        <w:t>b)</w:t>
      </w:r>
      <w:r>
        <w:rPr>
          <w:rFonts w:eastAsia="宋体" w:hint="eastAsia"/>
          <w:kern w:val="2"/>
          <w:sz w:val="21"/>
          <w:lang w:eastAsia="zh-CN"/>
        </w:rPr>
        <w:t>优惠主体制造是指货物由优惠主体生产且使用该优惠主体商号或者注册商标；投标人提供的货物既有优惠主体制造货物，又有非优惠主体制造货物的，不给予价格扣除。</w:t>
      </w:r>
    </w:p>
    <w:p>
      <w:pPr>
        <w:widowControl w:val="0"/>
        <w:spacing w:after="160" w:line="259"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（3）</w:t>
      </w:r>
      <w:bookmarkStart w:id="35" w:name="_Hlk71970739"/>
      <w:r>
        <w:rPr>
          <w:rFonts w:ascii="宋体" w:eastAsia="宋体" w:hAnsi="宋体" w:cs="宋体" w:hint="eastAsia"/>
          <w:kern w:val="2"/>
          <w:sz w:val="21"/>
          <w:szCs w:val="21"/>
          <w:lang w:eastAsia="zh-CN"/>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ascii="宋体" w:eastAsia="宋体" w:hAnsi="宋体" w:cs="宋体" w:hint="eastAsia"/>
          <w:b/>
          <w:bCs/>
          <w:color w:val="FF0000"/>
          <w:kern w:val="2"/>
          <w:sz w:val="21"/>
          <w:szCs w:val="21"/>
          <w:lang w:eastAsia="zh-CN"/>
        </w:rPr>
        <w:t>《中小企业声明函》中相关企业所属行业应当与采购标的所属行业相一致。</w:t>
      </w:r>
      <w:r>
        <w:rPr>
          <w:rFonts w:ascii="宋体" w:eastAsia="宋体" w:hAnsi="宋体" w:cs="宋体" w:hint="eastAsia"/>
          <w:kern w:val="2"/>
          <w:sz w:val="21"/>
          <w:szCs w:val="21"/>
          <w:lang w:eastAsia="zh-CN"/>
        </w:rPr>
        <w:t>本项目采购标的（货物）对应的中小企业划分标准所属行业为</w:t>
      </w:r>
      <w:r>
        <w:rPr>
          <w:rFonts w:ascii="宋体" w:eastAsia="宋体" w:hAnsi="宋体" w:cs="宋体" w:hint="eastAsia"/>
          <w:b/>
          <w:bCs/>
          <w:color w:val="FF0000"/>
          <w:kern w:val="2"/>
          <w:u w:val="single"/>
          <w:lang w:eastAsia="zh-CN"/>
        </w:rPr>
        <w:t xml:space="preserve"> 工业 </w:t>
      </w:r>
      <w:r>
        <w:rPr>
          <w:rFonts w:ascii="宋体" w:eastAsia="宋体" w:hAnsi="宋体" w:cs="宋体" w:hint="eastAsia"/>
          <w:kern w:val="2"/>
          <w:sz w:val="21"/>
          <w:szCs w:val="21"/>
          <w:lang w:eastAsia="zh-CN"/>
        </w:rPr>
        <w:t>。</w:t>
      </w:r>
      <w:bookmarkEnd w:id="35"/>
    </w:p>
    <w:p>
      <w:pPr>
        <w:widowControl w:val="0"/>
        <w:numPr>
          <w:ilvl w:val="0"/>
          <w:numId w:val="1"/>
        </w:numPr>
        <w:spacing w:after="160" w:line="259" w:lineRule="auto"/>
        <w:ind w:firstLine="420" w:firstLineChars="200"/>
        <w:jc w:val="both"/>
        <w:rPr>
          <w:rFonts w:eastAsia="宋体"/>
          <w:kern w:val="2"/>
          <w:sz w:val="21"/>
          <w:lang w:eastAsia="zh-CN"/>
        </w:rPr>
      </w:pPr>
      <w:r>
        <w:rPr>
          <w:rFonts w:eastAsia="宋体" w:hint="eastAsia"/>
          <w:kern w:val="2"/>
          <w:sz w:val="21"/>
          <w:szCs w:val="21"/>
          <w:lang w:eastAsia="zh-CN"/>
        </w:rPr>
        <w:t>小型企业、微</w:t>
      </w:r>
      <w:r>
        <w:rPr>
          <w:rFonts w:eastAsia="宋体" w:hint="eastAsia"/>
          <w:kern w:val="2"/>
          <w:sz w:val="21"/>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介绍及资格证明文件”章节提供的格式）。</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（5）享受价格扣除获得采购合同的，小微企业不得将合同分包给大中型企业。</w:t>
      </w:r>
    </w:p>
    <w:p>
      <w:pPr>
        <w:widowControl w:val="0"/>
        <w:spacing w:after="160" w:line="259" w:lineRule="auto"/>
        <w:ind w:firstLine="420" w:firstLineChars="200"/>
        <w:jc w:val="both"/>
        <w:rPr>
          <w:rFonts w:ascii="宋体" w:eastAsia="宋体" w:hAnsi="宋体" w:cs="宋体"/>
          <w:b/>
          <w:bCs/>
          <w:kern w:val="2"/>
          <w:sz w:val="21"/>
          <w:lang w:eastAsia="zh-CN"/>
        </w:rPr>
      </w:pPr>
    </w:p>
    <w:p>
      <w:pPr>
        <w:widowControl w:val="0"/>
        <w:spacing w:after="160" w:line="259" w:lineRule="auto"/>
        <w:ind w:firstLine="420" w:firstLineChars="200"/>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2、关于采购订单融资政策</w:t>
      </w:r>
    </w:p>
    <w:p>
      <w:pPr>
        <w:widowControl w:val="0"/>
        <w:wordWrap w:val="0"/>
        <w:spacing w:after="160" w:line="259" w:lineRule="auto"/>
        <w:ind w:firstLine="420" w:firstLineChars="200"/>
        <w:jc w:val="both"/>
        <w:rPr>
          <w:rFonts w:ascii="宋体" w:eastAsia="宋体" w:hAnsi="宋体"/>
          <w:b/>
          <w:kern w:val="2"/>
          <w:sz w:val="21"/>
          <w:lang w:eastAsia="zh-CN"/>
        </w:rPr>
      </w:pPr>
      <w:r>
        <w:rPr>
          <w:rFonts w:eastAsia="宋体" w:hint="eastAsia"/>
          <w:color w:val="FF0000"/>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spacing w:after="160" w:line="259" w:lineRule="auto"/>
        <w:ind w:firstLine="420" w:firstLineChars="200"/>
        <w:jc w:val="both"/>
        <w:rPr>
          <w:rFonts w:ascii="宋体" w:eastAsia="宋体" w:hAnsi="宋体" w:cs="宋体"/>
          <w:b/>
          <w:bCs/>
          <w:kern w:val="2"/>
          <w:sz w:val="21"/>
          <w:lang w:eastAsia="zh-CN"/>
        </w:rPr>
      </w:pPr>
    </w:p>
    <w:p>
      <w:pPr>
        <w:widowControl w:val="0"/>
        <w:spacing w:after="160" w:line="259" w:lineRule="auto"/>
        <w:ind w:firstLine="420" w:firstLineChars="200"/>
        <w:jc w:val="both"/>
        <w:rPr>
          <w:rFonts w:ascii="宋体" w:eastAsia="宋体" w:hAnsi="宋体" w:cs="宋体"/>
          <w:b/>
          <w:bCs/>
          <w:kern w:val="2"/>
          <w:sz w:val="21"/>
          <w:lang w:eastAsia="zh-CN"/>
        </w:rPr>
      </w:pPr>
      <w:r>
        <w:rPr>
          <w:rFonts w:ascii="Wingdings" w:eastAsia="宋体" w:hAnsi="Wingdings" w:cs="宋体"/>
          <w:b/>
          <w:bCs/>
          <w:kern w:val="2"/>
          <w:sz w:val="21"/>
          <w:lang w:eastAsia="zh-CN"/>
        </w:rPr>
        <w:sym w:font="Wingdings" w:char="F0FE"/>
      </w:r>
      <w:r>
        <w:rPr>
          <w:rFonts w:ascii="宋体" w:eastAsia="宋体" w:hAnsi="宋体" w:cs="宋体" w:hint="eastAsia"/>
          <w:b/>
          <w:bCs/>
          <w:kern w:val="2"/>
          <w:sz w:val="21"/>
          <w:lang w:eastAsia="zh-CN"/>
        </w:rPr>
        <w:t>3、</w:t>
      </w:r>
      <w:bookmarkStart w:id="36" w:name="_Hlk72594729"/>
      <w:bookmarkStart w:id="37" w:name="_Hlk76855768"/>
      <w:r>
        <w:rPr>
          <w:rFonts w:ascii="宋体" w:eastAsia="宋体" w:hAnsi="宋体" w:cs="宋体" w:hint="eastAsia"/>
          <w:b/>
          <w:bCs/>
          <w:kern w:val="2"/>
          <w:sz w:val="21"/>
          <w:lang w:eastAsia="zh-CN"/>
        </w:rPr>
        <w:t>本项目为代理服务项目，将向中标（成交）供应商收取代理服务费。</w:t>
      </w:r>
    </w:p>
    <w:bookmarkEnd w:id="36"/>
    <w:bookmarkEnd w:id="37"/>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中标（成交）供应商在领取《中标（成交）通知书》之前须向深圳公共资源交易中心（深圳交易集团有限公司政府采购业务分公司）交纳代理服务费。若因中标（成交）供应商交纳代理服务费所产生的时间影响到合同签订的，由中标（成交）供应商自行承担责任。代理服务费标准参照下列标准收取。</w:t>
      </w:r>
      <w:r>
        <w:rPr>
          <w:rFonts w:eastAsia="宋体" w:hint="eastAsia"/>
          <w:b/>
          <w:color w:val="FF0000"/>
          <w:kern w:val="2"/>
          <w:sz w:val="21"/>
          <w:lang w:eastAsia="zh-CN"/>
        </w:rPr>
        <w:t>本项目类型为</w:t>
      </w:r>
      <w:r>
        <w:rPr>
          <w:rFonts w:eastAsia="宋体" w:hint="eastAsia"/>
          <w:b/>
          <w:color w:val="FF0000"/>
          <w:kern w:val="2"/>
          <w:sz w:val="21"/>
          <w:u w:val="single"/>
          <w:lang w:eastAsia="zh-CN"/>
        </w:rPr>
        <w:t>货物采购</w:t>
      </w:r>
      <w:r>
        <w:rPr>
          <w:rFonts w:eastAsia="宋体" w:hint="eastAsia"/>
          <w:b/>
          <w:color w:val="FF0000"/>
          <w:kern w:val="2"/>
          <w:sz w:val="21"/>
          <w:lang w:eastAsia="zh-CN"/>
        </w:rPr>
        <w:t>：</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（1）代理服务费以《中标（成交）通知书》确定的中标（成交）金额作为计算基数，按差额定率累进法计算。</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（2）中标（成交）金额的各部分费率如下表：</w:t>
      </w:r>
    </w:p>
    <w:tbl>
      <w:tblPr>
        <w:tblStyle w:val="TableNormal"/>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125"/>
        <w:gridCol w:w="1799"/>
        <w:gridCol w:w="1799"/>
        <w:gridCol w:w="1799"/>
      </w:tblGrid>
      <w:tr>
        <w:tblPrEx>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01"/>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中标（成交）金额</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货物采购</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服务采购</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工程采购</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100万元以下</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1.0%</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100万元（含）-500万元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1.1%</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0.8%</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0.7%</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500万元（含）-1000万元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0.8%</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0.45%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0.55%</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1000万元（含）-5000万元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0.25%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0.35%</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5000万元（含）-1亿元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0.25%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0.1%</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0.2%</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1亿元（含）-5亿元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0.05%</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5亿元（含）-10亿元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0.035%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0.035%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0.035%</w:t>
            </w:r>
          </w:p>
        </w:tc>
      </w:tr>
      <w:tr>
        <w:tblPrEx>
          <w:tblW w:w="5000" w:type="pct"/>
          <w:jc w:val="center"/>
          <w:tblInd w:w="0" w:type="dxa"/>
          <w:tblLayout w:type="fixed"/>
          <w:tblCellMar>
            <w:top w:w="0" w:type="dxa"/>
            <w:left w:w="108" w:type="dxa"/>
            <w:bottom w:w="0" w:type="dxa"/>
            <w:right w:w="108" w:type="dxa"/>
          </w:tblCellMar>
        </w:tblPrEx>
        <w:trPr>
          <w:trHeight w:val="90"/>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10亿元（含）-50亿元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0.008%</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0.008%</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0.008%</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50亿元（含）-100亿元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0.006%</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0.006%</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0.006%</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100亿元（含）以上</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0.004%</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0.004%</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0.004%</w:t>
            </w:r>
          </w:p>
        </w:tc>
      </w:tr>
    </w:tbl>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备注：1.每宗交易代理服务费不低于 5000 元；</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2.对于报总价的采购类项目，中标（成交）价为中标（成交）金额；对于报单价、折扣或费率的采购类项目，中标（成交）价为预算上限金额或经委托方与代理方确定的支付上限金额；</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如某货物采购项目，中标（成交）金额为600万元，总共交纳的代理服务费的具体计算过程如下：</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标准代理服务费＝（100万以下部分的代理服务费）+（100万～500万部分的代理服务费）+（500万～600万部分的代理服务费）＝100万元×1.5%+（500-100）万元×1.1%+（600-500）万元×0.8%=1.5万元+4.4万元+0.8万元＝6.7万元</w:t>
      </w:r>
    </w:p>
    <w:p>
      <w:pPr>
        <w:widowControl w:val="0"/>
        <w:spacing w:after="160" w:line="259" w:lineRule="auto"/>
        <w:ind w:firstLine="420" w:firstLineChars="200"/>
        <w:jc w:val="left"/>
        <w:rPr>
          <w:rFonts w:eastAsia="宋体"/>
          <w:kern w:val="2"/>
          <w:sz w:val="21"/>
          <w:lang w:eastAsia="zh-CN"/>
        </w:rPr>
      </w:pPr>
      <w:r>
        <w:rPr>
          <w:rFonts w:eastAsia="宋体" w:hint="eastAsia"/>
          <w:kern w:val="2"/>
          <w:sz w:val="21"/>
          <w:lang w:eastAsia="zh-CN"/>
        </w:rPr>
        <w:t>（3）中标（成交）供应商中标（成交）后，必须按规定采用银行对公转账方式向深圳交易集团有限公司直接交纳代理服务费，具体交纳信息以《付款（缴款）通知书》内容为准。</w:t>
      </w:r>
    </w:p>
    <w:p>
      <w:pPr>
        <w:widowControl w:val="0"/>
        <w:spacing w:after="160" w:line="259" w:lineRule="auto"/>
        <w:jc w:val="both"/>
        <w:rPr>
          <w:rFonts w:ascii="宋体" w:eastAsia="宋体" w:hAnsi="宋体"/>
          <w:b/>
          <w:bCs/>
          <w:sz w:val="28"/>
          <w:szCs w:val="28"/>
          <w:lang w:eastAsia="zh-CN"/>
        </w:rPr>
      </w:pPr>
      <w:bookmarkStart w:id="38" w:name="_Toc128884461"/>
      <w:r>
        <w:rPr>
          <w:rFonts w:eastAsia="宋体"/>
          <w:kern w:val="2"/>
          <w:sz w:val="28"/>
          <w:szCs w:val="28"/>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第三章 用户需求书</w:t>
      </w:r>
    </w:p>
    <w:p>
      <w:pPr>
        <w:keepNext/>
        <w:keepLines/>
        <w:widowControl w:val="0"/>
        <w:adjustRightInd w:val="0"/>
        <w:spacing w:before="156" w:beforeLines="50" w:after="156" w:afterLines="50" w:line="240" w:lineRule="auto"/>
        <w:jc w:val="center"/>
        <w:textAlignment w:val="baseline"/>
        <w:outlineLvl w:val="1"/>
        <w:rPr>
          <w:rFonts w:ascii="宋体" w:eastAsia="宋体" w:hAnsi="宋体"/>
          <w:b/>
          <w:bCs/>
          <w:lang w:eastAsia="zh-CN"/>
        </w:rPr>
      </w:pPr>
      <w:r>
        <w:rPr>
          <w:rFonts w:ascii="宋体" w:eastAsia="宋体" w:hAnsi="宋体" w:hint="eastAsia"/>
          <w:b/>
          <w:bCs/>
          <w:lang w:eastAsia="zh-CN"/>
        </w:rPr>
        <w:t>一、项目基本信息</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
        <w:gridCol w:w="4839"/>
        <w:gridCol w:w="325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54"/>
        </w:trPr>
        <w:tc>
          <w:tcPr>
            <w:tcW w:w="426"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序号</w:t>
            </w:r>
          </w:p>
        </w:tc>
        <w:tc>
          <w:tcPr>
            <w:tcW w:w="4853"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采购项目名称</w:t>
            </w:r>
          </w:p>
        </w:tc>
        <w:tc>
          <w:tcPr>
            <w:tcW w:w="3266" w:type="dxa"/>
            <w:vAlign w:val="center"/>
          </w:tcPr>
          <w:p>
            <w:pPr>
              <w:widowControl w:val="0"/>
              <w:spacing w:after="160" w:line="259" w:lineRule="auto"/>
              <w:jc w:val="center"/>
              <w:rPr>
                <w:rFonts w:eastAsia="宋体"/>
                <w:b/>
                <w:bCs/>
                <w:color w:val="FF0000"/>
                <w:kern w:val="2"/>
                <w:sz w:val="21"/>
                <w:szCs w:val="21"/>
                <w:lang w:eastAsia="zh-CN"/>
              </w:rPr>
            </w:pPr>
            <w:r>
              <w:rPr>
                <w:rFonts w:eastAsia="宋体" w:hint="eastAsia"/>
                <w:b/>
                <w:bCs/>
                <w:color w:val="FF0000"/>
                <w:kern w:val="2"/>
                <w:sz w:val="21"/>
                <w:szCs w:val="21"/>
                <w:lang w:eastAsia="zh-CN"/>
              </w:rPr>
              <w:t>预算金额（元）</w:t>
            </w:r>
          </w:p>
        </w:tc>
      </w:tr>
      <w:tr>
        <w:tblPrEx>
          <w:tblW w:w="5000" w:type="pct"/>
          <w:tblInd w:w="0" w:type="dxa"/>
          <w:tblLayout w:type="fixed"/>
          <w:tblCellMar>
            <w:top w:w="0" w:type="dxa"/>
            <w:left w:w="108" w:type="dxa"/>
            <w:bottom w:w="0" w:type="dxa"/>
            <w:right w:w="108" w:type="dxa"/>
          </w:tblCellMar>
        </w:tblPrEx>
        <w:trPr>
          <w:trHeight w:val="290"/>
        </w:trPr>
        <w:tc>
          <w:tcPr>
            <w:tcW w:w="426" w:type="dxa"/>
            <w:vAlign w:val="center"/>
          </w:tcPr>
          <w:p>
            <w:pPr>
              <w:widowControl w:val="0"/>
              <w:spacing w:after="160" w:line="259" w:lineRule="auto"/>
              <w:jc w:val="center"/>
              <w:rPr>
                <w:rFonts w:eastAsia="宋体"/>
                <w:bCs/>
                <w:color w:val="FF0000"/>
                <w:kern w:val="2"/>
                <w:sz w:val="21"/>
                <w:szCs w:val="21"/>
                <w:lang w:eastAsia="zh-CN"/>
              </w:rPr>
            </w:pPr>
            <w:r>
              <w:rPr>
                <w:rFonts w:eastAsia="宋体" w:hint="eastAsia"/>
                <w:bCs/>
                <w:color w:val="FF0000"/>
                <w:kern w:val="2"/>
                <w:sz w:val="21"/>
                <w:szCs w:val="21"/>
                <w:lang w:eastAsia="zh-CN"/>
              </w:rPr>
              <w:t>1</w:t>
            </w:r>
          </w:p>
        </w:tc>
        <w:tc>
          <w:tcPr>
            <w:tcW w:w="4853" w:type="dxa"/>
            <w:vAlign w:val="center"/>
          </w:tcPr>
          <w:p>
            <w:pPr>
              <w:widowControl w:val="0"/>
              <w:spacing w:after="160" w:line="259" w:lineRule="auto"/>
              <w:jc w:val="center"/>
              <w:rPr>
                <w:rFonts w:eastAsia="宋体"/>
                <w:b/>
                <w:bCs/>
                <w:color w:val="FF0000"/>
                <w:kern w:val="2"/>
                <w:sz w:val="21"/>
                <w:szCs w:val="21"/>
                <w:lang w:eastAsia="zh-CN"/>
              </w:rPr>
            </w:pPr>
            <w:r>
              <w:rPr>
                <w:rFonts w:eastAsia="宋体" w:hint="eastAsia"/>
                <w:b/>
                <w:bCs/>
                <w:color w:val="FF0000"/>
                <w:kern w:val="2"/>
                <w:sz w:val="21"/>
                <w:szCs w:val="21"/>
                <w:lang w:eastAsia="zh-CN"/>
              </w:rPr>
              <w:t>北京大学深圳医院内镜清洗消毒工作站和内镜洗消追溯管理系统采购</w:t>
            </w:r>
          </w:p>
        </w:tc>
        <w:tc>
          <w:tcPr>
            <w:tcW w:w="3266" w:type="dxa"/>
            <w:vAlign w:val="center"/>
          </w:tcPr>
          <w:p>
            <w:pPr>
              <w:widowControl w:val="0"/>
              <w:spacing w:after="160" w:line="259" w:lineRule="auto"/>
              <w:jc w:val="center"/>
              <w:rPr>
                <w:rFonts w:eastAsia="宋体"/>
                <w:bCs/>
                <w:color w:val="FF0000"/>
                <w:kern w:val="2"/>
                <w:sz w:val="21"/>
                <w:szCs w:val="21"/>
                <w:lang w:eastAsia="zh-CN"/>
              </w:rPr>
            </w:pPr>
            <w:r>
              <w:rPr>
                <w:rFonts w:eastAsia="宋体" w:hint="eastAsia"/>
                <w:bCs/>
                <w:color w:val="FF0000"/>
                <w:kern w:val="2"/>
                <w:sz w:val="21"/>
                <w:szCs w:val="21"/>
                <w:lang w:eastAsia="zh-CN"/>
              </w:rPr>
              <w:t>990,000</w:t>
            </w:r>
          </w:p>
        </w:tc>
      </w:tr>
    </w:tbl>
    <w:p>
      <w:pPr>
        <w:widowControl w:val="0"/>
        <w:spacing w:after="160" w:line="259" w:lineRule="auto"/>
        <w:jc w:val="both"/>
        <w:rPr>
          <w:rFonts w:eastAsia="宋体"/>
          <w:kern w:val="2"/>
          <w:sz w:val="21"/>
          <w:lang w:eastAsia="zh-CN"/>
        </w:rPr>
      </w:pPr>
    </w:p>
    <w:p>
      <w:pPr>
        <w:widowControl w:val="0"/>
        <w:spacing w:after="160" w:line="360" w:lineRule="auto"/>
        <w:jc w:val="both"/>
        <w:rPr>
          <w:rFonts w:eastAsia="宋体"/>
          <w:b/>
          <w:bCs/>
          <w:kern w:val="2"/>
          <w:lang w:eastAsia="zh-CN"/>
        </w:rPr>
      </w:pPr>
    </w:p>
    <w:p>
      <w:pPr>
        <w:keepNext/>
        <w:keepLines/>
        <w:widowControl w:val="0"/>
        <w:adjustRightInd w:val="0"/>
        <w:spacing w:before="156" w:beforeLines="50" w:after="156" w:afterLines="50" w:line="240" w:lineRule="auto"/>
        <w:jc w:val="center"/>
        <w:textAlignment w:val="baseline"/>
        <w:outlineLvl w:val="1"/>
        <w:rPr>
          <w:rFonts w:ascii="宋体" w:eastAsia="宋体" w:hAnsi="宋体"/>
          <w:b/>
          <w:bCs/>
          <w:color w:val="FF0000"/>
          <w:szCs w:val="21"/>
          <w:lang w:eastAsia="zh-CN"/>
        </w:rPr>
      </w:pPr>
      <w:r>
        <w:rPr>
          <w:rFonts w:ascii="宋体" w:eastAsia="宋体" w:hAnsi="宋体" w:hint="eastAsia"/>
          <w:b/>
          <w:bCs/>
          <w:lang w:eastAsia="zh-CN"/>
        </w:rPr>
        <w:t>二、货物需求明细</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28"/>
        <w:gridCol w:w="2233"/>
        <w:gridCol w:w="629"/>
        <w:gridCol w:w="583"/>
        <w:gridCol w:w="1184"/>
        <w:gridCol w:w="1196"/>
        <w:gridCol w:w="1156"/>
        <w:gridCol w:w="913"/>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605" w:type="dxa"/>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序号</w:t>
            </w:r>
          </w:p>
        </w:tc>
        <w:tc>
          <w:tcPr>
            <w:tcW w:w="2154" w:type="dxa"/>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货物名称</w:t>
            </w:r>
          </w:p>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（标的名称）</w:t>
            </w:r>
          </w:p>
        </w:tc>
        <w:tc>
          <w:tcPr>
            <w:tcW w:w="607" w:type="dxa"/>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计量单位</w:t>
            </w:r>
          </w:p>
        </w:tc>
        <w:tc>
          <w:tcPr>
            <w:tcW w:w="562" w:type="dxa"/>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数量</w:t>
            </w:r>
          </w:p>
        </w:tc>
        <w:tc>
          <w:tcPr>
            <w:tcW w:w="1142" w:type="dxa"/>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预算单价（元）</w:t>
            </w:r>
          </w:p>
        </w:tc>
        <w:tc>
          <w:tcPr>
            <w:tcW w:w="1154" w:type="dxa"/>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预算总价（元）</w:t>
            </w:r>
          </w:p>
        </w:tc>
        <w:tc>
          <w:tcPr>
            <w:tcW w:w="1115" w:type="dxa"/>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财政预算限额（元）</w:t>
            </w:r>
          </w:p>
        </w:tc>
        <w:tc>
          <w:tcPr>
            <w:tcW w:w="881" w:type="dxa"/>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是否</w:t>
            </w:r>
          </w:p>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进口</w:t>
            </w:r>
          </w:p>
        </w:tc>
      </w:tr>
      <w:tr>
        <w:tblPrEx>
          <w:tblW w:w="5000" w:type="pct"/>
          <w:tblInd w:w="0" w:type="dxa"/>
          <w:tblLayout w:type="fixed"/>
          <w:tblCellMar>
            <w:top w:w="0" w:type="dxa"/>
            <w:left w:w="108" w:type="dxa"/>
            <w:bottom w:w="0" w:type="dxa"/>
            <w:right w:w="108" w:type="dxa"/>
          </w:tblCellMar>
        </w:tblPrEx>
        <w:tc>
          <w:tcPr>
            <w:tcW w:w="605" w:type="dxa"/>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1</w:t>
            </w:r>
          </w:p>
        </w:tc>
        <w:tc>
          <w:tcPr>
            <w:tcW w:w="2154" w:type="dxa"/>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bCs/>
                <w:kern w:val="2"/>
                <w:sz w:val="21"/>
                <w:szCs w:val="21"/>
                <w:lang w:eastAsia="zh-CN"/>
              </w:rPr>
              <w:t>内镜清洗消毒工作站</w:t>
            </w:r>
          </w:p>
        </w:tc>
        <w:tc>
          <w:tcPr>
            <w:tcW w:w="607" w:type="dxa"/>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套</w:t>
            </w:r>
          </w:p>
        </w:tc>
        <w:tc>
          <w:tcPr>
            <w:tcW w:w="562" w:type="dxa"/>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6</w:t>
            </w:r>
          </w:p>
        </w:tc>
        <w:tc>
          <w:tcPr>
            <w:tcW w:w="1142" w:type="dxa"/>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bCs/>
                <w:kern w:val="2"/>
                <w:sz w:val="21"/>
                <w:szCs w:val="21"/>
                <w:lang w:eastAsia="zh-CN"/>
              </w:rPr>
              <w:t>125</w:t>
            </w:r>
            <w:r>
              <w:rPr>
                <w:rFonts w:ascii="仿宋_GB2312" w:eastAsia="仿宋_GB2312" w:hAnsi="仿宋_GB2312" w:cs="仿宋_GB2312" w:hint="eastAsia"/>
                <w:bCs/>
                <w:kern w:val="2"/>
                <w:sz w:val="21"/>
                <w:szCs w:val="21"/>
                <w:lang w:eastAsia="zh-CN"/>
              </w:rPr>
              <w:t>,000</w:t>
            </w:r>
          </w:p>
        </w:tc>
        <w:tc>
          <w:tcPr>
            <w:tcW w:w="1154" w:type="dxa"/>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750,000</w:t>
            </w:r>
          </w:p>
        </w:tc>
        <w:tc>
          <w:tcPr>
            <w:tcW w:w="1115" w:type="dxa"/>
            <w:shd w:val="clear" w:color="auto" w:fill="auto"/>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750,000</w:t>
            </w:r>
          </w:p>
        </w:tc>
        <w:tc>
          <w:tcPr>
            <w:tcW w:w="881" w:type="dxa"/>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357"/>
        </w:trPr>
        <w:tc>
          <w:tcPr>
            <w:tcW w:w="605" w:type="dxa"/>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w:t>
            </w:r>
          </w:p>
        </w:tc>
        <w:tc>
          <w:tcPr>
            <w:tcW w:w="2154" w:type="dxa"/>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内镜洗消追溯管理系统</w:t>
            </w:r>
          </w:p>
        </w:tc>
        <w:tc>
          <w:tcPr>
            <w:tcW w:w="607" w:type="dxa"/>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套</w:t>
            </w:r>
          </w:p>
        </w:tc>
        <w:tc>
          <w:tcPr>
            <w:tcW w:w="562" w:type="dxa"/>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3</w:t>
            </w:r>
          </w:p>
        </w:tc>
        <w:tc>
          <w:tcPr>
            <w:tcW w:w="1142" w:type="dxa"/>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80,000</w:t>
            </w:r>
          </w:p>
        </w:tc>
        <w:tc>
          <w:tcPr>
            <w:tcW w:w="1154" w:type="dxa"/>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240,000</w:t>
            </w:r>
          </w:p>
        </w:tc>
        <w:tc>
          <w:tcPr>
            <w:tcW w:w="1115" w:type="dxa"/>
            <w:shd w:val="clear" w:color="auto" w:fill="auto"/>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240,000</w:t>
            </w:r>
          </w:p>
        </w:tc>
        <w:tc>
          <w:tcPr>
            <w:tcW w:w="881" w:type="dxa"/>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否</w:t>
            </w:r>
          </w:p>
        </w:tc>
      </w:tr>
    </w:tbl>
    <w:p>
      <w:pPr>
        <w:widowControl w:val="0"/>
        <w:spacing w:after="160" w:line="259" w:lineRule="auto"/>
        <w:jc w:val="both"/>
        <w:rPr>
          <w:rFonts w:ascii="宋体" w:eastAsia="宋体" w:hAnsi="宋体"/>
          <w:b/>
          <w:color w:val="FF0000"/>
          <w:kern w:val="2"/>
          <w:sz w:val="21"/>
          <w:szCs w:val="21"/>
          <w:lang w:eastAsia="zh-CN"/>
        </w:rPr>
      </w:pPr>
    </w:p>
    <w:p>
      <w:pPr>
        <w:widowControl w:val="0"/>
        <w:spacing w:after="160" w:line="259" w:lineRule="auto"/>
        <w:ind w:firstLine="420" w:firstLineChars="200"/>
        <w:jc w:val="both"/>
        <w:rPr>
          <w:rFonts w:ascii="宋体" w:eastAsia="宋体" w:hAnsi="宋体"/>
          <w:b/>
          <w:color w:val="FF0000"/>
          <w:kern w:val="2"/>
          <w:sz w:val="21"/>
          <w:szCs w:val="21"/>
          <w:lang w:eastAsia="zh-CN"/>
        </w:rPr>
      </w:pPr>
      <w:r>
        <w:rPr>
          <w:rFonts w:ascii="宋体" w:eastAsia="宋体" w:hAnsi="宋体" w:hint="eastAsia"/>
          <w:b/>
          <w:color w:val="FF0000"/>
          <w:kern w:val="2"/>
          <w:sz w:val="21"/>
          <w:szCs w:val="21"/>
          <w:lang w:eastAsia="zh-CN"/>
        </w:rPr>
        <w:t xml:space="preserve">备注：1.备注栏注明“拒绝进口”的产品不接受投标人选用进口产品参与投标；注明“接受进口”的产品允许投标人选用进口产品参与投标，但不排斥国内产品。 </w:t>
      </w:r>
    </w:p>
    <w:p>
      <w:pPr>
        <w:widowControl w:val="0"/>
        <w:spacing w:after="160" w:line="259" w:lineRule="auto"/>
        <w:ind w:firstLine="420" w:firstLineChars="200"/>
        <w:jc w:val="both"/>
        <w:rPr>
          <w:rFonts w:ascii="宋体" w:eastAsia="宋体" w:hAnsi="宋体"/>
          <w:b/>
          <w:color w:val="FF0000"/>
          <w:kern w:val="2"/>
          <w:sz w:val="21"/>
          <w:szCs w:val="21"/>
          <w:lang w:eastAsia="zh-CN"/>
        </w:rPr>
      </w:pPr>
      <w:r>
        <w:rPr>
          <w:rFonts w:ascii="宋体" w:eastAsia="宋体" w:hAnsi="宋体" w:hint="eastAsia"/>
          <w:b/>
          <w:color w:val="FF0000"/>
          <w:kern w:val="2"/>
          <w:sz w:val="21"/>
          <w:szCs w:val="21"/>
          <w:lang w:eastAsia="zh-CN"/>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pPr>
        <w:widowControl w:val="0"/>
        <w:spacing w:after="160" w:line="259" w:lineRule="auto"/>
        <w:jc w:val="both"/>
        <w:rPr>
          <w:rFonts w:eastAsia="宋体"/>
          <w:kern w:val="2"/>
          <w:sz w:val="21"/>
          <w:lang w:eastAsia="zh-CN"/>
        </w:rPr>
      </w:pPr>
      <w:r>
        <w:rPr>
          <w:rFonts w:ascii="宋体" w:eastAsia="宋体" w:hAnsi="宋体" w:hint="eastAsia"/>
          <w:b/>
          <w:color w:val="FF0000"/>
          <w:kern w:val="2"/>
          <w:sz w:val="21"/>
          <w:szCs w:val="21"/>
          <w:lang w:eastAsia="zh-CN"/>
        </w:rPr>
        <w:t>3、本项目核心产品为：</w:t>
      </w:r>
      <w:r>
        <w:rPr>
          <w:rFonts w:ascii="宋体" w:eastAsia="宋体" w:hAnsi="宋体" w:hint="eastAsia"/>
          <w:b/>
          <w:color w:val="FF0000"/>
          <w:kern w:val="2"/>
          <w:sz w:val="21"/>
          <w:szCs w:val="21"/>
          <w:u w:val="single"/>
          <w:lang w:eastAsia="zh-CN"/>
        </w:rPr>
        <w:t>内镜清洗消毒工作站</w:t>
      </w:r>
      <w:r>
        <w:rPr>
          <w:rFonts w:eastAsia="宋体" w:hint="eastAsia"/>
          <w:bCs/>
          <w:color w:val="FF0000"/>
          <w:kern w:val="2"/>
          <w:sz w:val="21"/>
          <w:szCs w:val="21"/>
          <w:u w:val="single"/>
          <w:lang w:eastAsia="zh-CN"/>
        </w:rPr>
        <w:t>（序号1）</w:t>
      </w:r>
      <w:r>
        <w:rPr>
          <w:rFonts w:ascii="宋体" w:eastAsia="宋体" w:hAnsi="宋体" w:hint="eastAsia"/>
          <w:b/>
          <w:color w:val="FF0000"/>
          <w:kern w:val="2"/>
          <w:sz w:val="21"/>
          <w:szCs w:val="21"/>
          <w:u w:val="single"/>
          <w:lang w:eastAsia="zh-CN"/>
        </w:rPr>
        <w:t xml:space="preserve">   </w:t>
      </w:r>
    </w:p>
    <w:p>
      <w:pPr>
        <w:widowControl w:val="0"/>
        <w:spacing w:after="160" w:line="360" w:lineRule="auto"/>
        <w:jc w:val="both"/>
        <w:rPr>
          <w:rFonts w:eastAsia="宋体"/>
          <w:kern w:val="2"/>
          <w:lang w:eastAsia="zh-CN"/>
        </w:rPr>
      </w:pPr>
    </w:p>
    <w:p>
      <w:pPr>
        <w:keepNext/>
        <w:keepLines/>
        <w:widowControl w:val="0"/>
        <w:adjustRightInd w:val="0"/>
        <w:spacing w:before="156" w:beforeLines="50" w:after="156" w:afterLines="50" w:line="240" w:lineRule="auto"/>
        <w:jc w:val="center"/>
        <w:textAlignment w:val="baseline"/>
        <w:outlineLvl w:val="1"/>
        <w:rPr>
          <w:rFonts w:ascii="宋体" w:eastAsia="宋体" w:hAnsi="宋体"/>
          <w:b/>
          <w:bCs/>
          <w:lang w:eastAsia="zh-CN"/>
        </w:rPr>
      </w:pPr>
      <w:r>
        <w:rPr>
          <w:rFonts w:ascii="宋体" w:eastAsia="宋体" w:hAnsi="宋体" w:hint="eastAsia"/>
          <w:b/>
          <w:bCs/>
          <w:lang w:eastAsia="zh-CN"/>
        </w:rPr>
        <w:t>三、实质性条款</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9"/>
        <w:gridCol w:w="7803"/>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705" w:type="dxa"/>
          </w:tcPr>
          <w:p>
            <w:pPr>
              <w:widowControl w:val="0"/>
              <w:adjustRightInd w:val="0"/>
              <w:snapToGrid w:val="0"/>
              <w:spacing w:after="160" w:line="360" w:lineRule="auto"/>
              <w:jc w:val="center"/>
              <w:rPr>
                <w:rFonts w:ascii="宋体" w:eastAsia="宋体" w:hAnsi="宋体"/>
                <w:sz w:val="21"/>
                <w:szCs w:val="21"/>
                <w:lang w:eastAsia="zh-CN"/>
              </w:rPr>
            </w:pPr>
            <w:r>
              <w:rPr>
                <w:rFonts w:ascii="宋体" w:eastAsia="宋体" w:hAnsi="宋体" w:hint="eastAsia"/>
                <w:sz w:val="21"/>
                <w:szCs w:val="21"/>
                <w:lang w:eastAsia="zh-CN"/>
              </w:rPr>
              <w:t>序号</w:t>
            </w:r>
          </w:p>
        </w:tc>
        <w:tc>
          <w:tcPr>
            <w:tcW w:w="7654" w:type="dxa"/>
          </w:tcPr>
          <w:p>
            <w:pPr>
              <w:widowControl w:val="0"/>
              <w:adjustRightInd w:val="0"/>
              <w:snapToGrid w:val="0"/>
              <w:spacing w:after="160" w:line="360" w:lineRule="auto"/>
              <w:jc w:val="center"/>
              <w:rPr>
                <w:rFonts w:ascii="宋体" w:eastAsia="宋体" w:hAnsi="宋体"/>
                <w:sz w:val="21"/>
                <w:szCs w:val="21"/>
                <w:lang w:eastAsia="zh-CN"/>
              </w:rPr>
            </w:pPr>
            <w:r>
              <w:rPr>
                <w:rFonts w:ascii="宋体" w:eastAsia="宋体" w:hAnsi="宋体" w:hint="eastAsia"/>
                <w:sz w:val="21"/>
                <w:szCs w:val="21"/>
                <w:lang w:eastAsia="zh-CN"/>
              </w:rPr>
              <w:t>实质性条款具体内容</w:t>
            </w:r>
          </w:p>
        </w:tc>
      </w:tr>
      <w:tr>
        <w:tblPrEx>
          <w:tblW w:w="5000" w:type="pct"/>
          <w:tblInd w:w="0" w:type="dxa"/>
          <w:tblLayout w:type="fixed"/>
          <w:tblCellMar>
            <w:top w:w="0" w:type="dxa"/>
            <w:left w:w="108" w:type="dxa"/>
            <w:bottom w:w="0" w:type="dxa"/>
            <w:right w:w="108" w:type="dxa"/>
          </w:tblCellMar>
        </w:tblPrEx>
        <w:tc>
          <w:tcPr>
            <w:tcW w:w="705" w:type="dxa"/>
          </w:tcPr>
          <w:p>
            <w:pPr>
              <w:widowControl w:val="0"/>
              <w:adjustRightInd w:val="0"/>
              <w:snapToGrid w:val="0"/>
              <w:spacing w:after="160" w:line="360" w:lineRule="auto"/>
              <w:jc w:val="center"/>
              <w:rPr>
                <w:rFonts w:ascii="宋体" w:eastAsia="宋体" w:hAnsi="宋体"/>
                <w:sz w:val="21"/>
                <w:szCs w:val="21"/>
                <w:lang w:eastAsia="zh-CN"/>
              </w:rPr>
            </w:pPr>
            <w:r>
              <w:rPr>
                <w:rFonts w:ascii="宋体" w:eastAsia="宋体" w:hAnsi="宋体" w:hint="eastAsia"/>
                <w:sz w:val="21"/>
                <w:szCs w:val="21"/>
                <w:lang w:eastAsia="zh-CN"/>
              </w:rPr>
              <w:t>1</w:t>
            </w:r>
          </w:p>
        </w:tc>
        <w:tc>
          <w:tcPr>
            <w:tcW w:w="7654" w:type="dxa"/>
          </w:tcPr>
          <w:p>
            <w:pPr>
              <w:widowControl w:val="0"/>
              <w:spacing w:after="160" w:line="259" w:lineRule="auto"/>
              <w:jc w:val="both"/>
              <w:rPr>
                <w:rFonts w:eastAsia="宋体" w:hAnsi="宋体"/>
                <w:sz w:val="21"/>
                <w:szCs w:val="21"/>
                <w:lang w:eastAsia="zh-CN"/>
              </w:rPr>
            </w:pPr>
            <w:r>
              <w:rPr>
                <w:rFonts w:eastAsia="宋体" w:hint="eastAsia"/>
                <w:kern w:val="2"/>
                <w:sz w:val="21"/>
                <w:lang w:eastAsia="zh-CN"/>
              </w:rPr>
              <w:t>满足本项目标★的条款要求</w:t>
            </w:r>
          </w:p>
        </w:tc>
      </w:tr>
      <w:bookmarkEnd w:id="38"/>
    </w:tbl>
    <w:p>
      <w:pPr>
        <w:widowControl w:val="0"/>
        <w:spacing w:after="160" w:line="259" w:lineRule="auto"/>
        <w:jc w:val="both"/>
        <w:rPr>
          <w:rFonts w:ascii="宋体" w:eastAsia="宋体"/>
          <w:b/>
          <w:szCs w:val="20"/>
          <w:lang w:eastAsia="zh-CN"/>
        </w:rPr>
      </w:pPr>
      <w:r>
        <w:rPr>
          <w:rFonts w:ascii="宋体" w:eastAsia="宋体"/>
          <w:b/>
          <w:szCs w:val="20"/>
          <w:lang w:eastAsia="zh-CN"/>
        </w:rPr>
        <w:t>注：上表所列内容为不可负偏离条款，负偏离将视为未实质性满足</w:t>
      </w:r>
      <w:r>
        <w:rPr>
          <w:rFonts w:ascii="宋体" w:eastAsia="宋体" w:hint="eastAsia"/>
          <w:b/>
          <w:szCs w:val="20"/>
          <w:lang w:eastAsia="zh-CN"/>
        </w:rPr>
        <w:t>招标</w:t>
      </w:r>
      <w:r>
        <w:rPr>
          <w:rFonts w:ascii="宋体" w:eastAsia="宋体"/>
          <w:b/>
          <w:szCs w:val="20"/>
          <w:lang w:eastAsia="zh-CN"/>
        </w:rPr>
        <w:t>文件要求和条件作投标无效处理。</w:t>
      </w:r>
    </w:p>
    <w:p>
      <w:pPr>
        <w:widowControl w:val="0"/>
        <w:spacing w:after="160" w:line="360" w:lineRule="auto"/>
        <w:jc w:val="both"/>
        <w:rPr>
          <w:rFonts w:ascii="宋体" w:eastAsia="宋体"/>
          <w:b/>
          <w:bCs/>
          <w:szCs w:val="20"/>
          <w:lang w:eastAsia="zh-CN"/>
        </w:rPr>
      </w:pPr>
    </w:p>
    <w:p>
      <w:pPr>
        <w:keepNext/>
        <w:keepLines/>
        <w:widowControl w:val="0"/>
        <w:adjustRightInd w:val="0"/>
        <w:spacing w:before="156" w:beforeLines="50" w:after="156" w:afterLines="50" w:line="240" w:lineRule="auto"/>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四、技术要求</w:t>
      </w:r>
    </w:p>
    <w:p>
      <w:pPr>
        <w:widowControl w:val="0"/>
        <w:spacing w:after="160" w:line="259" w:lineRule="auto"/>
        <w:ind w:firstLine="420" w:firstLineChars="200"/>
        <w:jc w:val="both"/>
        <w:rPr>
          <w:rFonts w:eastAsia="宋体"/>
          <w:b/>
          <w:kern w:val="2"/>
          <w:sz w:val="21"/>
          <w:lang w:eastAsia="zh-CN"/>
        </w:rPr>
      </w:pPr>
      <w:r>
        <w:rPr>
          <w:rFonts w:eastAsia="宋体" w:hint="eastAsia"/>
          <w:b/>
          <w:kern w:val="2"/>
          <w:sz w:val="21"/>
          <w:szCs w:val="21"/>
          <w:lang w:eastAsia="zh-CN"/>
        </w:rPr>
        <w:t>说明：</w:t>
      </w:r>
      <w:r>
        <w:rPr>
          <w:rFonts w:eastAsia="宋体"/>
          <w:b/>
          <w:kern w:val="2"/>
          <w:sz w:val="21"/>
          <w:szCs w:val="21"/>
          <w:lang w:eastAsia="zh-CN"/>
        </w:rPr>
        <w:t xml:space="preserve"> </w:t>
      </w:r>
      <w:r>
        <w:rPr>
          <w:rFonts w:eastAsia="宋体"/>
          <w:b/>
          <w:kern w:val="2"/>
          <w:sz w:val="21"/>
          <w:lang w:eastAsia="zh-CN"/>
        </w:rPr>
        <w:t>1</w:t>
      </w:r>
      <w:r>
        <w:rPr>
          <w:rFonts w:eastAsia="宋体" w:hint="eastAsia"/>
          <w:b/>
          <w:kern w:val="2"/>
          <w:sz w:val="21"/>
          <w:lang w:eastAsia="zh-CN"/>
        </w:rPr>
        <w:t>、评分时，如对一项招标技术要求（以划分框为准）中的内容存在两处（或以上）负偏离的，在评分时只作一项负偏离扣分。</w:t>
      </w:r>
    </w:p>
    <w:p>
      <w:pPr>
        <w:widowControl w:val="0"/>
        <w:spacing w:after="160" w:line="259" w:lineRule="auto"/>
        <w:ind w:firstLine="420" w:firstLineChars="200"/>
        <w:jc w:val="both"/>
        <w:rPr>
          <w:rFonts w:eastAsia="宋体"/>
          <w:b/>
          <w:kern w:val="2"/>
          <w:sz w:val="21"/>
          <w:szCs w:val="21"/>
          <w:lang w:eastAsia="zh-CN"/>
        </w:rPr>
      </w:pPr>
      <w:r>
        <w:rPr>
          <w:rFonts w:eastAsia="宋体"/>
          <w:b/>
          <w:kern w:val="2"/>
          <w:sz w:val="21"/>
          <w:szCs w:val="21"/>
          <w:lang w:eastAsia="zh-CN"/>
        </w:rPr>
        <w:t>2</w:t>
      </w:r>
      <w:r>
        <w:rPr>
          <w:rFonts w:eastAsia="宋体" w:hint="eastAsia"/>
          <w:b/>
          <w:kern w:val="2"/>
          <w:sz w:val="21"/>
          <w:szCs w:val="21"/>
          <w:lang w:eastAsia="zh-CN"/>
        </w:rPr>
        <w:t>、带★号条款为不可负偏离条款，不作为评分准则中的评分内容，如未响应或出现负偏离的，将作投标无效处理；带“</w:t>
      </w:r>
      <w:r>
        <w:rPr>
          <w:rFonts w:eastAsia="宋体"/>
          <w:kern w:val="2"/>
          <w:sz w:val="21"/>
          <w:lang w:eastAsia="zh-CN"/>
        </w:rPr>
        <w:t>▲</w:t>
      </w:r>
      <w:r>
        <w:rPr>
          <w:rFonts w:eastAsia="宋体" w:hint="eastAsia"/>
          <w:b/>
          <w:kern w:val="2"/>
          <w:sz w:val="21"/>
          <w:szCs w:val="21"/>
          <w:lang w:eastAsia="zh-CN"/>
        </w:rPr>
        <w:t>”指标项为重要参数条款，负偏离时依相关评分准则内容作重点扣分处理。</w:t>
      </w:r>
    </w:p>
    <w:p>
      <w:pPr>
        <w:widowControl w:val="0"/>
        <w:spacing w:after="160" w:line="259" w:lineRule="auto"/>
        <w:ind w:firstLine="420" w:firstLineChars="200"/>
        <w:jc w:val="both"/>
        <w:rPr>
          <w:rFonts w:eastAsia="宋体"/>
          <w:b/>
          <w:kern w:val="2"/>
          <w:sz w:val="21"/>
          <w:szCs w:val="21"/>
          <w:lang w:eastAsia="zh-CN"/>
        </w:rPr>
      </w:pPr>
      <w:r>
        <w:rPr>
          <w:rFonts w:eastAsia="宋体"/>
          <w:b/>
          <w:kern w:val="2"/>
          <w:sz w:val="21"/>
          <w:szCs w:val="21"/>
          <w:lang w:eastAsia="zh-CN"/>
        </w:rPr>
        <w:t>3</w:t>
      </w:r>
      <w:r>
        <w:rPr>
          <w:rFonts w:eastAsia="宋体" w:hint="eastAsia"/>
          <w:b/>
          <w:kern w:val="2"/>
          <w:sz w:val="21"/>
          <w:szCs w:val="21"/>
          <w:lang w:eastAsia="zh-CN"/>
        </w:rPr>
        <w:t>、</w:t>
      </w:r>
      <w:bookmarkStart w:id="39" w:name="_Hlk72585069"/>
      <w:r>
        <w:rPr>
          <w:rFonts w:eastAsia="宋体" w:hint="eastAsia"/>
          <w:b/>
          <w:kern w:val="2"/>
          <w:sz w:val="21"/>
          <w:szCs w:val="21"/>
          <w:lang w:eastAsia="zh-CN"/>
        </w:rPr>
        <w:t>招标技术要求中，用</w:t>
      </w:r>
      <w:r>
        <w:rPr>
          <w:rFonts w:eastAsia="宋体" w:hint="eastAsia"/>
          <w:b/>
          <w:color w:val="FF0000"/>
          <w:kern w:val="2"/>
          <w:sz w:val="21"/>
          <w:szCs w:val="21"/>
          <w:lang w:eastAsia="zh-CN"/>
        </w:rPr>
        <w:t>红色加粗字体标注</w:t>
      </w:r>
      <w:r>
        <w:rPr>
          <w:rFonts w:eastAsia="宋体" w:hint="eastAsia"/>
          <w:b/>
          <w:kern w:val="2"/>
          <w:sz w:val="21"/>
          <w:szCs w:val="21"/>
          <w:lang w:eastAsia="zh-CN"/>
        </w:rPr>
        <w:t>的指标项均要求提供证明资料；其余指标项未要求提供证明资料，无需提供相关证明资料。</w:t>
      </w:r>
    </w:p>
    <w:p>
      <w:pPr>
        <w:widowControl w:val="0"/>
        <w:spacing w:after="160" w:line="259" w:lineRule="auto"/>
        <w:ind w:firstLine="420" w:firstLineChars="200"/>
        <w:jc w:val="both"/>
        <w:rPr>
          <w:rFonts w:eastAsia="宋体"/>
          <w:b/>
          <w:kern w:val="2"/>
          <w:sz w:val="21"/>
          <w:szCs w:val="21"/>
          <w:lang w:eastAsia="zh-CN"/>
        </w:rPr>
      </w:pPr>
      <w:r>
        <w:rPr>
          <w:rFonts w:eastAsia="宋体" w:hint="eastAsia"/>
          <w:b/>
          <w:color w:val="FF0000"/>
          <w:kern w:val="2"/>
          <w:sz w:val="21"/>
          <w:lang w:eastAsia="zh-CN"/>
        </w:rPr>
        <w:t>4</w:t>
      </w:r>
      <w:r>
        <w:rPr>
          <w:rFonts w:eastAsia="宋体"/>
          <w:b/>
          <w:color w:val="FF0000"/>
          <w:kern w:val="2"/>
          <w:sz w:val="21"/>
          <w:lang w:eastAsia="zh-CN"/>
        </w:rPr>
        <w:t>、</w:t>
      </w:r>
      <w:r>
        <w:rPr>
          <w:rFonts w:eastAsia="宋体" w:hint="eastAsia"/>
          <w:b/>
          <w:color w:val="FF0000"/>
          <w:kern w:val="2"/>
          <w:sz w:val="21"/>
          <w:lang w:eastAsia="zh-CN"/>
        </w:rPr>
        <w:t>涉及区间的技术要求，除特别注明以外，所投产品范围涵盖对应的区间即认定为满足该项技术要求。例：区间要求为5-20ML, 所投产品范围最小值≤5ML，范围最大值≥20ML，即为满足该项技术要求。</w:t>
      </w:r>
    </w:p>
    <w:bookmarkEnd w:id="39"/>
    <w:tbl>
      <w:tblPr>
        <w:tblStyle w:val="TableNormal"/>
        <w:tblpPr w:leftFromText="180" w:rightFromText="180" w:vertAnchor="text" w:horzAnchor="page" w:tblpX="1892" w:tblpY="300"/>
        <w:tblOverlap w:val="never"/>
        <w:tblW w:w="5000" w:type="pct"/>
        <w:tblInd w:w="0" w:type="dxa"/>
        <w:tblLayout w:type="fixed"/>
        <w:tblCellMar>
          <w:top w:w="0" w:type="dxa"/>
          <w:left w:w="108" w:type="dxa"/>
          <w:bottom w:w="0" w:type="dxa"/>
          <w:right w:w="108" w:type="dxa"/>
        </w:tblCellMar>
      </w:tblPr>
      <w:tblGrid>
        <w:gridCol w:w="542"/>
        <w:gridCol w:w="661"/>
        <w:gridCol w:w="7319"/>
      </w:tblGrid>
      <w:tr>
        <w:tblPrEx>
          <w:tblW w:w="5000" w:type="pct"/>
          <w:tblInd w:w="0" w:type="dxa"/>
          <w:tblLayout w:type="fixed"/>
          <w:tblCellMar>
            <w:top w:w="0" w:type="dxa"/>
            <w:left w:w="108" w:type="dxa"/>
            <w:bottom w:w="0" w:type="dxa"/>
            <w:right w:w="108" w:type="dxa"/>
          </w:tblCellMar>
        </w:tblPrEx>
        <w:trPr>
          <w:trHeight w:val="317"/>
        </w:trPr>
        <w:tc>
          <w:tcPr>
            <w:tcW w:w="531" w:type="dxa"/>
            <w:tcBorders>
              <w:top w:val="single" w:sz="4" w:space="0" w:color="000000"/>
              <w:left w:val="single" w:sz="4" w:space="0" w:color="000000"/>
              <w:bottom w:val="single" w:sz="4" w:space="0" w:color="auto"/>
              <w:right w:val="single" w:sz="4" w:space="0" w:color="000000"/>
            </w:tcBorders>
            <w:shd w:val="clear" w:color="auto" w:fill="auto"/>
            <w:vAlign w:val="center"/>
          </w:tcPr>
          <w:p>
            <w:pPr>
              <w:widowControl/>
              <w:spacing w:after="160" w:line="259" w:lineRule="auto"/>
              <w:jc w:val="center"/>
              <w:textAlignment w:val="bottom"/>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sz w:val="21"/>
                <w:szCs w:val="21"/>
                <w:lang w:eastAsia="zh-CN" w:bidi="ar"/>
              </w:rPr>
              <w:t>序号</w:t>
            </w:r>
          </w:p>
        </w:tc>
        <w:tc>
          <w:tcPr>
            <w:tcW w:w="647" w:type="dxa"/>
            <w:tcBorders>
              <w:top w:val="single" w:sz="4" w:space="0" w:color="000000"/>
              <w:left w:val="single" w:sz="4" w:space="0" w:color="000000"/>
              <w:bottom w:val="single" w:sz="4" w:space="0" w:color="auto"/>
              <w:right w:val="single" w:sz="4" w:space="0" w:color="000000"/>
            </w:tcBorders>
            <w:shd w:val="clear" w:color="auto" w:fill="auto"/>
            <w:vAlign w:val="center"/>
          </w:tcPr>
          <w:p>
            <w:pPr>
              <w:widowControl/>
              <w:spacing w:after="160" w:line="259" w:lineRule="auto"/>
              <w:jc w:val="center"/>
              <w:textAlignment w:val="bottom"/>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sz w:val="21"/>
                <w:szCs w:val="21"/>
                <w:lang w:eastAsia="zh-CN" w:bidi="ar"/>
              </w:rPr>
              <w:t>货物名称</w:t>
            </w:r>
          </w:p>
        </w:tc>
        <w:tc>
          <w:tcPr>
            <w:tcW w:w="716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after="160" w:line="259" w:lineRule="auto"/>
              <w:jc w:val="center"/>
              <w:textAlignment w:val="bottom"/>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sz w:val="21"/>
                <w:szCs w:val="21"/>
                <w:lang w:eastAsia="zh-CN" w:bidi="ar"/>
              </w:rPr>
              <w:t>技术要求</w:t>
            </w:r>
          </w:p>
        </w:tc>
      </w:tr>
      <w:tr>
        <w:tblPrEx>
          <w:tblW w:w="5000" w:type="pct"/>
          <w:tblInd w:w="0" w:type="dxa"/>
          <w:tblLayout w:type="fixed"/>
          <w:tblCellMar>
            <w:top w:w="0" w:type="dxa"/>
            <w:left w:w="108" w:type="dxa"/>
            <w:bottom w:w="0" w:type="dxa"/>
            <w:right w:w="108" w:type="dxa"/>
          </w:tblCellMar>
        </w:tblPrEx>
        <w:trPr>
          <w:trHeight w:val="2286"/>
        </w:trPr>
        <w:tc>
          <w:tcPr>
            <w:tcW w:w="531" w:type="dxa"/>
            <w:vMerge w:val="restart"/>
            <w:tcBorders>
              <w:top w:val="single" w:sz="4" w:space="0" w:color="auto"/>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w:t>
            </w:r>
          </w:p>
        </w:tc>
        <w:tc>
          <w:tcPr>
            <w:tcW w:w="647" w:type="dxa"/>
            <w:vMerge w:val="restart"/>
            <w:tcBorders>
              <w:top w:val="single" w:sz="4" w:space="0" w:color="auto"/>
              <w:left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bCs/>
                <w:kern w:val="2"/>
                <w:sz w:val="21"/>
                <w:szCs w:val="21"/>
                <w:lang w:eastAsia="zh-CN"/>
              </w:rPr>
              <w:t>内镜清洗消毒工作站</w:t>
            </w: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1</w:t>
            </w:r>
            <w:r>
              <w:rPr>
                <w:rFonts w:ascii="仿宋_GB2312" w:eastAsia="仿宋_GB2312" w:hAnsi="仿宋_GB2312" w:cs="仿宋_GB2312" w:hint="eastAsia"/>
                <w:b/>
                <w:bCs/>
                <w:color w:val="FF0000"/>
                <w:kern w:val="2"/>
                <w:sz w:val="21"/>
                <w:szCs w:val="21"/>
                <w:lang w:eastAsia="zh-CN"/>
              </w:rPr>
              <w:t>.▲胃肠镜清洗流程应由清洗槽、漂洗槽、浸泡消毒槽、终末漂洗槽、干燥台组成，整体采用防泛水设计，采用前高后低的大圆弧防泛水设计，槽面向内侧倾斜低于3度，前端高于后端4厘米；工作站功能槽及功能背板采用改性PMMA-ABS高分子复合材料板材高温一次吸塑成型，PMMA-ABS板材须根据医药行业标准要求进行耐腐蚀性测试，在1%NaOH溶液中浸泡≥48小时无可视变化，在5%H2SO4溶液中浸泡≥48小时无可视变化</w:t>
            </w:r>
            <w:r>
              <w:rPr>
                <w:rFonts w:ascii="仿宋_GB2312" w:eastAsia="仿宋_GB2312" w:hAnsi="仿宋_GB2312" w:cs="仿宋_GB2312" w:hint="eastAsia"/>
                <w:b/>
                <w:bCs/>
                <w:color w:val="FF0000"/>
                <w:kern w:val="2"/>
                <w:sz w:val="21"/>
                <w:szCs w:val="21"/>
                <w:lang w:eastAsia="zh-CN"/>
              </w:rPr>
              <w:t>。</w:t>
            </w:r>
            <w:r>
              <w:rPr>
                <w:rFonts w:ascii="仿宋_GB2312" w:eastAsia="仿宋_GB2312" w:hAnsi="仿宋_GB2312" w:cs="仿宋_GB2312" w:hint="eastAsia"/>
                <w:b/>
                <w:bCs/>
                <w:color w:val="FF0000"/>
                <w:kern w:val="2"/>
                <w:sz w:val="21"/>
                <w:szCs w:val="21"/>
                <w:lang w:eastAsia="zh-CN"/>
              </w:rPr>
              <w:t>（提供产品彩页</w:t>
            </w:r>
            <w:r>
              <w:rPr>
                <w:rFonts w:ascii="仿宋_GB2312" w:eastAsia="仿宋_GB2312" w:hAnsi="仿宋_GB2312" w:cs="仿宋_GB2312" w:hint="eastAsia"/>
                <w:b/>
                <w:bCs/>
                <w:color w:val="FF0000"/>
                <w:kern w:val="2"/>
                <w:sz w:val="21"/>
                <w:szCs w:val="21"/>
                <w:lang w:eastAsia="zh-CN"/>
              </w:rPr>
              <w:t>或</w:t>
            </w:r>
            <w:r>
              <w:rPr>
                <w:rFonts w:ascii="仿宋_GB2312" w:eastAsia="仿宋_GB2312" w:hAnsi="仿宋_GB2312" w:cs="仿宋_GB2312" w:hint="eastAsia"/>
                <w:b/>
                <w:bCs/>
                <w:color w:val="FF0000"/>
                <w:kern w:val="2"/>
                <w:sz w:val="21"/>
                <w:szCs w:val="21"/>
                <w:lang w:eastAsia="zh-CN"/>
              </w:rPr>
              <w:t>说明书或技术白皮书</w:t>
            </w:r>
            <w:r>
              <w:rPr>
                <w:rFonts w:ascii="仿宋_GB2312" w:eastAsia="仿宋_GB2312" w:hAnsi="仿宋_GB2312" w:cs="仿宋_GB2312" w:hint="eastAsia"/>
                <w:b/>
                <w:bCs/>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737"/>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2</w:t>
            </w:r>
            <w:r>
              <w:rPr>
                <w:rFonts w:ascii="仿宋_GB2312" w:eastAsia="仿宋_GB2312" w:hAnsi="仿宋_GB2312" w:cs="仿宋_GB2312" w:hint="eastAsia"/>
                <w:b/>
                <w:bCs/>
                <w:color w:val="FF0000"/>
                <w:kern w:val="2"/>
                <w:sz w:val="21"/>
                <w:szCs w:val="21"/>
                <w:lang w:eastAsia="zh-CN"/>
              </w:rPr>
              <w:t>.▲清洗槽大小满足科室内镜清洗需求，洗手池外尺寸长≥500mm×≥宽760mm，嵌入一体式超声波槽外尺寸长≥500mm×宽≥760mm，双方槽外尺寸长≥1315mm×宽≥760mm，单方槽外尺寸长≥685mm×宽≥760mm，胃肠镜干燥台要根据现场情况定制，主体配置及尺寸须符合以上要求，尺寸误差必须控制在±5mm内。（提供符合上述尺寸要求的平面布局图佐证）</w:t>
            </w:r>
          </w:p>
        </w:tc>
      </w:tr>
      <w:tr>
        <w:tblPrEx>
          <w:tblW w:w="5000" w:type="pct"/>
          <w:tblInd w:w="0" w:type="dxa"/>
          <w:tblLayout w:type="fixed"/>
          <w:tblCellMar>
            <w:top w:w="0" w:type="dxa"/>
            <w:left w:w="108" w:type="dxa"/>
            <w:bottom w:w="0" w:type="dxa"/>
            <w:right w:w="108" w:type="dxa"/>
          </w:tblCellMar>
        </w:tblPrEx>
        <w:trPr>
          <w:trHeight w:val="870"/>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3</w:t>
            </w:r>
            <w:r>
              <w:rPr>
                <w:rFonts w:ascii="仿宋_GB2312" w:eastAsia="仿宋_GB2312" w:hAnsi="仿宋_GB2312" w:cs="仿宋_GB2312" w:hint="eastAsia"/>
                <w:color w:val="000000"/>
                <w:kern w:val="2"/>
                <w:sz w:val="21"/>
                <w:szCs w:val="21"/>
                <w:lang w:eastAsia="zh-CN"/>
              </w:rPr>
              <w:t>.全不锈钢高压水气枪：材质采用304#不锈钢一次型铸造成型，内镜清洗专嘴锥型喷头，中端采用橡胶垫可防止吹管腔或吹内镜的注水注气孔时气会反弹，不对内镜接口造成磨损。</w:t>
            </w:r>
          </w:p>
        </w:tc>
      </w:tr>
      <w:tr>
        <w:tblPrEx>
          <w:tblW w:w="5000" w:type="pct"/>
          <w:tblInd w:w="0" w:type="dxa"/>
          <w:tblLayout w:type="fixed"/>
          <w:tblCellMar>
            <w:top w:w="0" w:type="dxa"/>
            <w:left w:w="108" w:type="dxa"/>
            <w:bottom w:w="0" w:type="dxa"/>
            <w:right w:w="108" w:type="dxa"/>
          </w:tblCellMar>
        </w:tblPrEx>
        <w:trPr>
          <w:trHeight w:val="840"/>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w:t>
            </w:r>
            <w:r>
              <w:rPr>
                <w:rFonts w:ascii="仿宋_GB2312" w:eastAsia="仿宋_GB2312" w:hAnsi="仿宋_GB2312" w:cs="仿宋_GB2312" w:hint="eastAsia"/>
                <w:b/>
                <w:bCs/>
                <w:color w:val="FF0000"/>
                <w:kern w:val="2"/>
                <w:sz w:val="21"/>
                <w:szCs w:val="21"/>
                <w:lang w:eastAsia="zh-CN"/>
              </w:rPr>
              <w:t>4</w:t>
            </w:r>
            <w:r>
              <w:rPr>
                <w:rFonts w:ascii="仿宋_GB2312" w:eastAsia="仿宋_GB2312" w:hAnsi="仿宋_GB2312" w:cs="仿宋_GB2312" w:hint="eastAsia"/>
                <w:b/>
                <w:bCs/>
                <w:color w:val="FF0000"/>
                <w:kern w:val="2"/>
                <w:sz w:val="21"/>
                <w:szCs w:val="21"/>
                <w:lang w:eastAsia="zh-CN"/>
              </w:rPr>
              <w:t>.吊柜开门方式采用平行开门设计，吊柜与触摸屏一体化设计，功能背板应集成无闪烁LED照明系统</w:t>
            </w:r>
            <w:r>
              <w:rPr>
                <w:rFonts w:ascii="仿宋_GB2312" w:eastAsia="仿宋_GB2312" w:hAnsi="仿宋_GB2312" w:cs="仿宋_GB2312" w:hint="eastAsia"/>
                <w:b/>
                <w:bCs/>
                <w:color w:val="FF0000"/>
                <w:kern w:val="2"/>
                <w:sz w:val="21"/>
                <w:szCs w:val="21"/>
                <w:lang w:eastAsia="zh-CN"/>
              </w:rPr>
              <w:t>。</w:t>
            </w:r>
            <w:r>
              <w:rPr>
                <w:rFonts w:ascii="仿宋_GB2312" w:eastAsia="仿宋_GB2312" w:hAnsi="仿宋_GB2312" w:cs="仿宋_GB2312" w:hint="eastAsia"/>
                <w:b/>
                <w:bCs/>
                <w:color w:val="FF0000"/>
                <w:kern w:val="2"/>
                <w:sz w:val="21"/>
                <w:szCs w:val="21"/>
                <w:lang w:eastAsia="zh-CN"/>
              </w:rPr>
              <w:t>（提供产品彩页</w:t>
            </w:r>
            <w:r>
              <w:rPr>
                <w:rFonts w:ascii="仿宋_GB2312" w:eastAsia="仿宋_GB2312" w:hAnsi="仿宋_GB2312" w:cs="仿宋_GB2312" w:hint="eastAsia"/>
                <w:b/>
                <w:bCs/>
                <w:color w:val="FF0000"/>
                <w:kern w:val="2"/>
                <w:sz w:val="21"/>
                <w:szCs w:val="21"/>
                <w:lang w:eastAsia="zh-CN"/>
              </w:rPr>
              <w:t>或</w:t>
            </w:r>
            <w:r>
              <w:rPr>
                <w:rFonts w:ascii="仿宋_GB2312" w:eastAsia="仿宋_GB2312" w:hAnsi="仿宋_GB2312" w:cs="仿宋_GB2312" w:hint="eastAsia"/>
                <w:b/>
                <w:bCs/>
                <w:color w:val="FF0000"/>
                <w:kern w:val="2"/>
                <w:sz w:val="21"/>
                <w:szCs w:val="21"/>
                <w:lang w:eastAsia="zh-CN"/>
              </w:rPr>
              <w:t>说明书或技术白皮书</w:t>
            </w:r>
            <w:r>
              <w:rPr>
                <w:rFonts w:ascii="仿宋_GB2312" w:eastAsia="仿宋_GB2312" w:hAnsi="仿宋_GB2312" w:cs="仿宋_GB2312" w:hint="eastAsia"/>
                <w:b/>
                <w:bCs/>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815"/>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5</w:t>
            </w:r>
            <w:r>
              <w:rPr>
                <w:rFonts w:ascii="仿宋_GB2312" w:eastAsia="仿宋_GB2312" w:hAnsi="仿宋_GB2312" w:cs="仿宋_GB2312" w:hint="eastAsia"/>
                <w:color w:val="000000"/>
                <w:kern w:val="2"/>
                <w:sz w:val="21"/>
                <w:szCs w:val="21"/>
                <w:lang w:eastAsia="zh-CN"/>
              </w:rPr>
              <w:t>.中心气体处理器：为灌流和气枪调节恒定的气压，气压调节范围0～0.75Mpa，分离空气中的水分及其它杂质，可以拆装清洗</w:t>
            </w:r>
            <w:r>
              <w:rPr>
                <w:rFonts w:ascii="仿宋_GB2312" w:eastAsia="仿宋_GB2312" w:hAnsi="仿宋_GB2312" w:cs="仿宋_GB2312" w:hint="eastAsia"/>
                <w:color w:val="000000"/>
                <w:kern w:val="2"/>
                <w:sz w:val="21"/>
                <w:szCs w:val="21"/>
                <w:lang w:eastAsia="zh-CN"/>
              </w:rPr>
              <w:t>，</w:t>
            </w:r>
            <w:r>
              <w:rPr>
                <w:rFonts w:ascii="仿宋_GB2312" w:eastAsia="仿宋_GB2312" w:hAnsi="仿宋_GB2312" w:cs="仿宋_GB2312" w:hint="eastAsia"/>
                <w:color w:val="000000"/>
                <w:kern w:val="2"/>
                <w:sz w:val="21"/>
                <w:szCs w:val="21"/>
                <w:lang w:eastAsia="zh-CN"/>
              </w:rPr>
              <w:t>不损伤昂贵的内镜，无耗材、免维护、免清洗。</w:t>
            </w:r>
          </w:p>
        </w:tc>
      </w:tr>
      <w:tr>
        <w:tblPrEx>
          <w:tblW w:w="5000" w:type="pct"/>
          <w:tblInd w:w="0" w:type="dxa"/>
          <w:tblLayout w:type="fixed"/>
          <w:tblCellMar>
            <w:top w:w="0" w:type="dxa"/>
            <w:left w:w="108" w:type="dxa"/>
            <w:bottom w:w="0" w:type="dxa"/>
            <w:right w:w="108" w:type="dxa"/>
          </w:tblCellMar>
        </w:tblPrEx>
        <w:trPr>
          <w:trHeight w:val="90"/>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r>
              <w:rPr>
                <w:rFonts w:ascii="仿宋_GB2312" w:eastAsia="仿宋_GB2312" w:hAnsi="仿宋_GB2312" w:cs="仿宋_GB2312" w:hint="eastAsia"/>
                <w:b/>
                <w:bCs/>
                <w:color w:val="FF0000"/>
                <w:kern w:val="2"/>
                <w:sz w:val="21"/>
                <w:szCs w:val="21"/>
                <w:lang w:eastAsia="zh-CN"/>
              </w:rPr>
              <w:t>▲</w:t>
            </w:r>
            <w:r>
              <w:rPr>
                <w:rFonts w:ascii="仿宋_GB2312" w:eastAsia="仿宋_GB2312" w:hAnsi="仿宋_GB2312" w:cs="仿宋_GB2312" w:hint="eastAsia"/>
                <w:b/>
                <w:bCs/>
                <w:color w:val="FF0000"/>
                <w:kern w:val="2"/>
                <w:sz w:val="21"/>
                <w:szCs w:val="21"/>
                <w:lang w:eastAsia="zh-CN"/>
              </w:rPr>
              <w:t>6</w:t>
            </w:r>
            <w:r>
              <w:rPr>
                <w:rFonts w:ascii="仿宋_GB2312" w:eastAsia="仿宋_GB2312" w:hAnsi="仿宋_GB2312" w:cs="仿宋_GB2312" w:hint="eastAsia"/>
                <w:b/>
                <w:bCs/>
                <w:color w:val="FF0000"/>
                <w:kern w:val="2"/>
                <w:sz w:val="21"/>
                <w:szCs w:val="21"/>
                <w:lang w:eastAsia="zh-CN"/>
              </w:rPr>
              <w:t>.全优质SUS304不锈钢材质水龙头，水龙头需要实时显示水温</w:t>
            </w:r>
            <w:r>
              <w:rPr>
                <w:rFonts w:ascii="仿宋_GB2312" w:eastAsia="仿宋_GB2312" w:hAnsi="仿宋_GB2312" w:cs="仿宋_GB2312" w:hint="eastAsia"/>
                <w:b/>
                <w:bCs/>
                <w:color w:val="FF0000"/>
                <w:kern w:val="2"/>
                <w:sz w:val="21"/>
                <w:szCs w:val="21"/>
                <w:lang w:eastAsia="zh-CN"/>
              </w:rPr>
              <w:t>。</w:t>
            </w:r>
            <w:r>
              <w:rPr>
                <w:rFonts w:ascii="仿宋_GB2312" w:eastAsia="仿宋_GB2312" w:hAnsi="仿宋_GB2312" w:cs="仿宋_GB2312" w:hint="eastAsia"/>
                <w:b/>
                <w:bCs/>
                <w:color w:val="FF0000"/>
                <w:kern w:val="2"/>
                <w:sz w:val="21"/>
                <w:szCs w:val="21"/>
                <w:lang w:eastAsia="zh-CN"/>
              </w:rPr>
              <w:t>（提供产品彩页</w:t>
            </w:r>
            <w:r>
              <w:rPr>
                <w:rFonts w:ascii="仿宋_GB2312" w:eastAsia="仿宋_GB2312" w:hAnsi="仿宋_GB2312" w:cs="仿宋_GB2312" w:hint="eastAsia"/>
                <w:b/>
                <w:bCs/>
                <w:color w:val="FF0000"/>
                <w:kern w:val="2"/>
                <w:sz w:val="21"/>
                <w:szCs w:val="21"/>
                <w:lang w:eastAsia="zh-CN"/>
              </w:rPr>
              <w:t>或</w:t>
            </w:r>
            <w:r>
              <w:rPr>
                <w:rFonts w:ascii="仿宋_GB2312" w:eastAsia="仿宋_GB2312" w:hAnsi="仿宋_GB2312" w:cs="仿宋_GB2312" w:hint="eastAsia"/>
                <w:b/>
                <w:bCs/>
                <w:color w:val="FF0000"/>
                <w:kern w:val="2"/>
                <w:sz w:val="21"/>
                <w:szCs w:val="21"/>
                <w:lang w:eastAsia="zh-CN"/>
              </w:rPr>
              <w:t>说明书或技术白皮书</w:t>
            </w:r>
            <w:r>
              <w:rPr>
                <w:rFonts w:ascii="仿宋_GB2312" w:eastAsia="仿宋_GB2312" w:hAnsi="仿宋_GB2312" w:cs="仿宋_GB2312" w:hint="eastAsia"/>
                <w:b/>
                <w:bCs/>
                <w:color w:val="FF0000"/>
                <w:kern w:val="2"/>
                <w:sz w:val="21"/>
                <w:szCs w:val="21"/>
                <w:lang w:eastAsia="zh-CN"/>
              </w:rPr>
              <w:t>）</w:t>
            </w:r>
          </w:p>
          <w:p>
            <w:pPr>
              <w:widowControl w:val="0"/>
              <w:spacing w:after="160" w:line="259" w:lineRule="auto"/>
              <w:jc w:val="both"/>
              <w:rPr>
                <w:rFonts w:ascii="仿宋_GB2312" w:eastAsia="仿宋_GB2312" w:hAnsi="仿宋_GB2312" w:cs="仿宋_GB2312"/>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626"/>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7</w:t>
            </w:r>
            <w:r>
              <w:rPr>
                <w:rFonts w:ascii="仿宋_GB2312" w:eastAsia="仿宋_GB2312" w:hAnsi="仿宋_GB2312" w:cs="仿宋_GB2312" w:hint="eastAsia"/>
                <w:color w:val="000000"/>
                <w:kern w:val="2"/>
                <w:sz w:val="21"/>
                <w:szCs w:val="21"/>
                <w:lang w:eastAsia="zh-CN"/>
              </w:rPr>
              <w:t>.消毒液槽采用电动翻盖功能，可通过人机界面或脚踢开关实现消毒槽槽盖的打开和关闭，无需用手拿取槽盖。</w:t>
            </w:r>
          </w:p>
        </w:tc>
      </w:tr>
      <w:tr>
        <w:tblPrEx>
          <w:tblW w:w="5000" w:type="pct"/>
          <w:tblInd w:w="0" w:type="dxa"/>
          <w:tblLayout w:type="fixed"/>
          <w:tblCellMar>
            <w:top w:w="0" w:type="dxa"/>
            <w:left w:w="108" w:type="dxa"/>
            <w:bottom w:w="0" w:type="dxa"/>
            <w:right w:w="108" w:type="dxa"/>
          </w:tblCellMar>
        </w:tblPrEx>
        <w:trPr>
          <w:trHeight w:val="926"/>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w:t>
            </w:r>
            <w:r>
              <w:rPr>
                <w:rFonts w:ascii="仿宋_GB2312" w:eastAsia="仿宋_GB2312" w:hAnsi="仿宋_GB2312" w:cs="仿宋_GB2312" w:hint="eastAsia"/>
                <w:color w:val="FF0000"/>
                <w:kern w:val="2"/>
                <w:sz w:val="21"/>
                <w:szCs w:val="21"/>
                <w:lang w:eastAsia="zh-CN"/>
              </w:rPr>
              <w:t>8</w:t>
            </w:r>
            <w:r>
              <w:rPr>
                <w:rFonts w:ascii="仿宋_GB2312" w:eastAsia="仿宋_GB2312" w:hAnsi="仿宋_GB2312" w:cs="仿宋_GB2312" w:hint="eastAsia"/>
                <w:color w:val="FF0000"/>
                <w:kern w:val="2"/>
                <w:sz w:val="21"/>
                <w:szCs w:val="21"/>
                <w:lang w:eastAsia="zh-CN"/>
              </w:rPr>
              <w:t>.一体式嵌入式超声波清洗机采用和清洗槽一体式安装，超声频率40KHz，清洗槽有效容积≥10L，</w:t>
            </w:r>
            <w:r>
              <w:rPr>
                <w:rFonts w:ascii="仿宋_GB2312" w:eastAsia="仿宋_GB2312" w:hAnsi="仿宋_GB2312" w:cs="仿宋_GB2312" w:hint="eastAsia"/>
                <w:b/>
                <w:bCs/>
                <w:color w:val="FF0000"/>
                <w:kern w:val="2"/>
                <w:sz w:val="21"/>
                <w:szCs w:val="21"/>
                <w:lang w:eastAsia="zh-CN"/>
              </w:rPr>
              <w:t>（</w:t>
            </w:r>
            <w:r>
              <w:rPr>
                <w:rFonts w:ascii="仿宋_GB2312" w:eastAsia="仿宋_GB2312" w:hAnsi="仿宋_GB2312" w:cs="仿宋_GB2312" w:hint="eastAsia"/>
                <w:b/>
                <w:bCs/>
                <w:color w:val="FF0000"/>
                <w:kern w:val="2"/>
                <w:sz w:val="21"/>
                <w:szCs w:val="21"/>
                <w:lang w:eastAsia="zh-CN"/>
              </w:rPr>
              <w:t>提供产品彩页</w:t>
            </w:r>
            <w:r>
              <w:rPr>
                <w:rFonts w:ascii="仿宋_GB2312" w:eastAsia="仿宋_GB2312" w:hAnsi="仿宋_GB2312" w:cs="仿宋_GB2312" w:hint="eastAsia"/>
                <w:b/>
                <w:bCs/>
                <w:color w:val="FF0000"/>
                <w:kern w:val="2"/>
                <w:sz w:val="21"/>
                <w:szCs w:val="21"/>
                <w:lang w:eastAsia="zh-CN"/>
              </w:rPr>
              <w:t>或</w:t>
            </w:r>
            <w:r>
              <w:rPr>
                <w:rFonts w:ascii="仿宋_GB2312" w:eastAsia="仿宋_GB2312" w:hAnsi="仿宋_GB2312" w:cs="仿宋_GB2312" w:hint="eastAsia"/>
                <w:b/>
                <w:bCs/>
                <w:color w:val="FF0000"/>
                <w:kern w:val="2"/>
                <w:sz w:val="21"/>
                <w:szCs w:val="21"/>
                <w:lang w:eastAsia="zh-CN"/>
              </w:rPr>
              <w:t>说明书或技术白皮书，证明超声槽为该工作站结构及组成的法定部件</w:t>
            </w:r>
            <w:r>
              <w:rPr>
                <w:rFonts w:ascii="仿宋_GB2312" w:eastAsia="仿宋_GB2312" w:hAnsi="仿宋_GB2312" w:cs="仿宋_GB2312" w:hint="eastAsia"/>
                <w:b/>
                <w:bCs/>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889"/>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9</w:t>
            </w:r>
            <w:r>
              <w:rPr>
                <w:rFonts w:ascii="仿宋_GB2312" w:eastAsia="仿宋_GB2312" w:hAnsi="仿宋_GB2312" w:cs="仿宋_GB2312" w:hint="eastAsia"/>
                <w:color w:val="000000"/>
                <w:kern w:val="2"/>
                <w:sz w:val="21"/>
                <w:szCs w:val="21"/>
                <w:lang w:eastAsia="zh-CN"/>
              </w:rPr>
              <w:t xml:space="preserve">.医生洗手池采用改性PMMA高分子材料，用模具高温一次成型和清洗槽自然成为一体，非其它材质和款式，感应式水龙头，水龙头可以洗手和洗眼两用。 </w:t>
            </w:r>
          </w:p>
        </w:tc>
      </w:tr>
      <w:tr>
        <w:tblPrEx>
          <w:tblW w:w="5000" w:type="pct"/>
          <w:tblInd w:w="0" w:type="dxa"/>
          <w:tblLayout w:type="fixed"/>
          <w:tblCellMar>
            <w:top w:w="0" w:type="dxa"/>
            <w:left w:w="108" w:type="dxa"/>
            <w:bottom w:w="0" w:type="dxa"/>
            <w:right w:w="108" w:type="dxa"/>
          </w:tblCellMar>
        </w:tblPrEx>
        <w:trPr>
          <w:trHeight w:val="90"/>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w:t>
            </w:r>
            <w:r>
              <w:rPr>
                <w:rFonts w:ascii="仿宋_GB2312" w:eastAsia="仿宋_GB2312" w:hAnsi="仿宋_GB2312" w:cs="仿宋_GB2312" w:hint="eastAsia"/>
                <w:color w:val="000000"/>
                <w:kern w:val="2"/>
                <w:sz w:val="21"/>
                <w:szCs w:val="21"/>
                <w:lang w:eastAsia="zh-CN"/>
              </w:rPr>
              <w:t>0</w:t>
            </w:r>
            <w:r>
              <w:rPr>
                <w:rFonts w:ascii="仿宋_GB2312" w:eastAsia="仿宋_GB2312" w:hAnsi="仿宋_GB2312" w:cs="仿宋_GB2312" w:hint="eastAsia"/>
                <w:color w:val="000000"/>
                <w:kern w:val="2"/>
                <w:sz w:val="21"/>
                <w:szCs w:val="21"/>
                <w:lang w:eastAsia="zh-CN"/>
              </w:rPr>
              <w:t>.酶液自动配器采用微电脑芯片控制，通过面板操作实现了定时自动加酶功能自动按照设定比例进行酶液和水的配比，酶液配比比例可调，配比精度≤0.01ml。</w:t>
            </w:r>
          </w:p>
        </w:tc>
      </w:tr>
      <w:tr>
        <w:tblPrEx>
          <w:tblW w:w="5000" w:type="pct"/>
          <w:tblInd w:w="0" w:type="dxa"/>
          <w:tblLayout w:type="fixed"/>
          <w:tblCellMar>
            <w:top w:w="0" w:type="dxa"/>
            <w:left w:w="108" w:type="dxa"/>
            <w:bottom w:w="0" w:type="dxa"/>
            <w:right w:w="108" w:type="dxa"/>
          </w:tblCellMar>
        </w:tblPrEx>
        <w:trPr>
          <w:trHeight w:val="1085"/>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w:t>
            </w:r>
            <w:r>
              <w:rPr>
                <w:rFonts w:ascii="仿宋_GB2312" w:eastAsia="仿宋_GB2312" w:hAnsi="仿宋_GB2312" w:cs="仿宋_GB2312" w:hint="eastAsia"/>
                <w:color w:val="000000"/>
                <w:kern w:val="2"/>
                <w:sz w:val="21"/>
                <w:szCs w:val="21"/>
                <w:lang w:eastAsia="zh-CN"/>
              </w:rPr>
              <w:t>1</w:t>
            </w:r>
            <w:r>
              <w:rPr>
                <w:rFonts w:ascii="仿宋_GB2312" w:eastAsia="仿宋_GB2312" w:hAnsi="仿宋_GB2312" w:cs="仿宋_GB2312" w:hint="eastAsia"/>
                <w:color w:val="000000"/>
                <w:kern w:val="2"/>
                <w:sz w:val="21"/>
                <w:szCs w:val="21"/>
                <w:lang w:eastAsia="zh-CN"/>
              </w:rPr>
              <w:t>.内镜测漏系统和清洗槽结合成为一体，隐藏式主机设计，操作面板固定于背板，测量精度为0.01kPa，测试时间30s～240s ，测试压差0kPa～5kPa，软式内镜通入不大于0.03MPa空气时，若产生泄漏，泄漏检测装置能提供声讯信号。</w:t>
            </w:r>
          </w:p>
        </w:tc>
      </w:tr>
      <w:tr>
        <w:tblPrEx>
          <w:tblW w:w="5000" w:type="pct"/>
          <w:tblInd w:w="0" w:type="dxa"/>
          <w:tblLayout w:type="fixed"/>
          <w:tblCellMar>
            <w:top w:w="0" w:type="dxa"/>
            <w:left w:w="108" w:type="dxa"/>
            <w:bottom w:w="0" w:type="dxa"/>
            <w:right w:w="108" w:type="dxa"/>
          </w:tblCellMar>
        </w:tblPrEx>
        <w:trPr>
          <w:trHeight w:val="90"/>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1</w:t>
            </w:r>
            <w:r>
              <w:rPr>
                <w:rFonts w:ascii="仿宋_GB2312" w:eastAsia="仿宋_GB2312" w:hAnsi="仿宋_GB2312" w:cs="仿宋_GB2312" w:hint="eastAsia"/>
                <w:b/>
                <w:bCs/>
                <w:color w:val="FF0000"/>
                <w:kern w:val="2"/>
                <w:sz w:val="21"/>
                <w:szCs w:val="21"/>
                <w:lang w:eastAsia="zh-CN"/>
              </w:rPr>
              <w:t>2</w:t>
            </w:r>
            <w:r>
              <w:rPr>
                <w:rFonts w:ascii="仿宋_GB2312" w:eastAsia="仿宋_GB2312" w:hAnsi="仿宋_GB2312" w:cs="仿宋_GB2312" w:hint="eastAsia"/>
                <w:b/>
                <w:bCs/>
                <w:color w:val="FF0000"/>
                <w:kern w:val="2"/>
                <w:sz w:val="21"/>
                <w:szCs w:val="21"/>
                <w:lang w:eastAsia="zh-CN"/>
              </w:rPr>
              <w:t>.▲气体消毒洁净处理器采用微电脑控制系统，符合最新内镜最近管理规范提供医疗级汽源供应保证气体干燥洁净度，经洁净气源处理后的输出气体菌落总数&lt;1cfu/m3，多级过滤，可滤除小至0.01μm的液体及固态颗粒，最低残留含油量及PM仅0.01mg/m³，且去除率小于93%。（提供产品彩页</w:t>
            </w:r>
            <w:r>
              <w:rPr>
                <w:rFonts w:ascii="仿宋_GB2312" w:eastAsia="仿宋_GB2312" w:hAnsi="仿宋_GB2312" w:cs="仿宋_GB2312" w:hint="eastAsia"/>
                <w:b/>
                <w:bCs/>
                <w:color w:val="FF0000"/>
                <w:kern w:val="2"/>
                <w:sz w:val="21"/>
                <w:szCs w:val="21"/>
                <w:lang w:eastAsia="zh-CN"/>
              </w:rPr>
              <w:t>或</w:t>
            </w:r>
            <w:r>
              <w:rPr>
                <w:rFonts w:ascii="仿宋_GB2312" w:eastAsia="仿宋_GB2312" w:hAnsi="仿宋_GB2312" w:cs="仿宋_GB2312" w:hint="eastAsia"/>
                <w:b/>
                <w:bCs/>
                <w:color w:val="FF0000"/>
                <w:kern w:val="2"/>
                <w:sz w:val="21"/>
                <w:szCs w:val="21"/>
                <w:lang w:eastAsia="zh-CN"/>
              </w:rPr>
              <w:t>说明书或技术白皮书</w:t>
            </w:r>
            <w:r>
              <w:rPr>
                <w:rFonts w:ascii="仿宋_GB2312" w:eastAsia="仿宋_GB2312" w:hAnsi="仿宋_GB2312" w:cs="仿宋_GB2312" w:hint="eastAsia"/>
                <w:b/>
                <w:bCs/>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5"/>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1</w:t>
            </w:r>
            <w:r>
              <w:rPr>
                <w:rFonts w:ascii="仿宋_GB2312" w:eastAsia="仿宋_GB2312" w:hAnsi="仿宋_GB2312" w:cs="仿宋_GB2312" w:hint="eastAsia"/>
                <w:b/>
                <w:bCs/>
                <w:color w:val="FF0000"/>
                <w:kern w:val="2"/>
                <w:sz w:val="21"/>
                <w:szCs w:val="21"/>
                <w:lang w:eastAsia="zh-CN"/>
              </w:rPr>
              <w:t>3</w:t>
            </w:r>
            <w:r>
              <w:rPr>
                <w:rFonts w:ascii="仿宋_GB2312" w:eastAsia="仿宋_GB2312" w:hAnsi="仿宋_GB2312" w:cs="仿宋_GB2312" w:hint="eastAsia"/>
                <w:b/>
                <w:bCs/>
                <w:color w:val="FF0000"/>
                <w:kern w:val="2"/>
                <w:sz w:val="21"/>
                <w:szCs w:val="21"/>
                <w:lang w:eastAsia="zh-CN"/>
              </w:rPr>
              <w:t>.▲内镜吹干酒精灌流一体机需具有≥2种干燥方式，一机至少包含酒精灌流干燥及吹气干燥两种干燥模式，能够同时对≥3条软式内镜进行干燥处理，本设备可以嵌入清洗工作站干燥台背板上，能够设置各通道干燥参数数值，可设置最高和最低吹气压力，能够设置吹气时间、酒精灌流时间等</w:t>
            </w:r>
            <w:r>
              <w:rPr>
                <w:rFonts w:ascii="仿宋_GB2312" w:eastAsia="仿宋_GB2312" w:hAnsi="仿宋_GB2312" w:cs="仿宋_GB2312" w:hint="eastAsia"/>
                <w:b/>
                <w:bCs/>
                <w:color w:val="FF0000"/>
                <w:kern w:val="2"/>
                <w:sz w:val="21"/>
                <w:szCs w:val="21"/>
                <w:lang w:eastAsia="zh-CN"/>
              </w:rPr>
              <w:t>。</w:t>
            </w:r>
            <w:r>
              <w:rPr>
                <w:rFonts w:ascii="仿宋_GB2312" w:eastAsia="仿宋_GB2312" w:hAnsi="仿宋_GB2312" w:cs="仿宋_GB2312" w:hint="eastAsia"/>
                <w:b/>
                <w:bCs/>
                <w:color w:val="FF0000"/>
                <w:kern w:val="2"/>
                <w:sz w:val="21"/>
                <w:szCs w:val="21"/>
                <w:lang w:eastAsia="zh-CN"/>
              </w:rPr>
              <w:t>（提供产品彩页</w:t>
            </w:r>
            <w:r>
              <w:rPr>
                <w:rFonts w:ascii="仿宋_GB2312" w:eastAsia="仿宋_GB2312" w:hAnsi="仿宋_GB2312" w:cs="仿宋_GB2312" w:hint="eastAsia"/>
                <w:b/>
                <w:bCs/>
                <w:color w:val="FF0000"/>
                <w:kern w:val="2"/>
                <w:sz w:val="21"/>
                <w:szCs w:val="21"/>
                <w:lang w:eastAsia="zh-CN"/>
              </w:rPr>
              <w:t>或</w:t>
            </w:r>
            <w:r>
              <w:rPr>
                <w:rFonts w:ascii="仿宋_GB2312" w:eastAsia="仿宋_GB2312" w:hAnsi="仿宋_GB2312" w:cs="仿宋_GB2312" w:hint="eastAsia"/>
                <w:b/>
                <w:bCs/>
                <w:color w:val="FF0000"/>
                <w:kern w:val="2"/>
                <w:sz w:val="21"/>
                <w:szCs w:val="21"/>
                <w:lang w:eastAsia="zh-CN"/>
              </w:rPr>
              <w:t>说明书或技术白皮书，佐证上述2种干燥方式及≥3条内镜同时处理的核心性能）</w:t>
            </w:r>
          </w:p>
        </w:tc>
      </w:tr>
      <w:tr>
        <w:tblPrEx>
          <w:tblW w:w="5000" w:type="pct"/>
          <w:tblInd w:w="0" w:type="dxa"/>
          <w:tblLayout w:type="fixed"/>
          <w:tblCellMar>
            <w:top w:w="0" w:type="dxa"/>
            <w:left w:w="108" w:type="dxa"/>
            <w:bottom w:w="0" w:type="dxa"/>
            <w:right w:w="108" w:type="dxa"/>
          </w:tblCellMar>
        </w:tblPrEx>
        <w:trPr>
          <w:trHeight w:val="905"/>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w:t>
            </w:r>
            <w:r>
              <w:rPr>
                <w:rFonts w:ascii="仿宋_GB2312" w:eastAsia="仿宋_GB2312" w:hAnsi="仿宋_GB2312" w:cs="仿宋_GB2312" w:hint="eastAsia"/>
                <w:color w:val="000000"/>
                <w:kern w:val="2"/>
                <w:sz w:val="21"/>
                <w:szCs w:val="21"/>
                <w:lang w:eastAsia="zh-CN"/>
              </w:rPr>
              <w:t>4</w:t>
            </w:r>
            <w:r>
              <w:rPr>
                <w:rFonts w:ascii="仿宋_GB2312" w:eastAsia="仿宋_GB2312" w:hAnsi="仿宋_GB2312" w:cs="仿宋_GB2312" w:hint="eastAsia"/>
                <w:color w:val="000000"/>
                <w:kern w:val="2"/>
                <w:sz w:val="21"/>
                <w:szCs w:val="21"/>
                <w:lang w:eastAsia="zh-CN"/>
              </w:rPr>
              <w:t>.自动排液系统采用不锈钢微型电动球阀，体积小重量轻，具有良好的流量调节功效和封闭密封特性；面板控制电动球阀排水，通过面板控制电动球阀的开合来控制排液，有效的防止手动排水时手对槽内内镜造成的二次污染。</w:t>
            </w:r>
          </w:p>
        </w:tc>
      </w:tr>
      <w:tr>
        <w:tblPrEx>
          <w:tblW w:w="5000" w:type="pct"/>
          <w:tblInd w:w="0" w:type="dxa"/>
          <w:tblLayout w:type="fixed"/>
          <w:tblCellMar>
            <w:top w:w="0" w:type="dxa"/>
            <w:left w:w="108" w:type="dxa"/>
            <w:bottom w:w="0" w:type="dxa"/>
            <w:right w:w="108" w:type="dxa"/>
          </w:tblCellMar>
        </w:tblPrEx>
        <w:trPr>
          <w:trHeight w:val="90"/>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w:t>
            </w:r>
            <w:r>
              <w:rPr>
                <w:rFonts w:ascii="仿宋_GB2312" w:eastAsia="仿宋_GB2312" w:hAnsi="仿宋_GB2312" w:cs="仿宋_GB2312" w:hint="eastAsia"/>
                <w:color w:val="000000"/>
                <w:kern w:val="2"/>
                <w:sz w:val="21"/>
                <w:szCs w:val="21"/>
                <w:lang w:eastAsia="zh-CN"/>
              </w:rPr>
              <w:t>5</w:t>
            </w:r>
            <w:r>
              <w:rPr>
                <w:rFonts w:ascii="仿宋_GB2312" w:eastAsia="仿宋_GB2312" w:hAnsi="仿宋_GB2312" w:cs="仿宋_GB2312" w:hint="eastAsia"/>
                <w:color w:val="000000"/>
                <w:kern w:val="2"/>
                <w:sz w:val="21"/>
                <w:szCs w:val="21"/>
                <w:lang w:eastAsia="zh-CN"/>
              </w:rPr>
              <w:t>.供电线路根据整套系统负荷设计，所有供电系统都经过漏电和负载保险开关，强电和弱电线路错开，且强电有双重绝缘保护和接地保护开关和插座都有防水保护。</w:t>
            </w:r>
          </w:p>
        </w:tc>
      </w:tr>
      <w:tr>
        <w:tblPrEx>
          <w:tblW w:w="5000" w:type="pct"/>
          <w:tblInd w:w="0" w:type="dxa"/>
          <w:tblLayout w:type="fixed"/>
          <w:tblCellMar>
            <w:top w:w="0" w:type="dxa"/>
            <w:left w:w="108" w:type="dxa"/>
            <w:bottom w:w="0" w:type="dxa"/>
            <w:right w:w="108" w:type="dxa"/>
          </w:tblCellMar>
        </w:tblPrEx>
        <w:trPr>
          <w:trHeight w:val="628"/>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1</w:t>
            </w:r>
            <w:r>
              <w:rPr>
                <w:rFonts w:ascii="仿宋_GB2312" w:eastAsia="仿宋_GB2312" w:hAnsi="仿宋_GB2312" w:cs="仿宋_GB2312" w:hint="eastAsia"/>
                <w:b/>
                <w:bCs/>
                <w:color w:val="FF0000"/>
                <w:kern w:val="2"/>
                <w:sz w:val="21"/>
                <w:szCs w:val="21"/>
                <w:lang w:eastAsia="zh-CN"/>
              </w:rPr>
              <w:t>6</w:t>
            </w:r>
            <w:r>
              <w:rPr>
                <w:rFonts w:ascii="仿宋_GB2312" w:eastAsia="仿宋_GB2312" w:hAnsi="仿宋_GB2312" w:cs="仿宋_GB2312" w:hint="eastAsia"/>
                <w:b/>
                <w:bCs/>
                <w:color w:val="FF0000"/>
                <w:kern w:val="2"/>
                <w:sz w:val="21"/>
                <w:szCs w:val="21"/>
                <w:lang w:eastAsia="zh-CN"/>
              </w:rPr>
              <w:t>.▲设计有效使用寿命≥八年</w:t>
            </w:r>
            <w:r>
              <w:rPr>
                <w:rFonts w:ascii="仿宋_GB2312" w:eastAsia="仿宋_GB2312" w:hAnsi="仿宋_GB2312" w:cs="仿宋_GB2312" w:hint="eastAsia"/>
                <w:b/>
                <w:bCs/>
                <w:color w:val="FF0000"/>
                <w:kern w:val="2"/>
                <w:sz w:val="21"/>
                <w:szCs w:val="21"/>
                <w:lang w:eastAsia="zh-CN"/>
              </w:rPr>
              <w:t>，</w:t>
            </w:r>
            <w:r>
              <w:rPr>
                <w:rFonts w:ascii="仿宋_GB2312" w:eastAsia="仿宋_GB2312" w:hAnsi="仿宋_GB2312" w:cs="仿宋_GB2312" w:hint="eastAsia"/>
                <w:b/>
                <w:bCs/>
                <w:color w:val="FF0000"/>
                <w:kern w:val="2"/>
                <w:sz w:val="21"/>
                <w:szCs w:val="21"/>
                <w:lang w:eastAsia="zh-CN"/>
              </w:rPr>
              <w:t>提供与本次投标设备型号完全一致的设备机身铭牌，作为佐证材料。</w:t>
            </w:r>
          </w:p>
        </w:tc>
      </w:tr>
      <w:tr>
        <w:tblPrEx>
          <w:tblW w:w="5000" w:type="pct"/>
          <w:tblInd w:w="0" w:type="dxa"/>
          <w:tblLayout w:type="fixed"/>
          <w:tblCellMar>
            <w:top w:w="0" w:type="dxa"/>
            <w:left w:w="108" w:type="dxa"/>
            <w:bottom w:w="0" w:type="dxa"/>
            <w:right w:w="108" w:type="dxa"/>
          </w:tblCellMar>
        </w:tblPrEx>
        <w:trPr>
          <w:trHeight w:val="312"/>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7164" w:type="dxa"/>
            <w:tcBorders>
              <w:top w:val="single" w:sz="4" w:space="0" w:color="auto"/>
              <w:left w:val="single" w:sz="4" w:space="0" w:color="auto"/>
              <w:right w:val="single" w:sz="4" w:space="0" w:color="auto"/>
            </w:tcBorders>
            <w:shd w:val="clear" w:color="auto" w:fill="auto"/>
          </w:tcPr>
          <w:p>
            <w:pPr>
              <w:widowControl w:val="0"/>
              <w:spacing w:after="160" w:line="36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★配置清单</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w:t>
            </w:r>
            <w:r>
              <w:rPr>
                <w:rFonts w:ascii="仿宋_GB2312" w:eastAsia="仿宋_GB2312" w:hAnsi="仿宋_GB2312" w:cs="仿宋_GB2312" w:hint="eastAsia"/>
                <w:color w:val="000000"/>
                <w:kern w:val="2"/>
                <w:sz w:val="21"/>
                <w:szCs w:val="21"/>
                <w:lang w:eastAsia="zh-CN"/>
              </w:rPr>
              <w:tab/>
            </w:r>
            <w:r>
              <w:rPr>
                <w:rFonts w:ascii="仿宋_GB2312" w:eastAsia="仿宋_GB2312" w:hAnsi="仿宋_GB2312" w:cs="仿宋_GB2312" w:hint="eastAsia"/>
                <w:color w:val="000000"/>
                <w:kern w:val="2"/>
                <w:sz w:val="21"/>
                <w:szCs w:val="21"/>
                <w:lang w:eastAsia="zh-CN"/>
              </w:rPr>
              <w:t>双方槽</w:t>
            </w:r>
            <w:r>
              <w:rPr>
                <w:rFonts w:ascii="仿宋_GB2312" w:eastAsia="仿宋_GB2312" w:hAnsi="仿宋_GB2312" w:cs="仿宋_GB2312" w:hint="eastAsia"/>
                <w:color w:val="000000"/>
                <w:kern w:val="2"/>
                <w:sz w:val="21"/>
                <w:szCs w:val="21"/>
                <w:lang w:eastAsia="zh-CN"/>
              </w:rPr>
              <w:tab/>
            </w:r>
            <w:r>
              <w:rPr>
                <w:rFonts w:ascii="仿宋_GB2312" w:eastAsia="仿宋_GB2312" w:hAnsi="仿宋_GB2312" w:cs="仿宋_GB2312" w:hint="eastAsia"/>
                <w:color w:val="000000"/>
                <w:kern w:val="2"/>
                <w:sz w:val="21"/>
                <w:szCs w:val="21"/>
                <w:lang w:eastAsia="zh-CN"/>
              </w:rPr>
              <w:t xml:space="preserve">                           12组</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2</w:t>
            </w:r>
            <w:r>
              <w:rPr>
                <w:rFonts w:ascii="仿宋_GB2312" w:eastAsia="仿宋_GB2312" w:hAnsi="仿宋_GB2312" w:cs="仿宋_GB2312" w:hint="eastAsia"/>
                <w:color w:val="000000"/>
                <w:kern w:val="2"/>
                <w:sz w:val="21"/>
                <w:szCs w:val="21"/>
                <w:lang w:eastAsia="zh-CN"/>
              </w:rPr>
              <w:tab/>
            </w:r>
            <w:r>
              <w:rPr>
                <w:rFonts w:ascii="仿宋_GB2312" w:eastAsia="仿宋_GB2312" w:hAnsi="仿宋_GB2312" w:cs="仿宋_GB2312" w:hint="eastAsia"/>
                <w:color w:val="000000"/>
                <w:kern w:val="2"/>
                <w:sz w:val="21"/>
                <w:szCs w:val="21"/>
                <w:lang w:eastAsia="zh-CN"/>
              </w:rPr>
              <w:t>单方槽</w:t>
            </w:r>
            <w:r>
              <w:rPr>
                <w:rFonts w:ascii="仿宋_GB2312" w:eastAsia="仿宋_GB2312" w:hAnsi="仿宋_GB2312" w:cs="仿宋_GB2312" w:hint="eastAsia"/>
                <w:color w:val="000000"/>
                <w:kern w:val="2"/>
                <w:sz w:val="21"/>
                <w:szCs w:val="21"/>
                <w:lang w:eastAsia="zh-CN"/>
              </w:rPr>
              <w:tab/>
            </w:r>
            <w:r>
              <w:rPr>
                <w:rFonts w:ascii="仿宋_GB2312" w:eastAsia="仿宋_GB2312" w:hAnsi="仿宋_GB2312" w:cs="仿宋_GB2312" w:hint="eastAsia"/>
                <w:color w:val="000000"/>
                <w:kern w:val="2"/>
                <w:sz w:val="21"/>
                <w:szCs w:val="21"/>
                <w:lang w:eastAsia="zh-CN"/>
              </w:rPr>
              <w:t xml:space="preserve">                            2个</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3</w:t>
            </w:r>
            <w:r>
              <w:rPr>
                <w:rFonts w:ascii="仿宋_GB2312" w:eastAsia="仿宋_GB2312" w:hAnsi="仿宋_GB2312" w:cs="仿宋_GB2312" w:hint="eastAsia"/>
                <w:color w:val="000000"/>
                <w:kern w:val="2"/>
                <w:sz w:val="21"/>
                <w:szCs w:val="21"/>
                <w:lang w:eastAsia="zh-CN"/>
              </w:rPr>
              <w:tab/>
            </w:r>
            <w:r>
              <w:rPr>
                <w:rFonts w:ascii="仿宋_GB2312" w:eastAsia="仿宋_GB2312" w:hAnsi="仿宋_GB2312" w:cs="仿宋_GB2312" w:hint="eastAsia"/>
                <w:color w:val="000000"/>
                <w:kern w:val="2"/>
                <w:sz w:val="21"/>
                <w:szCs w:val="21"/>
                <w:lang w:eastAsia="zh-CN"/>
              </w:rPr>
              <w:t>嵌入一体式超声波槽</w:t>
            </w:r>
            <w:r>
              <w:rPr>
                <w:rFonts w:ascii="仿宋_GB2312" w:eastAsia="仿宋_GB2312" w:hAnsi="仿宋_GB2312" w:cs="仿宋_GB2312" w:hint="eastAsia"/>
                <w:color w:val="000000"/>
                <w:kern w:val="2"/>
                <w:sz w:val="21"/>
                <w:szCs w:val="21"/>
                <w:lang w:eastAsia="zh-CN"/>
              </w:rPr>
              <w:tab/>
            </w:r>
            <w:r>
              <w:rPr>
                <w:rFonts w:ascii="仿宋_GB2312" w:eastAsia="仿宋_GB2312" w:hAnsi="仿宋_GB2312" w:cs="仿宋_GB2312" w:hint="eastAsia"/>
                <w:color w:val="000000"/>
                <w:kern w:val="2"/>
                <w:sz w:val="21"/>
                <w:szCs w:val="21"/>
                <w:lang w:eastAsia="zh-CN"/>
              </w:rPr>
              <w:t xml:space="preserve">                1个</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4</w:t>
            </w:r>
            <w:r>
              <w:rPr>
                <w:rFonts w:ascii="仿宋_GB2312" w:eastAsia="仿宋_GB2312" w:hAnsi="仿宋_GB2312" w:cs="仿宋_GB2312" w:hint="eastAsia"/>
                <w:color w:val="000000"/>
                <w:kern w:val="2"/>
                <w:sz w:val="21"/>
                <w:szCs w:val="21"/>
                <w:lang w:eastAsia="zh-CN"/>
              </w:rPr>
              <w:tab/>
            </w:r>
            <w:r>
              <w:rPr>
                <w:rFonts w:ascii="仿宋_GB2312" w:eastAsia="仿宋_GB2312" w:hAnsi="仿宋_GB2312" w:cs="仿宋_GB2312" w:hint="eastAsia"/>
                <w:color w:val="000000"/>
                <w:kern w:val="2"/>
                <w:sz w:val="21"/>
                <w:szCs w:val="21"/>
                <w:lang w:eastAsia="zh-CN"/>
              </w:rPr>
              <w:t>洗手洗眼槽</w:t>
            </w:r>
            <w:r>
              <w:rPr>
                <w:rFonts w:ascii="仿宋_GB2312" w:eastAsia="仿宋_GB2312" w:hAnsi="仿宋_GB2312" w:cs="仿宋_GB2312" w:hint="eastAsia"/>
                <w:color w:val="000000"/>
                <w:kern w:val="2"/>
                <w:sz w:val="21"/>
                <w:szCs w:val="21"/>
                <w:lang w:eastAsia="zh-CN"/>
              </w:rPr>
              <w:tab/>
            </w:r>
            <w:r>
              <w:rPr>
                <w:rFonts w:ascii="仿宋_GB2312" w:eastAsia="仿宋_GB2312" w:hAnsi="仿宋_GB2312" w:cs="仿宋_GB2312" w:hint="eastAsia"/>
                <w:color w:val="000000"/>
                <w:kern w:val="2"/>
                <w:sz w:val="21"/>
                <w:szCs w:val="21"/>
                <w:lang w:eastAsia="zh-CN"/>
              </w:rPr>
              <w:t xml:space="preserve">                        1个</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5</w:t>
            </w:r>
            <w:r>
              <w:rPr>
                <w:rFonts w:ascii="仿宋_GB2312" w:eastAsia="仿宋_GB2312" w:hAnsi="仿宋_GB2312" w:cs="仿宋_GB2312" w:hint="eastAsia"/>
                <w:color w:val="000000"/>
                <w:kern w:val="2"/>
                <w:sz w:val="21"/>
                <w:szCs w:val="21"/>
                <w:lang w:eastAsia="zh-CN"/>
              </w:rPr>
              <w:tab/>
            </w:r>
            <w:r>
              <w:rPr>
                <w:rFonts w:ascii="仿宋_GB2312" w:eastAsia="仿宋_GB2312" w:hAnsi="仿宋_GB2312" w:cs="仿宋_GB2312" w:hint="eastAsia"/>
                <w:color w:val="000000"/>
                <w:kern w:val="2"/>
                <w:sz w:val="21"/>
                <w:szCs w:val="21"/>
                <w:lang w:eastAsia="zh-CN"/>
              </w:rPr>
              <w:t>根据场地时间尺寸定制干燥台</w:t>
            </w:r>
            <w:r>
              <w:rPr>
                <w:rFonts w:ascii="仿宋_GB2312" w:eastAsia="仿宋_GB2312" w:hAnsi="仿宋_GB2312" w:cs="仿宋_GB2312" w:hint="eastAsia"/>
                <w:color w:val="000000"/>
                <w:kern w:val="2"/>
                <w:sz w:val="21"/>
                <w:szCs w:val="21"/>
                <w:lang w:eastAsia="zh-CN"/>
              </w:rPr>
              <w:tab/>
            </w:r>
            <w:r>
              <w:rPr>
                <w:rFonts w:ascii="仿宋_GB2312" w:eastAsia="仿宋_GB2312" w:hAnsi="仿宋_GB2312" w:cs="仿宋_GB2312" w:hint="eastAsia"/>
                <w:color w:val="000000"/>
                <w:kern w:val="2"/>
                <w:sz w:val="21"/>
                <w:szCs w:val="21"/>
                <w:lang w:eastAsia="zh-CN"/>
              </w:rPr>
              <w:t xml:space="preserve">        5个</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6   功能背板                            6套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7   跟背板一样长度的一体功能吊柜        6套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8   嵌入式超声波清洗机                  1台</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9   酶液自动配比系统                    6套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10  气体消毒洁净处理器                  2套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11  内镜侧漏系统                        6套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12  酒精灌流内镜吹干一体机              2台</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13  电动自动翻盖                        8套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14  中心气体处理器                      4套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15  水气枪                              30把</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16  自动灌流器                          26套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17  快速接头                            26套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 xml:space="preserve">18  安全用电变电系统                    3套 </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19  照明系统                            6套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20  给排水管路                          各6套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21  带温度显示功能的转折式不锈钢水龙头  13套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22  进水自动控制水源电磁控制阀          6套</w:t>
            </w:r>
          </w:p>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color w:val="000000"/>
                <w:kern w:val="2"/>
                <w:sz w:val="21"/>
                <w:szCs w:val="21"/>
                <w:lang w:eastAsia="zh-CN"/>
              </w:rPr>
              <w:t>23  自动排水电磁控制阀                  16套</w:t>
            </w:r>
          </w:p>
        </w:tc>
      </w:tr>
      <w:tr>
        <w:tblPrEx>
          <w:tblW w:w="5000" w:type="pct"/>
          <w:tblInd w:w="0" w:type="dxa"/>
          <w:tblLayout w:type="fixed"/>
          <w:tblCellMar>
            <w:top w:w="0" w:type="dxa"/>
            <w:left w:w="108" w:type="dxa"/>
            <w:bottom w:w="0" w:type="dxa"/>
            <w:right w:w="108" w:type="dxa"/>
          </w:tblCellMar>
        </w:tblPrEx>
        <w:trPr>
          <w:trHeight w:val="385"/>
        </w:trPr>
        <w:tc>
          <w:tcPr>
            <w:tcW w:w="531" w:type="dxa"/>
            <w:vMerge w:val="restart"/>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2</w:t>
            </w:r>
          </w:p>
        </w:tc>
        <w:tc>
          <w:tcPr>
            <w:tcW w:w="6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 xml:space="preserve">内镜追溯管理系统 </w:t>
            </w: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1.采用成熟的 RFID 射频技术，组建内镜中心物联网网络，形成全流程闭环追溯，RFID 芯片防水耐腐蚀，可长期复用。</w:t>
            </w:r>
          </w:p>
        </w:tc>
      </w:tr>
      <w:tr>
        <w:tblPrEx>
          <w:tblW w:w="5000" w:type="pct"/>
          <w:tblInd w:w="0" w:type="dxa"/>
          <w:tblLayout w:type="fixed"/>
          <w:tblCellMar>
            <w:top w:w="0" w:type="dxa"/>
            <w:left w:w="108" w:type="dxa"/>
            <w:bottom w:w="0" w:type="dxa"/>
            <w:right w:w="108" w:type="dxa"/>
          </w:tblCellMar>
        </w:tblPrEx>
        <w:trPr>
          <w:trHeight w:val="530"/>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bCs/>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2.系统结构灵活，支持独立服务器和共享服务器模式，服务器自动备份、客户端自动更新；系统具有扩展性和兼容性，不受清洗槽及流程和自动清洗机数量的限制。</w:t>
            </w:r>
          </w:p>
        </w:tc>
      </w:tr>
      <w:tr>
        <w:tblPrEx>
          <w:tblW w:w="5000" w:type="pct"/>
          <w:tblInd w:w="0" w:type="dxa"/>
          <w:tblLayout w:type="fixed"/>
          <w:tblCellMar>
            <w:top w:w="0" w:type="dxa"/>
            <w:left w:w="108" w:type="dxa"/>
            <w:bottom w:w="0" w:type="dxa"/>
            <w:right w:w="108" w:type="dxa"/>
          </w:tblCellMar>
        </w:tblPrEx>
        <w:trPr>
          <w:trHeight w:val="1264"/>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3.在第三方清洗机厂家开放接口的前提下，实现自动采集设备数据及监控设备运行，支持</w:t>
            </w:r>
            <w:r>
              <w:rPr>
                <w:rFonts w:ascii="仿宋_GB2312" w:eastAsia="仿宋_GB2312" w:hAnsi="仿宋_GB2312" w:cs="仿宋_GB2312" w:hint="eastAsia"/>
                <w:color w:val="000000"/>
                <w:kern w:val="2"/>
                <w:sz w:val="21"/>
                <w:szCs w:val="21"/>
                <w:lang w:eastAsia="zh-CN"/>
              </w:rPr>
              <w:t>与</w:t>
            </w:r>
            <w:r>
              <w:rPr>
                <w:rFonts w:ascii="仿宋_GB2312" w:eastAsia="仿宋_GB2312" w:hAnsi="仿宋_GB2312" w:cs="仿宋_GB2312" w:hint="eastAsia"/>
                <w:color w:val="000000"/>
                <w:kern w:val="2"/>
                <w:sz w:val="21"/>
                <w:szCs w:val="21"/>
                <w:lang w:eastAsia="zh-CN"/>
              </w:rPr>
              <w:t>医院 HIS、PACS 系统融合，实现系统间的互联互通和数据共享，万级数据秒级同步，追溯系统的时间为内镜清洗工作站运行的实际注气、注液时间，为真实清洗数据，非虚拟信号。</w:t>
            </w:r>
          </w:p>
        </w:tc>
      </w:tr>
      <w:tr>
        <w:tblPrEx>
          <w:tblW w:w="5000" w:type="pct"/>
          <w:tblInd w:w="0" w:type="dxa"/>
          <w:tblLayout w:type="fixed"/>
          <w:tblCellMar>
            <w:top w:w="0" w:type="dxa"/>
            <w:left w:w="108" w:type="dxa"/>
            <w:bottom w:w="0" w:type="dxa"/>
            <w:right w:w="108" w:type="dxa"/>
          </w:tblCellMar>
        </w:tblPrEx>
        <w:trPr>
          <w:trHeight w:val="440"/>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4.各清洗流程，系统自动监控、智能感知、自动记录、无需人为操作，对所有的操作进行追踪、记录、分类、统计，并在一个工作平台进行展示。</w:t>
            </w:r>
          </w:p>
        </w:tc>
      </w:tr>
      <w:tr>
        <w:tblPrEx>
          <w:tblW w:w="5000" w:type="pct"/>
          <w:tblInd w:w="0" w:type="dxa"/>
          <w:tblLayout w:type="fixed"/>
          <w:tblCellMar>
            <w:top w:w="0" w:type="dxa"/>
            <w:left w:w="108" w:type="dxa"/>
            <w:bottom w:w="0" w:type="dxa"/>
            <w:right w:w="108" w:type="dxa"/>
          </w:tblCellMar>
        </w:tblPrEx>
        <w:trPr>
          <w:trHeight w:val="90"/>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b/>
                <w:bCs/>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5.▲采用专用语音提示装置，所有流程操作语音提示，异常操作自动给予预警，采用阳性病人使用预警、未达到规定清洗时间拿出预警、使用前消毒不合格内镜预警的三重预警，防范感染风险（提供</w:t>
            </w:r>
            <w:r>
              <w:rPr>
                <w:rFonts w:ascii="仿宋_GB2312" w:eastAsia="仿宋_GB2312" w:hAnsi="仿宋_GB2312" w:cs="仿宋_GB2312" w:hint="eastAsia"/>
                <w:b/>
                <w:bCs/>
                <w:color w:val="FF0000"/>
                <w:kern w:val="2"/>
                <w:sz w:val="21"/>
                <w:szCs w:val="21"/>
                <w:lang w:eastAsia="zh-CN"/>
              </w:rPr>
              <w:t>产品彩页或说明书或技术白皮书佐证</w:t>
            </w:r>
            <w:r>
              <w:rPr>
                <w:rFonts w:ascii="仿宋_GB2312" w:eastAsia="仿宋_GB2312" w:hAnsi="仿宋_GB2312" w:cs="仿宋_GB2312" w:hint="eastAsia"/>
                <w:b/>
                <w:bCs/>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b/>
                <w:bCs/>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6.▲可监测消毒液名称、消毒液使用次数，监测次数，消毒液浓度、操作时间、操作人员等与消毒液有关的信息；可对内镜中心使用的耗材出入库管理、材料盘点、库存查询等功能。可对内镜的终身进行登记管理，记录内镜的购入，维修，维修故障信息，维修操作信息（提供</w:t>
            </w:r>
            <w:r>
              <w:rPr>
                <w:rFonts w:ascii="仿宋_GB2312" w:eastAsia="仿宋_GB2312" w:hAnsi="仿宋_GB2312" w:cs="仿宋_GB2312" w:hint="eastAsia"/>
                <w:b/>
                <w:bCs/>
                <w:color w:val="FF0000"/>
                <w:kern w:val="2"/>
                <w:sz w:val="21"/>
                <w:szCs w:val="21"/>
                <w:lang w:eastAsia="zh-CN"/>
              </w:rPr>
              <w:t>产品彩页或说明书或技术白皮书佐证</w:t>
            </w:r>
            <w:r>
              <w:rPr>
                <w:rFonts w:ascii="仿宋_GB2312" w:eastAsia="仿宋_GB2312" w:hAnsi="仿宋_GB2312" w:cs="仿宋_GB2312" w:hint="eastAsia"/>
                <w:b/>
                <w:bCs/>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740"/>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7.提供内镜中心各工作区域或各工作流程工作量、效率值、内镜使用情况的统计数据；提供链式关联追溯，内镜使用病人可通过该链向上对使用此内镜的病人进行追溯。</w:t>
            </w:r>
          </w:p>
        </w:tc>
      </w:tr>
      <w:tr>
        <w:tblPrEx>
          <w:tblW w:w="5000" w:type="pct"/>
          <w:tblInd w:w="0" w:type="dxa"/>
          <w:tblLayout w:type="fixed"/>
          <w:tblCellMar>
            <w:top w:w="0" w:type="dxa"/>
            <w:left w:w="108" w:type="dxa"/>
            <w:bottom w:w="0" w:type="dxa"/>
            <w:right w:w="108" w:type="dxa"/>
          </w:tblCellMar>
        </w:tblPrEx>
        <w:trPr>
          <w:trHeight w:val="685"/>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8.每套系统支持客户端同时访问数量和工作站数量大幅提升，避免出现卡顿和延时现象。洗消数据批量导出和查询响应时间更短，用户体验更佳。</w:t>
            </w:r>
          </w:p>
        </w:tc>
      </w:tr>
      <w:tr>
        <w:tblPrEx>
          <w:tblW w:w="5000" w:type="pct"/>
          <w:tblInd w:w="0" w:type="dxa"/>
          <w:tblLayout w:type="fixed"/>
          <w:tblCellMar>
            <w:top w:w="0" w:type="dxa"/>
            <w:left w:w="108" w:type="dxa"/>
            <w:bottom w:w="0" w:type="dxa"/>
            <w:right w:w="108" w:type="dxa"/>
          </w:tblCellMar>
        </w:tblPrEx>
        <w:trPr>
          <w:trHeight w:val="700"/>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9.系统界面更为简洁、智能、人性化，提供可视化的流程状态实时显示，清洗过程一目了然。</w:t>
            </w:r>
          </w:p>
        </w:tc>
      </w:tr>
      <w:tr>
        <w:tblPrEx>
          <w:tblW w:w="5000" w:type="pct"/>
          <w:tblInd w:w="0" w:type="dxa"/>
          <w:tblLayout w:type="fixed"/>
          <w:tblCellMar>
            <w:top w:w="0" w:type="dxa"/>
            <w:left w:w="108" w:type="dxa"/>
            <w:bottom w:w="0" w:type="dxa"/>
            <w:right w:w="108" w:type="dxa"/>
          </w:tblCellMar>
        </w:tblPrEx>
        <w:trPr>
          <w:trHeight w:val="590"/>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10.消毒液监测：消毒液更换、使用次数、浓度的监测结果登记；监测记录针对内镜、洗消槽的消毒进行监测记录及统计</w:t>
            </w:r>
          </w:p>
        </w:tc>
      </w:tr>
      <w:tr>
        <w:tblPrEx>
          <w:tblW w:w="5000" w:type="pct"/>
          <w:tblInd w:w="0" w:type="dxa"/>
          <w:tblLayout w:type="fixed"/>
          <w:tblCellMar>
            <w:top w:w="0" w:type="dxa"/>
            <w:left w:w="108" w:type="dxa"/>
            <w:bottom w:w="0" w:type="dxa"/>
            <w:right w:w="108" w:type="dxa"/>
          </w:tblCellMar>
        </w:tblPrEx>
        <w:trPr>
          <w:trHeight w:val="575"/>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11.▲工作流程包括：测漏、清洗、漂洗、浸泡、末洗、干燥等环节、并支持流程名称自定义；支持内镜二次洗消记录，支持设定超过规定存放时间自动进行二次洗消提醒；系统自动识别或维护阳性病人、肿瘤活检后及HIV 检查呈阳性的病人使用内镜，系统自动切换到特殊清洗作业模式，且语音实时提醒清洗作业人员注意严格操作；系统可根据不同类型内镜，不同洗消流程提供可配置工作流程；支持设定消毒液使用时长提醒和过期报警功能，在工作台界面进行自动提醒支持。（提供</w:t>
            </w:r>
            <w:r>
              <w:rPr>
                <w:rFonts w:ascii="仿宋_GB2312" w:eastAsia="仿宋_GB2312" w:hAnsi="仿宋_GB2312" w:cs="仿宋_GB2312" w:hint="eastAsia"/>
                <w:b/>
                <w:bCs/>
                <w:color w:val="FF0000"/>
                <w:kern w:val="2"/>
                <w:sz w:val="21"/>
                <w:szCs w:val="21"/>
                <w:lang w:eastAsia="zh-CN"/>
              </w:rPr>
              <w:t>产品彩页或说明书或技术白皮书佐证</w:t>
            </w:r>
            <w:r>
              <w:rPr>
                <w:rFonts w:ascii="仿宋_GB2312" w:eastAsia="仿宋_GB2312" w:hAnsi="仿宋_GB2312" w:cs="仿宋_GB2312" w:hint="eastAsia"/>
                <w:b/>
                <w:bCs/>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620"/>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12.提供可视化的流程状态实时显示，标准化的流程操作提示，系统支持各个环节异常操作系统实时记录，支持手动进行流程环节异常情况登记，支持根据国家规范每天最后使用的内镜进行完结清洗，并进行语言提示</w:t>
            </w:r>
          </w:p>
        </w:tc>
      </w:tr>
      <w:tr>
        <w:tblPrEx>
          <w:tblW w:w="5000" w:type="pct"/>
          <w:tblInd w:w="0" w:type="dxa"/>
          <w:tblLayout w:type="fixed"/>
          <w:tblCellMar>
            <w:top w:w="0" w:type="dxa"/>
            <w:left w:w="108" w:type="dxa"/>
            <w:bottom w:w="0" w:type="dxa"/>
            <w:right w:w="108" w:type="dxa"/>
          </w:tblCellMar>
        </w:tblPrEx>
        <w:trPr>
          <w:trHeight w:val="665"/>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 xml:space="preserve">13.预置各用户角色（医生、护士、洗消人员、系统管理员）权限，权限模块化，提供信息录入管理及RFID卡的绑定功能； </w:t>
            </w:r>
          </w:p>
        </w:tc>
      </w:tr>
      <w:tr>
        <w:tblPrEx>
          <w:tblW w:w="5000" w:type="pct"/>
          <w:tblInd w:w="0" w:type="dxa"/>
          <w:tblLayout w:type="fixed"/>
          <w:tblCellMar>
            <w:top w:w="0" w:type="dxa"/>
            <w:left w:w="108" w:type="dxa"/>
            <w:bottom w:w="0" w:type="dxa"/>
            <w:right w:w="108" w:type="dxa"/>
          </w:tblCellMar>
        </w:tblPrEx>
        <w:trPr>
          <w:trHeight w:val="603"/>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14.▲各流程环节洗消人员工作量统计，洗消数据和使用数据统计和环比数据分析，病人使用检查详细记录查询，清洗和使用记录查询，支持批量到处Excel文件工作明细统计。各流程环节详细工作量统计、质量分析、效率分析数据，支持按条件组合查询。（提供</w:t>
            </w:r>
            <w:r>
              <w:rPr>
                <w:rFonts w:ascii="仿宋_GB2312" w:eastAsia="仿宋_GB2312" w:hAnsi="仿宋_GB2312" w:cs="仿宋_GB2312" w:hint="eastAsia"/>
                <w:b/>
                <w:bCs/>
                <w:color w:val="FF0000"/>
                <w:kern w:val="2"/>
                <w:sz w:val="21"/>
                <w:szCs w:val="21"/>
                <w:lang w:eastAsia="zh-CN"/>
              </w:rPr>
              <w:t>产品彩页或说明书或技术白皮书佐证</w:t>
            </w:r>
            <w:r>
              <w:rPr>
                <w:rFonts w:ascii="仿宋_GB2312" w:eastAsia="仿宋_GB2312" w:hAnsi="仿宋_GB2312" w:cs="仿宋_GB2312" w:hint="eastAsia"/>
                <w:b/>
                <w:bCs/>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785"/>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15.支持病人使用的内镜使用前和使用后的内镜洗消过程明细查询，可对内镜历次循环信息进行前后关联，显示每个循环过程内镜的消毒和使用信息感染追溯；支持对洗消流程进行追溯，找出与感染最可疑的流程点，进行优化患者追溯，可追溯患者在院内使用过的历次内镜信息、使用时间、检查医生及相关清洗消毒信息；支持操作人员所有洗消记录，洗消结果、异常情况详细追溯</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设备追溯；支持追溯清洗工作站，全自动清洗机设备使用次数，历次使用设备详细运行参数等信息。</w:t>
            </w:r>
          </w:p>
        </w:tc>
      </w:tr>
      <w:tr>
        <w:tblPrEx>
          <w:tblW w:w="5000" w:type="pct"/>
          <w:tblInd w:w="0" w:type="dxa"/>
          <w:tblLayout w:type="fixed"/>
          <w:tblCellMar>
            <w:top w:w="0" w:type="dxa"/>
            <w:left w:w="108" w:type="dxa"/>
            <w:bottom w:w="0" w:type="dxa"/>
            <w:right w:w="108" w:type="dxa"/>
          </w:tblCellMar>
        </w:tblPrEx>
        <w:trPr>
          <w:trHeight w:val="90"/>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r>
              <w:rPr>
                <w:rFonts w:ascii="仿宋_GB2312" w:eastAsia="仿宋_GB2312" w:hAnsi="仿宋_GB2312" w:cs="仿宋_GB2312" w:hint="eastAsia"/>
                <w:color w:val="000000"/>
                <w:kern w:val="2"/>
                <w:sz w:val="21"/>
                <w:szCs w:val="21"/>
                <w:lang w:eastAsia="zh-CN"/>
              </w:rPr>
              <w:t>16.系统支持与医院 HIS、PACS 等系统进行对接获取患者信息关联病人，非接口情况下，系统提供病人信息录入，关联内镜实现内镜信息与病人信息的关联，阳性病人，使用端可以进行记录并保存，使用端可直接查看内镜在清洗环节各个流程的清洗记录及清洗结果是否合格。</w:t>
            </w:r>
          </w:p>
        </w:tc>
      </w:tr>
      <w:tr>
        <w:tblPrEx>
          <w:tblW w:w="5000" w:type="pct"/>
          <w:tblInd w:w="0" w:type="dxa"/>
          <w:tblLayout w:type="fixed"/>
          <w:tblCellMar>
            <w:top w:w="0" w:type="dxa"/>
            <w:left w:w="108" w:type="dxa"/>
            <w:bottom w:w="0" w:type="dxa"/>
            <w:right w:w="108" w:type="dxa"/>
          </w:tblCellMar>
        </w:tblPrEx>
        <w:trPr>
          <w:trHeight w:val="1025"/>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17.▲支持耗材名称、种类、规格、有效期、供应商维护管理；支持耗材入库登记及入库记录查询功能，支持耗材出库登记及出库记录查询，支持耗材库存盘点及盘点记录查询（提供系统操作界面截图，需清晰佐证上述耗材信息维护、入库/出库登记及查询、库存盘点及查询等核心功能的实际可用性）。</w:t>
            </w:r>
          </w:p>
        </w:tc>
      </w:tr>
      <w:tr>
        <w:tblPrEx>
          <w:tblW w:w="5000" w:type="pct"/>
          <w:tblInd w:w="0" w:type="dxa"/>
          <w:tblLayout w:type="fixed"/>
          <w:tblCellMar>
            <w:top w:w="0" w:type="dxa"/>
            <w:left w:w="108" w:type="dxa"/>
            <w:bottom w:w="0" w:type="dxa"/>
            <w:right w:w="108" w:type="dxa"/>
          </w:tblCellMar>
        </w:tblPrEx>
        <w:trPr>
          <w:trHeight w:val="90"/>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18.系统预置多种用户角色权限，支持精细化模块权限管理，支持自定义角色功能，可由用户自行定义角色，并且分配自定义角色的明细权限；支持内镜名称、内镜种类、内镜型号、内镜编号维护管理，并支持内镜清洗流程配置；支持镜柜名称、房间号维护管理，系统基数数据管理，知识库管理，操作日志等后台操作模块管理；支持不同使用病人，不同类型内镜洗消流程自定义化配置，</w:t>
            </w:r>
          </w:p>
        </w:tc>
      </w:tr>
      <w:tr>
        <w:tblPrEx>
          <w:tblW w:w="5000" w:type="pct"/>
          <w:tblInd w:w="0" w:type="dxa"/>
          <w:tblLayout w:type="fixed"/>
          <w:tblCellMar>
            <w:top w:w="0" w:type="dxa"/>
            <w:left w:w="108" w:type="dxa"/>
            <w:bottom w:w="0" w:type="dxa"/>
            <w:right w:w="108" w:type="dxa"/>
          </w:tblCellMar>
        </w:tblPrEx>
        <w:trPr>
          <w:trHeight w:val="395"/>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19.内镜工作站的新增洗消流程配置功能，可实时显示每个点位的工作状态，在第三方清洗机厂家开放接口的前提下，支持硬件对接。可实时显示内镜存储柜的温度、湿度、压差和内镜存储数量、存储明细等信息，支持出入柜记录的查看。内镜信息的录入和管理，支持查看内镜实时状态和内镜使用总次数。</w:t>
            </w:r>
          </w:p>
        </w:tc>
      </w:tr>
      <w:tr>
        <w:tblPrEx>
          <w:tblW w:w="5000" w:type="pct"/>
          <w:tblInd w:w="0" w:type="dxa"/>
          <w:tblLayout w:type="fixed"/>
          <w:tblCellMar>
            <w:top w:w="0" w:type="dxa"/>
            <w:left w:w="108" w:type="dxa"/>
            <w:bottom w:w="0" w:type="dxa"/>
            <w:right w:w="108" w:type="dxa"/>
          </w:tblCellMar>
        </w:tblPrEx>
        <w:trPr>
          <w:trHeight w:val="395"/>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20.大屏展示内容：内镜洗消信息实时显示，内镜使用总数概览、使用量排名。内镜使用和洗消量图表统计和展示，洗消程序偏好统计等功能。实时显示工作站当天的洗消数据、内镜状态、工作站和储镜柜的设备状态和温湿度、压差等信息。设备数量信息概览实时显示每个监测点位的当前温度、湿度数据和每个点位的温湿度变化曲线。</w:t>
            </w:r>
          </w:p>
        </w:tc>
      </w:tr>
      <w:tr>
        <w:tblPrEx>
          <w:tblW w:w="5000" w:type="pct"/>
          <w:tblInd w:w="0" w:type="dxa"/>
          <w:tblLayout w:type="fixed"/>
          <w:tblCellMar>
            <w:top w:w="0" w:type="dxa"/>
            <w:left w:w="108" w:type="dxa"/>
            <w:bottom w:w="0" w:type="dxa"/>
            <w:right w:w="108" w:type="dxa"/>
          </w:tblCellMar>
        </w:tblPrEx>
        <w:trPr>
          <w:trHeight w:val="3082"/>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7164"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★配置清单</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追</w:t>
            </w:r>
            <w:r>
              <w:rPr>
                <w:rFonts w:ascii="仿宋_GB2312" w:eastAsia="仿宋_GB2312" w:hAnsi="仿宋_GB2312" w:cs="仿宋_GB2312" w:hint="eastAsia"/>
                <w:bCs/>
                <w:kern w:val="2"/>
                <w:sz w:val="21"/>
                <w:szCs w:val="21"/>
                <w:lang w:eastAsia="zh-CN"/>
              </w:rPr>
              <w:t>溯</w:t>
            </w:r>
            <w:r>
              <w:rPr>
                <w:rFonts w:ascii="仿宋_GB2312" w:eastAsia="仿宋_GB2312" w:hAnsi="仿宋_GB2312" w:cs="仿宋_GB2312" w:hint="eastAsia"/>
                <w:color w:val="000000"/>
                <w:kern w:val="2"/>
                <w:sz w:val="21"/>
                <w:szCs w:val="21"/>
                <w:lang w:eastAsia="zh-CN"/>
              </w:rPr>
              <w:t>管理软件                    3套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工作站主机                      3台</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医用显示器                      3台</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医用显示屏                      1台</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摄像头                          3个</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路由器                          3个</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内镜机身读卡器                  100个</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人员ID读卡器                   50个</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槽内读卡器                      40个</w:t>
            </w:r>
          </w:p>
        </w:tc>
      </w:tr>
    </w:tbl>
    <w:p>
      <w:pPr>
        <w:widowControl w:val="0"/>
        <w:spacing w:after="160" w:line="259" w:lineRule="auto"/>
        <w:jc w:val="both"/>
        <w:rPr>
          <w:rFonts w:eastAsia="宋体"/>
          <w:b/>
          <w:kern w:val="2"/>
          <w:sz w:val="21"/>
          <w:szCs w:val="21"/>
          <w:lang w:eastAsia="zh-CN"/>
        </w:rPr>
      </w:pPr>
    </w:p>
    <w:p>
      <w:pPr>
        <w:keepNext/>
        <w:keepLines/>
        <w:widowControl w:val="0"/>
        <w:adjustRightInd w:val="0"/>
        <w:spacing w:before="156" w:beforeLines="50" w:after="156" w:afterLines="50" w:line="240" w:lineRule="auto"/>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五、商务要求</w:t>
      </w:r>
    </w:p>
    <w:p>
      <w:pPr>
        <w:widowControl w:val="0"/>
        <w:spacing w:after="160" w:line="259" w:lineRule="auto"/>
        <w:ind w:firstLine="420" w:firstLineChars="200"/>
        <w:jc w:val="both"/>
        <w:rPr>
          <w:rFonts w:eastAsia="宋体"/>
          <w:b/>
          <w:kern w:val="2"/>
          <w:sz w:val="21"/>
          <w:lang w:eastAsia="zh-CN"/>
        </w:rPr>
      </w:pPr>
      <w:r>
        <w:rPr>
          <w:rFonts w:eastAsia="宋体" w:hint="eastAsia"/>
          <w:b/>
          <w:kern w:val="2"/>
          <w:sz w:val="21"/>
          <w:szCs w:val="21"/>
          <w:lang w:eastAsia="zh-CN"/>
        </w:rPr>
        <w:t>说明：</w:t>
      </w:r>
      <w:r>
        <w:rPr>
          <w:rFonts w:eastAsia="宋体"/>
          <w:b/>
          <w:kern w:val="2"/>
          <w:sz w:val="21"/>
          <w:lang w:eastAsia="zh-CN"/>
        </w:rPr>
        <w:t>1</w:t>
      </w:r>
      <w:r>
        <w:rPr>
          <w:rFonts w:eastAsia="宋体" w:hint="eastAsia"/>
          <w:b/>
          <w:kern w:val="2"/>
          <w:sz w:val="21"/>
          <w:lang w:eastAsia="zh-CN"/>
        </w:rPr>
        <w:t>、评分时，如对一项招标商务要求（以划分框为准）中的内容存在两处（或以上）负偏离的，在评分时只作一项负偏离扣分。</w:t>
      </w:r>
    </w:p>
    <w:p>
      <w:pPr>
        <w:widowControl w:val="0"/>
        <w:spacing w:after="160" w:line="259" w:lineRule="auto"/>
        <w:ind w:firstLine="420" w:firstLineChars="200"/>
        <w:jc w:val="both"/>
        <w:rPr>
          <w:rFonts w:eastAsia="宋体"/>
          <w:b/>
          <w:kern w:val="2"/>
          <w:sz w:val="21"/>
          <w:szCs w:val="21"/>
          <w:lang w:eastAsia="zh-CN"/>
        </w:rPr>
      </w:pPr>
      <w:r>
        <w:rPr>
          <w:rFonts w:eastAsia="宋体"/>
          <w:b/>
          <w:kern w:val="2"/>
          <w:sz w:val="21"/>
          <w:szCs w:val="21"/>
          <w:lang w:eastAsia="zh-CN"/>
        </w:rPr>
        <w:t>2</w:t>
      </w:r>
      <w:r>
        <w:rPr>
          <w:rFonts w:eastAsia="宋体" w:hint="eastAsia"/>
          <w:b/>
          <w:kern w:val="2"/>
          <w:sz w:val="21"/>
          <w:szCs w:val="21"/>
          <w:lang w:eastAsia="zh-CN"/>
        </w:rPr>
        <w:t>、带★号条款为不可偏离条款，不作为评分准则中的评分内容，如未响应或出现负偏离的，将作投标无效处理；带“</w:t>
      </w:r>
      <w:r>
        <w:rPr>
          <w:rFonts w:eastAsia="宋体"/>
          <w:kern w:val="2"/>
          <w:sz w:val="21"/>
          <w:lang w:eastAsia="zh-CN"/>
        </w:rPr>
        <w:t>▲</w:t>
      </w:r>
      <w:r>
        <w:rPr>
          <w:rFonts w:eastAsia="宋体" w:hint="eastAsia"/>
          <w:b/>
          <w:kern w:val="2"/>
          <w:sz w:val="21"/>
          <w:szCs w:val="21"/>
          <w:lang w:eastAsia="zh-CN"/>
        </w:rPr>
        <w:t>”指标项为重要参数，负偏离时依相关评分准则内容作重点扣分处理。</w:t>
      </w:r>
    </w:p>
    <w:tbl>
      <w:tblPr>
        <w:tblStyle w:val="TableNormal"/>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91"/>
        <w:gridCol w:w="1701"/>
        <w:gridCol w:w="5730"/>
      </w:tblGrid>
      <w:tr>
        <w:tblPrEx>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112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
                <w:kern w:val="2"/>
                <w:sz w:val="21"/>
                <w:szCs w:val="21"/>
                <w:lang w:eastAsia="zh-CN"/>
              </w:rPr>
            </w:pPr>
            <w:r>
              <w:rPr>
                <w:rFonts w:ascii="仿宋_GB2312" w:eastAsia="仿宋_GB2312" w:hAnsi="仿宋_GB2312" w:cs="仿宋_GB2312" w:hint="eastAsia"/>
                <w:b/>
                <w:kern w:val="2"/>
                <w:sz w:val="21"/>
                <w:szCs w:val="21"/>
                <w:lang w:eastAsia="zh-CN"/>
              </w:rPr>
              <w:t>序号</w:t>
            </w:r>
          </w:p>
        </w:tc>
        <w:tc>
          <w:tcPr>
            <w:tcW w:w="1757"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
                <w:kern w:val="2"/>
                <w:sz w:val="21"/>
                <w:szCs w:val="21"/>
                <w:lang w:eastAsia="zh-CN"/>
              </w:rPr>
            </w:pPr>
            <w:r>
              <w:rPr>
                <w:rFonts w:ascii="仿宋_GB2312" w:eastAsia="仿宋_GB2312" w:hAnsi="仿宋_GB2312" w:cs="仿宋_GB2312" w:hint="eastAsia"/>
                <w:b/>
                <w:kern w:val="2"/>
                <w:sz w:val="21"/>
                <w:szCs w:val="21"/>
                <w:lang w:eastAsia="zh-CN"/>
              </w:rPr>
              <w:t>目录</w:t>
            </w:r>
          </w:p>
        </w:tc>
        <w:tc>
          <w:tcPr>
            <w:tcW w:w="5940"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
                <w:kern w:val="2"/>
                <w:sz w:val="21"/>
                <w:szCs w:val="21"/>
                <w:lang w:eastAsia="zh-CN"/>
              </w:rPr>
            </w:pPr>
            <w:r>
              <w:rPr>
                <w:rFonts w:ascii="仿宋_GB2312" w:eastAsia="仿宋_GB2312" w:hAnsi="仿宋_GB2312" w:cs="仿宋_GB2312" w:hint="eastAsia"/>
                <w:b/>
                <w:kern w:val="2"/>
                <w:sz w:val="21"/>
                <w:szCs w:val="21"/>
                <w:lang w:eastAsia="zh-CN"/>
              </w:rPr>
              <w:t>商务要求</w:t>
            </w:r>
          </w:p>
        </w:tc>
      </w:tr>
      <w:tr>
        <w:tblPrEx>
          <w:tblW w:w="5000" w:type="pct"/>
          <w:tblInd w:w="108" w:type="dxa"/>
          <w:tblLayout w:type="fixed"/>
          <w:tblCellMar>
            <w:top w:w="0" w:type="dxa"/>
            <w:left w:w="108" w:type="dxa"/>
            <w:bottom w:w="0" w:type="dxa"/>
            <w:right w:w="108" w:type="dxa"/>
          </w:tblCellMar>
        </w:tblPrEx>
        <w:trPr>
          <w:trHeight w:val="280"/>
        </w:trPr>
        <w:tc>
          <w:tcPr>
            <w:tcW w:w="8820" w:type="dxa"/>
            <w:gridSpan w:val="3"/>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
                <w:kern w:val="2"/>
                <w:sz w:val="21"/>
                <w:szCs w:val="21"/>
                <w:lang w:eastAsia="zh-CN"/>
              </w:rPr>
            </w:pPr>
            <w:r>
              <w:rPr>
                <w:rFonts w:ascii="仿宋_GB2312" w:eastAsia="仿宋_GB2312" w:hAnsi="仿宋_GB2312" w:cs="仿宋_GB2312" w:hint="eastAsia"/>
                <w:b/>
                <w:kern w:val="2"/>
                <w:sz w:val="21"/>
                <w:szCs w:val="21"/>
                <w:lang w:eastAsia="zh-CN"/>
              </w:rPr>
              <w:t>（一）免费保修期内售后服务要求</w:t>
            </w:r>
          </w:p>
        </w:tc>
      </w:tr>
      <w:tr>
        <w:tblPrEx>
          <w:tblW w:w="5000" w:type="pct"/>
          <w:tblInd w:w="108" w:type="dxa"/>
          <w:tblLayout w:type="fixed"/>
          <w:tblCellMar>
            <w:top w:w="0" w:type="dxa"/>
            <w:left w:w="108" w:type="dxa"/>
            <w:bottom w:w="0" w:type="dxa"/>
            <w:right w:w="108" w:type="dxa"/>
          </w:tblCellMar>
        </w:tblPrEx>
        <w:trPr>
          <w:trHeight w:val="320"/>
        </w:trPr>
        <w:tc>
          <w:tcPr>
            <w:tcW w:w="1123" w:type="dxa"/>
            <w:vMerge w:val="restart"/>
            <w:tcBorders>
              <w:top w:val="single" w:sz="4" w:space="0" w:color="auto"/>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1</w:t>
            </w:r>
          </w:p>
        </w:tc>
        <w:tc>
          <w:tcPr>
            <w:tcW w:w="1757" w:type="dxa"/>
            <w:vMerge w:val="restart"/>
            <w:tcBorders>
              <w:top w:val="single" w:sz="4" w:space="0" w:color="auto"/>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维修响应及故障解决时间</w:t>
            </w: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
                <w:kern w:val="2"/>
                <w:sz w:val="21"/>
                <w:szCs w:val="21"/>
                <w:lang w:eastAsia="zh-CN"/>
              </w:rPr>
            </w:pPr>
            <w:r>
              <w:rPr>
                <w:rFonts w:ascii="仿宋_GB2312" w:eastAsia="仿宋_GB2312" w:hAnsi="仿宋_GB2312" w:cs="仿宋_GB2312" w:hint="eastAsia"/>
                <w:bCs/>
                <w:color w:val="000000"/>
                <w:kern w:val="2"/>
                <w:sz w:val="21"/>
                <w:szCs w:val="21"/>
                <w:lang w:eastAsia="zh-CN"/>
              </w:rPr>
              <w:t>1.1免费保修期内，一旦发生质量问题，中标人保证接到通知</w:t>
            </w:r>
            <w:r>
              <w:rPr>
                <w:rFonts w:ascii="仿宋_GB2312" w:eastAsia="仿宋_GB2312" w:hAnsi="仿宋_GB2312" w:cs="仿宋_GB2312" w:hint="eastAsia"/>
                <w:bCs/>
                <w:color w:val="000000"/>
                <w:kern w:val="2"/>
                <w:sz w:val="21"/>
                <w:szCs w:val="21"/>
                <w:u w:val="single"/>
                <w:lang w:eastAsia="zh-CN"/>
              </w:rPr>
              <w:t>后2</w:t>
            </w:r>
            <w:r>
              <w:rPr>
                <w:rFonts w:ascii="仿宋_GB2312" w:eastAsia="仿宋_GB2312" w:hAnsi="仿宋_GB2312" w:cs="仿宋_GB2312" w:hint="eastAsia"/>
                <w:bCs/>
                <w:color w:val="000000"/>
                <w:kern w:val="2"/>
                <w:sz w:val="21"/>
                <w:szCs w:val="21"/>
                <w:lang w:eastAsia="zh-CN"/>
              </w:rPr>
              <w:t>小时响应，</w:t>
            </w:r>
            <w:r>
              <w:rPr>
                <w:rFonts w:ascii="仿宋_GB2312" w:eastAsia="仿宋_GB2312" w:hAnsi="仿宋_GB2312" w:cs="仿宋_GB2312" w:hint="eastAsia"/>
                <w:bCs/>
                <w:color w:val="000000"/>
                <w:kern w:val="2"/>
                <w:sz w:val="21"/>
                <w:szCs w:val="21"/>
                <w:u w:val="single"/>
                <w:lang w:eastAsia="zh-CN"/>
              </w:rPr>
              <w:t>12</w:t>
            </w:r>
            <w:r>
              <w:rPr>
                <w:rFonts w:ascii="仿宋_GB2312" w:eastAsia="仿宋_GB2312" w:hAnsi="仿宋_GB2312" w:cs="仿宋_GB2312" w:hint="eastAsia"/>
                <w:bCs/>
                <w:color w:val="000000"/>
                <w:kern w:val="2"/>
                <w:sz w:val="21"/>
                <w:szCs w:val="21"/>
                <w:lang w:eastAsia="zh-CN"/>
              </w:rPr>
              <w:t>小时到场维修，无法现场完成维修的，需 24 小时内提供可使用的备用机替代，确保临床工作顺利进行。</w:t>
            </w:r>
          </w:p>
        </w:tc>
      </w:tr>
      <w:tr>
        <w:tblPrEx>
          <w:tblW w:w="5000" w:type="pct"/>
          <w:tblInd w:w="108" w:type="dxa"/>
          <w:tblLayout w:type="fixed"/>
          <w:tblCellMar>
            <w:top w:w="0" w:type="dxa"/>
            <w:left w:w="108" w:type="dxa"/>
            <w:bottom w:w="0" w:type="dxa"/>
            <w:right w:w="108" w:type="dxa"/>
          </w:tblCellMar>
        </w:tblPrEx>
        <w:trPr>
          <w:trHeight w:val="320"/>
        </w:trPr>
        <w:tc>
          <w:tcPr>
            <w:tcW w:w="1123" w:type="dxa"/>
            <w:vMerge/>
            <w:tcBorders>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p>
        </w:tc>
        <w:tc>
          <w:tcPr>
            <w:tcW w:w="1757" w:type="dxa"/>
            <w:vMerge/>
            <w:tcBorders>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color w:val="000000"/>
                <w:kern w:val="2"/>
                <w:sz w:val="21"/>
                <w:szCs w:val="21"/>
                <w:lang w:eastAsia="zh-CN"/>
              </w:rPr>
            </w:pPr>
            <w:r>
              <w:rPr>
                <w:rFonts w:ascii="仿宋_GB2312" w:eastAsia="仿宋_GB2312" w:hAnsi="仿宋_GB2312" w:cs="仿宋_GB2312" w:hint="eastAsia"/>
                <w:bCs/>
                <w:color w:val="000000"/>
                <w:kern w:val="2"/>
                <w:sz w:val="21"/>
                <w:szCs w:val="21"/>
                <w:lang w:eastAsia="zh-CN"/>
              </w:rPr>
              <w:t>1.2按需及时更换零配件，不需要更换配件的情况下4小时内修复；需要更换配件的情况下，按采购人要求提供备用机。单次故障停机修复时间不得超过3天，每超1天，顺延保修期3天。</w:t>
            </w:r>
          </w:p>
        </w:tc>
      </w:tr>
      <w:tr>
        <w:tblPrEx>
          <w:tblW w:w="5000" w:type="pct"/>
          <w:tblInd w:w="108" w:type="dxa"/>
          <w:tblLayout w:type="fixed"/>
          <w:tblCellMar>
            <w:top w:w="0" w:type="dxa"/>
            <w:left w:w="108" w:type="dxa"/>
            <w:bottom w:w="0" w:type="dxa"/>
            <w:right w:w="108" w:type="dxa"/>
          </w:tblCellMar>
        </w:tblPrEx>
        <w:trPr>
          <w:trHeight w:val="320"/>
        </w:trPr>
        <w:tc>
          <w:tcPr>
            <w:tcW w:w="1123" w:type="dxa"/>
            <w:vMerge/>
            <w:tcBorders>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p>
        </w:tc>
        <w:tc>
          <w:tcPr>
            <w:tcW w:w="1757" w:type="dxa"/>
            <w:vMerge/>
            <w:tcBorders>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color w:val="000000"/>
                <w:kern w:val="2"/>
                <w:sz w:val="21"/>
                <w:szCs w:val="21"/>
                <w:lang w:eastAsia="zh-CN"/>
              </w:rPr>
            </w:pPr>
            <w:r>
              <w:rPr>
                <w:rFonts w:ascii="仿宋_GB2312" w:eastAsia="仿宋_GB2312" w:hAnsi="仿宋_GB2312" w:cs="仿宋_GB2312" w:hint="eastAsia"/>
                <w:bCs/>
                <w:color w:val="000000"/>
                <w:kern w:val="2"/>
                <w:sz w:val="21"/>
                <w:szCs w:val="21"/>
                <w:lang w:eastAsia="zh-CN"/>
              </w:rPr>
              <w:t>1.3如果国内没有配件需要从国外发货的情况下，单次故障停机修复时间不得超过15天（需提供海关报关单等证明材料），每超1天，顺延保修期3天。</w:t>
            </w:r>
          </w:p>
        </w:tc>
      </w:tr>
      <w:tr>
        <w:tblPrEx>
          <w:tblW w:w="5000" w:type="pct"/>
          <w:tblInd w:w="108" w:type="dxa"/>
          <w:tblLayout w:type="fixed"/>
          <w:tblCellMar>
            <w:top w:w="0" w:type="dxa"/>
            <w:left w:w="108" w:type="dxa"/>
            <w:bottom w:w="0" w:type="dxa"/>
            <w:right w:w="108" w:type="dxa"/>
          </w:tblCellMar>
        </w:tblPrEx>
        <w:trPr>
          <w:trHeight w:val="320"/>
        </w:trPr>
        <w:tc>
          <w:tcPr>
            <w:tcW w:w="1123" w:type="dxa"/>
            <w:vMerge/>
            <w:tcBorders>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p>
        </w:tc>
        <w:tc>
          <w:tcPr>
            <w:tcW w:w="1757" w:type="dxa"/>
            <w:vMerge/>
            <w:tcBorders>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color w:val="000000"/>
                <w:kern w:val="2"/>
                <w:sz w:val="21"/>
                <w:szCs w:val="21"/>
                <w:lang w:eastAsia="zh-CN"/>
              </w:rPr>
            </w:pPr>
            <w:r>
              <w:rPr>
                <w:rFonts w:ascii="仿宋_GB2312" w:eastAsia="仿宋_GB2312" w:hAnsi="仿宋_GB2312" w:cs="仿宋_GB2312" w:hint="eastAsia"/>
                <w:bCs/>
                <w:color w:val="000000"/>
                <w:kern w:val="2"/>
                <w:sz w:val="21"/>
                <w:szCs w:val="21"/>
                <w:lang w:eastAsia="zh-CN"/>
              </w:rPr>
              <w:t>1.4以上维修每迟一天，中标人向采购人支付由于设备故障所造成的采购人实际经济损失。保修期内的设备如不能现场进行维修需要运送的，更换维修地点的所有费用包括但不限于包装、运输费用等均由中标人负责。</w:t>
            </w:r>
          </w:p>
        </w:tc>
      </w:tr>
      <w:tr>
        <w:tblPrEx>
          <w:tblW w:w="5000" w:type="pct"/>
          <w:tblInd w:w="108" w:type="dxa"/>
          <w:tblLayout w:type="fixed"/>
          <w:tblCellMar>
            <w:top w:w="0" w:type="dxa"/>
            <w:left w:w="108" w:type="dxa"/>
            <w:bottom w:w="0" w:type="dxa"/>
            <w:right w:w="108" w:type="dxa"/>
          </w:tblCellMar>
        </w:tblPrEx>
        <w:trPr>
          <w:trHeight w:val="320"/>
        </w:trPr>
        <w:tc>
          <w:tcPr>
            <w:tcW w:w="112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2</w:t>
            </w:r>
          </w:p>
        </w:tc>
        <w:tc>
          <w:tcPr>
            <w:tcW w:w="1757"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bCs/>
                <w:kern w:val="2"/>
                <w:sz w:val="21"/>
                <w:szCs w:val="21"/>
                <w:lang w:eastAsia="zh-CN"/>
              </w:rPr>
              <w:t>★</w:t>
            </w:r>
            <w:r>
              <w:rPr>
                <w:rFonts w:ascii="仿宋_GB2312" w:eastAsia="仿宋_GB2312" w:hAnsi="仿宋_GB2312" w:cs="仿宋_GB2312" w:hint="eastAsia"/>
                <w:kern w:val="2"/>
                <w:sz w:val="21"/>
                <w:szCs w:val="21"/>
                <w:lang w:eastAsia="zh-CN"/>
              </w:rPr>
              <w:t>关于免费保修期</w:t>
            </w: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2.1中标人提供为期</w:t>
            </w:r>
            <w:r>
              <w:rPr>
                <w:rFonts w:ascii="仿宋_GB2312" w:eastAsia="仿宋_GB2312" w:hAnsi="仿宋_GB2312" w:cs="仿宋_GB2312" w:hint="eastAsia"/>
                <w:bCs/>
                <w:kern w:val="2"/>
                <w:sz w:val="21"/>
                <w:szCs w:val="21"/>
                <w:u w:val="single"/>
                <w:lang w:eastAsia="zh-CN"/>
              </w:rPr>
              <w:t>5</w:t>
            </w:r>
            <w:r>
              <w:rPr>
                <w:rFonts w:ascii="仿宋_GB2312" w:eastAsia="仿宋_GB2312" w:hAnsi="仿宋_GB2312" w:cs="仿宋_GB2312" w:hint="eastAsia"/>
                <w:bCs/>
                <w:kern w:val="2"/>
                <w:sz w:val="21"/>
                <w:szCs w:val="21"/>
                <w:lang w:eastAsia="zh-CN"/>
              </w:rPr>
              <w:t>年或以上的原厂免费保修服务，保修期自采购人签署最终验收报告之日起开始计算。</w:t>
            </w:r>
          </w:p>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2.2保修期内更换零配件、软件升级、人工等服务如原厂需收费由中标人承担。</w:t>
            </w:r>
          </w:p>
          <w:p>
            <w:pPr>
              <w:widowControl/>
              <w:tabs>
                <w:tab w:val="left" w:pos="3697"/>
              </w:tabs>
              <w:kinsoku w:val="0"/>
              <w:autoSpaceDE w:val="0"/>
              <w:autoSpaceDN w:val="0"/>
              <w:adjustRightInd w:val="0"/>
              <w:snapToGrid w:val="0"/>
              <w:spacing w:after="160" w:line="259" w:lineRule="auto"/>
              <w:jc w:val="both"/>
              <w:textAlignment w:val="baseline"/>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2.3 在保修期内，中标人应确保设备安全正常运行，年开机率保证在95%以上。因设备故障导致开机率不足95%以上，将做以下处理：</w:t>
            </w:r>
          </w:p>
          <w:p>
            <w:pPr>
              <w:widowControl/>
              <w:tabs>
                <w:tab w:val="left" w:pos="3697"/>
              </w:tabs>
              <w:kinsoku w:val="0"/>
              <w:autoSpaceDE w:val="0"/>
              <w:autoSpaceDN w:val="0"/>
              <w:adjustRightInd w:val="0"/>
              <w:snapToGrid w:val="0"/>
              <w:spacing w:after="160" w:line="259" w:lineRule="auto"/>
              <w:ind w:firstLine="420" w:firstLineChars="200"/>
              <w:jc w:val="both"/>
              <w:textAlignment w:val="baseline"/>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a.年开机率在90%</w:t>
            </w:r>
            <w:r>
              <w:rPr>
                <w:rFonts w:ascii="仿宋_GB2312" w:eastAsia="仿宋_GB2312" w:hAnsi="仿宋_GB2312" w:cs="仿宋_GB2312" w:hint="eastAsia"/>
                <w:bCs/>
                <w:kern w:val="2"/>
                <w:sz w:val="21"/>
                <w:szCs w:val="21"/>
                <w:lang w:eastAsia="zh-CN"/>
              </w:rPr>
              <w:t>（不</w:t>
            </w:r>
            <w:r>
              <w:rPr>
                <w:rFonts w:ascii="仿宋_GB2312" w:eastAsia="仿宋_GB2312" w:hAnsi="仿宋_GB2312" w:cs="仿宋_GB2312" w:hint="eastAsia"/>
                <w:bCs/>
                <w:kern w:val="2"/>
                <w:sz w:val="21"/>
                <w:szCs w:val="21"/>
                <w:lang w:eastAsia="zh-CN"/>
              </w:rPr>
              <w:t>含</w:t>
            </w:r>
            <w:r>
              <w:rPr>
                <w:rFonts w:ascii="仿宋_GB2312" w:eastAsia="仿宋_GB2312" w:hAnsi="仿宋_GB2312" w:cs="仿宋_GB2312" w:hint="eastAsia"/>
                <w:bCs/>
                <w:kern w:val="2"/>
                <w:sz w:val="21"/>
                <w:szCs w:val="21"/>
                <w:lang w:eastAsia="zh-CN"/>
              </w:rPr>
              <w:t>）</w:t>
            </w:r>
            <w:r>
              <w:rPr>
                <w:rFonts w:ascii="仿宋_GB2312" w:eastAsia="仿宋_GB2312" w:hAnsi="仿宋_GB2312" w:cs="仿宋_GB2312" w:hint="eastAsia"/>
                <w:bCs/>
                <w:kern w:val="2"/>
                <w:sz w:val="21"/>
                <w:szCs w:val="21"/>
                <w:lang w:eastAsia="zh-CN"/>
              </w:rPr>
              <w:t>～95%</w:t>
            </w:r>
            <w:r>
              <w:rPr>
                <w:rFonts w:ascii="仿宋_GB2312" w:eastAsia="仿宋_GB2312" w:hAnsi="仿宋_GB2312" w:cs="仿宋_GB2312" w:hint="eastAsia"/>
                <w:bCs/>
                <w:kern w:val="2"/>
                <w:sz w:val="21"/>
                <w:szCs w:val="21"/>
                <w:lang w:eastAsia="zh-CN"/>
              </w:rPr>
              <w:t>（</w:t>
            </w:r>
            <w:r>
              <w:rPr>
                <w:rFonts w:ascii="仿宋_GB2312" w:eastAsia="仿宋_GB2312" w:hAnsi="仿宋_GB2312" w:cs="仿宋_GB2312" w:hint="eastAsia"/>
                <w:bCs/>
                <w:kern w:val="2"/>
                <w:sz w:val="21"/>
                <w:szCs w:val="21"/>
                <w:lang w:eastAsia="zh-CN"/>
              </w:rPr>
              <w:t>含</w:t>
            </w:r>
            <w:r>
              <w:rPr>
                <w:rFonts w:ascii="仿宋_GB2312" w:eastAsia="仿宋_GB2312" w:hAnsi="仿宋_GB2312" w:cs="仿宋_GB2312" w:hint="eastAsia"/>
                <w:bCs/>
                <w:kern w:val="2"/>
                <w:sz w:val="21"/>
                <w:szCs w:val="21"/>
                <w:lang w:eastAsia="zh-CN"/>
              </w:rPr>
              <w:t>）</w:t>
            </w:r>
            <w:r>
              <w:rPr>
                <w:rFonts w:ascii="仿宋_GB2312" w:eastAsia="仿宋_GB2312" w:hAnsi="仿宋_GB2312" w:cs="仿宋_GB2312" w:hint="eastAsia"/>
                <w:bCs/>
                <w:kern w:val="2"/>
                <w:sz w:val="21"/>
                <w:szCs w:val="21"/>
                <w:lang w:eastAsia="zh-CN"/>
              </w:rPr>
              <w:t>之间按一赔二延长保修期；</w:t>
            </w:r>
          </w:p>
          <w:p>
            <w:pPr>
              <w:widowControl/>
              <w:tabs>
                <w:tab w:val="left" w:pos="3697"/>
              </w:tabs>
              <w:kinsoku w:val="0"/>
              <w:autoSpaceDE w:val="0"/>
              <w:autoSpaceDN w:val="0"/>
              <w:adjustRightInd w:val="0"/>
              <w:snapToGrid w:val="0"/>
              <w:spacing w:after="160" w:line="259" w:lineRule="auto"/>
              <w:ind w:firstLine="420" w:firstLineChars="200"/>
              <w:jc w:val="both"/>
              <w:textAlignment w:val="baseline"/>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b.年开机率在85%</w:t>
            </w:r>
            <w:r>
              <w:rPr>
                <w:rFonts w:ascii="仿宋_GB2312" w:eastAsia="仿宋_GB2312" w:hAnsi="仿宋_GB2312" w:cs="仿宋_GB2312" w:hint="eastAsia"/>
                <w:bCs/>
                <w:kern w:val="2"/>
                <w:sz w:val="21"/>
                <w:szCs w:val="21"/>
                <w:lang w:eastAsia="zh-CN"/>
              </w:rPr>
              <w:t>（</w:t>
            </w:r>
            <w:r>
              <w:rPr>
                <w:rFonts w:ascii="仿宋_GB2312" w:eastAsia="仿宋_GB2312" w:hAnsi="仿宋_GB2312" w:cs="仿宋_GB2312" w:hint="eastAsia"/>
                <w:bCs/>
                <w:kern w:val="2"/>
                <w:sz w:val="21"/>
                <w:szCs w:val="21"/>
                <w:lang w:eastAsia="zh-CN"/>
              </w:rPr>
              <w:t>不含</w:t>
            </w:r>
            <w:r>
              <w:rPr>
                <w:rFonts w:ascii="仿宋_GB2312" w:eastAsia="仿宋_GB2312" w:hAnsi="仿宋_GB2312" w:cs="仿宋_GB2312" w:hint="eastAsia"/>
                <w:bCs/>
                <w:kern w:val="2"/>
                <w:sz w:val="21"/>
                <w:szCs w:val="21"/>
                <w:lang w:eastAsia="zh-CN"/>
              </w:rPr>
              <w:t>）</w:t>
            </w:r>
            <w:r>
              <w:rPr>
                <w:rFonts w:ascii="仿宋_GB2312" w:eastAsia="仿宋_GB2312" w:hAnsi="仿宋_GB2312" w:cs="仿宋_GB2312" w:hint="eastAsia"/>
                <w:bCs/>
                <w:kern w:val="2"/>
                <w:sz w:val="21"/>
                <w:szCs w:val="21"/>
                <w:lang w:eastAsia="zh-CN"/>
              </w:rPr>
              <w:t>～90%</w:t>
            </w:r>
            <w:r>
              <w:rPr>
                <w:rFonts w:ascii="仿宋_GB2312" w:eastAsia="仿宋_GB2312" w:hAnsi="仿宋_GB2312" w:cs="仿宋_GB2312" w:hint="eastAsia"/>
                <w:bCs/>
                <w:kern w:val="2"/>
                <w:sz w:val="21"/>
                <w:szCs w:val="21"/>
                <w:lang w:eastAsia="zh-CN"/>
              </w:rPr>
              <w:t>（</w:t>
            </w:r>
            <w:r>
              <w:rPr>
                <w:rFonts w:ascii="仿宋_GB2312" w:eastAsia="仿宋_GB2312" w:hAnsi="仿宋_GB2312" w:cs="仿宋_GB2312" w:hint="eastAsia"/>
                <w:bCs/>
                <w:kern w:val="2"/>
                <w:sz w:val="21"/>
                <w:szCs w:val="21"/>
                <w:lang w:eastAsia="zh-CN"/>
              </w:rPr>
              <w:t>含</w:t>
            </w:r>
            <w:r>
              <w:rPr>
                <w:rFonts w:ascii="仿宋_GB2312" w:eastAsia="仿宋_GB2312" w:hAnsi="仿宋_GB2312" w:cs="仿宋_GB2312" w:hint="eastAsia"/>
                <w:bCs/>
                <w:kern w:val="2"/>
                <w:sz w:val="21"/>
                <w:szCs w:val="21"/>
                <w:lang w:eastAsia="zh-CN"/>
              </w:rPr>
              <w:t>）</w:t>
            </w:r>
            <w:r>
              <w:rPr>
                <w:rFonts w:ascii="仿宋_GB2312" w:eastAsia="仿宋_GB2312" w:hAnsi="仿宋_GB2312" w:cs="仿宋_GB2312" w:hint="eastAsia"/>
                <w:bCs/>
                <w:kern w:val="2"/>
                <w:sz w:val="21"/>
                <w:szCs w:val="21"/>
                <w:lang w:eastAsia="zh-CN"/>
              </w:rPr>
              <w:t>之间按一赔五延长保修期；</w:t>
            </w:r>
          </w:p>
          <w:p>
            <w:pPr>
              <w:widowControl/>
              <w:tabs>
                <w:tab w:val="left" w:pos="3697"/>
              </w:tabs>
              <w:kinsoku w:val="0"/>
              <w:autoSpaceDE w:val="0"/>
              <w:autoSpaceDN w:val="0"/>
              <w:adjustRightInd w:val="0"/>
              <w:snapToGrid w:val="0"/>
              <w:spacing w:after="160" w:line="259" w:lineRule="auto"/>
              <w:ind w:firstLine="420" w:firstLineChars="200"/>
              <w:jc w:val="both"/>
              <w:textAlignment w:val="baseline"/>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c.年开机率低于85%</w:t>
            </w:r>
            <w:r>
              <w:rPr>
                <w:rFonts w:eastAsia="宋体" w:hint="eastAsia"/>
                <w:kern w:val="2"/>
                <w:sz w:val="21"/>
                <w:lang w:eastAsia="zh-CN"/>
              </w:rPr>
              <w:t>（</w:t>
            </w:r>
            <w:r>
              <w:rPr>
                <w:rFonts w:eastAsia="宋体" w:hint="eastAsia"/>
                <w:kern w:val="2"/>
                <w:sz w:val="21"/>
                <w:lang w:eastAsia="zh-CN"/>
              </w:rPr>
              <w:t>含</w:t>
            </w:r>
            <w:r>
              <w:rPr>
                <w:rFonts w:eastAsia="宋体" w:hint="eastAsia"/>
                <w:kern w:val="2"/>
                <w:sz w:val="21"/>
                <w:lang w:eastAsia="zh-CN"/>
              </w:rPr>
              <w:t>）</w:t>
            </w:r>
            <w:r>
              <w:rPr>
                <w:rFonts w:ascii="仿宋_GB2312" w:eastAsia="仿宋_GB2312" w:hAnsi="仿宋_GB2312" w:cs="仿宋_GB2312" w:hint="eastAsia"/>
                <w:bCs/>
                <w:kern w:val="2"/>
                <w:sz w:val="21"/>
                <w:szCs w:val="21"/>
                <w:lang w:eastAsia="zh-CN"/>
              </w:rPr>
              <w:t>，中标人必须无条件更换新机，并重新计算保修期，以及赔偿采购人的直接经济损失和间接经济损失，同时，采购人还有权选择退货处理。</w:t>
            </w:r>
          </w:p>
          <w:p>
            <w:pPr>
              <w:widowControl w:val="0"/>
              <w:spacing w:after="160" w:line="259" w:lineRule="auto"/>
              <w:jc w:val="both"/>
              <w:rPr>
                <w:rFonts w:ascii="仿宋_GB2312" w:eastAsia="仿宋_GB2312" w:hAnsi="仿宋_GB2312" w:cs="仿宋_GB2312"/>
                <w:b/>
                <w:kern w:val="2"/>
                <w:sz w:val="21"/>
                <w:szCs w:val="21"/>
                <w:lang w:eastAsia="zh-CN"/>
              </w:rPr>
            </w:pPr>
            <w:r>
              <w:rPr>
                <w:rFonts w:ascii="仿宋_GB2312" w:eastAsia="仿宋_GB2312" w:hAnsi="仿宋_GB2312" w:cs="仿宋_GB2312" w:hint="eastAsia"/>
                <w:bCs/>
                <w:kern w:val="2"/>
                <w:sz w:val="21"/>
                <w:szCs w:val="21"/>
                <w:lang w:eastAsia="zh-CN"/>
              </w:rPr>
              <w:t>注：年开机率 =（365-停机天数）/365。</w:t>
            </w:r>
          </w:p>
        </w:tc>
      </w:tr>
      <w:tr>
        <w:tblPrEx>
          <w:tblW w:w="5000" w:type="pct"/>
          <w:tblInd w:w="108" w:type="dxa"/>
          <w:tblLayout w:type="fixed"/>
          <w:tblCellMar>
            <w:top w:w="0" w:type="dxa"/>
            <w:left w:w="108" w:type="dxa"/>
            <w:bottom w:w="0" w:type="dxa"/>
            <w:right w:w="108" w:type="dxa"/>
          </w:tblCellMar>
        </w:tblPrEx>
        <w:trPr>
          <w:trHeight w:val="320"/>
        </w:trPr>
        <w:tc>
          <w:tcPr>
            <w:tcW w:w="112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3</w:t>
            </w:r>
          </w:p>
        </w:tc>
        <w:tc>
          <w:tcPr>
            <w:tcW w:w="1757"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备品备件要求</w:t>
            </w:r>
          </w:p>
        </w:tc>
        <w:tc>
          <w:tcPr>
            <w:tcW w:w="5940" w:type="dxa"/>
            <w:tcBorders>
              <w:top w:val="single" w:sz="4" w:space="0" w:color="auto"/>
              <w:left w:val="single" w:sz="4" w:space="0" w:color="auto"/>
              <w:bottom w:val="single" w:sz="4" w:space="0" w:color="auto"/>
              <w:right w:val="single" w:sz="4" w:space="0" w:color="auto"/>
            </w:tcBorders>
          </w:tcPr>
          <w:p>
            <w:pPr>
              <w:widowControl w:val="0"/>
              <w:tabs>
                <w:tab w:val="left" w:pos="3697"/>
              </w:tabs>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 xml:space="preserve">提供专机专用配套试剂及耗材（如有）、主要零配件报价清单。中标人负责设备的终身维修并应继续提供优质的服务，储备足够的零配件备库并保证十年以上维修配件、耗材的正常供应。  </w:t>
            </w:r>
          </w:p>
        </w:tc>
      </w:tr>
      <w:tr>
        <w:tblPrEx>
          <w:tblW w:w="5000" w:type="pct"/>
          <w:tblInd w:w="108" w:type="dxa"/>
          <w:tblLayout w:type="fixed"/>
          <w:tblCellMar>
            <w:top w:w="0" w:type="dxa"/>
            <w:left w:w="108" w:type="dxa"/>
            <w:bottom w:w="0" w:type="dxa"/>
            <w:right w:w="108" w:type="dxa"/>
          </w:tblCellMar>
        </w:tblPrEx>
        <w:trPr>
          <w:trHeight w:val="523"/>
        </w:trPr>
        <w:tc>
          <w:tcPr>
            <w:tcW w:w="112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4</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259" w:lineRule="auto"/>
              <w:jc w:val="center"/>
              <w:rPr>
                <w:rFonts w:ascii="仿宋_GB2312" w:eastAsia="仿宋_GB2312" w:hAnsi="仿宋_GB2312" w:cs="仿宋_GB2312"/>
                <w:b/>
                <w:bCs/>
                <w:color w:val="FF0000"/>
                <w:kern w:val="2"/>
                <w:sz w:val="21"/>
                <w:szCs w:val="21"/>
                <w:lang w:eastAsia="zh-CN"/>
              </w:rPr>
            </w:pPr>
            <w:r>
              <w:rPr>
                <w:rFonts w:ascii="仿宋_GB2312" w:eastAsia="仿宋_GB2312" w:hAnsi="仿宋_GB2312" w:cs="仿宋_GB2312" w:hint="eastAsia"/>
                <w:kern w:val="2"/>
                <w:sz w:val="21"/>
                <w:szCs w:val="21"/>
                <w:lang w:eastAsia="zh-CN"/>
              </w:rPr>
              <w:t>软件升级</w:t>
            </w:r>
            <w:r>
              <w:rPr>
                <w:rFonts w:ascii="仿宋_GB2312" w:eastAsia="仿宋_GB2312" w:hAnsi="仿宋_GB2312" w:cs="仿宋_GB2312" w:hint="eastAsia"/>
                <w:bCs/>
                <w:kern w:val="2"/>
                <w:sz w:val="21"/>
                <w:szCs w:val="21"/>
                <w:lang w:eastAsia="zh-CN"/>
              </w:rPr>
              <w:t>（如有）</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36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十年内免费提供软件升级服务。</w:t>
            </w:r>
          </w:p>
        </w:tc>
      </w:tr>
      <w:tr>
        <w:tblPrEx>
          <w:tblW w:w="5000" w:type="pct"/>
          <w:tblInd w:w="108" w:type="dxa"/>
          <w:tblLayout w:type="fixed"/>
          <w:tblCellMar>
            <w:top w:w="0" w:type="dxa"/>
            <w:left w:w="108" w:type="dxa"/>
            <w:bottom w:w="0" w:type="dxa"/>
            <w:right w:w="108" w:type="dxa"/>
          </w:tblCellMar>
        </w:tblPrEx>
        <w:trPr>
          <w:trHeight w:val="543"/>
        </w:trPr>
        <w:tc>
          <w:tcPr>
            <w:tcW w:w="112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5</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信息化系统</w:t>
            </w:r>
            <w:r>
              <w:rPr>
                <w:rFonts w:ascii="仿宋_GB2312" w:eastAsia="仿宋_GB2312" w:hAnsi="仿宋_GB2312" w:cs="仿宋_GB2312" w:hint="eastAsia"/>
                <w:bCs/>
                <w:kern w:val="2"/>
                <w:sz w:val="21"/>
                <w:szCs w:val="21"/>
                <w:lang w:eastAsia="zh-CN"/>
              </w:rPr>
              <w:t>（如有）</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tabs>
                <w:tab w:val="left" w:pos="3697"/>
              </w:tabs>
              <w:kinsoku w:val="0"/>
              <w:autoSpaceDE w:val="0"/>
              <w:autoSpaceDN w:val="0"/>
              <w:adjustRightInd w:val="0"/>
              <w:snapToGrid w:val="0"/>
              <w:spacing w:after="160" w:line="259" w:lineRule="auto"/>
              <w:jc w:val="both"/>
              <w:textAlignment w:val="baseline"/>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信息化系统要求按招投标文件中条款执行。涉及软件应用的设备，中标人和厂家应配合采购人智慧医院信息化建设。在保修期内，应免费将软件更新、维护并免费提供更新所需的硬件，免费开放软件端口，无偿派人配合与医院信息系统（包括但不限于HIS、PACS、LIS等系统）的连接工作，直至该设备与医院信息系统可进行完整的数据交换；当医院信息系统变更或其他情形需要与该设备连接时，须无偿派人配合，直至该设备与医院信息系统可进行完整的数据交换，确保数据安全，无外泄。</w:t>
            </w:r>
          </w:p>
        </w:tc>
      </w:tr>
      <w:tr>
        <w:tblPrEx>
          <w:tblW w:w="5000" w:type="pct"/>
          <w:tblInd w:w="108" w:type="dxa"/>
          <w:tblLayout w:type="fixed"/>
          <w:tblCellMar>
            <w:top w:w="0" w:type="dxa"/>
            <w:left w:w="108" w:type="dxa"/>
            <w:bottom w:w="0" w:type="dxa"/>
            <w:right w:w="108" w:type="dxa"/>
          </w:tblCellMar>
        </w:tblPrEx>
        <w:trPr>
          <w:trHeight w:val="523"/>
        </w:trPr>
        <w:tc>
          <w:tcPr>
            <w:tcW w:w="112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6</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360" w:lineRule="exact"/>
              <w:jc w:val="center"/>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应急预案</w:t>
            </w:r>
          </w:p>
          <w:p>
            <w:pPr>
              <w:widowControl w:val="0"/>
              <w:spacing w:after="160" w:line="360" w:lineRule="exact"/>
              <w:jc w:val="center"/>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需求</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tabs>
                <w:tab w:val="left" w:pos="3697"/>
              </w:tabs>
              <w:kinsoku w:val="0"/>
              <w:autoSpaceDE w:val="0"/>
              <w:autoSpaceDN w:val="0"/>
              <w:adjustRightInd w:val="0"/>
              <w:snapToGrid w:val="0"/>
              <w:spacing w:after="160" w:line="259" w:lineRule="auto"/>
              <w:jc w:val="both"/>
              <w:textAlignment w:val="baseline"/>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发生突发问题厂家需携带可使用的备用机24小时内到场，根据现场情况采用现场维修或备用机替代的方法，确保手术顺利进行。</w:t>
            </w:r>
          </w:p>
        </w:tc>
      </w:tr>
      <w:tr>
        <w:tblPrEx>
          <w:tblW w:w="5000" w:type="pct"/>
          <w:tblInd w:w="108" w:type="dxa"/>
          <w:tblLayout w:type="fixed"/>
          <w:tblCellMar>
            <w:top w:w="0" w:type="dxa"/>
            <w:left w:w="108" w:type="dxa"/>
            <w:bottom w:w="0" w:type="dxa"/>
            <w:right w:w="108" w:type="dxa"/>
          </w:tblCellMar>
        </w:tblPrEx>
        <w:trPr>
          <w:trHeight w:val="523"/>
        </w:trPr>
        <w:tc>
          <w:tcPr>
            <w:tcW w:w="112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7</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360" w:lineRule="exact"/>
              <w:jc w:val="center"/>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定期三级保养/维护及履约评价需求</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36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设备保养、维修服务应由厂家工程师或授权维修企业工程师负责，按产品说明书规定或相关行业规定进行保养，</w:t>
            </w:r>
            <w:r>
              <w:rPr>
                <w:rFonts w:ascii="仿宋_GB2312" w:eastAsia="仿宋_GB2312" w:hAnsi="仿宋_GB2312" w:cs="仿宋_GB2312" w:hint="eastAsia"/>
                <w:bCs/>
                <w:color w:val="000000"/>
                <w:kern w:val="2"/>
                <w:sz w:val="21"/>
                <w:szCs w:val="21"/>
                <w:lang w:eastAsia="zh-CN"/>
              </w:rPr>
              <w:t>每半年进行三级保养，并提供三级保养报告</w:t>
            </w:r>
            <w:r>
              <w:rPr>
                <w:rFonts w:ascii="仿宋_GB2312" w:eastAsia="仿宋_GB2312" w:hAnsi="仿宋_GB2312" w:cs="仿宋_GB2312" w:hint="eastAsia"/>
                <w:bCs/>
                <w:kern w:val="2"/>
                <w:sz w:val="21"/>
                <w:szCs w:val="21"/>
                <w:lang w:eastAsia="zh-CN"/>
              </w:rPr>
              <w:t>。并免费提供技术咨询服务。</w:t>
            </w:r>
          </w:p>
          <w:p>
            <w:pPr>
              <w:widowControl w:val="0"/>
              <w:spacing w:after="160" w:line="36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货物到达指定位置十日后由临床使用人与归口管理科室进行设备应用质量评价，达到使用质量评价要求后完成验收流程。</w:t>
            </w:r>
          </w:p>
        </w:tc>
      </w:tr>
      <w:tr>
        <w:tblPrEx>
          <w:tblW w:w="5000" w:type="pct"/>
          <w:tblInd w:w="108" w:type="dxa"/>
          <w:tblLayout w:type="fixed"/>
          <w:tblCellMar>
            <w:top w:w="0" w:type="dxa"/>
            <w:left w:w="108" w:type="dxa"/>
            <w:bottom w:w="0" w:type="dxa"/>
            <w:right w:w="108" w:type="dxa"/>
          </w:tblCellMar>
        </w:tblPrEx>
        <w:trPr>
          <w:trHeight w:val="280"/>
        </w:trPr>
        <w:tc>
          <w:tcPr>
            <w:tcW w:w="8820" w:type="dxa"/>
            <w:gridSpan w:val="3"/>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
                <w:kern w:val="2"/>
                <w:sz w:val="21"/>
                <w:szCs w:val="21"/>
                <w:lang w:eastAsia="zh-CN"/>
              </w:rPr>
            </w:pPr>
            <w:r>
              <w:rPr>
                <w:rFonts w:ascii="仿宋_GB2312" w:eastAsia="仿宋_GB2312" w:hAnsi="仿宋_GB2312" w:cs="仿宋_GB2312" w:hint="eastAsia"/>
                <w:b/>
                <w:kern w:val="2"/>
                <w:sz w:val="21"/>
                <w:szCs w:val="21"/>
                <w:lang w:eastAsia="zh-CN"/>
              </w:rPr>
              <w:t>（二）免费保修期外售后服务要求</w:t>
            </w:r>
          </w:p>
        </w:tc>
      </w:tr>
      <w:tr>
        <w:tblPrEx>
          <w:tblW w:w="5000" w:type="pct"/>
          <w:tblInd w:w="108" w:type="dxa"/>
          <w:tblLayout w:type="fixed"/>
          <w:tblCellMar>
            <w:top w:w="0" w:type="dxa"/>
            <w:left w:w="108" w:type="dxa"/>
            <w:bottom w:w="0" w:type="dxa"/>
            <w:right w:w="108" w:type="dxa"/>
          </w:tblCellMar>
        </w:tblPrEx>
        <w:trPr>
          <w:trHeight w:val="350"/>
        </w:trPr>
        <w:tc>
          <w:tcPr>
            <w:tcW w:w="112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1</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360" w:lineRule="exact"/>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关于免费保修期后维修服务</w:t>
            </w:r>
          </w:p>
        </w:tc>
        <w:tc>
          <w:tcPr>
            <w:tcW w:w="594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36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保修期满后，以成本的优惠价供应维修零配件，以成本的优惠价供应消耗品；需维修设备经使用部门验收合格且厂家提供维修专用发票后，采购人仅支付配件费用。中标人及维修厂家不得以任何理由不按时进行设备维修。</w:t>
            </w:r>
          </w:p>
        </w:tc>
      </w:tr>
      <w:tr>
        <w:tblPrEx>
          <w:tblW w:w="5000" w:type="pct"/>
          <w:tblInd w:w="108" w:type="dxa"/>
          <w:tblLayout w:type="fixed"/>
          <w:tblCellMar>
            <w:top w:w="0" w:type="dxa"/>
            <w:left w:w="108" w:type="dxa"/>
            <w:bottom w:w="0" w:type="dxa"/>
            <w:right w:w="108" w:type="dxa"/>
          </w:tblCellMar>
        </w:tblPrEx>
        <w:trPr>
          <w:trHeight w:val="350"/>
        </w:trPr>
        <w:tc>
          <w:tcPr>
            <w:tcW w:w="112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360" w:lineRule="exact"/>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关于培训</w:t>
            </w:r>
          </w:p>
        </w:tc>
        <w:tc>
          <w:tcPr>
            <w:tcW w:w="594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36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中标人有义务根据提供的要求进行每年不少于一次的培训。</w:t>
            </w:r>
          </w:p>
        </w:tc>
      </w:tr>
      <w:tr>
        <w:tblPrEx>
          <w:tblW w:w="5000" w:type="pct"/>
          <w:tblInd w:w="108" w:type="dxa"/>
          <w:tblLayout w:type="fixed"/>
          <w:tblCellMar>
            <w:top w:w="0" w:type="dxa"/>
            <w:left w:w="108" w:type="dxa"/>
            <w:bottom w:w="0" w:type="dxa"/>
            <w:right w:w="108" w:type="dxa"/>
          </w:tblCellMar>
        </w:tblPrEx>
        <w:trPr>
          <w:trHeight w:val="350"/>
        </w:trPr>
        <w:tc>
          <w:tcPr>
            <w:tcW w:w="8820" w:type="dxa"/>
            <w:gridSpan w:val="3"/>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
                <w:kern w:val="2"/>
                <w:sz w:val="21"/>
                <w:szCs w:val="21"/>
                <w:lang w:eastAsia="zh-CN"/>
              </w:rPr>
            </w:pPr>
            <w:r>
              <w:rPr>
                <w:rFonts w:ascii="仿宋_GB2312" w:eastAsia="仿宋_GB2312" w:hAnsi="仿宋_GB2312" w:cs="仿宋_GB2312" w:hint="eastAsia"/>
                <w:b/>
                <w:kern w:val="2"/>
                <w:sz w:val="21"/>
                <w:szCs w:val="21"/>
                <w:lang w:eastAsia="zh-CN"/>
              </w:rPr>
              <w:t>（三）其他商务要求</w:t>
            </w:r>
          </w:p>
        </w:tc>
      </w:tr>
      <w:tr>
        <w:tblPrEx>
          <w:tblW w:w="5000" w:type="pct"/>
          <w:tblInd w:w="108" w:type="dxa"/>
          <w:tblLayout w:type="fixed"/>
          <w:tblCellMar>
            <w:top w:w="0" w:type="dxa"/>
            <w:left w:w="108" w:type="dxa"/>
            <w:bottom w:w="0" w:type="dxa"/>
            <w:right w:w="108" w:type="dxa"/>
          </w:tblCellMar>
        </w:tblPrEx>
        <w:trPr>
          <w:trHeight w:val="375"/>
        </w:trPr>
        <w:tc>
          <w:tcPr>
            <w:tcW w:w="1123" w:type="dxa"/>
            <w:vMerge w:val="restart"/>
            <w:tcBorders>
              <w:top w:val="nil"/>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1</w:t>
            </w:r>
          </w:p>
        </w:tc>
        <w:tc>
          <w:tcPr>
            <w:tcW w:w="1757" w:type="dxa"/>
            <w:vMerge w:val="restart"/>
            <w:tcBorders>
              <w:top w:val="single" w:sz="4" w:space="0" w:color="auto"/>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关于交货</w:t>
            </w: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1.1交货地点：深圳市福田区莲花路1120号</w:t>
            </w:r>
          </w:p>
        </w:tc>
      </w:tr>
      <w:tr>
        <w:tblPrEx>
          <w:tblW w:w="5000" w:type="pct"/>
          <w:tblInd w:w="108" w:type="dxa"/>
          <w:tblLayout w:type="fixed"/>
          <w:tblCellMar>
            <w:top w:w="0" w:type="dxa"/>
            <w:left w:w="108" w:type="dxa"/>
            <w:bottom w:w="0" w:type="dxa"/>
            <w:right w:w="108" w:type="dxa"/>
          </w:tblCellMar>
        </w:tblPrEx>
        <w:trPr>
          <w:trHeight w:val="1657"/>
        </w:trPr>
        <w:tc>
          <w:tcPr>
            <w:tcW w:w="1123" w:type="dxa"/>
            <w:vMerge/>
            <w:tcBorders>
              <w:left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757" w:type="dxa"/>
            <w:vMerge/>
            <w:tcBorders>
              <w:left w:val="single" w:sz="4" w:space="0" w:color="auto"/>
              <w:right w:val="single" w:sz="4" w:space="0" w:color="auto"/>
            </w:tcBorders>
            <w:vAlign w:val="center"/>
          </w:tcPr>
          <w:p>
            <w:pPr>
              <w:widowControl/>
              <w:spacing w:after="160" w:line="259" w:lineRule="auto"/>
              <w:jc w:val="center"/>
              <w:rPr>
                <w:rFonts w:ascii="仿宋_GB2312" w:eastAsia="仿宋_GB2312" w:hAnsi="仿宋_GB2312" w:cs="仿宋_GB2312"/>
                <w:kern w:val="2"/>
                <w:sz w:val="21"/>
                <w:szCs w:val="21"/>
                <w:lang w:eastAsia="zh-CN"/>
              </w:rPr>
            </w:pP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1.2中标人负责将货物安全无损运到采购人指定地点，并承担设备的包装、仓储、运输、保险、装卸、安装调试、培训（须同时提供培训视频文件，视频文件包括但不限于使用、保养、校准、质控等内容）、商检、保修期届满前备品备件等与采购设备及服务相关的所有含税费用。货物风险在最终验收合格前由中标人承担。</w:t>
            </w:r>
          </w:p>
        </w:tc>
      </w:tr>
      <w:tr>
        <w:tblPrEx>
          <w:tblW w:w="5000" w:type="pct"/>
          <w:tblInd w:w="108" w:type="dxa"/>
          <w:tblLayout w:type="fixed"/>
          <w:tblCellMar>
            <w:top w:w="0" w:type="dxa"/>
            <w:left w:w="108" w:type="dxa"/>
            <w:bottom w:w="0" w:type="dxa"/>
            <w:right w:w="108" w:type="dxa"/>
          </w:tblCellMar>
        </w:tblPrEx>
        <w:trPr>
          <w:trHeight w:val="376"/>
        </w:trPr>
        <w:tc>
          <w:tcPr>
            <w:tcW w:w="1123" w:type="dxa"/>
            <w:vMerge/>
            <w:tcBorders>
              <w:left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757" w:type="dxa"/>
            <w:vMerge/>
            <w:tcBorders>
              <w:left w:val="single" w:sz="4" w:space="0" w:color="auto"/>
              <w:right w:val="single" w:sz="4" w:space="0" w:color="auto"/>
            </w:tcBorders>
            <w:vAlign w:val="center"/>
          </w:tcPr>
          <w:p>
            <w:pPr>
              <w:widowControl/>
              <w:spacing w:after="160" w:line="259" w:lineRule="auto"/>
              <w:jc w:val="center"/>
              <w:rPr>
                <w:rFonts w:ascii="仿宋_GB2312" w:eastAsia="仿宋_GB2312" w:hAnsi="仿宋_GB2312" w:cs="仿宋_GB2312"/>
                <w:kern w:val="2"/>
                <w:sz w:val="21"/>
                <w:szCs w:val="21"/>
                <w:lang w:eastAsia="zh-CN"/>
              </w:rPr>
            </w:pP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1.3 中标人应指定交货人员，并在交货时一并提供交货清单以及全套、完整的纸质版或电子版技术文件，包括设备配置清单、产品说明书（操作、安装、保养等内容）、质量保证文件、服务指南等，所有外文资料须提供中文译本。如为大型设备安装需提供安装图纸，视频培训资料需一并提供。文件应随货物一并交付给采购人指定的验收人员，按照临床要求提供塑封便于悬挂的操作规程及注意事项。如涉及维修密码及更换配件密码，需提供给采购人指定的验收人员。</w:t>
            </w:r>
          </w:p>
        </w:tc>
      </w:tr>
      <w:tr>
        <w:tblPrEx>
          <w:tblW w:w="5000" w:type="pct"/>
          <w:tblInd w:w="108" w:type="dxa"/>
          <w:tblLayout w:type="fixed"/>
          <w:tblCellMar>
            <w:top w:w="0" w:type="dxa"/>
            <w:left w:w="108" w:type="dxa"/>
            <w:bottom w:w="0" w:type="dxa"/>
            <w:right w:w="108" w:type="dxa"/>
          </w:tblCellMar>
        </w:tblPrEx>
        <w:trPr>
          <w:trHeight w:val="376"/>
        </w:trPr>
        <w:tc>
          <w:tcPr>
            <w:tcW w:w="1123" w:type="dxa"/>
            <w:vMerge/>
            <w:tcBorders>
              <w:left w:val="single" w:sz="4" w:space="0" w:color="auto"/>
              <w:bottom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757" w:type="dxa"/>
            <w:vMerge/>
            <w:tcBorders>
              <w:left w:val="single" w:sz="4" w:space="0" w:color="auto"/>
              <w:bottom w:val="single" w:sz="4" w:space="0" w:color="auto"/>
              <w:right w:val="single" w:sz="4" w:space="0" w:color="auto"/>
            </w:tcBorders>
            <w:vAlign w:val="center"/>
          </w:tcPr>
          <w:p>
            <w:pPr>
              <w:widowControl/>
              <w:spacing w:after="160" w:line="259" w:lineRule="auto"/>
              <w:jc w:val="center"/>
              <w:rPr>
                <w:rFonts w:ascii="仿宋_GB2312" w:eastAsia="仿宋_GB2312" w:hAnsi="仿宋_GB2312" w:cs="仿宋_GB2312"/>
                <w:kern w:val="2"/>
                <w:sz w:val="21"/>
                <w:szCs w:val="21"/>
                <w:lang w:eastAsia="zh-CN"/>
              </w:rPr>
            </w:pP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★1.4中标人应在合同签订后30日内现货送到采购人指定交货地点，物流、运费及安装费由中标人承担。</w:t>
            </w:r>
          </w:p>
        </w:tc>
      </w:tr>
      <w:tr>
        <w:tblPrEx>
          <w:tblW w:w="5000" w:type="pct"/>
          <w:tblInd w:w="108" w:type="dxa"/>
          <w:tblLayout w:type="fixed"/>
          <w:tblCellMar>
            <w:top w:w="0" w:type="dxa"/>
            <w:left w:w="108" w:type="dxa"/>
            <w:bottom w:w="0" w:type="dxa"/>
            <w:right w:w="108" w:type="dxa"/>
          </w:tblCellMar>
        </w:tblPrEx>
        <w:trPr>
          <w:trHeight w:val="350"/>
        </w:trPr>
        <w:tc>
          <w:tcPr>
            <w:tcW w:w="1123" w:type="dxa"/>
            <w:vMerge w:val="restart"/>
            <w:tcBorders>
              <w:top w:val="nil"/>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w:t>
            </w:r>
          </w:p>
        </w:tc>
        <w:tc>
          <w:tcPr>
            <w:tcW w:w="1757" w:type="dxa"/>
            <w:vMerge w:val="restart"/>
            <w:tcBorders>
              <w:top w:val="nil"/>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安装调试及验收</w:t>
            </w: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2.1 中标人提供免费安装服务，设备安装服务应由厂家工程师完成，以确保安装质量。中标人和厂家应在货物运至指定地点后，按照采购人指定时间完成安装、调试，需求部门和业务归口管理部门等共同参与验收。</w:t>
            </w:r>
          </w:p>
        </w:tc>
      </w:tr>
      <w:tr>
        <w:tblPrEx>
          <w:tblW w:w="5000" w:type="pct"/>
          <w:tblInd w:w="108" w:type="dxa"/>
          <w:tblLayout w:type="fixed"/>
          <w:tblCellMar>
            <w:top w:w="0" w:type="dxa"/>
            <w:left w:w="108" w:type="dxa"/>
            <w:bottom w:w="0" w:type="dxa"/>
            <w:right w:w="108" w:type="dxa"/>
          </w:tblCellMar>
        </w:tblPrEx>
        <w:trPr>
          <w:trHeight w:val="350"/>
        </w:trPr>
        <w:tc>
          <w:tcPr>
            <w:tcW w:w="1123" w:type="dxa"/>
            <w:vMerge/>
            <w:tcBorders>
              <w:top w:val="nil"/>
              <w:left w:val="single" w:sz="4" w:space="0" w:color="auto"/>
              <w:bottom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757" w:type="dxa"/>
            <w:vMerge/>
            <w:tcBorders>
              <w:top w:val="nil"/>
              <w:left w:val="single" w:sz="4" w:space="0" w:color="auto"/>
              <w:bottom w:val="single" w:sz="4" w:space="0" w:color="auto"/>
              <w:right w:val="single" w:sz="4" w:space="0" w:color="auto"/>
            </w:tcBorders>
            <w:vAlign w:val="center"/>
          </w:tcPr>
          <w:p>
            <w:pPr>
              <w:widowControl/>
              <w:spacing w:after="160" w:line="259" w:lineRule="auto"/>
              <w:jc w:val="center"/>
              <w:rPr>
                <w:rFonts w:ascii="仿宋_GB2312" w:eastAsia="仿宋_GB2312" w:hAnsi="仿宋_GB2312" w:cs="仿宋_GB2312"/>
                <w:kern w:val="2"/>
                <w:sz w:val="21"/>
                <w:szCs w:val="21"/>
                <w:lang w:eastAsia="zh-CN"/>
              </w:rPr>
            </w:pP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2.2 货物收到后，采购人（需求部门、业务归口管理部门等）按合同和招标、投标文件约定的要求和标准及中华人民共和国现行的验收规范和评定标准进行交货验收。</w:t>
            </w:r>
          </w:p>
        </w:tc>
      </w:tr>
      <w:tr>
        <w:tblPrEx>
          <w:tblW w:w="5000" w:type="pct"/>
          <w:tblInd w:w="108" w:type="dxa"/>
          <w:tblLayout w:type="fixed"/>
          <w:tblCellMar>
            <w:top w:w="0" w:type="dxa"/>
            <w:left w:w="108" w:type="dxa"/>
            <w:bottom w:w="0" w:type="dxa"/>
            <w:right w:w="108" w:type="dxa"/>
          </w:tblCellMar>
        </w:tblPrEx>
        <w:trPr>
          <w:trHeight w:val="350"/>
        </w:trPr>
        <w:tc>
          <w:tcPr>
            <w:tcW w:w="1123" w:type="dxa"/>
            <w:vMerge/>
            <w:tcBorders>
              <w:top w:val="nil"/>
              <w:left w:val="single" w:sz="4" w:space="0" w:color="auto"/>
              <w:bottom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757" w:type="dxa"/>
            <w:vMerge/>
            <w:tcBorders>
              <w:top w:val="nil"/>
              <w:left w:val="single" w:sz="4" w:space="0" w:color="auto"/>
              <w:bottom w:val="single" w:sz="4" w:space="0" w:color="auto"/>
              <w:right w:val="single" w:sz="4" w:space="0" w:color="auto"/>
            </w:tcBorders>
            <w:vAlign w:val="center"/>
          </w:tcPr>
          <w:p>
            <w:pPr>
              <w:widowControl/>
              <w:spacing w:after="160" w:line="259" w:lineRule="auto"/>
              <w:jc w:val="center"/>
              <w:rPr>
                <w:rFonts w:ascii="仿宋_GB2312" w:eastAsia="仿宋_GB2312" w:hAnsi="仿宋_GB2312" w:cs="仿宋_GB2312"/>
                <w:kern w:val="2"/>
                <w:sz w:val="21"/>
                <w:szCs w:val="21"/>
                <w:lang w:eastAsia="zh-CN"/>
              </w:rPr>
            </w:pP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2.3 中标人货物经过双方检验认可后，签署验收报告，产品保修期自最终验收合格并交付使用之日起计算，由投标人提供产品保修文件。</w:t>
            </w:r>
          </w:p>
        </w:tc>
      </w:tr>
      <w:tr>
        <w:tblPrEx>
          <w:tblW w:w="5000" w:type="pct"/>
          <w:tblInd w:w="108" w:type="dxa"/>
          <w:tblLayout w:type="fixed"/>
          <w:tblCellMar>
            <w:top w:w="0" w:type="dxa"/>
            <w:left w:w="108" w:type="dxa"/>
            <w:bottom w:w="0" w:type="dxa"/>
            <w:right w:w="108" w:type="dxa"/>
          </w:tblCellMar>
        </w:tblPrEx>
        <w:trPr>
          <w:trHeight w:val="350"/>
        </w:trPr>
        <w:tc>
          <w:tcPr>
            <w:tcW w:w="1123" w:type="dxa"/>
            <w:vMerge/>
            <w:tcBorders>
              <w:top w:val="nil"/>
              <w:left w:val="single" w:sz="4" w:space="0" w:color="auto"/>
              <w:bottom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757" w:type="dxa"/>
            <w:vMerge/>
            <w:tcBorders>
              <w:top w:val="nil"/>
              <w:left w:val="single" w:sz="4" w:space="0" w:color="auto"/>
              <w:bottom w:val="single" w:sz="4" w:space="0" w:color="auto"/>
              <w:right w:val="single" w:sz="4" w:space="0" w:color="auto"/>
            </w:tcBorders>
            <w:vAlign w:val="center"/>
          </w:tcPr>
          <w:p>
            <w:pPr>
              <w:widowControl/>
              <w:spacing w:after="160" w:line="259" w:lineRule="auto"/>
              <w:jc w:val="center"/>
              <w:rPr>
                <w:rFonts w:ascii="仿宋_GB2312" w:eastAsia="仿宋_GB2312" w:hAnsi="仿宋_GB2312" w:cs="仿宋_GB2312"/>
                <w:kern w:val="2"/>
                <w:sz w:val="21"/>
                <w:szCs w:val="21"/>
                <w:lang w:eastAsia="zh-CN"/>
              </w:rPr>
            </w:pP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2.4 验收过程中，采购人有权委托有资质的检测机构检验或测试货物，以确认货物是否符合招投标文件和合同要求。如果发现所交货物不符合要求，存在质量、技术缺陷等问题，包括潜在的缺陷或使用不符合要求的材料的，采购人可以拒绝接收该货物，中标人应在30日内采取更换与合同要求相符的货物，由此发生的一切损失和费用由中标人承担，逾期未更换或更换货物仍不合格的，采购人有权做验收不合格处理。</w:t>
            </w:r>
          </w:p>
        </w:tc>
      </w:tr>
      <w:tr>
        <w:tblPrEx>
          <w:tblW w:w="5000" w:type="pct"/>
          <w:tblInd w:w="108" w:type="dxa"/>
          <w:tblLayout w:type="fixed"/>
          <w:tblCellMar>
            <w:top w:w="0" w:type="dxa"/>
            <w:left w:w="108" w:type="dxa"/>
            <w:bottom w:w="0" w:type="dxa"/>
            <w:right w:w="108" w:type="dxa"/>
          </w:tblCellMar>
        </w:tblPrEx>
        <w:trPr>
          <w:trHeight w:val="1062"/>
        </w:trPr>
        <w:tc>
          <w:tcPr>
            <w:tcW w:w="1123" w:type="dxa"/>
            <w:vMerge/>
            <w:tcBorders>
              <w:top w:val="nil"/>
              <w:left w:val="single" w:sz="4" w:space="0" w:color="auto"/>
              <w:bottom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757" w:type="dxa"/>
            <w:vMerge/>
            <w:tcBorders>
              <w:top w:val="nil"/>
              <w:left w:val="single" w:sz="4" w:space="0" w:color="auto"/>
              <w:bottom w:val="single" w:sz="4" w:space="0" w:color="auto"/>
              <w:right w:val="single" w:sz="4" w:space="0" w:color="auto"/>
            </w:tcBorders>
            <w:vAlign w:val="center"/>
          </w:tcPr>
          <w:p>
            <w:pPr>
              <w:widowControl/>
              <w:spacing w:after="160" w:line="259" w:lineRule="auto"/>
              <w:jc w:val="center"/>
              <w:rPr>
                <w:rFonts w:ascii="仿宋_GB2312" w:eastAsia="仿宋_GB2312" w:hAnsi="仿宋_GB2312" w:cs="仿宋_GB2312"/>
                <w:kern w:val="2"/>
                <w:sz w:val="21"/>
                <w:szCs w:val="21"/>
                <w:lang w:eastAsia="zh-CN"/>
              </w:rPr>
            </w:pP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2.5 设备为特种设备的，中标人应免费提供相关特种检测部门出具的合格检测报告，并办理相应的特种设备使用登记证。</w:t>
            </w:r>
          </w:p>
        </w:tc>
      </w:tr>
      <w:tr>
        <w:tblPrEx>
          <w:tblW w:w="5000" w:type="pct"/>
          <w:tblInd w:w="108" w:type="dxa"/>
          <w:tblLayout w:type="fixed"/>
          <w:tblCellMar>
            <w:top w:w="0" w:type="dxa"/>
            <w:left w:w="108" w:type="dxa"/>
            <w:bottom w:w="0" w:type="dxa"/>
            <w:right w:w="108" w:type="dxa"/>
          </w:tblCellMar>
        </w:tblPrEx>
        <w:trPr>
          <w:trHeight w:val="5380"/>
        </w:trPr>
        <w:tc>
          <w:tcPr>
            <w:tcW w:w="1123" w:type="dxa"/>
            <w:vMerge/>
            <w:tcBorders>
              <w:top w:val="nil"/>
              <w:left w:val="single" w:sz="4" w:space="0" w:color="auto"/>
              <w:bottom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757" w:type="dxa"/>
            <w:vMerge/>
            <w:tcBorders>
              <w:top w:val="nil"/>
              <w:left w:val="single" w:sz="4" w:space="0" w:color="auto"/>
              <w:bottom w:val="single" w:sz="4" w:space="0" w:color="auto"/>
              <w:right w:val="single" w:sz="4" w:space="0" w:color="auto"/>
            </w:tcBorders>
            <w:vAlign w:val="center"/>
          </w:tcPr>
          <w:p>
            <w:pPr>
              <w:widowControl/>
              <w:spacing w:after="160" w:line="259" w:lineRule="auto"/>
              <w:jc w:val="center"/>
              <w:rPr>
                <w:rFonts w:ascii="仿宋_GB2312" w:eastAsia="仿宋_GB2312" w:hAnsi="仿宋_GB2312" w:cs="仿宋_GB2312"/>
                <w:kern w:val="2"/>
                <w:sz w:val="21"/>
                <w:szCs w:val="21"/>
                <w:lang w:eastAsia="zh-CN"/>
              </w:rPr>
            </w:pP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kern w:val="2"/>
                <w:sz w:val="21"/>
                <w:szCs w:val="21"/>
                <w:lang w:eastAsia="zh-CN"/>
              </w:rPr>
              <w:t>★</w:t>
            </w:r>
            <w:r>
              <w:rPr>
                <w:rFonts w:ascii="仿宋_GB2312" w:eastAsia="仿宋_GB2312" w:hAnsi="仿宋_GB2312" w:cs="仿宋_GB2312" w:hint="eastAsia"/>
                <w:bCs/>
                <w:kern w:val="2"/>
                <w:sz w:val="21"/>
                <w:szCs w:val="21"/>
                <w:lang w:eastAsia="zh-CN"/>
              </w:rPr>
              <w:t>2.6当满足以下条件时，采购人才向中标人签发货物验收报告：</w:t>
            </w:r>
          </w:p>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（1）设备全新,外观无伤痕变形或明显修饰痕迹。</w:t>
            </w:r>
          </w:p>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如有国标，需符合有关规定；如无国标，则按照行业标准；如无国标及行业标准，则按双方约定执行。投标文件提供的技术数据经实测证实是真实的。检验及免费保修期内达到的性能指标与要求一致，达到或优于相应标准。</w:t>
            </w:r>
          </w:p>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（3）技术文件资料、备件等已按规定数量移交完毕。</w:t>
            </w:r>
          </w:p>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（4）按照招标</w:t>
            </w:r>
            <w:r>
              <w:rPr>
                <w:rFonts w:ascii="Calibri" w:eastAsia="仿宋_GB2312" w:hAnsi="Calibri" w:cs="Calibri" w:hint="eastAsia"/>
                <w:bCs/>
                <w:kern w:val="2"/>
                <w:sz w:val="21"/>
                <w:szCs w:val="21"/>
                <w:lang w:eastAsia="zh-CN"/>
              </w:rPr>
              <w:t>文件</w:t>
            </w:r>
            <w:r>
              <w:rPr>
                <w:rFonts w:ascii="仿宋_GB2312" w:eastAsia="仿宋_GB2312" w:hAnsi="仿宋_GB2312" w:cs="仿宋_GB2312" w:hint="eastAsia"/>
                <w:bCs/>
                <w:kern w:val="2"/>
                <w:sz w:val="21"/>
                <w:szCs w:val="21"/>
                <w:lang w:eastAsia="zh-CN"/>
              </w:rPr>
              <w:t>要求及投标文件提供的技术要求验收合格。</w:t>
            </w:r>
          </w:p>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5）投标人提供的各种文件载明的内容应保证真实，其技术数据采购人有权要求投标人提供采购人认可的第三方按照双方同意的试验方法进行检测。检测结果需证明投标人提供的技术数据是真实的，否则视为不合格。</w:t>
            </w:r>
          </w:p>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（6）货物具备产品合格证。</w:t>
            </w:r>
          </w:p>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（7）在货物安装调试合格后，所有技术指标达到技术规范书要求，经验收合格后，双方共同签署验收报告。</w:t>
            </w:r>
          </w:p>
        </w:tc>
      </w:tr>
      <w:tr>
        <w:tblPrEx>
          <w:tblW w:w="5000" w:type="pct"/>
          <w:tblInd w:w="108" w:type="dxa"/>
          <w:tblLayout w:type="fixed"/>
          <w:tblCellMar>
            <w:top w:w="0" w:type="dxa"/>
            <w:left w:w="108" w:type="dxa"/>
            <w:bottom w:w="0" w:type="dxa"/>
            <w:right w:w="108" w:type="dxa"/>
          </w:tblCellMar>
        </w:tblPrEx>
        <w:trPr>
          <w:trHeight w:val="350"/>
        </w:trPr>
        <w:tc>
          <w:tcPr>
            <w:tcW w:w="1123" w:type="dxa"/>
            <w:vMerge w:val="restart"/>
            <w:tcBorders>
              <w:top w:val="nil"/>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3</w:t>
            </w:r>
          </w:p>
        </w:tc>
        <w:tc>
          <w:tcPr>
            <w:tcW w:w="1757" w:type="dxa"/>
            <w:vMerge w:val="restart"/>
            <w:tcBorders>
              <w:top w:val="nil"/>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eastAsia="宋体" w:hint="eastAsia"/>
                <w:kern w:val="2"/>
                <w:sz w:val="21"/>
                <w:lang w:eastAsia="zh-CN"/>
              </w:rPr>
              <w:t>★</w:t>
            </w:r>
            <w:r>
              <w:rPr>
                <w:rFonts w:ascii="仿宋_GB2312" w:eastAsia="仿宋_GB2312" w:hAnsi="仿宋_GB2312" w:cs="仿宋_GB2312" w:hint="eastAsia"/>
                <w:kern w:val="2"/>
                <w:sz w:val="21"/>
                <w:szCs w:val="21"/>
                <w:lang w:eastAsia="zh-CN"/>
              </w:rPr>
              <w:t>关于违约</w:t>
            </w: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3.1中标人提供的设备品种、型号、规格、质量、数量不符合招标文件或经采购人验收不合格的，采购人有权解除合同，中标人应向采购人支付合同总价30%的违约金，如采购人已支付货款的中标人还应立即退还，若违约金不足以弥补采购人损失的，中标人还应按实际损失对采购人予以赔偿。</w:t>
            </w:r>
          </w:p>
        </w:tc>
      </w:tr>
      <w:tr>
        <w:tblPrEx>
          <w:tblW w:w="5000" w:type="pct"/>
          <w:tblInd w:w="108" w:type="dxa"/>
          <w:tblLayout w:type="fixed"/>
          <w:tblCellMar>
            <w:top w:w="0" w:type="dxa"/>
            <w:left w:w="108" w:type="dxa"/>
            <w:bottom w:w="0" w:type="dxa"/>
            <w:right w:w="108" w:type="dxa"/>
          </w:tblCellMar>
        </w:tblPrEx>
        <w:trPr>
          <w:trHeight w:val="1115"/>
        </w:trPr>
        <w:tc>
          <w:tcPr>
            <w:tcW w:w="1123" w:type="dxa"/>
            <w:vMerge/>
            <w:tcBorders>
              <w:left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757" w:type="dxa"/>
            <w:vMerge/>
            <w:tcBorders>
              <w:left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kern w:val="2"/>
                <w:sz w:val="21"/>
                <w:szCs w:val="21"/>
                <w:lang w:eastAsia="zh-CN"/>
              </w:rPr>
            </w:pP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3.2 中标人无正当理由不能交付设备的，采购人有权解除合同，中标人应向采购人支付合同总价30%的违约金，如违约金不足以弥补采购人损失的，中标人还应按实际损失对采购人予以赔偿。</w:t>
            </w:r>
          </w:p>
        </w:tc>
      </w:tr>
      <w:tr>
        <w:tblPrEx>
          <w:tblW w:w="5000" w:type="pct"/>
          <w:tblInd w:w="108" w:type="dxa"/>
          <w:tblLayout w:type="fixed"/>
          <w:tblCellMar>
            <w:top w:w="0" w:type="dxa"/>
            <w:left w:w="108" w:type="dxa"/>
            <w:bottom w:w="0" w:type="dxa"/>
            <w:right w:w="108" w:type="dxa"/>
          </w:tblCellMar>
        </w:tblPrEx>
        <w:trPr>
          <w:trHeight w:val="350"/>
        </w:trPr>
        <w:tc>
          <w:tcPr>
            <w:tcW w:w="1123" w:type="dxa"/>
            <w:vMerge/>
            <w:tcBorders>
              <w:left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757" w:type="dxa"/>
            <w:vMerge/>
            <w:tcBorders>
              <w:left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kern w:val="2"/>
                <w:sz w:val="21"/>
                <w:szCs w:val="21"/>
                <w:lang w:eastAsia="zh-CN"/>
              </w:rPr>
            </w:pP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3.3中标人未按合同约定履行保修维修服务的，中标人向采购人每日给付违约金为合同总价的1%，逾期提供服务超过30天的，采购人有权解除合同，中标人应向采购人支付合同总价30%的违约金，如采购人已支付货款的中标人还应立即退还，若违约金不足以弥补采购人损失的，中标人还应按实际损失对采购人予以赔偿。</w:t>
            </w:r>
          </w:p>
        </w:tc>
      </w:tr>
      <w:tr>
        <w:tblPrEx>
          <w:tblW w:w="5000" w:type="pct"/>
          <w:tblInd w:w="108" w:type="dxa"/>
          <w:tblLayout w:type="fixed"/>
          <w:tblCellMar>
            <w:top w:w="0" w:type="dxa"/>
            <w:left w:w="108" w:type="dxa"/>
            <w:bottom w:w="0" w:type="dxa"/>
            <w:right w:w="108" w:type="dxa"/>
          </w:tblCellMar>
        </w:tblPrEx>
        <w:trPr>
          <w:trHeight w:val="350"/>
        </w:trPr>
        <w:tc>
          <w:tcPr>
            <w:tcW w:w="1123" w:type="dxa"/>
            <w:vMerge/>
            <w:tcBorders>
              <w:left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757" w:type="dxa"/>
            <w:vMerge/>
            <w:tcBorders>
              <w:left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kern w:val="2"/>
                <w:sz w:val="21"/>
                <w:szCs w:val="21"/>
                <w:lang w:eastAsia="zh-CN"/>
              </w:rPr>
            </w:pP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left"/>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3.4</w:t>
            </w:r>
            <w:r>
              <w:rPr>
                <w:rFonts w:eastAsia="宋体"/>
                <w:kern w:val="2"/>
                <w:sz w:val="21"/>
                <w:lang w:eastAsia="zh-CN"/>
              </w:rPr>
              <w:t xml:space="preserve"> </w:t>
            </w:r>
            <w:r>
              <w:rPr>
                <w:rFonts w:ascii="仿宋_GB2312" w:eastAsia="仿宋_GB2312" w:hAnsi="仿宋_GB2312" w:cs="仿宋_GB2312" w:hint="eastAsia"/>
                <w:bCs/>
                <w:kern w:val="2"/>
                <w:sz w:val="21"/>
                <w:szCs w:val="21"/>
                <w:lang w:eastAsia="zh-CN"/>
              </w:rPr>
              <w:t>中标人承诺所使用软件的合法性，因中标人使用的软件引起纠纷给采购人造成损失的，应按合同总价的30%向采购人承担违约责任，违约金不足以弥补损失的，还应赔偿相应损失。</w:t>
            </w:r>
          </w:p>
        </w:tc>
      </w:tr>
      <w:tr>
        <w:tblPrEx>
          <w:tblW w:w="5000" w:type="pct"/>
          <w:tblInd w:w="108" w:type="dxa"/>
          <w:tblLayout w:type="fixed"/>
          <w:tblCellMar>
            <w:top w:w="0" w:type="dxa"/>
            <w:left w:w="108" w:type="dxa"/>
            <w:bottom w:w="0" w:type="dxa"/>
            <w:right w:w="108" w:type="dxa"/>
          </w:tblCellMar>
        </w:tblPrEx>
        <w:trPr>
          <w:trHeight w:val="350"/>
        </w:trPr>
        <w:tc>
          <w:tcPr>
            <w:tcW w:w="1123" w:type="dxa"/>
            <w:vMerge/>
            <w:tcBorders>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p>
        </w:tc>
        <w:tc>
          <w:tcPr>
            <w:tcW w:w="1757" w:type="dxa"/>
            <w:vMerge/>
            <w:tcBorders>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color w:val="FF0000"/>
                <w:kern w:val="2"/>
                <w:sz w:val="21"/>
                <w:szCs w:val="21"/>
                <w:lang w:eastAsia="zh-CN"/>
              </w:rPr>
            </w:pPr>
            <w:r>
              <w:rPr>
                <w:rFonts w:ascii="仿宋_GB2312" w:eastAsia="仿宋_GB2312" w:hAnsi="仿宋_GB2312" w:cs="仿宋_GB2312" w:hint="eastAsia"/>
                <w:bCs/>
                <w:kern w:val="2"/>
                <w:sz w:val="21"/>
                <w:szCs w:val="21"/>
                <w:lang w:eastAsia="zh-CN"/>
              </w:rPr>
              <w:t>3.5由于中标人的原因，未能按时供货或配合验收的，每迟一天应给付采购人的违约金为合同总额的1%，总额不超过合同总价的30%；如超过供货期30日，采购人有权解除合同，如采购人已支付货款的中标人还应立即退还，违约金不足以弥补损失的，应赔偿相应损失。</w:t>
            </w:r>
          </w:p>
        </w:tc>
      </w:tr>
      <w:tr>
        <w:tblPrEx>
          <w:tblW w:w="5000" w:type="pct"/>
          <w:tblInd w:w="108" w:type="dxa"/>
          <w:tblLayout w:type="fixed"/>
          <w:tblCellMar>
            <w:top w:w="0" w:type="dxa"/>
            <w:left w:w="108" w:type="dxa"/>
            <w:bottom w:w="0" w:type="dxa"/>
            <w:right w:w="108" w:type="dxa"/>
          </w:tblCellMar>
        </w:tblPrEx>
        <w:trPr>
          <w:trHeight w:val="350"/>
        </w:trPr>
        <w:tc>
          <w:tcPr>
            <w:tcW w:w="1123" w:type="dxa"/>
            <w:vMerge/>
            <w:tcBorders>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p>
        </w:tc>
        <w:tc>
          <w:tcPr>
            <w:tcW w:w="1757" w:type="dxa"/>
            <w:vMerge/>
            <w:tcBorders>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color w:val="FF0000"/>
                <w:kern w:val="2"/>
                <w:sz w:val="21"/>
                <w:szCs w:val="21"/>
                <w:lang w:eastAsia="zh-CN"/>
              </w:rPr>
            </w:pPr>
            <w:r>
              <w:rPr>
                <w:rFonts w:ascii="仿宋_GB2312" w:eastAsia="仿宋_GB2312" w:hAnsi="仿宋_GB2312" w:cs="仿宋_GB2312" w:hint="eastAsia"/>
                <w:bCs/>
                <w:kern w:val="2"/>
                <w:sz w:val="21"/>
                <w:szCs w:val="21"/>
                <w:lang w:eastAsia="zh-CN"/>
              </w:rPr>
              <w:t>3.6由于中标人的原因，在货到一周内未进行安装调试，或安装调试时间超过正常要求（30日），每超过一天应给付采购人的违约金为合同总额的1%。违约金不足以弥补采购人损失的，中标人应承担相应损失。情节严重者，采购人将依法律程序要求中标人进行索赔。</w:t>
            </w:r>
          </w:p>
        </w:tc>
      </w:tr>
      <w:tr>
        <w:tblPrEx>
          <w:tblW w:w="5000" w:type="pct"/>
          <w:tblInd w:w="108" w:type="dxa"/>
          <w:tblLayout w:type="fixed"/>
          <w:tblCellMar>
            <w:top w:w="0" w:type="dxa"/>
            <w:left w:w="108" w:type="dxa"/>
            <w:bottom w:w="0" w:type="dxa"/>
            <w:right w:w="108" w:type="dxa"/>
          </w:tblCellMar>
        </w:tblPrEx>
        <w:trPr>
          <w:trHeight w:val="1955"/>
        </w:trPr>
        <w:tc>
          <w:tcPr>
            <w:tcW w:w="1123" w:type="dxa"/>
            <w:vMerge/>
            <w:tcBorders>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p>
        </w:tc>
        <w:tc>
          <w:tcPr>
            <w:tcW w:w="1757" w:type="dxa"/>
            <w:vMerge/>
            <w:tcBorders>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3.7中标人违约或给采购人造成损失的，应承担采购人的维权费用（包括但不限于诉讼费，财产保全担保费，律师费，调查取证费，鉴定费，交通费，差旅费等）。在合同履行过程中，如双方发生分歧或纠纷，应首先通过友好协商方式解决，协商未果，任何一方均可向采购人所在地有管辖权的人民法院提起诉讼。</w:t>
            </w:r>
          </w:p>
        </w:tc>
      </w:tr>
      <w:tr>
        <w:tblPrEx>
          <w:tblW w:w="5000" w:type="pct"/>
          <w:tblInd w:w="108" w:type="dxa"/>
          <w:tblLayout w:type="fixed"/>
          <w:tblCellMar>
            <w:top w:w="0" w:type="dxa"/>
            <w:left w:w="108" w:type="dxa"/>
            <w:bottom w:w="0" w:type="dxa"/>
            <w:right w:w="108" w:type="dxa"/>
          </w:tblCellMar>
        </w:tblPrEx>
        <w:trPr>
          <w:trHeight w:val="980"/>
        </w:trPr>
        <w:tc>
          <w:tcPr>
            <w:tcW w:w="1123" w:type="dxa"/>
            <w:vMerge/>
            <w:tcBorders>
              <w:left w:val="single" w:sz="4" w:space="0" w:color="auto"/>
              <w:bottom w:val="single" w:sz="4" w:space="0" w:color="auto"/>
              <w:right w:val="single" w:sz="4" w:space="0" w:color="auto"/>
            </w:tcBorders>
            <w:vAlign w:val="center"/>
          </w:tcPr>
          <w:p>
            <w:pPr>
              <w:widowControl w:val="0"/>
              <w:spacing w:after="160" w:line="259" w:lineRule="auto"/>
              <w:jc w:val="both"/>
              <w:rPr>
                <w:rFonts w:eastAsia="宋体"/>
                <w:kern w:val="2"/>
                <w:sz w:val="21"/>
                <w:lang w:eastAsia="zh-CN"/>
              </w:rPr>
            </w:pPr>
          </w:p>
        </w:tc>
        <w:tc>
          <w:tcPr>
            <w:tcW w:w="1757" w:type="dxa"/>
            <w:vMerge/>
            <w:tcBorders>
              <w:left w:val="single" w:sz="4" w:space="0" w:color="auto"/>
              <w:bottom w:val="single" w:sz="4" w:space="0" w:color="auto"/>
              <w:right w:val="single" w:sz="4" w:space="0" w:color="auto"/>
            </w:tcBorders>
            <w:vAlign w:val="center"/>
          </w:tcPr>
          <w:p>
            <w:pPr>
              <w:widowControl w:val="0"/>
              <w:spacing w:after="160" w:line="259" w:lineRule="auto"/>
              <w:jc w:val="both"/>
              <w:rPr>
                <w:rFonts w:eastAsia="宋体"/>
                <w:kern w:val="2"/>
                <w:sz w:val="21"/>
                <w:lang w:eastAsia="zh-CN"/>
              </w:rPr>
            </w:pP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3.8乙方提供的设备经调试验收合格后，在保修期内连续三个月内频繁（平均每月1次或1次以上）出现设备不能正常使用的情况，甲方有权选择要求乙方免费更换新机或者退货。</w:t>
            </w:r>
          </w:p>
        </w:tc>
      </w:tr>
      <w:tr>
        <w:tblPrEx>
          <w:tblW w:w="5000" w:type="pct"/>
          <w:tblInd w:w="108" w:type="dxa"/>
          <w:tblLayout w:type="fixed"/>
          <w:tblCellMar>
            <w:top w:w="0" w:type="dxa"/>
            <w:left w:w="108" w:type="dxa"/>
            <w:bottom w:w="0" w:type="dxa"/>
            <w:right w:w="108" w:type="dxa"/>
          </w:tblCellMar>
        </w:tblPrEx>
        <w:trPr>
          <w:trHeight w:val="350"/>
        </w:trPr>
        <w:tc>
          <w:tcPr>
            <w:tcW w:w="112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4</w:t>
            </w:r>
          </w:p>
        </w:tc>
        <w:tc>
          <w:tcPr>
            <w:tcW w:w="1757"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关于付款</w:t>
            </w: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
                <w:kern w:val="2"/>
                <w:sz w:val="21"/>
                <w:szCs w:val="21"/>
                <w:lang w:eastAsia="zh-CN"/>
              </w:rPr>
            </w:pPr>
            <w:r>
              <w:rPr>
                <w:rFonts w:ascii="仿宋_GB2312" w:eastAsia="仿宋_GB2312" w:hAnsi="仿宋_GB2312" w:cs="仿宋_GB2312" w:hint="eastAsia"/>
                <w:kern w:val="2"/>
                <w:sz w:val="21"/>
                <w:szCs w:val="21"/>
                <w:lang w:eastAsia="zh-CN"/>
              </w:rPr>
              <w:t>★采购人收到中标人提供的货物验收合格且完成设备使用培训后，由中标人按照合同金额开具税务发票，采购人支付货款95%；剩余5%尾款，于乙方提供免费维保年限一致的原厂维保承诺函及原厂维保合同，经采购人确认后不计息支付，收到发票后10个工作日内支付。中标人须提供正确的资金账户，因资金账户异常而导致采购人无法支付的，采购人不承担违约责任，给采购人造成实际损失的，中标人应承担相应的赔偿责任。</w:t>
            </w:r>
          </w:p>
        </w:tc>
      </w:tr>
      <w:tr>
        <w:tblPrEx>
          <w:tblW w:w="5000" w:type="pct"/>
          <w:tblInd w:w="108" w:type="dxa"/>
          <w:tblLayout w:type="fixed"/>
          <w:tblCellMar>
            <w:top w:w="0" w:type="dxa"/>
            <w:left w:w="108" w:type="dxa"/>
            <w:bottom w:w="0" w:type="dxa"/>
            <w:right w:w="108" w:type="dxa"/>
          </w:tblCellMar>
        </w:tblPrEx>
        <w:trPr>
          <w:trHeight w:val="350"/>
        </w:trPr>
        <w:tc>
          <w:tcPr>
            <w:tcW w:w="112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5</w:t>
            </w:r>
          </w:p>
        </w:tc>
        <w:tc>
          <w:tcPr>
            <w:tcW w:w="1757"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报价要求</w:t>
            </w: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kern w:val="2"/>
                <w:sz w:val="21"/>
                <w:szCs w:val="21"/>
                <w:lang w:eastAsia="zh-CN"/>
              </w:rPr>
              <w:t>★</w:t>
            </w:r>
            <w:r>
              <w:rPr>
                <w:rFonts w:ascii="仿宋_GB2312" w:eastAsia="仿宋_GB2312" w:hAnsi="仿宋_GB2312" w:cs="仿宋_GB2312" w:hint="eastAsia"/>
                <w:bCs/>
                <w:kern w:val="2"/>
                <w:sz w:val="21"/>
                <w:szCs w:val="21"/>
                <w:lang w:eastAsia="zh-CN"/>
              </w:rPr>
              <w:t>投标总价是完成该项目的一切费用总和，包括完成采购项目所需的一切费用，即：设备费、软件费、税费、运输费、装卸费、安装费、调试费、培训费、计量及技术服务费、外贸服务费和一切不可预见等费用，项目结算时不做任何单价或费用的调整(因数量变更除外)。</w:t>
            </w:r>
          </w:p>
        </w:tc>
      </w:tr>
      <w:tr>
        <w:tblPrEx>
          <w:tblW w:w="5000" w:type="pct"/>
          <w:tblInd w:w="108" w:type="dxa"/>
          <w:tblLayout w:type="fixed"/>
          <w:tblCellMar>
            <w:top w:w="0" w:type="dxa"/>
            <w:left w:w="108" w:type="dxa"/>
            <w:bottom w:w="0" w:type="dxa"/>
            <w:right w:w="108" w:type="dxa"/>
          </w:tblCellMar>
        </w:tblPrEx>
        <w:trPr>
          <w:trHeight w:val="350"/>
        </w:trPr>
        <w:tc>
          <w:tcPr>
            <w:tcW w:w="112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6</w:t>
            </w:r>
          </w:p>
        </w:tc>
        <w:tc>
          <w:tcPr>
            <w:tcW w:w="1757"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质量要求</w:t>
            </w: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color w:val="FF0000"/>
                <w:kern w:val="2"/>
                <w:sz w:val="21"/>
                <w:szCs w:val="21"/>
                <w:lang w:eastAsia="zh-CN"/>
              </w:rPr>
            </w:pPr>
            <w:r>
              <w:rPr>
                <w:rFonts w:ascii="仿宋_GB2312" w:eastAsia="仿宋_GB2312" w:hAnsi="仿宋_GB2312" w:cs="仿宋_GB2312" w:hint="eastAsia"/>
                <w:kern w:val="2"/>
                <w:sz w:val="21"/>
                <w:szCs w:val="21"/>
                <w:lang w:eastAsia="zh-CN"/>
              </w:rPr>
              <w:t>★</w:t>
            </w:r>
            <w:r>
              <w:rPr>
                <w:rFonts w:ascii="仿宋_GB2312" w:eastAsia="仿宋_GB2312" w:hAnsi="仿宋_GB2312" w:cs="仿宋_GB2312" w:hint="eastAsia"/>
                <w:bCs/>
                <w:kern w:val="2"/>
                <w:sz w:val="21"/>
                <w:szCs w:val="21"/>
                <w:lang w:eastAsia="zh-CN"/>
              </w:rPr>
              <w:t>投标人保证所提供的产品必须是生产日期在一年内未使用过的原厂全新产品（包括零部件），符合国家或省级行业质量标准。确保产品投入使用前，按照国家规定办理好产品所有启用所需的资质证件。</w:t>
            </w:r>
          </w:p>
        </w:tc>
      </w:tr>
      <w:tr>
        <w:tblPrEx>
          <w:tblW w:w="5000" w:type="pct"/>
          <w:tblInd w:w="108" w:type="dxa"/>
          <w:tblLayout w:type="fixed"/>
          <w:tblCellMar>
            <w:top w:w="0" w:type="dxa"/>
            <w:left w:w="108" w:type="dxa"/>
            <w:bottom w:w="0" w:type="dxa"/>
            <w:right w:w="108" w:type="dxa"/>
          </w:tblCellMar>
        </w:tblPrEx>
        <w:trPr>
          <w:trHeight w:val="350"/>
        </w:trPr>
        <w:tc>
          <w:tcPr>
            <w:tcW w:w="112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7</w:t>
            </w:r>
          </w:p>
        </w:tc>
        <w:tc>
          <w:tcPr>
            <w:tcW w:w="1757"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知识产权</w:t>
            </w: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highlight w:val="yellow"/>
                <w:lang w:eastAsia="zh-CN"/>
              </w:rPr>
            </w:pPr>
            <w:r>
              <w:rPr>
                <w:rFonts w:ascii="仿宋_GB2312" w:eastAsia="仿宋_GB2312" w:hAnsi="仿宋_GB2312" w:cs="仿宋_GB2312" w:hint="eastAsia"/>
                <w:bCs/>
                <w:kern w:val="2"/>
                <w:sz w:val="21"/>
                <w:szCs w:val="21"/>
                <w:lang w:eastAsia="zh-CN"/>
              </w:rPr>
              <w:t>中标人应保证采购人在使用该货物或其任何一部分时，终身免受第三方提出的侵犯其专利权、商标权、著作权或其他知识产权的起诉。中标人保证所提供软件的合法性，所发生的任何知识产权纠纷与采购人无关。若因为知识产权纠纷造成的一切损害赔偿及损失由中标人承担，包括但不限于实际损失、预期损失和对方要求赔偿损失及支出的诉讼费、律师费、交通费和差旅费等。</w:t>
            </w:r>
          </w:p>
        </w:tc>
      </w:tr>
      <w:tr>
        <w:tblPrEx>
          <w:tblW w:w="5000" w:type="pct"/>
          <w:tblInd w:w="108" w:type="dxa"/>
          <w:tblLayout w:type="fixed"/>
          <w:tblCellMar>
            <w:top w:w="0" w:type="dxa"/>
            <w:left w:w="108" w:type="dxa"/>
            <w:bottom w:w="0" w:type="dxa"/>
            <w:right w:w="108" w:type="dxa"/>
          </w:tblCellMar>
        </w:tblPrEx>
        <w:trPr>
          <w:trHeight w:val="1920"/>
        </w:trPr>
        <w:tc>
          <w:tcPr>
            <w:tcW w:w="1123" w:type="dxa"/>
            <w:tcBorders>
              <w:top w:val="nil"/>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8</w:t>
            </w:r>
          </w:p>
        </w:tc>
        <w:tc>
          <w:tcPr>
            <w:tcW w:w="1757" w:type="dxa"/>
            <w:tcBorders>
              <w:top w:val="nil"/>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项目（产品）</w:t>
            </w:r>
          </w:p>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要求</w:t>
            </w:r>
          </w:p>
        </w:tc>
        <w:tc>
          <w:tcPr>
            <w:tcW w:w="594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
                <w:color w:val="FF0000"/>
                <w:kern w:val="2"/>
                <w:sz w:val="21"/>
                <w:szCs w:val="21"/>
                <w:lang w:eastAsia="zh-CN"/>
              </w:rPr>
            </w:pPr>
            <w:r>
              <w:rPr>
                <w:rFonts w:ascii="仿宋_GB2312" w:eastAsia="仿宋_GB2312" w:hAnsi="仿宋_GB2312" w:cs="仿宋_GB2312" w:hint="eastAsia"/>
                <w:color w:val="FF0000"/>
                <w:kern w:val="2"/>
                <w:sz w:val="21"/>
                <w:szCs w:val="21"/>
                <w:lang w:eastAsia="zh-CN"/>
              </w:rPr>
              <w:t>★8</w:t>
            </w:r>
            <w:r>
              <w:rPr>
                <w:rFonts w:ascii="仿宋_GB2312" w:eastAsia="仿宋_GB2312" w:hAnsi="仿宋_GB2312" w:cs="仿宋_GB2312" w:hint="eastAsia"/>
                <w:b/>
                <w:color w:val="FF0000"/>
                <w:kern w:val="2"/>
                <w:sz w:val="21"/>
                <w:szCs w:val="21"/>
                <w:lang w:eastAsia="zh-CN"/>
              </w:rPr>
              <w:t>投标人所投产品具备相关主管部门要求的认证资料：所投产品为第一类医疗器械的，提供监督管理部门签发的有效的《医疗器械备案凭证》扫描件；所投产品为第二、三类医疗器械的，提供监督管理部门签发的涵盖所投产品的《医疗器械注册证》(有效期内)扫描件。</w:t>
            </w:r>
          </w:p>
        </w:tc>
      </w:tr>
    </w:tbl>
    <w:p>
      <w:pPr>
        <w:widowControl w:val="0"/>
        <w:spacing w:before="78" w:beforeLines="25" w:after="78" w:afterLines="25" w:line="259" w:lineRule="auto"/>
        <w:ind w:firstLine="0"/>
        <w:jc w:val="both"/>
        <w:rPr>
          <w:rFonts w:ascii="宋体" w:eastAsia="宋体" w:hAnsi="宋体"/>
          <w:kern w:val="2"/>
          <w:sz w:val="21"/>
          <w:szCs w:val="21"/>
          <w:lang w:eastAsia="zh-CN"/>
        </w:rPr>
      </w:pPr>
    </w:p>
    <w:p>
      <w:pPr>
        <w:keepNext/>
        <w:keepLines/>
        <w:widowControl w:val="0"/>
        <w:adjustRightInd w:val="0"/>
        <w:spacing w:before="156" w:beforeLines="50" w:after="156" w:afterLines="50" w:line="240" w:lineRule="auto"/>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六、其他重要条款</w:t>
      </w:r>
    </w:p>
    <w:p>
      <w:pPr>
        <w:widowControl w:val="0"/>
        <w:spacing w:after="160" w:line="259" w:lineRule="auto"/>
        <w:ind w:firstLine="420" w:firstLineChars="2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widowControl w:val="0"/>
        <w:spacing w:after="160" w:line="259" w:lineRule="auto"/>
        <w:ind w:firstLine="420" w:firstLineChars="2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2、投标人应充分了解项目的位置、情况、道路及任何其他足以影响投标报价的情况，任何因忽视或误解项目情况而导致的索赔或服务期限延长申请将不获批准。</w:t>
      </w:r>
    </w:p>
    <w:p>
      <w:pPr>
        <w:widowControl w:val="0"/>
        <w:spacing w:after="160" w:line="259" w:lineRule="auto"/>
        <w:ind w:firstLine="420" w:firstLineChars="2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3、投标人不得期望通过索赔等方式获取补偿，否则，除可能遭到拒绝外，还可能将被作为不良行为记录在案，并可能影响其以后参加政府采购的项目投标。各投标人在投标报价时，应充分考虑投标报价的风险。</w:t>
      </w:r>
    </w:p>
    <w:p>
      <w:pPr>
        <w:widowControl w:val="0"/>
        <w:spacing w:after="160" w:line="259" w:lineRule="auto"/>
        <w:ind w:firstLine="420" w:firstLineChars="2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4、鼓励采购人积极运用公共信用信息，明确对信用记录良好的供应商（特别是中小微企业）免收履约保证金，确需收取履约保证金的，列明通过保函等非现金方式收取。在采购合同中明确对上述企业加大首付款或预付款比例，具体由采购人根据项目实际情况确定。</w:t>
      </w:r>
    </w:p>
    <w:p>
      <w:pPr>
        <w:widowControl w:val="0"/>
        <w:spacing w:after="160" w:line="259" w:lineRule="auto"/>
        <w:ind w:firstLine="420" w:firstLineChars="2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5、除采购合同继续履行将损害国家利益和社会公共利益外，双方当事人不得擅自变更、中止或者终止合同。</w:t>
      </w:r>
    </w:p>
    <w:p>
      <w:pPr>
        <w:widowControl w:val="0"/>
        <w:spacing w:after="160" w:line="360" w:lineRule="auto"/>
        <w:jc w:val="both"/>
        <w:rPr>
          <w:rFonts w:ascii="宋体" w:eastAsia="宋体" w:hAnsi="宋体"/>
          <w:b/>
          <w:bCs/>
          <w:kern w:val="2"/>
          <w:lang w:eastAsia="zh-CN"/>
        </w:rPr>
      </w:pPr>
    </w:p>
    <w:p>
      <w:pPr>
        <w:widowControl/>
        <w:spacing w:after="160" w:line="259" w:lineRule="auto"/>
        <w:ind w:firstLine="420" w:firstLineChars="200"/>
        <w:jc w:val="left"/>
        <w:rPr>
          <w:rFonts w:ascii="宋体" w:eastAsia="宋体" w:hAnsi="宋体"/>
          <w:b/>
          <w:bCs/>
          <w:kern w:val="2"/>
          <w:szCs w:val="20"/>
          <w:lang w:eastAsia="zh-CN"/>
        </w:rPr>
      </w:pPr>
      <w:r>
        <w:rPr>
          <w:rFonts w:eastAsia="宋体"/>
          <w:kern w:val="2"/>
          <w:sz w:val="21"/>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after="160" w:line="259" w:lineRule="auto"/>
        <w:jc w:val="both"/>
        <w:rPr>
          <w:rFonts w:ascii="宋体" w:eastAsia="宋体" w:hAnsi="宋体"/>
          <w:b/>
          <w:bCs/>
          <w:kern w:val="2"/>
          <w:lang w:eastAsia="zh-CN"/>
        </w:rPr>
      </w:pPr>
      <w:r>
        <w:rPr>
          <w:rFonts w:ascii="宋体" w:eastAsia="宋体" w:hAnsi="宋体" w:hint="eastAsia"/>
          <w:b/>
          <w:bCs/>
          <w:kern w:val="2"/>
          <w:lang w:eastAsia="zh-CN"/>
        </w:rPr>
        <w:t>投标文件组成，主要包括以下内容：</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（1）</w:t>
      </w:r>
      <w:bookmarkStart w:id="40" w:name="_Hlk72070784"/>
      <w:r>
        <w:rPr>
          <w:rFonts w:eastAsia="宋体" w:hint="eastAsia"/>
          <w:kern w:val="2"/>
          <w:sz w:val="21"/>
          <w:szCs w:val="21"/>
          <w:lang w:eastAsia="zh-CN"/>
        </w:rPr>
        <w:t>投标函</w:t>
      </w:r>
      <w:bookmarkEnd w:id="40"/>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（2）采购投标及履约承诺函</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kern w:val="2"/>
          <w:sz w:val="21"/>
          <w:szCs w:val="21"/>
          <w:lang w:eastAsia="zh-CN"/>
        </w:rPr>
        <w:t>3</w:t>
      </w:r>
      <w:r>
        <w:rPr>
          <w:rFonts w:eastAsia="宋体" w:hint="eastAsia"/>
          <w:kern w:val="2"/>
          <w:sz w:val="21"/>
          <w:szCs w:val="21"/>
          <w:lang w:eastAsia="zh-CN"/>
        </w:rPr>
        <w:t>）投标人情况及资格证明文件</w:t>
      </w:r>
    </w:p>
    <w:p>
      <w:pPr>
        <w:widowControl w:val="0"/>
        <w:spacing w:after="160" w:line="259" w:lineRule="auto"/>
        <w:ind w:firstLine="420" w:firstLineChars="200"/>
        <w:jc w:val="both"/>
        <w:rPr>
          <w:rFonts w:eastAsia="宋体"/>
          <w:kern w:val="2"/>
          <w:sz w:val="21"/>
          <w:szCs w:val="21"/>
          <w:lang w:eastAsia="zh-CN"/>
        </w:rPr>
      </w:pPr>
      <w:bookmarkStart w:id="41" w:name="_Hlk72257201"/>
      <w:r>
        <w:rPr>
          <w:rFonts w:eastAsia="宋体" w:hint="eastAsia"/>
          <w:kern w:val="2"/>
          <w:sz w:val="21"/>
          <w:szCs w:val="21"/>
          <w:lang w:eastAsia="zh-CN"/>
        </w:rPr>
        <w:t>（</w:t>
      </w:r>
      <w:r>
        <w:rPr>
          <w:rFonts w:eastAsia="宋体"/>
          <w:kern w:val="2"/>
          <w:sz w:val="21"/>
          <w:szCs w:val="21"/>
          <w:lang w:eastAsia="zh-CN"/>
        </w:rPr>
        <w:t>4</w:t>
      </w:r>
      <w:r>
        <w:rPr>
          <w:rFonts w:eastAsia="宋体" w:hint="eastAsia"/>
          <w:kern w:val="2"/>
          <w:sz w:val="21"/>
          <w:szCs w:val="21"/>
          <w:lang w:eastAsia="zh-CN"/>
        </w:rPr>
        <w:t>）项目详细报价</w:t>
      </w:r>
    </w:p>
    <w:bookmarkEnd w:id="41"/>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（5）法定代表人（负责人）证明书</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（6）投标文件签署授权委托书</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（7）实质性条款响应情况表</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（8）技术要求偏离表</w:t>
      </w:r>
    </w:p>
    <w:p>
      <w:pPr>
        <w:widowControl w:val="0"/>
        <w:spacing w:after="160" w:line="259" w:lineRule="auto"/>
        <w:ind w:firstLine="420" w:firstLineChars="200"/>
        <w:jc w:val="both"/>
        <w:rPr>
          <w:rFonts w:eastAsia="宋体" w:hint="eastAsia"/>
          <w:kern w:val="2"/>
          <w:sz w:val="21"/>
          <w:szCs w:val="21"/>
          <w:lang w:eastAsia="zh-CN"/>
        </w:rPr>
      </w:pPr>
      <w:r>
        <w:rPr>
          <w:rFonts w:eastAsia="宋体" w:hint="eastAsia"/>
          <w:kern w:val="2"/>
          <w:sz w:val="21"/>
          <w:szCs w:val="21"/>
          <w:lang w:eastAsia="zh-CN"/>
        </w:rPr>
        <w:t>（9）商务要求偏离表</w:t>
      </w:r>
    </w:p>
    <w:p>
      <w:pPr>
        <w:widowControl w:val="0"/>
        <w:spacing w:after="160" w:line="259" w:lineRule="auto"/>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10</w:t>
      </w:r>
      <w:r>
        <w:rPr>
          <w:rFonts w:eastAsia="宋体" w:hint="eastAsia"/>
          <w:kern w:val="2"/>
          <w:sz w:val="21"/>
          <w:szCs w:val="21"/>
          <w:lang w:eastAsia="zh-CN"/>
        </w:rPr>
        <w:t>）技术保障措施</w:t>
      </w:r>
    </w:p>
    <w:p>
      <w:pPr>
        <w:widowControl w:val="0"/>
        <w:spacing w:after="160" w:line="259" w:lineRule="auto"/>
        <w:ind w:firstLine="420" w:firstLineChars="200"/>
        <w:jc w:val="left"/>
        <w:rPr>
          <w:rFonts w:eastAsia="宋体"/>
          <w:kern w:val="2"/>
          <w:sz w:val="21"/>
          <w:lang w:eastAsia="zh-CN"/>
        </w:rPr>
      </w:pPr>
      <w:r>
        <w:rPr>
          <w:rFonts w:eastAsia="宋体" w:hint="eastAsia"/>
          <w:kern w:val="2"/>
          <w:sz w:val="21"/>
          <w:szCs w:val="21"/>
          <w:lang w:eastAsia="zh-CN"/>
        </w:rPr>
        <w:t>（1</w:t>
      </w:r>
      <w:r>
        <w:rPr>
          <w:rFonts w:eastAsia="宋体" w:hint="eastAsia"/>
          <w:kern w:val="2"/>
          <w:sz w:val="21"/>
          <w:szCs w:val="21"/>
          <w:lang w:eastAsia="zh-CN"/>
        </w:rPr>
        <w:t>1</w:t>
      </w:r>
      <w:r>
        <w:rPr>
          <w:rFonts w:eastAsia="宋体" w:hint="eastAsia"/>
          <w:kern w:val="2"/>
          <w:sz w:val="21"/>
          <w:szCs w:val="21"/>
          <w:lang w:eastAsia="zh-CN"/>
        </w:rPr>
        <w:t>）供应商同类业绩</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2</w:t>
      </w:r>
      <w:r>
        <w:rPr>
          <w:rFonts w:eastAsia="宋体" w:hint="eastAsia"/>
          <w:kern w:val="2"/>
          <w:sz w:val="21"/>
          <w:szCs w:val="21"/>
          <w:lang w:eastAsia="zh-CN"/>
        </w:rPr>
        <w:t>）投标人认为需要加以说明的其他内容（格式自定）</w:t>
      </w:r>
    </w:p>
    <w:p>
      <w:pPr>
        <w:widowControl w:val="0"/>
        <w:spacing w:after="160" w:line="259" w:lineRule="auto"/>
        <w:ind w:firstLine="420" w:firstLineChars="200"/>
        <w:jc w:val="both"/>
        <w:rPr>
          <w:rFonts w:eastAsia="宋体"/>
          <w:kern w:val="2"/>
          <w:sz w:val="21"/>
          <w:szCs w:val="21"/>
          <w:lang w:eastAsia="zh-CN"/>
        </w:rPr>
      </w:pPr>
    </w:p>
    <w:p>
      <w:pPr>
        <w:widowControl w:val="0"/>
        <w:spacing w:after="160" w:line="259" w:lineRule="auto"/>
        <w:ind w:firstLine="424" w:firstLineChars="202"/>
        <w:jc w:val="both"/>
        <w:rPr>
          <w:rFonts w:ascii="宋体" w:eastAsia="宋体" w:hAnsi="宋体"/>
          <w:b/>
          <w:kern w:val="2"/>
          <w:sz w:val="21"/>
          <w:szCs w:val="21"/>
          <w:lang w:eastAsia="zh-CN"/>
        </w:rPr>
      </w:pPr>
      <w:r>
        <w:rPr>
          <w:rFonts w:ascii="宋体" w:eastAsia="宋体" w:hAnsi="宋体" w:hint="eastAsia"/>
          <w:b/>
          <w:kern w:val="2"/>
          <w:sz w:val="21"/>
          <w:szCs w:val="21"/>
          <w:lang w:eastAsia="zh-CN"/>
        </w:rPr>
        <w:t>备注：</w:t>
      </w:r>
    </w:p>
    <w:p>
      <w:pPr>
        <w:widowControl w:val="0"/>
        <w:spacing w:after="160" w:line="259" w:lineRule="auto"/>
        <w:ind w:firstLine="424" w:firstLineChars="202"/>
        <w:jc w:val="both"/>
        <w:rPr>
          <w:rFonts w:ascii="宋体" w:eastAsia="宋体" w:hAnsi="宋体"/>
          <w:b/>
          <w:kern w:val="2"/>
          <w:sz w:val="21"/>
          <w:szCs w:val="21"/>
          <w:lang w:eastAsia="zh-CN"/>
        </w:rPr>
      </w:pPr>
      <w:r>
        <w:rPr>
          <w:rFonts w:ascii="宋体" w:eastAsia="宋体" w:hAnsi="宋体" w:hint="eastAsia"/>
          <w:b/>
          <w:kern w:val="2"/>
          <w:sz w:val="21"/>
          <w:szCs w:val="21"/>
          <w:lang w:eastAsia="zh-CN"/>
        </w:rPr>
        <w:t>1.本项目为网上电子投标项目，投标文件不需法人或授权委托人另行签字，无需加盖单位公章，招标文件专用条款另有规定的除外。</w:t>
      </w:r>
    </w:p>
    <w:p>
      <w:pPr>
        <w:widowControl w:val="0"/>
        <w:spacing w:after="160" w:line="259" w:lineRule="auto"/>
        <w:ind w:firstLine="424" w:firstLineChars="202"/>
        <w:jc w:val="both"/>
        <w:rPr>
          <w:rFonts w:ascii="宋体" w:eastAsia="宋体" w:hAnsi="宋体"/>
          <w:b/>
          <w:kern w:val="2"/>
          <w:sz w:val="21"/>
          <w:szCs w:val="21"/>
          <w:lang w:eastAsia="zh-CN"/>
        </w:rPr>
      </w:pPr>
      <w:r>
        <w:rPr>
          <w:rFonts w:ascii="宋体" w:eastAsia="宋体" w:hAnsi="宋体" w:hint="eastAsia"/>
          <w:b/>
          <w:kern w:val="2"/>
          <w:sz w:val="21"/>
          <w:szCs w:val="21"/>
          <w:lang w:eastAsia="zh-CN"/>
        </w:rPr>
        <w:t>2.关于填写“开标一览表”的说明：“开标一览表”中除“投标报价”外，其他信息不作评审依据。</w:t>
      </w:r>
    </w:p>
    <w:p>
      <w:pPr>
        <w:widowControl w:val="0"/>
        <w:spacing w:after="160" w:line="259" w:lineRule="auto"/>
        <w:jc w:val="left"/>
        <w:rPr>
          <w:rFonts w:ascii="宋体" w:eastAsia="宋体" w:hAnsi="宋体"/>
          <w:b/>
          <w:color w:val="FF0000"/>
          <w:kern w:val="2"/>
          <w:sz w:val="36"/>
          <w:szCs w:val="36"/>
          <w:lang w:eastAsia="zh-CN"/>
        </w:rPr>
      </w:pPr>
      <w:r>
        <w:rPr>
          <w:rFonts w:ascii="宋体" w:eastAsia="宋体" w:hAnsi="宋体" w:hint="eastAsia"/>
          <w:b/>
          <w:color w:val="FF0000"/>
          <w:kern w:val="2"/>
          <w:sz w:val="36"/>
          <w:szCs w:val="36"/>
          <w:lang w:eastAsia="zh-CN"/>
        </w:rPr>
        <w:br w:type="page"/>
      </w:r>
    </w:p>
    <w:p>
      <w:pPr>
        <w:keepNext/>
        <w:keepLines/>
        <w:widowControl w:val="0"/>
        <w:spacing w:before="260" w:after="260" w:line="240" w:lineRule="auto"/>
        <w:jc w:val="center"/>
        <w:outlineLvl w:val="2"/>
        <w:rPr>
          <w:rFonts w:ascii="黑体" w:eastAsia="黑体" w:hAnsi="宋体"/>
          <w:bCs/>
          <w:szCs w:val="32"/>
          <w:lang w:eastAsia="zh-CN"/>
        </w:rPr>
      </w:pPr>
      <w:r>
        <w:rPr>
          <w:rFonts w:ascii="黑体" w:eastAsia="黑体" w:hAnsi="宋体" w:hint="eastAsia"/>
          <w:bCs/>
          <w:szCs w:val="32"/>
          <w:lang w:eastAsia="zh-CN"/>
        </w:rPr>
        <w:t>一、投标函</w:t>
      </w:r>
    </w:p>
    <w:p>
      <w:pPr>
        <w:widowControl w:val="0"/>
        <w:spacing w:after="160" w:line="360" w:lineRule="auto"/>
        <w:jc w:val="both"/>
        <w:rPr>
          <w:rFonts w:ascii="宋体" w:eastAsia="宋体" w:hAnsi="宋体"/>
          <w:color w:val="000000"/>
          <w:kern w:val="2"/>
          <w:sz w:val="21"/>
          <w:szCs w:val="21"/>
          <w:lang w:eastAsia="zh-CN"/>
        </w:rPr>
      </w:pPr>
      <w:r>
        <w:rPr>
          <w:rFonts w:ascii="宋体" w:eastAsia="宋体" w:hAnsi="宋体" w:hint="eastAsia"/>
          <w:kern w:val="2"/>
          <w:sz w:val="21"/>
          <w:szCs w:val="21"/>
          <w:lang w:eastAsia="zh-CN"/>
        </w:rPr>
        <w:t>致：</w:t>
      </w:r>
      <w:r>
        <w:rPr>
          <w:rFonts w:ascii="宋体" w:eastAsia="宋体" w:hAnsi="宋体" w:hint="eastAsia"/>
          <w:kern w:val="2"/>
          <w:sz w:val="21"/>
          <w:szCs w:val="21"/>
          <w:u w:val="single"/>
          <w:lang w:eastAsia="zh-CN"/>
        </w:rPr>
        <w:t xml:space="preserve"> </w:t>
      </w:r>
      <w:r>
        <w:rPr>
          <w:rFonts w:ascii="宋体" w:eastAsia="宋体" w:hAnsi="宋体" w:hint="eastAsia"/>
          <w:color w:val="000000"/>
          <w:kern w:val="2"/>
          <w:sz w:val="21"/>
          <w:szCs w:val="21"/>
          <w:u w:val="single"/>
          <w:lang w:eastAsia="zh-CN"/>
        </w:rPr>
        <w:t xml:space="preserve"> 深圳公共资源交易中心  </w:t>
      </w:r>
    </w:p>
    <w:p>
      <w:pPr>
        <w:widowControl w:val="0"/>
        <w:spacing w:after="160" w:line="259" w:lineRule="auto"/>
        <w:ind w:firstLine="420" w:firstLineChars="200"/>
        <w:jc w:val="both"/>
        <w:rPr>
          <w:rFonts w:ascii="宋体" w:eastAsia="宋体" w:hAnsi="宋体"/>
          <w:kern w:val="2"/>
          <w:sz w:val="21"/>
          <w:szCs w:val="21"/>
          <w:lang w:eastAsia="zh-CN"/>
        </w:rPr>
      </w:pPr>
      <w:bookmarkStart w:id="42" w:name="_Hlk73818812"/>
      <w:r>
        <w:rPr>
          <w:rFonts w:eastAsia="宋体" w:hint="eastAsia"/>
          <w:kern w:val="2"/>
          <w:sz w:val="21"/>
          <w:szCs w:val="21"/>
          <w:lang w:eastAsia="zh-CN"/>
        </w:rPr>
        <w:t>1、根据已收到贵单位的项目编号为</w:t>
      </w:r>
      <w:r>
        <w:rPr>
          <w:rFonts w:eastAsia="宋体"/>
          <w:kern w:val="2"/>
          <w:sz w:val="21"/>
          <w:szCs w:val="21"/>
          <w:u w:val="single"/>
          <w:lang w:eastAsia="zh-CN"/>
        </w:rPr>
        <w:t xml:space="preserve">   </w:t>
      </w:r>
      <w:r>
        <w:rPr>
          <w:rFonts w:eastAsia="宋体" w:hint="eastAsia"/>
          <w:kern w:val="2"/>
          <w:sz w:val="21"/>
          <w:szCs w:val="21"/>
          <w:u w:val="single"/>
          <w:lang w:eastAsia="zh-CN"/>
        </w:rPr>
        <w:t xml:space="preserve">     </w:t>
      </w:r>
      <w:r>
        <w:rPr>
          <w:rFonts w:eastAsia="宋体" w:hint="eastAsia"/>
          <w:kern w:val="2"/>
          <w:sz w:val="21"/>
          <w:szCs w:val="21"/>
          <w:lang w:eastAsia="zh-CN"/>
        </w:rPr>
        <w:t>的</w:t>
      </w:r>
      <w:r>
        <w:rPr>
          <w:rFonts w:eastAsia="宋体" w:hint="eastAsia"/>
          <w:kern w:val="2"/>
          <w:sz w:val="21"/>
          <w:szCs w:val="21"/>
          <w:u w:val="single"/>
          <w:lang w:eastAsia="zh-CN"/>
        </w:rPr>
        <w:t xml:space="preserve">               </w:t>
      </w:r>
      <w:r>
        <w:rPr>
          <w:rFonts w:eastAsia="宋体"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43" w:name="_Hlk72263588"/>
      <w:r>
        <w:rPr>
          <w:rFonts w:eastAsia="宋体" w:hint="eastAsia"/>
          <w:kern w:val="2"/>
          <w:sz w:val="21"/>
          <w:szCs w:val="21"/>
          <w:lang w:eastAsia="zh-CN"/>
        </w:rPr>
        <w:t>愿意按照招标文件要求承包上述项目并修补其任何缺陷。</w:t>
      </w:r>
      <w:bookmarkEnd w:id="43"/>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、投标价格见</w:t>
      </w:r>
      <w:r>
        <w:rPr>
          <w:rFonts w:eastAsia="宋体" w:hint="eastAsia"/>
          <w:kern w:val="2"/>
          <w:sz w:val="21"/>
          <w:szCs w:val="21"/>
          <w:lang w:eastAsia="zh-CN"/>
        </w:rPr>
        <w:t>投标书编制软件中《开标一览表》中填写的投标报价。</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3、如果我单位中标，我单位将按照招标文件的要求提交履约担保。</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5、除非另外达成协议并生效，贵单位的中标通知书和本投标文件将构成合同的重要内容。</w:t>
      </w:r>
    </w:p>
    <w:p>
      <w:pPr>
        <w:widowControl w:val="0"/>
        <w:spacing w:after="160" w:line="259" w:lineRule="auto"/>
        <w:ind w:left="585" w:hanging="105" w:leftChars="200" w:hangingChars="50"/>
        <w:jc w:val="both"/>
        <w:rPr>
          <w:rFonts w:ascii="宋体" w:eastAsia="宋体" w:hAnsi="宋体"/>
          <w:kern w:val="2"/>
          <w:sz w:val="21"/>
          <w:szCs w:val="21"/>
          <w:lang w:eastAsia="zh-CN"/>
        </w:rPr>
      </w:pPr>
      <w:r>
        <w:rPr>
          <w:rFonts w:ascii="宋体" w:eastAsia="宋体" w:hAnsi="宋体" w:hint="eastAsia"/>
          <w:kern w:val="2"/>
          <w:sz w:val="21"/>
          <w:szCs w:val="21"/>
          <w:lang w:eastAsia="zh-CN"/>
        </w:rPr>
        <w:t>6、我单位理解贵单位将不受必须接受所收到的最低报价或其他任何投标文件的约束。</w:t>
      </w:r>
      <w:bookmarkEnd w:id="42"/>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7、如我单位按项目要求提供样品，且未在规定时间内取回样品的，视同放弃取回，同意深圳公共资源交易中心对样品进行清理。</w:t>
      </w:r>
    </w:p>
    <w:p>
      <w:pPr>
        <w:widowControl w:val="0"/>
        <w:spacing w:after="160" w:line="259" w:lineRule="auto"/>
        <w:ind w:left="617" w:leftChars="257"/>
        <w:jc w:val="both"/>
        <w:rPr>
          <w:rFonts w:eastAsia="宋体"/>
          <w:kern w:val="2"/>
          <w:sz w:val="21"/>
          <w:szCs w:val="21"/>
          <w:u w:val="single"/>
          <w:lang w:eastAsia="zh-CN"/>
        </w:rPr>
      </w:pPr>
      <w:r>
        <w:rPr>
          <w:rFonts w:eastAsia="宋体" w:hint="eastAsia"/>
          <w:kern w:val="2"/>
          <w:sz w:val="21"/>
          <w:szCs w:val="21"/>
          <w:lang w:eastAsia="zh-CN"/>
        </w:rPr>
        <w:t>投标人：</w:t>
      </w:r>
      <w:r>
        <w:rPr>
          <w:rFonts w:eastAsia="宋体" w:hint="eastAsia"/>
          <w:kern w:val="2"/>
          <w:sz w:val="21"/>
          <w:szCs w:val="21"/>
          <w:u w:val="single"/>
          <w:lang w:eastAsia="zh-CN"/>
        </w:rPr>
        <w:t xml:space="preserve">                   </w:t>
      </w:r>
      <w:r>
        <w:rPr>
          <w:rFonts w:eastAsia="宋体" w:hint="eastAsia"/>
          <w:kern w:val="2"/>
          <w:sz w:val="21"/>
          <w:szCs w:val="21"/>
          <w:lang w:eastAsia="zh-CN"/>
        </w:rPr>
        <w:t xml:space="preserve">    单位地址：</w:t>
      </w:r>
      <w:r>
        <w:rPr>
          <w:rFonts w:eastAsia="宋体" w:hint="eastAsia"/>
          <w:kern w:val="2"/>
          <w:sz w:val="21"/>
          <w:szCs w:val="21"/>
          <w:u w:val="single"/>
          <w:lang w:eastAsia="zh-CN"/>
        </w:rPr>
        <w:t xml:space="preserve">               </w:t>
      </w:r>
    </w:p>
    <w:p>
      <w:pPr>
        <w:widowControl w:val="0"/>
        <w:spacing w:after="160" w:line="259" w:lineRule="auto"/>
        <w:ind w:left="617" w:leftChars="257"/>
        <w:jc w:val="both"/>
        <w:rPr>
          <w:rFonts w:eastAsia="宋体"/>
          <w:kern w:val="2"/>
          <w:sz w:val="21"/>
          <w:szCs w:val="21"/>
          <w:u w:val="single"/>
          <w:lang w:eastAsia="zh-CN"/>
        </w:rPr>
      </w:pPr>
      <w:r>
        <w:rPr>
          <w:rFonts w:eastAsia="宋体" w:hint="eastAsia"/>
          <w:kern w:val="2"/>
          <w:sz w:val="21"/>
          <w:szCs w:val="21"/>
          <w:lang w:eastAsia="zh-CN"/>
        </w:rPr>
        <w:t>法定代表人（负责人）或其委托代理人：</w:t>
      </w:r>
      <w:r>
        <w:rPr>
          <w:rFonts w:eastAsia="宋体" w:hint="eastAsia"/>
          <w:kern w:val="2"/>
          <w:sz w:val="21"/>
          <w:szCs w:val="21"/>
          <w:u w:val="single"/>
          <w:lang w:eastAsia="zh-CN"/>
        </w:rPr>
        <w:t xml:space="preserve">                   </w:t>
      </w:r>
    </w:p>
    <w:p>
      <w:pPr>
        <w:widowControl w:val="0"/>
        <w:spacing w:after="160" w:line="259" w:lineRule="auto"/>
        <w:ind w:left="617" w:leftChars="257"/>
        <w:jc w:val="both"/>
        <w:rPr>
          <w:rFonts w:eastAsia="宋体"/>
          <w:kern w:val="2"/>
          <w:sz w:val="21"/>
          <w:szCs w:val="21"/>
          <w:u w:val="single"/>
          <w:lang w:eastAsia="zh-CN"/>
        </w:rPr>
      </w:pPr>
      <w:r>
        <w:rPr>
          <w:rFonts w:eastAsia="宋体" w:hint="eastAsia"/>
          <w:kern w:val="2"/>
          <w:sz w:val="21"/>
          <w:szCs w:val="21"/>
          <w:lang w:eastAsia="zh-CN"/>
        </w:rPr>
        <w:t>邮政编码：</w:t>
      </w:r>
      <w:r>
        <w:rPr>
          <w:rFonts w:eastAsia="宋体" w:hint="eastAsia"/>
          <w:kern w:val="2"/>
          <w:sz w:val="21"/>
          <w:szCs w:val="21"/>
          <w:u w:val="single"/>
          <w:lang w:eastAsia="zh-CN"/>
        </w:rPr>
        <w:t xml:space="preserve">          </w:t>
      </w:r>
      <w:r>
        <w:rPr>
          <w:rFonts w:eastAsia="宋体" w:hint="eastAsia"/>
          <w:kern w:val="2"/>
          <w:sz w:val="21"/>
          <w:szCs w:val="21"/>
          <w:lang w:eastAsia="zh-CN"/>
        </w:rPr>
        <w:t xml:space="preserve">  电话：</w:t>
      </w:r>
      <w:r>
        <w:rPr>
          <w:rFonts w:eastAsia="宋体" w:hint="eastAsia"/>
          <w:kern w:val="2"/>
          <w:sz w:val="21"/>
          <w:szCs w:val="21"/>
          <w:u w:val="single"/>
          <w:lang w:eastAsia="zh-CN"/>
        </w:rPr>
        <w:t xml:space="preserve">          </w:t>
      </w:r>
      <w:r>
        <w:rPr>
          <w:rFonts w:eastAsia="宋体" w:hint="eastAsia"/>
          <w:kern w:val="2"/>
          <w:sz w:val="21"/>
          <w:szCs w:val="21"/>
          <w:lang w:eastAsia="zh-CN"/>
        </w:rPr>
        <w:t xml:space="preserve">  邮箱：</w:t>
      </w:r>
      <w:r>
        <w:rPr>
          <w:rFonts w:eastAsia="宋体" w:hint="eastAsia"/>
          <w:kern w:val="2"/>
          <w:sz w:val="21"/>
          <w:szCs w:val="21"/>
          <w:u w:val="single"/>
          <w:lang w:eastAsia="zh-CN"/>
        </w:rPr>
        <w:t xml:space="preserve">            </w:t>
      </w:r>
    </w:p>
    <w:p>
      <w:pPr>
        <w:widowControl w:val="0"/>
        <w:spacing w:after="160" w:line="259" w:lineRule="auto"/>
        <w:ind w:left="617" w:leftChars="257"/>
        <w:jc w:val="both"/>
        <w:rPr>
          <w:rFonts w:eastAsia="宋体"/>
          <w:kern w:val="2"/>
          <w:sz w:val="21"/>
          <w:szCs w:val="21"/>
          <w:lang w:eastAsia="zh-CN"/>
        </w:rPr>
      </w:pPr>
      <w:r>
        <w:rPr>
          <w:rFonts w:eastAsia="宋体" w:hint="eastAsia"/>
          <w:kern w:val="2"/>
          <w:sz w:val="21"/>
          <w:szCs w:val="21"/>
          <w:lang w:eastAsia="zh-CN"/>
        </w:rPr>
        <w:t>开户银行名称：</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lang w:eastAsia="zh-CN"/>
        </w:rPr>
        <w:tab/>
      </w:r>
      <w:r>
        <w:rPr>
          <w:rFonts w:eastAsia="宋体" w:hint="eastAsia"/>
          <w:kern w:val="2"/>
          <w:sz w:val="21"/>
          <w:szCs w:val="21"/>
          <w:lang w:eastAsia="zh-CN"/>
        </w:rPr>
        <w:t>开户银行账号：</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p>
    <w:p>
      <w:pPr>
        <w:widowControl w:val="0"/>
        <w:spacing w:after="160" w:line="259" w:lineRule="auto"/>
        <w:ind w:left="617" w:leftChars="257"/>
        <w:jc w:val="both"/>
        <w:rPr>
          <w:rFonts w:eastAsia="宋体"/>
          <w:kern w:val="2"/>
          <w:sz w:val="21"/>
          <w:szCs w:val="21"/>
          <w:lang w:eastAsia="zh-CN"/>
        </w:rPr>
      </w:pPr>
      <w:r>
        <w:rPr>
          <w:rFonts w:eastAsia="宋体" w:hint="eastAsia"/>
          <w:kern w:val="2"/>
          <w:sz w:val="21"/>
          <w:szCs w:val="21"/>
          <w:lang w:eastAsia="zh-CN"/>
        </w:rPr>
        <w:t>开户银行地址：</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lang w:eastAsia="zh-CN"/>
        </w:rPr>
        <w:tab/>
      </w:r>
      <w:r>
        <w:rPr>
          <w:rFonts w:eastAsia="宋体" w:hint="eastAsia"/>
          <w:kern w:val="2"/>
          <w:sz w:val="21"/>
          <w:szCs w:val="21"/>
          <w:lang w:eastAsia="zh-CN"/>
        </w:rPr>
        <w:t>开户银行电话：</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p>
    <w:p>
      <w:pPr>
        <w:widowControl w:val="0"/>
        <w:spacing w:after="160" w:line="259" w:lineRule="auto"/>
        <w:ind w:firstLine="540" w:firstLineChars="257"/>
        <w:jc w:val="both"/>
        <w:rPr>
          <w:rFonts w:eastAsia="宋体"/>
          <w:kern w:val="2"/>
          <w:lang w:eastAsia="zh-CN"/>
        </w:rPr>
      </w:pPr>
      <w:r>
        <w:rPr>
          <w:rFonts w:ascii="宋体" w:eastAsia="宋体" w:hAnsi="宋体" w:hint="eastAsia"/>
          <w:kern w:val="2"/>
          <w:sz w:val="21"/>
          <w:szCs w:val="21"/>
          <w:lang w:eastAsia="zh-CN"/>
        </w:rPr>
        <w:t>日期：</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w:t>
      </w:r>
      <w:r>
        <w:rPr>
          <w:rFonts w:eastAsia="宋体" w:hint="eastAsia"/>
          <w:kern w:val="2"/>
          <w:lang w:eastAsia="zh-CN"/>
        </w:rPr>
        <w:t xml:space="preserve">                                </w:t>
      </w:r>
    </w:p>
    <w:p>
      <w:pPr>
        <w:widowControl w:val="0"/>
        <w:spacing w:after="160" w:line="259" w:lineRule="auto"/>
        <w:jc w:val="both"/>
        <w:rPr>
          <w:rFonts w:ascii="黑体" w:eastAsia="黑体" w:hAnsi="宋体"/>
          <w:kern w:val="2"/>
          <w:sz w:val="21"/>
          <w:lang w:eastAsia="zh-CN"/>
        </w:rPr>
      </w:pPr>
    </w:p>
    <w:p>
      <w:pPr>
        <w:widowControl w:val="0"/>
        <w:spacing w:after="160" w:line="259" w:lineRule="auto"/>
        <w:jc w:val="both"/>
        <w:rPr>
          <w:rFonts w:ascii="黑体" w:eastAsia="黑体" w:hAnsi="宋体"/>
          <w:kern w:val="2"/>
          <w:sz w:val="21"/>
          <w:lang w:eastAsia="zh-CN"/>
        </w:rPr>
      </w:pPr>
    </w:p>
    <w:p>
      <w:pPr>
        <w:keepNext/>
        <w:keepLines/>
        <w:widowControl w:val="0"/>
        <w:spacing w:before="260" w:after="260" w:line="240" w:lineRule="auto"/>
        <w:jc w:val="center"/>
        <w:outlineLvl w:val="2"/>
        <w:rPr>
          <w:rFonts w:ascii="黑体" w:eastAsia="黑体" w:hAnsi="宋体"/>
          <w:bCs/>
          <w:szCs w:val="32"/>
          <w:lang w:eastAsia="zh-CN"/>
        </w:rPr>
      </w:pPr>
      <w:r>
        <w:rPr>
          <w:rFonts w:ascii="黑体" w:eastAsia="黑体" w:hAnsi="宋体" w:hint="eastAsia"/>
          <w:bCs/>
          <w:szCs w:val="32"/>
          <w:lang w:eastAsia="zh-CN"/>
        </w:rPr>
        <w:t>二、采购投标及履约承诺函</w:t>
      </w:r>
    </w:p>
    <w:p>
      <w:pPr>
        <w:widowControl w:val="0"/>
        <w:spacing w:after="160" w:line="259" w:lineRule="auto"/>
        <w:jc w:val="both"/>
        <w:rPr>
          <w:rFonts w:ascii="宋体" w:eastAsia="宋体" w:hAnsi="宋体"/>
          <w:kern w:val="2"/>
          <w:lang w:eastAsia="zh-CN"/>
        </w:rPr>
      </w:pPr>
    </w:p>
    <w:p>
      <w:pPr>
        <w:widowControl w:val="0"/>
        <w:spacing w:after="160" w:line="259" w:lineRule="auto"/>
        <w:jc w:val="both"/>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致：</w:t>
      </w:r>
      <w:r>
        <w:rPr>
          <w:rFonts w:ascii="宋体" w:eastAsia="宋体" w:hAnsi="宋体" w:hint="eastAsia"/>
          <w:color w:val="000000"/>
          <w:kern w:val="2"/>
          <w:sz w:val="21"/>
          <w:szCs w:val="21"/>
          <w:u w:val="single"/>
          <w:lang w:eastAsia="zh-CN"/>
        </w:rPr>
        <w:t>深圳公共资源交易中心</w:t>
      </w:r>
    </w:p>
    <w:p>
      <w:pPr>
        <w:widowControl w:val="0"/>
        <w:spacing w:after="160" w:line="259" w:lineRule="auto"/>
        <w:ind w:right="-815"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我单位承诺：</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1.我单位参与本项目</w:t>
      </w:r>
      <w:r>
        <w:rPr>
          <w:rFonts w:ascii="宋体" w:eastAsia="宋体" w:hAnsi="宋体" w:hint="eastAsia"/>
          <w:kern w:val="2"/>
          <w:sz w:val="21"/>
          <w:lang w:eastAsia="zh-CN"/>
        </w:rPr>
        <w:t>所投标（响应）的货物、工程或服务，不存在侵犯知识产权的情况。</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2.我单位参与本项目</w:t>
      </w:r>
      <w:r>
        <w:rPr>
          <w:rFonts w:eastAsia="宋体" w:hint="eastAsia"/>
          <w:kern w:val="2"/>
          <w:sz w:val="21"/>
          <w:lang w:eastAsia="zh-CN"/>
        </w:rPr>
        <w:t>采购活动时不存在被有关部门禁止参与政府采购活动且在有效期内的情况。符合招标文件关于联合体及进口产品的相关资格要求。</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3.我单位具备《中华人民共和国政府采购法》第二十二条第一款的条件。</w:t>
      </w:r>
    </w:p>
    <w:p>
      <w:pPr>
        <w:widowControl w:val="0"/>
        <w:spacing w:after="160" w:line="259" w:lineRule="auto"/>
        <w:ind w:firstLine="420" w:firstLineChars="200"/>
        <w:jc w:val="both"/>
        <w:rPr>
          <w:rFonts w:eastAsia="宋体"/>
          <w:kern w:val="2"/>
          <w:sz w:val="21"/>
          <w:lang w:eastAsia="zh-CN"/>
        </w:rPr>
      </w:pPr>
      <w:r>
        <w:rPr>
          <w:rFonts w:ascii="宋体" w:eastAsia="宋体" w:hAnsi="宋体" w:hint="eastAsia"/>
          <w:kern w:val="2"/>
          <w:sz w:val="21"/>
          <w:szCs w:val="21"/>
          <w:lang w:eastAsia="zh-CN"/>
        </w:rPr>
        <w:t>4.我单位</w:t>
      </w:r>
      <w:r>
        <w:rPr>
          <w:rFonts w:eastAsia="宋体" w:hint="eastAsia"/>
          <w:kern w:val="2"/>
          <w:sz w:val="21"/>
          <w:lang w:eastAsia="zh-CN"/>
        </w:rPr>
        <w:t>未被列入失信被执行人、重大税收违法案件当事人名单、政府采购严重违法失信行为记录名单。</w:t>
      </w:r>
    </w:p>
    <w:p>
      <w:pPr>
        <w:widowControl w:val="0"/>
        <w:spacing w:after="160" w:line="259" w:lineRule="auto"/>
        <w:ind w:firstLine="420" w:firstLineChars="200"/>
        <w:jc w:val="both"/>
        <w:rPr>
          <w:rFonts w:eastAsia="宋体"/>
          <w:kern w:val="2"/>
          <w:sz w:val="21"/>
          <w:lang w:eastAsia="zh-CN"/>
        </w:rPr>
      </w:pPr>
      <w:r>
        <w:rPr>
          <w:rFonts w:eastAsia="宋体" w:hint="eastAsia"/>
          <w:color w:val="FF0000"/>
          <w:kern w:val="2"/>
          <w:sz w:val="21"/>
          <w:lang w:eastAsia="zh-CN"/>
        </w:rPr>
        <w:t>5.我单位不存在《深圳市财政局政府采购供应商信用信息管理办法》（深财规〔2023〕3号）列明的严重违法失信行为。</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采购主管部门给予一定年限内禁止参与政府采购活动或其他处罚。</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9.我单位承诺中标后项目不转包，未经采购人同意不进行分包。</w:t>
      </w:r>
    </w:p>
    <w:p>
      <w:pPr>
        <w:widowControl w:val="0"/>
        <w:spacing w:after="160" w:line="259" w:lineRule="auto"/>
        <w:ind w:firstLine="420" w:firstLineChars="200"/>
        <w:jc w:val="both"/>
        <w:rPr>
          <w:rFonts w:ascii="宋体" w:eastAsia="宋体" w:hAnsi="宋体"/>
          <w:kern w:val="2"/>
          <w:sz w:val="21"/>
          <w:lang w:eastAsia="zh-CN"/>
        </w:rPr>
      </w:pPr>
      <w:r>
        <w:rPr>
          <w:rFonts w:ascii="宋体" w:eastAsia="宋体" w:hAnsi="宋体" w:hint="eastAsia"/>
          <w:kern w:val="2"/>
          <w:sz w:val="21"/>
          <w:szCs w:val="21"/>
          <w:lang w:eastAsia="zh-CN"/>
        </w:rPr>
        <w:t>10</w:t>
      </w:r>
      <w:r>
        <w:rPr>
          <w:rFonts w:ascii="宋体" w:eastAsia="宋体" w:hAnsi="宋体"/>
          <w:kern w:val="2"/>
          <w:sz w:val="21"/>
          <w:szCs w:val="21"/>
          <w:lang w:eastAsia="zh-CN"/>
        </w:rPr>
        <w:t>.</w:t>
      </w:r>
      <w:r>
        <w:rPr>
          <w:rFonts w:ascii="宋体" w:eastAsia="宋体" w:hAnsi="宋体" w:hint="eastAsia"/>
          <w:kern w:val="2"/>
          <w:sz w:val="21"/>
          <w:lang w:eastAsia="zh-CN"/>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spacing w:after="160" w:line="259" w:lineRule="auto"/>
        <w:ind w:firstLine="420" w:firstLineChars="200"/>
        <w:jc w:val="both"/>
        <w:rPr>
          <w:rFonts w:ascii="宋体" w:eastAsia="宋体" w:hAnsi="宋体" w:cs="宋体"/>
          <w:b/>
          <w:sz w:val="21"/>
          <w:szCs w:val="21"/>
          <w:lang w:eastAsia="zh-CN"/>
        </w:rPr>
      </w:pPr>
      <w:r>
        <w:rPr>
          <w:rFonts w:ascii="宋体" w:eastAsia="宋体" w:hAnsi="宋体" w:hint="eastAsia"/>
          <w:kern w:val="2"/>
          <w:sz w:val="21"/>
          <w:lang w:eastAsia="zh-CN"/>
        </w:rPr>
        <w:t>11</w:t>
      </w:r>
      <w:r>
        <w:rPr>
          <w:rFonts w:ascii="宋体" w:eastAsia="宋体" w:hAnsi="宋体"/>
          <w:kern w:val="2"/>
          <w:sz w:val="21"/>
          <w:lang w:eastAsia="zh-CN"/>
        </w:rPr>
        <w:t>.</w:t>
      </w:r>
      <w:r>
        <w:rPr>
          <w:rFonts w:ascii="宋体" w:eastAsia="宋体" w:hAnsi="宋体" w:hint="eastAsia"/>
          <w:kern w:val="2"/>
          <w:sz w:val="21"/>
          <w:lang w:eastAsia="zh-CN"/>
        </w:rPr>
        <w:t>我单位保证，若所投货物涉及</w:t>
      </w:r>
      <w:r>
        <w:rPr>
          <w:rFonts w:ascii="宋体" w:eastAsia="宋体" w:hAnsi="宋体"/>
          <w:kern w:val="2"/>
          <w:sz w:val="21"/>
          <w:lang w:eastAsia="zh-CN"/>
        </w:rPr>
        <w:t>《</w:t>
      </w:r>
      <w:r>
        <w:rPr>
          <w:rFonts w:ascii="宋体" w:eastAsia="宋体" w:hAnsi="宋体" w:hint="eastAsia"/>
          <w:kern w:val="2"/>
          <w:sz w:val="21"/>
          <w:lang w:eastAsia="zh-CN"/>
        </w:rPr>
        <w:t>财政部 发展改革委 关于印发节能产品政府采购品目清单的通知》（财库〔20</w:t>
      </w:r>
      <w:r>
        <w:rPr>
          <w:rFonts w:ascii="宋体" w:eastAsia="宋体" w:hAnsi="宋体"/>
          <w:kern w:val="2"/>
          <w:sz w:val="21"/>
          <w:lang w:eastAsia="zh-CN"/>
        </w:rPr>
        <w:t>19</w:t>
      </w:r>
      <w:r>
        <w:rPr>
          <w:rFonts w:ascii="宋体" w:eastAsia="宋体" w:hAnsi="宋体" w:hint="eastAsia"/>
          <w:kern w:val="2"/>
          <w:sz w:val="21"/>
          <w:lang w:eastAsia="zh-CN"/>
        </w:rPr>
        <w:t>〕</w:t>
      </w:r>
      <w:r>
        <w:rPr>
          <w:rFonts w:ascii="宋体" w:eastAsia="宋体" w:hAnsi="宋体"/>
          <w:kern w:val="2"/>
          <w:sz w:val="21"/>
          <w:lang w:eastAsia="zh-CN"/>
        </w:rPr>
        <w:t>19</w:t>
      </w:r>
      <w:r>
        <w:rPr>
          <w:rFonts w:ascii="宋体" w:eastAsia="宋体" w:hAnsi="宋体" w:hint="eastAsia"/>
          <w:kern w:val="2"/>
          <w:sz w:val="21"/>
          <w:lang w:eastAsia="zh-CN"/>
        </w:rPr>
        <w:t>号）列明的政府采购强制产品，则所投该产品符合节能产品的认证要求。若所投产品包括数据中心相关设备的，应满足</w:t>
      </w:r>
      <w:r>
        <w:rPr>
          <w:rFonts w:eastAsia="宋体" w:hint="eastAsia"/>
          <w:kern w:val="2"/>
          <w:sz w:val="21"/>
          <w:lang w:eastAsia="zh-CN"/>
        </w:rPr>
        <w:t>《财政部 生态环境部 工业和信息化部关于印发&lt;绿色数据中心政府采购需求标准（试行）&gt;的通知》（财库〔2023〕7号）要求。若所投产品涉及国家强制性标准的，所投产品应符合国家强制性标准相关要求。</w:t>
      </w:r>
    </w:p>
    <w:p>
      <w:pPr>
        <w:widowControl w:val="0"/>
        <w:spacing w:after="160" w:line="259" w:lineRule="auto"/>
        <w:ind w:firstLine="420" w:firstLineChars="200"/>
        <w:jc w:val="both"/>
        <w:rPr>
          <w:rFonts w:ascii="宋体" w:eastAsia="宋体" w:hAnsi="宋体"/>
          <w:bCs/>
          <w:kern w:val="2"/>
          <w:sz w:val="21"/>
          <w:lang w:eastAsia="zh-CN"/>
        </w:rPr>
      </w:pPr>
      <w:r>
        <w:rPr>
          <w:rFonts w:ascii="宋体" w:eastAsia="宋体" w:hAnsi="宋体" w:cs="宋体" w:hint="eastAsia"/>
          <w:bCs/>
          <w:sz w:val="21"/>
          <w:szCs w:val="21"/>
          <w:lang w:eastAsia="zh-CN"/>
        </w:rPr>
        <w:t>12.</w:t>
      </w:r>
      <w:r>
        <w:rPr>
          <w:rFonts w:ascii="宋体" w:eastAsia="宋体" w:hAnsi="宋体" w:hint="eastAsia"/>
          <w:bCs/>
          <w:kern w:val="2"/>
          <w:sz w:val="21"/>
          <w:lang w:eastAsia="zh-CN"/>
        </w:rPr>
        <w:t>我单位已知悉并同意中标（成交）结果信息公示的内容。</w:t>
      </w:r>
    </w:p>
    <w:p>
      <w:pPr>
        <w:widowControl w:val="0"/>
        <w:spacing w:after="160" w:line="259" w:lineRule="auto"/>
        <w:ind w:firstLine="420" w:firstLineChars="200"/>
        <w:jc w:val="both"/>
        <w:rPr>
          <w:rFonts w:ascii="宋体" w:eastAsia="宋体" w:hAnsi="宋体"/>
          <w:bCs/>
          <w:kern w:val="2"/>
          <w:sz w:val="21"/>
          <w:lang w:eastAsia="zh-CN"/>
        </w:rPr>
      </w:pPr>
      <w:r>
        <w:rPr>
          <w:rFonts w:ascii="宋体" w:eastAsia="宋体" w:hAnsi="宋体" w:hint="eastAsia"/>
          <w:bCs/>
          <w:kern w:val="2"/>
          <w:sz w:val="21"/>
          <w:lang w:eastAsia="zh-CN"/>
        </w:rPr>
        <w:t>13.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ascii="宋体" w:eastAsia="宋体" w:hAnsi="宋体" w:hint="eastAsia"/>
          <w:bCs/>
          <w:color w:val="FF0000"/>
          <w:kern w:val="2"/>
          <w:sz w:val="21"/>
          <w:lang w:eastAsia="zh-CN"/>
        </w:rPr>
        <w:t>若存在“不同供应商的董事、股东或其他高级管理人员为同一人的”情形的，我单位保证不存在串通投标、恶意串通或者视为串通投标的情形。</w:t>
      </w:r>
    </w:p>
    <w:p>
      <w:pPr>
        <w:widowControl w:val="0"/>
        <w:spacing w:after="160" w:line="259" w:lineRule="auto"/>
        <w:ind w:firstLine="420" w:firstLineChars="200"/>
        <w:jc w:val="both"/>
        <w:rPr>
          <w:rFonts w:ascii="宋体" w:eastAsia="宋体" w:hAnsi="宋体"/>
          <w:b/>
          <w:kern w:val="2"/>
          <w:sz w:val="21"/>
          <w:lang w:eastAsia="zh-CN"/>
        </w:rPr>
      </w:pPr>
      <w:r>
        <w:rPr>
          <w:rFonts w:ascii="宋体" w:eastAsia="宋体" w:hAnsi="宋体" w:hint="eastAsia"/>
          <w:b/>
          <w:kern w:val="2"/>
          <w:sz w:val="21"/>
          <w:lang w:eastAsia="zh-CN"/>
        </w:rPr>
        <w:t>14.我单位清楚，如存在违反投标承诺行为情节严重的，将根据《深圳市财政局关于印发&lt;深圳市财政局政府采购供应商信用信息管理办法&gt;的通知》，依法被列入失信信息。</w:t>
      </w:r>
    </w:p>
    <w:p>
      <w:pPr>
        <w:widowControl w:val="0"/>
        <w:spacing w:after="160" w:line="259" w:lineRule="auto"/>
        <w:ind w:firstLine="420" w:firstLineChars="200"/>
        <w:jc w:val="both"/>
        <w:rPr>
          <w:rFonts w:ascii="宋体" w:eastAsia="宋体" w:hAnsi="宋体"/>
          <w:bCs/>
          <w:kern w:val="2"/>
          <w:sz w:val="21"/>
          <w:lang w:eastAsia="zh-CN"/>
        </w:rPr>
      </w:pPr>
      <w:r>
        <w:rPr>
          <w:rFonts w:ascii="宋体" w:eastAsia="宋体" w:hAnsi="宋体" w:hint="eastAsia"/>
          <w:bCs/>
          <w:kern w:val="2"/>
          <w:sz w:val="21"/>
          <w:lang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以上承诺，如有违反，愿依照国家相关法律法规处理，并承担由此给采购人带来的损失。</w:t>
      </w:r>
    </w:p>
    <w:p>
      <w:pPr>
        <w:widowControl w:val="0"/>
        <w:spacing w:after="160" w:line="259" w:lineRule="auto"/>
        <w:ind w:firstLine="420" w:firstLineChars="200"/>
        <w:jc w:val="both"/>
        <w:rPr>
          <w:rFonts w:ascii="宋体" w:eastAsia="宋体" w:hAnsi="宋体"/>
          <w:kern w:val="2"/>
          <w:sz w:val="21"/>
          <w:szCs w:val="21"/>
          <w:lang w:eastAsia="zh-CN"/>
        </w:rPr>
      </w:pPr>
    </w:p>
    <w:p>
      <w:pPr>
        <w:widowControl w:val="0"/>
        <w:spacing w:before="78" w:beforeLines="25" w:after="78" w:afterLines="25" w:line="259" w:lineRule="auto"/>
        <w:ind w:firstLine="5460" w:firstLineChars="26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w:t>
      </w:r>
    </w:p>
    <w:p>
      <w:pPr>
        <w:widowControl w:val="0"/>
        <w:spacing w:before="78" w:beforeLines="25" w:after="78" w:afterLines="25" w:line="259" w:lineRule="auto"/>
        <w:ind w:firstLine="5460" w:firstLineChars="2600"/>
        <w:jc w:val="both"/>
        <w:rPr>
          <w:rFonts w:eastAsia="宋体"/>
          <w:color w:val="000000"/>
          <w:kern w:val="2"/>
          <w:sz w:val="21"/>
          <w:lang w:eastAsia="zh-CN"/>
        </w:rPr>
      </w:pPr>
      <w:r>
        <w:rPr>
          <w:rFonts w:eastAsia="宋体" w:hint="eastAsia"/>
          <w:color w:val="000000"/>
          <w:kern w:val="2"/>
          <w:sz w:val="21"/>
          <w:szCs w:val="21"/>
          <w:lang w:eastAsia="zh-CN"/>
        </w:rPr>
        <w:t>投标人：</w:t>
      </w:r>
      <w:r>
        <w:rPr>
          <w:rFonts w:eastAsia="宋体" w:hint="eastAsia"/>
          <w:color w:val="000000"/>
          <w:kern w:val="2"/>
          <w:sz w:val="21"/>
          <w:szCs w:val="21"/>
          <w:u w:val="single"/>
          <w:lang w:eastAsia="zh-CN"/>
        </w:rPr>
        <w:t xml:space="preserve">              </w:t>
      </w:r>
    </w:p>
    <w:p>
      <w:pPr>
        <w:widowControl w:val="0"/>
        <w:spacing w:after="160" w:line="259" w:lineRule="auto"/>
        <w:ind w:firstLine="645"/>
        <w:jc w:val="both"/>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 xml:space="preserve">                                              日期：</w:t>
      </w:r>
      <w:r>
        <w:rPr>
          <w:rFonts w:ascii="宋体" w:eastAsia="宋体" w:hAnsi="宋体" w:hint="eastAsia"/>
          <w:color w:val="000000"/>
          <w:kern w:val="2"/>
          <w:sz w:val="21"/>
          <w:szCs w:val="21"/>
          <w:u w:val="single"/>
          <w:lang w:eastAsia="zh-CN"/>
        </w:rPr>
        <w:t xml:space="preserve">    </w:t>
      </w:r>
      <w:r>
        <w:rPr>
          <w:rFonts w:ascii="宋体" w:eastAsia="宋体" w:hAnsi="宋体" w:hint="eastAsia"/>
          <w:color w:val="000000"/>
          <w:kern w:val="2"/>
          <w:sz w:val="21"/>
          <w:szCs w:val="21"/>
          <w:lang w:eastAsia="zh-CN"/>
        </w:rPr>
        <w:t>年</w:t>
      </w:r>
      <w:r>
        <w:rPr>
          <w:rFonts w:ascii="宋体" w:eastAsia="宋体" w:hAnsi="宋体" w:hint="eastAsia"/>
          <w:color w:val="000000"/>
          <w:kern w:val="2"/>
          <w:sz w:val="21"/>
          <w:szCs w:val="21"/>
          <w:u w:val="single"/>
          <w:lang w:eastAsia="zh-CN"/>
        </w:rPr>
        <w:t xml:space="preserve">   </w:t>
      </w:r>
      <w:r>
        <w:rPr>
          <w:rFonts w:ascii="宋体" w:eastAsia="宋体" w:hAnsi="宋体" w:hint="eastAsia"/>
          <w:color w:val="000000"/>
          <w:kern w:val="2"/>
          <w:sz w:val="21"/>
          <w:szCs w:val="21"/>
          <w:lang w:eastAsia="zh-CN"/>
        </w:rPr>
        <w:t>月</w:t>
      </w:r>
      <w:r>
        <w:rPr>
          <w:rFonts w:ascii="宋体" w:eastAsia="宋体" w:hAnsi="宋体" w:hint="eastAsia"/>
          <w:color w:val="000000"/>
          <w:kern w:val="2"/>
          <w:sz w:val="21"/>
          <w:szCs w:val="21"/>
          <w:u w:val="single"/>
          <w:lang w:eastAsia="zh-CN"/>
        </w:rPr>
        <w:t xml:space="preserve">   </w:t>
      </w:r>
      <w:r>
        <w:rPr>
          <w:rFonts w:ascii="宋体" w:eastAsia="宋体" w:hAnsi="宋体" w:hint="eastAsia"/>
          <w:color w:val="000000"/>
          <w:kern w:val="2"/>
          <w:sz w:val="21"/>
          <w:szCs w:val="21"/>
          <w:lang w:eastAsia="zh-CN"/>
        </w:rPr>
        <w:t>日</w:t>
      </w:r>
    </w:p>
    <w:p>
      <w:pPr>
        <w:widowControl w:val="0"/>
        <w:spacing w:after="160" w:line="259" w:lineRule="auto"/>
        <w:jc w:val="both"/>
        <w:rPr>
          <w:rFonts w:eastAsia="宋体"/>
          <w:kern w:val="2"/>
          <w:sz w:val="21"/>
          <w:lang w:eastAsia="zh-CN"/>
        </w:rPr>
      </w:pPr>
    </w:p>
    <w:p>
      <w:pPr>
        <w:widowControl w:val="0"/>
        <w:spacing w:after="160" w:line="259" w:lineRule="auto"/>
        <w:jc w:val="both"/>
        <w:rPr>
          <w:rFonts w:eastAsia="宋体"/>
          <w:kern w:val="2"/>
          <w:sz w:val="21"/>
          <w:lang w:eastAsia="zh-CN"/>
        </w:rPr>
      </w:pPr>
    </w:p>
    <w:p>
      <w:pPr>
        <w:keepNext/>
        <w:keepLines/>
        <w:widowControl w:val="0"/>
        <w:spacing w:before="120" w:after="120" w:line="240" w:lineRule="auto"/>
        <w:jc w:val="center"/>
        <w:outlineLvl w:val="2"/>
        <w:rPr>
          <w:rFonts w:ascii="黑体" w:eastAsia="黑体" w:hAnsi="宋体"/>
          <w:bCs/>
          <w:szCs w:val="32"/>
          <w:lang w:eastAsia="zh-CN"/>
        </w:rPr>
      </w:pPr>
      <w:r>
        <w:rPr>
          <w:rFonts w:ascii="黑体" w:eastAsia="黑体" w:hAnsi="宋体" w:hint="eastAsia"/>
          <w:bCs/>
          <w:szCs w:val="32"/>
          <w:lang w:eastAsia="zh-CN"/>
        </w:rPr>
        <w:t>三、投标人情况及资格证明文件</w:t>
      </w:r>
    </w:p>
    <w:p>
      <w:pPr>
        <w:widowControl w:val="0"/>
        <w:spacing w:after="160" w:line="259" w:lineRule="auto"/>
        <w:jc w:val="both"/>
        <w:outlineLvl w:val="3"/>
        <w:rPr>
          <w:rFonts w:ascii="黑体" w:eastAsia="黑体" w:hAnsi="宋体"/>
          <w:bCs/>
          <w:szCs w:val="32"/>
          <w:lang w:eastAsia="zh-CN"/>
        </w:rPr>
      </w:pPr>
      <w:r>
        <w:rPr>
          <w:rFonts w:ascii="黑体" w:eastAsia="黑体" w:hAnsi="宋体" w:hint="eastAsia"/>
          <w:bCs/>
          <w:szCs w:val="32"/>
          <w:lang w:eastAsia="zh-CN"/>
        </w:rPr>
        <w:t>（一）投标人资格证明文件</w:t>
      </w:r>
    </w:p>
    <w:p>
      <w:pPr>
        <w:widowControl w:val="0"/>
        <w:spacing w:before="156" w:beforeLines="50" w:after="160" w:line="259" w:lineRule="auto"/>
        <w:ind w:firstLine="420" w:firstLineChars="200"/>
        <w:jc w:val="both"/>
        <w:rPr>
          <w:rFonts w:eastAsia="宋体"/>
          <w:b/>
          <w:bCs/>
          <w:color w:val="FF0000"/>
          <w:kern w:val="2"/>
          <w:sz w:val="21"/>
          <w:lang w:eastAsia="zh-CN"/>
        </w:rPr>
      </w:pPr>
      <w:r>
        <w:rPr>
          <w:rFonts w:eastAsia="宋体" w:hint="eastAsia"/>
          <w:b/>
          <w:bCs/>
          <w:color w:val="FF0000"/>
          <w:kern w:val="2"/>
          <w:sz w:val="21"/>
          <w:lang w:eastAsia="zh-CN"/>
        </w:rPr>
        <w:t>（特别提示：投标人须按本招标文件第一册第一章招标公告 “投标人的资格要求”（即投标人资格要求）提供相关的资格证明资料，未提供或提供不完整、不符合要求的，将作投标无效处理，其中要求提供《采购投标及履约承诺函》且已在“二、采购投标及履约承诺函”章节中提供了，此处可不重复提供。）</w:t>
      </w:r>
    </w:p>
    <w:p>
      <w:pPr>
        <w:widowControl w:val="0"/>
        <w:spacing w:after="160" w:line="259" w:lineRule="auto"/>
        <w:jc w:val="both"/>
        <w:rPr>
          <w:rFonts w:eastAsia="宋体"/>
          <w:kern w:val="2"/>
          <w:sz w:val="21"/>
          <w:lang w:eastAsia="zh-CN"/>
        </w:rPr>
      </w:pPr>
    </w:p>
    <w:p>
      <w:pPr>
        <w:widowControl w:val="0"/>
        <w:spacing w:after="160" w:line="259" w:lineRule="auto"/>
        <w:jc w:val="both"/>
        <w:outlineLvl w:val="3"/>
        <w:rPr>
          <w:rFonts w:ascii="黑体" w:eastAsia="黑体" w:hAnsi="宋体"/>
          <w:bCs/>
          <w:szCs w:val="32"/>
          <w:lang w:eastAsia="zh-CN"/>
        </w:rPr>
      </w:pPr>
      <w:r>
        <w:rPr>
          <w:rFonts w:ascii="黑体" w:eastAsia="黑体" w:hAnsi="宋体" w:hint="eastAsia"/>
          <w:bCs/>
          <w:szCs w:val="32"/>
          <w:lang w:eastAsia="zh-CN"/>
        </w:rPr>
        <w:t>（二）中小企业声明函、残疾人福利性单位声明函及监狱企业声明函</w:t>
      </w:r>
    </w:p>
    <w:p>
      <w:pPr>
        <w:widowControl w:val="0"/>
        <w:spacing w:after="160" w:line="259" w:lineRule="auto"/>
        <w:ind w:firstLine="420" w:firstLineChars="200"/>
        <w:jc w:val="both"/>
        <w:rPr>
          <w:rFonts w:ascii="黑体" w:eastAsia="黑体" w:hAnsi="黑体" w:cs="黑体"/>
          <w:color w:val="FF0000"/>
          <w:kern w:val="2"/>
          <w:sz w:val="21"/>
          <w:lang w:eastAsia="zh-CN"/>
        </w:rPr>
      </w:pPr>
      <w:r>
        <w:rPr>
          <w:rFonts w:ascii="黑体" w:eastAsia="黑体" w:hAnsi="黑体" w:cs="黑体" w:hint="eastAsia"/>
          <w:color w:val="FF0000"/>
          <w:kern w:val="2"/>
          <w:sz w:val="21"/>
          <w:lang w:eastAsia="zh-CN"/>
        </w:rPr>
        <w:t>填写指引：</w:t>
      </w:r>
    </w:p>
    <w:p>
      <w:pPr>
        <w:widowControl w:val="0"/>
        <w:spacing w:after="160" w:line="259" w:lineRule="auto"/>
        <w:ind w:firstLine="420" w:firstLineChars="200"/>
        <w:jc w:val="both"/>
        <w:outlineLvl w:val="3"/>
        <w:rPr>
          <w:rFonts w:ascii="黑体" w:eastAsia="黑体" w:hAnsi="黑体"/>
          <w:color w:val="FF0000"/>
          <w:kern w:val="2"/>
          <w:sz w:val="21"/>
          <w:szCs w:val="21"/>
          <w:lang w:eastAsia="zh-CN"/>
        </w:rPr>
      </w:pPr>
      <w:r>
        <w:rPr>
          <w:rFonts w:ascii="黑体" w:eastAsia="黑体" w:hAnsi="宋体" w:hint="eastAsia"/>
          <w:bCs/>
          <w:color w:val="FF0000"/>
          <w:sz w:val="21"/>
          <w:szCs w:val="21"/>
          <w:lang w:eastAsia="zh-CN"/>
        </w:rPr>
        <w:t>1、该部分内容由供应商根据自身实际情况填写，</w:t>
      </w:r>
      <w:r>
        <w:rPr>
          <w:rFonts w:ascii="黑体" w:eastAsia="黑体" w:hAnsi="黑体" w:hint="eastAsia"/>
          <w:color w:val="FF0000"/>
          <w:kern w:val="2"/>
          <w:sz w:val="21"/>
          <w:szCs w:val="21"/>
          <w:lang w:eastAsia="zh-CN"/>
        </w:rPr>
        <w:t>投标（响应）供应商对《中小企业声明函》的真实性负责。投标（响应）供应商应当核实投标（响应）的货物制造商的相关信息，如对相关信息了解不充分，或者不能确定相关信息真实、准确的，不建议出具《中小企业声明函》；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widowControl w:val="0"/>
        <w:spacing w:after="160" w:line="259" w:lineRule="auto"/>
        <w:ind w:firstLine="420" w:firstLineChars="200"/>
        <w:jc w:val="both"/>
        <w:outlineLvl w:val="3"/>
        <w:rPr>
          <w:rFonts w:ascii="黑体" w:eastAsia="黑体" w:hAnsi="黑体"/>
          <w:color w:val="FF0000"/>
          <w:kern w:val="2"/>
          <w:sz w:val="21"/>
          <w:szCs w:val="21"/>
          <w:lang w:eastAsia="zh-CN"/>
        </w:rPr>
      </w:pPr>
      <w:r>
        <w:rPr>
          <w:rFonts w:ascii="黑体" w:eastAsia="黑体" w:hAnsi="黑体" w:hint="eastAsia"/>
          <w:color w:val="FF0000"/>
          <w:kern w:val="2"/>
          <w:sz w:val="21"/>
          <w:szCs w:val="21"/>
          <w:lang w:eastAsia="zh-CN"/>
        </w:rPr>
        <w:t>2、该部分内容填写需要参考的相关文件：</w:t>
      </w:r>
    </w:p>
    <w:p>
      <w:pPr>
        <w:widowControl w:val="0"/>
        <w:spacing w:after="160" w:line="259" w:lineRule="auto"/>
        <w:ind w:firstLine="420" w:firstLineChars="200"/>
        <w:jc w:val="both"/>
        <w:outlineLvl w:val="3"/>
        <w:rPr>
          <w:rFonts w:ascii="黑体" w:eastAsia="黑体" w:hAnsi="黑体"/>
          <w:color w:val="FF0000"/>
          <w:kern w:val="2"/>
          <w:sz w:val="21"/>
          <w:szCs w:val="21"/>
          <w:lang w:eastAsia="zh-CN"/>
        </w:rPr>
      </w:pPr>
      <w:r>
        <w:rPr>
          <w:rFonts w:ascii="黑体" w:eastAsia="黑体" w:hAnsi="黑体" w:hint="eastAsia"/>
          <w:color w:val="FF0000"/>
          <w:kern w:val="2"/>
          <w:sz w:val="21"/>
          <w:szCs w:val="21"/>
          <w:lang w:eastAsia="zh-CN"/>
        </w:rPr>
        <w:t>(</w:t>
      </w:r>
      <w:r>
        <w:rPr>
          <w:rFonts w:ascii="黑体" w:eastAsia="黑体" w:hAnsi="黑体"/>
          <w:color w:val="FF0000"/>
          <w:kern w:val="2"/>
          <w:sz w:val="21"/>
          <w:szCs w:val="21"/>
          <w:lang w:eastAsia="zh-CN"/>
        </w:rPr>
        <w:t>1</w:t>
      </w:r>
      <w:r>
        <w:rPr>
          <w:rFonts w:ascii="黑体" w:eastAsia="黑体" w:hAnsi="黑体" w:hint="eastAsia"/>
          <w:color w:val="FF0000"/>
          <w:kern w:val="2"/>
          <w:sz w:val="21"/>
          <w:szCs w:val="21"/>
          <w:lang w:eastAsia="zh-CN"/>
        </w:rPr>
        <w:t>)财政部《政府采购促进中小企业发展管理办法》（财库〔2020〕46号）；</w:t>
      </w:r>
    </w:p>
    <w:p>
      <w:pPr>
        <w:widowControl w:val="0"/>
        <w:spacing w:after="160" w:line="259" w:lineRule="auto"/>
        <w:ind w:firstLine="420" w:firstLineChars="200"/>
        <w:jc w:val="both"/>
        <w:outlineLvl w:val="3"/>
        <w:rPr>
          <w:rFonts w:ascii="黑体" w:eastAsia="黑体" w:hAnsi="黑体"/>
          <w:color w:val="FF0000"/>
          <w:kern w:val="2"/>
          <w:sz w:val="21"/>
          <w:szCs w:val="21"/>
          <w:lang w:eastAsia="zh-CN"/>
        </w:rPr>
      </w:pPr>
      <w:r>
        <w:rPr>
          <w:rFonts w:ascii="黑体" w:eastAsia="黑体" w:hAnsi="黑体" w:hint="eastAsia"/>
          <w:color w:val="FF0000"/>
          <w:kern w:val="2"/>
          <w:sz w:val="21"/>
          <w:szCs w:val="21"/>
          <w:lang w:eastAsia="zh-CN"/>
        </w:rPr>
        <w:t>(</w:t>
      </w:r>
      <w:r>
        <w:rPr>
          <w:rFonts w:ascii="黑体" w:eastAsia="黑体" w:hAnsi="黑体"/>
          <w:color w:val="FF0000"/>
          <w:kern w:val="2"/>
          <w:sz w:val="21"/>
          <w:szCs w:val="21"/>
          <w:lang w:eastAsia="zh-CN"/>
        </w:rPr>
        <w:t>2</w:t>
      </w:r>
      <w:r>
        <w:rPr>
          <w:rFonts w:ascii="黑体" w:eastAsia="黑体" w:hAnsi="黑体" w:hint="eastAsia"/>
          <w:color w:val="FF0000"/>
          <w:kern w:val="2"/>
          <w:sz w:val="21"/>
          <w:szCs w:val="21"/>
          <w:lang w:eastAsia="zh-CN"/>
        </w:rPr>
        <w:t>)《工业和信息化部、国家统计局、国家发展和改革委员会、财政部关于印发中小企业划型标准规定的通知》（工信部联企业〔2011〕300 号，以下简称3</w:t>
      </w:r>
      <w:r>
        <w:rPr>
          <w:rFonts w:ascii="黑体" w:eastAsia="黑体" w:hAnsi="黑体"/>
          <w:color w:val="FF0000"/>
          <w:kern w:val="2"/>
          <w:sz w:val="21"/>
          <w:szCs w:val="21"/>
          <w:lang w:eastAsia="zh-CN"/>
        </w:rPr>
        <w:t>00</w:t>
      </w:r>
      <w:r>
        <w:rPr>
          <w:rFonts w:ascii="黑体" w:eastAsia="黑体" w:hAnsi="黑体" w:hint="eastAsia"/>
          <w:color w:val="FF0000"/>
          <w:kern w:val="2"/>
          <w:sz w:val="21"/>
          <w:szCs w:val="21"/>
          <w:lang w:eastAsia="zh-CN"/>
        </w:rPr>
        <w:t>号文）；</w:t>
      </w:r>
    </w:p>
    <w:p>
      <w:pPr>
        <w:widowControl w:val="0"/>
        <w:spacing w:after="160" w:line="259" w:lineRule="auto"/>
        <w:ind w:firstLine="420" w:firstLineChars="200"/>
        <w:jc w:val="both"/>
        <w:outlineLvl w:val="3"/>
        <w:rPr>
          <w:rFonts w:ascii="黑体" w:eastAsia="黑体" w:hAnsi="黑体"/>
          <w:color w:val="FF0000"/>
          <w:kern w:val="2"/>
          <w:sz w:val="21"/>
          <w:szCs w:val="21"/>
          <w:lang w:eastAsia="zh-CN"/>
        </w:rPr>
      </w:pPr>
      <w:r>
        <w:rPr>
          <w:rFonts w:ascii="黑体" w:eastAsia="黑体" w:hAnsi="黑体" w:hint="eastAsia"/>
          <w:color w:val="FF0000"/>
          <w:kern w:val="2"/>
          <w:sz w:val="21"/>
          <w:szCs w:val="21"/>
          <w:lang w:eastAsia="zh-CN"/>
        </w:rPr>
        <w:t>(3)《统计上大中小微型企业划分办法(2017)》（国统字〔2017〕213 号）；</w:t>
      </w:r>
    </w:p>
    <w:p>
      <w:pPr>
        <w:widowControl w:val="0"/>
        <w:spacing w:after="160" w:line="259" w:lineRule="auto"/>
        <w:ind w:firstLine="420" w:firstLineChars="200"/>
        <w:jc w:val="both"/>
        <w:outlineLvl w:val="3"/>
        <w:rPr>
          <w:rFonts w:ascii="黑体" w:eastAsia="黑体" w:hAnsi="黑体"/>
          <w:color w:val="FF0000"/>
          <w:kern w:val="2"/>
          <w:sz w:val="21"/>
          <w:szCs w:val="21"/>
          <w:lang w:eastAsia="zh-CN"/>
        </w:rPr>
      </w:pPr>
      <w:r>
        <w:rPr>
          <w:rFonts w:ascii="黑体" w:eastAsia="黑体" w:hAnsi="黑体" w:hint="eastAsia"/>
          <w:color w:val="FF0000"/>
          <w:kern w:val="2"/>
          <w:sz w:val="21"/>
          <w:szCs w:val="21"/>
          <w:lang w:eastAsia="zh-CN"/>
        </w:rPr>
        <w:t>(4)《关于促进残疾人就业政府采购政策的通知》（财库〔2017〕141号）；</w:t>
      </w:r>
    </w:p>
    <w:p>
      <w:pPr>
        <w:widowControl w:val="0"/>
        <w:spacing w:after="160" w:line="259" w:lineRule="auto"/>
        <w:ind w:firstLine="420" w:firstLineChars="200"/>
        <w:jc w:val="both"/>
        <w:outlineLvl w:val="3"/>
        <w:rPr>
          <w:rFonts w:ascii="黑体" w:eastAsia="黑体" w:hAnsi="黑体"/>
          <w:color w:val="FF0000"/>
          <w:kern w:val="2"/>
          <w:sz w:val="21"/>
          <w:szCs w:val="21"/>
          <w:lang w:eastAsia="zh-CN"/>
        </w:rPr>
      </w:pPr>
      <w:r>
        <w:rPr>
          <w:rFonts w:ascii="黑体" w:eastAsia="黑体" w:hAnsi="黑体" w:hint="eastAsia"/>
          <w:color w:val="FF0000"/>
          <w:kern w:val="2"/>
          <w:sz w:val="21"/>
          <w:szCs w:val="21"/>
          <w:lang w:eastAsia="zh-CN"/>
        </w:rPr>
        <w:t>(5)《关于政府采购支持监狱企业发展有关问题的通知》（财库〔2014〕68号）</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3、请依照提供的格式和内容填写声明函，不要随意变更格式；声明函不需要盖章或签字；</w:t>
      </w:r>
      <w:r>
        <w:rPr>
          <w:rFonts w:ascii="黑体" w:eastAsia="黑体" w:hAnsi="黑体" w:hint="eastAsia"/>
          <w:color w:val="FF0000"/>
          <w:kern w:val="2"/>
          <w:sz w:val="21"/>
          <w:szCs w:val="21"/>
          <w:lang w:eastAsia="zh-CN"/>
        </w:rPr>
        <w:t>满足多项优惠政策的投标人，不重复享受多项价格扣除政策。</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4、声明函具体填写要求：</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（1）声明是中小企业须填写《中小企业声明函》的以下内容：</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第一处，在“单位名称”下划线处应填写采购人名称（深圳公共资源交易中心不是本项目的采购人，而是组织实施机构）；</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二处，在“项目名称”下划线处应按照采购文件中确定的项目名称填写。对于分包方式面向中小企业采购的项目，应标明中小企业的具体分包内容；对于以联合体方式面向中小企业采购的项目，应标明联合体中中小企业所承担的具体内容；</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三处，在“标的名称”下划线处应填写采购文件中细化载明的采购标的名称。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四处，在“采购文件中明确的所属行业”下划线处应填写采购文件中明确的采购标的所属行业，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承担部分采购标的涉及的货物制造商本身的所属行业保持一致；</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五处，在“企业名称”下划线处应填写投标（响应）的货物制造商。对于分包方式面向中小企业采购的项目，“企业名称”应填写分包部分采购标的对应的货物制造商。对于以联合体方式面向中小企业采购的项目，“企业名称”应填写联合体中中小企业承担采购标的对应的货物制造商。</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 xml:space="preserve">（2）从业人员、资产总额指标以上年度末数据为依据，营业收入指标以上年度累计数据为依据。无上年度数据的新成立企业可不填报。 </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（3）“中型企业/小型企业/微型企业”部分，供应商应依据企业上年度从业人员、营业收入、资产总额等指标，按照《中小企业划型标准规定》（工信部联企业〔2011〕300 号）、《金融业企业划型标准规定》（银发〔2015〕309号），判断《中小企业声明函》载明的货物制造商是否属于采购文件所属行业的中型企业/小型企业/微型企业。</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4）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（5）声明是残疾人福利性单位须填写《残疾人福利性单位声明函》的相关内容，具体参照以上《中小企业声明函》填写要求执行。</w:t>
      </w:r>
    </w:p>
    <w:p>
      <w:pPr>
        <w:widowControl w:val="0"/>
        <w:spacing w:after="160" w:line="259" w:lineRule="auto"/>
        <w:ind w:firstLine="420" w:firstLineChars="200"/>
        <w:jc w:val="both"/>
        <w:outlineLvl w:val="3"/>
        <w:rPr>
          <w:rFonts w:ascii="仿宋_GB2312" w:eastAsia="仿宋_GB2312" w:hAnsi="仿宋_GB2312" w:cs="仿宋_GB2312"/>
          <w:color w:val="000000"/>
          <w:sz w:val="31"/>
          <w:szCs w:val="31"/>
          <w:lang w:eastAsia="zh-CN" w:bidi="ar"/>
        </w:rPr>
      </w:pPr>
      <w:r>
        <w:rPr>
          <w:rFonts w:ascii="黑体" w:eastAsia="黑体" w:hAnsi="宋体" w:hint="eastAsia"/>
          <w:bCs/>
          <w:color w:val="FF0000"/>
          <w:sz w:val="21"/>
          <w:szCs w:val="21"/>
          <w:lang w:eastAsia="zh-CN"/>
        </w:rPr>
        <w:t>（6）声明是监狱企业须填写《监狱企业声明函》的三项内容（填写位置的字体已加粗），具体参照以上《中小企业声明函》填写要求执行。</w:t>
      </w:r>
    </w:p>
    <w:p>
      <w:pPr>
        <w:widowControl w:val="0"/>
        <w:spacing w:after="160" w:line="259" w:lineRule="auto"/>
        <w:ind w:firstLine="420" w:firstLineChars="200"/>
        <w:jc w:val="both"/>
        <w:rPr>
          <w:rFonts w:eastAsia="宋体"/>
          <w:kern w:val="2"/>
          <w:sz w:val="21"/>
          <w:lang w:eastAsia="zh-CN"/>
        </w:rPr>
      </w:pPr>
      <w:r>
        <w:rPr>
          <w:rFonts w:ascii="黑体" w:eastAsia="黑体" w:hAnsi="宋体" w:hint="eastAsia"/>
          <w:bCs/>
          <w:color w:val="FF0000"/>
          <w:sz w:val="21"/>
          <w:szCs w:val="21"/>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spacing w:after="160" w:line="259" w:lineRule="auto"/>
        <w:ind w:firstLine="420" w:firstLineChars="200"/>
        <w:jc w:val="both"/>
        <w:rPr>
          <w:rFonts w:ascii="黑体" w:eastAsia="黑体" w:hAnsi="黑体" w:cs="黑体"/>
          <w:color w:val="FF0000"/>
          <w:kern w:val="2"/>
          <w:sz w:val="21"/>
          <w:lang w:eastAsia="zh-CN"/>
        </w:rPr>
      </w:pPr>
    </w:p>
    <w:p>
      <w:pPr>
        <w:widowControl w:val="0"/>
        <w:spacing w:after="160" w:line="259" w:lineRule="auto"/>
        <w:ind w:firstLine="420" w:firstLineChars="200"/>
        <w:jc w:val="both"/>
        <w:rPr>
          <w:rFonts w:eastAsia="宋体"/>
          <w:kern w:val="2"/>
          <w:sz w:val="21"/>
          <w:lang w:eastAsia="zh-CN"/>
        </w:rPr>
      </w:pPr>
    </w:p>
    <w:p>
      <w:pPr>
        <w:widowControl w:val="0"/>
        <w:spacing w:after="160" w:line="259" w:lineRule="auto"/>
        <w:jc w:val="center"/>
        <w:outlineLvl w:val="3"/>
        <w:rPr>
          <w:rFonts w:eastAsia="宋体"/>
          <w:b/>
          <w:kern w:val="2"/>
          <w:lang w:eastAsia="zh-CN"/>
        </w:rPr>
      </w:pPr>
      <w:r>
        <w:rPr>
          <w:rFonts w:eastAsia="宋体" w:hint="eastAsia"/>
          <w:b/>
          <w:kern w:val="2"/>
          <w:lang w:eastAsia="zh-CN"/>
        </w:rPr>
        <w:t>1、</w:t>
      </w:r>
      <w:r>
        <w:rPr>
          <w:rFonts w:eastAsia="宋体"/>
          <w:b/>
          <w:kern w:val="2"/>
          <w:lang w:eastAsia="zh-CN"/>
        </w:rPr>
        <w:t>中小企业声明函</w:t>
      </w:r>
      <w:r>
        <w:rPr>
          <w:rFonts w:eastAsia="宋体" w:hint="eastAsia"/>
          <w:b/>
          <w:kern w:val="2"/>
          <w:lang w:eastAsia="zh-CN"/>
        </w:rPr>
        <w:t>（货物）</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本</w:t>
      </w:r>
      <w:r>
        <w:rPr>
          <w:rFonts w:ascii="宋体" w:eastAsia="宋体" w:hAnsi="宋体" w:hint="eastAsia"/>
          <w:kern w:val="2"/>
          <w:sz w:val="21"/>
          <w:szCs w:val="21"/>
          <w:lang w:eastAsia="zh-CN"/>
        </w:rPr>
        <w:t>公司（联合体）</w:t>
      </w:r>
      <w:r>
        <w:rPr>
          <w:rFonts w:ascii="宋体" w:eastAsia="宋体" w:hAnsi="宋体"/>
          <w:kern w:val="2"/>
          <w:sz w:val="21"/>
          <w:szCs w:val="21"/>
          <w:lang w:eastAsia="zh-CN"/>
        </w:rPr>
        <w:t>郑重声明，根据《政府采购促进中小企业发展管理办法》（财库</w:t>
      </w:r>
      <w:r>
        <w:rPr>
          <w:rFonts w:ascii="宋体" w:eastAsia="宋体" w:hAnsi="宋体" w:cs="微软雅黑" w:hint="eastAsia"/>
          <w:kern w:val="2"/>
          <w:sz w:val="21"/>
          <w:szCs w:val="21"/>
          <w:lang w:eastAsia="zh-CN"/>
        </w:rPr>
        <w:t>﹝</w:t>
      </w:r>
      <w:r>
        <w:rPr>
          <w:rFonts w:ascii="宋体" w:eastAsia="宋体" w:hAnsi="宋体"/>
          <w:kern w:val="2"/>
          <w:sz w:val="21"/>
          <w:szCs w:val="21"/>
          <w:lang w:eastAsia="zh-CN"/>
        </w:rPr>
        <w:t>2020</w:t>
      </w:r>
      <w:r>
        <w:rPr>
          <w:rFonts w:ascii="宋体" w:eastAsia="宋体" w:hAnsi="宋体" w:cs="微软雅黑" w:hint="eastAsia"/>
          <w:kern w:val="2"/>
          <w:sz w:val="21"/>
          <w:szCs w:val="21"/>
          <w:lang w:eastAsia="zh-CN"/>
        </w:rPr>
        <w:t>﹞</w:t>
      </w:r>
      <w:r>
        <w:rPr>
          <w:rFonts w:ascii="宋体" w:eastAsia="宋体" w:hAnsi="宋体"/>
          <w:kern w:val="2"/>
          <w:sz w:val="21"/>
          <w:szCs w:val="21"/>
          <w:lang w:eastAsia="zh-CN"/>
        </w:rPr>
        <w:t>46号）的规定，本</w:t>
      </w:r>
      <w:r>
        <w:rPr>
          <w:rFonts w:ascii="宋体" w:eastAsia="宋体" w:hAnsi="宋体" w:hint="eastAsia"/>
          <w:kern w:val="2"/>
          <w:sz w:val="21"/>
          <w:szCs w:val="21"/>
          <w:lang w:eastAsia="zh-CN"/>
        </w:rPr>
        <w:t>公司（联合体）</w:t>
      </w:r>
      <w:r>
        <w:rPr>
          <w:rFonts w:ascii="宋体" w:eastAsia="宋体" w:hAnsi="宋体"/>
          <w:kern w:val="2"/>
          <w:sz w:val="21"/>
          <w:szCs w:val="21"/>
          <w:lang w:eastAsia="zh-CN"/>
        </w:rPr>
        <w:t>参加</w:t>
      </w:r>
      <w:r>
        <w:rPr>
          <w:rFonts w:ascii="宋体" w:eastAsia="宋体" w:hAnsi="宋体" w:hint="eastAsia"/>
          <w:kern w:val="2"/>
          <w:sz w:val="21"/>
          <w:szCs w:val="21"/>
          <w:u w:val="single"/>
          <w:lang w:eastAsia="zh-CN"/>
        </w:rPr>
        <w:t xml:space="preserve">       </w:t>
      </w:r>
      <w:r>
        <w:rPr>
          <w:rFonts w:ascii="宋体" w:eastAsia="宋体" w:hAnsi="宋体"/>
          <w:b/>
          <w:bCs/>
          <w:i/>
          <w:iCs/>
          <w:kern w:val="2"/>
          <w:sz w:val="21"/>
          <w:szCs w:val="21"/>
          <w:u w:val="single"/>
          <w:lang w:eastAsia="zh-CN"/>
        </w:rPr>
        <w:t>（</w:t>
      </w:r>
      <w:r>
        <w:rPr>
          <w:rFonts w:ascii="宋体" w:eastAsia="宋体" w:hAnsi="宋体" w:hint="eastAsia"/>
          <w:b/>
          <w:bCs/>
          <w:i/>
          <w:iCs/>
          <w:kern w:val="2"/>
          <w:sz w:val="21"/>
          <w:szCs w:val="21"/>
          <w:u w:val="single"/>
          <w:lang w:eastAsia="zh-CN"/>
        </w:rPr>
        <w:t>单位</w:t>
      </w:r>
      <w:r>
        <w:rPr>
          <w:rFonts w:ascii="宋体" w:eastAsia="宋体" w:hAnsi="宋体"/>
          <w:b/>
          <w:bCs/>
          <w:i/>
          <w:iCs/>
          <w:kern w:val="2"/>
          <w:sz w:val="21"/>
          <w:szCs w:val="21"/>
          <w:u w:val="single"/>
          <w:lang w:eastAsia="zh-CN"/>
        </w:rPr>
        <w:t>名称）</w:t>
      </w:r>
      <w:r>
        <w:rPr>
          <w:rFonts w:ascii="宋体" w:eastAsia="宋体" w:hAnsi="宋体"/>
          <w:kern w:val="2"/>
          <w:sz w:val="21"/>
          <w:szCs w:val="21"/>
          <w:lang w:eastAsia="zh-CN"/>
        </w:rPr>
        <w:t>的</w:t>
      </w:r>
      <w:r>
        <w:rPr>
          <w:rFonts w:ascii="宋体" w:eastAsia="宋体" w:hAnsi="宋体" w:hint="eastAsia"/>
          <w:b/>
          <w:bCs/>
          <w:kern w:val="2"/>
          <w:sz w:val="21"/>
          <w:szCs w:val="21"/>
          <w:u w:val="single"/>
          <w:lang w:eastAsia="zh-CN"/>
        </w:rPr>
        <w:t xml:space="preserve">     </w:t>
      </w:r>
      <w:r>
        <w:rPr>
          <w:rFonts w:ascii="宋体" w:eastAsia="宋体" w:hAnsi="宋体" w:hint="eastAsia"/>
          <w:b/>
          <w:bCs/>
          <w:i/>
          <w:iCs/>
          <w:kern w:val="2"/>
          <w:sz w:val="21"/>
          <w:szCs w:val="21"/>
          <w:u w:val="single"/>
          <w:lang w:eastAsia="zh-CN"/>
        </w:rPr>
        <w:t xml:space="preserve"> </w:t>
      </w:r>
      <w:r>
        <w:rPr>
          <w:rFonts w:ascii="宋体" w:eastAsia="宋体" w:hAnsi="宋体"/>
          <w:b/>
          <w:bCs/>
          <w:i/>
          <w:iCs/>
          <w:kern w:val="2"/>
          <w:sz w:val="21"/>
          <w:szCs w:val="21"/>
          <w:u w:val="single"/>
          <w:lang w:eastAsia="zh-CN"/>
        </w:rPr>
        <w:t>（项目名称）</w:t>
      </w:r>
      <w:r>
        <w:rPr>
          <w:rFonts w:ascii="宋体" w:eastAsia="宋体" w:hAnsi="宋体" w:hint="eastAsia"/>
          <w:kern w:val="2"/>
          <w:sz w:val="21"/>
          <w:szCs w:val="21"/>
          <w:lang w:eastAsia="zh-CN"/>
        </w:rPr>
        <w:t>采购活动，提供的货物全部由符合政策要求的中小企业制造。相关企业（含联合体中的中小企业、签订分包意向协议的中小企业）的具体情况如下</w:t>
      </w:r>
      <w:r>
        <w:rPr>
          <w:rFonts w:ascii="宋体" w:eastAsia="宋体" w:hAnsi="宋体"/>
          <w:kern w:val="2"/>
          <w:sz w:val="21"/>
          <w:szCs w:val="21"/>
          <w:lang w:eastAsia="zh-CN"/>
        </w:rPr>
        <w:t>：</w:t>
      </w:r>
    </w:p>
    <w:p>
      <w:pPr>
        <w:widowControl w:val="0"/>
        <w:spacing w:after="160" w:line="259"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（采购文件中明确的所属行业）    </w:t>
      </w:r>
      <w:r>
        <w:rPr>
          <w:rFonts w:ascii="宋体" w:eastAsia="宋体" w:hAnsi="宋体" w:cs="宋体" w:hint="eastAsia"/>
          <w:kern w:val="2"/>
          <w:sz w:val="21"/>
          <w:szCs w:val="21"/>
          <w:lang w:eastAsia="zh-CN"/>
        </w:rPr>
        <w:t>行业；制造商为</w:t>
      </w:r>
      <w:r>
        <w:rPr>
          <w:rFonts w:ascii="宋体" w:eastAsia="宋体" w:hAnsi="宋体" w:cs="宋体" w:hint="eastAsia"/>
          <w:b/>
          <w:bCs/>
          <w:i/>
          <w:iCs/>
          <w:kern w:val="2"/>
          <w:sz w:val="21"/>
          <w:szCs w:val="21"/>
          <w:u w:val="single"/>
          <w:lang w:eastAsia="zh-CN"/>
        </w:rPr>
        <w:t xml:space="preserve">    （企业名称，要求制造商本身所属行业应当与招标文件要求的行业相一致）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widowControl w:val="0"/>
        <w:spacing w:after="160" w:line="259"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（采购文件中明确的所属行业）    </w:t>
      </w:r>
      <w:r>
        <w:rPr>
          <w:rFonts w:ascii="宋体" w:eastAsia="宋体" w:hAnsi="宋体" w:cs="宋体" w:hint="eastAsia"/>
          <w:kern w:val="2"/>
          <w:sz w:val="21"/>
          <w:szCs w:val="21"/>
          <w:lang w:eastAsia="zh-CN"/>
        </w:rPr>
        <w:t>行业；制造商为</w:t>
      </w:r>
      <w:r>
        <w:rPr>
          <w:rFonts w:ascii="宋体" w:eastAsia="宋体" w:hAnsi="宋体" w:cs="宋体" w:hint="eastAsia"/>
          <w:b/>
          <w:bCs/>
          <w:i/>
          <w:iCs/>
          <w:kern w:val="2"/>
          <w:sz w:val="21"/>
          <w:szCs w:val="21"/>
          <w:u w:val="single"/>
          <w:lang w:eastAsia="zh-CN"/>
        </w:rPr>
        <w:t xml:space="preserve">    （企业名称，要求制造商本身所属行业应当与招标文件要求的行业相一致）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widowControl w:val="0"/>
        <w:spacing w:after="160" w:line="259"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w:t>
      </w:r>
    </w:p>
    <w:p>
      <w:pPr>
        <w:widowControl w:val="0"/>
        <w:spacing w:after="160" w:line="259" w:lineRule="auto"/>
        <w:ind w:firstLine="420" w:firstLineChars="200"/>
        <w:jc w:val="both"/>
        <w:rPr>
          <w:rFonts w:ascii="宋体" w:eastAsia="宋体" w:hAnsi="宋体" w:cs="宋体"/>
          <w:kern w:val="2"/>
          <w:sz w:val="21"/>
          <w:szCs w:val="21"/>
          <w:lang w:eastAsia="zh-CN"/>
        </w:rPr>
      </w:pPr>
    </w:p>
    <w:p>
      <w:pPr>
        <w:widowControl w:val="0"/>
        <w:spacing w:after="160" w:line="259"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以上企业，不属于大企业的分支机构，不存在控股股东为大企业的情形，也不存在与大企业的负责人为同一人的情形。</w:t>
      </w:r>
    </w:p>
    <w:p>
      <w:pPr>
        <w:widowControl w:val="0"/>
        <w:spacing w:after="160" w:line="259" w:lineRule="auto"/>
        <w:ind w:firstLine="420" w:firstLineChars="200"/>
        <w:jc w:val="both"/>
        <w:rPr>
          <w:rFonts w:ascii="宋体" w:eastAsia="宋体" w:hAnsi="宋体" w:cs="宋体"/>
          <w:kern w:val="2"/>
          <w:sz w:val="21"/>
          <w:szCs w:val="21"/>
          <w:lang w:eastAsia="zh-CN"/>
        </w:rPr>
      </w:pPr>
      <w:bookmarkStart w:id="44" w:name="_Hlk73562203"/>
      <w:r>
        <w:rPr>
          <w:rFonts w:ascii="宋体" w:eastAsia="宋体" w:hAnsi="宋体" w:cs="宋体" w:hint="eastAsia"/>
          <w:kern w:val="2"/>
          <w:sz w:val="21"/>
          <w:szCs w:val="21"/>
          <w:lang w:eastAsia="zh-CN"/>
        </w:rPr>
        <w:t>本投标人对上述声明内容的真实性负责。如有虚假，将依法承担相应责任。</w:t>
      </w:r>
    </w:p>
    <w:p>
      <w:pPr>
        <w:widowControl w:val="0"/>
        <w:spacing w:after="160" w:line="259" w:lineRule="auto"/>
        <w:ind w:firstLine="420" w:firstLineChars="200"/>
        <w:jc w:val="both"/>
        <w:rPr>
          <w:rFonts w:eastAsia="宋体"/>
          <w:kern w:val="2"/>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44"/>
    </w:p>
    <w:p>
      <w:pPr>
        <w:widowControl w:val="0"/>
        <w:spacing w:after="160" w:line="259" w:lineRule="auto"/>
        <w:jc w:val="both"/>
        <w:rPr>
          <w:rFonts w:ascii="宋体" w:eastAsia="宋体" w:hAnsi="宋体"/>
          <w:bCs/>
          <w:color w:val="FF0000"/>
          <w:sz w:val="21"/>
          <w:szCs w:val="21"/>
          <w:lang w:eastAsia="zh-CN"/>
        </w:rPr>
      </w:pPr>
    </w:p>
    <w:p>
      <w:pPr>
        <w:widowControl w:val="0"/>
        <w:spacing w:after="160" w:line="259" w:lineRule="auto"/>
        <w:jc w:val="both"/>
        <w:rPr>
          <w:rFonts w:eastAsia="宋体"/>
          <w:kern w:val="2"/>
          <w:sz w:val="21"/>
          <w:lang w:eastAsia="zh-CN"/>
        </w:rPr>
      </w:pPr>
    </w:p>
    <w:p>
      <w:pPr>
        <w:widowControl w:val="0"/>
        <w:spacing w:after="160" w:line="259" w:lineRule="auto"/>
        <w:ind w:firstLine="420" w:firstLineChars="200"/>
        <w:jc w:val="both"/>
        <w:rPr>
          <w:rFonts w:eastAsia="宋体"/>
          <w:kern w:val="2"/>
          <w:sz w:val="21"/>
          <w:lang w:eastAsia="zh-CN"/>
        </w:rPr>
      </w:pPr>
    </w:p>
    <w:p>
      <w:pPr>
        <w:widowControl w:val="0"/>
        <w:spacing w:after="160" w:line="259" w:lineRule="auto"/>
        <w:jc w:val="center"/>
        <w:outlineLvl w:val="3"/>
        <w:rPr>
          <w:rFonts w:eastAsia="宋体"/>
          <w:b/>
          <w:kern w:val="2"/>
          <w:lang w:eastAsia="zh-CN"/>
        </w:rPr>
      </w:pPr>
      <w:r>
        <w:rPr>
          <w:rFonts w:eastAsia="宋体" w:hint="eastAsia"/>
          <w:b/>
          <w:kern w:val="2"/>
          <w:lang w:eastAsia="zh-CN"/>
        </w:rPr>
        <w:t>2、残疾人福利性单位声明函（货物类）</w:t>
      </w:r>
    </w:p>
    <w:p>
      <w:pPr>
        <w:widowControl w:val="0"/>
        <w:spacing w:after="160" w:line="259" w:lineRule="auto"/>
        <w:jc w:val="both"/>
        <w:rPr>
          <w:rFonts w:eastAsia="宋体"/>
          <w:b/>
          <w:bCs/>
          <w:kern w:val="2"/>
          <w:sz w:val="21"/>
          <w:lang w:eastAsia="zh-CN"/>
        </w:rPr>
      </w:pPr>
    </w:p>
    <w:p>
      <w:pPr>
        <w:widowControl w:val="0"/>
        <w:spacing w:after="160" w:line="259" w:lineRule="auto"/>
        <w:ind w:firstLine="420" w:firstLineChars="200"/>
        <w:jc w:val="both"/>
        <w:rPr>
          <w:rFonts w:ascii="宋体" w:eastAsia="宋体" w:hAnsi="宋体" w:cs="宋体"/>
          <w:kern w:val="2"/>
          <w:sz w:val="21"/>
          <w:szCs w:val="21"/>
          <w:lang w:eastAsia="zh-CN"/>
        </w:rPr>
      </w:pPr>
      <w:bookmarkStart w:id="45" w:name="_Hlk73562331"/>
      <w:bookmarkStart w:id="46" w:name="_Hlk73562245"/>
      <w:r>
        <w:rPr>
          <w:rFonts w:ascii="宋体" w:eastAsia="宋体" w:hAnsi="宋体" w:cs="宋体" w:hint="eastAsia"/>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spacing w:after="160" w:line="259"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after="160" w:line="259"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45"/>
    </w:p>
    <w:bookmarkEnd w:id="46"/>
    <w:p>
      <w:pPr>
        <w:widowControl w:val="0"/>
        <w:spacing w:after="160" w:line="259" w:lineRule="auto"/>
        <w:ind w:firstLine="420" w:firstLineChars="200"/>
        <w:jc w:val="both"/>
        <w:rPr>
          <w:rFonts w:ascii="宋体" w:eastAsia="宋体" w:hAnsi="宋体"/>
          <w:kern w:val="2"/>
          <w:sz w:val="21"/>
          <w:szCs w:val="21"/>
          <w:lang w:eastAsia="zh-CN"/>
        </w:rPr>
      </w:pPr>
    </w:p>
    <w:p>
      <w:pPr>
        <w:widowControl w:val="0"/>
        <w:spacing w:after="160" w:line="259" w:lineRule="auto"/>
        <w:ind w:firstLine="420" w:firstLineChars="200"/>
        <w:jc w:val="both"/>
        <w:rPr>
          <w:rFonts w:ascii="宋体" w:eastAsia="宋体" w:hAnsi="宋体"/>
          <w:kern w:val="2"/>
          <w:sz w:val="21"/>
          <w:szCs w:val="21"/>
          <w:lang w:eastAsia="zh-CN"/>
        </w:rPr>
      </w:pPr>
    </w:p>
    <w:p>
      <w:pPr>
        <w:widowControl w:val="0"/>
        <w:spacing w:after="160" w:line="259" w:lineRule="auto"/>
        <w:jc w:val="center"/>
        <w:outlineLvl w:val="3"/>
        <w:rPr>
          <w:rFonts w:eastAsia="宋体"/>
          <w:b/>
          <w:kern w:val="2"/>
          <w:lang w:eastAsia="zh-CN"/>
        </w:rPr>
      </w:pPr>
      <w:r>
        <w:rPr>
          <w:rFonts w:eastAsia="宋体" w:hint="eastAsia"/>
          <w:b/>
          <w:kern w:val="2"/>
          <w:lang w:eastAsia="zh-CN"/>
        </w:rPr>
        <w:t>3、监狱企业声明函【货物类，提供监狱企业货物的供应商如需享受优惠政策，还须另行提供省级以上监狱管理局、戒毒管理局（含新疆生产建设兵团）出具的监狱企业证明文件】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本投标人郑重声明，根据《财政部司法部关于政府采购支持监狱企业发展有关问题的通知》（财库〔</w:t>
      </w:r>
      <w:r>
        <w:rPr>
          <w:rFonts w:ascii="宋体" w:eastAsia="宋体" w:hAnsi="宋体"/>
          <w:kern w:val="2"/>
          <w:sz w:val="21"/>
          <w:szCs w:val="21"/>
          <w:lang w:eastAsia="zh-CN"/>
        </w:rPr>
        <w:t>2014</w:t>
      </w:r>
      <w:r>
        <w:rPr>
          <w:rFonts w:ascii="宋体" w:eastAsia="宋体" w:hAnsi="宋体" w:hint="eastAsia"/>
          <w:kern w:val="2"/>
          <w:sz w:val="21"/>
          <w:szCs w:val="21"/>
          <w:lang w:eastAsia="zh-CN"/>
        </w:rPr>
        <w:t>〕</w:t>
      </w:r>
      <w:r>
        <w:rPr>
          <w:rFonts w:ascii="宋体" w:eastAsia="宋体" w:hAnsi="宋体"/>
          <w:kern w:val="2"/>
          <w:sz w:val="21"/>
          <w:szCs w:val="21"/>
          <w:lang w:eastAsia="zh-CN"/>
        </w:rPr>
        <w:t>68</w:t>
      </w:r>
      <w:r>
        <w:rPr>
          <w:rFonts w:ascii="宋体" w:eastAsia="宋体" w:hAnsi="宋体"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b/>
          <w:bCs/>
          <w:i/>
          <w:iCs/>
          <w:kern w:val="2"/>
          <w:sz w:val="21"/>
          <w:szCs w:val="21"/>
          <w:u w:val="single"/>
          <w:lang w:eastAsia="zh-CN"/>
        </w:rPr>
        <w:t>（</w:t>
      </w:r>
      <w:r>
        <w:rPr>
          <w:rFonts w:ascii="宋体" w:eastAsia="宋体" w:hAnsi="宋体" w:hint="eastAsia"/>
          <w:b/>
          <w:bCs/>
          <w:i/>
          <w:iCs/>
          <w:kern w:val="2"/>
          <w:sz w:val="21"/>
          <w:szCs w:val="21"/>
          <w:u w:val="single"/>
          <w:lang w:eastAsia="zh-CN"/>
        </w:rPr>
        <w:t>采购人</w:t>
      </w:r>
      <w:r>
        <w:rPr>
          <w:rFonts w:ascii="宋体" w:eastAsia="宋体" w:hAnsi="宋体"/>
          <w:b/>
          <w:bCs/>
          <w:i/>
          <w:iCs/>
          <w:kern w:val="2"/>
          <w:sz w:val="21"/>
          <w:szCs w:val="21"/>
          <w:u w:val="single"/>
          <w:lang w:eastAsia="zh-CN"/>
        </w:rPr>
        <w:t>名称）</w:t>
      </w:r>
      <w:r>
        <w:rPr>
          <w:rFonts w:ascii="宋体" w:eastAsia="宋体" w:hAnsi="宋体"/>
          <w:kern w:val="2"/>
          <w:sz w:val="21"/>
          <w:szCs w:val="21"/>
          <w:lang w:eastAsia="zh-CN"/>
        </w:rPr>
        <w:t>的</w:t>
      </w:r>
      <w:r>
        <w:rPr>
          <w:rFonts w:ascii="宋体" w:eastAsia="宋体" w:hAnsi="宋体"/>
          <w:b/>
          <w:bCs/>
          <w:i/>
          <w:iCs/>
          <w:kern w:val="2"/>
          <w:sz w:val="21"/>
          <w:szCs w:val="21"/>
          <w:u w:val="single"/>
          <w:lang w:eastAsia="zh-CN"/>
        </w:rPr>
        <w:t>（项目名称）</w:t>
      </w:r>
      <w:r>
        <w:rPr>
          <w:rFonts w:ascii="宋体" w:eastAsia="宋体" w:hAnsi="宋体"/>
          <w:kern w:val="2"/>
          <w:sz w:val="21"/>
          <w:szCs w:val="21"/>
          <w:lang w:eastAsia="zh-CN"/>
        </w:rPr>
        <w:t>采购活动，提供的货物全部由符合政策要求的</w:t>
      </w:r>
      <w:r>
        <w:rPr>
          <w:rFonts w:ascii="宋体" w:eastAsia="宋体" w:hAnsi="宋体" w:hint="eastAsia"/>
          <w:kern w:val="2"/>
          <w:sz w:val="21"/>
          <w:szCs w:val="21"/>
          <w:lang w:eastAsia="zh-CN"/>
        </w:rPr>
        <w:t>监狱企业</w:t>
      </w:r>
      <w:r>
        <w:rPr>
          <w:rFonts w:ascii="宋体" w:eastAsia="宋体" w:hAnsi="宋体"/>
          <w:kern w:val="2"/>
          <w:sz w:val="21"/>
          <w:szCs w:val="21"/>
          <w:lang w:eastAsia="zh-CN"/>
        </w:rPr>
        <w:t>制造。相关</w:t>
      </w:r>
      <w:r>
        <w:rPr>
          <w:rFonts w:ascii="宋体" w:eastAsia="宋体" w:hAnsi="宋体" w:hint="eastAsia"/>
          <w:kern w:val="2"/>
          <w:sz w:val="21"/>
          <w:szCs w:val="21"/>
          <w:lang w:eastAsia="zh-CN"/>
        </w:rPr>
        <w:t>监狱企业</w:t>
      </w:r>
      <w:r>
        <w:rPr>
          <w:rFonts w:ascii="宋体" w:eastAsia="宋体" w:hAnsi="宋体"/>
          <w:kern w:val="2"/>
          <w:sz w:val="21"/>
          <w:szCs w:val="21"/>
          <w:lang w:eastAsia="zh-CN"/>
        </w:rPr>
        <w:t>的具体情况如下：</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b/>
          <w:bCs/>
          <w:i/>
          <w:iCs/>
          <w:kern w:val="2"/>
          <w:sz w:val="21"/>
          <w:szCs w:val="21"/>
          <w:u w:val="single"/>
          <w:lang w:eastAsia="zh-CN"/>
        </w:rPr>
        <w:t xml:space="preserve"> </w:t>
      </w:r>
      <w:r>
        <w:rPr>
          <w:rFonts w:ascii="宋体" w:eastAsia="宋体" w:hAnsi="宋体" w:hint="eastAsia"/>
          <w:b/>
          <w:bCs/>
          <w:i/>
          <w:iCs/>
          <w:kern w:val="2"/>
          <w:sz w:val="21"/>
          <w:szCs w:val="21"/>
          <w:u w:val="single"/>
          <w:lang w:eastAsia="zh-CN"/>
        </w:rPr>
        <w:t xml:space="preserve">   </w:t>
      </w:r>
      <w:r>
        <w:rPr>
          <w:rFonts w:ascii="宋体" w:eastAsia="宋体" w:hAnsi="宋体"/>
          <w:b/>
          <w:bCs/>
          <w:i/>
          <w:iCs/>
          <w:kern w:val="2"/>
          <w:sz w:val="21"/>
          <w:szCs w:val="21"/>
          <w:u w:val="single"/>
          <w:lang w:eastAsia="zh-CN"/>
        </w:rPr>
        <w:t>（标的名称）</w:t>
      </w:r>
      <w:r>
        <w:rPr>
          <w:rFonts w:ascii="宋体" w:eastAsia="宋体" w:hAnsi="宋体" w:hint="eastAsia"/>
          <w:b/>
          <w:bCs/>
          <w:i/>
          <w:iCs/>
          <w:kern w:val="2"/>
          <w:sz w:val="21"/>
          <w:szCs w:val="21"/>
          <w:u w:val="single"/>
          <w:lang w:eastAsia="zh-CN"/>
        </w:rPr>
        <w:t xml:space="preserve">    </w:t>
      </w:r>
      <w:r>
        <w:rPr>
          <w:rFonts w:ascii="宋体" w:eastAsia="宋体" w:hAnsi="宋体" w:hint="eastAsia"/>
          <w:kern w:val="2"/>
          <w:sz w:val="21"/>
          <w:szCs w:val="21"/>
          <w:lang w:eastAsia="zh-CN"/>
        </w:rPr>
        <w:t>，</w:t>
      </w:r>
      <w:r>
        <w:rPr>
          <w:rFonts w:ascii="宋体" w:eastAsia="宋体" w:hAnsi="宋体"/>
          <w:kern w:val="2"/>
          <w:sz w:val="21"/>
          <w:szCs w:val="21"/>
          <w:lang w:eastAsia="zh-CN"/>
        </w:rPr>
        <w:t>制造商为</w:t>
      </w:r>
      <w:r>
        <w:rPr>
          <w:rFonts w:ascii="宋体" w:eastAsia="宋体" w:hAnsi="宋体" w:hint="eastAsia"/>
          <w:kern w:val="2"/>
          <w:sz w:val="21"/>
          <w:szCs w:val="21"/>
          <w:u w:val="single"/>
          <w:lang w:eastAsia="zh-CN"/>
        </w:rPr>
        <w:t xml:space="preserve">    </w:t>
      </w:r>
      <w:r>
        <w:rPr>
          <w:rFonts w:ascii="宋体" w:eastAsia="宋体" w:hAnsi="宋体"/>
          <w:b/>
          <w:bCs/>
          <w:i/>
          <w:iCs/>
          <w:kern w:val="2"/>
          <w:sz w:val="21"/>
          <w:szCs w:val="21"/>
          <w:u w:val="single"/>
          <w:lang w:eastAsia="zh-CN"/>
        </w:rPr>
        <w:t>（</w:t>
      </w:r>
      <w:r>
        <w:rPr>
          <w:rFonts w:ascii="宋体" w:eastAsia="宋体" w:hAnsi="宋体" w:hint="eastAsia"/>
          <w:b/>
          <w:bCs/>
          <w:i/>
          <w:iCs/>
          <w:kern w:val="2"/>
          <w:sz w:val="21"/>
          <w:szCs w:val="21"/>
          <w:u w:val="single"/>
          <w:lang w:eastAsia="zh-CN"/>
        </w:rPr>
        <w:t>企业</w:t>
      </w:r>
      <w:r>
        <w:rPr>
          <w:rFonts w:ascii="宋体" w:eastAsia="宋体" w:hAnsi="宋体"/>
          <w:b/>
          <w:bCs/>
          <w:i/>
          <w:iCs/>
          <w:kern w:val="2"/>
          <w:sz w:val="21"/>
          <w:szCs w:val="21"/>
          <w:u w:val="single"/>
          <w:lang w:eastAsia="zh-CN"/>
        </w:rPr>
        <w:t>名称）</w:t>
      </w:r>
      <w:r>
        <w:rPr>
          <w:rFonts w:ascii="宋体" w:eastAsia="宋体" w:hAnsi="宋体" w:hint="eastAsia"/>
          <w:b/>
          <w:bCs/>
          <w:i/>
          <w:iCs/>
          <w:kern w:val="2"/>
          <w:sz w:val="21"/>
          <w:szCs w:val="21"/>
          <w:u w:val="single"/>
          <w:lang w:eastAsia="zh-CN"/>
        </w:rPr>
        <w:t xml:space="preserve">    </w:t>
      </w:r>
      <w:r>
        <w:rPr>
          <w:rFonts w:ascii="宋体" w:eastAsia="宋体" w:hAnsi="宋体"/>
          <w:kern w:val="2"/>
          <w:sz w:val="21"/>
          <w:szCs w:val="21"/>
          <w:lang w:eastAsia="zh-CN"/>
        </w:rPr>
        <w:t>，属于</w:t>
      </w:r>
      <w:r>
        <w:rPr>
          <w:rFonts w:ascii="宋体" w:eastAsia="宋体" w:hAnsi="宋体" w:hint="eastAsia"/>
          <w:kern w:val="2"/>
          <w:sz w:val="21"/>
          <w:szCs w:val="21"/>
          <w:u w:val="single"/>
          <w:lang w:eastAsia="zh-CN"/>
        </w:rPr>
        <w:t xml:space="preserve">  </w:t>
      </w:r>
      <w:r>
        <w:rPr>
          <w:rFonts w:ascii="宋体" w:eastAsia="宋体" w:hAnsi="宋体" w:hint="eastAsia"/>
          <w:b/>
          <w:bCs/>
          <w:kern w:val="2"/>
          <w:sz w:val="21"/>
          <w:szCs w:val="21"/>
          <w:u w:val="single"/>
          <w:lang w:eastAsia="zh-CN"/>
        </w:rPr>
        <w:t xml:space="preserve">监狱企业  </w:t>
      </w:r>
      <w:r>
        <w:rPr>
          <w:rFonts w:ascii="宋体" w:eastAsia="宋体" w:hAnsi="宋体"/>
          <w:kern w:val="2"/>
          <w:sz w:val="21"/>
          <w:szCs w:val="21"/>
          <w:lang w:eastAsia="zh-CN"/>
        </w:rPr>
        <w:t>；</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2.</w:t>
      </w:r>
      <w:r>
        <w:rPr>
          <w:rFonts w:ascii="宋体" w:eastAsia="宋体" w:hAnsi="宋体"/>
          <w:b/>
          <w:bCs/>
          <w:i/>
          <w:iCs/>
          <w:kern w:val="2"/>
          <w:sz w:val="21"/>
          <w:szCs w:val="21"/>
          <w:u w:val="single"/>
          <w:lang w:eastAsia="zh-CN"/>
        </w:rPr>
        <w:t xml:space="preserve"> </w:t>
      </w:r>
      <w:r>
        <w:rPr>
          <w:rFonts w:ascii="宋体" w:eastAsia="宋体" w:hAnsi="宋体" w:hint="eastAsia"/>
          <w:b/>
          <w:bCs/>
          <w:i/>
          <w:iCs/>
          <w:kern w:val="2"/>
          <w:sz w:val="21"/>
          <w:szCs w:val="21"/>
          <w:u w:val="single"/>
          <w:lang w:eastAsia="zh-CN"/>
        </w:rPr>
        <w:t xml:space="preserve">   </w:t>
      </w:r>
      <w:r>
        <w:rPr>
          <w:rFonts w:ascii="宋体" w:eastAsia="宋体" w:hAnsi="宋体"/>
          <w:b/>
          <w:bCs/>
          <w:i/>
          <w:iCs/>
          <w:kern w:val="2"/>
          <w:sz w:val="21"/>
          <w:szCs w:val="21"/>
          <w:u w:val="single"/>
          <w:lang w:eastAsia="zh-CN"/>
        </w:rPr>
        <w:t>（标的名称）</w:t>
      </w:r>
      <w:r>
        <w:rPr>
          <w:rFonts w:ascii="宋体" w:eastAsia="宋体" w:hAnsi="宋体" w:hint="eastAsia"/>
          <w:b/>
          <w:bCs/>
          <w:i/>
          <w:iCs/>
          <w:kern w:val="2"/>
          <w:sz w:val="21"/>
          <w:szCs w:val="21"/>
          <w:u w:val="single"/>
          <w:lang w:eastAsia="zh-CN"/>
        </w:rPr>
        <w:t xml:space="preserve">    </w:t>
      </w:r>
      <w:r>
        <w:rPr>
          <w:rFonts w:ascii="宋体" w:eastAsia="宋体" w:hAnsi="宋体" w:hint="eastAsia"/>
          <w:kern w:val="2"/>
          <w:sz w:val="21"/>
          <w:szCs w:val="21"/>
          <w:lang w:eastAsia="zh-CN"/>
        </w:rPr>
        <w:t>，</w:t>
      </w:r>
      <w:r>
        <w:rPr>
          <w:rFonts w:ascii="宋体" w:eastAsia="宋体" w:hAnsi="宋体"/>
          <w:kern w:val="2"/>
          <w:sz w:val="21"/>
          <w:szCs w:val="21"/>
          <w:lang w:eastAsia="zh-CN"/>
        </w:rPr>
        <w:t>制造商为</w:t>
      </w:r>
      <w:r>
        <w:rPr>
          <w:rFonts w:ascii="宋体" w:eastAsia="宋体" w:hAnsi="宋体" w:hint="eastAsia"/>
          <w:kern w:val="2"/>
          <w:sz w:val="21"/>
          <w:szCs w:val="21"/>
          <w:u w:val="single"/>
          <w:lang w:eastAsia="zh-CN"/>
        </w:rPr>
        <w:t xml:space="preserve">    </w:t>
      </w:r>
      <w:r>
        <w:rPr>
          <w:rFonts w:ascii="宋体" w:eastAsia="宋体" w:hAnsi="宋体"/>
          <w:b/>
          <w:bCs/>
          <w:i/>
          <w:iCs/>
          <w:kern w:val="2"/>
          <w:sz w:val="21"/>
          <w:szCs w:val="21"/>
          <w:u w:val="single"/>
          <w:lang w:eastAsia="zh-CN"/>
        </w:rPr>
        <w:t>（</w:t>
      </w:r>
      <w:r>
        <w:rPr>
          <w:rFonts w:ascii="宋体" w:eastAsia="宋体" w:hAnsi="宋体" w:hint="eastAsia"/>
          <w:b/>
          <w:bCs/>
          <w:i/>
          <w:iCs/>
          <w:kern w:val="2"/>
          <w:sz w:val="21"/>
          <w:szCs w:val="21"/>
          <w:u w:val="single"/>
          <w:lang w:eastAsia="zh-CN"/>
        </w:rPr>
        <w:t>企业</w:t>
      </w:r>
      <w:r>
        <w:rPr>
          <w:rFonts w:ascii="宋体" w:eastAsia="宋体" w:hAnsi="宋体"/>
          <w:b/>
          <w:bCs/>
          <w:i/>
          <w:iCs/>
          <w:kern w:val="2"/>
          <w:sz w:val="21"/>
          <w:szCs w:val="21"/>
          <w:u w:val="single"/>
          <w:lang w:eastAsia="zh-CN"/>
        </w:rPr>
        <w:t>名称）</w:t>
      </w:r>
      <w:r>
        <w:rPr>
          <w:rFonts w:ascii="宋体" w:eastAsia="宋体" w:hAnsi="宋体" w:hint="eastAsia"/>
          <w:b/>
          <w:bCs/>
          <w:i/>
          <w:iCs/>
          <w:kern w:val="2"/>
          <w:sz w:val="21"/>
          <w:szCs w:val="21"/>
          <w:u w:val="single"/>
          <w:lang w:eastAsia="zh-CN"/>
        </w:rPr>
        <w:t xml:space="preserve">    </w:t>
      </w:r>
      <w:r>
        <w:rPr>
          <w:rFonts w:ascii="宋体" w:eastAsia="宋体" w:hAnsi="宋体"/>
          <w:kern w:val="2"/>
          <w:sz w:val="21"/>
          <w:szCs w:val="21"/>
          <w:lang w:eastAsia="zh-CN"/>
        </w:rPr>
        <w:t>，属于</w:t>
      </w:r>
      <w:r>
        <w:rPr>
          <w:rFonts w:ascii="宋体" w:eastAsia="宋体" w:hAnsi="宋体" w:hint="eastAsia"/>
          <w:kern w:val="2"/>
          <w:sz w:val="21"/>
          <w:szCs w:val="21"/>
          <w:u w:val="single"/>
          <w:lang w:eastAsia="zh-CN"/>
        </w:rPr>
        <w:t xml:space="preserve">  </w:t>
      </w:r>
      <w:r>
        <w:rPr>
          <w:rFonts w:ascii="宋体" w:eastAsia="宋体" w:hAnsi="宋体" w:hint="eastAsia"/>
          <w:b/>
          <w:bCs/>
          <w:kern w:val="2"/>
          <w:sz w:val="21"/>
          <w:szCs w:val="21"/>
          <w:u w:val="single"/>
          <w:lang w:eastAsia="zh-CN"/>
        </w:rPr>
        <w:t xml:space="preserve">监狱企业  </w:t>
      </w:r>
      <w:r>
        <w:rPr>
          <w:rFonts w:ascii="宋体" w:eastAsia="宋体" w:hAnsi="宋体" w:hint="eastAsia"/>
          <w:kern w:val="2"/>
          <w:sz w:val="21"/>
          <w:szCs w:val="21"/>
          <w:lang w:eastAsia="zh-CN"/>
        </w:rPr>
        <w:t>。</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kern w:val="2"/>
          <w:sz w:val="21"/>
          <w:szCs w:val="21"/>
          <w:lang w:eastAsia="zh-CN"/>
        </w:rPr>
        <w:t>对上述声明内容的真实性负责。如有虚假，将依法承担相应责任。</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附：省级以上监狱管理局、戒毒管理局（含新疆生产建设兵团）出具的监狱企业证明文件。    </w:t>
      </w:r>
    </w:p>
    <w:p>
      <w:pPr>
        <w:widowControl w:val="0"/>
        <w:spacing w:after="160" w:line="360" w:lineRule="auto"/>
        <w:jc w:val="both"/>
        <w:rPr>
          <w:rFonts w:eastAsia="宋体"/>
          <w:b/>
          <w:bCs/>
          <w:kern w:val="2"/>
          <w:lang w:eastAsia="zh-CN"/>
        </w:rPr>
      </w:pPr>
    </w:p>
    <w:p>
      <w:pPr>
        <w:widowControl w:val="0"/>
        <w:spacing w:after="160" w:line="259" w:lineRule="auto"/>
        <w:jc w:val="both"/>
        <w:outlineLvl w:val="3"/>
        <w:rPr>
          <w:rFonts w:ascii="黑体" w:eastAsia="黑体" w:hAnsi="宋体"/>
          <w:bCs/>
          <w:szCs w:val="32"/>
          <w:lang w:eastAsia="zh-CN"/>
        </w:rPr>
      </w:pPr>
      <w:r>
        <w:rPr>
          <w:rFonts w:ascii="黑体" w:eastAsia="黑体" w:hAnsi="宋体" w:hint="eastAsia"/>
          <w:bCs/>
          <w:szCs w:val="32"/>
          <w:lang w:eastAsia="zh-CN"/>
        </w:rPr>
        <w:t>（三）《供应商基本情况表》</w:t>
      </w:r>
    </w:p>
    <w:p>
      <w:pPr>
        <w:widowControl w:val="0"/>
        <w:spacing w:after="160" w:line="75" w:lineRule="exact"/>
        <w:jc w:val="both"/>
        <w:rPr>
          <w:rFonts w:ascii="宋体" w:eastAsia="宋体" w:hAnsi="宋体" w:cs="宋体"/>
          <w:color w:val="000000"/>
          <w:kern w:val="2"/>
          <w:sz w:val="21"/>
          <w:szCs w:val="21"/>
          <w:lang w:eastAsia="zh-CN"/>
        </w:rPr>
      </w:pPr>
    </w:p>
    <w:tbl>
      <w:tblPr>
        <w:tblStyle w:val="TableNormal0"/>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684"/>
        <w:gridCol w:w="629"/>
        <w:gridCol w:w="1486"/>
        <w:gridCol w:w="878"/>
        <w:gridCol w:w="734"/>
        <w:gridCol w:w="1109"/>
        <w:gridCol w:w="1391"/>
        <w:gridCol w:w="1401"/>
      </w:tblGrid>
      <w:tr>
        <w:tblPrEx>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633"/>
        </w:trPr>
        <w:tc>
          <w:tcPr>
            <w:tcW w:w="1315" w:type="dxa"/>
            <w:gridSpan w:val="2"/>
            <w:vAlign w:val="center"/>
          </w:tcPr>
          <w:p>
            <w:pPr>
              <w:widowControl w:val="0"/>
              <w:spacing w:line="203" w:lineRule="auto"/>
              <w:jc w:val="center"/>
              <w:rPr>
                <w:rFonts w:ascii="宋体" w:hAnsi="宋体" w:cs="宋体"/>
                <w:color w:val="000000"/>
                <w:spacing w:val="-4"/>
                <w:kern w:val="2"/>
                <w:sz w:val="21"/>
                <w:szCs w:val="21"/>
                <w:lang w:eastAsia="zh-CN"/>
              </w:rPr>
            </w:pPr>
            <w:r>
              <w:rPr>
                <w:rFonts w:ascii="宋体" w:hAnsi="宋体" w:cs="宋体" w:hint="eastAsia"/>
                <w:color w:val="000000"/>
                <w:spacing w:val="-4"/>
                <w:kern w:val="2"/>
                <w:sz w:val="21"/>
                <w:szCs w:val="21"/>
              </w:rPr>
              <w:t>采购人</w:t>
            </w:r>
          </w:p>
        </w:tc>
        <w:tc>
          <w:tcPr>
            <w:tcW w:w="2369" w:type="dxa"/>
            <w:gridSpan w:val="2"/>
            <w:vAlign w:val="center"/>
          </w:tcPr>
          <w:p>
            <w:pPr>
              <w:widowControl w:val="0"/>
              <w:jc w:val="both"/>
              <w:rPr>
                <w:rFonts w:ascii="宋体" w:hAnsi="宋体" w:cs="宋体"/>
                <w:color w:val="000000"/>
                <w:kern w:val="2"/>
                <w:sz w:val="21"/>
                <w:szCs w:val="21"/>
                <w:lang w:eastAsia="zh-CN"/>
              </w:rPr>
            </w:pPr>
          </w:p>
        </w:tc>
        <w:tc>
          <w:tcPr>
            <w:tcW w:w="1847" w:type="dxa"/>
            <w:gridSpan w:val="2"/>
            <w:vAlign w:val="center"/>
          </w:tcPr>
          <w:p>
            <w:pPr>
              <w:widowControl w:val="0"/>
              <w:spacing w:line="203" w:lineRule="auto"/>
              <w:jc w:val="center"/>
              <w:rPr>
                <w:rFonts w:ascii="宋体" w:hAnsi="宋体" w:cs="宋体"/>
                <w:color w:val="000000"/>
                <w:spacing w:val="-4"/>
                <w:kern w:val="2"/>
                <w:sz w:val="21"/>
                <w:szCs w:val="21"/>
                <w:lang w:eastAsia="zh-CN"/>
              </w:rPr>
            </w:pPr>
            <w:r>
              <w:rPr>
                <w:rFonts w:ascii="宋体" w:hAnsi="宋体" w:cs="宋体" w:hint="eastAsia"/>
                <w:color w:val="000000"/>
                <w:spacing w:val="-4"/>
                <w:kern w:val="2"/>
                <w:sz w:val="21"/>
                <w:szCs w:val="21"/>
              </w:rPr>
              <w:t>项目名称</w:t>
            </w:r>
          </w:p>
        </w:tc>
        <w:tc>
          <w:tcPr>
            <w:tcW w:w="2798" w:type="dxa"/>
            <w:gridSpan w:val="2"/>
            <w:vAlign w:val="center"/>
          </w:tcPr>
          <w:p>
            <w:pPr>
              <w:widowControl w:val="0"/>
              <w:jc w:val="both"/>
              <w:rPr>
                <w:rFonts w:ascii="宋体" w:hAnsi="宋体" w:cs="宋体"/>
                <w:color w:val="000000"/>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35"/>
        </w:trPr>
        <w:tc>
          <w:tcPr>
            <w:tcW w:w="1315" w:type="dxa"/>
            <w:gridSpan w:val="2"/>
            <w:vAlign w:val="center"/>
          </w:tcPr>
          <w:p>
            <w:pPr>
              <w:widowControl w:val="0"/>
              <w:spacing w:line="203" w:lineRule="auto"/>
              <w:jc w:val="center"/>
              <w:rPr>
                <w:rFonts w:ascii="宋体" w:hAnsi="宋体" w:cs="宋体"/>
                <w:color w:val="000000"/>
                <w:spacing w:val="-4"/>
                <w:kern w:val="2"/>
                <w:sz w:val="21"/>
                <w:szCs w:val="21"/>
                <w:lang w:eastAsia="zh-CN"/>
              </w:rPr>
            </w:pPr>
            <w:r>
              <w:rPr>
                <w:rFonts w:ascii="宋体" w:hAnsi="宋体" w:cs="宋体" w:hint="eastAsia"/>
                <w:color w:val="000000"/>
                <w:spacing w:val="-4"/>
                <w:kern w:val="2"/>
                <w:sz w:val="21"/>
                <w:szCs w:val="21"/>
                <w:lang w:eastAsia="zh-CN"/>
              </w:rPr>
              <w:t>投标（响应）供应商</w:t>
            </w:r>
          </w:p>
        </w:tc>
        <w:tc>
          <w:tcPr>
            <w:tcW w:w="2369" w:type="dxa"/>
            <w:gridSpan w:val="2"/>
            <w:vAlign w:val="center"/>
          </w:tcPr>
          <w:p>
            <w:pPr>
              <w:widowControl w:val="0"/>
              <w:jc w:val="both"/>
              <w:rPr>
                <w:rFonts w:ascii="宋体" w:hAnsi="宋体" w:cs="宋体"/>
                <w:color w:val="000000"/>
                <w:kern w:val="2"/>
                <w:sz w:val="21"/>
                <w:szCs w:val="21"/>
                <w:lang w:eastAsia="zh-CN"/>
              </w:rPr>
            </w:pPr>
          </w:p>
        </w:tc>
        <w:tc>
          <w:tcPr>
            <w:tcW w:w="1847" w:type="dxa"/>
            <w:gridSpan w:val="2"/>
            <w:vAlign w:val="center"/>
          </w:tcPr>
          <w:p>
            <w:pPr>
              <w:widowControl w:val="0"/>
              <w:spacing w:line="203" w:lineRule="auto"/>
              <w:jc w:val="center"/>
              <w:rPr>
                <w:rFonts w:ascii="宋体" w:hAnsi="宋体" w:cs="宋体"/>
                <w:color w:val="000000"/>
                <w:spacing w:val="-4"/>
                <w:kern w:val="2"/>
                <w:sz w:val="21"/>
                <w:szCs w:val="21"/>
                <w:lang w:eastAsia="zh-CN"/>
              </w:rPr>
            </w:pPr>
            <w:r>
              <w:rPr>
                <w:rFonts w:ascii="宋体" w:hAnsi="宋体" w:cs="宋体" w:hint="eastAsia"/>
                <w:color w:val="000000"/>
                <w:spacing w:val="-4"/>
                <w:kern w:val="2"/>
                <w:sz w:val="21"/>
                <w:szCs w:val="21"/>
                <w:lang w:eastAsia="zh-CN"/>
              </w:rPr>
              <w:t>供应商统一社会信用代码</w:t>
            </w:r>
          </w:p>
        </w:tc>
        <w:tc>
          <w:tcPr>
            <w:tcW w:w="2798" w:type="dxa"/>
            <w:gridSpan w:val="2"/>
            <w:vAlign w:val="center"/>
          </w:tcPr>
          <w:p>
            <w:pPr>
              <w:widowControl w:val="0"/>
              <w:jc w:val="both"/>
              <w:rPr>
                <w:rFonts w:ascii="宋体" w:hAnsi="宋体" w:cs="宋体"/>
                <w:color w:val="000000"/>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8329" w:type="dxa"/>
            <w:gridSpan w:val="8"/>
            <w:vAlign w:val="center"/>
          </w:tcPr>
          <w:p>
            <w:pPr>
              <w:widowControl w:val="0"/>
              <w:spacing w:line="198" w:lineRule="auto"/>
              <w:ind w:left="2683"/>
              <w:jc w:val="both"/>
              <w:rPr>
                <w:rFonts w:ascii="宋体" w:hAnsi="宋体" w:cs="宋体"/>
                <w:color w:val="000000"/>
                <w:kern w:val="2"/>
                <w:sz w:val="21"/>
                <w:szCs w:val="21"/>
                <w:lang w:eastAsia="zh-CN"/>
              </w:rPr>
            </w:pPr>
            <w:r>
              <w:rPr>
                <w:rFonts w:ascii="宋体" w:hAnsi="宋体" w:cs="宋体" w:hint="eastAsia"/>
                <w:color w:val="000000"/>
                <w:kern w:val="2"/>
                <w:sz w:val="21"/>
                <w:szCs w:val="21"/>
                <w:lang w:eastAsia="zh-CN"/>
              </w:rPr>
              <w:t>投标（响应）供应商相关人员情况</w:t>
            </w:r>
          </w:p>
        </w:tc>
      </w:tr>
      <w:tr>
        <w:tblPrEx>
          <w:tblW w:w="5000" w:type="pct"/>
          <w:tblInd w:w="0" w:type="dxa"/>
          <w:tblLayout w:type="fixed"/>
          <w:tblCellMar>
            <w:top w:w="0" w:type="dxa"/>
            <w:left w:w="0" w:type="dxa"/>
            <w:bottom w:w="0" w:type="dxa"/>
            <w:right w:w="0" w:type="dxa"/>
          </w:tblCellMar>
        </w:tblPrEx>
        <w:trPr>
          <w:trHeight w:val="703"/>
        </w:trPr>
        <w:tc>
          <w:tcPr>
            <w:tcW w:w="685" w:type="dxa"/>
            <w:vAlign w:val="center"/>
          </w:tcPr>
          <w:p>
            <w:pPr>
              <w:widowControl w:val="0"/>
              <w:spacing w:line="202" w:lineRule="auto"/>
              <w:ind w:left="145"/>
              <w:jc w:val="both"/>
              <w:rPr>
                <w:rFonts w:ascii="宋体" w:hAnsi="宋体" w:cs="宋体"/>
                <w:color w:val="000000"/>
                <w:spacing w:val="-5"/>
                <w:kern w:val="2"/>
                <w:sz w:val="21"/>
                <w:szCs w:val="21"/>
                <w:lang w:eastAsia="zh-CN"/>
              </w:rPr>
            </w:pPr>
            <w:r>
              <w:rPr>
                <w:rFonts w:ascii="宋体" w:hAnsi="宋体" w:cs="宋体" w:hint="eastAsia"/>
                <w:color w:val="000000"/>
                <w:spacing w:val="-5"/>
                <w:kern w:val="2"/>
                <w:sz w:val="21"/>
                <w:szCs w:val="21"/>
                <w:lang w:eastAsia="zh-CN"/>
              </w:rPr>
              <w:t>序号</w:t>
            </w:r>
          </w:p>
        </w:tc>
        <w:tc>
          <w:tcPr>
            <w:tcW w:w="2119" w:type="dxa"/>
            <w:gridSpan w:val="2"/>
            <w:vAlign w:val="center"/>
          </w:tcPr>
          <w:p>
            <w:pPr>
              <w:widowControl w:val="0"/>
              <w:spacing w:line="202" w:lineRule="auto"/>
              <w:ind w:left="916"/>
              <w:jc w:val="both"/>
              <w:rPr>
                <w:rFonts w:ascii="宋体" w:hAnsi="宋体" w:cs="宋体"/>
                <w:color w:val="000000"/>
                <w:spacing w:val="-6"/>
                <w:kern w:val="2"/>
                <w:sz w:val="21"/>
                <w:szCs w:val="21"/>
                <w:lang w:eastAsia="zh-CN"/>
              </w:rPr>
            </w:pPr>
            <w:r>
              <w:rPr>
                <w:rFonts w:ascii="宋体" w:hAnsi="宋体" w:cs="宋体" w:hint="eastAsia"/>
                <w:color w:val="000000"/>
                <w:spacing w:val="-6"/>
                <w:kern w:val="2"/>
                <w:sz w:val="21"/>
                <w:szCs w:val="21"/>
                <w:lang w:eastAsia="zh-CN"/>
              </w:rPr>
              <w:t>职务</w:t>
            </w:r>
          </w:p>
        </w:tc>
        <w:tc>
          <w:tcPr>
            <w:tcW w:w="880" w:type="dxa"/>
            <w:vAlign w:val="center"/>
          </w:tcPr>
          <w:p>
            <w:pPr>
              <w:widowControl w:val="0"/>
              <w:spacing w:line="203" w:lineRule="auto"/>
              <w:ind w:left="245"/>
              <w:jc w:val="both"/>
              <w:rPr>
                <w:rFonts w:ascii="宋体" w:hAnsi="宋体" w:cs="宋体"/>
                <w:color w:val="000000"/>
                <w:spacing w:val="-4"/>
                <w:kern w:val="2"/>
                <w:sz w:val="21"/>
                <w:szCs w:val="21"/>
                <w:lang w:eastAsia="zh-CN"/>
              </w:rPr>
            </w:pPr>
            <w:r>
              <w:rPr>
                <w:rFonts w:ascii="宋体" w:hAnsi="宋体" w:cs="宋体" w:hint="eastAsia"/>
                <w:color w:val="000000"/>
                <w:spacing w:val="-4"/>
                <w:kern w:val="2"/>
                <w:sz w:val="21"/>
                <w:szCs w:val="21"/>
                <w:lang w:eastAsia="zh-CN"/>
              </w:rPr>
              <w:t>姓名</w:t>
            </w:r>
          </w:p>
        </w:tc>
        <w:tc>
          <w:tcPr>
            <w:tcW w:w="1847" w:type="dxa"/>
            <w:gridSpan w:val="2"/>
            <w:vAlign w:val="center"/>
          </w:tcPr>
          <w:p>
            <w:pPr>
              <w:widowControl w:val="0"/>
              <w:spacing w:line="203" w:lineRule="auto"/>
              <w:ind w:left="410"/>
              <w:jc w:val="both"/>
              <w:rPr>
                <w:rFonts w:ascii="宋体" w:hAnsi="宋体" w:cs="宋体"/>
                <w:color w:val="000000"/>
                <w:spacing w:val="-3"/>
                <w:kern w:val="2"/>
                <w:sz w:val="21"/>
                <w:szCs w:val="21"/>
                <w:lang w:eastAsia="zh-CN"/>
              </w:rPr>
            </w:pPr>
            <w:r>
              <w:rPr>
                <w:rFonts w:ascii="宋体" w:hAnsi="宋体" w:cs="宋体" w:hint="eastAsia"/>
                <w:color w:val="000000"/>
                <w:spacing w:val="-3"/>
                <w:kern w:val="2"/>
                <w:sz w:val="21"/>
                <w:szCs w:val="21"/>
                <w:lang w:eastAsia="zh-CN"/>
              </w:rPr>
              <w:t>身份证号码</w:t>
            </w:r>
          </w:p>
        </w:tc>
        <w:tc>
          <w:tcPr>
            <w:tcW w:w="1394" w:type="dxa"/>
            <w:vAlign w:val="center"/>
          </w:tcPr>
          <w:p>
            <w:pPr>
              <w:widowControl w:val="0"/>
              <w:spacing w:line="191" w:lineRule="auto"/>
              <w:ind w:left="288" w:right="266" w:firstLine="5"/>
              <w:jc w:val="both"/>
              <w:rPr>
                <w:rFonts w:ascii="宋体" w:hAnsi="宋体" w:cs="宋体"/>
                <w:color w:val="000000"/>
                <w:spacing w:val="-7"/>
                <w:kern w:val="2"/>
                <w:sz w:val="21"/>
                <w:szCs w:val="21"/>
                <w:lang w:eastAsia="zh-CN"/>
              </w:rPr>
            </w:pPr>
            <w:r>
              <w:rPr>
                <w:rFonts w:ascii="宋体" w:hAnsi="宋体" w:cs="宋体" w:hint="eastAsia"/>
                <w:color w:val="000000"/>
                <w:spacing w:val="-7"/>
                <w:kern w:val="2"/>
                <w:sz w:val="21"/>
                <w:szCs w:val="21"/>
                <w:lang w:eastAsia="zh-CN"/>
              </w:rPr>
              <w:t>劳动合同</w:t>
            </w:r>
          </w:p>
          <w:p>
            <w:pPr>
              <w:widowControl w:val="0"/>
              <w:spacing w:line="191" w:lineRule="auto"/>
              <w:ind w:left="288" w:right="266" w:firstLine="5"/>
              <w:jc w:val="both"/>
              <w:rPr>
                <w:rFonts w:ascii="宋体" w:hAnsi="宋体" w:cs="宋体"/>
                <w:color w:val="000000"/>
                <w:spacing w:val="-7"/>
                <w:kern w:val="2"/>
                <w:sz w:val="21"/>
                <w:szCs w:val="21"/>
                <w:lang w:eastAsia="zh-CN"/>
              </w:rPr>
            </w:pPr>
            <w:r>
              <w:rPr>
                <w:rFonts w:ascii="宋体" w:hAnsi="宋体" w:cs="宋体" w:hint="eastAsia"/>
                <w:color w:val="000000"/>
                <w:spacing w:val="-7"/>
                <w:kern w:val="2"/>
                <w:sz w:val="21"/>
                <w:szCs w:val="21"/>
                <w:lang w:eastAsia="zh-CN"/>
              </w:rPr>
              <w:t>关系单位</w:t>
            </w:r>
          </w:p>
        </w:tc>
        <w:tc>
          <w:tcPr>
            <w:tcW w:w="1404" w:type="dxa"/>
            <w:vAlign w:val="center"/>
          </w:tcPr>
          <w:p>
            <w:pPr>
              <w:widowControl w:val="0"/>
              <w:spacing w:line="191" w:lineRule="auto"/>
              <w:ind w:left="271" w:right="262" w:firstLine="8"/>
              <w:jc w:val="both"/>
              <w:rPr>
                <w:rFonts w:ascii="宋体" w:hAnsi="宋体" w:cs="宋体"/>
                <w:color w:val="000000"/>
                <w:spacing w:val="-5"/>
                <w:kern w:val="2"/>
                <w:sz w:val="21"/>
                <w:szCs w:val="21"/>
                <w:lang w:eastAsia="zh-CN"/>
              </w:rPr>
            </w:pPr>
            <w:r>
              <w:rPr>
                <w:rFonts w:ascii="宋体" w:hAnsi="宋体" w:cs="宋体" w:hint="eastAsia"/>
                <w:color w:val="000000"/>
                <w:spacing w:val="-7"/>
                <w:kern w:val="2"/>
                <w:sz w:val="21"/>
                <w:szCs w:val="21"/>
                <w:lang w:eastAsia="zh-CN"/>
              </w:rPr>
              <w:t>缴纳社会保险单位</w:t>
            </w:r>
          </w:p>
        </w:tc>
      </w:tr>
      <w:tr>
        <w:tblPrEx>
          <w:tblW w:w="5000" w:type="pct"/>
          <w:tblInd w:w="0" w:type="dxa"/>
          <w:tblLayout w:type="fixed"/>
          <w:tblCellMar>
            <w:top w:w="0" w:type="dxa"/>
            <w:left w:w="0" w:type="dxa"/>
            <w:bottom w:w="0" w:type="dxa"/>
            <w:right w:w="0" w:type="dxa"/>
          </w:tblCellMar>
        </w:tblPrEx>
        <w:trPr>
          <w:trHeight w:val="924"/>
        </w:trPr>
        <w:tc>
          <w:tcPr>
            <w:tcW w:w="685" w:type="dxa"/>
            <w:vAlign w:val="center"/>
          </w:tcPr>
          <w:p>
            <w:pPr>
              <w:widowControl w:val="0"/>
              <w:spacing w:line="169" w:lineRule="auto"/>
              <w:ind w:left="321"/>
              <w:jc w:val="both"/>
              <w:rPr>
                <w:rFonts w:ascii="宋体" w:hAnsi="宋体" w:cs="宋体"/>
                <w:color w:val="000000"/>
                <w:kern w:val="2"/>
                <w:sz w:val="21"/>
                <w:szCs w:val="21"/>
              </w:rPr>
            </w:pPr>
            <w:r>
              <w:rPr>
                <w:rFonts w:ascii="宋体" w:hAnsi="宋体" w:cs="宋体" w:hint="eastAsia"/>
                <w:color w:val="000000"/>
                <w:kern w:val="2"/>
                <w:sz w:val="21"/>
                <w:szCs w:val="21"/>
              </w:rPr>
              <w:t>1</w:t>
            </w:r>
          </w:p>
        </w:tc>
        <w:tc>
          <w:tcPr>
            <w:tcW w:w="2119" w:type="dxa"/>
            <w:gridSpan w:val="2"/>
            <w:vAlign w:val="center"/>
          </w:tcPr>
          <w:p>
            <w:pPr>
              <w:widowControl w:val="0"/>
              <w:spacing w:line="203" w:lineRule="auto"/>
              <w:jc w:val="center"/>
              <w:rPr>
                <w:rFonts w:ascii="宋体" w:hAnsi="宋体" w:cs="宋体"/>
                <w:color w:val="000000"/>
                <w:spacing w:val="-4"/>
                <w:kern w:val="2"/>
                <w:sz w:val="21"/>
                <w:szCs w:val="21"/>
                <w:lang w:eastAsia="zh-CN"/>
              </w:rPr>
            </w:pPr>
            <w:r>
              <w:rPr>
                <w:rFonts w:ascii="宋体" w:hAnsi="宋体" w:cs="宋体" w:hint="eastAsia"/>
                <w:color w:val="000000"/>
                <w:spacing w:val="-4"/>
                <w:kern w:val="2"/>
                <w:sz w:val="21"/>
                <w:szCs w:val="21"/>
                <w:lang w:eastAsia="zh-CN"/>
              </w:rPr>
              <w:t>法定代表人/单位负责人/主要经营负责人</w:t>
            </w:r>
          </w:p>
        </w:tc>
        <w:tc>
          <w:tcPr>
            <w:tcW w:w="880" w:type="dxa"/>
            <w:vAlign w:val="center"/>
          </w:tcPr>
          <w:p>
            <w:pPr>
              <w:widowControl w:val="0"/>
              <w:jc w:val="both"/>
              <w:rPr>
                <w:rFonts w:ascii="宋体" w:hAnsi="宋体" w:cs="宋体"/>
                <w:color w:val="000000"/>
                <w:kern w:val="2"/>
                <w:sz w:val="21"/>
                <w:szCs w:val="21"/>
                <w:lang w:eastAsia="zh-CN"/>
              </w:rPr>
            </w:pPr>
          </w:p>
        </w:tc>
        <w:tc>
          <w:tcPr>
            <w:tcW w:w="1847" w:type="dxa"/>
            <w:gridSpan w:val="2"/>
            <w:vAlign w:val="center"/>
          </w:tcPr>
          <w:p>
            <w:pPr>
              <w:widowControl w:val="0"/>
              <w:jc w:val="both"/>
              <w:rPr>
                <w:rFonts w:ascii="宋体" w:hAnsi="宋体" w:cs="宋体"/>
                <w:color w:val="000000"/>
                <w:kern w:val="2"/>
                <w:sz w:val="21"/>
                <w:szCs w:val="21"/>
                <w:lang w:eastAsia="zh-CN"/>
              </w:rPr>
            </w:pPr>
          </w:p>
        </w:tc>
        <w:tc>
          <w:tcPr>
            <w:tcW w:w="1394" w:type="dxa"/>
            <w:vAlign w:val="center"/>
          </w:tcPr>
          <w:p>
            <w:pPr>
              <w:widowControl w:val="0"/>
              <w:jc w:val="both"/>
              <w:rPr>
                <w:rFonts w:ascii="宋体" w:hAnsi="宋体" w:cs="宋体"/>
                <w:color w:val="000000"/>
                <w:kern w:val="2"/>
                <w:sz w:val="21"/>
                <w:szCs w:val="21"/>
                <w:lang w:eastAsia="zh-CN"/>
              </w:rPr>
            </w:pPr>
          </w:p>
        </w:tc>
        <w:tc>
          <w:tcPr>
            <w:tcW w:w="1404" w:type="dxa"/>
            <w:vAlign w:val="center"/>
          </w:tcPr>
          <w:p>
            <w:pPr>
              <w:widowControl w:val="0"/>
              <w:jc w:val="both"/>
              <w:rPr>
                <w:rFonts w:ascii="宋体" w:hAnsi="宋体" w:cs="宋体"/>
                <w:color w:val="000000"/>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685" w:type="dxa"/>
            <w:vAlign w:val="center"/>
          </w:tcPr>
          <w:p>
            <w:pPr>
              <w:widowControl w:val="0"/>
              <w:spacing w:line="168" w:lineRule="auto"/>
              <w:ind w:left="322"/>
              <w:jc w:val="both"/>
              <w:rPr>
                <w:rFonts w:ascii="宋体" w:hAnsi="宋体" w:cs="宋体"/>
                <w:color w:val="000000"/>
                <w:kern w:val="2"/>
                <w:sz w:val="21"/>
                <w:szCs w:val="21"/>
              </w:rPr>
            </w:pPr>
            <w:r>
              <w:rPr>
                <w:rFonts w:ascii="宋体" w:hAnsi="宋体" w:cs="宋体" w:hint="eastAsia"/>
                <w:color w:val="000000"/>
                <w:kern w:val="2"/>
                <w:sz w:val="21"/>
                <w:szCs w:val="21"/>
              </w:rPr>
              <w:t>2</w:t>
            </w:r>
          </w:p>
        </w:tc>
        <w:tc>
          <w:tcPr>
            <w:tcW w:w="2119" w:type="dxa"/>
            <w:gridSpan w:val="2"/>
            <w:vAlign w:val="center"/>
          </w:tcPr>
          <w:p>
            <w:pPr>
              <w:widowControl w:val="0"/>
              <w:spacing w:line="203" w:lineRule="auto"/>
              <w:jc w:val="center"/>
              <w:rPr>
                <w:rFonts w:ascii="宋体" w:hAnsi="宋体" w:cs="宋体"/>
                <w:color w:val="000000"/>
                <w:spacing w:val="-4"/>
                <w:kern w:val="2"/>
                <w:sz w:val="21"/>
                <w:szCs w:val="21"/>
                <w:lang w:eastAsia="zh-CN"/>
              </w:rPr>
            </w:pPr>
            <w:r>
              <w:rPr>
                <w:rFonts w:ascii="宋体" w:hAnsi="宋体" w:cs="宋体" w:hint="eastAsia"/>
                <w:color w:val="000000"/>
                <w:spacing w:val="-4"/>
                <w:kern w:val="2"/>
                <w:sz w:val="21"/>
                <w:szCs w:val="21"/>
                <w:lang w:eastAsia="zh-CN"/>
              </w:rPr>
              <w:t>项目投标授权代表人</w:t>
            </w:r>
          </w:p>
        </w:tc>
        <w:tc>
          <w:tcPr>
            <w:tcW w:w="880" w:type="dxa"/>
            <w:vAlign w:val="center"/>
          </w:tcPr>
          <w:p>
            <w:pPr>
              <w:widowControl w:val="0"/>
              <w:jc w:val="both"/>
              <w:rPr>
                <w:rFonts w:ascii="宋体" w:hAnsi="宋体" w:cs="宋体"/>
                <w:color w:val="000000"/>
                <w:kern w:val="2"/>
                <w:sz w:val="21"/>
                <w:szCs w:val="21"/>
                <w:lang w:eastAsia="zh-CN"/>
              </w:rPr>
            </w:pPr>
          </w:p>
        </w:tc>
        <w:tc>
          <w:tcPr>
            <w:tcW w:w="1847" w:type="dxa"/>
            <w:gridSpan w:val="2"/>
            <w:vAlign w:val="center"/>
          </w:tcPr>
          <w:p>
            <w:pPr>
              <w:widowControl w:val="0"/>
              <w:jc w:val="both"/>
              <w:rPr>
                <w:rFonts w:ascii="宋体" w:hAnsi="宋体" w:cs="宋体"/>
                <w:color w:val="000000"/>
                <w:kern w:val="2"/>
                <w:sz w:val="21"/>
                <w:szCs w:val="21"/>
                <w:lang w:eastAsia="zh-CN"/>
              </w:rPr>
            </w:pPr>
          </w:p>
        </w:tc>
        <w:tc>
          <w:tcPr>
            <w:tcW w:w="1394" w:type="dxa"/>
            <w:vAlign w:val="center"/>
          </w:tcPr>
          <w:p>
            <w:pPr>
              <w:widowControl w:val="0"/>
              <w:jc w:val="both"/>
              <w:rPr>
                <w:rFonts w:ascii="宋体" w:hAnsi="宋体" w:cs="宋体"/>
                <w:color w:val="000000"/>
                <w:kern w:val="2"/>
                <w:sz w:val="21"/>
                <w:szCs w:val="21"/>
                <w:lang w:eastAsia="zh-CN"/>
              </w:rPr>
            </w:pPr>
          </w:p>
        </w:tc>
        <w:tc>
          <w:tcPr>
            <w:tcW w:w="1404" w:type="dxa"/>
            <w:vAlign w:val="center"/>
          </w:tcPr>
          <w:p>
            <w:pPr>
              <w:widowControl w:val="0"/>
              <w:jc w:val="both"/>
              <w:rPr>
                <w:rFonts w:ascii="宋体" w:hAnsi="宋体" w:cs="宋体"/>
                <w:color w:val="000000"/>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685" w:type="dxa"/>
            <w:vAlign w:val="center"/>
          </w:tcPr>
          <w:p>
            <w:pPr>
              <w:widowControl w:val="0"/>
              <w:spacing w:line="167" w:lineRule="auto"/>
              <w:ind w:left="321"/>
              <w:jc w:val="both"/>
              <w:rPr>
                <w:rFonts w:ascii="宋体" w:hAnsi="宋体" w:cs="宋体"/>
                <w:color w:val="000000"/>
                <w:kern w:val="2"/>
                <w:sz w:val="21"/>
                <w:szCs w:val="21"/>
              </w:rPr>
            </w:pPr>
            <w:r>
              <w:rPr>
                <w:rFonts w:ascii="宋体" w:hAnsi="宋体" w:cs="宋体" w:hint="eastAsia"/>
                <w:color w:val="000000"/>
                <w:kern w:val="2"/>
                <w:sz w:val="21"/>
                <w:szCs w:val="21"/>
              </w:rPr>
              <w:t>3</w:t>
            </w:r>
          </w:p>
        </w:tc>
        <w:tc>
          <w:tcPr>
            <w:tcW w:w="2119" w:type="dxa"/>
            <w:gridSpan w:val="2"/>
            <w:vAlign w:val="center"/>
          </w:tcPr>
          <w:p>
            <w:pPr>
              <w:widowControl w:val="0"/>
              <w:spacing w:line="201" w:lineRule="auto"/>
              <w:jc w:val="center"/>
              <w:rPr>
                <w:rFonts w:ascii="宋体" w:hAnsi="宋体" w:cs="宋体"/>
                <w:color w:val="000000"/>
                <w:kern w:val="2"/>
                <w:sz w:val="21"/>
                <w:szCs w:val="21"/>
                <w:lang w:eastAsia="zh-CN"/>
              </w:rPr>
            </w:pPr>
            <w:r>
              <w:rPr>
                <w:rFonts w:ascii="宋体" w:hAnsi="宋体" w:cs="宋体" w:hint="eastAsia"/>
                <w:color w:val="000000"/>
                <w:spacing w:val="-3"/>
                <w:kern w:val="2"/>
                <w:sz w:val="21"/>
                <w:szCs w:val="21"/>
                <w:lang w:eastAsia="zh-CN"/>
              </w:rPr>
              <w:t>项目负责人</w:t>
            </w:r>
          </w:p>
        </w:tc>
        <w:tc>
          <w:tcPr>
            <w:tcW w:w="880" w:type="dxa"/>
            <w:vAlign w:val="center"/>
          </w:tcPr>
          <w:p>
            <w:pPr>
              <w:widowControl w:val="0"/>
              <w:jc w:val="both"/>
              <w:rPr>
                <w:rFonts w:ascii="宋体" w:hAnsi="宋体" w:cs="宋体"/>
                <w:color w:val="000000"/>
                <w:kern w:val="2"/>
                <w:sz w:val="21"/>
                <w:szCs w:val="21"/>
                <w:lang w:eastAsia="zh-CN"/>
              </w:rPr>
            </w:pPr>
          </w:p>
        </w:tc>
        <w:tc>
          <w:tcPr>
            <w:tcW w:w="1847" w:type="dxa"/>
            <w:gridSpan w:val="2"/>
            <w:vAlign w:val="center"/>
          </w:tcPr>
          <w:p>
            <w:pPr>
              <w:widowControl w:val="0"/>
              <w:jc w:val="both"/>
              <w:rPr>
                <w:rFonts w:ascii="宋体" w:hAnsi="宋体" w:cs="宋体"/>
                <w:color w:val="000000"/>
                <w:kern w:val="2"/>
                <w:sz w:val="21"/>
                <w:szCs w:val="21"/>
                <w:lang w:eastAsia="zh-CN"/>
              </w:rPr>
            </w:pPr>
          </w:p>
        </w:tc>
        <w:tc>
          <w:tcPr>
            <w:tcW w:w="1394" w:type="dxa"/>
            <w:vAlign w:val="center"/>
          </w:tcPr>
          <w:p>
            <w:pPr>
              <w:widowControl w:val="0"/>
              <w:jc w:val="both"/>
              <w:rPr>
                <w:rFonts w:ascii="宋体" w:hAnsi="宋体" w:cs="宋体"/>
                <w:color w:val="000000"/>
                <w:kern w:val="2"/>
                <w:sz w:val="21"/>
                <w:szCs w:val="21"/>
                <w:lang w:eastAsia="zh-CN"/>
              </w:rPr>
            </w:pPr>
          </w:p>
        </w:tc>
        <w:tc>
          <w:tcPr>
            <w:tcW w:w="1404" w:type="dxa"/>
            <w:vAlign w:val="center"/>
          </w:tcPr>
          <w:p>
            <w:pPr>
              <w:widowControl w:val="0"/>
              <w:jc w:val="both"/>
              <w:rPr>
                <w:rFonts w:ascii="宋体" w:hAnsi="宋体" w:cs="宋体"/>
                <w:color w:val="000000"/>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685" w:type="dxa"/>
            <w:vAlign w:val="center"/>
          </w:tcPr>
          <w:p>
            <w:pPr>
              <w:widowControl w:val="0"/>
              <w:spacing w:line="168" w:lineRule="auto"/>
              <w:ind w:left="314"/>
              <w:jc w:val="both"/>
              <w:rPr>
                <w:rFonts w:ascii="宋体" w:hAnsi="宋体" w:cs="宋体"/>
                <w:color w:val="000000"/>
                <w:kern w:val="2"/>
                <w:sz w:val="21"/>
                <w:szCs w:val="21"/>
              </w:rPr>
            </w:pPr>
            <w:r>
              <w:rPr>
                <w:rFonts w:ascii="宋体" w:hAnsi="宋体" w:cs="宋体" w:hint="eastAsia"/>
                <w:color w:val="000000"/>
                <w:kern w:val="2"/>
                <w:sz w:val="21"/>
                <w:szCs w:val="21"/>
              </w:rPr>
              <w:t>4</w:t>
            </w:r>
          </w:p>
        </w:tc>
        <w:tc>
          <w:tcPr>
            <w:tcW w:w="2119" w:type="dxa"/>
            <w:gridSpan w:val="2"/>
            <w:vAlign w:val="center"/>
          </w:tcPr>
          <w:p>
            <w:pPr>
              <w:widowControl w:val="0"/>
              <w:spacing w:line="202" w:lineRule="auto"/>
              <w:jc w:val="center"/>
              <w:rPr>
                <w:rFonts w:ascii="宋体" w:hAnsi="宋体" w:cs="宋体"/>
                <w:color w:val="000000"/>
                <w:kern w:val="2"/>
                <w:sz w:val="21"/>
                <w:szCs w:val="21"/>
                <w:lang w:eastAsia="zh-CN"/>
              </w:rPr>
            </w:pPr>
            <w:r>
              <w:rPr>
                <w:rFonts w:ascii="宋体" w:hAnsi="宋体" w:cs="宋体" w:hint="eastAsia"/>
                <w:color w:val="000000"/>
                <w:spacing w:val="-4"/>
                <w:kern w:val="2"/>
                <w:sz w:val="21"/>
                <w:szCs w:val="21"/>
                <w:lang w:eastAsia="zh-CN"/>
              </w:rPr>
              <w:t>主要技术人员</w:t>
            </w:r>
          </w:p>
        </w:tc>
        <w:tc>
          <w:tcPr>
            <w:tcW w:w="880" w:type="dxa"/>
            <w:vAlign w:val="center"/>
          </w:tcPr>
          <w:p>
            <w:pPr>
              <w:widowControl w:val="0"/>
              <w:jc w:val="both"/>
              <w:rPr>
                <w:rFonts w:ascii="宋体" w:hAnsi="宋体" w:cs="宋体"/>
                <w:color w:val="000000"/>
                <w:kern w:val="2"/>
                <w:sz w:val="21"/>
                <w:szCs w:val="21"/>
                <w:lang w:eastAsia="zh-CN"/>
              </w:rPr>
            </w:pPr>
          </w:p>
        </w:tc>
        <w:tc>
          <w:tcPr>
            <w:tcW w:w="1847" w:type="dxa"/>
            <w:gridSpan w:val="2"/>
            <w:vAlign w:val="center"/>
          </w:tcPr>
          <w:p>
            <w:pPr>
              <w:widowControl w:val="0"/>
              <w:jc w:val="both"/>
              <w:rPr>
                <w:rFonts w:ascii="宋体" w:hAnsi="宋体" w:cs="宋体"/>
                <w:color w:val="000000"/>
                <w:kern w:val="2"/>
                <w:sz w:val="21"/>
                <w:szCs w:val="21"/>
                <w:lang w:eastAsia="zh-CN"/>
              </w:rPr>
            </w:pPr>
          </w:p>
        </w:tc>
        <w:tc>
          <w:tcPr>
            <w:tcW w:w="1394" w:type="dxa"/>
            <w:vAlign w:val="center"/>
          </w:tcPr>
          <w:p>
            <w:pPr>
              <w:widowControl w:val="0"/>
              <w:jc w:val="both"/>
              <w:rPr>
                <w:rFonts w:ascii="宋体" w:hAnsi="宋体" w:cs="宋体"/>
                <w:color w:val="000000"/>
                <w:kern w:val="2"/>
                <w:sz w:val="21"/>
                <w:szCs w:val="21"/>
                <w:lang w:eastAsia="zh-CN"/>
              </w:rPr>
            </w:pPr>
          </w:p>
        </w:tc>
        <w:tc>
          <w:tcPr>
            <w:tcW w:w="1404" w:type="dxa"/>
            <w:vAlign w:val="center"/>
          </w:tcPr>
          <w:p>
            <w:pPr>
              <w:widowControl w:val="0"/>
              <w:jc w:val="both"/>
              <w:rPr>
                <w:rFonts w:ascii="宋体" w:hAnsi="宋体" w:cs="宋体"/>
                <w:color w:val="000000"/>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685" w:type="dxa"/>
            <w:vAlign w:val="center"/>
          </w:tcPr>
          <w:p>
            <w:pPr>
              <w:widowControl w:val="0"/>
              <w:spacing w:line="165" w:lineRule="auto"/>
              <w:ind w:left="325"/>
              <w:jc w:val="both"/>
              <w:rPr>
                <w:rFonts w:ascii="宋体" w:hAnsi="宋体" w:cs="宋体"/>
                <w:color w:val="000000"/>
                <w:kern w:val="2"/>
                <w:sz w:val="21"/>
                <w:szCs w:val="21"/>
              </w:rPr>
            </w:pPr>
            <w:r>
              <w:rPr>
                <w:rFonts w:ascii="宋体" w:hAnsi="宋体" w:cs="宋体" w:hint="eastAsia"/>
                <w:color w:val="000000"/>
                <w:kern w:val="2"/>
                <w:sz w:val="21"/>
                <w:szCs w:val="21"/>
              </w:rPr>
              <w:t>5</w:t>
            </w:r>
          </w:p>
        </w:tc>
        <w:tc>
          <w:tcPr>
            <w:tcW w:w="2119" w:type="dxa"/>
            <w:gridSpan w:val="2"/>
            <w:vAlign w:val="center"/>
          </w:tcPr>
          <w:p>
            <w:pPr>
              <w:widowControl w:val="0"/>
              <w:spacing w:line="202" w:lineRule="auto"/>
              <w:jc w:val="center"/>
              <w:rPr>
                <w:rFonts w:ascii="宋体" w:hAnsi="宋体" w:cs="宋体"/>
                <w:color w:val="000000"/>
                <w:kern w:val="2"/>
                <w:sz w:val="21"/>
                <w:szCs w:val="21"/>
                <w:lang w:eastAsia="zh-CN"/>
              </w:rPr>
            </w:pPr>
            <w:r>
              <w:rPr>
                <w:rFonts w:ascii="宋体" w:hAnsi="宋体" w:cs="宋体" w:hint="eastAsia"/>
                <w:color w:val="000000"/>
                <w:spacing w:val="-4"/>
                <w:kern w:val="2"/>
                <w:sz w:val="21"/>
                <w:szCs w:val="21"/>
                <w:lang w:eastAsia="zh-CN"/>
              </w:rPr>
              <w:t>投标文件编制人员</w:t>
            </w:r>
          </w:p>
        </w:tc>
        <w:tc>
          <w:tcPr>
            <w:tcW w:w="880" w:type="dxa"/>
            <w:vAlign w:val="center"/>
          </w:tcPr>
          <w:p>
            <w:pPr>
              <w:widowControl w:val="0"/>
              <w:jc w:val="both"/>
              <w:rPr>
                <w:rFonts w:ascii="宋体" w:hAnsi="宋体" w:cs="宋体"/>
                <w:color w:val="000000"/>
                <w:kern w:val="2"/>
                <w:sz w:val="21"/>
                <w:szCs w:val="21"/>
                <w:lang w:eastAsia="zh-CN"/>
              </w:rPr>
            </w:pPr>
          </w:p>
        </w:tc>
        <w:tc>
          <w:tcPr>
            <w:tcW w:w="1847" w:type="dxa"/>
            <w:gridSpan w:val="2"/>
            <w:vAlign w:val="center"/>
          </w:tcPr>
          <w:p>
            <w:pPr>
              <w:widowControl w:val="0"/>
              <w:jc w:val="both"/>
              <w:rPr>
                <w:rFonts w:ascii="宋体" w:hAnsi="宋体" w:cs="宋体"/>
                <w:color w:val="000000"/>
                <w:kern w:val="2"/>
                <w:sz w:val="21"/>
                <w:szCs w:val="21"/>
                <w:lang w:eastAsia="zh-CN"/>
              </w:rPr>
            </w:pPr>
          </w:p>
        </w:tc>
        <w:tc>
          <w:tcPr>
            <w:tcW w:w="1394" w:type="dxa"/>
            <w:vAlign w:val="center"/>
          </w:tcPr>
          <w:p>
            <w:pPr>
              <w:widowControl w:val="0"/>
              <w:jc w:val="both"/>
              <w:rPr>
                <w:rFonts w:ascii="宋体" w:hAnsi="宋体" w:cs="宋体"/>
                <w:color w:val="000000"/>
                <w:kern w:val="2"/>
                <w:sz w:val="21"/>
                <w:szCs w:val="21"/>
                <w:lang w:eastAsia="zh-CN"/>
              </w:rPr>
            </w:pPr>
          </w:p>
        </w:tc>
        <w:tc>
          <w:tcPr>
            <w:tcW w:w="1404" w:type="dxa"/>
            <w:vAlign w:val="center"/>
          </w:tcPr>
          <w:p>
            <w:pPr>
              <w:widowControl w:val="0"/>
              <w:jc w:val="both"/>
              <w:rPr>
                <w:rFonts w:ascii="宋体" w:hAnsi="宋体" w:cs="宋体"/>
                <w:color w:val="000000"/>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8329" w:type="dxa"/>
            <w:gridSpan w:val="8"/>
            <w:vAlign w:val="center"/>
          </w:tcPr>
          <w:p>
            <w:pPr>
              <w:widowControl w:val="0"/>
              <w:spacing w:line="198" w:lineRule="auto"/>
              <w:ind w:left="120"/>
              <w:jc w:val="both"/>
              <w:rPr>
                <w:rFonts w:ascii="宋体" w:hAnsi="宋体" w:cs="宋体"/>
                <w:color w:val="000000"/>
                <w:spacing w:val="-1"/>
                <w:kern w:val="2"/>
                <w:sz w:val="21"/>
                <w:szCs w:val="21"/>
                <w:lang w:eastAsia="zh-CN"/>
              </w:rPr>
            </w:pPr>
            <w:r>
              <w:rPr>
                <w:rFonts w:ascii="宋体" w:hAnsi="宋体" w:cs="宋体" w:hint="eastAsia"/>
                <w:color w:val="000000"/>
                <w:spacing w:val="-1"/>
                <w:kern w:val="2"/>
                <w:sz w:val="21"/>
                <w:szCs w:val="21"/>
                <w:lang w:eastAsia="zh-CN"/>
              </w:rPr>
              <w:t>说明：</w:t>
            </w:r>
          </w:p>
          <w:p>
            <w:pPr>
              <w:widowControl w:val="0"/>
              <w:spacing w:line="198" w:lineRule="auto"/>
              <w:ind w:left="120"/>
              <w:jc w:val="both"/>
              <w:rPr>
                <w:rFonts w:ascii="宋体" w:hAnsi="宋体" w:cs="宋体"/>
                <w:color w:val="000000"/>
                <w:kern w:val="2"/>
                <w:sz w:val="21"/>
                <w:szCs w:val="21"/>
                <w:lang w:eastAsia="zh-CN"/>
              </w:rPr>
            </w:pPr>
            <w:r>
              <w:rPr>
                <w:rFonts w:ascii="宋体" w:hAnsi="宋体" w:cs="宋体" w:hint="eastAsia"/>
                <w:color w:val="000000"/>
                <w:spacing w:val="-1"/>
                <w:kern w:val="2"/>
                <w:sz w:val="21"/>
                <w:szCs w:val="21"/>
                <w:lang w:eastAsia="zh-CN"/>
              </w:rPr>
              <w:t>1.同一职务有多人担任（如主要技术人员</w:t>
            </w:r>
            <w:r>
              <w:rPr>
                <w:rFonts w:ascii="宋体" w:hAnsi="宋体" w:cs="宋体" w:hint="eastAsia"/>
                <w:color w:val="000000"/>
                <w:spacing w:val="-42"/>
                <w:w w:val="95"/>
                <w:kern w:val="2"/>
                <w:sz w:val="21"/>
                <w:szCs w:val="21"/>
                <w:lang w:eastAsia="zh-CN"/>
              </w:rPr>
              <w:t>），</w:t>
            </w:r>
            <w:r>
              <w:rPr>
                <w:rFonts w:ascii="宋体" w:hAnsi="宋体" w:cs="宋体" w:hint="eastAsia"/>
                <w:color w:val="000000"/>
                <w:spacing w:val="-1"/>
                <w:kern w:val="2"/>
                <w:sz w:val="21"/>
                <w:szCs w:val="21"/>
                <w:lang w:eastAsia="zh-CN"/>
              </w:rPr>
              <w:t>应分行填写。</w:t>
            </w:r>
          </w:p>
        </w:tc>
      </w:tr>
      <w:tr>
        <w:tblPrEx>
          <w:tblW w:w="5000" w:type="pct"/>
          <w:tblInd w:w="0" w:type="dxa"/>
          <w:tblLayout w:type="fixed"/>
          <w:tblCellMar>
            <w:top w:w="0" w:type="dxa"/>
            <w:left w:w="0" w:type="dxa"/>
            <w:bottom w:w="0" w:type="dxa"/>
            <w:right w:w="0" w:type="dxa"/>
          </w:tblCellMar>
        </w:tblPrEx>
        <w:trPr>
          <w:trHeight w:val="629"/>
        </w:trPr>
        <w:tc>
          <w:tcPr>
            <w:tcW w:w="8329" w:type="dxa"/>
            <w:gridSpan w:val="8"/>
            <w:vAlign w:val="center"/>
          </w:tcPr>
          <w:p>
            <w:pPr>
              <w:widowControl w:val="0"/>
              <w:spacing w:line="198" w:lineRule="auto"/>
              <w:ind w:left="2683"/>
              <w:jc w:val="both"/>
              <w:rPr>
                <w:rFonts w:ascii="宋体" w:hAnsi="宋体" w:cs="宋体"/>
                <w:color w:val="000000"/>
                <w:kern w:val="2"/>
                <w:sz w:val="21"/>
                <w:szCs w:val="21"/>
                <w:lang w:eastAsia="zh-CN"/>
              </w:rPr>
            </w:pPr>
            <w:r>
              <w:rPr>
                <w:rFonts w:ascii="宋体" w:hAnsi="宋体" w:cs="宋体" w:hint="eastAsia"/>
                <w:color w:val="000000"/>
                <w:kern w:val="2"/>
                <w:sz w:val="21"/>
                <w:szCs w:val="21"/>
                <w:lang w:eastAsia="zh-CN"/>
              </w:rPr>
              <w:t>投标（响应）供应商关联关系情况</w:t>
            </w:r>
          </w:p>
        </w:tc>
      </w:tr>
      <w:tr>
        <w:tblPrEx>
          <w:tblW w:w="5000" w:type="pct"/>
          <w:tblInd w:w="0" w:type="dxa"/>
          <w:tblLayout w:type="fixed"/>
          <w:tblCellMar>
            <w:top w:w="0" w:type="dxa"/>
            <w:left w:w="0" w:type="dxa"/>
            <w:bottom w:w="0" w:type="dxa"/>
            <w:right w:w="0" w:type="dxa"/>
          </w:tblCellMar>
        </w:tblPrEx>
        <w:trPr>
          <w:trHeight w:val="629"/>
        </w:trPr>
        <w:tc>
          <w:tcPr>
            <w:tcW w:w="685" w:type="dxa"/>
            <w:vAlign w:val="center"/>
          </w:tcPr>
          <w:p>
            <w:pPr>
              <w:widowControl w:val="0"/>
              <w:spacing w:line="202" w:lineRule="auto"/>
              <w:ind w:left="145"/>
              <w:jc w:val="both"/>
              <w:rPr>
                <w:rFonts w:ascii="宋体" w:hAnsi="宋体" w:cs="宋体"/>
                <w:color w:val="000000"/>
                <w:kern w:val="2"/>
                <w:sz w:val="21"/>
                <w:szCs w:val="21"/>
              </w:rPr>
            </w:pPr>
            <w:r>
              <w:rPr>
                <w:rFonts w:ascii="宋体" w:hAnsi="宋体" w:cs="宋体" w:hint="eastAsia"/>
                <w:color w:val="000000"/>
                <w:spacing w:val="-5"/>
                <w:kern w:val="2"/>
                <w:sz w:val="21"/>
                <w:szCs w:val="21"/>
              </w:rPr>
              <w:t>序号</w:t>
            </w:r>
          </w:p>
        </w:tc>
        <w:tc>
          <w:tcPr>
            <w:tcW w:w="2119" w:type="dxa"/>
            <w:gridSpan w:val="2"/>
            <w:vAlign w:val="center"/>
          </w:tcPr>
          <w:p>
            <w:pPr>
              <w:widowControl w:val="0"/>
              <w:spacing w:line="202" w:lineRule="auto"/>
              <w:ind w:left="436"/>
              <w:jc w:val="both"/>
              <w:rPr>
                <w:rFonts w:ascii="宋体" w:hAnsi="宋体" w:cs="宋体"/>
                <w:color w:val="000000"/>
                <w:kern w:val="2"/>
                <w:sz w:val="21"/>
                <w:szCs w:val="21"/>
              </w:rPr>
            </w:pPr>
            <w:r>
              <w:rPr>
                <w:rFonts w:ascii="宋体" w:hAnsi="宋体" w:cs="宋体" w:hint="eastAsia"/>
                <w:color w:val="000000"/>
                <w:spacing w:val="-3"/>
                <w:kern w:val="2"/>
                <w:sz w:val="21"/>
                <w:szCs w:val="21"/>
              </w:rPr>
              <w:t>关联关系类型</w:t>
            </w:r>
          </w:p>
        </w:tc>
        <w:tc>
          <w:tcPr>
            <w:tcW w:w="1616" w:type="dxa"/>
            <w:gridSpan w:val="2"/>
            <w:vAlign w:val="center"/>
          </w:tcPr>
          <w:p>
            <w:pPr>
              <w:widowControl w:val="0"/>
              <w:spacing w:line="203" w:lineRule="auto"/>
              <w:ind w:left="166"/>
              <w:jc w:val="both"/>
              <w:rPr>
                <w:rFonts w:ascii="宋体" w:hAnsi="宋体" w:cs="宋体"/>
                <w:color w:val="000000"/>
                <w:kern w:val="2"/>
                <w:sz w:val="21"/>
                <w:szCs w:val="21"/>
              </w:rPr>
            </w:pPr>
            <w:r>
              <w:rPr>
                <w:rFonts w:ascii="宋体" w:hAnsi="宋体" w:cs="宋体" w:hint="eastAsia"/>
                <w:color w:val="000000"/>
                <w:spacing w:val="-3"/>
                <w:kern w:val="2"/>
                <w:sz w:val="21"/>
                <w:szCs w:val="21"/>
              </w:rPr>
              <w:t>关联主体名称</w:t>
            </w:r>
          </w:p>
        </w:tc>
        <w:tc>
          <w:tcPr>
            <w:tcW w:w="3909" w:type="dxa"/>
            <w:gridSpan w:val="3"/>
            <w:vAlign w:val="center"/>
          </w:tcPr>
          <w:p>
            <w:pPr>
              <w:widowControl w:val="0"/>
              <w:spacing w:line="204" w:lineRule="auto"/>
              <w:ind w:left="1862"/>
              <w:jc w:val="both"/>
              <w:rPr>
                <w:rFonts w:ascii="宋体" w:hAnsi="宋体" w:cs="宋体"/>
                <w:color w:val="000000"/>
                <w:kern w:val="2"/>
                <w:sz w:val="21"/>
                <w:szCs w:val="21"/>
              </w:rPr>
            </w:pPr>
            <w:r>
              <w:rPr>
                <w:rFonts w:ascii="宋体" w:hAnsi="宋体" w:cs="宋体" w:hint="eastAsia"/>
                <w:color w:val="000000"/>
                <w:spacing w:val="-4"/>
                <w:kern w:val="2"/>
                <w:sz w:val="21"/>
                <w:szCs w:val="21"/>
              </w:rPr>
              <w:t>备注</w:t>
            </w:r>
          </w:p>
        </w:tc>
      </w:tr>
      <w:tr>
        <w:tblPrEx>
          <w:tblW w:w="5000" w:type="pct"/>
          <w:tblInd w:w="0" w:type="dxa"/>
          <w:tblLayout w:type="fixed"/>
          <w:tblCellMar>
            <w:top w:w="0" w:type="dxa"/>
            <w:left w:w="0" w:type="dxa"/>
            <w:bottom w:w="0" w:type="dxa"/>
            <w:right w:w="0" w:type="dxa"/>
          </w:tblCellMar>
        </w:tblPrEx>
        <w:trPr>
          <w:trHeight w:val="1582"/>
        </w:trPr>
        <w:tc>
          <w:tcPr>
            <w:tcW w:w="685" w:type="dxa"/>
            <w:vAlign w:val="center"/>
          </w:tcPr>
          <w:p>
            <w:pPr>
              <w:widowControl w:val="0"/>
              <w:spacing w:line="169" w:lineRule="auto"/>
              <w:ind w:left="321"/>
              <w:jc w:val="both"/>
              <w:rPr>
                <w:rFonts w:ascii="宋体" w:hAnsi="宋体" w:cs="宋体"/>
                <w:color w:val="000000"/>
                <w:kern w:val="2"/>
                <w:sz w:val="21"/>
                <w:szCs w:val="21"/>
              </w:rPr>
            </w:pPr>
            <w:r>
              <w:rPr>
                <w:rFonts w:ascii="宋体" w:hAnsi="宋体" w:cs="宋体" w:hint="eastAsia"/>
                <w:color w:val="000000"/>
                <w:kern w:val="2"/>
                <w:sz w:val="21"/>
                <w:szCs w:val="21"/>
              </w:rPr>
              <w:t>1</w:t>
            </w:r>
          </w:p>
        </w:tc>
        <w:tc>
          <w:tcPr>
            <w:tcW w:w="2119" w:type="dxa"/>
            <w:gridSpan w:val="2"/>
            <w:vAlign w:val="center"/>
          </w:tcPr>
          <w:p>
            <w:pPr>
              <w:widowControl w:val="0"/>
              <w:spacing w:line="203" w:lineRule="auto"/>
              <w:jc w:val="center"/>
              <w:rPr>
                <w:rFonts w:ascii="宋体" w:hAnsi="宋体" w:cs="宋体"/>
                <w:color w:val="000000"/>
                <w:kern w:val="2"/>
                <w:sz w:val="21"/>
                <w:szCs w:val="21"/>
              </w:rPr>
            </w:pPr>
            <w:r>
              <w:rPr>
                <w:rFonts w:ascii="宋体" w:hAnsi="宋体" w:cs="宋体" w:hint="eastAsia"/>
                <w:color w:val="000000"/>
                <w:spacing w:val="-4"/>
                <w:kern w:val="2"/>
                <w:sz w:val="21"/>
                <w:szCs w:val="21"/>
              </w:rPr>
              <w:t>控股股东</w:t>
            </w:r>
          </w:p>
        </w:tc>
        <w:tc>
          <w:tcPr>
            <w:tcW w:w="1616" w:type="dxa"/>
            <w:gridSpan w:val="2"/>
            <w:vAlign w:val="center"/>
          </w:tcPr>
          <w:p>
            <w:pPr>
              <w:widowControl w:val="0"/>
              <w:jc w:val="both"/>
              <w:rPr>
                <w:rFonts w:ascii="宋体" w:hAnsi="宋体" w:cs="宋体"/>
                <w:color w:val="000000"/>
                <w:kern w:val="2"/>
                <w:sz w:val="21"/>
                <w:szCs w:val="21"/>
                <w:lang w:eastAsia="zh-CN"/>
              </w:rPr>
            </w:pPr>
          </w:p>
        </w:tc>
        <w:tc>
          <w:tcPr>
            <w:tcW w:w="3909" w:type="dxa"/>
            <w:gridSpan w:val="3"/>
            <w:vAlign w:val="center"/>
          </w:tcPr>
          <w:p>
            <w:pPr>
              <w:widowControl w:val="0"/>
              <w:jc w:val="both"/>
              <w:rPr>
                <w:rFonts w:ascii="宋体" w:hAnsi="宋体" w:cs="宋体"/>
                <w:color w:val="000000"/>
                <w:kern w:val="2"/>
                <w:sz w:val="21"/>
                <w:szCs w:val="21"/>
                <w:lang w:eastAsia="zh-CN"/>
              </w:rPr>
            </w:pPr>
            <w:r>
              <w:rPr>
                <w:rFonts w:ascii="宋体" w:hAnsi="宋体" w:cs="宋体" w:hint="eastAsia"/>
                <w:color w:val="000000"/>
                <w:spacing w:val="-1"/>
                <w:kern w:val="2"/>
                <w:sz w:val="21"/>
                <w:szCs w:val="21"/>
                <w:lang w:eastAsia="zh-CN"/>
              </w:rPr>
              <w:t>指出资额（或持有股份）占投标（响应）供应商资</w:t>
            </w:r>
            <w:r>
              <w:rPr>
                <w:rFonts w:ascii="宋体" w:hAnsi="宋体" w:cs="宋体" w:hint="eastAsia"/>
                <w:color w:val="000000"/>
                <w:spacing w:val="-8"/>
                <w:kern w:val="2"/>
                <w:sz w:val="21"/>
                <w:szCs w:val="21"/>
                <w:lang w:eastAsia="zh-CN"/>
              </w:rPr>
              <w:t>本总额（或股本总额）50%以上的股东，以及出资额</w:t>
            </w:r>
            <w:r>
              <w:rPr>
                <w:rFonts w:ascii="宋体" w:hAnsi="宋体" w:cs="宋体" w:hint="eastAsia"/>
                <w:color w:val="000000"/>
                <w:spacing w:val="-5"/>
                <w:kern w:val="2"/>
                <w:sz w:val="21"/>
                <w:szCs w:val="21"/>
                <w:lang w:eastAsia="zh-CN"/>
              </w:rPr>
              <w:t>（或持有股份）的比例虽然不足50%，但依</w:t>
            </w:r>
            <w:r>
              <w:rPr>
                <w:rFonts w:ascii="宋体" w:hAnsi="宋体" w:cs="宋体" w:hint="eastAsia"/>
                <w:color w:val="000000"/>
                <w:spacing w:val="-6"/>
                <w:kern w:val="2"/>
                <w:sz w:val="21"/>
                <w:szCs w:val="21"/>
                <w:lang w:eastAsia="zh-CN"/>
              </w:rPr>
              <w:t>其出资</w:t>
            </w:r>
            <w:r>
              <w:rPr>
                <w:rFonts w:ascii="宋体" w:hAnsi="宋体" w:cs="宋体" w:hint="eastAsia"/>
                <w:color w:val="000000"/>
                <w:spacing w:val="-9"/>
                <w:kern w:val="2"/>
                <w:sz w:val="21"/>
                <w:szCs w:val="21"/>
                <w:lang w:eastAsia="zh-CN"/>
              </w:rPr>
              <w:t>额（或持有股份）所享有的表决权已足以对投标（响</w:t>
            </w:r>
            <w:r>
              <w:rPr>
                <w:rFonts w:ascii="宋体" w:hAnsi="宋体" w:cs="宋体" w:hint="eastAsia"/>
                <w:color w:val="000000"/>
                <w:kern w:val="2"/>
                <w:sz w:val="21"/>
                <w:szCs w:val="21"/>
                <w:lang w:eastAsia="zh-CN"/>
              </w:rPr>
              <w:t>应）供应商股东会（或股东大会）的决议产生重要</w:t>
            </w:r>
            <w:r>
              <w:rPr>
                <w:rFonts w:ascii="宋体" w:hAnsi="宋体" w:cs="宋体" w:hint="eastAsia"/>
                <w:color w:val="000000"/>
                <w:spacing w:val="6"/>
                <w:kern w:val="2"/>
                <w:sz w:val="21"/>
                <w:szCs w:val="21"/>
                <w:lang w:eastAsia="zh-CN"/>
              </w:rPr>
              <w:t xml:space="preserve"> </w:t>
            </w:r>
            <w:r>
              <w:rPr>
                <w:rFonts w:ascii="宋体" w:hAnsi="宋体" w:cs="宋体" w:hint="eastAsia"/>
                <w:color w:val="000000"/>
                <w:spacing w:val="-2"/>
                <w:kern w:val="2"/>
                <w:sz w:val="21"/>
                <w:szCs w:val="21"/>
                <w:lang w:eastAsia="zh-CN"/>
              </w:rPr>
              <w:t>影响的股东。</w:t>
            </w:r>
          </w:p>
        </w:tc>
      </w:tr>
      <w:tr>
        <w:tblPrEx>
          <w:tblW w:w="5000" w:type="pct"/>
          <w:tblInd w:w="0" w:type="dxa"/>
          <w:tblLayout w:type="fixed"/>
          <w:tblCellMar>
            <w:top w:w="0" w:type="dxa"/>
            <w:left w:w="0" w:type="dxa"/>
            <w:bottom w:w="0" w:type="dxa"/>
            <w:right w:w="0" w:type="dxa"/>
          </w:tblCellMar>
        </w:tblPrEx>
        <w:trPr>
          <w:trHeight w:val="703"/>
        </w:trPr>
        <w:tc>
          <w:tcPr>
            <w:tcW w:w="685" w:type="dxa"/>
            <w:vAlign w:val="center"/>
          </w:tcPr>
          <w:p>
            <w:pPr>
              <w:widowControl w:val="0"/>
              <w:spacing w:line="168" w:lineRule="auto"/>
              <w:ind w:left="322"/>
              <w:jc w:val="both"/>
              <w:rPr>
                <w:rFonts w:ascii="宋体" w:hAnsi="宋体" w:cs="宋体"/>
                <w:kern w:val="2"/>
                <w:sz w:val="21"/>
                <w:szCs w:val="21"/>
              </w:rPr>
            </w:pPr>
            <w:r>
              <w:rPr>
                <w:rFonts w:ascii="宋体" w:hAnsi="宋体" w:cs="宋体" w:hint="eastAsia"/>
                <w:kern w:val="2"/>
                <w:sz w:val="21"/>
                <w:szCs w:val="21"/>
              </w:rPr>
              <w:t>2</w:t>
            </w:r>
          </w:p>
        </w:tc>
        <w:tc>
          <w:tcPr>
            <w:tcW w:w="2119" w:type="dxa"/>
            <w:gridSpan w:val="2"/>
            <w:vAlign w:val="center"/>
          </w:tcPr>
          <w:p>
            <w:pPr>
              <w:widowControl w:val="0"/>
              <w:spacing w:line="203" w:lineRule="auto"/>
              <w:jc w:val="center"/>
              <w:rPr>
                <w:rFonts w:ascii="宋体" w:hAnsi="宋体" w:cs="宋体"/>
                <w:kern w:val="2"/>
                <w:sz w:val="21"/>
                <w:szCs w:val="21"/>
                <w:lang w:eastAsia="zh-CN"/>
              </w:rPr>
            </w:pPr>
            <w:r>
              <w:rPr>
                <w:rFonts w:ascii="宋体" w:hAnsi="宋体" w:cs="宋体" w:hint="eastAsia"/>
                <w:spacing w:val="-5"/>
                <w:kern w:val="2"/>
                <w:sz w:val="21"/>
                <w:szCs w:val="21"/>
                <w:lang w:eastAsia="zh-CN"/>
              </w:rPr>
              <w:t>管理关系</w:t>
            </w:r>
          </w:p>
        </w:tc>
        <w:tc>
          <w:tcPr>
            <w:tcW w:w="1616" w:type="dxa"/>
            <w:gridSpan w:val="2"/>
            <w:vAlign w:val="center"/>
          </w:tcPr>
          <w:p>
            <w:pPr>
              <w:widowControl w:val="0"/>
              <w:jc w:val="both"/>
              <w:rPr>
                <w:rFonts w:ascii="宋体" w:hAnsi="宋体" w:cs="宋体"/>
                <w:kern w:val="2"/>
                <w:sz w:val="21"/>
                <w:szCs w:val="21"/>
                <w:lang w:eastAsia="zh-CN"/>
              </w:rPr>
            </w:pPr>
          </w:p>
        </w:tc>
        <w:tc>
          <w:tcPr>
            <w:tcW w:w="3909" w:type="dxa"/>
            <w:gridSpan w:val="3"/>
            <w:vAlign w:val="center"/>
          </w:tcPr>
          <w:p>
            <w:pPr>
              <w:widowControl w:val="0"/>
              <w:spacing w:line="190" w:lineRule="auto"/>
              <w:ind w:left="120" w:right="24"/>
              <w:jc w:val="both"/>
              <w:rPr>
                <w:rFonts w:ascii="宋体" w:hAnsi="宋体" w:cs="宋体"/>
                <w:kern w:val="2"/>
                <w:sz w:val="21"/>
                <w:szCs w:val="21"/>
                <w:lang w:eastAsia="zh-CN"/>
              </w:rPr>
            </w:pPr>
            <w:r>
              <w:rPr>
                <w:rFonts w:ascii="宋体" w:hAnsi="宋体" w:cs="宋体" w:hint="eastAsia"/>
                <w:spacing w:val="-8"/>
                <w:kern w:val="2"/>
                <w:sz w:val="21"/>
                <w:szCs w:val="21"/>
                <w:lang w:eastAsia="zh-CN"/>
              </w:rPr>
              <w:t>指对投标（响应）供应商不具有出资持</w:t>
            </w:r>
            <w:r>
              <w:rPr>
                <w:rFonts w:ascii="宋体" w:hAnsi="宋体" w:cs="宋体" w:hint="eastAsia"/>
                <w:spacing w:val="-3"/>
                <w:kern w:val="2"/>
                <w:sz w:val="21"/>
                <w:szCs w:val="21"/>
                <w:lang w:eastAsia="zh-CN"/>
              </w:rPr>
              <w:t>股关系，但对其存在管理关系的主体。</w:t>
            </w:r>
          </w:p>
        </w:tc>
      </w:tr>
      <w:tr>
        <w:tblPrEx>
          <w:tblW w:w="5000" w:type="pct"/>
          <w:tblInd w:w="0" w:type="dxa"/>
          <w:tblLayout w:type="fixed"/>
          <w:tblCellMar>
            <w:top w:w="0" w:type="dxa"/>
            <w:left w:w="0" w:type="dxa"/>
            <w:bottom w:w="0" w:type="dxa"/>
            <w:right w:w="0" w:type="dxa"/>
          </w:tblCellMar>
        </w:tblPrEx>
        <w:trPr>
          <w:trHeight w:val="361"/>
        </w:trPr>
        <w:tc>
          <w:tcPr>
            <w:tcW w:w="8329" w:type="dxa"/>
            <w:gridSpan w:val="8"/>
            <w:vAlign w:val="center"/>
          </w:tcPr>
          <w:p>
            <w:pPr>
              <w:widowControl w:val="0"/>
              <w:spacing w:line="180" w:lineRule="auto"/>
              <w:ind w:left="120"/>
              <w:jc w:val="both"/>
              <w:rPr>
                <w:rFonts w:ascii="宋体" w:hAnsi="宋体" w:cs="宋体"/>
                <w:kern w:val="2"/>
                <w:sz w:val="21"/>
                <w:szCs w:val="21"/>
                <w:lang w:eastAsia="zh-CN"/>
              </w:rPr>
            </w:pPr>
            <w:r>
              <w:rPr>
                <w:rFonts w:ascii="宋体" w:hAnsi="宋体" w:cs="宋体" w:hint="eastAsia"/>
                <w:b/>
                <w:bCs/>
                <w:spacing w:val="-1"/>
                <w:kern w:val="2"/>
                <w:sz w:val="21"/>
                <w:szCs w:val="21"/>
                <w:lang w:eastAsia="zh-CN"/>
              </w:rPr>
              <w:t>说明：同一关联关系类型有多个主体的，应分行填写。</w:t>
            </w:r>
          </w:p>
        </w:tc>
      </w:tr>
    </w:tbl>
    <w:p>
      <w:pPr>
        <w:widowControl w:val="0"/>
        <w:spacing w:after="160" w:line="259" w:lineRule="auto"/>
        <w:ind w:left="720" w:hanging="720" w:hangingChars="300"/>
        <w:jc w:val="both"/>
        <w:rPr>
          <w:rFonts w:eastAsia="宋体"/>
          <w:b/>
          <w:kern w:val="2"/>
          <w:lang w:eastAsia="zh-CN"/>
        </w:rPr>
      </w:pPr>
    </w:p>
    <w:p>
      <w:pPr>
        <w:keepNext/>
        <w:keepLines/>
        <w:widowControl w:val="0"/>
        <w:spacing w:before="260" w:after="260" w:line="240" w:lineRule="auto"/>
        <w:jc w:val="center"/>
        <w:outlineLvl w:val="2"/>
        <w:rPr>
          <w:rFonts w:ascii="黑体" w:eastAsia="黑体" w:hAnsi="宋体"/>
          <w:bCs/>
          <w:kern w:val="2"/>
          <w:lang w:eastAsia="zh-CN"/>
        </w:rPr>
      </w:pPr>
      <w:r>
        <w:rPr>
          <w:rFonts w:ascii="黑体" w:eastAsia="黑体" w:hAnsi="宋体" w:hint="eastAsia"/>
          <w:bCs/>
          <w:kern w:val="2"/>
          <w:lang w:eastAsia="zh-CN"/>
        </w:rPr>
        <w:t>四、项目详细报价</w:t>
      </w:r>
    </w:p>
    <w:p>
      <w:pPr>
        <w:widowControl w:val="0"/>
        <w:tabs>
          <w:tab w:val="left" w:pos="720"/>
        </w:tabs>
        <w:spacing w:after="160" w:line="259" w:lineRule="auto"/>
        <w:ind w:firstLine="3120" w:firstLineChars="1300"/>
        <w:jc w:val="both"/>
        <w:rPr>
          <w:rFonts w:eastAsia="宋体"/>
          <w:b/>
          <w:kern w:val="2"/>
          <w:lang w:eastAsia="zh-CN"/>
        </w:rPr>
      </w:pPr>
      <w:r>
        <w:rPr>
          <w:rFonts w:eastAsia="宋体" w:hint="eastAsia"/>
          <w:b/>
          <w:kern w:val="2"/>
          <w:lang w:eastAsia="zh-CN"/>
        </w:rPr>
        <w:t>（一）分项报价表</w:t>
      </w:r>
    </w:p>
    <w:tbl>
      <w:tblPr>
        <w:tblStyle w:val="TableNormal"/>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92"/>
        <w:gridCol w:w="1540"/>
        <w:gridCol w:w="678"/>
        <w:gridCol w:w="678"/>
        <w:gridCol w:w="590"/>
        <w:gridCol w:w="700"/>
        <w:gridCol w:w="445"/>
        <w:gridCol w:w="412"/>
        <w:gridCol w:w="551"/>
        <w:gridCol w:w="654"/>
        <w:gridCol w:w="654"/>
        <w:gridCol w:w="828"/>
      </w:tblGrid>
      <w:tr>
        <w:tblPrEx>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91"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序号</w:t>
            </w:r>
          </w:p>
        </w:tc>
        <w:tc>
          <w:tcPr>
            <w:tcW w:w="1538"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货物名称</w:t>
            </w:r>
          </w:p>
        </w:tc>
        <w:tc>
          <w:tcPr>
            <w:tcW w:w="678" w:type="dxa"/>
            <w:vAlign w:val="center"/>
          </w:tcPr>
          <w:p>
            <w:pPr>
              <w:widowControl w:val="0"/>
              <w:spacing w:after="160" w:line="259" w:lineRule="auto"/>
              <w:jc w:val="center"/>
              <w:rPr>
                <w:rFonts w:eastAsia="宋体"/>
                <w:bCs/>
                <w:kern w:val="2"/>
                <w:sz w:val="21"/>
                <w:szCs w:val="21"/>
                <w:lang w:eastAsia="zh-CN"/>
              </w:rPr>
            </w:pPr>
            <w:r>
              <w:rPr>
                <w:rFonts w:eastAsia="宋体" w:hint="eastAsia"/>
                <w:kern w:val="2"/>
                <w:sz w:val="21"/>
                <w:szCs w:val="21"/>
                <w:lang w:eastAsia="zh-CN"/>
              </w:rPr>
              <w:t>品牌</w:t>
            </w:r>
          </w:p>
        </w:tc>
        <w:tc>
          <w:tcPr>
            <w:tcW w:w="678" w:type="dxa"/>
            <w:vAlign w:val="center"/>
          </w:tcPr>
          <w:p>
            <w:pPr>
              <w:widowControl w:val="0"/>
              <w:spacing w:after="160" w:line="259" w:lineRule="auto"/>
              <w:jc w:val="center"/>
              <w:rPr>
                <w:rFonts w:eastAsia="宋体"/>
                <w:bCs/>
                <w:kern w:val="2"/>
                <w:sz w:val="21"/>
                <w:szCs w:val="21"/>
                <w:lang w:eastAsia="zh-CN"/>
              </w:rPr>
            </w:pPr>
            <w:r>
              <w:rPr>
                <w:rFonts w:eastAsia="宋体" w:hint="eastAsia"/>
                <w:kern w:val="2"/>
                <w:sz w:val="21"/>
                <w:szCs w:val="21"/>
                <w:lang w:eastAsia="zh-CN"/>
              </w:rPr>
              <w:t>规格/型号</w:t>
            </w:r>
          </w:p>
        </w:tc>
        <w:tc>
          <w:tcPr>
            <w:tcW w:w="590" w:type="dxa"/>
            <w:vAlign w:val="center"/>
          </w:tcPr>
          <w:p>
            <w:pPr>
              <w:widowControl w:val="0"/>
              <w:spacing w:after="160" w:line="259" w:lineRule="auto"/>
              <w:jc w:val="center"/>
              <w:rPr>
                <w:rFonts w:eastAsia="宋体"/>
                <w:bCs/>
                <w:kern w:val="2"/>
                <w:sz w:val="21"/>
                <w:szCs w:val="21"/>
                <w:lang w:eastAsia="zh-CN"/>
              </w:rPr>
            </w:pPr>
            <w:r>
              <w:rPr>
                <w:rFonts w:eastAsia="宋体" w:hint="eastAsia"/>
                <w:b/>
                <w:color w:val="FF0000"/>
                <w:kern w:val="2"/>
                <w:sz w:val="21"/>
                <w:szCs w:val="21"/>
                <w:lang w:eastAsia="zh-CN"/>
              </w:rPr>
              <w:t>原产地</w:t>
            </w:r>
          </w:p>
        </w:tc>
        <w:tc>
          <w:tcPr>
            <w:tcW w:w="700" w:type="dxa"/>
            <w:vAlign w:val="center"/>
          </w:tcPr>
          <w:p>
            <w:pPr>
              <w:widowControl w:val="0"/>
              <w:spacing w:after="160" w:line="259" w:lineRule="auto"/>
              <w:jc w:val="center"/>
              <w:rPr>
                <w:rFonts w:eastAsia="宋体"/>
                <w:bCs/>
                <w:kern w:val="2"/>
                <w:sz w:val="21"/>
                <w:szCs w:val="21"/>
                <w:lang w:eastAsia="zh-CN"/>
              </w:rPr>
            </w:pPr>
            <w:r>
              <w:rPr>
                <w:rFonts w:eastAsia="宋体" w:hint="eastAsia"/>
                <w:kern w:val="2"/>
                <w:sz w:val="21"/>
                <w:szCs w:val="21"/>
                <w:lang w:eastAsia="zh-CN"/>
              </w:rPr>
              <w:t>制造商名称</w:t>
            </w:r>
          </w:p>
        </w:tc>
        <w:tc>
          <w:tcPr>
            <w:tcW w:w="445"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数量</w:t>
            </w:r>
          </w:p>
        </w:tc>
        <w:tc>
          <w:tcPr>
            <w:tcW w:w="412"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单位</w:t>
            </w:r>
          </w:p>
        </w:tc>
        <w:tc>
          <w:tcPr>
            <w:tcW w:w="551" w:type="dxa"/>
            <w:vAlign w:val="center"/>
          </w:tcPr>
          <w:p>
            <w:pPr>
              <w:widowControl w:val="0"/>
              <w:spacing w:after="160" w:line="259" w:lineRule="auto"/>
              <w:jc w:val="center"/>
              <w:rPr>
                <w:rFonts w:eastAsia="宋体"/>
                <w:bCs/>
                <w:kern w:val="2"/>
                <w:sz w:val="21"/>
                <w:szCs w:val="21"/>
                <w:lang w:eastAsia="zh-CN"/>
              </w:rPr>
            </w:pPr>
            <w:r>
              <w:rPr>
                <w:rFonts w:eastAsia="宋体" w:hint="eastAsia"/>
                <w:kern w:val="2"/>
                <w:sz w:val="21"/>
                <w:szCs w:val="21"/>
                <w:lang w:eastAsia="zh-CN"/>
              </w:rPr>
              <w:t>单价(元)</w:t>
            </w:r>
          </w:p>
        </w:tc>
        <w:tc>
          <w:tcPr>
            <w:tcW w:w="654" w:type="dxa"/>
            <w:vAlign w:val="center"/>
          </w:tcPr>
          <w:p>
            <w:pPr>
              <w:widowControl w:val="0"/>
              <w:spacing w:after="160" w:line="259" w:lineRule="auto"/>
              <w:jc w:val="center"/>
              <w:rPr>
                <w:rFonts w:eastAsia="宋体" w:hint="eastAsia"/>
                <w:kern w:val="2"/>
                <w:sz w:val="21"/>
                <w:szCs w:val="21"/>
                <w:lang w:eastAsia="zh-CN"/>
              </w:rPr>
            </w:pPr>
            <w:r>
              <w:rPr>
                <w:rFonts w:eastAsia="宋体" w:hint="eastAsia"/>
                <w:kern w:val="2"/>
                <w:sz w:val="21"/>
                <w:szCs w:val="21"/>
                <w:lang w:eastAsia="zh-CN"/>
              </w:rPr>
              <w:t>单价</w:t>
            </w:r>
            <w:r>
              <w:rPr>
                <w:rFonts w:eastAsia="宋体" w:hint="eastAsia"/>
                <w:kern w:val="2"/>
                <w:sz w:val="21"/>
                <w:szCs w:val="21"/>
                <w:lang w:eastAsia="zh-CN"/>
              </w:rPr>
              <w:t>限价</w:t>
            </w:r>
            <w:r>
              <w:rPr>
                <w:rFonts w:eastAsia="宋体" w:hint="eastAsia"/>
                <w:kern w:val="2"/>
                <w:sz w:val="21"/>
                <w:szCs w:val="21"/>
                <w:lang w:eastAsia="zh-CN"/>
              </w:rPr>
              <w:t>(元)</w:t>
            </w:r>
          </w:p>
        </w:tc>
        <w:tc>
          <w:tcPr>
            <w:tcW w:w="654" w:type="dxa"/>
            <w:vAlign w:val="center"/>
          </w:tcPr>
          <w:p>
            <w:pPr>
              <w:widowControl w:val="0"/>
              <w:spacing w:after="160" w:line="259" w:lineRule="auto"/>
              <w:jc w:val="center"/>
              <w:rPr>
                <w:rFonts w:eastAsia="宋体"/>
                <w:bCs/>
                <w:kern w:val="2"/>
                <w:sz w:val="21"/>
                <w:szCs w:val="21"/>
                <w:lang w:eastAsia="zh-CN"/>
              </w:rPr>
            </w:pPr>
            <w:r>
              <w:rPr>
                <w:rFonts w:eastAsia="宋体" w:hint="eastAsia"/>
                <w:kern w:val="2"/>
                <w:sz w:val="21"/>
                <w:szCs w:val="21"/>
                <w:lang w:eastAsia="zh-CN"/>
              </w:rPr>
              <w:t>合价(元)</w:t>
            </w:r>
          </w:p>
        </w:tc>
        <w:tc>
          <w:tcPr>
            <w:tcW w:w="828" w:type="dxa"/>
            <w:vAlign w:val="center"/>
          </w:tcPr>
          <w:p>
            <w:pPr>
              <w:widowControl w:val="0"/>
              <w:spacing w:after="160" w:line="259" w:lineRule="auto"/>
              <w:jc w:val="center"/>
              <w:rPr>
                <w:rFonts w:eastAsia="宋体"/>
                <w:kern w:val="2"/>
                <w:sz w:val="21"/>
                <w:szCs w:val="21"/>
                <w:lang w:eastAsia="zh-CN"/>
              </w:rPr>
            </w:pPr>
            <w:r>
              <w:rPr>
                <w:rFonts w:eastAsia="宋体" w:hint="eastAsia"/>
                <w:kern w:val="2"/>
                <w:sz w:val="21"/>
                <w:szCs w:val="21"/>
                <w:lang w:eastAsia="zh-CN"/>
              </w:rPr>
              <w:t>预算金额（元）</w:t>
            </w:r>
          </w:p>
        </w:tc>
      </w:tr>
      <w:tr>
        <w:tblPrEx>
          <w:tblW w:w="5000" w:type="pct"/>
          <w:jc w:val="center"/>
          <w:tblInd w:w="0" w:type="dxa"/>
          <w:tblLayout w:type="fixed"/>
          <w:tblCellMar>
            <w:top w:w="0" w:type="dxa"/>
            <w:left w:w="108" w:type="dxa"/>
            <w:bottom w:w="0" w:type="dxa"/>
            <w:right w:w="108" w:type="dxa"/>
          </w:tblCellMar>
        </w:tblPrEx>
        <w:trPr>
          <w:jc w:val="center"/>
        </w:trPr>
        <w:tc>
          <w:tcPr>
            <w:tcW w:w="791"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1</w:t>
            </w:r>
          </w:p>
        </w:tc>
        <w:tc>
          <w:tcPr>
            <w:tcW w:w="1538" w:type="dxa"/>
            <w:vAlign w:val="top"/>
          </w:tcPr>
          <w:p>
            <w:pPr>
              <w:widowControl w:val="0"/>
              <w:spacing w:after="160" w:line="259" w:lineRule="auto"/>
              <w:jc w:val="center"/>
              <w:rPr>
                <w:rFonts w:eastAsia="宋体"/>
                <w:bCs/>
                <w:kern w:val="2"/>
                <w:sz w:val="21"/>
                <w:szCs w:val="21"/>
                <w:lang w:eastAsia="zh-CN"/>
              </w:rPr>
            </w:pPr>
            <w:r>
              <w:rPr>
                <w:rFonts w:ascii="仿宋_GB2312" w:eastAsia="仿宋_GB2312" w:hAnsi="仿宋_GB2312" w:cs="仿宋_GB2312"/>
                <w:bCs/>
                <w:kern w:val="2"/>
                <w:sz w:val="21"/>
                <w:szCs w:val="21"/>
                <w:lang w:eastAsia="zh-CN"/>
              </w:rPr>
              <w:t>内镜清洗消毒工作站</w:t>
            </w:r>
          </w:p>
        </w:tc>
        <w:tc>
          <w:tcPr>
            <w:tcW w:w="678" w:type="dxa"/>
            <w:vAlign w:val="center"/>
          </w:tcPr>
          <w:p>
            <w:pPr>
              <w:widowControl w:val="0"/>
              <w:spacing w:after="160" w:line="259" w:lineRule="auto"/>
              <w:jc w:val="center"/>
              <w:rPr>
                <w:rFonts w:eastAsia="宋体"/>
                <w:bCs/>
                <w:kern w:val="2"/>
                <w:sz w:val="21"/>
                <w:szCs w:val="21"/>
                <w:lang w:eastAsia="zh-CN"/>
              </w:rPr>
            </w:pPr>
          </w:p>
        </w:tc>
        <w:tc>
          <w:tcPr>
            <w:tcW w:w="678" w:type="dxa"/>
            <w:vAlign w:val="center"/>
          </w:tcPr>
          <w:p>
            <w:pPr>
              <w:widowControl w:val="0"/>
              <w:spacing w:after="160" w:line="259" w:lineRule="auto"/>
              <w:jc w:val="center"/>
              <w:rPr>
                <w:rFonts w:eastAsia="宋体"/>
                <w:bCs/>
                <w:kern w:val="2"/>
                <w:sz w:val="21"/>
                <w:szCs w:val="21"/>
                <w:lang w:eastAsia="zh-CN"/>
              </w:rPr>
            </w:pPr>
          </w:p>
        </w:tc>
        <w:tc>
          <w:tcPr>
            <w:tcW w:w="590" w:type="dxa"/>
            <w:vAlign w:val="center"/>
          </w:tcPr>
          <w:p>
            <w:pPr>
              <w:widowControl w:val="0"/>
              <w:spacing w:after="160" w:line="259" w:lineRule="auto"/>
              <w:jc w:val="center"/>
              <w:rPr>
                <w:rFonts w:eastAsia="宋体"/>
                <w:bCs/>
                <w:kern w:val="2"/>
                <w:sz w:val="21"/>
                <w:szCs w:val="21"/>
                <w:lang w:eastAsia="zh-CN"/>
              </w:rPr>
            </w:pPr>
          </w:p>
        </w:tc>
        <w:tc>
          <w:tcPr>
            <w:tcW w:w="700" w:type="dxa"/>
            <w:vAlign w:val="center"/>
          </w:tcPr>
          <w:p>
            <w:pPr>
              <w:widowControl w:val="0"/>
              <w:spacing w:after="160" w:line="259" w:lineRule="auto"/>
              <w:jc w:val="center"/>
              <w:rPr>
                <w:rFonts w:eastAsia="宋体"/>
                <w:bCs/>
                <w:kern w:val="2"/>
                <w:sz w:val="21"/>
                <w:szCs w:val="21"/>
                <w:lang w:eastAsia="zh-CN"/>
              </w:rPr>
            </w:pPr>
          </w:p>
        </w:tc>
        <w:tc>
          <w:tcPr>
            <w:tcW w:w="445"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6</w:t>
            </w:r>
          </w:p>
        </w:tc>
        <w:tc>
          <w:tcPr>
            <w:tcW w:w="412"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套</w:t>
            </w:r>
          </w:p>
        </w:tc>
        <w:tc>
          <w:tcPr>
            <w:tcW w:w="551" w:type="dxa"/>
            <w:vAlign w:val="center"/>
          </w:tcPr>
          <w:p>
            <w:pPr>
              <w:widowControl w:val="0"/>
              <w:spacing w:after="160" w:line="259" w:lineRule="auto"/>
              <w:jc w:val="center"/>
              <w:rPr>
                <w:rFonts w:eastAsia="宋体"/>
                <w:bCs/>
                <w:kern w:val="2"/>
                <w:sz w:val="21"/>
                <w:szCs w:val="21"/>
                <w:lang w:eastAsia="zh-CN"/>
              </w:rPr>
            </w:pPr>
          </w:p>
        </w:tc>
        <w:tc>
          <w:tcPr>
            <w:tcW w:w="654" w:type="dxa"/>
            <w:vAlign w:val="top"/>
          </w:tcPr>
          <w:p>
            <w:pPr>
              <w:widowControl w:val="0"/>
              <w:spacing w:after="160" w:line="259" w:lineRule="auto"/>
              <w:jc w:val="center"/>
              <w:rPr>
                <w:rFonts w:eastAsia="宋体"/>
                <w:bCs/>
                <w:kern w:val="2"/>
                <w:sz w:val="21"/>
                <w:szCs w:val="21"/>
                <w:lang w:eastAsia="zh-CN"/>
              </w:rPr>
            </w:pPr>
            <w:r>
              <w:rPr>
                <w:rFonts w:ascii="仿宋_GB2312" w:eastAsia="仿宋_GB2312" w:hAnsi="仿宋_GB2312" w:cs="仿宋_GB2312"/>
                <w:bCs/>
                <w:kern w:val="2"/>
                <w:sz w:val="21"/>
                <w:szCs w:val="21"/>
                <w:lang w:eastAsia="zh-CN"/>
              </w:rPr>
              <w:t>125</w:t>
            </w:r>
            <w:r>
              <w:rPr>
                <w:rFonts w:ascii="仿宋_GB2312" w:eastAsia="仿宋_GB2312" w:hAnsi="仿宋_GB2312" w:cs="仿宋_GB2312" w:hint="eastAsia"/>
                <w:bCs/>
                <w:kern w:val="2"/>
                <w:sz w:val="21"/>
                <w:szCs w:val="21"/>
                <w:lang w:eastAsia="zh-CN"/>
              </w:rPr>
              <w:t>,000</w:t>
            </w:r>
          </w:p>
        </w:tc>
        <w:tc>
          <w:tcPr>
            <w:tcW w:w="654" w:type="dxa"/>
            <w:vAlign w:val="center"/>
          </w:tcPr>
          <w:p>
            <w:pPr>
              <w:widowControl w:val="0"/>
              <w:spacing w:after="160" w:line="259" w:lineRule="auto"/>
              <w:jc w:val="center"/>
              <w:rPr>
                <w:rFonts w:eastAsia="宋体"/>
                <w:bCs/>
                <w:kern w:val="2"/>
                <w:sz w:val="21"/>
                <w:szCs w:val="21"/>
                <w:lang w:eastAsia="zh-CN"/>
              </w:rPr>
            </w:pPr>
          </w:p>
        </w:tc>
        <w:tc>
          <w:tcPr>
            <w:tcW w:w="828" w:type="dxa"/>
            <w:vMerge w:val="restart"/>
            <w:vAlign w:val="center"/>
          </w:tcPr>
          <w:p>
            <w:pPr>
              <w:widowControl w:val="0"/>
              <w:spacing w:after="160" w:line="259" w:lineRule="auto"/>
              <w:jc w:val="center"/>
              <w:rPr>
                <w:rFonts w:eastAsia="宋体"/>
                <w:b/>
                <w:bCs/>
                <w:kern w:val="2"/>
                <w:sz w:val="21"/>
                <w:szCs w:val="21"/>
                <w:lang w:eastAsia="zh-CN"/>
              </w:rPr>
            </w:pPr>
            <w:r>
              <w:rPr>
                <w:rFonts w:eastAsia="宋体" w:hint="eastAsia"/>
                <w:bCs/>
                <w:kern w:val="2"/>
                <w:sz w:val="21"/>
                <w:szCs w:val="21"/>
                <w:lang w:eastAsia="zh-CN"/>
              </w:rPr>
              <w:t>990000</w:t>
            </w:r>
          </w:p>
        </w:tc>
      </w:tr>
      <w:tr>
        <w:tblPrEx>
          <w:tblW w:w="5000" w:type="pct"/>
          <w:jc w:val="center"/>
          <w:tblInd w:w="0" w:type="dxa"/>
          <w:tblLayout w:type="fixed"/>
          <w:tblCellMar>
            <w:top w:w="0" w:type="dxa"/>
            <w:left w:w="108" w:type="dxa"/>
            <w:bottom w:w="0" w:type="dxa"/>
            <w:right w:w="108" w:type="dxa"/>
          </w:tblCellMar>
        </w:tblPrEx>
        <w:trPr>
          <w:jc w:val="center"/>
        </w:trPr>
        <w:tc>
          <w:tcPr>
            <w:tcW w:w="791"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2</w:t>
            </w:r>
          </w:p>
        </w:tc>
        <w:tc>
          <w:tcPr>
            <w:tcW w:w="1538" w:type="dxa"/>
            <w:vAlign w:val="top"/>
          </w:tcPr>
          <w:p>
            <w:pPr>
              <w:widowControl w:val="0"/>
              <w:spacing w:after="160" w:line="259" w:lineRule="auto"/>
              <w:jc w:val="center"/>
              <w:rPr>
                <w:rFonts w:eastAsia="宋体"/>
                <w:bCs/>
                <w:kern w:val="2"/>
                <w:sz w:val="21"/>
                <w:szCs w:val="21"/>
                <w:lang w:eastAsia="zh-CN"/>
              </w:rPr>
            </w:pPr>
            <w:r>
              <w:rPr>
                <w:rFonts w:ascii="仿宋_GB2312" w:eastAsia="仿宋_GB2312" w:hAnsi="仿宋_GB2312" w:cs="仿宋_GB2312" w:hint="eastAsia"/>
                <w:bCs/>
                <w:kern w:val="2"/>
                <w:sz w:val="21"/>
                <w:szCs w:val="21"/>
                <w:lang w:eastAsia="zh-CN"/>
              </w:rPr>
              <w:t>内镜洗消追溯管理系统</w:t>
            </w:r>
          </w:p>
        </w:tc>
        <w:tc>
          <w:tcPr>
            <w:tcW w:w="678" w:type="dxa"/>
            <w:vAlign w:val="center"/>
          </w:tcPr>
          <w:p>
            <w:pPr>
              <w:widowControl w:val="0"/>
              <w:spacing w:after="160" w:line="259" w:lineRule="auto"/>
              <w:jc w:val="center"/>
              <w:rPr>
                <w:rFonts w:eastAsia="宋体"/>
                <w:bCs/>
                <w:kern w:val="2"/>
                <w:sz w:val="21"/>
                <w:szCs w:val="21"/>
                <w:lang w:eastAsia="zh-CN"/>
              </w:rPr>
            </w:pPr>
          </w:p>
        </w:tc>
        <w:tc>
          <w:tcPr>
            <w:tcW w:w="678" w:type="dxa"/>
            <w:vAlign w:val="center"/>
          </w:tcPr>
          <w:p>
            <w:pPr>
              <w:widowControl w:val="0"/>
              <w:spacing w:after="160" w:line="259" w:lineRule="auto"/>
              <w:jc w:val="center"/>
              <w:rPr>
                <w:rFonts w:eastAsia="宋体"/>
                <w:bCs/>
                <w:kern w:val="2"/>
                <w:sz w:val="21"/>
                <w:szCs w:val="21"/>
                <w:lang w:eastAsia="zh-CN"/>
              </w:rPr>
            </w:pPr>
          </w:p>
        </w:tc>
        <w:tc>
          <w:tcPr>
            <w:tcW w:w="590" w:type="dxa"/>
            <w:vAlign w:val="center"/>
          </w:tcPr>
          <w:p>
            <w:pPr>
              <w:widowControl w:val="0"/>
              <w:spacing w:after="160" w:line="259" w:lineRule="auto"/>
              <w:jc w:val="center"/>
              <w:rPr>
                <w:rFonts w:eastAsia="宋体"/>
                <w:bCs/>
                <w:kern w:val="2"/>
                <w:sz w:val="21"/>
                <w:szCs w:val="21"/>
                <w:lang w:eastAsia="zh-CN"/>
              </w:rPr>
            </w:pPr>
          </w:p>
        </w:tc>
        <w:tc>
          <w:tcPr>
            <w:tcW w:w="700" w:type="dxa"/>
            <w:vAlign w:val="center"/>
          </w:tcPr>
          <w:p>
            <w:pPr>
              <w:widowControl w:val="0"/>
              <w:spacing w:after="160" w:line="259" w:lineRule="auto"/>
              <w:jc w:val="center"/>
              <w:rPr>
                <w:rFonts w:eastAsia="宋体"/>
                <w:bCs/>
                <w:kern w:val="2"/>
                <w:sz w:val="21"/>
                <w:szCs w:val="21"/>
                <w:lang w:eastAsia="zh-CN"/>
              </w:rPr>
            </w:pPr>
          </w:p>
        </w:tc>
        <w:tc>
          <w:tcPr>
            <w:tcW w:w="445"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3</w:t>
            </w:r>
          </w:p>
        </w:tc>
        <w:tc>
          <w:tcPr>
            <w:tcW w:w="412"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套</w:t>
            </w:r>
          </w:p>
        </w:tc>
        <w:tc>
          <w:tcPr>
            <w:tcW w:w="551" w:type="dxa"/>
            <w:vAlign w:val="center"/>
          </w:tcPr>
          <w:p>
            <w:pPr>
              <w:widowControl w:val="0"/>
              <w:spacing w:after="160" w:line="259" w:lineRule="auto"/>
              <w:jc w:val="center"/>
              <w:rPr>
                <w:rFonts w:eastAsia="宋体"/>
                <w:bCs/>
                <w:kern w:val="2"/>
                <w:sz w:val="21"/>
                <w:szCs w:val="21"/>
                <w:lang w:eastAsia="zh-CN"/>
              </w:rPr>
            </w:pPr>
          </w:p>
        </w:tc>
        <w:tc>
          <w:tcPr>
            <w:tcW w:w="654" w:type="dxa"/>
            <w:vAlign w:val="top"/>
          </w:tcPr>
          <w:p>
            <w:pPr>
              <w:widowControl w:val="0"/>
              <w:spacing w:after="160" w:line="259" w:lineRule="auto"/>
              <w:jc w:val="center"/>
              <w:rPr>
                <w:rFonts w:eastAsia="宋体"/>
                <w:bCs/>
                <w:kern w:val="2"/>
                <w:sz w:val="21"/>
                <w:szCs w:val="21"/>
                <w:lang w:eastAsia="zh-CN"/>
              </w:rPr>
            </w:pPr>
            <w:r>
              <w:rPr>
                <w:rFonts w:ascii="仿宋_GB2312" w:eastAsia="仿宋_GB2312" w:hAnsi="仿宋_GB2312" w:cs="仿宋_GB2312" w:hint="eastAsia"/>
                <w:bCs/>
                <w:kern w:val="2"/>
                <w:sz w:val="21"/>
                <w:szCs w:val="21"/>
                <w:lang w:eastAsia="zh-CN"/>
              </w:rPr>
              <w:t>80,000</w:t>
            </w:r>
          </w:p>
        </w:tc>
        <w:tc>
          <w:tcPr>
            <w:tcW w:w="654" w:type="dxa"/>
            <w:vAlign w:val="center"/>
          </w:tcPr>
          <w:p>
            <w:pPr>
              <w:widowControl w:val="0"/>
              <w:spacing w:after="160" w:line="259" w:lineRule="auto"/>
              <w:jc w:val="center"/>
              <w:rPr>
                <w:rFonts w:eastAsia="宋体"/>
                <w:bCs/>
                <w:kern w:val="2"/>
                <w:sz w:val="21"/>
                <w:szCs w:val="21"/>
                <w:lang w:eastAsia="zh-CN"/>
              </w:rPr>
            </w:pPr>
          </w:p>
        </w:tc>
        <w:tc>
          <w:tcPr>
            <w:tcW w:w="828" w:type="dxa"/>
            <w:vMerge/>
            <w:vAlign w:val="center"/>
          </w:tcPr>
          <w:p>
            <w:pPr>
              <w:widowControl w:val="0"/>
              <w:spacing w:after="160" w:line="259" w:lineRule="auto"/>
              <w:jc w:val="center"/>
              <w:rPr>
                <w:rFonts w:eastAsia="宋体"/>
                <w:b/>
                <w:bCs/>
                <w:color w:val="FF0000"/>
                <w:kern w:val="2"/>
                <w:sz w:val="21"/>
                <w:szCs w:val="21"/>
                <w:lang w:eastAsia="zh-CN"/>
              </w:rPr>
            </w:pPr>
          </w:p>
        </w:tc>
      </w:tr>
      <w:tr>
        <w:tblPrEx>
          <w:tblW w:w="5000" w:type="pct"/>
          <w:jc w:val="center"/>
          <w:tblInd w:w="0" w:type="dxa"/>
          <w:tblLayout w:type="fixed"/>
          <w:tblCellMar>
            <w:top w:w="0" w:type="dxa"/>
            <w:left w:w="108" w:type="dxa"/>
            <w:bottom w:w="0" w:type="dxa"/>
            <w:right w:w="108" w:type="dxa"/>
          </w:tblCellMar>
        </w:tblPrEx>
        <w:trPr>
          <w:jc w:val="center"/>
        </w:trPr>
        <w:tc>
          <w:tcPr>
            <w:tcW w:w="8519" w:type="dxa"/>
            <w:gridSpan w:val="12"/>
            <w:vAlign w:val="center"/>
          </w:tcPr>
          <w:p>
            <w:pPr>
              <w:widowControl w:val="0"/>
              <w:spacing w:after="160" w:line="259" w:lineRule="auto"/>
              <w:ind w:firstLine="420" w:firstLineChars="200"/>
              <w:jc w:val="both"/>
              <w:rPr>
                <w:rFonts w:eastAsia="宋体"/>
                <w:b/>
                <w:bCs/>
                <w:color w:val="FF0000"/>
                <w:kern w:val="2"/>
                <w:sz w:val="21"/>
                <w:szCs w:val="21"/>
                <w:lang w:eastAsia="zh-CN"/>
              </w:rPr>
            </w:pPr>
            <w:r>
              <w:rPr>
                <w:rFonts w:eastAsia="宋体" w:hint="eastAsia"/>
                <w:bCs/>
                <w:kern w:val="2"/>
                <w:sz w:val="21"/>
                <w:szCs w:val="21"/>
                <w:lang w:eastAsia="zh-CN"/>
              </w:rPr>
              <w:t>合计（即投标总价；币种：人民币；单位：元） 小写：            大写：</w:t>
            </w:r>
          </w:p>
        </w:tc>
      </w:tr>
    </w:tbl>
    <w:p>
      <w:pPr>
        <w:widowControl w:val="0"/>
        <w:spacing w:after="160" w:line="259" w:lineRule="auto"/>
        <w:ind w:firstLine="480" w:firstLineChars="200"/>
        <w:jc w:val="both"/>
        <w:rPr>
          <w:rFonts w:ascii="宋体" w:eastAsia="宋体" w:hAnsi="宋体"/>
          <w:b/>
          <w:kern w:val="2"/>
          <w:lang w:eastAsia="zh-CN"/>
        </w:rPr>
      </w:pPr>
      <w:r>
        <w:rPr>
          <w:rFonts w:ascii="宋体" w:eastAsia="宋体" w:hAnsi="宋体" w:hint="eastAsia"/>
          <w:b/>
          <w:kern w:val="2"/>
          <w:lang w:eastAsia="zh-CN"/>
        </w:rPr>
        <w:t>注：1.本表可按同样格式扩展。</w:t>
      </w:r>
    </w:p>
    <w:p>
      <w:pPr>
        <w:widowControl w:val="0"/>
        <w:spacing w:after="160" w:line="259" w:lineRule="auto"/>
        <w:ind w:firstLine="470" w:firstLineChars="196"/>
        <w:jc w:val="both"/>
        <w:rPr>
          <w:rFonts w:ascii="宋体" w:eastAsia="宋体" w:hAnsi="宋体"/>
          <w:b/>
          <w:kern w:val="2"/>
          <w:lang w:eastAsia="zh-CN"/>
        </w:rPr>
      </w:pPr>
      <w:r>
        <w:rPr>
          <w:rFonts w:ascii="宋体" w:eastAsia="宋体" w:hAnsi="宋体" w:hint="eastAsia"/>
          <w:b/>
          <w:kern w:val="2"/>
          <w:lang w:eastAsia="zh-CN"/>
        </w:rPr>
        <w:t>2</w:t>
      </w:r>
      <w:r>
        <w:rPr>
          <w:rFonts w:ascii="宋体" w:eastAsia="宋体" w:hAnsi="宋体"/>
          <w:b/>
          <w:kern w:val="2"/>
          <w:lang w:eastAsia="zh-CN"/>
        </w:rPr>
        <w:t>.</w:t>
      </w:r>
      <w:r>
        <w:rPr>
          <w:rFonts w:ascii="宋体" w:eastAsia="宋体" w:hAnsi="宋体" w:hint="eastAsia"/>
          <w:b/>
          <w:kern w:val="2"/>
          <w:lang w:eastAsia="zh-CN"/>
        </w:rPr>
        <w:t>“品牌”可以与商标一致，也可以填写便于区分其他公司商品的制造商简称或者制造商认可的品牌名称。</w:t>
      </w:r>
    </w:p>
    <w:p>
      <w:pPr>
        <w:widowControl w:val="0"/>
        <w:spacing w:after="160" w:line="259" w:lineRule="auto"/>
        <w:ind w:firstLine="470" w:firstLineChars="196"/>
        <w:jc w:val="both"/>
        <w:rPr>
          <w:rFonts w:eastAsia="宋体"/>
          <w:b/>
          <w:kern w:val="2"/>
          <w:lang w:eastAsia="zh-CN"/>
        </w:rPr>
      </w:pPr>
      <w:r>
        <w:rPr>
          <w:rFonts w:ascii="宋体" w:eastAsia="宋体" w:hAnsi="宋体" w:hint="eastAsia"/>
          <w:b/>
          <w:kern w:val="2"/>
          <w:lang w:eastAsia="zh-CN"/>
        </w:rPr>
        <w:t>3.如所投货物属于定制类的非量产货物或无具体型号的货物，可以在“规格/型号”栏目仅填写规格信息而不填型号信息（型号信息用“定制”描述即可）；</w:t>
      </w:r>
      <w:bookmarkStart w:id="47" w:name="_Hlk73646428"/>
      <w:r>
        <w:rPr>
          <w:rFonts w:ascii="宋体" w:eastAsia="宋体" w:hAnsi="宋体" w:hint="eastAsia"/>
          <w:b/>
          <w:kern w:val="2"/>
          <w:lang w:eastAsia="zh-CN"/>
        </w:rPr>
        <w:t>此类填写错误或缺漏（所投货物为定制类的非量产货物但供应商却错误填报了型号）的不利后果</w:t>
      </w:r>
      <w:r>
        <w:rPr>
          <w:rFonts w:eastAsia="宋体" w:hint="eastAsia"/>
          <w:b/>
          <w:kern w:val="2"/>
          <w:lang w:eastAsia="zh-CN"/>
        </w:rPr>
        <w:t>由供应商承担。经评审委员会认定，在使用综合评分法的项目中一项此类填写错误或缺漏将按照一项普通招标技术要求（一般参数/普通参数）负偏离扣分处理。</w:t>
      </w:r>
      <w:bookmarkEnd w:id="47"/>
    </w:p>
    <w:p>
      <w:pPr>
        <w:widowControl w:val="0"/>
        <w:spacing w:after="160" w:line="259" w:lineRule="auto"/>
        <w:ind w:firstLine="470" w:firstLineChars="196"/>
        <w:jc w:val="both"/>
        <w:rPr>
          <w:rFonts w:ascii="宋体" w:eastAsia="宋体" w:hAnsi="宋体"/>
          <w:b/>
          <w:kern w:val="2"/>
          <w:lang w:eastAsia="zh-CN"/>
        </w:rPr>
      </w:pPr>
      <w:r>
        <w:rPr>
          <w:rFonts w:ascii="宋体" w:eastAsia="宋体" w:hAnsi="宋体"/>
          <w:b/>
          <w:kern w:val="2"/>
          <w:lang w:eastAsia="zh-CN"/>
        </w:rPr>
        <w:t>3</w:t>
      </w:r>
      <w:r>
        <w:rPr>
          <w:rFonts w:ascii="宋体" w:eastAsia="宋体" w:hAnsi="宋体" w:hint="eastAsia"/>
          <w:b/>
          <w:kern w:val="2"/>
          <w:lang w:eastAsia="zh-CN"/>
        </w:rPr>
        <w:t>.“原产地”是指货物的实际生产加工地，非品牌所在地</w:t>
      </w:r>
    </w:p>
    <w:p>
      <w:pPr>
        <w:widowControl w:val="0"/>
        <w:spacing w:after="160" w:line="259" w:lineRule="auto"/>
        <w:ind w:firstLine="470" w:firstLineChars="196"/>
        <w:jc w:val="both"/>
        <w:rPr>
          <w:rFonts w:ascii="宋体" w:eastAsia="宋体" w:hAnsi="宋体"/>
          <w:b/>
          <w:kern w:val="2"/>
          <w:lang w:eastAsia="zh-CN"/>
        </w:rPr>
      </w:pPr>
      <w:r>
        <w:rPr>
          <w:rFonts w:ascii="宋体" w:eastAsia="宋体" w:hAnsi="宋体"/>
          <w:b/>
          <w:kern w:val="2"/>
          <w:lang w:eastAsia="zh-CN"/>
        </w:rPr>
        <w:t>4</w:t>
      </w:r>
      <w:r>
        <w:rPr>
          <w:rFonts w:ascii="宋体" w:eastAsia="宋体" w:hAnsi="宋体" w:hint="eastAsia"/>
          <w:b/>
          <w:kern w:val="2"/>
          <w:lang w:eastAsia="zh-CN"/>
        </w:rPr>
        <w:t>.所投货物均应填写制造商名称，“制造商”是指产品品牌厂商，产品代工制造的，应填写接受委托生产制造的制造商。</w:t>
      </w:r>
    </w:p>
    <w:p>
      <w:pPr>
        <w:widowControl w:val="0"/>
        <w:spacing w:after="160" w:line="259" w:lineRule="auto"/>
        <w:ind w:firstLine="480" w:firstLineChars="200"/>
        <w:jc w:val="both"/>
        <w:rPr>
          <w:rFonts w:ascii="宋体" w:eastAsia="宋体" w:hAnsi="宋体"/>
          <w:b/>
          <w:kern w:val="2"/>
          <w:lang w:eastAsia="zh-CN"/>
        </w:rPr>
      </w:pPr>
      <w:r>
        <w:rPr>
          <w:rFonts w:ascii="宋体" w:eastAsia="宋体" w:hAnsi="宋体"/>
          <w:b/>
          <w:kern w:val="2"/>
          <w:lang w:eastAsia="zh-CN"/>
        </w:rPr>
        <w:t>5</w:t>
      </w:r>
      <w:r>
        <w:rPr>
          <w:rFonts w:ascii="宋体" w:eastAsia="宋体" w:hAnsi="宋体" w:hint="eastAsia"/>
          <w:b/>
          <w:kern w:val="2"/>
          <w:lang w:eastAsia="zh-CN"/>
        </w:rPr>
        <w:t>.以上分项报价表的投标总价应当与开标一览表的投标总价一致。</w:t>
      </w:r>
    </w:p>
    <w:p>
      <w:pPr>
        <w:widowControl w:val="0"/>
        <w:spacing w:after="160" w:line="259" w:lineRule="auto"/>
        <w:ind w:firstLine="480" w:firstLineChars="200"/>
        <w:jc w:val="both"/>
        <w:rPr>
          <w:rFonts w:ascii="宋体" w:eastAsia="宋体" w:hAnsi="宋体"/>
          <w:b/>
          <w:kern w:val="2"/>
          <w:lang w:eastAsia="zh-CN"/>
        </w:rPr>
      </w:pPr>
      <w:r>
        <w:rPr>
          <w:rFonts w:ascii="宋体" w:eastAsia="宋体" w:hAnsi="宋体"/>
          <w:b/>
          <w:kern w:val="2"/>
          <w:lang w:eastAsia="zh-CN"/>
        </w:rPr>
        <w:t>6</w:t>
      </w:r>
      <w:r>
        <w:rPr>
          <w:rFonts w:ascii="宋体" w:eastAsia="宋体" w:hAnsi="宋体" w:hint="eastAsia"/>
          <w:b/>
          <w:kern w:val="2"/>
          <w:lang w:eastAsia="zh-CN"/>
        </w:rPr>
        <w:t>.单价、合价和投标总价为包干价，即三者均应包含货物的价款、包装、运输、装卸、安装、调试、技术指导、培训、咨询、服务、保险、税费、检测、验收合格交付使用之前以及技术和售后服务等其他各项有关费用。</w:t>
      </w:r>
    </w:p>
    <w:p>
      <w:pPr>
        <w:widowControl w:val="0"/>
        <w:spacing w:after="160" w:line="259" w:lineRule="auto"/>
        <w:ind w:firstLine="480" w:firstLineChars="200"/>
        <w:jc w:val="both"/>
        <w:rPr>
          <w:rFonts w:ascii="宋体" w:eastAsia="宋体" w:hAnsi="宋体"/>
          <w:b/>
          <w:kern w:val="2"/>
          <w:lang w:eastAsia="zh-CN"/>
        </w:rPr>
      </w:pPr>
      <w:r>
        <w:rPr>
          <w:rFonts w:ascii="宋体" w:eastAsia="宋体" w:hAnsi="宋体"/>
          <w:b/>
          <w:kern w:val="2"/>
          <w:lang w:eastAsia="zh-CN"/>
        </w:rPr>
        <w:t>7</w:t>
      </w:r>
      <w:r>
        <w:rPr>
          <w:rFonts w:ascii="宋体" w:eastAsia="宋体" w:hAnsi="宋体" w:hint="eastAsia"/>
          <w:b/>
          <w:kern w:val="2"/>
          <w:lang w:eastAsia="zh-CN"/>
        </w:rPr>
        <w:t>.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pPr>
        <w:widowControl w:val="0"/>
        <w:spacing w:after="160" w:line="259" w:lineRule="auto"/>
        <w:ind w:firstLine="480" w:firstLineChars="200"/>
        <w:jc w:val="both"/>
        <w:rPr>
          <w:rFonts w:ascii="宋体" w:eastAsia="宋体" w:hAnsi="宋体"/>
          <w:b/>
          <w:color w:val="FF0000"/>
          <w:kern w:val="2"/>
          <w:lang w:eastAsia="zh-CN"/>
        </w:rPr>
      </w:pPr>
    </w:p>
    <w:p>
      <w:pPr>
        <w:widowControl w:val="0"/>
        <w:spacing w:after="160" w:line="259" w:lineRule="auto"/>
        <w:ind w:firstLine="480" w:firstLineChars="200"/>
        <w:jc w:val="both"/>
        <w:rPr>
          <w:rFonts w:ascii="宋体" w:eastAsia="宋体" w:hAnsi="宋体"/>
          <w:b/>
          <w:color w:val="FF0000"/>
          <w:kern w:val="2"/>
          <w:lang w:eastAsia="zh-CN"/>
        </w:rPr>
      </w:pPr>
    </w:p>
    <w:p>
      <w:pPr>
        <w:widowControl w:val="0"/>
        <w:tabs>
          <w:tab w:val="left" w:pos="720"/>
        </w:tabs>
        <w:spacing w:after="160" w:line="259" w:lineRule="auto"/>
        <w:jc w:val="center"/>
        <w:rPr>
          <w:rFonts w:eastAsia="宋体"/>
          <w:b/>
          <w:kern w:val="2"/>
          <w:lang w:eastAsia="zh-CN"/>
        </w:rPr>
      </w:pPr>
      <w:r>
        <w:rPr>
          <w:rFonts w:eastAsia="宋体" w:hint="eastAsia"/>
          <w:b/>
          <w:kern w:val="2"/>
          <w:lang w:eastAsia="zh-CN"/>
        </w:rPr>
        <w:t>（二）核心产品品牌</w:t>
      </w:r>
    </w:p>
    <w:p>
      <w:pPr>
        <w:widowControl w:val="0"/>
        <w:spacing w:after="160" w:line="259" w:lineRule="auto"/>
        <w:ind w:firstLine="480" w:firstLineChars="200"/>
        <w:jc w:val="both"/>
        <w:rPr>
          <w:rFonts w:ascii="宋体" w:eastAsia="宋体" w:hAnsi="宋体"/>
          <w:b/>
          <w:color w:val="FF0000"/>
          <w:kern w:val="2"/>
          <w:lang w:eastAsia="zh-CN"/>
        </w:rPr>
      </w:pPr>
    </w:p>
    <w:p>
      <w:pPr>
        <w:widowControl w:val="0"/>
        <w:spacing w:after="160" w:line="259" w:lineRule="auto"/>
        <w:ind w:firstLine="480" w:firstLineChars="200"/>
        <w:jc w:val="both"/>
        <w:rPr>
          <w:rFonts w:ascii="宋体" w:eastAsia="宋体" w:hAnsi="宋体"/>
          <w:b/>
          <w:kern w:val="2"/>
          <w:lang w:eastAsia="zh-CN"/>
        </w:rPr>
      </w:pPr>
      <w:r>
        <w:rPr>
          <w:rFonts w:eastAsia="宋体" w:hint="eastAsia"/>
          <w:b/>
          <w:kern w:val="2"/>
          <w:lang w:eastAsia="zh-CN"/>
        </w:rPr>
        <w:t>我单位所投核心产品的品牌为：</w:t>
      </w:r>
      <w:r>
        <w:rPr>
          <w:rFonts w:eastAsia="宋体" w:hint="eastAsia"/>
          <w:b/>
          <w:kern w:val="2"/>
          <w:u w:val="single"/>
          <w:lang w:eastAsia="zh-CN"/>
        </w:rPr>
        <w:t xml:space="preserve">               </w:t>
      </w:r>
      <w:r>
        <w:rPr>
          <w:rFonts w:eastAsia="宋体" w:hint="eastAsia"/>
          <w:b/>
          <w:kern w:val="2"/>
          <w:lang w:eastAsia="zh-CN"/>
        </w:rPr>
        <w:t>。</w:t>
      </w:r>
    </w:p>
    <w:p>
      <w:pPr>
        <w:widowControl w:val="0"/>
        <w:spacing w:after="160" w:line="259" w:lineRule="auto"/>
        <w:ind w:firstLine="480" w:firstLineChars="200"/>
        <w:jc w:val="both"/>
        <w:rPr>
          <w:rFonts w:ascii="宋体" w:eastAsia="宋体" w:hAnsi="宋体"/>
          <w:kern w:val="2"/>
          <w:lang w:eastAsia="zh-CN"/>
        </w:rPr>
      </w:pPr>
      <w:r>
        <w:rPr>
          <w:rFonts w:ascii="宋体" w:eastAsia="宋体" w:hAnsi="宋体" w:hint="eastAsia"/>
          <w:kern w:val="2"/>
          <w:lang w:eastAsia="zh-CN"/>
        </w:rPr>
        <w:t>备注：单一产品采购项目，核心产品即为该单一产品。</w:t>
      </w:r>
    </w:p>
    <w:p>
      <w:pPr>
        <w:widowControl w:val="0"/>
        <w:spacing w:after="160" w:line="259" w:lineRule="auto"/>
        <w:jc w:val="both"/>
        <w:rPr>
          <w:rFonts w:eastAsia="宋体"/>
          <w:b/>
          <w:kern w:val="2"/>
          <w:lang w:eastAsia="zh-CN"/>
        </w:rPr>
      </w:pPr>
    </w:p>
    <w:p>
      <w:pPr>
        <w:widowControl w:val="0"/>
        <w:tabs>
          <w:tab w:val="left" w:pos="720"/>
        </w:tabs>
        <w:spacing w:after="160" w:line="259" w:lineRule="auto"/>
        <w:ind w:firstLine="1920" w:firstLineChars="800"/>
        <w:jc w:val="both"/>
        <w:rPr>
          <w:rFonts w:eastAsia="宋体"/>
          <w:b/>
          <w:kern w:val="2"/>
          <w:lang w:eastAsia="zh-CN"/>
        </w:rPr>
      </w:pPr>
      <w:r>
        <w:rPr>
          <w:rFonts w:eastAsia="宋体" w:hint="eastAsia"/>
          <w:b/>
          <w:kern w:val="2"/>
          <w:lang w:eastAsia="zh-CN"/>
        </w:rPr>
        <w:t>（三）可选配件报价清单（不包括在总报价内）</w:t>
      </w:r>
    </w:p>
    <w:p>
      <w:pPr>
        <w:widowControl w:val="0"/>
        <w:spacing w:after="160" w:line="259" w:lineRule="auto"/>
        <w:ind w:firstLine="420" w:firstLineChars="200"/>
        <w:jc w:val="both"/>
        <w:rPr>
          <w:rFonts w:eastAsia="宋体" w:hAnsi="宋体"/>
          <w:b/>
          <w:bCs/>
          <w:kern w:val="2"/>
          <w:sz w:val="21"/>
          <w:szCs w:val="21"/>
          <w:lang w:eastAsia="zh-CN"/>
        </w:rPr>
      </w:pPr>
      <w:r>
        <w:rPr>
          <w:rFonts w:eastAsia="宋体" w:hAnsi="宋体" w:hint="eastAsia"/>
          <w:b/>
          <w:bCs/>
          <w:kern w:val="2"/>
          <w:sz w:val="21"/>
          <w:szCs w:val="21"/>
          <w:lang w:eastAsia="zh-CN"/>
        </w:rPr>
        <w:t>注：格式可以参照《（一）分项报价表》表格，并提供相应的品牌/规格/型号、原产地、制造商信息（没有品牌、型号的，用“定制”描述即可）、单价等详细信息</w:t>
      </w:r>
    </w:p>
    <w:p>
      <w:pPr>
        <w:widowControl w:val="0"/>
        <w:spacing w:after="160" w:line="259" w:lineRule="auto"/>
        <w:ind w:firstLine="480" w:firstLineChars="200"/>
        <w:jc w:val="both"/>
        <w:rPr>
          <w:rFonts w:eastAsia="宋体" w:hAnsi="宋体"/>
          <w:b/>
          <w:bCs/>
          <w:kern w:val="2"/>
          <w:lang w:eastAsia="zh-CN"/>
        </w:rPr>
      </w:pPr>
    </w:p>
    <w:p>
      <w:pPr>
        <w:widowControl w:val="0"/>
        <w:tabs>
          <w:tab w:val="left" w:pos="720"/>
        </w:tabs>
        <w:spacing w:after="160" w:line="259" w:lineRule="auto"/>
        <w:jc w:val="center"/>
        <w:rPr>
          <w:rFonts w:eastAsia="宋体"/>
          <w:b/>
          <w:kern w:val="2"/>
          <w:lang w:eastAsia="zh-CN"/>
        </w:rPr>
      </w:pPr>
      <w:r>
        <w:rPr>
          <w:rFonts w:eastAsia="宋体" w:hint="eastAsia"/>
          <w:b/>
          <w:kern w:val="2"/>
          <w:lang w:eastAsia="zh-CN"/>
        </w:rPr>
        <w:t>（四）</w:t>
      </w:r>
      <w:bookmarkStart w:id="48" w:name="_Hlk72073235"/>
      <w:r>
        <w:rPr>
          <w:rFonts w:eastAsia="宋体" w:hint="eastAsia"/>
          <w:b/>
          <w:kern w:val="2"/>
          <w:lang w:eastAsia="zh-CN"/>
        </w:rPr>
        <w:t>投标人认为需要涉及的其他内容报价清单</w:t>
      </w:r>
      <w:bookmarkEnd w:id="48"/>
    </w:p>
    <w:p>
      <w:pPr>
        <w:widowControl w:val="0"/>
        <w:spacing w:after="160" w:line="259" w:lineRule="auto"/>
        <w:jc w:val="both"/>
        <w:outlineLvl w:val="3"/>
        <w:rPr>
          <w:rFonts w:eastAsia="宋体"/>
          <w:b/>
          <w:color w:val="FF0000"/>
          <w:kern w:val="2"/>
          <w:lang w:eastAsia="zh-CN"/>
        </w:rPr>
      </w:pPr>
    </w:p>
    <w:p>
      <w:pPr>
        <w:keepNext/>
        <w:keepLines/>
        <w:widowControl w:val="0"/>
        <w:spacing w:before="260" w:after="260" w:line="240" w:lineRule="auto"/>
        <w:jc w:val="center"/>
        <w:outlineLvl w:val="2"/>
        <w:rPr>
          <w:rFonts w:ascii="黑体" w:eastAsia="黑体" w:hAnsi="宋体"/>
          <w:bCs/>
          <w:kern w:val="2"/>
          <w:szCs w:val="32"/>
          <w:lang w:eastAsia="zh-CN"/>
        </w:rPr>
      </w:pPr>
      <w:r>
        <w:rPr>
          <w:rFonts w:ascii="黑体" w:eastAsia="黑体" w:hAnsi="宋体" w:hint="eastAsia"/>
          <w:bCs/>
          <w:kern w:val="2"/>
          <w:szCs w:val="32"/>
          <w:lang w:eastAsia="zh-CN"/>
        </w:rPr>
        <w:t>五、</w:t>
      </w:r>
      <w:bookmarkStart w:id="49" w:name="_Hlk72092499"/>
      <w:r>
        <w:rPr>
          <w:rFonts w:ascii="黑体" w:eastAsia="黑体" w:hAnsi="宋体" w:hint="eastAsia"/>
          <w:bCs/>
          <w:kern w:val="2"/>
          <w:szCs w:val="32"/>
          <w:lang w:eastAsia="zh-CN"/>
        </w:rPr>
        <w:t>法定代表人（负责人）证明书</w:t>
      </w:r>
      <w:bookmarkEnd w:id="49"/>
    </w:p>
    <w:p>
      <w:pPr>
        <w:widowControl w:val="0"/>
        <w:spacing w:after="160" w:line="259" w:lineRule="auto"/>
        <w:jc w:val="both"/>
        <w:rPr>
          <w:rFonts w:eastAsia="宋体"/>
          <w:kern w:val="2"/>
          <w:lang w:eastAsia="zh-CN"/>
        </w:rPr>
      </w:pP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 xml:space="preserve">  </w:t>
      </w:r>
      <w:r>
        <w:rPr>
          <w:rFonts w:eastAsia="宋体" w:hint="eastAsia"/>
          <w:kern w:val="2"/>
          <w:sz w:val="21"/>
          <w:szCs w:val="21"/>
          <w:u w:val="single"/>
          <w:lang w:eastAsia="zh-CN"/>
        </w:rPr>
        <w:t xml:space="preserve">                 </w:t>
      </w:r>
      <w:r>
        <w:rPr>
          <w:rFonts w:eastAsia="宋体" w:hint="eastAsia"/>
          <w:kern w:val="2"/>
          <w:sz w:val="21"/>
          <w:szCs w:val="21"/>
          <w:lang w:eastAsia="zh-CN"/>
        </w:rPr>
        <w:t>（姓名），现任我单位</w:t>
      </w:r>
      <w:r>
        <w:rPr>
          <w:rFonts w:eastAsia="宋体" w:hint="eastAsia"/>
          <w:kern w:val="2"/>
          <w:sz w:val="21"/>
          <w:szCs w:val="21"/>
          <w:u w:val="single"/>
          <w:lang w:eastAsia="zh-CN"/>
        </w:rPr>
        <w:t xml:space="preserve">             </w:t>
      </w:r>
      <w:r>
        <w:rPr>
          <w:rFonts w:eastAsia="宋体" w:hint="eastAsia"/>
          <w:kern w:val="2"/>
          <w:sz w:val="21"/>
          <w:szCs w:val="21"/>
          <w:lang w:eastAsia="zh-CN"/>
        </w:rPr>
        <w:t>职务，为法定代表人（负责人），身份证件号为：</w:t>
      </w:r>
      <w:r>
        <w:rPr>
          <w:rFonts w:eastAsia="宋体" w:hint="eastAsia"/>
          <w:kern w:val="2"/>
          <w:sz w:val="21"/>
          <w:szCs w:val="21"/>
          <w:u w:val="single"/>
          <w:lang w:eastAsia="zh-CN"/>
        </w:rPr>
        <w:t xml:space="preserve">                                     </w:t>
      </w:r>
      <w:r>
        <w:rPr>
          <w:rFonts w:eastAsia="宋体" w:hint="eastAsia"/>
          <w:kern w:val="2"/>
          <w:sz w:val="21"/>
          <w:szCs w:val="21"/>
          <w:lang w:eastAsia="zh-CN"/>
        </w:rPr>
        <w:t>，联系电话：</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特此证明。</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说明：1、法定代表人为投标人（企业事业单位、国家机关、社会团体）的主要行政负责人。</w:t>
      </w:r>
    </w:p>
    <w:p>
      <w:pPr>
        <w:widowControl w:val="0"/>
        <w:numPr>
          <w:ilvl w:val="0"/>
          <w:numId w:val="2"/>
        </w:numPr>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Hans"/>
        </w:rPr>
        <w:t>本证明书要供法定代表人（负责人）</w:t>
      </w:r>
      <w:r>
        <w:rPr>
          <w:rFonts w:eastAsia="宋体" w:hint="eastAsia"/>
          <w:kern w:val="2"/>
          <w:sz w:val="21"/>
          <w:szCs w:val="21"/>
          <w:lang w:eastAsia="zh-CN"/>
        </w:rPr>
        <w:t>相关身份证明文件：身份证扫描件（正反两面）；港澳台居民可提供来往通行证扫描件；非中国国籍管辖范围人员，可提供公安部门认可的身份证明材料扫描件。</w:t>
      </w:r>
    </w:p>
    <w:p>
      <w:pPr>
        <w:widowControl w:val="0"/>
        <w:numPr>
          <w:ilvl w:val="0"/>
          <w:numId w:val="2"/>
        </w:numPr>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Hans"/>
        </w:rPr>
        <w:t>本项目投标授权代表为法定代表人（负责人）的，无需提供</w:t>
      </w:r>
      <w:r>
        <w:rPr>
          <w:rFonts w:eastAsia="宋体" w:hint="eastAsia"/>
          <w:kern w:val="2"/>
          <w:sz w:val="21"/>
          <w:szCs w:val="21"/>
          <w:lang w:eastAsia="zh-CN"/>
        </w:rPr>
        <w:t>《投标文件签署授权委托书》</w:t>
      </w:r>
      <w:r>
        <w:rPr>
          <w:rFonts w:eastAsia="宋体" w:hint="eastAsia"/>
          <w:kern w:val="2"/>
          <w:sz w:val="21"/>
          <w:szCs w:val="21"/>
          <w:lang w:eastAsia="zh-Hans"/>
        </w:rPr>
        <w:t>。</w:t>
      </w:r>
    </w:p>
    <w:p>
      <w:pPr>
        <w:widowControl w:val="0"/>
        <w:numPr>
          <w:ilvl w:val="0"/>
          <w:numId w:val="2"/>
        </w:numPr>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1"/>
        <w:gridCol w:w="426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Pr>
          <w:p>
            <w:pPr>
              <w:jc w:val="center"/>
              <w:rPr>
                <w:kern w:val="2"/>
                <w:sz w:val="21"/>
                <w:lang w:eastAsia="zh-CN"/>
              </w:rPr>
            </w:pPr>
            <w:r>
              <w:rPr>
                <w:rFonts w:hint="eastAsia"/>
                <w:kern w:val="2"/>
                <w:sz w:val="21"/>
                <w:lang w:eastAsia="zh-CN"/>
              </w:rPr>
              <w:t>证件扫描件正面</w:t>
            </w:r>
          </w:p>
          <w:p>
            <w:pPr>
              <w:spacing w:line="240" w:lineRule="auto"/>
              <w:jc w:val="center"/>
              <w:rPr>
                <w:b/>
                <w:bCs/>
                <w:kern w:val="2"/>
                <w:lang w:eastAsia="zh-CN"/>
              </w:rPr>
            </w:pPr>
          </w:p>
          <w:p>
            <w:pPr>
              <w:spacing w:line="240" w:lineRule="auto"/>
              <w:jc w:val="center"/>
              <w:rPr>
                <w:kern w:val="2"/>
                <w:lang w:eastAsia="zh-CN"/>
              </w:rPr>
            </w:pPr>
          </w:p>
        </w:tc>
        <w:tc>
          <w:tcPr>
            <w:tcW w:w="4265" w:type="dxa"/>
          </w:tcPr>
          <w:p>
            <w:pPr>
              <w:jc w:val="center"/>
              <w:rPr>
                <w:kern w:val="2"/>
                <w:sz w:val="21"/>
                <w:lang w:eastAsia="zh-CN"/>
              </w:rPr>
            </w:pPr>
            <w:r>
              <w:rPr>
                <w:rFonts w:hint="eastAsia"/>
                <w:kern w:val="2"/>
                <w:sz w:val="21"/>
                <w:lang w:eastAsia="zh-CN"/>
              </w:rPr>
              <w:t>证件扫描件反面</w:t>
            </w:r>
          </w:p>
          <w:p>
            <w:pPr>
              <w:spacing w:line="240" w:lineRule="auto"/>
              <w:jc w:val="center"/>
              <w:rPr>
                <w:b/>
                <w:bCs/>
                <w:kern w:val="2"/>
                <w:lang w:eastAsia="zh-CN"/>
              </w:rPr>
            </w:pPr>
          </w:p>
          <w:p>
            <w:pPr>
              <w:spacing w:line="240" w:lineRule="auto"/>
              <w:jc w:val="center"/>
              <w:rPr>
                <w:kern w:val="2"/>
                <w:lang w:eastAsia="zh-CN"/>
              </w:rPr>
            </w:pPr>
          </w:p>
        </w:tc>
      </w:tr>
    </w:tbl>
    <w:p>
      <w:pPr>
        <w:widowControl w:val="0"/>
        <w:spacing w:after="160" w:line="259" w:lineRule="auto"/>
        <w:ind w:firstLine="480" w:firstLineChars="200"/>
        <w:jc w:val="both"/>
        <w:rPr>
          <w:rFonts w:eastAsia="宋体"/>
          <w:kern w:val="2"/>
          <w:lang w:eastAsia="zh-CN"/>
        </w:rPr>
      </w:pPr>
    </w:p>
    <w:p>
      <w:pPr>
        <w:widowControl w:val="0"/>
        <w:spacing w:after="160" w:line="259" w:lineRule="auto"/>
        <w:jc w:val="both"/>
        <w:rPr>
          <w:rFonts w:eastAsia="宋体"/>
          <w:b/>
          <w:bCs/>
          <w:kern w:val="2"/>
          <w:lang w:eastAsia="zh-CN"/>
        </w:rPr>
      </w:pPr>
    </w:p>
    <w:p>
      <w:pPr>
        <w:keepNext/>
        <w:keepLines/>
        <w:widowControl w:val="0"/>
        <w:spacing w:before="120" w:after="120" w:line="240" w:lineRule="auto"/>
        <w:jc w:val="center"/>
        <w:outlineLvl w:val="2"/>
        <w:rPr>
          <w:rFonts w:ascii="黑体" w:eastAsia="黑体" w:hAnsi="宋体"/>
          <w:bCs/>
          <w:kern w:val="2"/>
          <w:szCs w:val="32"/>
          <w:lang w:eastAsia="zh-CN"/>
        </w:rPr>
      </w:pPr>
      <w:r>
        <w:rPr>
          <w:rFonts w:ascii="黑体" w:eastAsia="黑体" w:hAnsi="宋体" w:hint="eastAsia"/>
          <w:bCs/>
          <w:kern w:val="2"/>
          <w:szCs w:val="32"/>
          <w:lang w:eastAsia="zh-CN"/>
        </w:rPr>
        <w:t>六、投标文件签署授权委托书</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本授权委托书声明：我</w:t>
      </w:r>
      <w:r>
        <w:rPr>
          <w:rFonts w:eastAsia="宋体" w:hint="eastAsia"/>
          <w:kern w:val="2"/>
          <w:sz w:val="21"/>
          <w:szCs w:val="21"/>
          <w:u w:val="single"/>
          <w:lang w:eastAsia="zh-CN"/>
        </w:rPr>
        <w:t xml:space="preserve">           </w:t>
      </w:r>
      <w:r>
        <w:rPr>
          <w:rFonts w:eastAsia="宋体" w:hint="eastAsia"/>
          <w:kern w:val="2"/>
          <w:sz w:val="21"/>
          <w:szCs w:val="21"/>
          <w:lang w:eastAsia="zh-CN"/>
        </w:rPr>
        <w:t>（姓名）系</w:t>
      </w:r>
      <w:r>
        <w:rPr>
          <w:rFonts w:eastAsia="宋体" w:hint="eastAsia"/>
          <w:kern w:val="2"/>
          <w:sz w:val="21"/>
          <w:szCs w:val="21"/>
          <w:u w:val="single"/>
          <w:lang w:eastAsia="zh-CN"/>
        </w:rPr>
        <w:t xml:space="preserve">             </w:t>
      </w:r>
      <w:r>
        <w:rPr>
          <w:rFonts w:eastAsia="宋体" w:hint="eastAsia"/>
          <w:kern w:val="2"/>
          <w:sz w:val="21"/>
          <w:szCs w:val="21"/>
          <w:lang w:eastAsia="zh-CN"/>
        </w:rPr>
        <w:t>（投标人名称）的法定代表人（负责人），现授权委托</w:t>
      </w:r>
      <w:r>
        <w:rPr>
          <w:rFonts w:eastAsia="宋体" w:hint="eastAsia"/>
          <w:kern w:val="2"/>
          <w:sz w:val="21"/>
          <w:szCs w:val="21"/>
          <w:u w:val="single"/>
          <w:lang w:eastAsia="zh-CN"/>
        </w:rPr>
        <w:t xml:space="preserve">            </w:t>
      </w:r>
      <w:r>
        <w:rPr>
          <w:rFonts w:eastAsia="宋体"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代理人无转委托权，特此委托。</w:t>
      </w:r>
    </w:p>
    <w:p>
      <w:pPr>
        <w:widowControl w:val="0"/>
        <w:spacing w:after="160" w:line="259" w:lineRule="auto"/>
        <w:ind w:firstLine="420" w:firstLineChars="200"/>
        <w:jc w:val="both"/>
        <w:rPr>
          <w:rFonts w:eastAsia="宋体"/>
          <w:kern w:val="2"/>
          <w:sz w:val="21"/>
          <w:szCs w:val="21"/>
          <w:lang w:eastAsia="zh-CN"/>
        </w:rPr>
      </w:pP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代理人：</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身份证件号：</w:t>
      </w:r>
      <w:r>
        <w:rPr>
          <w:rFonts w:eastAsia="宋体" w:hint="eastAsia"/>
          <w:kern w:val="2"/>
          <w:sz w:val="21"/>
          <w:szCs w:val="21"/>
          <w:u w:val="single"/>
          <w:lang w:eastAsia="zh-CN"/>
        </w:rPr>
        <w:t xml:space="preserve">                        </w:t>
      </w:r>
      <w:r>
        <w:rPr>
          <w:rFonts w:eastAsia="宋体" w:hint="eastAsia"/>
          <w:kern w:val="2"/>
          <w:sz w:val="21"/>
          <w:szCs w:val="21"/>
          <w:lang w:eastAsia="zh-CN"/>
        </w:rPr>
        <w:t>，职务：</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联系电话：</w:t>
      </w:r>
      <w:r>
        <w:rPr>
          <w:rFonts w:eastAsia="宋体" w:hint="eastAsia"/>
          <w:kern w:val="2"/>
          <w:sz w:val="21"/>
          <w:szCs w:val="21"/>
          <w:u w:val="single"/>
          <w:lang w:eastAsia="zh-CN"/>
        </w:rPr>
        <w:t xml:space="preserve">         </w:t>
      </w:r>
      <w:r>
        <w:rPr>
          <w:rFonts w:eastAsia="宋体" w:hint="eastAsia"/>
          <w:kern w:val="2"/>
          <w:sz w:val="21"/>
          <w:szCs w:val="21"/>
          <w:lang w:eastAsia="zh-CN"/>
        </w:rPr>
        <w:t>，手机：</w:t>
      </w:r>
      <w:r>
        <w:rPr>
          <w:rFonts w:eastAsia="宋体" w:hint="eastAsia"/>
          <w:kern w:val="2"/>
          <w:sz w:val="21"/>
          <w:szCs w:val="21"/>
          <w:u w:val="single"/>
          <w:lang w:eastAsia="zh-CN"/>
        </w:rPr>
        <w:t xml:space="preserve">                </w:t>
      </w:r>
      <w:r>
        <w:rPr>
          <w:rFonts w:eastAsia="宋体" w:hint="eastAsia"/>
          <w:kern w:val="2"/>
          <w:sz w:val="21"/>
          <w:szCs w:val="21"/>
          <w:lang w:eastAsia="zh-CN"/>
        </w:rPr>
        <w:t>，电子邮箱：</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授权委托日期：</w:t>
      </w:r>
      <w:r>
        <w:rPr>
          <w:rFonts w:eastAsia="宋体" w:hint="eastAsia"/>
          <w:kern w:val="2"/>
          <w:sz w:val="21"/>
          <w:szCs w:val="21"/>
          <w:u w:val="single"/>
          <w:lang w:eastAsia="zh-CN"/>
        </w:rPr>
        <w:t xml:space="preserve">         </w:t>
      </w:r>
      <w:r>
        <w:rPr>
          <w:rFonts w:eastAsia="宋体" w:hint="eastAsia"/>
          <w:kern w:val="2"/>
          <w:sz w:val="21"/>
          <w:szCs w:val="21"/>
          <w:lang w:eastAsia="zh-CN"/>
        </w:rPr>
        <w:t>年</w:t>
      </w:r>
      <w:r>
        <w:rPr>
          <w:rFonts w:eastAsia="宋体" w:hint="eastAsia"/>
          <w:kern w:val="2"/>
          <w:sz w:val="21"/>
          <w:szCs w:val="21"/>
          <w:u w:val="single"/>
          <w:lang w:eastAsia="zh-CN"/>
        </w:rPr>
        <w:t xml:space="preserve">     </w:t>
      </w:r>
      <w:r>
        <w:rPr>
          <w:rFonts w:eastAsia="宋体" w:hint="eastAsia"/>
          <w:kern w:val="2"/>
          <w:sz w:val="21"/>
          <w:szCs w:val="21"/>
          <w:lang w:eastAsia="zh-CN"/>
        </w:rPr>
        <w:t xml:space="preserve">月 </w:t>
      </w:r>
      <w:r>
        <w:rPr>
          <w:rFonts w:eastAsia="宋体" w:hint="eastAsia"/>
          <w:kern w:val="2"/>
          <w:sz w:val="21"/>
          <w:szCs w:val="21"/>
          <w:u w:val="single"/>
          <w:lang w:eastAsia="zh-CN"/>
        </w:rPr>
        <w:t xml:space="preserve">      </w:t>
      </w:r>
      <w:r>
        <w:rPr>
          <w:rFonts w:eastAsia="宋体" w:hint="eastAsia"/>
          <w:kern w:val="2"/>
          <w:sz w:val="21"/>
          <w:szCs w:val="21"/>
          <w:lang w:eastAsia="zh-CN"/>
        </w:rPr>
        <w:t>日。</w:t>
      </w:r>
    </w:p>
    <w:p>
      <w:pPr>
        <w:widowControl w:val="0"/>
        <w:spacing w:after="160" w:line="259" w:lineRule="auto"/>
        <w:ind w:firstLine="420" w:firstLineChars="200"/>
        <w:jc w:val="both"/>
        <w:rPr>
          <w:rFonts w:eastAsia="宋体"/>
          <w:b/>
          <w:color w:val="FF0000"/>
          <w:kern w:val="2"/>
          <w:sz w:val="21"/>
          <w:szCs w:val="21"/>
          <w:lang w:eastAsia="zh-CN"/>
        </w:rPr>
      </w:pPr>
      <w:r>
        <w:rPr>
          <w:rFonts w:eastAsia="宋体"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1"/>
        <w:gridCol w:w="426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Pr>
          <w:p>
            <w:pPr>
              <w:jc w:val="center"/>
              <w:rPr>
                <w:kern w:val="2"/>
                <w:sz w:val="21"/>
                <w:lang w:eastAsia="zh-CN"/>
              </w:rPr>
            </w:pPr>
            <w:r>
              <w:rPr>
                <w:rFonts w:hint="eastAsia"/>
                <w:kern w:val="2"/>
                <w:sz w:val="21"/>
                <w:lang w:eastAsia="zh-CN"/>
              </w:rPr>
              <w:t>证件扫描件正面</w:t>
            </w:r>
          </w:p>
          <w:p>
            <w:pPr>
              <w:spacing w:line="240" w:lineRule="auto"/>
              <w:jc w:val="center"/>
              <w:rPr>
                <w:b/>
                <w:bCs/>
                <w:kern w:val="2"/>
                <w:lang w:eastAsia="zh-CN"/>
              </w:rPr>
            </w:pPr>
          </w:p>
          <w:p>
            <w:pPr>
              <w:spacing w:line="240" w:lineRule="auto"/>
              <w:jc w:val="center"/>
              <w:rPr>
                <w:kern w:val="2"/>
                <w:lang w:eastAsia="zh-CN"/>
              </w:rPr>
            </w:pPr>
          </w:p>
        </w:tc>
        <w:tc>
          <w:tcPr>
            <w:tcW w:w="4265" w:type="dxa"/>
          </w:tcPr>
          <w:p>
            <w:pPr>
              <w:jc w:val="center"/>
              <w:rPr>
                <w:kern w:val="2"/>
                <w:sz w:val="21"/>
                <w:lang w:eastAsia="zh-CN"/>
              </w:rPr>
            </w:pPr>
            <w:r>
              <w:rPr>
                <w:rFonts w:hint="eastAsia"/>
                <w:kern w:val="2"/>
                <w:sz w:val="21"/>
                <w:lang w:eastAsia="zh-CN"/>
              </w:rPr>
              <w:t>证件扫描件反面</w:t>
            </w:r>
          </w:p>
          <w:p>
            <w:pPr>
              <w:spacing w:line="240" w:lineRule="auto"/>
              <w:jc w:val="center"/>
              <w:rPr>
                <w:b/>
                <w:bCs/>
                <w:kern w:val="2"/>
                <w:lang w:eastAsia="zh-CN"/>
              </w:rPr>
            </w:pPr>
          </w:p>
          <w:p>
            <w:pPr>
              <w:spacing w:line="240" w:lineRule="auto"/>
              <w:jc w:val="center"/>
              <w:rPr>
                <w:kern w:val="2"/>
                <w:lang w:eastAsia="zh-CN"/>
              </w:rPr>
            </w:pPr>
          </w:p>
        </w:tc>
      </w:tr>
    </w:tbl>
    <w:p>
      <w:pPr>
        <w:keepNext/>
        <w:keepLines/>
        <w:widowControl w:val="0"/>
        <w:spacing w:before="260" w:after="260" w:line="240" w:lineRule="auto"/>
        <w:jc w:val="center"/>
        <w:outlineLvl w:val="2"/>
        <w:rPr>
          <w:rFonts w:ascii="黑体" w:eastAsia="黑体" w:hAnsi="宋体"/>
          <w:bCs/>
          <w:lang w:eastAsia="zh-CN"/>
        </w:rPr>
      </w:pPr>
      <w:r>
        <w:rPr>
          <w:rFonts w:ascii="黑体" w:eastAsia="黑体" w:hAnsi="宋体" w:hint="eastAsia"/>
          <w:bCs/>
          <w:lang w:eastAsia="zh-CN"/>
        </w:rPr>
        <w:t>七、</w:t>
      </w:r>
      <w:bookmarkStart w:id="50" w:name="_Hlk72092634"/>
      <w:r>
        <w:rPr>
          <w:rFonts w:ascii="黑体" w:eastAsia="黑体" w:hAnsi="宋体" w:hint="eastAsia"/>
          <w:bCs/>
          <w:lang w:eastAsia="zh-CN"/>
        </w:rPr>
        <w:t>实质性条款响应情况表</w:t>
      </w:r>
      <w:bookmarkEnd w:id="50"/>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2"/>
        <w:gridCol w:w="3644"/>
        <w:gridCol w:w="1617"/>
        <w:gridCol w:w="1323"/>
        <w:gridCol w:w="120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31"/>
        </w:trPr>
        <w:tc>
          <w:tcPr>
            <w:tcW w:w="705" w:type="dxa"/>
            <w:vAlign w:val="center"/>
          </w:tcPr>
          <w:p>
            <w:pPr>
              <w:widowControl w:val="0"/>
              <w:adjustRightInd w:val="0"/>
              <w:snapToGrid w:val="0"/>
              <w:spacing w:after="160" w:line="360" w:lineRule="auto"/>
              <w:jc w:val="center"/>
              <w:rPr>
                <w:rFonts w:ascii="宋体" w:eastAsia="宋体" w:hAnsi="宋体"/>
                <w:sz w:val="21"/>
                <w:szCs w:val="21"/>
                <w:lang w:eastAsia="zh-CN"/>
              </w:rPr>
            </w:pPr>
            <w:bookmarkStart w:id="51" w:name="_Hlk72092651"/>
            <w:r>
              <w:rPr>
                <w:rFonts w:ascii="宋体" w:eastAsia="宋体" w:hAnsi="宋体" w:hint="eastAsia"/>
                <w:sz w:val="21"/>
                <w:szCs w:val="21"/>
                <w:lang w:eastAsia="zh-CN"/>
              </w:rPr>
              <w:t>序号</w:t>
            </w:r>
          </w:p>
        </w:tc>
        <w:tc>
          <w:tcPr>
            <w:tcW w:w="3514" w:type="dxa"/>
            <w:vAlign w:val="center"/>
          </w:tcPr>
          <w:p>
            <w:pPr>
              <w:widowControl w:val="0"/>
              <w:adjustRightInd w:val="0"/>
              <w:snapToGrid w:val="0"/>
              <w:spacing w:after="160" w:line="360" w:lineRule="auto"/>
              <w:jc w:val="center"/>
              <w:rPr>
                <w:rFonts w:ascii="宋体" w:eastAsia="宋体" w:hAnsi="宋体"/>
                <w:sz w:val="21"/>
                <w:szCs w:val="21"/>
                <w:lang w:eastAsia="zh-CN"/>
              </w:rPr>
            </w:pPr>
            <w:r>
              <w:rPr>
                <w:rFonts w:ascii="宋体" w:eastAsia="宋体" w:hAnsi="宋体" w:hint="eastAsia"/>
                <w:sz w:val="21"/>
                <w:szCs w:val="21"/>
                <w:lang w:eastAsia="zh-CN"/>
              </w:rPr>
              <w:t>实质性条款具体内容</w:t>
            </w:r>
          </w:p>
        </w:tc>
        <w:tc>
          <w:tcPr>
            <w:tcW w:w="1559" w:type="dxa"/>
            <w:vAlign w:val="center"/>
          </w:tcPr>
          <w:p>
            <w:pPr>
              <w:widowControl w:val="0"/>
              <w:adjustRightInd w:val="0"/>
              <w:snapToGrid w:val="0"/>
              <w:spacing w:after="160" w:line="360" w:lineRule="auto"/>
              <w:jc w:val="center"/>
              <w:rPr>
                <w:rFonts w:ascii="宋体" w:eastAsia="宋体" w:hAnsi="宋体"/>
                <w:sz w:val="21"/>
                <w:szCs w:val="21"/>
                <w:lang w:eastAsia="zh-CN"/>
              </w:rPr>
            </w:pPr>
            <w:r>
              <w:rPr>
                <w:rFonts w:eastAsia="宋体" w:hint="eastAsia"/>
                <w:kern w:val="2"/>
                <w:sz w:val="21"/>
                <w:lang w:eastAsia="zh-CN"/>
              </w:rPr>
              <w:t>投标响应</w:t>
            </w:r>
          </w:p>
        </w:tc>
        <w:tc>
          <w:tcPr>
            <w:tcW w:w="1276" w:type="dxa"/>
            <w:vAlign w:val="center"/>
          </w:tcPr>
          <w:p>
            <w:pPr>
              <w:widowControl w:val="0"/>
              <w:adjustRightInd w:val="0"/>
              <w:snapToGrid w:val="0"/>
              <w:spacing w:after="160" w:line="360" w:lineRule="auto"/>
              <w:jc w:val="center"/>
              <w:rPr>
                <w:rFonts w:ascii="宋体" w:eastAsia="宋体" w:hAnsi="宋体"/>
                <w:sz w:val="21"/>
                <w:szCs w:val="21"/>
                <w:lang w:eastAsia="zh-CN"/>
              </w:rPr>
            </w:pPr>
            <w:r>
              <w:rPr>
                <w:rFonts w:eastAsia="宋体" w:hint="eastAsia"/>
                <w:kern w:val="2"/>
                <w:sz w:val="21"/>
                <w:lang w:eastAsia="zh-CN"/>
              </w:rPr>
              <w:t>偏离情况</w:t>
            </w:r>
          </w:p>
        </w:tc>
        <w:tc>
          <w:tcPr>
            <w:tcW w:w="1163" w:type="dxa"/>
            <w:vAlign w:val="center"/>
          </w:tcPr>
          <w:p>
            <w:pPr>
              <w:widowControl w:val="0"/>
              <w:adjustRightInd w:val="0"/>
              <w:snapToGrid w:val="0"/>
              <w:spacing w:after="160" w:line="360" w:lineRule="auto"/>
              <w:jc w:val="center"/>
              <w:rPr>
                <w:rFonts w:ascii="宋体" w:eastAsia="宋体" w:hAnsi="宋体"/>
                <w:sz w:val="21"/>
                <w:szCs w:val="21"/>
                <w:lang w:eastAsia="zh-CN"/>
              </w:rPr>
            </w:pPr>
            <w:r>
              <w:rPr>
                <w:rFonts w:eastAsia="宋体" w:hint="eastAsia"/>
                <w:kern w:val="2"/>
                <w:sz w:val="21"/>
                <w:lang w:eastAsia="zh-CN"/>
              </w:rPr>
              <w:t>说明</w:t>
            </w:r>
          </w:p>
        </w:tc>
      </w:tr>
      <w:bookmarkEnd w:id="51"/>
      <w:tr>
        <w:tblPrEx>
          <w:tblW w:w="5000" w:type="pct"/>
          <w:tblInd w:w="0" w:type="dxa"/>
          <w:tblLayout w:type="fixed"/>
          <w:tblCellMar>
            <w:top w:w="0" w:type="dxa"/>
            <w:left w:w="108" w:type="dxa"/>
            <w:bottom w:w="0" w:type="dxa"/>
            <w:right w:w="108" w:type="dxa"/>
          </w:tblCellMar>
        </w:tblPrEx>
        <w:tc>
          <w:tcPr>
            <w:tcW w:w="705" w:type="dxa"/>
          </w:tcPr>
          <w:p>
            <w:pPr>
              <w:widowControl w:val="0"/>
              <w:adjustRightInd w:val="0"/>
              <w:snapToGrid w:val="0"/>
              <w:spacing w:after="160" w:line="360" w:lineRule="auto"/>
              <w:jc w:val="center"/>
              <w:rPr>
                <w:rFonts w:ascii="宋体" w:eastAsia="宋体" w:hAnsi="宋体"/>
                <w:sz w:val="21"/>
                <w:szCs w:val="21"/>
                <w:lang w:eastAsia="zh-CN"/>
              </w:rPr>
            </w:pPr>
            <w:r>
              <w:rPr>
                <w:rFonts w:ascii="宋体" w:eastAsia="宋体" w:hAnsi="宋体" w:hint="eastAsia"/>
                <w:sz w:val="21"/>
                <w:szCs w:val="21"/>
                <w:lang w:eastAsia="zh-CN"/>
              </w:rPr>
              <w:t>1</w:t>
            </w:r>
          </w:p>
        </w:tc>
        <w:tc>
          <w:tcPr>
            <w:tcW w:w="3514" w:type="dxa"/>
          </w:tcPr>
          <w:p>
            <w:pPr>
              <w:widowControl w:val="0"/>
              <w:adjustRightInd w:val="0"/>
              <w:snapToGrid w:val="0"/>
              <w:spacing w:after="160" w:line="360" w:lineRule="auto"/>
              <w:jc w:val="left"/>
              <w:rPr>
                <w:rFonts w:eastAsia="宋体" w:hAnsi="宋体"/>
                <w:sz w:val="21"/>
                <w:szCs w:val="21"/>
                <w:lang w:eastAsia="zh-CN"/>
              </w:rPr>
            </w:pPr>
            <w:r>
              <w:rPr>
                <w:rFonts w:eastAsia="宋体" w:hint="eastAsia"/>
                <w:kern w:val="2"/>
                <w:sz w:val="21"/>
                <w:lang w:eastAsia="zh-CN"/>
              </w:rPr>
              <w:t>满足本项目标★的条款要求</w:t>
            </w:r>
          </w:p>
        </w:tc>
        <w:tc>
          <w:tcPr>
            <w:tcW w:w="1559" w:type="dxa"/>
          </w:tcPr>
          <w:p>
            <w:pPr>
              <w:widowControl w:val="0"/>
              <w:adjustRightInd w:val="0"/>
              <w:snapToGrid w:val="0"/>
              <w:spacing w:after="160" w:line="360" w:lineRule="auto"/>
              <w:jc w:val="both"/>
              <w:rPr>
                <w:rFonts w:ascii="宋体" w:eastAsia="宋体" w:hAnsi="宋体"/>
                <w:sz w:val="21"/>
                <w:szCs w:val="21"/>
                <w:lang w:eastAsia="zh-CN"/>
              </w:rPr>
            </w:pPr>
          </w:p>
        </w:tc>
        <w:tc>
          <w:tcPr>
            <w:tcW w:w="1276" w:type="dxa"/>
          </w:tcPr>
          <w:p>
            <w:pPr>
              <w:widowControl w:val="0"/>
              <w:adjustRightInd w:val="0"/>
              <w:snapToGrid w:val="0"/>
              <w:spacing w:after="160" w:line="360" w:lineRule="auto"/>
              <w:jc w:val="both"/>
              <w:rPr>
                <w:rFonts w:ascii="宋体" w:eastAsia="宋体" w:hAnsi="宋体"/>
                <w:sz w:val="21"/>
                <w:szCs w:val="21"/>
                <w:lang w:eastAsia="zh-CN"/>
              </w:rPr>
            </w:pPr>
          </w:p>
        </w:tc>
        <w:tc>
          <w:tcPr>
            <w:tcW w:w="1163" w:type="dxa"/>
          </w:tcPr>
          <w:p>
            <w:pPr>
              <w:widowControl w:val="0"/>
              <w:adjustRightInd w:val="0"/>
              <w:snapToGrid w:val="0"/>
              <w:spacing w:after="160" w:line="360" w:lineRule="auto"/>
              <w:jc w:val="both"/>
              <w:rPr>
                <w:rFonts w:ascii="宋体" w:eastAsia="宋体" w:hAnsi="宋体"/>
                <w:sz w:val="21"/>
                <w:szCs w:val="21"/>
                <w:lang w:eastAsia="zh-CN"/>
              </w:rPr>
            </w:pPr>
          </w:p>
        </w:tc>
      </w:tr>
    </w:tbl>
    <w:p>
      <w:pPr>
        <w:widowControl w:val="0"/>
        <w:spacing w:after="160" w:line="259" w:lineRule="auto"/>
        <w:ind w:firstLine="480" w:firstLineChars="200"/>
        <w:jc w:val="both"/>
        <w:rPr>
          <w:rFonts w:eastAsia="宋体"/>
          <w:b/>
          <w:kern w:val="2"/>
          <w:szCs w:val="22"/>
          <w:lang w:eastAsia="zh-CN"/>
        </w:rPr>
      </w:pPr>
      <w:r>
        <w:rPr>
          <w:rFonts w:eastAsia="宋体" w:hint="eastAsia"/>
          <w:b/>
          <w:kern w:val="2"/>
          <w:szCs w:val="22"/>
          <w:lang w:eastAsia="zh-CN"/>
        </w:rPr>
        <w:t>注：1.上表所列各项均为不可负偏离条款。</w:t>
      </w:r>
    </w:p>
    <w:p>
      <w:pPr>
        <w:widowControl w:val="0"/>
        <w:spacing w:after="160" w:line="259" w:lineRule="auto"/>
        <w:ind w:firstLine="480" w:firstLineChars="200"/>
        <w:jc w:val="both"/>
        <w:rPr>
          <w:rFonts w:eastAsia="宋体"/>
          <w:b/>
          <w:kern w:val="2"/>
          <w:szCs w:val="22"/>
          <w:lang w:eastAsia="zh-CN"/>
        </w:rPr>
      </w:pPr>
      <w:r>
        <w:rPr>
          <w:rFonts w:eastAsia="宋体" w:hint="eastAsia"/>
          <w:b/>
          <w:kern w:val="2"/>
          <w:szCs w:val="22"/>
          <w:lang w:eastAsia="zh-CN"/>
        </w:rPr>
        <w:t>2.“投标响应”一栏应当详细填写投标人自身响应情况，而不能不合理照搬照抄招实质性条款具体内容。</w:t>
      </w:r>
    </w:p>
    <w:p>
      <w:pPr>
        <w:widowControl w:val="0"/>
        <w:spacing w:after="160" w:line="259" w:lineRule="auto"/>
        <w:ind w:firstLine="480" w:firstLineChars="200"/>
        <w:jc w:val="both"/>
        <w:rPr>
          <w:rFonts w:eastAsia="宋体"/>
          <w:b/>
          <w:kern w:val="2"/>
          <w:szCs w:val="22"/>
          <w:lang w:eastAsia="zh-CN"/>
        </w:rPr>
      </w:pPr>
      <w:r>
        <w:rPr>
          <w:rFonts w:eastAsia="宋体" w:hint="eastAsia"/>
          <w:b/>
          <w:kern w:val="2"/>
          <w:szCs w:val="22"/>
          <w:lang w:eastAsia="zh-CN"/>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widowControl w:val="0"/>
        <w:spacing w:after="160" w:line="259" w:lineRule="auto"/>
        <w:ind w:firstLine="480" w:firstLineChars="200"/>
        <w:jc w:val="both"/>
        <w:rPr>
          <w:rFonts w:eastAsia="宋体"/>
          <w:b/>
          <w:kern w:val="2"/>
          <w:szCs w:val="22"/>
          <w:lang w:eastAsia="zh-CN"/>
        </w:rPr>
      </w:pPr>
      <w:r>
        <w:rPr>
          <w:rFonts w:eastAsia="宋体" w:hint="eastAsia"/>
          <w:b/>
          <w:kern w:val="2"/>
          <w:szCs w:val="22"/>
          <w:lang w:eastAsia="zh-CN"/>
        </w:rPr>
        <w:t>4.评审委员会有权对投标响应情况作出判断（作出评审结论）。</w:t>
      </w:r>
    </w:p>
    <w:p>
      <w:pPr>
        <w:widowControl w:val="0"/>
        <w:spacing w:after="160" w:line="259" w:lineRule="auto"/>
        <w:ind w:firstLine="480" w:firstLineChars="200"/>
        <w:jc w:val="both"/>
        <w:rPr>
          <w:rFonts w:eastAsia="宋体"/>
          <w:b/>
          <w:kern w:val="2"/>
          <w:szCs w:val="22"/>
          <w:lang w:eastAsia="zh-CN"/>
        </w:rPr>
      </w:pPr>
      <w:r>
        <w:rPr>
          <w:rFonts w:eastAsia="宋体" w:hint="eastAsia"/>
          <w:b/>
          <w:kern w:val="2"/>
          <w:szCs w:val="22"/>
          <w:lang w:eastAsia="zh-CN"/>
        </w:rPr>
        <w:t>5.实质性响应条款“投标响应情况”与投标文件其他内容冲突的，以实质性响应条款“投标响应情况”为准。</w:t>
      </w:r>
    </w:p>
    <w:p>
      <w:pPr>
        <w:widowControl w:val="0"/>
        <w:spacing w:after="160" w:line="259" w:lineRule="auto"/>
        <w:ind w:firstLine="480" w:firstLineChars="200"/>
        <w:jc w:val="both"/>
        <w:rPr>
          <w:rFonts w:eastAsia="宋体"/>
          <w:b/>
          <w:kern w:val="2"/>
          <w:lang w:eastAsia="zh-CN"/>
        </w:rPr>
      </w:pPr>
      <w:r>
        <w:rPr>
          <w:rFonts w:eastAsia="宋体" w:hint="eastAsia"/>
          <w:b/>
          <w:kern w:val="2"/>
          <w:szCs w:val="22"/>
          <w:lang w:eastAsia="zh-CN"/>
        </w:rPr>
        <w:t>6.要求提供证明资料，在“说明”一栏中列明证明资料的位置,以便评审；未要求提供证明材料的，投标人可以不提供</w:t>
      </w:r>
      <w:r>
        <w:rPr>
          <w:rFonts w:eastAsia="宋体" w:hint="eastAsia"/>
          <w:b/>
          <w:kern w:val="2"/>
          <w:lang w:eastAsia="zh-CN"/>
        </w:rPr>
        <w:t>。</w:t>
      </w:r>
    </w:p>
    <w:p>
      <w:pPr>
        <w:widowControl w:val="0"/>
        <w:spacing w:after="160" w:line="259" w:lineRule="auto"/>
        <w:jc w:val="both"/>
        <w:rPr>
          <w:rFonts w:eastAsia="宋体"/>
          <w:b/>
          <w:bCs/>
          <w:kern w:val="2"/>
          <w:lang w:eastAsia="zh-CN"/>
        </w:rPr>
      </w:pPr>
    </w:p>
    <w:p>
      <w:pPr>
        <w:keepNext/>
        <w:keepLines/>
        <w:widowControl w:val="0"/>
        <w:spacing w:before="260" w:after="260" w:line="240" w:lineRule="auto"/>
        <w:jc w:val="center"/>
        <w:outlineLvl w:val="2"/>
        <w:rPr>
          <w:rFonts w:ascii="宋体" w:eastAsia="宋体" w:hAnsi="宋体"/>
          <w:b/>
          <w:bCs/>
          <w:kern w:val="2"/>
          <w:szCs w:val="32"/>
          <w:lang w:eastAsia="zh-CN"/>
        </w:rPr>
      </w:pPr>
      <w:r>
        <w:rPr>
          <w:rFonts w:ascii="黑体" w:eastAsia="黑体" w:hAnsi="宋体" w:hint="eastAsia"/>
          <w:bCs/>
          <w:kern w:val="2"/>
          <w:lang w:eastAsia="zh-CN"/>
        </w:rPr>
        <w:t>八、技术要求偏离表</w:t>
      </w:r>
    </w:p>
    <w:tbl>
      <w:tblPr>
        <w:tblStyle w:val="TableNormal"/>
        <w:tblpPr w:leftFromText="180" w:rightFromText="180" w:vertAnchor="text" w:horzAnchor="page" w:tblpX="1892" w:tblpY="300"/>
        <w:tblOverlap w:val="never"/>
        <w:tblW w:w="5000" w:type="pct"/>
        <w:tblInd w:w="0" w:type="dxa"/>
        <w:tblLayout w:type="fixed"/>
        <w:tblCellMar>
          <w:top w:w="0" w:type="dxa"/>
          <w:left w:w="108" w:type="dxa"/>
          <w:bottom w:w="0" w:type="dxa"/>
          <w:right w:w="108" w:type="dxa"/>
        </w:tblCellMar>
      </w:tblPr>
      <w:tblGrid>
        <w:gridCol w:w="522"/>
        <w:gridCol w:w="635"/>
        <w:gridCol w:w="5428"/>
        <w:gridCol w:w="893"/>
        <w:gridCol w:w="649"/>
        <w:gridCol w:w="395"/>
      </w:tblGrid>
      <w:tr>
        <w:tblPrEx>
          <w:tblW w:w="5000" w:type="pct"/>
          <w:tblInd w:w="0" w:type="dxa"/>
          <w:tblLayout w:type="fixed"/>
          <w:tblCellMar>
            <w:top w:w="0" w:type="dxa"/>
            <w:left w:w="108" w:type="dxa"/>
            <w:bottom w:w="0" w:type="dxa"/>
            <w:right w:w="108" w:type="dxa"/>
          </w:tblCellMar>
        </w:tblPrEx>
        <w:trPr>
          <w:trHeight w:val="317"/>
        </w:trPr>
        <w:tc>
          <w:tcPr>
            <w:tcW w:w="531" w:type="dxa"/>
            <w:tcBorders>
              <w:top w:val="single" w:sz="4" w:space="0" w:color="000000"/>
              <w:left w:val="single" w:sz="4" w:space="0" w:color="000000"/>
              <w:bottom w:val="single" w:sz="4" w:space="0" w:color="auto"/>
              <w:right w:val="single" w:sz="4" w:space="0" w:color="000000"/>
            </w:tcBorders>
            <w:shd w:val="clear" w:color="auto" w:fill="auto"/>
            <w:vAlign w:val="center"/>
          </w:tcPr>
          <w:p>
            <w:pPr>
              <w:widowControl/>
              <w:spacing w:after="160" w:line="259" w:lineRule="auto"/>
              <w:jc w:val="center"/>
              <w:textAlignment w:val="bottom"/>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sz w:val="21"/>
                <w:szCs w:val="21"/>
                <w:lang w:eastAsia="zh-CN" w:bidi="ar"/>
              </w:rPr>
              <w:t>序号</w:t>
            </w:r>
          </w:p>
        </w:tc>
        <w:tc>
          <w:tcPr>
            <w:tcW w:w="647" w:type="dxa"/>
            <w:tcBorders>
              <w:top w:val="single" w:sz="4" w:space="0" w:color="000000"/>
              <w:left w:val="single" w:sz="4" w:space="0" w:color="000000"/>
              <w:bottom w:val="single" w:sz="4" w:space="0" w:color="auto"/>
              <w:right w:val="single" w:sz="4" w:space="0" w:color="000000"/>
            </w:tcBorders>
            <w:shd w:val="clear" w:color="auto" w:fill="auto"/>
            <w:vAlign w:val="center"/>
          </w:tcPr>
          <w:p>
            <w:pPr>
              <w:widowControl/>
              <w:spacing w:after="160" w:line="259" w:lineRule="auto"/>
              <w:jc w:val="center"/>
              <w:textAlignment w:val="bottom"/>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sz w:val="21"/>
                <w:szCs w:val="21"/>
                <w:lang w:eastAsia="zh-CN" w:bidi="ar"/>
              </w:rPr>
              <w:t>货物名称</w:t>
            </w:r>
          </w:p>
        </w:tc>
        <w:tc>
          <w:tcPr>
            <w:tcW w:w="558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after="160" w:line="259" w:lineRule="auto"/>
              <w:jc w:val="center"/>
              <w:textAlignment w:val="bottom"/>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sz w:val="21"/>
                <w:szCs w:val="21"/>
                <w:lang w:eastAsia="zh-CN" w:bidi="ar"/>
              </w:rPr>
              <w:t>技术要求</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after="160" w:line="259" w:lineRule="auto"/>
              <w:jc w:val="center"/>
              <w:textAlignment w:val="bottom"/>
              <w:rPr>
                <w:rFonts w:ascii="仿宋_GB2312" w:eastAsia="仿宋_GB2312" w:hAnsi="仿宋_GB2312" w:cs="仿宋_GB2312" w:hint="eastAsia"/>
                <w:color w:val="000000"/>
                <w:sz w:val="21"/>
                <w:szCs w:val="21"/>
                <w:lang w:eastAsia="zh-CN" w:bidi="ar"/>
              </w:rPr>
            </w:pPr>
            <w:r>
              <w:rPr>
                <w:rFonts w:ascii="仿宋_GB2312" w:eastAsia="仿宋_GB2312" w:hAnsi="仿宋_GB2312" w:cs="仿宋_GB2312" w:hint="eastAsia"/>
                <w:color w:val="000000"/>
                <w:sz w:val="21"/>
                <w:szCs w:val="21"/>
                <w:lang w:eastAsia="zh-CN" w:bidi="ar"/>
              </w:rPr>
              <w:t>投标技术响应</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after="160" w:line="259" w:lineRule="auto"/>
              <w:jc w:val="center"/>
              <w:textAlignment w:val="bottom"/>
              <w:rPr>
                <w:rFonts w:ascii="仿宋_GB2312" w:eastAsia="仿宋_GB2312" w:hAnsi="仿宋_GB2312" w:cs="仿宋_GB2312" w:hint="eastAsia"/>
                <w:color w:val="000000"/>
                <w:sz w:val="21"/>
                <w:szCs w:val="21"/>
                <w:lang w:eastAsia="zh-CN" w:bidi="ar"/>
              </w:rPr>
            </w:pPr>
            <w:r>
              <w:rPr>
                <w:rFonts w:ascii="仿宋_GB2312" w:eastAsia="仿宋_GB2312" w:hAnsi="仿宋_GB2312" w:cs="仿宋_GB2312" w:hint="eastAsia"/>
                <w:color w:val="000000"/>
                <w:sz w:val="21"/>
                <w:szCs w:val="21"/>
                <w:lang w:eastAsia="zh-CN" w:bidi="ar"/>
              </w:rPr>
              <w:t>偏离情况</w:t>
            </w:r>
          </w:p>
        </w:tc>
        <w:tc>
          <w:tcPr>
            <w:tcW w:w="40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after="160" w:line="259" w:lineRule="auto"/>
              <w:jc w:val="center"/>
              <w:textAlignment w:val="bottom"/>
              <w:rPr>
                <w:rFonts w:ascii="仿宋_GB2312" w:eastAsia="仿宋_GB2312" w:hAnsi="仿宋_GB2312" w:cs="仿宋_GB2312" w:hint="eastAsia"/>
                <w:color w:val="000000"/>
                <w:sz w:val="21"/>
                <w:szCs w:val="21"/>
                <w:lang w:eastAsia="zh-CN" w:bidi="ar"/>
              </w:rPr>
            </w:pPr>
            <w:r>
              <w:rPr>
                <w:rFonts w:ascii="仿宋_GB2312" w:eastAsia="仿宋_GB2312" w:hAnsi="仿宋_GB2312" w:cs="仿宋_GB2312" w:hint="eastAsia"/>
                <w:color w:val="000000"/>
                <w:sz w:val="21"/>
                <w:szCs w:val="21"/>
                <w:lang w:eastAsia="zh-CN" w:bidi="ar"/>
              </w:rPr>
              <w:t>说明</w:t>
            </w:r>
          </w:p>
        </w:tc>
      </w:tr>
      <w:tr>
        <w:tblPrEx>
          <w:tblW w:w="5000" w:type="pct"/>
          <w:tblInd w:w="0" w:type="dxa"/>
          <w:tblLayout w:type="fixed"/>
          <w:tblCellMar>
            <w:top w:w="0" w:type="dxa"/>
            <w:left w:w="108" w:type="dxa"/>
            <w:bottom w:w="0" w:type="dxa"/>
            <w:right w:w="108" w:type="dxa"/>
          </w:tblCellMar>
        </w:tblPrEx>
        <w:trPr>
          <w:trHeight w:val="2286"/>
        </w:trPr>
        <w:tc>
          <w:tcPr>
            <w:tcW w:w="531" w:type="dxa"/>
            <w:vMerge w:val="restart"/>
            <w:tcBorders>
              <w:top w:val="single" w:sz="4" w:space="0" w:color="auto"/>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w:t>
            </w:r>
          </w:p>
        </w:tc>
        <w:tc>
          <w:tcPr>
            <w:tcW w:w="647" w:type="dxa"/>
            <w:vMerge w:val="restart"/>
            <w:tcBorders>
              <w:top w:val="single" w:sz="4" w:space="0" w:color="auto"/>
              <w:left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bCs/>
                <w:kern w:val="2"/>
                <w:sz w:val="21"/>
                <w:szCs w:val="21"/>
                <w:lang w:eastAsia="zh-CN"/>
              </w:rPr>
              <w:t>内镜清洗消毒工作站</w:t>
            </w: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1</w:t>
            </w:r>
            <w:r>
              <w:rPr>
                <w:rFonts w:ascii="仿宋_GB2312" w:eastAsia="仿宋_GB2312" w:hAnsi="仿宋_GB2312" w:cs="仿宋_GB2312" w:hint="eastAsia"/>
                <w:b/>
                <w:bCs/>
                <w:color w:val="FF0000"/>
                <w:kern w:val="2"/>
                <w:sz w:val="21"/>
                <w:szCs w:val="21"/>
                <w:lang w:eastAsia="zh-CN"/>
              </w:rPr>
              <w:t>.▲胃肠镜清洗流程应由清洗槽、漂洗槽、浸泡消毒槽、终末漂洗槽、干燥台组成，整体采用防泛水设计，采用前高后低的大圆弧防泛水设计，槽面向内侧倾斜低于3度，前端高于后端4厘米；工作站功能槽及功能背板采用改性PMMA-ABS高分子复合材料板材高温一次吸塑成型，PMMA-ABS板材须根据医药行业标准要求进行耐腐蚀性测试，在1%NaOH溶液中浸泡≥48小时无可视变化，在5%H2SO4溶液中浸泡≥48小时无可视变化</w:t>
            </w:r>
            <w:r>
              <w:rPr>
                <w:rFonts w:ascii="仿宋_GB2312" w:eastAsia="仿宋_GB2312" w:hAnsi="仿宋_GB2312" w:cs="仿宋_GB2312" w:hint="eastAsia"/>
                <w:b/>
                <w:bCs/>
                <w:color w:val="FF0000"/>
                <w:kern w:val="2"/>
                <w:sz w:val="21"/>
                <w:szCs w:val="21"/>
                <w:lang w:eastAsia="zh-CN"/>
              </w:rPr>
              <w:t>。</w:t>
            </w:r>
            <w:r>
              <w:rPr>
                <w:rFonts w:ascii="仿宋_GB2312" w:eastAsia="仿宋_GB2312" w:hAnsi="仿宋_GB2312" w:cs="仿宋_GB2312" w:hint="eastAsia"/>
                <w:b/>
                <w:bCs/>
                <w:color w:val="FF0000"/>
                <w:kern w:val="2"/>
                <w:sz w:val="21"/>
                <w:szCs w:val="21"/>
                <w:lang w:eastAsia="zh-CN"/>
              </w:rPr>
              <w:t>（提供产品彩页</w:t>
            </w:r>
            <w:r>
              <w:rPr>
                <w:rFonts w:ascii="仿宋_GB2312" w:eastAsia="仿宋_GB2312" w:hAnsi="仿宋_GB2312" w:cs="仿宋_GB2312" w:hint="eastAsia"/>
                <w:b/>
                <w:bCs/>
                <w:color w:val="FF0000"/>
                <w:kern w:val="2"/>
                <w:sz w:val="21"/>
                <w:szCs w:val="21"/>
                <w:lang w:eastAsia="zh-CN"/>
              </w:rPr>
              <w:t>或</w:t>
            </w:r>
            <w:r>
              <w:rPr>
                <w:rFonts w:ascii="仿宋_GB2312" w:eastAsia="仿宋_GB2312" w:hAnsi="仿宋_GB2312" w:cs="仿宋_GB2312" w:hint="eastAsia"/>
                <w:b/>
                <w:bCs/>
                <w:color w:val="FF0000"/>
                <w:kern w:val="2"/>
                <w:sz w:val="21"/>
                <w:szCs w:val="21"/>
                <w:lang w:eastAsia="zh-CN"/>
              </w:rPr>
              <w:t>说明书或技术白皮书</w:t>
            </w:r>
            <w:r>
              <w:rPr>
                <w:rFonts w:ascii="仿宋_GB2312" w:eastAsia="仿宋_GB2312" w:hAnsi="仿宋_GB2312" w:cs="仿宋_GB2312" w:hint="eastAsia"/>
                <w:b/>
                <w:bCs/>
                <w:color w:val="FF0000"/>
                <w:kern w:val="2"/>
                <w:sz w:val="21"/>
                <w:szCs w:val="21"/>
                <w:lang w:eastAsia="zh-CN"/>
              </w:rPr>
              <w:t>）</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37"/>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2</w:t>
            </w:r>
            <w:r>
              <w:rPr>
                <w:rFonts w:ascii="仿宋_GB2312" w:eastAsia="仿宋_GB2312" w:hAnsi="仿宋_GB2312" w:cs="仿宋_GB2312" w:hint="eastAsia"/>
                <w:b/>
                <w:bCs/>
                <w:color w:val="FF0000"/>
                <w:kern w:val="2"/>
                <w:sz w:val="21"/>
                <w:szCs w:val="21"/>
                <w:lang w:eastAsia="zh-CN"/>
              </w:rPr>
              <w:t>.▲清洗槽大小满足科室内镜清洗需求，洗手池外尺寸长≥500mm×≥宽760mm，嵌入一体式超声波槽外尺寸长≥500mm×宽≥760mm，双方槽外尺寸长≥1315mm×宽≥760mm，单方槽外尺寸长≥685mm×宽≥760mm，胃肠镜干燥台要根据现场情况定制，主体配置及尺寸须符合以上要求，尺寸误差必须控制在±5mm内。（提供符合上述尺寸要求的平面布局图佐证）</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870"/>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3</w:t>
            </w:r>
            <w:r>
              <w:rPr>
                <w:rFonts w:ascii="仿宋_GB2312" w:eastAsia="仿宋_GB2312" w:hAnsi="仿宋_GB2312" w:cs="仿宋_GB2312" w:hint="eastAsia"/>
                <w:color w:val="000000"/>
                <w:kern w:val="2"/>
                <w:sz w:val="21"/>
                <w:szCs w:val="21"/>
                <w:lang w:eastAsia="zh-CN"/>
              </w:rPr>
              <w:t>.全不锈钢高压水气枪：材质采用304#不锈钢一次型铸造成型，内镜清洗专嘴锥型喷头，中端采用橡胶垫可防止吹管腔或吹内镜的注水注气孔时气会反弹，不对内镜接口造成磨损。</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840"/>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w:t>
            </w:r>
            <w:r>
              <w:rPr>
                <w:rFonts w:ascii="仿宋_GB2312" w:eastAsia="仿宋_GB2312" w:hAnsi="仿宋_GB2312" w:cs="仿宋_GB2312" w:hint="eastAsia"/>
                <w:b/>
                <w:bCs/>
                <w:color w:val="FF0000"/>
                <w:kern w:val="2"/>
                <w:sz w:val="21"/>
                <w:szCs w:val="21"/>
                <w:lang w:eastAsia="zh-CN"/>
              </w:rPr>
              <w:t>4</w:t>
            </w:r>
            <w:r>
              <w:rPr>
                <w:rFonts w:ascii="仿宋_GB2312" w:eastAsia="仿宋_GB2312" w:hAnsi="仿宋_GB2312" w:cs="仿宋_GB2312" w:hint="eastAsia"/>
                <w:b/>
                <w:bCs/>
                <w:color w:val="FF0000"/>
                <w:kern w:val="2"/>
                <w:sz w:val="21"/>
                <w:szCs w:val="21"/>
                <w:lang w:eastAsia="zh-CN"/>
              </w:rPr>
              <w:t>.吊柜开门方式采用平行开门设计，吊柜与触摸屏一体化设计，功能背板应集成无闪烁LED照明系统</w:t>
            </w:r>
            <w:r>
              <w:rPr>
                <w:rFonts w:ascii="仿宋_GB2312" w:eastAsia="仿宋_GB2312" w:hAnsi="仿宋_GB2312" w:cs="仿宋_GB2312" w:hint="eastAsia"/>
                <w:b/>
                <w:bCs/>
                <w:color w:val="FF0000"/>
                <w:kern w:val="2"/>
                <w:sz w:val="21"/>
                <w:szCs w:val="21"/>
                <w:lang w:eastAsia="zh-CN"/>
              </w:rPr>
              <w:t>。</w:t>
            </w:r>
            <w:r>
              <w:rPr>
                <w:rFonts w:ascii="仿宋_GB2312" w:eastAsia="仿宋_GB2312" w:hAnsi="仿宋_GB2312" w:cs="仿宋_GB2312" w:hint="eastAsia"/>
                <w:b/>
                <w:bCs/>
                <w:color w:val="FF0000"/>
                <w:kern w:val="2"/>
                <w:sz w:val="21"/>
                <w:szCs w:val="21"/>
                <w:lang w:eastAsia="zh-CN"/>
              </w:rPr>
              <w:t>（提供产品彩页</w:t>
            </w:r>
            <w:r>
              <w:rPr>
                <w:rFonts w:ascii="仿宋_GB2312" w:eastAsia="仿宋_GB2312" w:hAnsi="仿宋_GB2312" w:cs="仿宋_GB2312" w:hint="eastAsia"/>
                <w:b/>
                <w:bCs/>
                <w:color w:val="FF0000"/>
                <w:kern w:val="2"/>
                <w:sz w:val="21"/>
                <w:szCs w:val="21"/>
                <w:lang w:eastAsia="zh-CN"/>
              </w:rPr>
              <w:t>或</w:t>
            </w:r>
            <w:r>
              <w:rPr>
                <w:rFonts w:ascii="仿宋_GB2312" w:eastAsia="仿宋_GB2312" w:hAnsi="仿宋_GB2312" w:cs="仿宋_GB2312" w:hint="eastAsia"/>
                <w:b/>
                <w:bCs/>
                <w:color w:val="FF0000"/>
                <w:kern w:val="2"/>
                <w:sz w:val="21"/>
                <w:szCs w:val="21"/>
                <w:lang w:eastAsia="zh-CN"/>
              </w:rPr>
              <w:t>说明书或技术白皮书</w:t>
            </w:r>
            <w:r>
              <w:rPr>
                <w:rFonts w:ascii="仿宋_GB2312" w:eastAsia="仿宋_GB2312" w:hAnsi="仿宋_GB2312" w:cs="仿宋_GB2312" w:hint="eastAsia"/>
                <w:b/>
                <w:bCs/>
                <w:color w:val="FF0000"/>
                <w:kern w:val="2"/>
                <w:sz w:val="21"/>
                <w:szCs w:val="21"/>
                <w:lang w:eastAsia="zh-CN"/>
              </w:rPr>
              <w:t>）</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815"/>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5</w:t>
            </w:r>
            <w:r>
              <w:rPr>
                <w:rFonts w:ascii="仿宋_GB2312" w:eastAsia="仿宋_GB2312" w:hAnsi="仿宋_GB2312" w:cs="仿宋_GB2312" w:hint="eastAsia"/>
                <w:color w:val="000000"/>
                <w:kern w:val="2"/>
                <w:sz w:val="21"/>
                <w:szCs w:val="21"/>
                <w:lang w:eastAsia="zh-CN"/>
              </w:rPr>
              <w:t>.中心气体处理器：为灌流和气枪调节恒定的气压，气压调节范围0～0.75Mpa，分离空气中的水分及其它杂质，可以拆装清洗</w:t>
            </w:r>
            <w:r>
              <w:rPr>
                <w:rFonts w:ascii="仿宋_GB2312" w:eastAsia="仿宋_GB2312" w:hAnsi="仿宋_GB2312" w:cs="仿宋_GB2312" w:hint="eastAsia"/>
                <w:color w:val="000000"/>
                <w:kern w:val="2"/>
                <w:sz w:val="21"/>
                <w:szCs w:val="21"/>
                <w:lang w:eastAsia="zh-CN"/>
              </w:rPr>
              <w:t>，</w:t>
            </w:r>
            <w:r>
              <w:rPr>
                <w:rFonts w:ascii="仿宋_GB2312" w:eastAsia="仿宋_GB2312" w:hAnsi="仿宋_GB2312" w:cs="仿宋_GB2312" w:hint="eastAsia"/>
                <w:color w:val="000000"/>
                <w:kern w:val="2"/>
                <w:sz w:val="21"/>
                <w:szCs w:val="21"/>
                <w:lang w:eastAsia="zh-CN"/>
              </w:rPr>
              <w:t>不损伤昂贵的内镜，无耗材、免维护、免清洗。</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90"/>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r>
              <w:rPr>
                <w:rFonts w:ascii="仿宋_GB2312" w:eastAsia="仿宋_GB2312" w:hAnsi="仿宋_GB2312" w:cs="仿宋_GB2312" w:hint="eastAsia"/>
                <w:b/>
                <w:bCs/>
                <w:color w:val="FF0000"/>
                <w:kern w:val="2"/>
                <w:sz w:val="21"/>
                <w:szCs w:val="21"/>
                <w:lang w:eastAsia="zh-CN"/>
              </w:rPr>
              <w:t>▲</w:t>
            </w:r>
            <w:r>
              <w:rPr>
                <w:rFonts w:ascii="仿宋_GB2312" w:eastAsia="仿宋_GB2312" w:hAnsi="仿宋_GB2312" w:cs="仿宋_GB2312" w:hint="eastAsia"/>
                <w:b/>
                <w:bCs/>
                <w:color w:val="FF0000"/>
                <w:kern w:val="2"/>
                <w:sz w:val="21"/>
                <w:szCs w:val="21"/>
                <w:lang w:eastAsia="zh-CN"/>
              </w:rPr>
              <w:t>6</w:t>
            </w:r>
            <w:r>
              <w:rPr>
                <w:rFonts w:ascii="仿宋_GB2312" w:eastAsia="仿宋_GB2312" w:hAnsi="仿宋_GB2312" w:cs="仿宋_GB2312" w:hint="eastAsia"/>
                <w:b/>
                <w:bCs/>
                <w:color w:val="FF0000"/>
                <w:kern w:val="2"/>
                <w:sz w:val="21"/>
                <w:szCs w:val="21"/>
                <w:lang w:eastAsia="zh-CN"/>
              </w:rPr>
              <w:t>.全优质SUS304不锈钢材质水龙头，水龙头需要实时显示水温</w:t>
            </w:r>
            <w:r>
              <w:rPr>
                <w:rFonts w:ascii="仿宋_GB2312" w:eastAsia="仿宋_GB2312" w:hAnsi="仿宋_GB2312" w:cs="仿宋_GB2312" w:hint="eastAsia"/>
                <w:b/>
                <w:bCs/>
                <w:color w:val="FF0000"/>
                <w:kern w:val="2"/>
                <w:sz w:val="21"/>
                <w:szCs w:val="21"/>
                <w:lang w:eastAsia="zh-CN"/>
              </w:rPr>
              <w:t>。</w:t>
            </w:r>
            <w:r>
              <w:rPr>
                <w:rFonts w:ascii="仿宋_GB2312" w:eastAsia="仿宋_GB2312" w:hAnsi="仿宋_GB2312" w:cs="仿宋_GB2312" w:hint="eastAsia"/>
                <w:b/>
                <w:bCs/>
                <w:color w:val="FF0000"/>
                <w:kern w:val="2"/>
                <w:sz w:val="21"/>
                <w:szCs w:val="21"/>
                <w:lang w:eastAsia="zh-CN"/>
              </w:rPr>
              <w:t>（提供产品彩页</w:t>
            </w:r>
            <w:r>
              <w:rPr>
                <w:rFonts w:ascii="仿宋_GB2312" w:eastAsia="仿宋_GB2312" w:hAnsi="仿宋_GB2312" w:cs="仿宋_GB2312" w:hint="eastAsia"/>
                <w:b/>
                <w:bCs/>
                <w:color w:val="FF0000"/>
                <w:kern w:val="2"/>
                <w:sz w:val="21"/>
                <w:szCs w:val="21"/>
                <w:lang w:eastAsia="zh-CN"/>
              </w:rPr>
              <w:t>或</w:t>
            </w:r>
            <w:r>
              <w:rPr>
                <w:rFonts w:ascii="仿宋_GB2312" w:eastAsia="仿宋_GB2312" w:hAnsi="仿宋_GB2312" w:cs="仿宋_GB2312" w:hint="eastAsia"/>
                <w:b/>
                <w:bCs/>
                <w:color w:val="FF0000"/>
                <w:kern w:val="2"/>
                <w:sz w:val="21"/>
                <w:szCs w:val="21"/>
                <w:lang w:eastAsia="zh-CN"/>
              </w:rPr>
              <w:t>说明书或技术白皮书</w:t>
            </w:r>
            <w:r>
              <w:rPr>
                <w:rFonts w:ascii="仿宋_GB2312" w:eastAsia="仿宋_GB2312" w:hAnsi="仿宋_GB2312" w:cs="仿宋_GB2312" w:hint="eastAsia"/>
                <w:b/>
                <w:bCs/>
                <w:color w:val="FF0000"/>
                <w:kern w:val="2"/>
                <w:sz w:val="21"/>
                <w:szCs w:val="21"/>
                <w:lang w:eastAsia="zh-CN"/>
              </w:rPr>
              <w:t>）</w:t>
            </w:r>
          </w:p>
          <w:p>
            <w:pPr>
              <w:widowControl w:val="0"/>
              <w:spacing w:after="160" w:line="259" w:lineRule="auto"/>
              <w:jc w:val="both"/>
              <w:rPr>
                <w:rFonts w:ascii="仿宋_GB2312" w:eastAsia="仿宋_GB2312" w:hAnsi="仿宋_GB2312" w:cs="仿宋_GB2312"/>
                <w:color w:val="000000"/>
                <w:kern w:val="2"/>
                <w:sz w:val="21"/>
                <w:szCs w:val="21"/>
                <w:lang w:eastAsia="zh-CN"/>
              </w:rPr>
            </w:pP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626"/>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7</w:t>
            </w:r>
            <w:r>
              <w:rPr>
                <w:rFonts w:ascii="仿宋_GB2312" w:eastAsia="仿宋_GB2312" w:hAnsi="仿宋_GB2312" w:cs="仿宋_GB2312" w:hint="eastAsia"/>
                <w:color w:val="000000"/>
                <w:kern w:val="2"/>
                <w:sz w:val="21"/>
                <w:szCs w:val="21"/>
                <w:lang w:eastAsia="zh-CN"/>
              </w:rPr>
              <w:t>.消毒液槽采用电动翻盖功能，可通过人机界面或脚踢开关实现消毒槽槽盖的打开和关闭，无需用手拿取槽盖。</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926"/>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w:t>
            </w:r>
            <w:r>
              <w:rPr>
                <w:rFonts w:ascii="仿宋_GB2312" w:eastAsia="仿宋_GB2312" w:hAnsi="仿宋_GB2312" w:cs="仿宋_GB2312" w:hint="eastAsia"/>
                <w:color w:val="FF0000"/>
                <w:kern w:val="2"/>
                <w:sz w:val="21"/>
                <w:szCs w:val="21"/>
                <w:lang w:eastAsia="zh-CN"/>
              </w:rPr>
              <w:t>8</w:t>
            </w:r>
            <w:r>
              <w:rPr>
                <w:rFonts w:ascii="仿宋_GB2312" w:eastAsia="仿宋_GB2312" w:hAnsi="仿宋_GB2312" w:cs="仿宋_GB2312" w:hint="eastAsia"/>
                <w:color w:val="FF0000"/>
                <w:kern w:val="2"/>
                <w:sz w:val="21"/>
                <w:szCs w:val="21"/>
                <w:lang w:eastAsia="zh-CN"/>
              </w:rPr>
              <w:t>.一体式嵌入式超声波清洗机采用和清洗槽一体式安装，超声频率40KHz，清洗槽有效容积≥10L，</w:t>
            </w:r>
            <w:r>
              <w:rPr>
                <w:rFonts w:ascii="仿宋_GB2312" w:eastAsia="仿宋_GB2312" w:hAnsi="仿宋_GB2312" w:cs="仿宋_GB2312" w:hint="eastAsia"/>
                <w:b/>
                <w:bCs/>
                <w:color w:val="FF0000"/>
                <w:kern w:val="2"/>
                <w:sz w:val="21"/>
                <w:szCs w:val="21"/>
                <w:lang w:eastAsia="zh-CN"/>
              </w:rPr>
              <w:t>（</w:t>
            </w:r>
            <w:r>
              <w:rPr>
                <w:rFonts w:ascii="仿宋_GB2312" w:eastAsia="仿宋_GB2312" w:hAnsi="仿宋_GB2312" w:cs="仿宋_GB2312" w:hint="eastAsia"/>
                <w:b/>
                <w:bCs/>
                <w:color w:val="FF0000"/>
                <w:kern w:val="2"/>
                <w:sz w:val="21"/>
                <w:szCs w:val="21"/>
                <w:lang w:eastAsia="zh-CN"/>
              </w:rPr>
              <w:t>提供产品彩页</w:t>
            </w:r>
            <w:r>
              <w:rPr>
                <w:rFonts w:ascii="仿宋_GB2312" w:eastAsia="仿宋_GB2312" w:hAnsi="仿宋_GB2312" w:cs="仿宋_GB2312" w:hint="eastAsia"/>
                <w:b/>
                <w:bCs/>
                <w:color w:val="FF0000"/>
                <w:kern w:val="2"/>
                <w:sz w:val="21"/>
                <w:szCs w:val="21"/>
                <w:lang w:eastAsia="zh-CN"/>
              </w:rPr>
              <w:t>或</w:t>
            </w:r>
            <w:r>
              <w:rPr>
                <w:rFonts w:ascii="仿宋_GB2312" w:eastAsia="仿宋_GB2312" w:hAnsi="仿宋_GB2312" w:cs="仿宋_GB2312" w:hint="eastAsia"/>
                <w:b/>
                <w:bCs/>
                <w:color w:val="FF0000"/>
                <w:kern w:val="2"/>
                <w:sz w:val="21"/>
                <w:szCs w:val="21"/>
                <w:lang w:eastAsia="zh-CN"/>
              </w:rPr>
              <w:t>说明书或技术白皮书，证明超声槽为该工作站结构及组成的法定部件</w:t>
            </w:r>
            <w:r>
              <w:rPr>
                <w:rFonts w:ascii="仿宋_GB2312" w:eastAsia="仿宋_GB2312" w:hAnsi="仿宋_GB2312" w:cs="仿宋_GB2312" w:hint="eastAsia"/>
                <w:b/>
                <w:bCs/>
                <w:color w:val="FF0000"/>
                <w:kern w:val="2"/>
                <w:sz w:val="21"/>
                <w:szCs w:val="21"/>
                <w:lang w:eastAsia="zh-CN"/>
              </w:rPr>
              <w:t>）</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889"/>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9</w:t>
            </w:r>
            <w:r>
              <w:rPr>
                <w:rFonts w:ascii="仿宋_GB2312" w:eastAsia="仿宋_GB2312" w:hAnsi="仿宋_GB2312" w:cs="仿宋_GB2312" w:hint="eastAsia"/>
                <w:color w:val="000000"/>
                <w:kern w:val="2"/>
                <w:sz w:val="21"/>
                <w:szCs w:val="21"/>
                <w:lang w:eastAsia="zh-CN"/>
              </w:rPr>
              <w:t xml:space="preserve">.医生洗手池采用改性PMMA高分子材料，用模具高温一次成型和清洗槽自然成为一体，非其它材质和款式，感应式水龙头，水龙头可以洗手和洗眼两用。 </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90"/>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w:t>
            </w:r>
            <w:r>
              <w:rPr>
                <w:rFonts w:ascii="仿宋_GB2312" w:eastAsia="仿宋_GB2312" w:hAnsi="仿宋_GB2312" w:cs="仿宋_GB2312" w:hint="eastAsia"/>
                <w:color w:val="000000"/>
                <w:kern w:val="2"/>
                <w:sz w:val="21"/>
                <w:szCs w:val="21"/>
                <w:lang w:eastAsia="zh-CN"/>
              </w:rPr>
              <w:t>0</w:t>
            </w:r>
            <w:r>
              <w:rPr>
                <w:rFonts w:ascii="仿宋_GB2312" w:eastAsia="仿宋_GB2312" w:hAnsi="仿宋_GB2312" w:cs="仿宋_GB2312" w:hint="eastAsia"/>
                <w:color w:val="000000"/>
                <w:kern w:val="2"/>
                <w:sz w:val="21"/>
                <w:szCs w:val="21"/>
                <w:lang w:eastAsia="zh-CN"/>
              </w:rPr>
              <w:t>.酶液自动配器采用微电脑芯片控制，通过面板操作实现了定时自动加酶功能自动按照设定比例进行酶液和水的配比，酶液配比比例可调，配比精度≤0.01ml。</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085"/>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w:t>
            </w:r>
            <w:r>
              <w:rPr>
                <w:rFonts w:ascii="仿宋_GB2312" w:eastAsia="仿宋_GB2312" w:hAnsi="仿宋_GB2312" w:cs="仿宋_GB2312" w:hint="eastAsia"/>
                <w:color w:val="000000"/>
                <w:kern w:val="2"/>
                <w:sz w:val="21"/>
                <w:szCs w:val="21"/>
                <w:lang w:eastAsia="zh-CN"/>
              </w:rPr>
              <w:t>1</w:t>
            </w:r>
            <w:r>
              <w:rPr>
                <w:rFonts w:ascii="仿宋_GB2312" w:eastAsia="仿宋_GB2312" w:hAnsi="仿宋_GB2312" w:cs="仿宋_GB2312" w:hint="eastAsia"/>
                <w:color w:val="000000"/>
                <w:kern w:val="2"/>
                <w:sz w:val="21"/>
                <w:szCs w:val="21"/>
                <w:lang w:eastAsia="zh-CN"/>
              </w:rPr>
              <w:t>.内镜测漏系统和清洗槽结合成为一体，隐藏式主机设计，操作面板固定于背板，测量精度为0.01kPa，测试时间30s～240s ，测试压差0kPa～5kPa，软式内镜通入不大于0.03MPa空气时，若产生泄漏，泄漏检测装置能提供声讯信号。</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90"/>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1</w:t>
            </w:r>
            <w:r>
              <w:rPr>
                <w:rFonts w:ascii="仿宋_GB2312" w:eastAsia="仿宋_GB2312" w:hAnsi="仿宋_GB2312" w:cs="仿宋_GB2312" w:hint="eastAsia"/>
                <w:b/>
                <w:bCs/>
                <w:color w:val="FF0000"/>
                <w:kern w:val="2"/>
                <w:sz w:val="21"/>
                <w:szCs w:val="21"/>
                <w:lang w:eastAsia="zh-CN"/>
              </w:rPr>
              <w:t>2</w:t>
            </w:r>
            <w:r>
              <w:rPr>
                <w:rFonts w:ascii="仿宋_GB2312" w:eastAsia="仿宋_GB2312" w:hAnsi="仿宋_GB2312" w:cs="仿宋_GB2312" w:hint="eastAsia"/>
                <w:b/>
                <w:bCs/>
                <w:color w:val="FF0000"/>
                <w:kern w:val="2"/>
                <w:sz w:val="21"/>
                <w:szCs w:val="21"/>
                <w:lang w:eastAsia="zh-CN"/>
              </w:rPr>
              <w:t>.▲气体消毒洁净处理器采用微电脑控制系统，符合最新内镜最近管理规范提供医疗级汽源供应保证气体干燥洁净度，经洁净气源处理后的输出气体菌落总数&lt;1cfu/m3，多级过滤，可滤除小至0.01μm的液体及固态颗粒，最低残留含油量及PM仅0.01mg/m³，且去除率小于93%。（提供产品彩页</w:t>
            </w:r>
            <w:r>
              <w:rPr>
                <w:rFonts w:ascii="仿宋_GB2312" w:eastAsia="仿宋_GB2312" w:hAnsi="仿宋_GB2312" w:cs="仿宋_GB2312" w:hint="eastAsia"/>
                <w:b/>
                <w:bCs/>
                <w:color w:val="FF0000"/>
                <w:kern w:val="2"/>
                <w:sz w:val="21"/>
                <w:szCs w:val="21"/>
                <w:lang w:eastAsia="zh-CN"/>
              </w:rPr>
              <w:t>或</w:t>
            </w:r>
            <w:r>
              <w:rPr>
                <w:rFonts w:ascii="仿宋_GB2312" w:eastAsia="仿宋_GB2312" w:hAnsi="仿宋_GB2312" w:cs="仿宋_GB2312" w:hint="eastAsia"/>
                <w:b/>
                <w:bCs/>
                <w:color w:val="FF0000"/>
                <w:kern w:val="2"/>
                <w:sz w:val="21"/>
                <w:szCs w:val="21"/>
                <w:lang w:eastAsia="zh-CN"/>
              </w:rPr>
              <w:t>说明书或技术白皮书</w:t>
            </w:r>
            <w:r>
              <w:rPr>
                <w:rFonts w:ascii="仿宋_GB2312" w:eastAsia="仿宋_GB2312" w:hAnsi="仿宋_GB2312" w:cs="仿宋_GB2312" w:hint="eastAsia"/>
                <w:b/>
                <w:bCs/>
                <w:color w:val="FF0000"/>
                <w:kern w:val="2"/>
                <w:sz w:val="21"/>
                <w:szCs w:val="21"/>
                <w:lang w:eastAsia="zh-CN"/>
              </w:rPr>
              <w:t>）</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905"/>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1</w:t>
            </w:r>
            <w:r>
              <w:rPr>
                <w:rFonts w:ascii="仿宋_GB2312" w:eastAsia="仿宋_GB2312" w:hAnsi="仿宋_GB2312" w:cs="仿宋_GB2312" w:hint="eastAsia"/>
                <w:b/>
                <w:bCs/>
                <w:color w:val="FF0000"/>
                <w:kern w:val="2"/>
                <w:sz w:val="21"/>
                <w:szCs w:val="21"/>
                <w:lang w:eastAsia="zh-CN"/>
              </w:rPr>
              <w:t>3</w:t>
            </w:r>
            <w:r>
              <w:rPr>
                <w:rFonts w:ascii="仿宋_GB2312" w:eastAsia="仿宋_GB2312" w:hAnsi="仿宋_GB2312" w:cs="仿宋_GB2312" w:hint="eastAsia"/>
                <w:b/>
                <w:bCs/>
                <w:color w:val="FF0000"/>
                <w:kern w:val="2"/>
                <w:sz w:val="21"/>
                <w:szCs w:val="21"/>
                <w:lang w:eastAsia="zh-CN"/>
              </w:rPr>
              <w:t>.▲内镜吹干酒精灌流一体机需具有≥2种干燥方式，一机至少包含酒精灌流干燥及吹气干燥两种干燥模式，能够同时对≥3条软式内镜进行干燥处理，本设备可以嵌入清洗工作站干燥台背板上，能够设置各通道干燥参数数值，可设置最高和最低吹气压力，能够设置吹气时间、酒精灌流时间等</w:t>
            </w:r>
            <w:r>
              <w:rPr>
                <w:rFonts w:ascii="仿宋_GB2312" w:eastAsia="仿宋_GB2312" w:hAnsi="仿宋_GB2312" w:cs="仿宋_GB2312" w:hint="eastAsia"/>
                <w:b/>
                <w:bCs/>
                <w:color w:val="FF0000"/>
                <w:kern w:val="2"/>
                <w:sz w:val="21"/>
                <w:szCs w:val="21"/>
                <w:lang w:eastAsia="zh-CN"/>
              </w:rPr>
              <w:t>。</w:t>
            </w:r>
            <w:r>
              <w:rPr>
                <w:rFonts w:ascii="仿宋_GB2312" w:eastAsia="仿宋_GB2312" w:hAnsi="仿宋_GB2312" w:cs="仿宋_GB2312" w:hint="eastAsia"/>
                <w:b/>
                <w:bCs/>
                <w:color w:val="FF0000"/>
                <w:kern w:val="2"/>
                <w:sz w:val="21"/>
                <w:szCs w:val="21"/>
                <w:lang w:eastAsia="zh-CN"/>
              </w:rPr>
              <w:t>（提供产品彩页</w:t>
            </w:r>
            <w:r>
              <w:rPr>
                <w:rFonts w:ascii="仿宋_GB2312" w:eastAsia="仿宋_GB2312" w:hAnsi="仿宋_GB2312" w:cs="仿宋_GB2312" w:hint="eastAsia"/>
                <w:b/>
                <w:bCs/>
                <w:color w:val="FF0000"/>
                <w:kern w:val="2"/>
                <w:sz w:val="21"/>
                <w:szCs w:val="21"/>
                <w:lang w:eastAsia="zh-CN"/>
              </w:rPr>
              <w:t>或</w:t>
            </w:r>
            <w:r>
              <w:rPr>
                <w:rFonts w:ascii="仿宋_GB2312" w:eastAsia="仿宋_GB2312" w:hAnsi="仿宋_GB2312" w:cs="仿宋_GB2312" w:hint="eastAsia"/>
                <w:b/>
                <w:bCs/>
                <w:color w:val="FF0000"/>
                <w:kern w:val="2"/>
                <w:sz w:val="21"/>
                <w:szCs w:val="21"/>
                <w:lang w:eastAsia="zh-CN"/>
              </w:rPr>
              <w:t>说明书或技术白皮书，佐证上述2种干燥方式及≥3条内镜同时处理的核心性能）</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905"/>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w:t>
            </w:r>
            <w:r>
              <w:rPr>
                <w:rFonts w:ascii="仿宋_GB2312" w:eastAsia="仿宋_GB2312" w:hAnsi="仿宋_GB2312" w:cs="仿宋_GB2312" w:hint="eastAsia"/>
                <w:color w:val="000000"/>
                <w:kern w:val="2"/>
                <w:sz w:val="21"/>
                <w:szCs w:val="21"/>
                <w:lang w:eastAsia="zh-CN"/>
              </w:rPr>
              <w:t>4</w:t>
            </w:r>
            <w:r>
              <w:rPr>
                <w:rFonts w:ascii="仿宋_GB2312" w:eastAsia="仿宋_GB2312" w:hAnsi="仿宋_GB2312" w:cs="仿宋_GB2312" w:hint="eastAsia"/>
                <w:color w:val="000000"/>
                <w:kern w:val="2"/>
                <w:sz w:val="21"/>
                <w:szCs w:val="21"/>
                <w:lang w:eastAsia="zh-CN"/>
              </w:rPr>
              <w:t>.自动排液系统采用不锈钢微型电动球阀，体积小重量轻，具有良好的流量调节功效和封闭密封特性；面板控制电动球阀排水，通过面板控制电动球阀的开合来控制排液，有效的防止手动排水时手对槽内内镜造成的二次污染。</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90"/>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w:t>
            </w:r>
            <w:r>
              <w:rPr>
                <w:rFonts w:ascii="仿宋_GB2312" w:eastAsia="仿宋_GB2312" w:hAnsi="仿宋_GB2312" w:cs="仿宋_GB2312" w:hint="eastAsia"/>
                <w:color w:val="000000"/>
                <w:kern w:val="2"/>
                <w:sz w:val="21"/>
                <w:szCs w:val="21"/>
                <w:lang w:eastAsia="zh-CN"/>
              </w:rPr>
              <w:t>5</w:t>
            </w:r>
            <w:r>
              <w:rPr>
                <w:rFonts w:ascii="仿宋_GB2312" w:eastAsia="仿宋_GB2312" w:hAnsi="仿宋_GB2312" w:cs="仿宋_GB2312" w:hint="eastAsia"/>
                <w:color w:val="000000"/>
                <w:kern w:val="2"/>
                <w:sz w:val="21"/>
                <w:szCs w:val="21"/>
                <w:lang w:eastAsia="zh-CN"/>
              </w:rPr>
              <w:t>.供电线路根据整套系统负荷设计，所有供电系统都经过漏电和负载保险开关，强电和弱电线路错开，且强电有双重绝缘保护和接地保护开关和插座都有防水保护。</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628"/>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1</w:t>
            </w:r>
            <w:r>
              <w:rPr>
                <w:rFonts w:ascii="仿宋_GB2312" w:eastAsia="仿宋_GB2312" w:hAnsi="仿宋_GB2312" w:cs="仿宋_GB2312" w:hint="eastAsia"/>
                <w:b/>
                <w:bCs/>
                <w:color w:val="FF0000"/>
                <w:kern w:val="2"/>
                <w:sz w:val="21"/>
                <w:szCs w:val="21"/>
                <w:lang w:eastAsia="zh-CN"/>
              </w:rPr>
              <w:t>6</w:t>
            </w:r>
            <w:r>
              <w:rPr>
                <w:rFonts w:ascii="仿宋_GB2312" w:eastAsia="仿宋_GB2312" w:hAnsi="仿宋_GB2312" w:cs="仿宋_GB2312" w:hint="eastAsia"/>
                <w:b/>
                <w:bCs/>
                <w:color w:val="FF0000"/>
                <w:kern w:val="2"/>
                <w:sz w:val="21"/>
                <w:szCs w:val="21"/>
                <w:lang w:eastAsia="zh-CN"/>
              </w:rPr>
              <w:t>.▲设计有效使用寿命≥八年</w:t>
            </w:r>
            <w:r>
              <w:rPr>
                <w:rFonts w:ascii="仿宋_GB2312" w:eastAsia="仿宋_GB2312" w:hAnsi="仿宋_GB2312" w:cs="仿宋_GB2312" w:hint="eastAsia"/>
                <w:b/>
                <w:bCs/>
                <w:color w:val="FF0000"/>
                <w:kern w:val="2"/>
                <w:sz w:val="21"/>
                <w:szCs w:val="21"/>
                <w:lang w:eastAsia="zh-CN"/>
              </w:rPr>
              <w:t>，</w:t>
            </w:r>
            <w:r>
              <w:rPr>
                <w:rFonts w:ascii="仿宋_GB2312" w:eastAsia="仿宋_GB2312" w:hAnsi="仿宋_GB2312" w:cs="仿宋_GB2312" w:hint="eastAsia"/>
                <w:b/>
                <w:bCs/>
                <w:color w:val="FF0000"/>
                <w:kern w:val="2"/>
                <w:sz w:val="21"/>
                <w:szCs w:val="21"/>
                <w:lang w:eastAsia="zh-CN"/>
              </w:rPr>
              <w:t>提供与本次投标设备型号完全一致的设备机身铭牌，作为佐证材料。</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312"/>
        </w:trPr>
        <w:tc>
          <w:tcPr>
            <w:tcW w:w="531"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left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5588" w:type="dxa"/>
            <w:tcBorders>
              <w:top w:val="single" w:sz="4" w:space="0" w:color="auto"/>
              <w:left w:val="single" w:sz="4" w:space="0" w:color="auto"/>
              <w:right w:val="single" w:sz="4" w:space="0" w:color="auto"/>
            </w:tcBorders>
            <w:shd w:val="clear" w:color="auto" w:fill="auto"/>
          </w:tcPr>
          <w:p>
            <w:pPr>
              <w:widowControl w:val="0"/>
              <w:spacing w:after="160" w:line="36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★配置清单</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w:t>
            </w:r>
            <w:r>
              <w:rPr>
                <w:rFonts w:ascii="仿宋_GB2312" w:eastAsia="仿宋_GB2312" w:hAnsi="仿宋_GB2312" w:cs="仿宋_GB2312" w:hint="eastAsia"/>
                <w:color w:val="000000"/>
                <w:kern w:val="2"/>
                <w:sz w:val="21"/>
                <w:szCs w:val="21"/>
                <w:lang w:eastAsia="zh-CN"/>
              </w:rPr>
              <w:tab/>
            </w:r>
            <w:r>
              <w:rPr>
                <w:rFonts w:ascii="仿宋_GB2312" w:eastAsia="仿宋_GB2312" w:hAnsi="仿宋_GB2312" w:cs="仿宋_GB2312" w:hint="eastAsia"/>
                <w:color w:val="000000"/>
                <w:kern w:val="2"/>
                <w:sz w:val="21"/>
                <w:szCs w:val="21"/>
                <w:lang w:eastAsia="zh-CN"/>
              </w:rPr>
              <w:t>双方槽</w:t>
            </w:r>
            <w:r>
              <w:rPr>
                <w:rFonts w:ascii="仿宋_GB2312" w:eastAsia="仿宋_GB2312" w:hAnsi="仿宋_GB2312" w:cs="仿宋_GB2312" w:hint="eastAsia"/>
                <w:color w:val="000000"/>
                <w:kern w:val="2"/>
                <w:sz w:val="21"/>
                <w:szCs w:val="21"/>
                <w:lang w:eastAsia="zh-CN"/>
              </w:rPr>
              <w:tab/>
            </w:r>
            <w:r>
              <w:rPr>
                <w:rFonts w:ascii="仿宋_GB2312" w:eastAsia="仿宋_GB2312" w:hAnsi="仿宋_GB2312" w:cs="仿宋_GB2312" w:hint="eastAsia"/>
                <w:color w:val="000000"/>
                <w:kern w:val="2"/>
                <w:sz w:val="21"/>
                <w:szCs w:val="21"/>
                <w:lang w:eastAsia="zh-CN"/>
              </w:rPr>
              <w:t xml:space="preserve">                           12组</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2</w:t>
            </w:r>
            <w:r>
              <w:rPr>
                <w:rFonts w:ascii="仿宋_GB2312" w:eastAsia="仿宋_GB2312" w:hAnsi="仿宋_GB2312" w:cs="仿宋_GB2312" w:hint="eastAsia"/>
                <w:color w:val="000000"/>
                <w:kern w:val="2"/>
                <w:sz w:val="21"/>
                <w:szCs w:val="21"/>
                <w:lang w:eastAsia="zh-CN"/>
              </w:rPr>
              <w:tab/>
            </w:r>
            <w:r>
              <w:rPr>
                <w:rFonts w:ascii="仿宋_GB2312" w:eastAsia="仿宋_GB2312" w:hAnsi="仿宋_GB2312" w:cs="仿宋_GB2312" w:hint="eastAsia"/>
                <w:color w:val="000000"/>
                <w:kern w:val="2"/>
                <w:sz w:val="21"/>
                <w:szCs w:val="21"/>
                <w:lang w:eastAsia="zh-CN"/>
              </w:rPr>
              <w:t>单方槽</w:t>
            </w:r>
            <w:r>
              <w:rPr>
                <w:rFonts w:ascii="仿宋_GB2312" w:eastAsia="仿宋_GB2312" w:hAnsi="仿宋_GB2312" w:cs="仿宋_GB2312" w:hint="eastAsia"/>
                <w:color w:val="000000"/>
                <w:kern w:val="2"/>
                <w:sz w:val="21"/>
                <w:szCs w:val="21"/>
                <w:lang w:eastAsia="zh-CN"/>
              </w:rPr>
              <w:tab/>
            </w:r>
            <w:r>
              <w:rPr>
                <w:rFonts w:ascii="仿宋_GB2312" w:eastAsia="仿宋_GB2312" w:hAnsi="仿宋_GB2312" w:cs="仿宋_GB2312" w:hint="eastAsia"/>
                <w:color w:val="000000"/>
                <w:kern w:val="2"/>
                <w:sz w:val="21"/>
                <w:szCs w:val="21"/>
                <w:lang w:eastAsia="zh-CN"/>
              </w:rPr>
              <w:t xml:space="preserve">                            2个</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3</w:t>
            </w:r>
            <w:r>
              <w:rPr>
                <w:rFonts w:ascii="仿宋_GB2312" w:eastAsia="仿宋_GB2312" w:hAnsi="仿宋_GB2312" w:cs="仿宋_GB2312" w:hint="eastAsia"/>
                <w:color w:val="000000"/>
                <w:kern w:val="2"/>
                <w:sz w:val="21"/>
                <w:szCs w:val="21"/>
                <w:lang w:eastAsia="zh-CN"/>
              </w:rPr>
              <w:tab/>
            </w:r>
            <w:r>
              <w:rPr>
                <w:rFonts w:ascii="仿宋_GB2312" w:eastAsia="仿宋_GB2312" w:hAnsi="仿宋_GB2312" w:cs="仿宋_GB2312" w:hint="eastAsia"/>
                <w:color w:val="000000"/>
                <w:kern w:val="2"/>
                <w:sz w:val="21"/>
                <w:szCs w:val="21"/>
                <w:lang w:eastAsia="zh-CN"/>
              </w:rPr>
              <w:t>嵌入一体式超声波槽</w:t>
            </w:r>
            <w:r>
              <w:rPr>
                <w:rFonts w:ascii="仿宋_GB2312" w:eastAsia="仿宋_GB2312" w:hAnsi="仿宋_GB2312" w:cs="仿宋_GB2312" w:hint="eastAsia"/>
                <w:color w:val="000000"/>
                <w:kern w:val="2"/>
                <w:sz w:val="21"/>
                <w:szCs w:val="21"/>
                <w:lang w:eastAsia="zh-CN"/>
              </w:rPr>
              <w:tab/>
            </w:r>
            <w:r>
              <w:rPr>
                <w:rFonts w:ascii="仿宋_GB2312" w:eastAsia="仿宋_GB2312" w:hAnsi="仿宋_GB2312" w:cs="仿宋_GB2312" w:hint="eastAsia"/>
                <w:color w:val="000000"/>
                <w:kern w:val="2"/>
                <w:sz w:val="21"/>
                <w:szCs w:val="21"/>
                <w:lang w:eastAsia="zh-CN"/>
              </w:rPr>
              <w:t xml:space="preserve">                1个</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4</w:t>
            </w:r>
            <w:r>
              <w:rPr>
                <w:rFonts w:ascii="仿宋_GB2312" w:eastAsia="仿宋_GB2312" w:hAnsi="仿宋_GB2312" w:cs="仿宋_GB2312" w:hint="eastAsia"/>
                <w:color w:val="000000"/>
                <w:kern w:val="2"/>
                <w:sz w:val="21"/>
                <w:szCs w:val="21"/>
                <w:lang w:eastAsia="zh-CN"/>
              </w:rPr>
              <w:tab/>
            </w:r>
            <w:r>
              <w:rPr>
                <w:rFonts w:ascii="仿宋_GB2312" w:eastAsia="仿宋_GB2312" w:hAnsi="仿宋_GB2312" w:cs="仿宋_GB2312" w:hint="eastAsia"/>
                <w:color w:val="000000"/>
                <w:kern w:val="2"/>
                <w:sz w:val="21"/>
                <w:szCs w:val="21"/>
                <w:lang w:eastAsia="zh-CN"/>
              </w:rPr>
              <w:t>洗手洗眼槽</w:t>
            </w:r>
            <w:r>
              <w:rPr>
                <w:rFonts w:ascii="仿宋_GB2312" w:eastAsia="仿宋_GB2312" w:hAnsi="仿宋_GB2312" w:cs="仿宋_GB2312" w:hint="eastAsia"/>
                <w:color w:val="000000"/>
                <w:kern w:val="2"/>
                <w:sz w:val="21"/>
                <w:szCs w:val="21"/>
                <w:lang w:eastAsia="zh-CN"/>
              </w:rPr>
              <w:tab/>
            </w:r>
            <w:r>
              <w:rPr>
                <w:rFonts w:ascii="仿宋_GB2312" w:eastAsia="仿宋_GB2312" w:hAnsi="仿宋_GB2312" w:cs="仿宋_GB2312" w:hint="eastAsia"/>
                <w:color w:val="000000"/>
                <w:kern w:val="2"/>
                <w:sz w:val="21"/>
                <w:szCs w:val="21"/>
                <w:lang w:eastAsia="zh-CN"/>
              </w:rPr>
              <w:t xml:space="preserve">                        1个</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5</w:t>
            </w:r>
            <w:r>
              <w:rPr>
                <w:rFonts w:ascii="仿宋_GB2312" w:eastAsia="仿宋_GB2312" w:hAnsi="仿宋_GB2312" w:cs="仿宋_GB2312" w:hint="eastAsia"/>
                <w:color w:val="000000"/>
                <w:kern w:val="2"/>
                <w:sz w:val="21"/>
                <w:szCs w:val="21"/>
                <w:lang w:eastAsia="zh-CN"/>
              </w:rPr>
              <w:tab/>
            </w:r>
            <w:r>
              <w:rPr>
                <w:rFonts w:ascii="仿宋_GB2312" w:eastAsia="仿宋_GB2312" w:hAnsi="仿宋_GB2312" w:cs="仿宋_GB2312" w:hint="eastAsia"/>
                <w:color w:val="000000"/>
                <w:kern w:val="2"/>
                <w:sz w:val="21"/>
                <w:szCs w:val="21"/>
                <w:lang w:eastAsia="zh-CN"/>
              </w:rPr>
              <w:t>根据场地时间尺寸定制干燥台</w:t>
            </w:r>
            <w:r>
              <w:rPr>
                <w:rFonts w:ascii="仿宋_GB2312" w:eastAsia="仿宋_GB2312" w:hAnsi="仿宋_GB2312" w:cs="仿宋_GB2312" w:hint="eastAsia"/>
                <w:color w:val="000000"/>
                <w:kern w:val="2"/>
                <w:sz w:val="21"/>
                <w:szCs w:val="21"/>
                <w:lang w:eastAsia="zh-CN"/>
              </w:rPr>
              <w:tab/>
            </w:r>
            <w:r>
              <w:rPr>
                <w:rFonts w:ascii="仿宋_GB2312" w:eastAsia="仿宋_GB2312" w:hAnsi="仿宋_GB2312" w:cs="仿宋_GB2312" w:hint="eastAsia"/>
                <w:color w:val="000000"/>
                <w:kern w:val="2"/>
                <w:sz w:val="21"/>
                <w:szCs w:val="21"/>
                <w:lang w:eastAsia="zh-CN"/>
              </w:rPr>
              <w:t xml:space="preserve">        5个</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6   功能背板                            6套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7   跟背板一样长度的一体功能吊柜        6套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8   嵌入式超声波清洗机                  1台</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9   酶液自动配比系统                    6套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10  气体消毒洁净处理器                  2套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11  内镜侧漏系统                        6套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12  酒精灌流内镜吹干一体机              2台</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13  电动自动翻盖                        8套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14  中心气体处理器                      4套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15  水气枪                              30把</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16  自动灌流器                          26套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17  快速接头                            26套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 xml:space="preserve">18  安全用电变电系统                    3套 </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19  照明系统                            6套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20  给排水管路                          各6套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21  带温度显示功能的转折式不锈钢水龙头  13套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22  进水自动控制水源电磁控制阀          6套</w:t>
            </w:r>
          </w:p>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color w:val="000000"/>
                <w:kern w:val="2"/>
                <w:sz w:val="21"/>
                <w:szCs w:val="21"/>
                <w:lang w:eastAsia="zh-CN"/>
              </w:rPr>
              <w:t>23  自动排水电磁控制阀                  16套</w:t>
            </w:r>
          </w:p>
        </w:tc>
        <w:tc>
          <w:tcPr>
            <w:tcW w:w="913" w:type="dxa"/>
            <w:tcBorders>
              <w:top w:val="single" w:sz="4" w:space="0" w:color="auto"/>
              <w:left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385"/>
        </w:trPr>
        <w:tc>
          <w:tcPr>
            <w:tcW w:w="531" w:type="dxa"/>
            <w:vMerge w:val="restart"/>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2</w:t>
            </w:r>
          </w:p>
        </w:tc>
        <w:tc>
          <w:tcPr>
            <w:tcW w:w="6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 xml:space="preserve">内镜追溯管理系统 </w:t>
            </w: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1.采用成熟的 RFID 射频技术，组建内镜中心物联网网络，形成全流程闭环追溯，RFID 芯片防水耐腐蚀，可长期复用。</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530"/>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bCs/>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2.系统结构灵活，支持独立服务器和共享服务器模式，服务器自动备份、客户端自动更新；系统具有扩展性和兼容性，不受清洗槽及流程和自动清洗机数量的限制。</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264"/>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3.在第三方清洗机厂家开放接口的前提下，实现自动采集设备数据及监控设备运行，支持</w:t>
            </w:r>
            <w:r>
              <w:rPr>
                <w:rFonts w:ascii="仿宋_GB2312" w:eastAsia="仿宋_GB2312" w:hAnsi="仿宋_GB2312" w:cs="仿宋_GB2312" w:hint="eastAsia"/>
                <w:color w:val="000000"/>
                <w:kern w:val="2"/>
                <w:sz w:val="21"/>
                <w:szCs w:val="21"/>
                <w:lang w:eastAsia="zh-CN"/>
              </w:rPr>
              <w:t>与</w:t>
            </w:r>
            <w:r>
              <w:rPr>
                <w:rFonts w:ascii="仿宋_GB2312" w:eastAsia="仿宋_GB2312" w:hAnsi="仿宋_GB2312" w:cs="仿宋_GB2312" w:hint="eastAsia"/>
                <w:color w:val="000000"/>
                <w:kern w:val="2"/>
                <w:sz w:val="21"/>
                <w:szCs w:val="21"/>
                <w:lang w:eastAsia="zh-CN"/>
              </w:rPr>
              <w:t>医院 HIS、PACS 系统融合，实现系统间的互联互通和数据共享，万级数据秒级同步，追溯系统的时间为内镜清洗工作站运行的实际注气、注液时间，为真实清洗数据，非虚拟信号。</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40"/>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4.各清洗流程，系统自动监控、智能感知、自动记录、无需人为操作，对所有的操作进行追踪、记录、分类、统计，并在一个工作平台进行展示。</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90"/>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b/>
                <w:bCs/>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5.▲采用专用语音提示装置，所有流程操作语音提示，异常操作自动给予预警，采用阳性病人使用预警、未达到规定清洗时间拿出预警、使用前消毒不合格内镜预警的三重预警，防范感染风险（提供</w:t>
            </w:r>
            <w:r>
              <w:rPr>
                <w:rFonts w:ascii="仿宋_GB2312" w:eastAsia="仿宋_GB2312" w:hAnsi="仿宋_GB2312" w:cs="仿宋_GB2312" w:hint="eastAsia"/>
                <w:b/>
                <w:bCs/>
                <w:color w:val="FF0000"/>
                <w:kern w:val="2"/>
                <w:sz w:val="21"/>
                <w:szCs w:val="21"/>
                <w:lang w:eastAsia="zh-CN"/>
              </w:rPr>
              <w:t>产品彩页或说明书或技术白皮书佐证</w:t>
            </w:r>
            <w:r>
              <w:rPr>
                <w:rFonts w:ascii="仿宋_GB2312" w:eastAsia="仿宋_GB2312" w:hAnsi="仿宋_GB2312" w:cs="仿宋_GB2312" w:hint="eastAsia"/>
                <w:b/>
                <w:bCs/>
                <w:color w:val="FF0000"/>
                <w:kern w:val="2"/>
                <w:sz w:val="21"/>
                <w:szCs w:val="21"/>
                <w:lang w:eastAsia="zh-CN"/>
              </w:rPr>
              <w:t>）。</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90"/>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b/>
                <w:bCs/>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6.▲可监测消毒液名称、消毒液使用次数，监测次数，消毒液浓度、操作时间、操作人员等与消毒液有关的信息；可对内镜中心使用的耗材出入库管理、材料盘点、库存查询等功能。可对内镜的终身进行登记管理，记录内镜的购入，维修，维修故障信息，维修操作信息（提供</w:t>
            </w:r>
            <w:r>
              <w:rPr>
                <w:rFonts w:ascii="仿宋_GB2312" w:eastAsia="仿宋_GB2312" w:hAnsi="仿宋_GB2312" w:cs="仿宋_GB2312" w:hint="eastAsia"/>
                <w:b/>
                <w:bCs/>
                <w:color w:val="FF0000"/>
                <w:kern w:val="2"/>
                <w:sz w:val="21"/>
                <w:szCs w:val="21"/>
                <w:lang w:eastAsia="zh-CN"/>
              </w:rPr>
              <w:t>产品彩页或说明书或技术白皮书佐证</w:t>
            </w:r>
            <w:r>
              <w:rPr>
                <w:rFonts w:ascii="仿宋_GB2312" w:eastAsia="仿宋_GB2312" w:hAnsi="仿宋_GB2312" w:cs="仿宋_GB2312" w:hint="eastAsia"/>
                <w:b/>
                <w:bCs/>
                <w:color w:val="FF0000"/>
                <w:kern w:val="2"/>
                <w:sz w:val="21"/>
                <w:szCs w:val="21"/>
                <w:lang w:eastAsia="zh-CN"/>
              </w:rPr>
              <w:t>）。</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40"/>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7.提供内镜中心各工作区域或各工作流程工作量、效率值、内镜使用情况的统计数据；提供链式关联追溯，内镜使用病人可通过该链向上对使用此内镜的病人进行追溯。</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685"/>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8.每套系统支持客户端同时访问数量和工作站数量大幅提升，避免出现卡顿和延时现象。洗消数据批量导出和查询响应时间更短，用户体验更佳。</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00"/>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9.系统界面更为简洁、智能、人性化，提供可视化的流程状态实时显示，清洗过程一目了然。</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590"/>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10.消毒液监测：消毒液更换、使用次数、浓度的监测结果登记；监测记录针对内镜、洗消槽的消毒进行监测记录及统计</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575"/>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11.▲工作流程包括：测漏、清洗、漂洗、浸泡、末洗、干燥等环节、并支持流程名称自定义；支持内镜二次洗消记录，支持设定超过规定存放时间自动进行二次洗消提醒；系统自动识别或维护阳性病人、肿瘤活检后及HIV 检查呈阳性的病人使用内镜，系统自动切换到特殊清洗作业模式，且语音实时提醒清洗作业人员注意严格操作；系统可根据不同类型内镜，不同洗消流程提供可配置工作流程；支持设定消毒液使用时长提醒和过期报警功能，在工作台界面进行自动提醒支持。（提供</w:t>
            </w:r>
            <w:r>
              <w:rPr>
                <w:rFonts w:ascii="仿宋_GB2312" w:eastAsia="仿宋_GB2312" w:hAnsi="仿宋_GB2312" w:cs="仿宋_GB2312" w:hint="eastAsia"/>
                <w:b/>
                <w:bCs/>
                <w:color w:val="FF0000"/>
                <w:kern w:val="2"/>
                <w:sz w:val="21"/>
                <w:szCs w:val="21"/>
                <w:lang w:eastAsia="zh-CN"/>
              </w:rPr>
              <w:t>产品彩页或说明书或技术白皮书佐证</w:t>
            </w:r>
            <w:r>
              <w:rPr>
                <w:rFonts w:ascii="仿宋_GB2312" w:eastAsia="仿宋_GB2312" w:hAnsi="仿宋_GB2312" w:cs="仿宋_GB2312" w:hint="eastAsia"/>
                <w:b/>
                <w:bCs/>
                <w:color w:val="FF0000"/>
                <w:kern w:val="2"/>
                <w:sz w:val="21"/>
                <w:szCs w:val="21"/>
                <w:lang w:eastAsia="zh-CN"/>
              </w:rPr>
              <w:t>）。</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620"/>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12.提供可视化的流程状态实时显示，标准化的流程操作提示，系统支持各个环节异常操作系统实时记录，支持手动进行流程环节异常情况登记，支持根据国家规范每天最后使用的内镜进行完结清洗，并进行语言提示</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665"/>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 xml:space="preserve">13.预置各用户角色（医生、护士、洗消人员、系统管理员）权限，权限模块化，提供信息录入管理及RFID卡的绑定功能； </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603"/>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14.▲各流程环节洗消人员工作量统计，洗消数据和使用数据统计和环比数据分析，病人使用检查详细记录查询，清洗和使用记录查询，支持批量到处Excel文件工作明细统计。各流程环节详细工作量统计、质量分析、效率分析数据，支持按条件组合查询。（提供</w:t>
            </w:r>
            <w:r>
              <w:rPr>
                <w:rFonts w:ascii="仿宋_GB2312" w:eastAsia="仿宋_GB2312" w:hAnsi="仿宋_GB2312" w:cs="仿宋_GB2312" w:hint="eastAsia"/>
                <w:b/>
                <w:bCs/>
                <w:color w:val="FF0000"/>
                <w:kern w:val="2"/>
                <w:sz w:val="21"/>
                <w:szCs w:val="21"/>
                <w:lang w:eastAsia="zh-CN"/>
              </w:rPr>
              <w:t>产品彩页或说明书或技术白皮书佐证</w:t>
            </w:r>
            <w:r>
              <w:rPr>
                <w:rFonts w:ascii="仿宋_GB2312" w:eastAsia="仿宋_GB2312" w:hAnsi="仿宋_GB2312" w:cs="仿宋_GB2312" w:hint="eastAsia"/>
                <w:b/>
                <w:bCs/>
                <w:color w:val="FF0000"/>
                <w:kern w:val="2"/>
                <w:sz w:val="21"/>
                <w:szCs w:val="21"/>
                <w:lang w:eastAsia="zh-CN"/>
              </w:rPr>
              <w:t>）。</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85"/>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15.支持病人使用的内镜使用前和使用后的内镜洗消过程明细查询，可对内镜历次循环信息进行前后关联，显示每个循环过程内镜的消毒和使用信息感染追溯；支持对洗消流程进行追溯，找出与感染最可疑的流程点，进行优化患者追溯，可追溯患者在院内使用过的历次内镜信息、使用时间、检查医生及相关清洗消毒信息；支持操作人员所有洗消记录，洗消结果、异常情况详细追溯</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设备追溯；支持追溯清洗工作站，全自动清洗机设备使用次数，历次使用设备详细运行参数等信息。</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90"/>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r>
              <w:rPr>
                <w:rFonts w:ascii="仿宋_GB2312" w:eastAsia="仿宋_GB2312" w:hAnsi="仿宋_GB2312" w:cs="仿宋_GB2312" w:hint="eastAsia"/>
                <w:color w:val="000000"/>
                <w:kern w:val="2"/>
                <w:sz w:val="21"/>
                <w:szCs w:val="21"/>
                <w:lang w:eastAsia="zh-CN"/>
              </w:rPr>
              <w:t>16.系统支持与医院 HIS、PACS 等系统进行对接获取患者信息关联病人，非接口情况下，系统提供病人信息录入，关联内镜实现内镜信息与病人信息的关联，阳性病人，使用端可以进行记录并保存，使用端可直接查看内镜在清洗环节各个流程的清洗记录及清洗结果是否合格。</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025"/>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r>
              <w:rPr>
                <w:rFonts w:ascii="仿宋_GB2312" w:eastAsia="仿宋_GB2312" w:hAnsi="仿宋_GB2312" w:cs="仿宋_GB2312" w:hint="eastAsia"/>
                <w:b/>
                <w:bCs/>
                <w:color w:val="FF0000"/>
                <w:kern w:val="2"/>
                <w:sz w:val="21"/>
                <w:szCs w:val="21"/>
                <w:lang w:eastAsia="zh-CN"/>
              </w:rPr>
              <w:t>17.▲支持耗材名称、种类、规格、有效期、供应商维护管理；支持耗材入库登记及入库记录查询功能，支持耗材出库登记及出库记录查询，支持耗材库存盘点及盘点记录查询（提供系统操作界面截图，需清晰佐证上述耗材信息维护、入库/出库登记及查询、库存盘点及查询等核心功能的实际可用性）。</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b/>
                <w:bCs/>
                <w:color w:val="FF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90"/>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18.系统预置多种用户角色权限，支持精细化模块权限管理，支持自定义角色功能，可由用户自行定义角色，并且分配自定义角色的明细权限；支持内镜名称、内镜种类、内镜型号、内镜编号维护管理，并支持内镜清洗流程配置；支持镜柜名称、房间号维护管理，系统基数数据管理，知识库管理，操作日志等后台操作模块管理；支持不同使用病人，不同类型内镜洗消流程自定义化配置，</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395"/>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19.内镜工作站的新增洗消流程配置功能，可实时显示每个点位的工作状态，在第三方清洗机厂家开放接口的前提下，支持硬件对接。可实时显示内镜存储柜的温度、湿度、压差和内镜存储数量、存储明细等信息，支持出入柜记录的查看。内镜信息的录入和管理，支持查看内镜实时状态和内镜使用总次数。</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395"/>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20.大屏展示内容：内镜洗消信息实时显示，内镜使用总数概览、使用量排名。内镜使用和洗消量图表统计和展示，洗消程序偏好统计等功能。实时显示工作站当天的洗消数据、内镜状态、工作站和储镜柜的设备状态和温湿度、压差等信息。设备数量信息概览实时显示每个监测点位的当前温度、湿度数据和每个点位的温湿度变化曲线。</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3082"/>
        </w:trPr>
        <w:tc>
          <w:tcPr>
            <w:tcW w:w="531"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center"/>
              <w:rPr>
                <w:rFonts w:ascii="仿宋_GB2312" w:eastAsia="仿宋_GB2312" w:hAnsi="仿宋_GB2312" w:cs="仿宋_GB2312"/>
                <w:color w:val="000000"/>
                <w:kern w:val="2"/>
                <w:sz w:val="21"/>
                <w:szCs w:val="21"/>
                <w:lang w:eastAsia="zh-CN"/>
              </w:rPr>
            </w:pPr>
          </w:p>
        </w:tc>
        <w:tc>
          <w:tcPr>
            <w:tcW w:w="647" w:type="dxa"/>
            <w:vMerge/>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p>
        </w:tc>
        <w:tc>
          <w:tcPr>
            <w:tcW w:w="5588"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★配置清单</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追</w:t>
            </w:r>
            <w:r>
              <w:rPr>
                <w:rFonts w:ascii="仿宋_GB2312" w:eastAsia="仿宋_GB2312" w:hAnsi="仿宋_GB2312" w:cs="仿宋_GB2312" w:hint="eastAsia"/>
                <w:bCs/>
                <w:kern w:val="2"/>
                <w:sz w:val="21"/>
                <w:szCs w:val="21"/>
                <w:lang w:eastAsia="zh-CN"/>
              </w:rPr>
              <w:t>溯</w:t>
            </w:r>
            <w:r>
              <w:rPr>
                <w:rFonts w:ascii="仿宋_GB2312" w:eastAsia="仿宋_GB2312" w:hAnsi="仿宋_GB2312" w:cs="仿宋_GB2312" w:hint="eastAsia"/>
                <w:color w:val="000000"/>
                <w:kern w:val="2"/>
                <w:sz w:val="21"/>
                <w:szCs w:val="21"/>
                <w:lang w:eastAsia="zh-CN"/>
              </w:rPr>
              <w:t>管理软件                    3套</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工作站主机                      3台</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医用显示器                      3台</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医用显示屏                      1台</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摄像头                          3个</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路由器                          3个</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内镜机身读卡器                  100个</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人员ID读卡器                   50个</w:t>
            </w:r>
          </w:p>
          <w:p>
            <w:pPr>
              <w:widowControl w:val="0"/>
              <w:spacing w:after="160" w:line="259" w:lineRule="auto"/>
              <w:jc w:val="both"/>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槽内读卡器                      40个</w:t>
            </w:r>
          </w:p>
        </w:tc>
        <w:tc>
          <w:tcPr>
            <w:tcW w:w="913"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662"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259" w:lineRule="auto"/>
              <w:jc w:val="both"/>
              <w:rPr>
                <w:rFonts w:ascii="仿宋_GB2312" w:eastAsia="仿宋_GB2312" w:hAnsi="仿宋_GB2312" w:cs="仿宋_GB2312" w:hint="eastAsia"/>
                <w:color w:val="000000"/>
                <w:kern w:val="2"/>
                <w:sz w:val="21"/>
                <w:szCs w:val="21"/>
                <w:lang w:eastAsia="zh-CN"/>
              </w:rPr>
            </w:pPr>
          </w:p>
        </w:tc>
      </w:tr>
    </w:tbl>
    <w:p>
      <w:pPr>
        <w:widowControl w:val="0"/>
        <w:spacing w:after="160" w:line="259" w:lineRule="auto"/>
        <w:jc w:val="both"/>
        <w:rPr>
          <w:rFonts w:eastAsia="宋体"/>
          <w:kern w:val="2"/>
          <w:lang w:eastAsia="zh-CN"/>
        </w:rPr>
      </w:pPr>
    </w:p>
    <w:p>
      <w:pPr>
        <w:widowControl w:val="0"/>
        <w:spacing w:after="160" w:line="259" w:lineRule="auto"/>
        <w:jc w:val="both"/>
        <w:rPr>
          <w:rFonts w:eastAsia="宋体"/>
          <w:kern w:val="2"/>
          <w:sz w:val="21"/>
          <w:szCs w:val="21"/>
          <w:lang w:eastAsia="zh-CN"/>
        </w:rPr>
      </w:pPr>
      <w:bookmarkStart w:id="52" w:name="_Hlk72095977"/>
      <w:r>
        <w:rPr>
          <w:rFonts w:eastAsia="宋体" w:hint="eastAsia"/>
          <w:kern w:val="2"/>
          <w:sz w:val="21"/>
          <w:szCs w:val="21"/>
          <w:lang w:eastAsia="zh-CN"/>
        </w:rPr>
        <w:t>证明资料【如有的话，提供的证明资料应统一编号（排序），格式自定】</w:t>
      </w:r>
      <w:bookmarkEnd w:id="52"/>
      <w:r>
        <w:rPr>
          <w:rFonts w:eastAsia="宋体" w:hint="eastAsia"/>
          <w:kern w:val="2"/>
          <w:sz w:val="21"/>
          <w:szCs w:val="21"/>
          <w:lang w:eastAsia="zh-CN"/>
        </w:rPr>
        <w:t>：</w:t>
      </w:r>
    </w:p>
    <w:p>
      <w:pPr>
        <w:widowControl w:val="0"/>
        <w:spacing w:after="160" w:line="259" w:lineRule="auto"/>
        <w:ind w:firstLine="420" w:firstLineChars="200"/>
        <w:jc w:val="both"/>
        <w:rPr>
          <w:rFonts w:eastAsia="宋体"/>
          <w:b/>
          <w:kern w:val="2"/>
          <w:sz w:val="21"/>
          <w:szCs w:val="21"/>
          <w:lang w:eastAsia="zh-CN"/>
        </w:rPr>
      </w:pPr>
    </w:p>
    <w:p>
      <w:pPr>
        <w:widowControl w:val="0"/>
        <w:spacing w:after="160" w:line="259" w:lineRule="auto"/>
        <w:ind w:firstLine="420" w:firstLineChars="200"/>
        <w:jc w:val="both"/>
        <w:rPr>
          <w:rFonts w:eastAsia="宋体"/>
          <w:b/>
          <w:kern w:val="2"/>
          <w:sz w:val="21"/>
          <w:szCs w:val="21"/>
          <w:lang w:eastAsia="zh-CN"/>
        </w:rPr>
      </w:pPr>
    </w:p>
    <w:p>
      <w:pPr>
        <w:widowControl w:val="0"/>
        <w:spacing w:after="160" w:line="259"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《技术要求偏离表》编制指引：</w:t>
      </w:r>
    </w:p>
    <w:p>
      <w:pPr>
        <w:widowControl w:val="0"/>
        <w:spacing w:after="160" w:line="259"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1、技术要求偏离表的序号、货物名称、招标技术要求等栏目</w:t>
      </w:r>
      <w:bookmarkStart w:id="53" w:name="_Hlk72094407"/>
      <w:r>
        <w:rPr>
          <w:rFonts w:eastAsia="宋体" w:hint="eastAsia"/>
          <w:bCs/>
          <w:kern w:val="2"/>
          <w:sz w:val="21"/>
          <w:szCs w:val="21"/>
          <w:lang w:eastAsia="zh-CN"/>
        </w:rPr>
        <w:t>对应“用户需求书”中的“技术要求”章节</w:t>
      </w:r>
      <w:bookmarkEnd w:id="53"/>
      <w:r>
        <w:rPr>
          <w:rFonts w:eastAsia="宋体" w:hint="eastAsia"/>
          <w:bCs/>
          <w:kern w:val="2"/>
          <w:sz w:val="21"/>
          <w:szCs w:val="21"/>
          <w:lang w:eastAsia="zh-CN"/>
        </w:rPr>
        <w:t>相关内容。</w:t>
      </w:r>
    </w:p>
    <w:p>
      <w:pPr>
        <w:widowControl w:val="0"/>
        <w:spacing w:after="160" w:line="259" w:lineRule="auto"/>
        <w:ind w:firstLine="420" w:firstLineChars="200"/>
        <w:jc w:val="both"/>
        <w:rPr>
          <w:rFonts w:eastAsia="宋体"/>
          <w:bCs/>
          <w:color w:val="FF0000"/>
          <w:kern w:val="2"/>
          <w:sz w:val="21"/>
          <w:szCs w:val="21"/>
          <w:lang w:eastAsia="zh-CN"/>
        </w:rPr>
      </w:pPr>
      <w:r>
        <w:rPr>
          <w:rFonts w:eastAsia="宋体" w:hint="eastAsia"/>
          <w:bCs/>
          <w:kern w:val="2"/>
          <w:sz w:val="21"/>
          <w:szCs w:val="21"/>
          <w:lang w:eastAsia="zh-CN"/>
        </w:rPr>
        <w:t>2、“投标技术响应”一栏必须一一对照“招标技术要求”，详细填写投标人自身投标货物的具体参数，而不能不合理照搬照抄招标文件的技术要求，以体现具体响应情况。</w:t>
      </w:r>
      <w:r>
        <w:rPr>
          <w:rFonts w:eastAsia="宋体" w:hint="eastAsia"/>
          <w:bCs/>
          <w:color w:val="FF0000"/>
          <w:kern w:val="2"/>
          <w:sz w:val="21"/>
          <w:szCs w:val="21"/>
          <w:lang w:eastAsia="zh-CN"/>
        </w:rPr>
        <w:t>“投标技术响应”必须与所投产品客观实际保持一致，响应不实且情节严重的，经查实，将依法记入供应商诚信档案或受到行政处罚。</w:t>
      </w:r>
    </w:p>
    <w:p>
      <w:pPr>
        <w:widowControl w:val="0"/>
        <w:spacing w:after="160" w:line="259" w:lineRule="auto"/>
        <w:ind w:firstLine="420" w:firstLineChars="200"/>
        <w:jc w:val="both"/>
        <w:rPr>
          <w:rFonts w:eastAsia="宋体"/>
          <w:bCs/>
          <w:color w:val="FF0000"/>
          <w:kern w:val="2"/>
          <w:sz w:val="21"/>
          <w:szCs w:val="21"/>
          <w:lang w:eastAsia="zh-CN"/>
        </w:rPr>
      </w:pPr>
      <w:r>
        <w:rPr>
          <w:rFonts w:eastAsia="宋体"/>
          <w:bCs/>
          <w:kern w:val="2"/>
          <w:sz w:val="21"/>
          <w:szCs w:val="21"/>
          <w:lang w:eastAsia="zh-CN"/>
        </w:rPr>
        <w:t>3</w:t>
      </w:r>
      <w:r>
        <w:rPr>
          <w:rFonts w:eastAsia="宋体" w:hint="eastAsia"/>
          <w:bCs/>
          <w:kern w:val="2"/>
          <w:sz w:val="21"/>
          <w:szCs w:val="21"/>
          <w:lang w:eastAsia="zh-CN"/>
        </w:rPr>
        <w:t>、</w:t>
      </w:r>
      <w:bookmarkStart w:id="54" w:name="_Hlk72158270"/>
      <w:r>
        <w:rPr>
          <w:rFonts w:eastAsia="宋体" w:hint="eastAsia"/>
          <w:bCs/>
          <w:kern w:val="2"/>
          <w:sz w:val="21"/>
          <w:szCs w:val="21"/>
          <w:lang w:eastAsia="zh-CN"/>
        </w:rPr>
        <w:t>“偏离情况”</w:t>
      </w:r>
      <w:bookmarkEnd w:id="54"/>
      <w:r>
        <w:rPr>
          <w:rFonts w:eastAsia="宋体" w:hint="eastAsia"/>
          <w:bCs/>
          <w:kern w:val="2"/>
          <w:sz w:val="21"/>
          <w:szCs w:val="21"/>
          <w:lang w:eastAsia="zh-CN"/>
        </w:rPr>
        <w:t>一栏填写如实填写“正偏离”、“负偏离”或“无偏离”，其中：</w:t>
      </w:r>
      <w:bookmarkStart w:id="55" w:name="_Hlk72093866"/>
      <w:r>
        <w:rPr>
          <w:rFonts w:eastAsia="宋体" w:hint="eastAsia"/>
          <w:bCs/>
          <w:kern w:val="2"/>
          <w:sz w:val="21"/>
          <w:szCs w:val="21"/>
          <w:lang w:eastAsia="zh-CN"/>
        </w:rPr>
        <w:t>“正偏离”表示“投标响应优于招标技术要求”，“负偏离”表示“投标响应不满足招标技术要求”，“无偏离”表示“投标响应与招标技术要求一致”</w:t>
      </w:r>
      <w:bookmarkEnd w:id="55"/>
      <w:r>
        <w:rPr>
          <w:rFonts w:eastAsia="宋体" w:hint="eastAsia"/>
          <w:bCs/>
          <w:kern w:val="2"/>
          <w:sz w:val="21"/>
          <w:szCs w:val="21"/>
          <w:lang w:eastAsia="zh-CN"/>
        </w:rPr>
        <w:t>。“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w:t>
      </w:r>
      <w:r>
        <w:rPr>
          <w:rFonts w:eastAsia="宋体" w:hint="eastAsia"/>
          <w:bCs/>
          <w:color w:val="FF0000"/>
          <w:kern w:val="2"/>
          <w:sz w:val="21"/>
          <w:szCs w:val="21"/>
          <w:lang w:eastAsia="zh-CN"/>
        </w:rPr>
        <w:t>“偏离情况”必须与所投产品客观实际保持一致，响应不实且情节严重的，经查实，将依法记入供应商诚信档案或受到行政处罚。</w:t>
      </w:r>
    </w:p>
    <w:p>
      <w:pPr>
        <w:widowControl w:val="0"/>
        <w:spacing w:after="160" w:line="259" w:lineRule="auto"/>
        <w:ind w:firstLine="420" w:firstLineChars="200"/>
        <w:jc w:val="both"/>
        <w:rPr>
          <w:rFonts w:eastAsia="宋体"/>
          <w:bCs/>
          <w:kern w:val="2"/>
          <w:sz w:val="21"/>
          <w:szCs w:val="21"/>
          <w:lang w:eastAsia="zh-CN"/>
        </w:rPr>
      </w:pPr>
      <w:r>
        <w:rPr>
          <w:rFonts w:eastAsia="宋体"/>
          <w:bCs/>
          <w:kern w:val="2"/>
          <w:sz w:val="21"/>
          <w:szCs w:val="21"/>
          <w:lang w:eastAsia="zh-CN"/>
        </w:rPr>
        <w:t>4</w:t>
      </w:r>
      <w:r>
        <w:rPr>
          <w:rFonts w:eastAsia="宋体" w:hint="eastAsia"/>
          <w:bCs/>
          <w:kern w:val="2"/>
          <w:sz w:val="21"/>
          <w:szCs w:val="21"/>
          <w:lang w:eastAsia="zh-CN"/>
        </w:rPr>
        <w:t>、未要求提供证明资料的招标技术要求，可以不提供证明资料（如实响应即可）。</w:t>
      </w:r>
    </w:p>
    <w:p>
      <w:pPr>
        <w:widowControl w:val="0"/>
        <w:spacing w:after="160" w:line="259"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5、</w:t>
      </w:r>
      <w:bookmarkStart w:id="56" w:name="_Hlk72096106"/>
      <w:r>
        <w:rPr>
          <w:rFonts w:eastAsia="宋体" w:hint="eastAsia"/>
          <w:bCs/>
          <w:kern w:val="2"/>
          <w:sz w:val="21"/>
          <w:szCs w:val="21"/>
          <w:lang w:eastAsia="zh-CN"/>
        </w:rPr>
        <w:t>证明资料条款响应要求</w:t>
      </w:r>
      <w:bookmarkEnd w:id="56"/>
      <w:r>
        <w:rPr>
          <w:rFonts w:eastAsia="宋体" w:hint="eastAsia"/>
          <w:bCs/>
          <w:kern w:val="2"/>
          <w:sz w:val="21"/>
          <w:szCs w:val="21"/>
          <w:lang w:eastAsia="zh-CN"/>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57" w:name="_Hlk73558782"/>
      <w:r>
        <w:rPr>
          <w:rFonts w:eastAsia="宋体" w:hint="eastAsia"/>
          <w:bCs/>
          <w:kern w:val="2"/>
          <w:sz w:val="21"/>
          <w:szCs w:val="21"/>
          <w:lang w:eastAsia="zh-CN"/>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58" w:name="_Hlk73558164"/>
      <w:r>
        <w:rPr>
          <w:rFonts w:eastAsia="宋体" w:hint="eastAsia"/>
          <w:bCs/>
          <w:kern w:val="2"/>
          <w:sz w:val="21"/>
          <w:szCs w:val="21"/>
          <w:lang w:eastAsia="zh-CN"/>
        </w:rPr>
        <w:t>且投标人在“偏离情况”一栏响应为“正偏离”或“无偏离”的，经评审委员会认定，将判定为负偏离。</w:t>
      </w:r>
      <w:bookmarkEnd w:id="57"/>
      <w:bookmarkEnd w:id="58"/>
    </w:p>
    <w:p>
      <w:pPr>
        <w:widowControl w:val="0"/>
        <w:spacing w:after="160" w:line="259"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6、</w:t>
      </w:r>
      <w:bookmarkStart w:id="59" w:name="_Hlk72096137"/>
      <w:r>
        <w:rPr>
          <w:rFonts w:eastAsia="宋体" w:hint="eastAsia"/>
          <w:bCs/>
          <w:kern w:val="2"/>
          <w:sz w:val="21"/>
          <w:szCs w:val="21"/>
          <w:lang w:eastAsia="zh-CN"/>
        </w:rPr>
        <w:t>表后“证明资料”部分内容的编制</w:t>
      </w:r>
      <w:bookmarkEnd w:id="59"/>
      <w:r>
        <w:rPr>
          <w:rFonts w:eastAsia="宋体" w:hint="eastAsia"/>
          <w:bCs/>
          <w:kern w:val="2"/>
          <w:sz w:val="21"/>
          <w:szCs w:val="21"/>
          <w:lang w:eastAsia="zh-CN"/>
        </w:rPr>
        <w:t>：提供的所有证明资料应当统一编号（排序），且证明资料的编号（顺序）、数量和名称（形式）均应与“说明”一栏所填内容保持一致（一一对应），以便评审委员会查看。</w:t>
      </w:r>
      <w:bookmarkStart w:id="60" w:name="_Hlk73558180"/>
      <w:r>
        <w:rPr>
          <w:rFonts w:eastAsia="宋体" w:hint="eastAsia"/>
          <w:bCs/>
          <w:kern w:val="2"/>
          <w:sz w:val="21"/>
          <w:szCs w:val="21"/>
          <w:lang w:eastAsia="zh-CN"/>
        </w:rPr>
        <w:t>未按照招标文件要求在表后放置证明材料的供应商将承担不利后果，经评审委员会认定，相关技术要求将判定为负偏离。</w:t>
      </w:r>
      <w:bookmarkEnd w:id="60"/>
    </w:p>
    <w:p>
      <w:pPr>
        <w:widowControl w:val="0"/>
        <w:spacing w:after="160" w:line="259"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7、</w:t>
      </w:r>
      <w:bookmarkStart w:id="61" w:name="_Hlk72096176"/>
      <w:r>
        <w:rPr>
          <w:rFonts w:eastAsia="宋体" w:hint="eastAsia"/>
          <w:bCs/>
          <w:kern w:val="2"/>
          <w:sz w:val="21"/>
          <w:szCs w:val="21"/>
          <w:lang w:eastAsia="zh-CN"/>
        </w:rPr>
        <w:t>证明资料的形式及其他具体要求</w:t>
      </w:r>
      <w:bookmarkEnd w:id="61"/>
      <w:r>
        <w:rPr>
          <w:rFonts w:eastAsia="宋体" w:hint="eastAsia"/>
          <w:bCs/>
          <w:kern w:val="2"/>
          <w:sz w:val="21"/>
          <w:szCs w:val="21"/>
          <w:lang w:eastAsia="zh-CN"/>
        </w:rPr>
        <w:t>：</w:t>
      </w:r>
    </w:p>
    <w:p>
      <w:pPr>
        <w:widowControl w:val="0"/>
        <w:spacing w:after="160" w:line="259"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（1）除照片、图片（截图）及不需加盖公章的文字说明（技术说明）外，其他证明资料均要求为原件扫描件；</w:t>
      </w:r>
    </w:p>
    <w:p>
      <w:pPr>
        <w:widowControl w:val="0"/>
        <w:spacing w:after="160" w:line="259"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widowControl w:val="0"/>
        <w:spacing w:after="160" w:line="259"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widowControl w:val="0"/>
        <w:spacing w:after="160" w:line="259"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我国政府机构出具的产品检验和核准证件应为证件正面、背面和附件标注的全部具体内容；产品检验和核准证件的尺寸和清晰度应该能够在电脑上被阅读、识别和判断；</w:t>
      </w:r>
    </w:p>
    <w:p>
      <w:pPr>
        <w:widowControl w:val="0"/>
        <w:spacing w:after="160" w:line="259"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widowControl w:val="0"/>
        <w:spacing w:after="160" w:line="259"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其他证明资料的形式要求参照以上要求执行；</w:t>
      </w:r>
    </w:p>
    <w:p>
      <w:pPr>
        <w:widowControl w:val="0"/>
        <w:spacing w:after="160" w:line="259"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8、其他注意事项：</w:t>
      </w:r>
    </w:p>
    <w:p>
      <w:pPr>
        <w:widowControl w:val="0"/>
        <w:spacing w:after="160" w:line="259"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（1）评审委员会有权对投标人的响应情况作出判断（评审结论）；</w:t>
      </w:r>
    </w:p>
    <w:p>
      <w:pPr>
        <w:widowControl w:val="0"/>
        <w:spacing w:after="160" w:line="259"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（2）</w:t>
      </w:r>
      <w:bookmarkStart w:id="62" w:name="_Hlk72158213"/>
      <w:r>
        <w:rPr>
          <w:rFonts w:eastAsia="宋体" w:hint="eastAsia"/>
          <w:bCs/>
          <w:kern w:val="2"/>
          <w:sz w:val="21"/>
          <w:szCs w:val="21"/>
          <w:lang w:eastAsia="zh-CN"/>
        </w:rPr>
        <w:t>评审委员会有权对以谋取中标为目的的技术规格模糊响应（如有意不合理照搬照抄招标文件的技术要求）或虚假响应予以认定，并视情况经政府集中采购机构报主管部门进行处理。</w:t>
      </w:r>
      <w:bookmarkEnd w:id="62"/>
    </w:p>
    <w:p>
      <w:pPr>
        <w:widowControl w:val="0"/>
        <w:spacing w:after="160" w:line="259" w:lineRule="auto"/>
        <w:ind w:firstLine="480" w:firstLineChars="200"/>
        <w:jc w:val="both"/>
        <w:rPr>
          <w:rFonts w:eastAsia="宋体"/>
          <w:b/>
          <w:kern w:val="2"/>
          <w:lang w:eastAsia="zh-CN"/>
        </w:rPr>
      </w:pPr>
    </w:p>
    <w:p>
      <w:pPr>
        <w:widowControl w:val="0"/>
        <w:spacing w:after="160" w:line="259" w:lineRule="auto"/>
        <w:jc w:val="both"/>
        <w:rPr>
          <w:rFonts w:eastAsia="宋体"/>
          <w:kern w:val="2"/>
          <w:lang w:eastAsia="zh-CN"/>
        </w:rPr>
      </w:pPr>
    </w:p>
    <w:p>
      <w:pPr>
        <w:keepNext/>
        <w:keepLines/>
        <w:widowControl w:val="0"/>
        <w:spacing w:before="260" w:after="260" w:line="240" w:lineRule="auto"/>
        <w:jc w:val="center"/>
        <w:outlineLvl w:val="2"/>
        <w:rPr>
          <w:rFonts w:ascii="宋体" w:eastAsia="宋体" w:hAnsi="宋体" w:hint="eastAsia"/>
          <w:b/>
          <w:bCs/>
          <w:kern w:val="2"/>
          <w:sz w:val="28"/>
          <w:szCs w:val="21"/>
          <w:lang w:eastAsia="zh-CN"/>
        </w:rPr>
      </w:pPr>
      <w:r>
        <w:rPr>
          <w:rFonts w:ascii="黑体" w:eastAsia="黑体" w:hAnsi="宋体" w:hint="eastAsia"/>
          <w:bCs/>
          <w:kern w:val="2"/>
          <w:lang w:eastAsia="zh-CN"/>
        </w:rPr>
        <w:t>九、商务要求偏离表</w:t>
      </w:r>
    </w:p>
    <w:tbl>
      <w:tblPr>
        <w:tblStyle w:val="TableNormal"/>
        <w:tblW w:w="5000" w:type="pct"/>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81"/>
        <w:gridCol w:w="1215"/>
        <w:gridCol w:w="4883"/>
        <w:gridCol w:w="775"/>
        <w:gridCol w:w="680"/>
        <w:gridCol w:w="488"/>
      </w:tblGrid>
      <w:tr>
        <w:tblPrEx>
          <w:tblW w:w="5000" w:type="pct"/>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49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
                <w:kern w:val="2"/>
                <w:sz w:val="21"/>
                <w:szCs w:val="21"/>
                <w:lang w:eastAsia="zh-CN"/>
              </w:rPr>
            </w:pPr>
            <w:r>
              <w:rPr>
                <w:rFonts w:ascii="仿宋_GB2312" w:eastAsia="仿宋_GB2312" w:hAnsi="仿宋_GB2312" w:cs="仿宋_GB2312" w:hint="eastAsia"/>
                <w:b/>
                <w:kern w:val="2"/>
                <w:sz w:val="21"/>
                <w:szCs w:val="21"/>
                <w:lang w:eastAsia="zh-CN"/>
              </w:rPr>
              <w:t>序号</w:t>
            </w:r>
          </w:p>
        </w:tc>
        <w:tc>
          <w:tcPr>
            <w:tcW w:w="1260"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
                <w:kern w:val="2"/>
                <w:sz w:val="21"/>
                <w:szCs w:val="21"/>
                <w:lang w:eastAsia="zh-CN"/>
              </w:rPr>
            </w:pPr>
            <w:r>
              <w:rPr>
                <w:rFonts w:ascii="仿宋_GB2312" w:eastAsia="仿宋_GB2312" w:hAnsi="仿宋_GB2312" w:cs="仿宋_GB2312" w:hint="eastAsia"/>
                <w:b/>
                <w:kern w:val="2"/>
                <w:sz w:val="21"/>
                <w:szCs w:val="21"/>
                <w:lang w:eastAsia="zh-CN"/>
              </w:rPr>
              <w:t>目录</w:t>
            </w:r>
          </w:p>
        </w:tc>
        <w:tc>
          <w:tcPr>
            <w:tcW w:w="5097"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
                <w:kern w:val="2"/>
                <w:sz w:val="21"/>
                <w:szCs w:val="21"/>
                <w:lang w:eastAsia="zh-CN"/>
              </w:rPr>
            </w:pPr>
            <w:r>
              <w:rPr>
                <w:rFonts w:ascii="仿宋_GB2312" w:eastAsia="仿宋_GB2312" w:hAnsi="仿宋_GB2312" w:cs="仿宋_GB2312" w:hint="eastAsia"/>
                <w:b/>
                <w:kern w:val="2"/>
                <w:sz w:val="21"/>
                <w:szCs w:val="21"/>
                <w:lang w:eastAsia="zh-CN"/>
              </w:rPr>
              <w:t>商务要求</w:t>
            </w:r>
          </w:p>
        </w:tc>
        <w:tc>
          <w:tcPr>
            <w:tcW w:w="800"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hint="eastAsia"/>
                <w:b/>
                <w:kern w:val="2"/>
                <w:sz w:val="21"/>
                <w:szCs w:val="21"/>
                <w:lang w:eastAsia="zh-CN"/>
              </w:rPr>
            </w:pPr>
            <w:r>
              <w:rPr>
                <w:rFonts w:ascii="仿宋_GB2312" w:eastAsia="仿宋_GB2312" w:hAnsi="仿宋_GB2312" w:cs="仿宋_GB2312" w:hint="eastAsia"/>
                <w:b/>
                <w:kern w:val="2"/>
                <w:sz w:val="21"/>
                <w:szCs w:val="21"/>
                <w:lang w:eastAsia="zh-CN"/>
              </w:rPr>
              <w:t>投标商务响应</w:t>
            </w:r>
          </w:p>
        </w:tc>
        <w:tc>
          <w:tcPr>
            <w:tcW w:w="700"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hint="eastAsia"/>
                <w:b/>
                <w:kern w:val="2"/>
                <w:sz w:val="21"/>
                <w:szCs w:val="21"/>
                <w:lang w:eastAsia="zh-CN"/>
              </w:rPr>
            </w:pPr>
            <w:r>
              <w:rPr>
                <w:rFonts w:ascii="仿宋_GB2312" w:eastAsia="仿宋_GB2312" w:hAnsi="仿宋_GB2312" w:cs="仿宋_GB2312" w:hint="eastAsia"/>
                <w:b/>
                <w:kern w:val="2"/>
                <w:sz w:val="21"/>
                <w:szCs w:val="21"/>
                <w:lang w:eastAsia="zh-CN"/>
              </w:rPr>
              <w:t>偏离情况</w:t>
            </w:r>
          </w:p>
        </w:tc>
        <w:tc>
          <w:tcPr>
            <w:tcW w:w="500"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hint="eastAsia"/>
                <w:b/>
                <w:kern w:val="2"/>
                <w:sz w:val="21"/>
                <w:szCs w:val="21"/>
                <w:lang w:eastAsia="zh-CN"/>
              </w:rPr>
            </w:pPr>
            <w:r>
              <w:rPr>
                <w:rFonts w:ascii="仿宋_GB2312" w:eastAsia="仿宋_GB2312" w:hAnsi="仿宋_GB2312" w:cs="仿宋_GB2312" w:hint="eastAsia"/>
                <w:b/>
                <w:kern w:val="2"/>
                <w:sz w:val="21"/>
                <w:szCs w:val="21"/>
                <w:lang w:eastAsia="zh-CN"/>
              </w:rPr>
              <w:t>说明</w:t>
            </w:r>
          </w:p>
        </w:tc>
      </w:tr>
      <w:tr>
        <w:tblPrEx>
          <w:tblW w:w="5000" w:type="pct"/>
          <w:tblInd w:w="-193" w:type="dxa"/>
          <w:tblLayout w:type="fixed"/>
          <w:tblCellMar>
            <w:top w:w="0" w:type="dxa"/>
            <w:left w:w="108" w:type="dxa"/>
            <w:bottom w:w="0" w:type="dxa"/>
            <w:right w:w="108" w:type="dxa"/>
          </w:tblCellMar>
        </w:tblPrEx>
        <w:trPr>
          <w:trHeight w:val="280"/>
        </w:trPr>
        <w:tc>
          <w:tcPr>
            <w:tcW w:w="8850" w:type="dxa"/>
            <w:gridSpan w:val="6"/>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
                <w:kern w:val="2"/>
                <w:sz w:val="21"/>
                <w:szCs w:val="21"/>
                <w:lang w:eastAsia="zh-CN"/>
              </w:rPr>
            </w:pPr>
            <w:r>
              <w:rPr>
                <w:rFonts w:ascii="仿宋_GB2312" w:eastAsia="仿宋_GB2312" w:hAnsi="仿宋_GB2312" w:cs="仿宋_GB2312" w:hint="eastAsia"/>
                <w:b/>
                <w:kern w:val="2"/>
                <w:sz w:val="21"/>
                <w:szCs w:val="21"/>
                <w:lang w:eastAsia="zh-CN"/>
              </w:rPr>
              <w:t>（一）免费保修期内售后服务要求</w:t>
            </w:r>
          </w:p>
        </w:tc>
      </w:tr>
      <w:tr>
        <w:tblPrEx>
          <w:tblW w:w="5000" w:type="pct"/>
          <w:tblInd w:w="-193" w:type="dxa"/>
          <w:tblLayout w:type="fixed"/>
          <w:tblCellMar>
            <w:top w:w="0" w:type="dxa"/>
            <w:left w:w="108" w:type="dxa"/>
            <w:bottom w:w="0" w:type="dxa"/>
            <w:right w:w="108" w:type="dxa"/>
          </w:tblCellMar>
        </w:tblPrEx>
        <w:trPr>
          <w:trHeight w:val="320"/>
        </w:trPr>
        <w:tc>
          <w:tcPr>
            <w:tcW w:w="493" w:type="dxa"/>
            <w:vMerge w:val="restart"/>
            <w:tcBorders>
              <w:top w:val="single" w:sz="4" w:space="0" w:color="auto"/>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1</w:t>
            </w:r>
          </w:p>
        </w:tc>
        <w:tc>
          <w:tcPr>
            <w:tcW w:w="1260" w:type="dxa"/>
            <w:vMerge w:val="restart"/>
            <w:tcBorders>
              <w:top w:val="single" w:sz="4" w:space="0" w:color="auto"/>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维修响应及故障解决时间</w:t>
            </w: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
                <w:kern w:val="2"/>
                <w:sz w:val="21"/>
                <w:szCs w:val="21"/>
                <w:lang w:eastAsia="zh-CN"/>
              </w:rPr>
            </w:pPr>
            <w:r>
              <w:rPr>
                <w:rFonts w:ascii="仿宋_GB2312" w:eastAsia="仿宋_GB2312" w:hAnsi="仿宋_GB2312" w:cs="仿宋_GB2312" w:hint="eastAsia"/>
                <w:bCs/>
                <w:color w:val="000000"/>
                <w:kern w:val="2"/>
                <w:sz w:val="21"/>
                <w:szCs w:val="21"/>
                <w:lang w:eastAsia="zh-CN"/>
              </w:rPr>
              <w:t>1.1免费保修期内，一旦发生质量问题，中标人保证接到通知</w:t>
            </w:r>
            <w:r>
              <w:rPr>
                <w:rFonts w:ascii="仿宋_GB2312" w:eastAsia="仿宋_GB2312" w:hAnsi="仿宋_GB2312" w:cs="仿宋_GB2312" w:hint="eastAsia"/>
                <w:bCs/>
                <w:color w:val="000000"/>
                <w:kern w:val="2"/>
                <w:sz w:val="21"/>
                <w:szCs w:val="21"/>
                <w:u w:val="single"/>
                <w:lang w:eastAsia="zh-CN"/>
              </w:rPr>
              <w:t>后2</w:t>
            </w:r>
            <w:r>
              <w:rPr>
                <w:rFonts w:ascii="仿宋_GB2312" w:eastAsia="仿宋_GB2312" w:hAnsi="仿宋_GB2312" w:cs="仿宋_GB2312" w:hint="eastAsia"/>
                <w:bCs/>
                <w:color w:val="000000"/>
                <w:kern w:val="2"/>
                <w:sz w:val="21"/>
                <w:szCs w:val="21"/>
                <w:lang w:eastAsia="zh-CN"/>
              </w:rPr>
              <w:t>小时响应，</w:t>
            </w:r>
            <w:r>
              <w:rPr>
                <w:rFonts w:ascii="仿宋_GB2312" w:eastAsia="仿宋_GB2312" w:hAnsi="仿宋_GB2312" w:cs="仿宋_GB2312" w:hint="eastAsia"/>
                <w:bCs/>
                <w:color w:val="000000"/>
                <w:kern w:val="2"/>
                <w:sz w:val="21"/>
                <w:szCs w:val="21"/>
                <w:u w:val="single"/>
                <w:lang w:eastAsia="zh-CN"/>
              </w:rPr>
              <w:t>12</w:t>
            </w:r>
            <w:r>
              <w:rPr>
                <w:rFonts w:ascii="仿宋_GB2312" w:eastAsia="仿宋_GB2312" w:hAnsi="仿宋_GB2312" w:cs="仿宋_GB2312" w:hint="eastAsia"/>
                <w:bCs/>
                <w:color w:val="000000"/>
                <w:kern w:val="2"/>
                <w:sz w:val="21"/>
                <w:szCs w:val="21"/>
                <w:lang w:eastAsia="zh-CN"/>
              </w:rPr>
              <w:t>小时到场维修，无法现场完成维修的，需 24 小时内提供可使用的备用机替代，确保临床工作顺利进行。</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color w:val="000000"/>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color w:val="000000"/>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color w:val="000000"/>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20"/>
        </w:trPr>
        <w:tc>
          <w:tcPr>
            <w:tcW w:w="493" w:type="dxa"/>
            <w:vMerge/>
            <w:tcBorders>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p>
        </w:tc>
        <w:tc>
          <w:tcPr>
            <w:tcW w:w="1260" w:type="dxa"/>
            <w:vMerge/>
            <w:tcBorders>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color w:val="000000"/>
                <w:kern w:val="2"/>
                <w:sz w:val="21"/>
                <w:szCs w:val="21"/>
                <w:lang w:eastAsia="zh-CN"/>
              </w:rPr>
            </w:pPr>
            <w:r>
              <w:rPr>
                <w:rFonts w:ascii="仿宋_GB2312" w:eastAsia="仿宋_GB2312" w:hAnsi="仿宋_GB2312" w:cs="仿宋_GB2312" w:hint="eastAsia"/>
                <w:bCs/>
                <w:color w:val="000000"/>
                <w:kern w:val="2"/>
                <w:sz w:val="21"/>
                <w:szCs w:val="21"/>
                <w:lang w:eastAsia="zh-CN"/>
              </w:rPr>
              <w:t>1.2按需及时更换零配件，不需要更换配件的情况下4小时内修复；需要更换配件的情况下，按采购人要求提供备用机。单次故障停机修复时间不得超过3天，每超1天，顺延保修期3天。</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color w:val="000000"/>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color w:val="000000"/>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color w:val="000000"/>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20"/>
        </w:trPr>
        <w:tc>
          <w:tcPr>
            <w:tcW w:w="493" w:type="dxa"/>
            <w:vMerge/>
            <w:tcBorders>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p>
        </w:tc>
        <w:tc>
          <w:tcPr>
            <w:tcW w:w="1260" w:type="dxa"/>
            <w:vMerge/>
            <w:tcBorders>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color w:val="000000"/>
                <w:kern w:val="2"/>
                <w:sz w:val="21"/>
                <w:szCs w:val="21"/>
                <w:lang w:eastAsia="zh-CN"/>
              </w:rPr>
            </w:pPr>
            <w:r>
              <w:rPr>
                <w:rFonts w:ascii="仿宋_GB2312" w:eastAsia="仿宋_GB2312" w:hAnsi="仿宋_GB2312" w:cs="仿宋_GB2312" w:hint="eastAsia"/>
                <w:bCs/>
                <w:color w:val="000000"/>
                <w:kern w:val="2"/>
                <w:sz w:val="21"/>
                <w:szCs w:val="21"/>
                <w:lang w:eastAsia="zh-CN"/>
              </w:rPr>
              <w:t>1.3如果国内没有配件需要从国外发货的情况下，单次故障停机修复时间不得超过15天（需提供海关报关单等证明材料），每超1天，顺延保修期3天。</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color w:val="000000"/>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color w:val="000000"/>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color w:val="000000"/>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20"/>
        </w:trPr>
        <w:tc>
          <w:tcPr>
            <w:tcW w:w="493" w:type="dxa"/>
            <w:vMerge/>
            <w:tcBorders>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p>
        </w:tc>
        <w:tc>
          <w:tcPr>
            <w:tcW w:w="1260" w:type="dxa"/>
            <w:vMerge/>
            <w:tcBorders>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color w:val="000000"/>
                <w:kern w:val="2"/>
                <w:sz w:val="21"/>
                <w:szCs w:val="21"/>
                <w:lang w:eastAsia="zh-CN"/>
              </w:rPr>
            </w:pPr>
            <w:r>
              <w:rPr>
                <w:rFonts w:ascii="仿宋_GB2312" w:eastAsia="仿宋_GB2312" w:hAnsi="仿宋_GB2312" w:cs="仿宋_GB2312" w:hint="eastAsia"/>
                <w:bCs/>
                <w:color w:val="000000"/>
                <w:kern w:val="2"/>
                <w:sz w:val="21"/>
                <w:szCs w:val="21"/>
                <w:lang w:eastAsia="zh-CN"/>
              </w:rPr>
              <w:t>1.4以上维修每迟一天，中标人向采购人支付由于设备故障所造成的采购人实际经济损失。保修期内的设备如不能现场进行维修需要运送的，更换维修地点的所有费用包括但不限于包装、运输费用等均由中标人负责。</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color w:val="000000"/>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color w:val="000000"/>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color w:val="000000"/>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20"/>
        </w:trPr>
        <w:tc>
          <w:tcPr>
            <w:tcW w:w="49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2</w:t>
            </w:r>
          </w:p>
        </w:tc>
        <w:tc>
          <w:tcPr>
            <w:tcW w:w="1260"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bCs/>
                <w:kern w:val="2"/>
                <w:sz w:val="21"/>
                <w:szCs w:val="21"/>
                <w:lang w:eastAsia="zh-CN"/>
              </w:rPr>
              <w:t>★</w:t>
            </w:r>
            <w:r>
              <w:rPr>
                <w:rFonts w:ascii="仿宋_GB2312" w:eastAsia="仿宋_GB2312" w:hAnsi="仿宋_GB2312" w:cs="仿宋_GB2312" w:hint="eastAsia"/>
                <w:kern w:val="2"/>
                <w:sz w:val="21"/>
                <w:szCs w:val="21"/>
                <w:lang w:eastAsia="zh-CN"/>
              </w:rPr>
              <w:t>关于免费保修期</w:t>
            </w: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2.1中标人提供为期</w:t>
            </w:r>
            <w:r>
              <w:rPr>
                <w:rFonts w:ascii="仿宋_GB2312" w:eastAsia="仿宋_GB2312" w:hAnsi="仿宋_GB2312" w:cs="仿宋_GB2312" w:hint="eastAsia"/>
                <w:bCs/>
                <w:kern w:val="2"/>
                <w:sz w:val="21"/>
                <w:szCs w:val="21"/>
                <w:u w:val="single"/>
                <w:lang w:eastAsia="zh-CN"/>
              </w:rPr>
              <w:t>5</w:t>
            </w:r>
            <w:r>
              <w:rPr>
                <w:rFonts w:ascii="仿宋_GB2312" w:eastAsia="仿宋_GB2312" w:hAnsi="仿宋_GB2312" w:cs="仿宋_GB2312" w:hint="eastAsia"/>
                <w:bCs/>
                <w:kern w:val="2"/>
                <w:sz w:val="21"/>
                <w:szCs w:val="21"/>
                <w:lang w:eastAsia="zh-CN"/>
              </w:rPr>
              <w:t>年或以上的原厂免费保修服务，保修期自采购人签署最终验收报告之日起开始计算。</w:t>
            </w:r>
          </w:p>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2.2保修期内更换零配件、软件升级、人工等服务如原厂需收费由中标人承担。</w:t>
            </w:r>
          </w:p>
          <w:p>
            <w:pPr>
              <w:widowControl/>
              <w:tabs>
                <w:tab w:val="left" w:pos="3697"/>
              </w:tabs>
              <w:kinsoku w:val="0"/>
              <w:autoSpaceDE w:val="0"/>
              <w:autoSpaceDN w:val="0"/>
              <w:adjustRightInd w:val="0"/>
              <w:snapToGrid w:val="0"/>
              <w:spacing w:after="160" w:line="259" w:lineRule="auto"/>
              <w:jc w:val="both"/>
              <w:textAlignment w:val="baseline"/>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2.3 在保修期内，中标人应确保设备安全正常运行，年开机率保证在95%以上。因设备故障导致开机率不足95%以上，将做以下处理：</w:t>
            </w:r>
          </w:p>
          <w:p>
            <w:pPr>
              <w:widowControl/>
              <w:tabs>
                <w:tab w:val="left" w:pos="3697"/>
              </w:tabs>
              <w:kinsoku w:val="0"/>
              <w:autoSpaceDE w:val="0"/>
              <w:autoSpaceDN w:val="0"/>
              <w:adjustRightInd w:val="0"/>
              <w:snapToGrid w:val="0"/>
              <w:spacing w:after="160" w:line="259" w:lineRule="auto"/>
              <w:ind w:firstLine="420" w:firstLineChars="200"/>
              <w:jc w:val="both"/>
              <w:textAlignment w:val="baseline"/>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a.年开机率在90%</w:t>
            </w:r>
            <w:r>
              <w:rPr>
                <w:rFonts w:ascii="仿宋_GB2312" w:eastAsia="仿宋_GB2312" w:hAnsi="仿宋_GB2312" w:cs="仿宋_GB2312" w:hint="eastAsia"/>
                <w:bCs/>
                <w:kern w:val="2"/>
                <w:sz w:val="21"/>
                <w:szCs w:val="21"/>
                <w:lang w:eastAsia="zh-CN"/>
              </w:rPr>
              <w:t>（不</w:t>
            </w:r>
            <w:r>
              <w:rPr>
                <w:rFonts w:ascii="仿宋_GB2312" w:eastAsia="仿宋_GB2312" w:hAnsi="仿宋_GB2312" w:cs="仿宋_GB2312" w:hint="eastAsia"/>
                <w:bCs/>
                <w:kern w:val="2"/>
                <w:sz w:val="21"/>
                <w:szCs w:val="21"/>
                <w:lang w:eastAsia="zh-CN"/>
              </w:rPr>
              <w:t>含</w:t>
            </w:r>
            <w:r>
              <w:rPr>
                <w:rFonts w:ascii="仿宋_GB2312" w:eastAsia="仿宋_GB2312" w:hAnsi="仿宋_GB2312" w:cs="仿宋_GB2312" w:hint="eastAsia"/>
                <w:bCs/>
                <w:kern w:val="2"/>
                <w:sz w:val="21"/>
                <w:szCs w:val="21"/>
                <w:lang w:eastAsia="zh-CN"/>
              </w:rPr>
              <w:t>）</w:t>
            </w:r>
            <w:r>
              <w:rPr>
                <w:rFonts w:ascii="仿宋_GB2312" w:eastAsia="仿宋_GB2312" w:hAnsi="仿宋_GB2312" w:cs="仿宋_GB2312" w:hint="eastAsia"/>
                <w:bCs/>
                <w:kern w:val="2"/>
                <w:sz w:val="21"/>
                <w:szCs w:val="21"/>
                <w:lang w:eastAsia="zh-CN"/>
              </w:rPr>
              <w:t>～95%</w:t>
            </w:r>
            <w:r>
              <w:rPr>
                <w:rFonts w:ascii="仿宋_GB2312" w:eastAsia="仿宋_GB2312" w:hAnsi="仿宋_GB2312" w:cs="仿宋_GB2312" w:hint="eastAsia"/>
                <w:bCs/>
                <w:kern w:val="2"/>
                <w:sz w:val="21"/>
                <w:szCs w:val="21"/>
                <w:lang w:eastAsia="zh-CN"/>
              </w:rPr>
              <w:t>（</w:t>
            </w:r>
            <w:r>
              <w:rPr>
                <w:rFonts w:ascii="仿宋_GB2312" w:eastAsia="仿宋_GB2312" w:hAnsi="仿宋_GB2312" w:cs="仿宋_GB2312" w:hint="eastAsia"/>
                <w:bCs/>
                <w:kern w:val="2"/>
                <w:sz w:val="21"/>
                <w:szCs w:val="21"/>
                <w:lang w:eastAsia="zh-CN"/>
              </w:rPr>
              <w:t>含</w:t>
            </w:r>
            <w:r>
              <w:rPr>
                <w:rFonts w:ascii="仿宋_GB2312" w:eastAsia="仿宋_GB2312" w:hAnsi="仿宋_GB2312" w:cs="仿宋_GB2312" w:hint="eastAsia"/>
                <w:bCs/>
                <w:kern w:val="2"/>
                <w:sz w:val="21"/>
                <w:szCs w:val="21"/>
                <w:lang w:eastAsia="zh-CN"/>
              </w:rPr>
              <w:t>）</w:t>
            </w:r>
            <w:r>
              <w:rPr>
                <w:rFonts w:ascii="仿宋_GB2312" w:eastAsia="仿宋_GB2312" w:hAnsi="仿宋_GB2312" w:cs="仿宋_GB2312" w:hint="eastAsia"/>
                <w:bCs/>
                <w:kern w:val="2"/>
                <w:sz w:val="21"/>
                <w:szCs w:val="21"/>
                <w:lang w:eastAsia="zh-CN"/>
              </w:rPr>
              <w:t>之间按一赔二延长保修期；</w:t>
            </w:r>
          </w:p>
          <w:p>
            <w:pPr>
              <w:widowControl/>
              <w:tabs>
                <w:tab w:val="left" w:pos="3697"/>
              </w:tabs>
              <w:kinsoku w:val="0"/>
              <w:autoSpaceDE w:val="0"/>
              <w:autoSpaceDN w:val="0"/>
              <w:adjustRightInd w:val="0"/>
              <w:snapToGrid w:val="0"/>
              <w:spacing w:after="160" w:line="259" w:lineRule="auto"/>
              <w:ind w:firstLine="420" w:firstLineChars="200"/>
              <w:jc w:val="both"/>
              <w:textAlignment w:val="baseline"/>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b.年开机率在85%</w:t>
            </w:r>
            <w:r>
              <w:rPr>
                <w:rFonts w:ascii="仿宋_GB2312" w:eastAsia="仿宋_GB2312" w:hAnsi="仿宋_GB2312" w:cs="仿宋_GB2312" w:hint="eastAsia"/>
                <w:bCs/>
                <w:kern w:val="2"/>
                <w:sz w:val="21"/>
                <w:szCs w:val="21"/>
                <w:lang w:eastAsia="zh-CN"/>
              </w:rPr>
              <w:t>（</w:t>
            </w:r>
            <w:r>
              <w:rPr>
                <w:rFonts w:ascii="仿宋_GB2312" w:eastAsia="仿宋_GB2312" w:hAnsi="仿宋_GB2312" w:cs="仿宋_GB2312" w:hint="eastAsia"/>
                <w:bCs/>
                <w:kern w:val="2"/>
                <w:sz w:val="21"/>
                <w:szCs w:val="21"/>
                <w:lang w:eastAsia="zh-CN"/>
              </w:rPr>
              <w:t>不含</w:t>
            </w:r>
            <w:r>
              <w:rPr>
                <w:rFonts w:ascii="仿宋_GB2312" w:eastAsia="仿宋_GB2312" w:hAnsi="仿宋_GB2312" w:cs="仿宋_GB2312" w:hint="eastAsia"/>
                <w:bCs/>
                <w:kern w:val="2"/>
                <w:sz w:val="21"/>
                <w:szCs w:val="21"/>
                <w:lang w:eastAsia="zh-CN"/>
              </w:rPr>
              <w:t>）</w:t>
            </w:r>
            <w:r>
              <w:rPr>
                <w:rFonts w:ascii="仿宋_GB2312" w:eastAsia="仿宋_GB2312" w:hAnsi="仿宋_GB2312" w:cs="仿宋_GB2312" w:hint="eastAsia"/>
                <w:bCs/>
                <w:kern w:val="2"/>
                <w:sz w:val="21"/>
                <w:szCs w:val="21"/>
                <w:lang w:eastAsia="zh-CN"/>
              </w:rPr>
              <w:t>～90%</w:t>
            </w:r>
            <w:r>
              <w:rPr>
                <w:rFonts w:ascii="仿宋_GB2312" w:eastAsia="仿宋_GB2312" w:hAnsi="仿宋_GB2312" w:cs="仿宋_GB2312" w:hint="eastAsia"/>
                <w:bCs/>
                <w:kern w:val="2"/>
                <w:sz w:val="21"/>
                <w:szCs w:val="21"/>
                <w:lang w:eastAsia="zh-CN"/>
              </w:rPr>
              <w:t>（</w:t>
            </w:r>
            <w:r>
              <w:rPr>
                <w:rFonts w:ascii="仿宋_GB2312" w:eastAsia="仿宋_GB2312" w:hAnsi="仿宋_GB2312" w:cs="仿宋_GB2312" w:hint="eastAsia"/>
                <w:bCs/>
                <w:kern w:val="2"/>
                <w:sz w:val="21"/>
                <w:szCs w:val="21"/>
                <w:lang w:eastAsia="zh-CN"/>
              </w:rPr>
              <w:t>含</w:t>
            </w:r>
            <w:r>
              <w:rPr>
                <w:rFonts w:ascii="仿宋_GB2312" w:eastAsia="仿宋_GB2312" w:hAnsi="仿宋_GB2312" w:cs="仿宋_GB2312" w:hint="eastAsia"/>
                <w:bCs/>
                <w:kern w:val="2"/>
                <w:sz w:val="21"/>
                <w:szCs w:val="21"/>
                <w:lang w:eastAsia="zh-CN"/>
              </w:rPr>
              <w:t>）</w:t>
            </w:r>
            <w:r>
              <w:rPr>
                <w:rFonts w:ascii="仿宋_GB2312" w:eastAsia="仿宋_GB2312" w:hAnsi="仿宋_GB2312" w:cs="仿宋_GB2312" w:hint="eastAsia"/>
                <w:bCs/>
                <w:kern w:val="2"/>
                <w:sz w:val="21"/>
                <w:szCs w:val="21"/>
                <w:lang w:eastAsia="zh-CN"/>
              </w:rPr>
              <w:t>之间按一赔五延长保修期；</w:t>
            </w:r>
          </w:p>
          <w:p>
            <w:pPr>
              <w:widowControl/>
              <w:tabs>
                <w:tab w:val="left" w:pos="3697"/>
              </w:tabs>
              <w:kinsoku w:val="0"/>
              <w:autoSpaceDE w:val="0"/>
              <w:autoSpaceDN w:val="0"/>
              <w:adjustRightInd w:val="0"/>
              <w:snapToGrid w:val="0"/>
              <w:spacing w:after="160" w:line="259" w:lineRule="auto"/>
              <w:ind w:firstLine="420" w:firstLineChars="200"/>
              <w:jc w:val="both"/>
              <w:textAlignment w:val="baseline"/>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c.年开机率低于85%</w:t>
            </w:r>
            <w:r>
              <w:rPr>
                <w:rFonts w:eastAsia="宋体" w:hint="eastAsia"/>
                <w:kern w:val="2"/>
                <w:sz w:val="21"/>
                <w:lang w:eastAsia="zh-CN"/>
              </w:rPr>
              <w:t>（</w:t>
            </w:r>
            <w:r>
              <w:rPr>
                <w:rFonts w:eastAsia="宋体" w:hint="eastAsia"/>
                <w:kern w:val="2"/>
                <w:sz w:val="21"/>
                <w:lang w:eastAsia="zh-CN"/>
              </w:rPr>
              <w:t>含</w:t>
            </w:r>
            <w:r>
              <w:rPr>
                <w:rFonts w:eastAsia="宋体" w:hint="eastAsia"/>
                <w:kern w:val="2"/>
                <w:sz w:val="21"/>
                <w:lang w:eastAsia="zh-CN"/>
              </w:rPr>
              <w:t>）</w:t>
            </w:r>
            <w:r>
              <w:rPr>
                <w:rFonts w:ascii="仿宋_GB2312" w:eastAsia="仿宋_GB2312" w:hAnsi="仿宋_GB2312" w:cs="仿宋_GB2312" w:hint="eastAsia"/>
                <w:bCs/>
                <w:kern w:val="2"/>
                <w:sz w:val="21"/>
                <w:szCs w:val="21"/>
                <w:lang w:eastAsia="zh-CN"/>
              </w:rPr>
              <w:t>，中标人必须无条件更换新机，并重新计算保修期，以及赔偿采购人的直接经济损失和间接经济损失，同时，采购人还有权选择退货处理。</w:t>
            </w:r>
          </w:p>
          <w:p>
            <w:pPr>
              <w:widowControl w:val="0"/>
              <w:spacing w:after="160" w:line="259" w:lineRule="auto"/>
              <w:jc w:val="both"/>
              <w:rPr>
                <w:rFonts w:ascii="仿宋_GB2312" w:eastAsia="仿宋_GB2312" w:hAnsi="仿宋_GB2312" w:cs="仿宋_GB2312"/>
                <w:b/>
                <w:kern w:val="2"/>
                <w:sz w:val="21"/>
                <w:szCs w:val="21"/>
                <w:lang w:eastAsia="zh-CN"/>
              </w:rPr>
            </w:pPr>
            <w:r>
              <w:rPr>
                <w:rFonts w:ascii="仿宋_GB2312" w:eastAsia="仿宋_GB2312" w:hAnsi="仿宋_GB2312" w:cs="仿宋_GB2312" w:hint="eastAsia"/>
                <w:bCs/>
                <w:kern w:val="2"/>
                <w:sz w:val="21"/>
                <w:szCs w:val="21"/>
                <w:lang w:eastAsia="zh-CN"/>
              </w:rPr>
              <w:t>注：年开机率 =（365-停机天数）/365。</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20"/>
        </w:trPr>
        <w:tc>
          <w:tcPr>
            <w:tcW w:w="49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3</w:t>
            </w:r>
          </w:p>
        </w:tc>
        <w:tc>
          <w:tcPr>
            <w:tcW w:w="1260"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备品备件要求</w:t>
            </w:r>
          </w:p>
        </w:tc>
        <w:tc>
          <w:tcPr>
            <w:tcW w:w="5097" w:type="dxa"/>
            <w:tcBorders>
              <w:top w:val="single" w:sz="4" w:space="0" w:color="auto"/>
              <w:left w:val="single" w:sz="4" w:space="0" w:color="auto"/>
              <w:bottom w:val="single" w:sz="4" w:space="0" w:color="auto"/>
              <w:right w:val="single" w:sz="4" w:space="0" w:color="auto"/>
            </w:tcBorders>
          </w:tcPr>
          <w:p>
            <w:pPr>
              <w:widowControl w:val="0"/>
              <w:tabs>
                <w:tab w:val="left" w:pos="3697"/>
              </w:tabs>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 xml:space="preserve">提供专机专用配套试剂及耗材（如有）、主要零配件报价清单。中标人负责设备的终身维修并应继续提供优质的服务，储备足够的零配件备库并保证十年以上维修配件、耗材的正常供应。  </w:t>
            </w:r>
          </w:p>
        </w:tc>
        <w:tc>
          <w:tcPr>
            <w:tcW w:w="800" w:type="dxa"/>
            <w:tcBorders>
              <w:top w:val="single" w:sz="4" w:space="0" w:color="auto"/>
              <w:left w:val="single" w:sz="4" w:space="0" w:color="auto"/>
              <w:bottom w:val="single" w:sz="4" w:space="0" w:color="auto"/>
              <w:right w:val="single" w:sz="4" w:space="0" w:color="auto"/>
            </w:tcBorders>
          </w:tcPr>
          <w:p>
            <w:pPr>
              <w:widowControl w:val="0"/>
              <w:tabs>
                <w:tab w:val="left" w:pos="3697"/>
              </w:tabs>
              <w:spacing w:after="160" w:line="259" w:lineRule="auto"/>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tabs>
                <w:tab w:val="left" w:pos="3697"/>
              </w:tabs>
              <w:spacing w:after="160" w:line="259" w:lineRule="auto"/>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tabs>
                <w:tab w:val="left" w:pos="3697"/>
              </w:tabs>
              <w:spacing w:after="160" w:line="259" w:lineRule="auto"/>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523"/>
        </w:trPr>
        <w:tc>
          <w:tcPr>
            <w:tcW w:w="49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259" w:lineRule="auto"/>
              <w:jc w:val="center"/>
              <w:rPr>
                <w:rFonts w:ascii="仿宋_GB2312" w:eastAsia="仿宋_GB2312" w:hAnsi="仿宋_GB2312" w:cs="仿宋_GB2312"/>
                <w:b/>
                <w:bCs/>
                <w:color w:val="FF0000"/>
                <w:kern w:val="2"/>
                <w:sz w:val="21"/>
                <w:szCs w:val="21"/>
                <w:lang w:eastAsia="zh-CN"/>
              </w:rPr>
            </w:pPr>
            <w:r>
              <w:rPr>
                <w:rFonts w:ascii="仿宋_GB2312" w:eastAsia="仿宋_GB2312" w:hAnsi="仿宋_GB2312" w:cs="仿宋_GB2312" w:hint="eastAsia"/>
                <w:kern w:val="2"/>
                <w:sz w:val="21"/>
                <w:szCs w:val="21"/>
                <w:lang w:eastAsia="zh-CN"/>
              </w:rPr>
              <w:t>软件升级</w:t>
            </w:r>
            <w:r>
              <w:rPr>
                <w:rFonts w:ascii="仿宋_GB2312" w:eastAsia="仿宋_GB2312" w:hAnsi="仿宋_GB2312" w:cs="仿宋_GB2312" w:hint="eastAsia"/>
                <w:bCs/>
                <w:kern w:val="2"/>
                <w:sz w:val="21"/>
                <w:szCs w:val="21"/>
                <w:lang w:eastAsia="zh-CN"/>
              </w:rPr>
              <w:t>（如有）</w:t>
            </w:r>
          </w:p>
        </w:tc>
        <w:tc>
          <w:tcPr>
            <w:tcW w:w="509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36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十年内免费提供软件升级服务。</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360" w:lineRule="exact"/>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360" w:lineRule="exact"/>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360" w:lineRule="exact"/>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543"/>
        </w:trPr>
        <w:tc>
          <w:tcPr>
            <w:tcW w:w="49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信息化系统</w:t>
            </w:r>
            <w:r>
              <w:rPr>
                <w:rFonts w:ascii="仿宋_GB2312" w:eastAsia="仿宋_GB2312" w:hAnsi="仿宋_GB2312" w:cs="仿宋_GB2312" w:hint="eastAsia"/>
                <w:bCs/>
                <w:kern w:val="2"/>
                <w:sz w:val="21"/>
                <w:szCs w:val="21"/>
                <w:lang w:eastAsia="zh-CN"/>
              </w:rPr>
              <w:t>（如有）</w:t>
            </w:r>
          </w:p>
        </w:tc>
        <w:tc>
          <w:tcPr>
            <w:tcW w:w="509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tabs>
                <w:tab w:val="left" w:pos="3697"/>
              </w:tabs>
              <w:kinsoku w:val="0"/>
              <w:autoSpaceDE w:val="0"/>
              <w:autoSpaceDN w:val="0"/>
              <w:adjustRightInd w:val="0"/>
              <w:snapToGrid w:val="0"/>
              <w:spacing w:after="160" w:line="259" w:lineRule="auto"/>
              <w:jc w:val="both"/>
              <w:textAlignment w:val="baseline"/>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信息化系统要求按招投标文件中条款执行。涉及软件应用的设备，中标人和厂家应配合采购人智慧医院信息化建设。在保修期内，应免费将软件更新、维护并免费提供更新所需的硬件，免费开放软件端口，无偿派人配合与医院信息系统（包括但不限于HIS、PACS、LIS等系统）的连接工作，直至该设备与医院信息系统可进行完整的数据交换；当医院信息系统变更或其他情形需要与该设备连接时，须无偿派人配合，直至该设备与医院信息系统可进行完整的数据交换，确保数据安全，无外泄。</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tabs>
                <w:tab w:val="left" w:pos="3697"/>
              </w:tabs>
              <w:kinsoku w:val="0"/>
              <w:autoSpaceDE w:val="0"/>
              <w:autoSpaceDN w:val="0"/>
              <w:adjustRightInd w:val="0"/>
              <w:snapToGrid w:val="0"/>
              <w:spacing w:after="160" w:line="259" w:lineRule="auto"/>
              <w:jc w:val="both"/>
              <w:textAlignment w:val="baseline"/>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tabs>
                <w:tab w:val="left" w:pos="3697"/>
              </w:tabs>
              <w:kinsoku w:val="0"/>
              <w:autoSpaceDE w:val="0"/>
              <w:autoSpaceDN w:val="0"/>
              <w:adjustRightInd w:val="0"/>
              <w:snapToGrid w:val="0"/>
              <w:spacing w:after="160" w:line="259" w:lineRule="auto"/>
              <w:jc w:val="both"/>
              <w:textAlignment w:val="baseline"/>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tabs>
                <w:tab w:val="left" w:pos="3697"/>
              </w:tabs>
              <w:kinsoku w:val="0"/>
              <w:autoSpaceDE w:val="0"/>
              <w:autoSpaceDN w:val="0"/>
              <w:adjustRightInd w:val="0"/>
              <w:snapToGrid w:val="0"/>
              <w:spacing w:after="160" w:line="259" w:lineRule="auto"/>
              <w:jc w:val="both"/>
              <w:textAlignment w:val="baseline"/>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523"/>
        </w:trPr>
        <w:tc>
          <w:tcPr>
            <w:tcW w:w="49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360" w:lineRule="exact"/>
              <w:jc w:val="center"/>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应急预案</w:t>
            </w:r>
          </w:p>
          <w:p>
            <w:pPr>
              <w:widowControl w:val="0"/>
              <w:spacing w:after="160" w:line="360" w:lineRule="exact"/>
              <w:jc w:val="center"/>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需求</w:t>
            </w:r>
          </w:p>
        </w:tc>
        <w:tc>
          <w:tcPr>
            <w:tcW w:w="509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tabs>
                <w:tab w:val="left" w:pos="3697"/>
              </w:tabs>
              <w:kinsoku w:val="0"/>
              <w:autoSpaceDE w:val="0"/>
              <w:autoSpaceDN w:val="0"/>
              <w:adjustRightInd w:val="0"/>
              <w:snapToGrid w:val="0"/>
              <w:spacing w:after="160" w:line="259" w:lineRule="auto"/>
              <w:jc w:val="both"/>
              <w:textAlignment w:val="baseline"/>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发生突发问题厂家需携带可使用的备用机24小时内到场，根据现场情况采用现场维修或备用机替代的方法，确保手术顺利进行。</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tabs>
                <w:tab w:val="left" w:pos="3697"/>
              </w:tabs>
              <w:kinsoku w:val="0"/>
              <w:autoSpaceDE w:val="0"/>
              <w:autoSpaceDN w:val="0"/>
              <w:adjustRightInd w:val="0"/>
              <w:snapToGrid w:val="0"/>
              <w:spacing w:after="160" w:line="259" w:lineRule="auto"/>
              <w:jc w:val="both"/>
              <w:textAlignment w:val="baseline"/>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tabs>
                <w:tab w:val="left" w:pos="3697"/>
              </w:tabs>
              <w:kinsoku w:val="0"/>
              <w:autoSpaceDE w:val="0"/>
              <w:autoSpaceDN w:val="0"/>
              <w:adjustRightInd w:val="0"/>
              <w:snapToGrid w:val="0"/>
              <w:spacing w:after="160" w:line="259" w:lineRule="auto"/>
              <w:jc w:val="both"/>
              <w:textAlignment w:val="baseline"/>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tabs>
                <w:tab w:val="left" w:pos="3697"/>
              </w:tabs>
              <w:kinsoku w:val="0"/>
              <w:autoSpaceDE w:val="0"/>
              <w:autoSpaceDN w:val="0"/>
              <w:adjustRightInd w:val="0"/>
              <w:snapToGrid w:val="0"/>
              <w:spacing w:after="160" w:line="259" w:lineRule="auto"/>
              <w:jc w:val="both"/>
              <w:textAlignment w:val="baseline"/>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523"/>
        </w:trPr>
        <w:tc>
          <w:tcPr>
            <w:tcW w:w="49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360" w:lineRule="exact"/>
              <w:jc w:val="center"/>
              <w:rPr>
                <w:rFonts w:ascii="仿宋_GB2312" w:eastAsia="仿宋_GB2312" w:hAnsi="仿宋_GB2312" w:cs="仿宋_GB2312"/>
                <w:color w:val="000000"/>
                <w:kern w:val="2"/>
                <w:sz w:val="21"/>
                <w:szCs w:val="21"/>
                <w:lang w:eastAsia="zh-CN"/>
              </w:rPr>
            </w:pPr>
            <w:r>
              <w:rPr>
                <w:rFonts w:ascii="仿宋_GB2312" w:eastAsia="仿宋_GB2312" w:hAnsi="仿宋_GB2312" w:cs="仿宋_GB2312" w:hint="eastAsia"/>
                <w:color w:val="000000"/>
                <w:kern w:val="2"/>
                <w:sz w:val="21"/>
                <w:szCs w:val="21"/>
                <w:lang w:eastAsia="zh-CN"/>
              </w:rPr>
              <w:t>定期三级保养/维护及履约评价需求</w:t>
            </w:r>
          </w:p>
        </w:tc>
        <w:tc>
          <w:tcPr>
            <w:tcW w:w="509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36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设备保养、维修服务应由厂家工程师或授权维修企业工程师负责，按产品说明书规定或相关行业规定进行保养，</w:t>
            </w:r>
            <w:r>
              <w:rPr>
                <w:rFonts w:ascii="仿宋_GB2312" w:eastAsia="仿宋_GB2312" w:hAnsi="仿宋_GB2312" w:cs="仿宋_GB2312" w:hint="eastAsia"/>
                <w:bCs/>
                <w:color w:val="000000"/>
                <w:kern w:val="2"/>
                <w:sz w:val="21"/>
                <w:szCs w:val="21"/>
                <w:lang w:eastAsia="zh-CN"/>
              </w:rPr>
              <w:t>每半年进行三级保养，并提供三级保养报告</w:t>
            </w:r>
            <w:r>
              <w:rPr>
                <w:rFonts w:ascii="仿宋_GB2312" w:eastAsia="仿宋_GB2312" w:hAnsi="仿宋_GB2312" w:cs="仿宋_GB2312" w:hint="eastAsia"/>
                <w:bCs/>
                <w:kern w:val="2"/>
                <w:sz w:val="21"/>
                <w:szCs w:val="21"/>
                <w:lang w:eastAsia="zh-CN"/>
              </w:rPr>
              <w:t>。并免费提供技术咨询服务。</w:t>
            </w:r>
          </w:p>
          <w:p>
            <w:pPr>
              <w:widowControl w:val="0"/>
              <w:spacing w:after="160" w:line="36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货物到达指定位置十日后由临床使用人与归口管理科室进行设备应用质量评价，达到使用质量评价要求后完成验收流程。</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360" w:lineRule="exact"/>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360" w:lineRule="exact"/>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360" w:lineRule="exact"/>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280"/>
        </w:trPr>
        <w:tc>
          <w:tcPr>
            <w:tcW w:w="8850" w:type="dxa"/>
            <w:gridSpan w:val="6"/>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
                <w:kern w:val="2"/>
                <w:sz w:val="21"/>
                <w:szCs w:val="21"/>
                <w:lang w:eastAsia="zh-CN"/>
              </w:rPr>
            </w:pPr>
            <w:r>
              <w:rPr>
                <w:rFonts w:ascii="仿宋_GB2312" w:eastAsia="仿宋_GB2312" w:hAnsi="仿宋_GB2312" w:cs="仿宋_GB2312" w:hint="eastAsia"/>
                <w:b/>
                <w:kern w:val="2"/>
                <w:sz w:val="21"/>
                <w:szCs w:val="21"/>
                <w:lang w:eastAsia="zh-CN"/>
              </w:rPr>
              <w:t>（二）免费保修期外售后服务要求</w:t>
            </w:r>
          </w:p>
        </w:tc>
      </w:tr>
      <w:tr>
        <w:tblPrEx>
          <w:tblW w:w="5000" w:type="pct"/>
          <w:tblInd w:w="-193" w:type="dxa"/>
          <w:tblLayout w:type="fixed"/>
          <w:tblCellMar>
            <w:top w:w="0" w:type="dxa"/>
            <w:left w:w="108" w:type="dxa"/>
            <w:bottom w:w="0" w:type="dxa"/>
            <w:right w:w="108" w:type="dxa"/>
          </w:tblCellMar>
        </w:tblPrEx>
        <w:trPr>
          <w:trHeight w:val="350"/>
        </w:trPr>
        <w:tc>
          <w:tcPr>
            <w:tcW w:w="49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360" w:lineRule="exact"/>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关于免费保修期后维修服务</w:t>
            </w:r>
          </w:p>
        </w:tc>
        <w:tc>
          <w:tcPr>
            <w:tcW w:w="5097"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36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保修期满后，以成本的优惠价供应维修零配件，以成本的优惠价供应消耗品；需维修设备经使用部门验收合格且厂家提供维修专用发票后，采购人仅支付配件费用。中标人及维修厂家不得以任何理由不按时进行设备维修。</w:t>
            </w:r>
          </w:p>
        </w:tc>
        <w:tc>
          <w:tcPr>
            <w:tcW w:w="8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360" w:lineRule="exact"/>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360" w:lineRule="exact"/>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360" w:lineRule="exact"/>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50"/>
        </w:trPr>
        <w:tc>
          <w:tcPr>
            <w:tcW w:w="49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160" w:line="360" w:lineRule="exact"/>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关于培训</w:t>
            </w:r>
          </w:p>
        </w:tc>
        <w:tc>
          <w:tcPr>
            <w:tcW w:w="5097"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36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中标人有义务根据提供的要求进行每年不少于一次的培训。</w:t>
            </w:r>
          </w:p>
        </w:tc>
        <w:tc>
          <w:tcPr>
            <w:tcW w:w="8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360" w:lineRule="exact"/>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360" w:lineRule="exact"/>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shd w:val="clear" w:color="auto" w:fill="auto"/>
          </w:tcPr>
          <w:p>
            <w:pPr>
              <w:widowControl w:val="0"/>
              <w:spacing w:after="160" w:line="360" w:lineRule="exact"/>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50"/>
        </w:trPr>
        <w:tc>
          <w:tcPr>
            <w:tcW w:w="8850" w:type="dxa"/>
            <w:gridSpan w:val="6"/>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
                <w:kern w:val="2"/>
                <w:sz w:val="21"/>
                <w:szCs w:val="21"/>
                <w:lang w:eastAsia="zh-CN"/>
              </w:rPr>
            </w:pPr>
            <w:r>
              <w:rPr>
                <w:rFonts w:ascii="仿宋_GB2312" w:eastAsia="仿宋_GB2312" w:hAnsi="仿宋_GB2312" w:cs="仿宋_GB2312" w:hint="eastAsia"/>
                <w:b/>
                <w:kern w:val="2"/>
                <w:sz w:val="21"/>
                <w:szCs w:val="21"/>
                <w:lang w:eastAsia="zh-CN"/>
              </w:rPr>
              <w:t>（三）其他商务要求</w:t>
            </w:r>
          </w:p>
        </w:tc>
      </w:tr>
      <w:tr>
        <w:tblPrEx>
          <w:tblW w:w="5000" w:type="pct"/>
          <w:tblInd w:w="-193" w:type="dxa"/>
          <w:tblLayout w:type="fixed"/>
          <w:tblCellMar>
            <w:top w:w="0" w:type="dxa"/>
            <w:left w:w="108" w:type="dxa"/>
            <w:bottom w:w="0" w:type="dxa"/>
            <w:right w:w="108" w:type="dxa"/>
          </w:tblCellMar>
        </w:tblPrEx>
        <w:trPr>
          <w:trHeight w:val="375"/>
        </w:trPr>
        <w:tc>
          <w:tcPr>
            <w:tcW w:w="493" w:type="dxa"/>
            <w:vMerge w:val="restart"/>
            <w:tcBorders>
              <w:top w:val="nil"/>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1</w:t>
            </w:r>
          </w:p>
        </w:tc>
        <w:tc>
          <w:tcPr>
            <w:tcW w:w="1260" w:type="dxa"/>
            <w:vMerge w:val="restart"/>
            <w:tcBorders>
              <w:top w:val="single" w:sz="4" w:space="0" w:color="auto"/>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关于交货</w:t>
            </w: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1.1交货地点：深圳市福田区莲花路1120号</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1657"/>
        </w:trPr>
        <w:tc>
          <w:tcPr>
            <w:tcW w:w="493" w:type="dxa"/>
            <w:vMerge/>
            <w:tcBorders>
              <w:left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260" w:type="dxa"/>
            <w:vMerge/>
            <w:tcBorders>
              <w:left w:val="single" w:sz="4" w:space="0" w:color="auto"/>
              <w:right w:val="single" w:sz="4" w:space="0" w:color="auto"/>
            </w:tcBorders>
            <w:vAlign w:val="center"/>
          </w:tcPr>
          <w:p>
            <w:pPr>
              <w:widowControl/>
              <w:spacing w:after="160" w:line="259" w:lineRule="auto"/>
              <w:jc w:val="center"/>
              <w:rPr>
                <w:rFonts w:ascii="仿宋_GB2312" w:eastAsia="仿宋_GB2312" w:hAnsi="仿宋_GB2312" w:cs="仿宋_GB2312"/>
                <w:kern w:val="2"/>
                <w:sz w:val="21"/>
                <w:szCs w:val="21"/>
                <w:lang w:eastAsia="zh-CN"/>
              </w:rPr>
            </w:pP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1.2中标人负责将货物安全无损运到采购人指定地点，并承担设备的包装、仓储、运输、保险、装卸、安装调试、培训（须同时提供培训视频文件，视频文件包括但不限于使用、保养、校准、质控等内容）、商检、保修期届满前备品备件等与采购设备及服务相关的所有含税费用。货物风险在最终验收合格前由中标人承担。</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76"/>
        </w:trPr>
        <w:tc>
          <w:tcPr>
            <w:tcW w:w="493" w:type="dxa"/>
            <w:vMerge/>
            <w:tcBorders>
              <w:left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260" w:type="dxa"/>
            <w:vMerge/>
            <w:tcBorders>
              <w:left w:val="single" w:sz="4" w:space="0" w:color="auto"/>
              <w:right w:val="single" w:sz="4" w:space="0" w:color="auto"/>
            </w:tcBorders>
            <w:vAlign w:val="center"/>
          </w:tcPr>
          <w:p>
            <w:pPr>
              <w:widowControl/>
              <w:spacing w:after="160" w:line="259" w:lineRule="auto"/>
              <w:jc w:val="center"/>
              <w:rPr>
                <w:rFonts w:ascii="仿宋_GB2312" w:eastAsia="仿宋_GB2312" w:hAnsi="仿宋_GB2312" w:cs="仿宋_GB2312"/>
                <w:kern w:val="2"/>
                <w:sz w:val="21"/>
                <w:szCs w:val="21"/>
                <w:lang w:eastAsia="zh-CN"/>
              </w:rPr>
            </w:pP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1.3 中标人应指定交货人员，并在交货时一并提供交货清单以及全套、完整的纸质版或电子版技术文件，包括设备配置清单、产品说明书（操作、安装、保养等内容）、质量保证文件、服务指南等，所有外文资料须提供中文译本。如为大型设备安装需提供安装图纸，视频培训资料需一并提供。文件应随货物一并交付给采购人指定的验收人员，按照临床要求提供塑封便于悬挂的操作规程及注意事项。如涉及维修密码及更换配件密码，需提供给采购人指定的验收人员。</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76"/>
        </w:trPr>
        <w:tc>
          <w:tcPr>
            <w:tcW w:w="493" w:type="dxa"/>
            <w:vMerge/>
            <w:tcBorders>
              <w:left w:val="single" w:sz="4" w:space="0" w:color="auto"/>
              <w:bottom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260" w:type="dxa"/>
            <w:vMerge/>
            <w:tcBorders>
              <w:left w:val="single" w:sz="4" w:space="0" w:color="auto"/>
              <w:bottom w:val="single" w:sz="4" w:space="0" w:color="auto"/>
              <w:right w:val="single" w:sz="4" w:space="0" w:color="auto"/>
            </w:tcBorders>
            <w:vAlign w:val="center"/>
          </w:tcPr>
          <w:p>
            <w:pPr>
              <w:widowControl/>
              <w:spacing w:after="160" w:line="259" w:lineRule="auto"/>
              <w:jc w:val="center"/>
              <w:rPr>
                <w:rFonts w:ascii="仿宋_GB2312" w:eastAsia="仿宋_GB2312" w:hAnsi="仿宋_GB2312" w:cs="仿宋_GB2312"/>
                <w:kern w:val="2"/>
                <w:sz w:val="21"/>
                <w:szCs w:val="21"/>
                <w:lang w:eastAsia="zh-CN"/>
              </w:rPr>
            </w:pP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★1.4中标人应在合同签订后30日内现货送到采购人指定交货地点，物流、运费及安装费由中标人承担。</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50"/>
        </w:trPr>
        <w:tc>
          <w:tcPr>
            <w:tcW w:w="493" w:type="dxa"/>
            <w:vMerge w:val="restart"/>
            <w:tcBorders>
              <w:top w:val="nil"/>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w:t>
            </w:r>
          </w:p>
        </w:tc>
        <w:tc>
          <w:tcPr>
            <w:tcW w:w="1260" w:type="dxa"/>
            <w:vMerge w:val="restart"/>
            <w:tcBorders>
              <w:top w:val="nil"/>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安装调试及验收</w:t>
            </w: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2.1 中标人提供免费安装服务，设备安装服务应由厂家工程师完成，以确保安装质量。中标人和厂家应在货物运至指定地点后，按照采购人指定时间完成安装、调试，需求部门和业务归口管理部门等共同参与验收。</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50"/>
        </w:trPr>
        <w:tc>
          <w:tcPr>
            <w:tcW w:w="493" w:type="dxa"/>
            <w:vMerge/>
            <w:tcBorders>
              <w:top w:val="nil"/>
              <w:left w:val="single" w:sz="4" w:space="0" w:color="auto"/>
              <w:bottom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260" w:type="dxa"/>
            <w:vMerge/>
            <w:tcBorders>
              <w:top w:val="nil"/>
              <w:left w:val="single" w:sz="4" w:space="0" w:color="auto"/>
              <w:bottom w:val="single" w:sz="4" w:space="0" w:color="auto"/>
              <w:right w:val="single" w:sz="4" w:space="0" w:color="auto"/>
            </w:tcBorders>
            <w:vAlign w:val="center"/>
          </w:tcPr>
          <w:p>
            <w:pPr>
              <w:widowControl/>
              <w:spacing w:after="160" w:line="259" w:lineRule="auto"/>
              <w:jc w:val="center"/>
              <w:rPr>
                <w:rFonts w:ascii="仿宋_GB2312" w:eastAsia="仿宋_GB2312" w:hAnsi="仿宋_GB2312" w:cs="仿宋_GB2312"/>
                <w:kern w:val="2"/>
                <w:sz w:val="21"/>
                <w:szCs w:val="21"/>
                <w:lang w:eastAsia="zh-CN"/>
              </w:rPr>
            </w:pP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2.2 货物收到后，采购人（需求部门、业务归口管理部门等）按合同和招标、投标文件约定的要求和标准及中华人民共和国现行的验收规范和评定标准进行交货验收。</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50"/>
        </w:trPr>
        <w:tc>
          <w:tcPr>
            <w:tcW w:w="493" w:type="dxa"/>
            <w:vMerge/>
            <w:tcBorders>
              <w:top w:val="nil"/>
              <w:left w:val="single" w:sz="4" w:space="0" w:color="auto"/>
              <w:bottom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260" w:type="dxa"/>
            <w:vMerge/>
            <w:tcBorders>
              <w:top w:val="nil"/>
              <w:left w:val="single" w:sz="4" w:space="0" w:color="auto"/>
              <w:bottom w:val="single" w:sz="4" w:space="0" w:color="auto"/>
              <w:right w:val="single" w:sz="4" w:space="0" w:color="auto"/>
            </w:tcBorders>
            <w:vAlign w:val="center"/>
          </w:tcPr>
          <w:p>
            <w:pPr>
              <w:widowControl/>
              <w:spacing w:after="160" w:line="259" w:lineRule="auto"/>
              <w:jc w:val="center"/>
              <w:rPr>
                <w:rFonts w:ascii="仿宋_GB2312" w:eastAsia="仿宋_GB2312" w:hAnsi="仿宋_GB2312" w:cs="仿宋_GB2312"/>
                <w:kern w:val="2"/>
                <w:sz w:val="21"/>
                <w:szCs w:val="21"/>
                <w:lang w:eastAsia="zh-CN"/>
              </w:rPr>
            </w:pP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2.3 中标人货物经过双方检验认可后，签署验收报告，产品保修期自最终验收合格并交付使用之日起计算，由投标人提供产品保修文件。</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50"/>
        </w:trPr>
        <w:tc>
          <w:tcPr>
            <w:tcW w:w="493" w:type="dxa"/>
            <w:vMerge/>
            <w:tcBorders>
              <w:top w:val="nil"/>
              <w:left w:val="single" w:sz="4" w:space="0" w:color="auto"/>
              <w:bottom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260" w:type="dxa"/>
            <w:vMerge/>
            <w:tcBorders>
              <w:top w:val="nil"/>
              <w:left w:val="single" w:sz="4" w:space="0" w:color="auto"/>
              <w:bottom w:val="single" w:sz="4" w:space="0" w:color="auto"/>
              <w:right w:val="single" w:sz="4" w:space="0" w:color="auto"/>
            </w:tcBorders>
            <w:vAlign w:val="center"/>
          </w:tcPr>
          <w:p>
            <w:pPr>
              <w:widowControl/>
              <w:spacing w:after="160" w:line="259" w:lineRule="auto"/>
              <w:jc w:val="center"/>
              <w:rPr>
                <w:rFonts w:ascii="仿宋_GB2312" w:eastAsia="仿宋_GB2312" w:hAnsi="仿宋_GB2312" w:cs="仿宋_GB2312"/>
                <w:kern w:val="2"/>
                <w:sz w:val="21"/>
                <w:szCs w:val="21"/>
                <w:lang w:eastAsia="zh-CN"/>
              </w:rPr>
            </w:pP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2.4 验收过程中，采购人有权委托有资质的检测机构检验或测试货物，以确认货物是否符合招投标文件和合同要求。如果发现所交货物不符合要求，存在质量、技术缺陷等问题，包括潜在的缺陷或使用不符合要求的材料的，采购人可以拒绝接收该货物，中标人应在30日内采取更换与合同要求相符的货物，由此发生的一切损失和费用由中标人承担，逾期未更换或更换货物仍不合格的，采购人有权做验收不合格处理。</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1062"/>
        </w:trPr>
        <w:tc>
          <w:tcPr>
            <w:tcW w:w="493" w:type="dxa"/>
            <w:vMerge/>
            <w:tcBorders>
              <w:top w:val="nil"/>
              <w:left w:val="single" w:sz="4" w:space="0" w:color="auto"/>
              <w:bottom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260" w:type="dxa"/>
            <w:vMerge/>
            <w:tcBorders>
              <w:top w:val="nil"/>
              <w:left w:val="single" w:sz="4" w:space="0" w:color="auto"/>
              <w:bottom w:val="single" w:sz="4" w:space="0" w:color="auto"/>
              <w:right w:val="single" w:sz="4" w:space="0" w:color="auto"/>
            </w:tcBorders>
            <w:vAlign w:val="center"/>
          </w:tcPr>
          <w:p>
            <w:pPr>
              <w:widowControl/>
              <w:spacing w:after="160" w:line="259" w:lineRule="auto"/>
              <w:jc w:val="center"/>
              <w:rPr>
                <w:rFonts w:ascii="仿宋_GB2312" w:eastAsia="仿宋_GB2312" w:hAnsi="仿宋_GB2312" w:cs="仿宋_GB2312"/>
                <w:kern w:val="2"/>
                <w:sz w:val="21"/>
                <w:szCs w:val="21"/>
                <w:lang w:eastAsia="zh-CN"/>
              </w:rPr>
            </w:pP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2.5 设备为特种设备的，中标人应免费提供相关特种检测部门出具的合格检测报告，并办理相应的特种设备使用登记证。</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5380"/>
        </w:trPr>
        <w:tc>
          <w:tcPr>
            <w:tcW w:w="493" w:type="dxa"/>
            <w:vMerge/>
            <w:tcBorders>
              <w:top w:val="nil"/>
              <w:left w:val="single" w:sz="4" w:space="0" w:color="auto"/>
              <w:bottom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260" w:type="dxa"/>
            <w:vMerge/>
            <w:tcBorders>
              <w:top w:val="nil"/>
              <w:left w:val="single" w:sz="4" w:space="0" w:color="auto"/>
              <w:bottom w:val="single" w:sz="4" w:space="0" w:color="auto"/>
              <w:right w:val="single" w:sz="4" w:space="0" w:color="auto"/>
            </w:tcBorders>
            <w:vAlign w:val="center"/>
          </w:tcPr>
          <w:p>
            <w:pPr>
              <w:widowControl/>
              <w:spacing w:after="160" w:line="259" w:lineRule="auto"/>
              <w:jc w:val="center"/>
              <w:rPr>
                <w:rFonts w:ascii="仿宋_GB2312" w:eastAsia="仿宋_GB2312" w:hAnsi="仿宋_GB2312" w:cs="仿宋_GB2312"/>
                <w:kern w:val="2"/>
                <w:sz w:val="21"/>
                <w:szCs w:val="21"/>
                <w:lang w:eastAsia="zh-CN"/>
              </w:rPr>
            </w:pP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kern w:val="2"/>
                <w:sz w:val="21"/>
                <w:szCs w:val="21"/>
                <w:lang w:eastAsia="zh-CN"/>
              </w:rPr>
              <w:t>★</w:t>
            </w:r>
            <w:r>
              <w:rPr>
                <w:rFonts w:ascii="仿宋_GB2312" w:eastAsia="仿宋_GB2312" w:hAnsi="仿宋_GB2312" w:cs="仿宋_GB2312" w:hint="eastAsia"/>
                <w:bCs/>
                <w:kern w:val="2"/>
                <w:sz w:val="21"/>
                <w:szCs w:val="21"/>
                <w:lang w:eastAsia="zh-CN"/>
              </w:rPr>
              <w:t>2.6当满足以下条件时，采购人才向中标人签发货物验收报告：</w:t>
            </w:r>
          </w:p>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（1）设备全新,外观无伤痕变形或明显修饰痕迹。</w:t>
            </w:r>
          </w:p>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2）如有国标，需符合有关规定；如无国标，则按照行业标准；如无国标及行业标准，则按双方约定执行。投标文件提供的技术数据经实测证实是真实的。检验及免费保修期内达到的性能指标与要求一致，达到或优于相应标准。</w:t>
            </w:r>
          </w:p>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（3）技术文件资料、备件等已按规定数量移交完毕。</w:t>
            </w:r>
          </w:p>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（4）按照招标</w:t>
            </w:r>
            <w:r>
              <w:rPr>
                <w:rFonts w:ascii="Calibri" w:eastAsia="仿宋_GB2312" w:hAnsi="Calibri" w:cs="Calibri" w:hint="eastAsia"/>
                <w:bCs/>
                <w:kern w:val="2"/>
                <w:sz w:val="21"/>
                <w:szCs w:val="21"/>
                <w:lang w:eastAsia="zh-CN"/>
              </w:rPr>
              <w:t>文件</w:t>
            </w:r>
            <w:r>
              <w:rPr>
                <w:rFonts w:ascii="仿宋_GB2312" w:eastAsia="仿宋_GB2312" w:hAnsi="仿宋_GB2312" w:cs="仿宋_GB2312" w:hint="eastAsia"/>
                <w:bCs/>
                <w:kern w:val="2"/>
                <w:sz w:val="21"/>
                <w:szCs w:val="21"/>
                <w:lang w:eastAsia="zh-CN"/>
              </w:rPr>
              <w:t>要求及投标文件提供的技术要求验收合格。</w:t>
            </w:r>
          </w:p>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5）投标人提供的各种文件载明的内容应保证真实，其技术数据采购人有权要求投标人提供采购人认可的第三方按照双方同意的试验方法进行检测。检测结果需证明投标人提供的技术数据是真实的，否则视为不合格。</w:t>
            </w:r>
          </w:p>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（6）货物具备产品合格证。</w:t>
            </w:r>
          </w:p>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（7）在货物安装调试合格后，所有技术指标达到技术规范书要求，经验收合格后，双方共同签署验收报告。</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50"/>
        </w:trPr>
        <w:tc>
          <w:tcPr>
            <w:tcW w:w="493" w:type="dxa"/>
            <w:vMerge w:val="restart"/>
            <w:tcBorders>
              <w:top w:val="nil"/>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3</w:t>
            </w:r>
          </w:p>
        </w:tc>
        <w:tc>
          <w:tcPr>
            <w:tcW w:w="1260" w:type="dxa"/>
            <w:vMerge w:val="restart"/>
            <w:tcBorders>
              <w:top w:val="nil"/>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eastAsia="宋体" w:hint="eastAsia"/>
                <w:kern w:val="2"/>
                <w:sz w:val="21"/>
                <w:lang w:eastAsia="zh-CN"/>
              </w:rPr>
              <w:t>★</w:t>
            </w:r>
            <w:r>
              <w:rPr>
                <w:rFonts w:ascii="仿宋_GB2312" w:eastAsia="仿宋_GB2312" w:hAnsi="仿宋_GB2312" w:cs="仿宋_GB2312" w:hint="eastAsia"/>
                <w:kern w:val="2"/>
                <w:sz w:val="21"/>
                <w:szCs w:val="21"/>
                <w:lang w:eastAsia="zh-CN"/>
              </w:rPr>
              <w:t>关于违约</w:t>
            </w: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3.1中标人提供的设备品种、型号、规格、质量、数量不符合招标文件或经采购人验收不合格的，采购人有权解除合同，中标人应向采购人支付合同总价30%的违约金，如采购人已支付货款的中标人还应立即退还，若违约金不足以弥补采购人损失的，中标人还应按实际损失对采购人予以赔偿。</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1115"/>
        </w:trPr>
        <w:tc>
          <w:tcPr>
            <w:tcW w:w="493" w:type="dxa"/>
            <w:vMerge/>
            <w:tcBorders>
              <w:left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260" w:type="dxa"/>
            <w:vMerge/>
            <w:tcBorders>
              <w:left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kern w:val="2"/>
                <w:sz w:val="21"/>
                <w:szCs w:val="21"/>
                <w:lang w:eastAsia="zh-CN"/>
              </w:rPr>
            </w:pP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3.2 中标人无正当理由不能交付设备的，采购人有权解除合同，中标人应向采购人支付合同总价30%的违约金，如违约金不足以弥补采购人损失的，中标人还应按实际损失对采购人予以赔偿。</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50"/>
        </w:trPr>
        <w:tc>
          <w:tcPr>
            <w:tcW w:w="493" w:type="dxa"/>
            <w:vMerge/>
            <w:tcBorders>
              <w:left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260" w:type="dxa"/>
            <w:vMerge/>
            <w:tcBorders>
              <w:left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kern w:val="2"/>
                <w:sz w:val="21"/>
                <w:szCs w:val="21"/>
                <w:lang w:eastAsia="zh-CN"/>
              </w:rPr>
            </w:pP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3.3中标人未按合同约定履行保修维修服务的，中标人向采购人每日给付违约金为合同总价的1%，逾期提供服务超过30天的，采购人有权解除合同，中标人应向采购人支付合同总价30%的违约金，如采购人已支付货款的中标人还应立即退还，若违约金不足以弥补采购人损失的，中标人还应按实际损失对采购人予以赔偿。</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340" w:lineRule="exact"/>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50"/>
        </w:trPr>
        <w:tc>
          <w:tcPr>
            <w:tcW w:w="493" w:type="dxa"/>
            <w:vMerge/>
            <w:tcBorders>
              <w:left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bCs/>
                <w:kern w:val="2"/>
                <w:sz w:val="21"/>
                <w:szCs w:val="21"/>
                <w:lang w:eastAsia="zh-CN"/>
              </w:rPr>
            </w:pPr>
          </w:p>
        </w:tc>
        <w:tc>
          <w:tcPr>
            <w:tcW w:w="1260" w:type="dxa"/>
            <w:vMerge/>
            <w:tcBorders>
              <w:left w:val="single" w:sz="4" w:space="0" w:color="auto"/>
              <w:right w:val="single" w:sz="4" w:space="0" w:color="auto"/>
            </w:tcBorders>
            <w:vAlign w:val="center"/>
          </w:tcPr>
          <w:p>
            <w:pPr>
              <w:widowControl/>
              <w:spacing w:after="160" w:line="259" w:lineRule="auto"/>
              <w:jc w:val="left"/>
              <w:rPr>
                <w:rFonts w:ascii="仿宋_GB2312" w:eastAsia="仿宋_GB2312" w:hAnsi="仿宋_GB2312" w:cs="仿宋_GB2312"/>
                <w:kern w:val="2"/>
                <w:sz w:val="21"/>
                <w:szCs w:val="21"/>
                <w:lang w:eastAsia="zh-CN"/>
              </w:rPr>
            </w:pP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left"/>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3.4</w:t>
            </w:r>
            <w:r>
              <w:rPr>
                <w:rFonts w:eastAsia="宋体"/>
                <w:kern w:val="2"/>
                <w:sz w:val="21"/>
                <w:lang w:eastAsia="zh-CN"/>
              </w:rPr>
              <w:t xml:space="preserve"> </w:t>
            </w:r>
            <w:r>
              <w:rPr>
                <w:rFonts w:ascii="仿宋_GB2312" w:eastAsia="仿宋_GB2312" w:hAnsi="仿宋_GB2312" w:cs="仿宋_GB2312" w:hint="eastAsia"/>
                <w:bCs/>
                <w:kern w:val="2"/>
                <w:sz w:val="21"/>
                <w:szCs w:val="21"/>
                <w:lang w:eastAsia="zh-CN"/>
              </w:rPr>
              <w:t>中标人承诺所使用软件的合法性，因中标人使用的软件引起纠纷给采购人造成损失的，应按合同总价的30%向采购人承担违约责任，违约金不足以弥补损失的，还应赔偿相应损失。</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left"/>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left"/>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left"/>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50"/>
        </w:trPr>
        <w:tc>
          <w:tcPr>
            <w:tcW w:w="493" w:type="dxa"/>
            <w:vMerge/>
            <w:tcBorders>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p>
        </w:tc>
        <w:tc>
          <w:tcPr>
            <w:tcW w:w="1260" w:type="dxa"/>
            <w:vMerge/>
            <w:tcBorders>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color w:val="FF0000"/>
                <w:kern w:val="2"/>
                <w:sz w:val="21"/>
                <w:szCs w:val="21"/>
                <w:lang w:eastAsia="zh-CN"/>
              </w:rPr>
            </w:pPr>
            <w:r>
              <w:rPr>
                <w:rFonts w:ascii="仿宋_GB2312" w:eastAsia="仿宋_GB2312" w:hAnsi="仿宋_GB2312" w:cs="仿宋_GB2312" w:hint="eastAsia"/>
                <w:bCs/>
                <w:kern w:val="2"/>
                <w:sz w:val="21"/>
                <w:szCs w:val="21"/>
                <w:lang w:eastAsia="zh-CN"/>
              </w:rPr>
              <w:t>3.5由于中标人的原因，未能按时供货或配合验收的，每迟一天应给付采购人的违约金为合同总额的1%，总额不超过合同总价的30%；如超过供货期30日，采购人有权解除合同，如采购人已支付货款的中标人还应立即退还，违约金不足以弥补损失的，应赔偿相应损失。</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50"/>
        </w:trPr>
        <w:tc>
          <w:tcPr>
            <w:tcW w:w="493" w:type="dxa"/>
            <w:vMerge/>
            <w:tcBorders>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p>
        </w:tc>
        <w:tc>
          <w:tcPr>
            <w:tcW w:w="1260" w:type="dxa"/>
            <w:vMerge/>
            <w:tcBorders>
              <w:left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color w:val="FF0000"/>
                <w:kern w:val="2"/>
                <w:sz w:val="21"/>
                <w:szCs w:val="21"/>
                <w:lang w:eastAsia="zh-CN"/>
              </w:rPr>
            </w:pPr>
            <w:r>
              <w:rPr>
                <w:rFonts w:ascii="仿宋_GB2312" w:eastAsia="仿宋_GB2312" w:hAnsi="仿宋_GB2312" w:cs="仿宋_GB2312" w:hint="eastAsia"/>
                <w:bCs/>
                <w:kern w:val="2"/>
                <w:sz w:val="21"/>
                <w:szCs w:val="21"/>
                <w:lang w:eastAsia="zh-CN"/>
              </w:rPr>
              <w:t>3.6由于中标人的原因，在货到一周内未进行安装调试，或安装调试时间超过正常要求（30日），每超过一天应给付采购人的违约金为合同总额的1%。违约金不足以弥补采购人损失的，中标人应承担相应损失。情节严重者，采购人将依法律程序要求中标人进行索赔。</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1955"/>
        </w:trPr>
        <w:tc>
          <w:tcPr>
            <w:tcW w:w="493" w:type="dxa"/>
            <w:vMerge/>
            <w:tcBorders>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p>
        </w:tc>
        <w:tc>
          <w:tcPr>
            <w:tcW w:w="1260" w:type="dxa"/>
            <w:vMerge/>
            <w:tcBorders>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3.7中标人违约或给采购人造成损失的，应承担采购人的维权费用（包括但不限于诉讼费，财产保全担保费，律师费，调查取证费，鉴定费，交通费，差旅费等）。在合同履行过程中，如双方发生分歧或纠纷，应首先通过友好协商方式解决，协商未果，任何一方均可向采购人所在地有管辖权的人民法院提起诉讼。</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980"/>
        </w:trPr>
        <w:tc>
          <w:tcPr>
            <w:tcW w:w="493" w:type="dxa"/>
            <w:vMerge/>
            <w:tcBorders>
              <w:left w:val="single" w:sz="4" w:space="0" w:color="auto"/>
              <w:bottom w:val="single" w:sz="4" w:space="0" w:color="auto"/>
              <w:right w:val="single" w:sz="4" w:space="0" w:color="auto"/>
            </w:tcBorders>
            <w:vAlign w:val="center"/>
          </w:tcPr>
          <w:p>
            <w:pPr>
              <w:widowControl w:val="0"/>
              <w:spacing w:after="160" w:line="259" w:lineRule="auto"/>
              <w:jc w:val="both"/>
              <w:rPr>
                <w:rFonts w:eastAsia="宋体"/>
                <w:kern w:val="2"/>
                <w:sz w:val="21"/>
                <w:lang w:eastAsia="zh-CN"/>
              </w:rPr>
            </w:pPr>
          </w:p>
        </w:tc>
        <w:tc>
          <w:tcPr>
            <w:tcW w:w="1260" w:type="dxa"/>
            <w:vMerge/>
            <w:tcBorders>
              <w:left w:val="single" w:sz="4" w:space="0" w:color="auto"/>
              <w:bottom w:val="single" w:sz="4" w:space="0" w:color="auto"/>
              <w:right w:val="single" w:sz="4" w:space="0" w:color="auto"/>
            </w:tcBorders>
            <w:vAlign w:val="center"/>
          </w:tcPr>
          <w:p>
            <w:pPr>
              <w:widowControl w:val="0"/>
              <w:spacing w:after="160" w:line="259" w:lineRule="auto"/>
              <w:jc w:val="both"/>
              <w:rPr>
                <w:rFonts w:eastAsia="宋体"/>
                <w:kern w:val="2"/>
                <w:sz w:val="21"/>
                <w:lang w:eastAsia="zh-CN"/>
              </w:rPr>
            </w:pP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3.8乙方提供的设备经调试验收合格后，在保修期内连续三个月内频繁（平均每月1次或1次以上）出现设备不能正常使用的情况，甲方有权选择要求乙方免费更换新机或者退货。</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50"/>
        </w:trPr>
        <w:tc>
          <w:tcPr>
            <w:tcW w:w="49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4</w:t>
            </w:r>
          </w:p>
        </w:tc>
        <w:tc>
          <w:tcPr>
            <w:tcW w:w="1260"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关于付款</w:t>
            </w: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
                <w:kern w:val="2"/>
                <w:sz w:val="21"/>
                <w:szCs w:val="21"/>
                <w:lang w:eastAsia="zh-CN"/>
              </w:rPr>
            </w:pPr>
            <w:r>
              <w:rPr>
                <w:rFonts w:ascii="仿宋_GB2312" w:eastAsia="仿宋_GB2312" w:hAnsi="仿宋_GB2312" w:cs="仿宋_GB2312" w:hint="eastAsia"/>
                <w:kern w:val="2"/>
                <w:sz w:val="21"/>
                <w:szCs w:val="21"/>
                <w:lang w:eastAsia="zh-CN"/>
              </w:rPr>
              <w:t>★采购人收到中标人提供的货物验收合格且完成设备使用培训后，由中标人按照合同金额开具税务发票，采购人支付货款95%；剩余5%尾款，于乙方提供免费维保年限一致的原厂维保承诺函及原厂维保合同，经采购人确认后不计息支付，收到发票后10个工作日内支付。中标人须提供正确的资金账户，因资金账户异常而导致采购人无法支付的，采购人不承担违约责任，给采购人造成实际损失的，中标人应承担相应的赔偿责任。</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50"/>
        </w:trPr>
        <w:tc>
          <w:tcPr>
            <w:tcW w:w="49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5</w:t>
            </w:r>
          </w:p>
        </w:tc>
        <w:tc>
          <w:tcPr>
            <w:tcW w:w="1260"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报价要求</w:t>
            </w: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lang w:eastAsia="zh-CN"/>
              </w:rPr>
            </w:pPr>
            <w:r>
              <w:rPr>
                <w:rFonts w:ascii="仿宋_GB2312" w:eastAsia="仿宋_GB2312" w:hAnsi="仿宋_GB2312" w:cs="仿宋_GB2312" w:hint="eastAsia"/>
                <w:kern w:val="2"/>
                <w:sz w:val="21"/>
                <w:szCs w:val="21"/>
                <w:lang w:eastAsia="zh-CN"/>
              </w:rPr>
              <w:t>★</w:t>
            </w:r>
            <w:r>
              <w:rPr>
                <w:rFonts w:ascii="仿宋_GB2312" w:eastAsia="仿宋_GB2312" w:hAnsi="仿宋_GB2312" w:cs="仿宋_GB2312" w:hint="eastAsia"/>
                <w:bCs/>
                <w:kern w:val="2"/>
                <w:sz w:val="21"/>
                <w:szCs w:val="21"/>
                <w:lang w:eastAsia="zh-CN"/>
              </w:rPr>
              <w:t>投标总价是完成该项目的一切费用总和，包括完成采购项目所需的一切费用，即：设备费、软件费、税费、运输费、装卸费、安装费、调试费、培训费、计量及技术服务费、外贸服务费和一切不可预见等费用，项目结算时不做任何单价或费用的调整(因数量变更除外)。</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50"/>
        </w:trPr>
        <w:tc>
          <w:tcPr>
            <w:tcW w:w="49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6</w:t>
            </w:r>
          </w:p>
        </w:tc>
        <w:tc>
          <w:tcPr>
            <w:tcW w:w="1260"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质量要求</w:t>
            </w: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color w:val="FF0000"/>
                <w:kern w:val="2"/>
                <w:sz w:val="21"/>
                <w:szCs w:val="21"/>
                <w:lang w:eastAsia="zh-CN"/>
              </w:rPr>
            </w:pPr>
            <w:r>
              <w:rPr>
                <w:rFonts w:ascii="仿宋_GB2312" w:eastAsia="仿宋_GB2312" w:hAnsi="仿宋_GB2312" w:cs="仿宋_GB2312" w:hint="eastAsia"/>
                <w:kern w:val="2"/>
                <w:sz w:val="21"/>
                <w:szCs w:val="21"/>
                <w:lang w:eastAsia="zh-CN"/>
              </w:rPr>
              <w:t>★</w:t>
            </w:r>
            <w:r>
              <w:rPr>
                <w:rFonts w:ascii="仿宋_GB2312" w:eastAsia="仿宋_GB2312" w:hAnsi="仿宋_GB2312" w:cs="仿宋_GB2312" w:hint="eastAsia"/>
                <w:bCs/>
                <w:kern w:val="2"/>
                <w:sz w:val="21"/>
                <w:szCs w:val="21"/>
                <w:lang w:eastAsia="zh-CN"/>
              </w:rPr>
              <w:t>投标人保证所提供的产品必须是生产日期在一年内未使用过的原厂全新产品（包括零部件），符合国家或省级行业质量标准。确保产品投入使用前，按照国家规定办理好产品所有启用所需的资质证件。</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350"/>
        </w:trPr>
        <w:tc>
          <w:tcPr>
            <w:tcW w:w="493"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7</w:t>
            </w:r>
          </w:p>
        </w:tc>
        <w:tc>
          <w:tcPr>
            <w:tcW w:w="1260" w:type="dxa"/>
            <w:tcBorders>
              <w:top w:val="single" w:sz="4" w:space="0" w:color="auto"/>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知识产权</w:t>
            </w: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Cs/>
                <w:kern w:val="2"/>
                <w:sz w:val="21"/>
                <w:szCs w:val="21"/>
                <w:highlight w:val="yellow"/>
                <w:lang w:eastAsia="zh-CN"/>
              </w:rPr>
            </w:pPr>
            <w:r>
              <w:rPr>
                <w:rFonts w:ascii="仿宋_GB2312" w:eastAsia="仿宋_GB2312" w:hAnsi="仿宋_GB2312" w:cs="仿宋_GB2312" w:hint="eastAsia"/>
                <w:bCs/>
                <w:kern w:val="2"/>
                <w:sz w:val="21"/>
                <w:szCs w:val="21"/>
                <w:lang w:eastAsia="zh-CN"/>
              </w:rPr>
              <w:t>中标人应保证采购人在使用该货物或其任何一部分时，终身免受第三方提出的侵犯其专利权、商标权、著作权或其他知识产权的起诉。中标人保证所提供软件的合法性，所发生的任何知识产权纠纷与采购人无关。若因为知识产权纠纷造成的一切损害赔偿及损失由中标人承担，包括但不限于实际损失、预期损失和对方要求赔偿损失及支出的诉讼费、律师费、交通费和差旅费等。</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bCs/>
                <w:kern w:val="2"/>
                <w:sz w:val="21"/>
                <w:szCs w:val="21"/>
                <w:lang w:eastAsia="zh-CN"/>
              </w:rPr>
            </w:pPr>
          </w:p>
        </w:tc>
      </w:tr>
      <w:tr>
        <w:tblPrEx>
          <w:tblW w:w="5000" w:type="pct"/>
          <w:tblInd w:w="-193" w:type="dxa"/>
          <w:tblLayout w:type="fixed"/>
          <w:tblCellMar>
            <w:top w:w="0" w:type="dxa"/>
            <w:left w:w="108" w:type="dxa"/>
            <w:bottom w:w="0" w:type="dxa"/>
            <w:right w:w="108" w:type="dxa"/>
          </w:tblCellMar>
        </w:tblPrEx>
        <w:trPr>
          <w:trHeight w:val="1920"/>
        </w:trPr>
        <w:tc>
          <w:tcPr>
            <w:tcW w:w="493" w:type="dxa"/>
            <w:tcBorders>
              <w:top w:val="nil"/>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bCs/>
                <w:kern w:val="2"/>
                <w:sz w:val="21"/>
                <w:szCs w:val="21"/>
                <w:lang w:eastAsia="zh-CN"/>
              </w:rPr>
            </w:pPr>
            <w:r>
              <w:rPr>
                <w:rFonts w:ascii="仿宋_GB2312" w:eastAsia="仿宋_GB2312" w:hAnsi="仿宋_GB2312" w:cs="仿宋_GB2312" w:hint="eastAsia"/>
                <w:bCs/>
                <w:kern w:val="2"/>
                <w:sz w:val="21"/>
                <w:szCs w:val="21"/>
                <w:lang w:eastAsia="zh-CN"/>
              </w:rPr>
              <w:t>8</w:t>
            </w:r>
          </w:p>
        </w:tc>
        <w:tc>
          <w:tcPr>
            <w:tcW w:w="1260" w:type="dxa"/>
            <w:tcBorders>
              <w:top w:val="nil"/>
              <w:left w:val="single" w:sz="4" w:space="0" w:color="auto"/>
              <w:bottom w:val="single" w:sz="4" w:space="0" w:color="auto"/>
              <w:right w:val="single" w:sz="4" w:space="0" w:color="auto"/>
            </w:tcBorders>
            <w:vAlign w:val="center"/>
          </w:tcPr>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项目（产品）</w:t>
            </w:r>
          </w:p>
          <w:p>
            <w:pPr>
              <w:widowControl w:val="0"/>
              <w:spacing w:after="160" w:line="259" w:lineRule="auto"/>
              <w:jc w:val="center"/>
              <w:rPr>
                <w:rFonts w:ascii="仿宋_GB2312" w:eastAsia="仿宋_GB2312" w:hAnsi="仿宋_GB2312" w:cs="仿宋_GB2312"/>
                <w:kern w:val="2"/>
                <w:sz w:val="21"/>
                <w:szCs w:val="21"/>
                <w:lang w:eastAsia="zh-CN"/>
              </w:rPr>
            </w:pPr>
            <w:r>
              <w:rPr>
                <w:rFonts w:ascii="仿宋_GB2312" w:eastAsia="仿宋_GB2312" w:hAnsi="仿宋_GB2312" w:cs="仿宋_GB2312" w:hint="eastAsia"/>
                <w:kern w:val="2"/>
                <w:sz w:val="21"/>
                <w:szCs w:val="21"/>
                <w:lang w:eastAsia="zh-CN"/>
              </w:rPr>
              <w:t>要求</w:t>
            </w:r>
          </w:p>
        </w:tc>
        <w:tc>
          <w:tcPr>
            <w:tcW w:w="5097"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b/>
                <w:color w:val="FF0000"/>
                <w:kern w:val="2"/>
                <w:sz w:val="21"/>
                <w:szCs w:val="21"/>
                <w:lang w:eastAsia="zh-CN"/>
              </w:rPr>
            </w:pPr>
            <w:r>
              <w:rPr>
                <w:rFonts w:ascii="仿宋_GB2312" w:eastAsia="仿宋_GB2312" w:hAnsi="仿宋_GB2312" w:cs="仿宋_GB2312" w:hint="eastAsia"/>
                <w:color w:val="FF0000"/>
                <w:kern w:val="2"/>
                <w:sz w:val="21"/>
                <w:szCs w:val="21"/>
                <w:lang w:eastAsia="zh-CN"/>
              </w:rPr>
              <w:t>★8</w:t>
            </w:r>
            <w:r>
              <w:rPr>
                <w:rFonts w:ascii="仿宋_GB2312" w:eastAsia="仿宋_GB2312" w:hAnsi="仿宋_GB2312" w:cs="仿宋_GB2312" w:hint="eastAsia"/>
                <w:b/>
                <w:color w:val="FF0000"/>
                <w:kern w:val="2"/>
                <w:sz w:val="21"/>
                <w:szCs w:val="21"/>
                <w:lang w:eastAsia="zh-CN"/>
              </w:rPr>
              <w:t>投标人所投产品具备相关主管部门要求的认证资料：所投产品为第一类医疗器械的，提供监督管理部门签发的有效的《医疗器械备案凭证》扫描件；所投产品为第二、三类医疗器械的，提供监督管理部门签发的涵盖所投产品的《医疗器械注册证》(有效期内)扫描件。</w:t>
            </w:r>
          </w:p>
        </w:tc>
        <w:tc>
          <w:tcPr>
            <w:tcW w:w="8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color w:val="FF0000"/>
                <w:kern w:val="2"/>
                <w:sz w:val="21"/>
                <w:szCs w:val="21"/>
                <w:lang w:eastAsia="zh-CN"/>
              </w:rPr>
            </w:pPr>
          </w:p>
        </w:tc>
        <w:tc>
          <w:tcPr>
            <w:tcW w:w="7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color w:val="FF0000"/>
                <w:kern w:val="2"/>
                <w:sz w:val="21"/>
                <w:szCs w:val="21"/>
                <w:lang w:eastAsia="zh-CN"/>
              </w:rPr>
            </w:pPr>
          </w:p>
        </w:tc>
        <w:tc>
          <w:tcPr>
            <w:tcW w:w="500" w:type="dxa"/>
            <w:tcBorders>
              <w:top w:val="single" w:sz="4" w:space="0" w:color="auto"/>
              <w:left w:val="single" w:sz="4" w:space="0" w:color="auto"/>
              <w:bottom w:val="single" w:sz="4" w:space="0" w:color="auto"/>
              <w:right w:val="single" w:sz="4" w:space="0" w:color="auto"/>
            </w:tcBorders>
          </w:tcPr>
          <w:p>
            <w:pPr>
              <w:widowControl w:val="0"/>
              <w:spacing w:after="160" w:line="259" w:lineRule="auto"/>
              <w:jc w:val="both"/>
              <w:rPr>
                <w:rFonts w:ascii="仿宋_GB2312" w:eastAsia="仿宋_GB2312" w:hAnsi="仿宋_GB2312" w:cs="仿宋_GB2312" w:hint="eastAsia"/>
                <w:color w:val="FF0000"/>
                <w:kern w:val="2"/>
                <w:sz w:val="21"/>
                <w:szCs w:val="21"/>
                <w:lang w:eastAsia="zh-CN"/>
              </w:rPr>
            </w:pPr>
          </w:p>
        </w:tc>
      </w:tr>
    </w:tbl>
    <w:p>
      <w:pPr>
        <w:widowControl w:val="0"/>
        <w:spacing w:after="160" w:line="259" w:lineRule="auto"/>
        <w:ind w:firstLine="420" w:firstLineChars="200"/>
        <w:jc w:val="both"/>
        <w:rPr>
          <w:rFonts w:eastAsia="宋体" w:hint="eastAsia"/>
          <w:bCs/>
          <w:kern w:val="2"/>
          <w:sz w:val="21"/>
          <w:szCs w:val="21"/>
          <w:lang w:eastAsia="zh-CN"/>
        </w:rPr>
      </w:pPr>
    </w:p>
    <w:p>
      <w:pPr>
        <w:widowControl w:val="0"/>
        <w:spacing w:after="160" w:line="259"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《商务要求偏离表》编制指引：</w:t>
      </w:r>
    </w:p>
    <w:p>
      <w:pPr>
        <w:widowControl w:val="0"/>
        <w:spacing w:after="160" w:line="259"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1、商务要求偏离表的序号、商务需求项、招标商务要求等栏目对应“用户需求书”中的“商务要求”章节相关内容。</w:t>
      </w:r>
    </w:p>
    <w:p>
      <w:pPr>
        <w:widowControl w:val="0"/>
        <w:spacing w:after="160" w:line="259" w:lineRule="auto"/>
        <w:ind w:firstLine="420" w:firstLineChars="200"/>
        <w:jc w:val="both"/>
        <w:rPr>
          <w:rFonts w:eastAsia="宋体"/>
          <w:bCs/>
          <w:kern w:val="2"/>
          <w:sz w:val="21"/>
          <w:szCs w:val="21"/>
          <w:lang w:eastAsia="zh-CN"/>
        </w:rPr>
      </w:pPr>
      <w:r>
        <w:rPr>
          <w:rFonts w:eastAsia="宋体"/>
          <w:bCs/>
          <w:kern w:val="2"/>
          <w:sz w:val="21"/>
          <w:szCs w:val="21"/>
          <w:lang w:eastAsia="zh-CN"/>
        </w:rPr>
        <w:t>2</w:t>
      </w:r>
      <w:r>
        <w:rPr>
          <w:rFonts w:eastAsia="宋体" w:hint="eastAsia"/>
          <w:bCs/>
          <w:kern w:val="2"/>
          <w:sz w:val="21"/>
          <w:szCs w:val="21"/>
          <w:lang w:eastAsia="zh-CN"/>
        </w:rPr>
        <w:t>、“投标商务响应”一栏必须一一对照“招标商务要求”，详细填写自身响应情况，而不能不合理照搬照抄招标文件的商务要求，以体现具体响应情况。</w:t>
      </w:r>
    </w:p>
    <w:p>
      <w:pPr>
        <w:widowControl w:val="0"/>
        <w:spacing w:after="160" w:line="259" w:lineRule="auto"/>
        <w:ind w:firstLine="420" w:firstLineChars="200"/>
        <w:jc w:val="both"/>
        <w:rPr>
          <w:rFonts w:eastAsia="宋体"/>
          <w:bCs/>
          <w:color w:val="FF0000"/>
          <w:kern w:val="2"/>
          <w:sz w:val="21"/>
          <w:szCs w:val="21"/>
          <w:lang w:eastAsia="zh-CN"/>
        </w:rPr>
      </w:pPr>
      <w:r>
        <w:rPr>
          <w:rFonts w:eastAsia="宋体"/>
          <w:bCs/>
          <w:kern w:val="2"/>
          <w:sz w:val="21"/>
          <w:szCs w:val="21"/>
          <w:lang w:eastAsia="zh-CN"/>
        </w:rPr>
        <w:t>3</w:t>
      </w:r>
      <w:r>
        <w:rPr>
          <w:rFonts w:eastAsia="宋体" w:hint="eastAsia"/>
          <w:bCs/>
          <w:kern w:val="2"/>
          <w:sz w:val="21"/>
          <w:szCs w:val="21"/>
          <w:lang w:eastAsia="zh-CN"/>
        </w:rPr>
        <w:t>、“偏离情况”一栏填写如实填写“正偏离”、“负偏离”或“无偏离”，其中：“正偏离”表示“投标响应优于招标商务要求”，“负偏离”表示“投标响应不满足招标商务要求”，“无偏离”表示“投标响应与招标商务要求一致”。</w:t>
      </w:r>
    </w:p>
    <w:p>
      <w:pPr>
        <w:widowControl w:val="0"/>
        <w:spacing w:after="160" w:line="259" w:lineRule="auto"/>
        <w:jc w:val="both"/>
        <w:rPr>
          <w:rFonts w:eastAsia="宋体"/>
          <w:bCs/>
          <w:kern w:val="2"/>
          <w:sz w:val="21"/>
          <w:szCs w:val="21"/>
          <w:lang w:eastAsia="zh-CN"/>
        </w:rPr>
      </w:pPr>
      <w:r>
        <w:rPr>
          <w:rFonts w:eastAsia="宋体" w:hint="eastAsia"/>
          <w:bCs/>
          <w:kern w:val="2"/>
          <w:sz w:val="21"/>
          <w:szCs w:val="21"/>
          <w:lang w:eastAsia="zh-CN"/>
        </w:rPr>
        <w:t>“投标商务响应”对比“招标商务要求”存在响应不全（包括未响应整项招标商务要求或者未响应一项招标商务要求的部分内容），均视为“负偏离”。</w:t>
      </w:r>
    </w:p>
    <w:p>
      <w:pPr>
        <w:widowControl w:val="0"/>
        <w:spacing w:after="160" w:line="259"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4、带★号条款为不可偏离条款，如未响应或出现负偏离的，将作投标无效处理。</w:t>
      </w:r>
    </w:p>
    <w:p>
      <w:pPr>
        <w:widowControl w:val="0"/>
        <w:spacing w:after="160" w:line="259" w:lineRule="auto"/>
        <w:jc w:val="both"/>
        <w:rPr>
          <w:rFonts w:eastAsia="宋体"/>
          <w:kern w:val="2"/>
          <w:lang w:eastAsia="zh-CN"/>
        </w:rPr>
      </w:pPr>
    </w:p>
    <w:p>
      <w:pPr>
        <w:keepNext/>
        <w:keepLines/>
        <w:widowControl w:val="0"/>
        <w:spacing w:before="260" w:after="260" w:line="240" w:lineRule="auto"/>
        <w:jc w:val="center"/>
        <w:outlineLvl w:val="2"/>
        <w:rPr>
          <w:rFonts w:ascii="黑体" w:eastAsia="黑体" w:hAnsi="宋体"/>
          <w:bCs/>
          <w:kern w:val="2"/>
          <w:lang w:eastAsia="zh-CN"/>
        </w:rPr>
      </w:pPr>
      <w:r>
        <w:rPr>
          <w:rFonts w:ascii="黑体" w:eastAsia="黑体" w:hAnsi="宋体" w:hint="eastAsia"/>
          <w:bCs/>
          <w:kern w:val="2"/>
          <w:lang w:eastAsia="zh-CN"/>
        </w:rPr>
        <w:t>十、技术保障措施（格式自定）</w:t>
      </w:r>
    </w:p>
    <w:p>
      <w:pPr>
        <w:widowControl w:val="0"/>
        <w:spacing w:after="160" w:line="259" w:lineRule="auto"/>
        <w:jc w:val="both"/>
        <w:rPr>
          <w:rFonts w:eastAsia="宋体"/>
          <w:b/>
          <w:color w:val="FF0000"/>
          <w:kern w:val="2"/>
          <w:sz w:val="22"/>
          <w:lang w:eastAsia="zh-CN"/>
        </w:rPr>
      </w:pPr>
      <w:r>
        <w:rPr>
          <w:rFonts w:eastAsia="宋体" w:hint="eastAsia"/>
          <w:b/>
          <w:color w:val="FF0000"/>
          <w:kern w:val="2"/>
          <w:sz w:val="22"/>
          <w:lang w:eastAsia="zh-CN"/>
        </w:rPr>
        <w:t>（特别提示：投标人须按本招标文件评标信息中这一评审因素要求，提供证明资料）</w:t>
      </w:r>
    </w:p>
    <w:p>
      <w:pPr>
        <w:widowControl w:val="0"/>
        <w:spacing w:after="160" w:line="259" w:lineRule="auto"/>
        <w:jc w:val="both"/>
        <w:rPr>
          <w:rFonts w:eastAsia="宋体"/>
          <w:b/>
          <w:kern w:val="2"/>
          <w:sz w:val="22"/>
          <w:lang w:eastAsia="zh-CN"/>
        </w:rPr>
      </w:pPr>
    </w:p>
    <w:p>
      <w:pPr>
        <w:keepNext/>
        <w:keepLines/>
        <w:widowControl w:val="0"/>
        <w:spacing w:before="260" w:after="260" w:line="240" w:lineRule="auto"/>
        <w:jc w:val="center"/>
        <w:outlineLvl w:val="2"/>
        <w:rPr>
          <w:rFonts w:ascii="黑体" w:eastAsia="黑体" w:hAnsi="宋体"/>
          <w:bCs/>
          <w:kern w:val="2"/>
          <w:lang w:eastAsia="zh-CN"/>
        </w:rPr>
      </w:pPr>
      <w:r>
        <w:rPr>
          <w:rFonts w:ascii="黑体" w:eastAsia="黑体" w:hAnsi="宋体" w:hint="eastAsia"/>
          <w:bCs/>
          <w:kern w:val="2"/>
          <w:lang w:eastAsia="zh-CN"/>
        </w:rPr>
        <w:t>十一、供应商同类业绩</w:t>
      </w:r>
    </w:p>
    <w:tbl>
      <w:tblPr>
        <w:tblStyle w:val="TableNormal"/>
        <w:tblW w:w="5000" w:type="pct"/>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99"/>
        <w:gridCol w:w="1416"/>
        <w:gridCol w:w="1984"/>
        <w:gridCol w:w="849"/>
        <w:gridCol w:w="992"/>
        <w:gridCol w:w="2182"/>
      </w:tblGrid>
      <w:tr>
        <w:tblPrEx>
          <w:tblW w:w="5000" w:type="pct"/>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099" w:type="dxa"/>
            <w:vAlign w:val="center"/>
          </w:tcPr>
          <w:p>
            <w:pPr>
              <w:widowControl w:val="0"/>
              <w:spacing w:after="160" w:line="259" w:lineRule="auto"/>
              <w:jc w:val="center"/>
              <w:rPr>
                <w:rFonts w:ascii="宋体" w:eastAsia="宋体" w:hAnsi="宋体"/>
                <w:kern w:val="2"/>
                <w:sz w:val="20"/>
                <w:szCs w:val="21"/>
                <w:lang w:eastAsia="zh-CN"/>
              </w:rPr>
            </w:pPr>
            <w:r>
              <w:rPr>
                <w:rFonts w:ascii="宋体" w:eastAsia="宋体" w:hAnsi="宋体" w:hint="eastAsia"/>
                <w:kern w:val="2"/>
                <w:sz w:val="20"/>
                <w:szCs w:val="21"/>
                <w:lang w:eastAsia="zh-CN"/>
              </w:rPr>
              <w:t>采购人</w:t>
            </w:r>
          </w:p>
        </w:tc>
        <w:tc>
          <w:tcPr>
            <w:tcW w:w="1416" w:type="dxa"/>
            <w:vAlign w:val="center"/>
          </w:tcPr>
          <w:p>
            <w:pPr>
              <w:widowControl w:val="0"/>
              <w:spacing w:after="160" w:line="259" w:lineRule="auto"/>
              <w:jc w:val="center"/>
              <w:rPr>
                <w:rFonts w:ascii="宋体" w:eastAsia="宋体" w:hAnsi="宋体"/>
                <w:kern w:val="2"/>
                <w:sz w:val="20"/>
                <w:szCs w:val="21"/>
                <w:lang w:eastAsia="zh-CN"/>
              </w:rPr>
            </w:pPr>
            <w:r>
              <w:rPr>
                <w:rFonts w:ascii="宋体" w:eastAsia="宋体" w:hAnsi="宋体" w:hint="eastAsia"/>
                <w:kern w:val="2"/>
                <w:sz w:val="20"/>
                <w:szCs w:val="21"/>
                <w:lang w:eastAsia="zh-CN"/>
              </w:rPr>
              <w:t>项目名称</w:t>
            </w:r>
          </w:p>
        </w:tc>
        <w:tc>
          <w:tcPr>
            <w:tcW w:w="1984" w:type="dxa"/>
            <w:vAlign w:val="center"/>
          </w:tcPr>
          <w:p>
            <w:pPr>
              <w:widowControl w:val="0"/>
              <w:spacing w:after="160" w:line="259" w:lineRule="auto"/>
              <w:jc w:val="center"/>
              <w:rPr>
                <w:rFonts w:ascii="宋体" w:eastAsia="宋体" w:hAnsi="宋体"/>
                <w:kern w:val="2"/>
                <w:sz w:val="20"/>
                <w:szCs w:val="21"/>
                <w:lang w:eastAsia="zh-CN"/>
              </w:rPr>
            </w:pPr>
            <w:r>
              <w:rPr>
                <w:rFonts w:ascii="宋体" w:eastAsia="宋体" w:hAnsi="宋体" w:hint="eastAsia"/>
                <w:kern w:val="2"/>
                <w:sz w:val="20"/>
                <w:szCs w:val="21"/>
                <w:lang w:eastAsia="zh-CN"/>
              </w:rPr>
              <w:t>项目规模（金额）</w:t>
            </w:r>
          </w:p>
        </w:tc>
        <w:tc>
          <w:tcPr>
            <w:tcW w:w="849" w:type="dxa"/>
            <w:vAlign w:val="center"/>
          </w:tcPr>
          <w:p>
            <w:pPr>
              <w:widowControl w:val="0"/>
              <w:spacing w:after="160" w:line="259" w:lineRule="auto"/>
              <w:jc w:val="center"/>
              <w:rPr>
                <w:rFonts w:ascii="宋体" w:eastAsia="宋体" w:hAnsi="宋体"/>
                <w:kern w:val="2"/>
                <w:sz w:val="20"/>
                <w:szCs w:val="21"/>
                <w:lang w:eastAsia="zh-CN"/>
              </w:rPr>
            </w:pPr>
            <w:r>
              <w:rPr>
                <w:rFonts w:ascii="宋体" w:eastAsia="宋体" w:hAnsi="宋体" w:hint="eastAsia"/>
                <w:kern w:val="2"/>
                <w:sz w:val="20"/>
                <w:szCs w:val="21"/>
                <w:lang w:eastAsia="zh-CN"/>
              </w:rPr>
              <w:t>合同签订日期</w:t>
            </w:r>
          </w:p>
        </w:tc>
        <w:tc>
          <w:tcPr>
            <w:tcW w:w="992" w:type="dxa"/>
            <w:vAlign w:val="center"/>
          </w:tcPr>
          <w:p>
            <w:pPr>
              <w:widowControl w:val="0"/>
              <w:spacing w:after="160" w:line="259" w:lineRule="auto"/>
              <w:jc w:val="center"/>
              <w:rPr>
                <w:rFonts w:ascii="宋体" w:eastAsia="宋体" w:hAnsi="宋体"/>
                <w:kern w:val="2"/>
                <w:sz w:val="20"/>
                <w:szCs w:val="21"/>
                <w:lang w:eastAsia="zh-CN"/>
              </w:rPr>
            </w:pPr>
            <w:r>
              <w:rPr>
                <w:rFonts w:ascii="宋体" w:eastAsia="宋体" w:hAnsi="宋体" w:hint="eastAsia"/>
                <w:kern w:val="2"/>
                <w:sz w:val="20"/>
                <w:szCs w:val="21"/>
                <w:lang w:eastAsia="zh-CN"/>
              </w:rPr>
              <w:t>履约验收时间</w:t>
            </w:r>
          </w:p>
        </w:tc>
        <w:tc>
          <w:tcPr>
            <w:tcW w:w="2182" w:type="dxa"/>
            <w:vAlign w:val="center"/>
          </w:tcPr>
          <w:p>
            <w:pPr>
              <w:widowControl w:val="0"/>
              <w:spacing w:after="160" w:line="259" w:lineRule="auto"/>
              <w:jc w:val="center"/>
              <w:rPr>
                <w:rFonts w:ascii="宋体" w:eastAsia="宋体" w:hAnsi="宋体"/>
                <w:kern w:val="2"/>
                <w:sz w:val="20"/>
                <w:szCs w:val="21"/>
                <w:lang w:eastAsia="zh-CN"/>
              </w:rPr>
            </w:pPr>
            <w:r>
              <w:rPr>
                <w:rFonts w:ascii="宋体" w:eastAsia="宋体" w:hAnsi="宋体" w:hint="eastAsia"/>
                <w:kern w:val="2"/>
                <w:sz w:val="20"/>
                <w:szCs w:val="21"/>
                <w:lang w:eastAsia="zh-CN"/>
              </w:rPr>
              <w:t>完成质量情况（以履约验收报告为准）</w:t>
            </w:r>
          </w:p>
        </w:tc>
      </w:tr>
      <w:tr>
        <w:tblPrEx>
          <w:tblW w:w="5000" w:type="pct"/>
          <w:tblInd w:w="0" w:type="dxa"/>
          <w:tblLayout w:type="fixed"/>
          <w:tblCellMar>
            <w:top w:w="0" w:type="dxa"/>
            <w:left w:w="108" w:type="dxa"/>
            <w:bottom w:w="0" w:type="dxa"/>
            <w:right w:w="108" w:type="dxa"/>
          </w:tblCellMar>
        </w:tblPrEx>
        <w:tc>
          <w:tcPr>
            <w:tcW w:w="1099" w:type="dxa"/>
            <w:vAlign w:val="center"/>
          </w:tcPr>
          <w:p>
            <w:pPr>
              <w:widowControl w:val="0"/>
              <w:spacing w:after="160" w:line="259" w:lineRule="auto"/>
              <w:ind w:firstLine="400" w:firstLineChars="200"/>
              <w:jc w:val="both"/>
              <w:rPr>
                <w:rFonts w:ascii="宋体" w:eastAsia="宋体" w:hAnsi="宋体"/>
                <w:kern w:val="2"/>
                <w:sz w:val="20"/>
                <w:szCs w:val="21"/>
                <w:lang w:eastAsia="zh-CN"/>
              </w:rPr>
            </w:pPr>
            <w:r>
              <w:rPr>
                <w:rFonts w:ascii="宋体" w:eastAsia="宋体" w:hAnsi="宋体"/>
                <w:kern w:val="2"/>
                <w:sz w:val="20"/>
                <w:szCs w:val="21"/>
                <w:lang w:eastAsia="zh-CN"/>
              </w:rPr>
              <w:t>……</w:t>
            </w:r>
          </w:p>
        </w:tc>
        <w:tc>
          <w:tcPr>
            <w:tcW w:w="1416" w:type="dxa"/>
            <w:vAlign w:val="center"/>
          </w:tcPr>
          <w:p>
            <w:pPr>
              <w:widowControl w:val="0"/>
              <w:spacing w:after="160" w:line="259" w:lineRule="auto"/>
              <w:ind w:firstLine="400" w:firstLineChars="200"/>
              <w:jc w:val="both"/>
              <w:rPr>
                <w:rFonts w:ascii="宋体" w:eastAsia="宋体" w:hAnsi="宋体"/>
                <w:kern w:val="2"/>
                <w:sz w:val="20"/>
                <w:szCs w:val="21"/>
                <w:lang w:eastAsia="zh-CN"/>
              </w:rPr>
            </w:pPr>
          </w:p>
        </w:tc>
        <w:tc>
          <w:tcPr>
            <w:tcW w:w="1984" w:type="dxa"/>
            <w:vAlign w:val="center"/>
          </w:tcPr>
          <w:p>
            <w:pPr>
              <w:widowControl w:val="0"/>
              <w:spacing w:after="160" w:line="259" w:lineRule="auto"/>
              <w:ind w:firstLine="400" w:firstLineChars="200"/>
              <w:jc w:val="both"/>
              <w:rPr>
                <w:rFonts w:ascii="宋体" w:eastAsia="宋体" w:hAnsi="宋体"/>
                <w:kern w:val="2"/>
                <w:sz w:val="20"/>
                <w:szCs w:val="21"/>
                <w:lang w:eastAsia="zh-CN"/>
              </w:rPr>
            </w:pPr>
          </w:p>
        </w:tc>
        <w:tc>
          <w:tcPr>
            <w:tcW w:w="849" w:type="dxa"/>
            <w:vAlign w:val="center"/>
          </w:tcPr>
          <w:p>
            <w:pPr>
              <w:widowControl w:val="0"/>
              <w:spacing w:after="160" w:line="259" w:lineRule="auto"/>
              <w:ind w:firstLine="400" w:firstLineChars="200"/>
              <w:jc w:val="both"/>
              <w:rPr>
                <w:rFonts w:ascii="宋体" w:eastAsia="宋体" w:hAnsi="宋体"/>
                <w:kern w:val="2"/>
                <w:sz w:val="20"/>
                <w:szCs w:val="21"/>
                <w:lang w:eastAsia="zh-CN"/>
              </w:rPr>
            </w:pPr>
          </w:p>
        </w:tc>
        <w:tc>
          <w:tcPr>
            <w:tcW w:w="992" w:type="dxa"/>
            <w:vAlign w:val="center"/>
          </w:tcPr>
          <w:p>
            <w:pPr>
              <w:widowControl w:val="0"/>
              <w:spacing w:after="160" w:line="259" w:lineRule="auto"/>
              <w:ind w:firstLine="400" w:firstLineChars="200"/>
              <w:jc w:val="both"/>
              <w:rPr>
                <w:rFonts w:ascii="宋体" w:eastAsia="宋体" w:hAnsi="宋体"/>
                <w:kern w:val="2"/>
                <w:sz w:val="20"/>
                <w:szCs w:val="21"/>
                <w:lang w:eastAsia="zh-CN"/>
              </w:rPr>
            </w:pPr>
          </w:p>
        </w:tc>
        <w:tc>
          <w:tcPr>
            <w:tcW w:w="2182" w:type="dxa"/>
            <w:vAlign w:val="center"/>
          </w:tcPr>
          <w:p>
            <w:pPr>
              <w:widowControl w:val="0"/>
              <w:spacing w:after="160" w:line="259" w:lineRule="auto"/>
              <w:ind w:firstLine="400" w:firstLineChars="200"/>
              <w:jc w:val="both"/>
              <w:rPr>
                <w:rFonts w:ascii="宋体" w:eastAsia="宋体" w:hAnsi="宋体"/>
                <w:kern w:val="2"/>
                <w:sz w:val="20"/>
                <w:szCs w:val="21"/>
                <w:lang w:eastAsia="zh-CN"/>
              </w:rPr>
            </w:pPr>
          </w:p>
        </w:tc>
      </w:tr>
      <w:tr>
        <w:tblPrEx>
          <w:tblW w:w="5000" w:type="pct"/>
          <w:tblInd w:w="0" w:type="dxa"/>
          <w:tblLayout w:type="fixed"/>
          <w:tblCellMar>
            <w:top w:w="0" w:type="dxa"/>
            <w:left w:w="108" w:type="dxa"/>
            <w:bottom w:w="0" w:type="dxa"/>
            <w:right w:w="108" w:type="dxa"/>
          </w:tblCellMar>
        </w:tblPrEx>
        <w:tc>
          <w:tcPr>
            <w:tcW w:w="1099" w:type="dxa"/>
            <w:vAlign w:val="center"/>
          </w:tcPr>
          <w:p>
            <w:pPr>
              <w:widowControl w:val="0"/>
              <w:spacing w:after="160" w:line="259" w:lineRule="auto"/>
              <w:ind w:firstLine="400" w:firstLineChars="200"/>
              <w:jc w:val="both"/>
              <w:rPr>
                <w:rFonts w:ascii="宋体" w:eastAsia="宋体" w:hAnsi="宋体"/>
                <w:kern w:val="2"/>
                <w:sz w:val="20"/>
                <w:szCs w:val="21"/>
                <w:lang w:eastAsia="zh-CN"/>
              </w:rPr>
            </w:pPr>
          </w:p>
        </w:tc>
        <w:tc>
          <w:tcPr>
            <w:tcW w:w="1416" w:type="dxa"/>
            <w:vAlign w:val="center"/>
          </w:tcPr>
          <w:p>
            <w:pPr>
              <w:widowControl w:val="0"/>
              <w:spacing w:after="160" w:line="259" w:lineRule="auto"/>
              <w:ind w:firstLine="400" w:firstLineChars="200"/>
              <w:jc w:val="both"/>
              <w:rPr>
                <w:rFonts w:ascii="宋体" w:eastAsia="宋体" w:hAnsi="宋体"/>
                <w:kern w:val="2"/>
                <w:sz w:val="20"/>
                <w:szCs w:val="21"/>
                <w:lang w:eastAsia="zh-CN"/>
              </w:rPr>
            </w:pPr>
          </w:p>
        </w:tc>
        <w:tc>
          <w:tcPr>
            <w:tcW w:w="1984" w:type="dxa"/>
            <w:vAlign w:val="center"/>
          </w:tcPr>
          <w:p>
            <w:pPr>
              <w:widowControl w:val="0"/>
              <w:spacing w:after="160" w:line="259" w:lineRule="auto"/>
              <w:ind w:firstLine="400" w:firstLineChars="200"/>
              <w:jc w:val="both"/>
              <w:rPr>
                <w:rFonts w:ascii="宋体" w:eastAsia="宋体" w:hAnsi="宋体"/>
                <w:kern w:val="2"/>
                <w:sz w:val="20"/>
                <w:szCs w:val="21"/>
                <w:lang w:eastAsia="zh-CN"/>
              </w:rPr>
            </w:pPr>
          </w:p>
        </w:tc>
        <w:tc>
          <w:tcPr>
            <w:tcW w:w="849" w:type="dxa"/>
            <w:vAlign w:val="center"/>
          </w:tcPr>
          <w:p>
            <w:pPr>
              <w:widowControl w:val="0"/>
              <w:spacing w:after="160" w:line="259" w:lineRule="auto"/>
              <w:ind w:firstLine="400" w:firstLineChars="200"/>
              <w:jc w:val="both"/>
              <w:rPr>
                <w:rFonts w:ascii="宋体" w:eastAsia="宋体" w:hAnsi="宋体"/>
                <w:kern w:val="2"/>
                <w:sz w:val="20"/>
                <w:szCs w:val="21"/>
                <w:lang w:eastAsia="zh-CN"/>
              </w:rPr>
            </w:pPr>
          </w:p>
        </w:tc>
        <w:tc>
          <w:tcPr>
            <w:tcW w:w="992" w:type="dxa"/>
            <w:vAlign w:val="center"/>
          </w:tcPr>
          <w:p>
            <w:pPr>
              <w:widowControl w:val="0"/>
              <w:spacing w:after="160" w:line="259" w:lineRule="auto"/>
              <w:ind w:firstLine="400" w:firstLineChars="200"/>
              <w:jc w:val="both"/>
              <w:rPr>
                <w:rFonts w:ascii="宋体" w:eastAsia="宋体" w:hAnsi="宋体"/>
                <w:kern w:val="2"/>
                <w:sz w:val="20"/>
                <w:szCs w:val="21"/>
                <w:lang w:eastAsia="zh-CN"/>
              </w:rPr>
            </w:pPr>
          </w:p>
        </w:tc>
        <w:tc>
          <w:tcPr>
            <w:tcW w:w="2182" w:type="dxa"/>
            <w:vAlign w:val="center"/>
          </w:tcPr>
          <w:p>
            <w:pPr>
              <w:widowControl w:val="0"/>
              <w:spacing w:after="160" w:line="259" w:lineRule="auto"/>
              <w:ind w:firstLine="400" w:firstLineChars="200"/>
              <w:jc w:val="both"/>
              <w:rPr>
                <w:rFonts w:ascii="宋体" w:eastAsia="宋体" w:hAnsi="宋体"/>
                <w:kern w:val="2"/>
                <w:sz w:val="20"/>
                <w:szCs w:val="21"/>
                <w:lang w:eastAsia="zh-CN"/>
              </w:rPr>
            </w:pPr>
          </w:p>
        </w:tc>
      </w:tr>
      <w:tr>
        <w:tblPrEx>
          <w:tblW w:w="5000" w:type="pct"/>
          <w:tblInd w:w="0" w:type="dxa"/>
          <w:tblLayout w:type="fixed"/>
          <w:tblCellMar>
            <w:top w:w="0" w:type="dxa"/>
            <w:left w:w="108" w:type="dxa"/>
            <w:bottom w:w="0" w:type="dxa"/>
            <w:right w:w="108" w:type="dxa"/>
          </w:tblCellMar>
        </w:tblPrEx>
        <w:tc>
          <w:tcPr>
            <w:tcW w:w="1099" w:type="dxa"/>
            <w:vAlign w:val="center"/>
          </w:tcPr>
          <w:p>
            <w:pPr>
              <w:widowControl w:val="0"/>
              <w:spacing w:after="160" w:line="259" w:lineRule="auto"/>
              <w:ind w:firstLine="400" w:firstLineChars="200"/>
              <w:jc w:val="both"/>
              <w:rPr>
                <w:rFonts w:ascii="宋体" w:eastAsia="宋体" w:hAnsi="宋体"/>
                <w:kern w:val="2"/>
                <w:sz w:val="20"/>
                <w:szCs w:val="21"/>
                <w:lang w:eastAsia="zh-CN"/>
              </w:rPr>
            </w:pPr>
          </w:p>
        </w:tc>
        <w:tc>
          <w:tcPr>
            <w:tcW w:w="1416" w:type="dxa"/>
            <w:vAlign w:val="center"/>
          </w:tcPr>
          <w:p>
            <w:pPr>
              <w:widowControl w:val="0"/>
              <w:spacing w:after="160" w:line="259" w:lineRule="auto"/>
              <w:ind w:firstLine="400" w:firstLineChars="200"/>
              <w:jc w:val="both"/>
              <w:rPr>
                <w:rFonts w:ascii="宋体" w:eastAsia="宋体" w:hAnsi="宋体"/>
                <w:kern w:val="2"/>
                <w:sz w:val="20"/>
                <w:szCs w:val="21"/>
                <w:lang w:eastAsia="zh-CN"/>
              </w:rPr>
            </w:pPr>
          </w:p>
        </w:tc>
        <w:tc>
          <w:tcPr>
            <w:tcW w:w="1984" w:type="dxa"/>
            <w:vAlign w:val="center"/>
          </w:tcPr>
          <w:p>
            <w:pPr>
              <w:widowControl w:val="0"/>
              <w:spacing w:after="160" w:line="259" w:lineRule="auto"/>
              <w:ind w:firstLine="400" w:firstLineChars="200"/>
              <w:jc w:val="both"/>
              <w:rPr>
                <w:rFonts w:ascii="宋体" w:eastAsia="宋体" w:hAnsi="宋体"/>
                <w:kern w:val="2"/>
                <w:sz w:val="20"/>
                <w:szCs w:val="21"/>
                <w:lang w:eastAsia="zh-CN"/>
              </w:rPr>
            </w:pPr>
          </w:p>
        </w:tc>
        <w:tc>
          <w:tcPr>
            <w:tcW w:w="849" w:type="dxa"/>
            <w:vAlign w:val="center"/>
          </w:tcPr>
          <w:p>
            <w:pPr>
              <w:widowControl w:val="0"/>
              <w:spacing w:after="160" w:line="259" w:lineRule="auto"/>
              <w:ind w:firstLine="400" w:firstLineChars="200"/>
              <w:jc w:val="both"/>
              <w:rPr>
                <w:rFonts w:ascii="宋体" w:eastAsia="宋体" w:hAnsi="宋体"/>
                <w:kern w:val="2"/>
                <w:sz w:val="20"/>
                <w:szCs w:val="21"/>
                <w:lang w:eastAsia="zh-CN"/>
              </w:rPr>
            </w:pPr>
          </w:p>
        </w:tc>
        <w:tc>
          <w:tcPr>
            <w:tcW w:w="992" w:type="dxa"/>
            <w:vAlign w:val="center"/>
          </w:tcPr>
          <w:p>
            <w:pPr>
              <w:widowControl w:val="0"/>
              <w:spacing w:after="160" w:line="259" w:lineRule="auto"/>
              <w:ind w:firstLine="400" w:firstLineChars="200"/>
              <w:jc w:val="both"/>
              <w:rPr>
                <w:rFonts w:ascii="宋体" w:eastAsia="宋体" w:hAnsi="宋体"/>
                <w:kern w:val="2"/>
                <w:sz w:val="20"/>
                <w:szCs w:val="21"/>
                <w:lang w:eastAsia="zh-CN"/>
              </w:rPr>
            </w:pPr>
          </w:p>
          <w:p>
            <w:pPr>
              <w:widowControl w:val="0"/>
              <w:spacing w:after="160" w:line="259" w:lineRule="auto"/>
              <w:jc w:val="both"/>
              <w:rPr>
                <w:rFonts w:eastAsia="宋体"/>
                <w:kern w:val="2"/>
                <w:sz w:val="21"/>
                <w:lang w:eastAsia="zh-CN"/>
              </w:rPr>
            </w:pPr>
          </w:p>
        </w:tc>
        <w:tc>
          <w:tcPr>
            <w:tcW w:w="2182" w:type="dxa"/>
            <w:vAlign w:val="center"/>
          </w:tcPr>
          <w:p>
            <w:pPr>
              <w:widowControl w:val="0"/>
              <w:spacing w:after="160" w:line="259" w:lineRule="auto"/>
              <w:ind w:firstLine="400" w:firstLineChars="200"/>
              <w:jc w:val="both"/>
              <w:rPr>
                <w:rFonts w:ascii="宋体" w:eastAsia="宋体" w:hAnsi="宋体"/>
                <w:kern w:val="2"/>
                <w:sz w:val="20"/>
                <w:szCs w:val="21"/>
                <w:lang w:eastAsia="zh-CN"/>
              </w:rPr>
            </w:pPr>
          </w:p>
        </w:tc>
      </w:tr>
    </w:tbl>
    <w:p>
      <w:pPr>
        <w:widowControl w:val="0"/>
        <w:spacing w:after="160" w:line="259" w:lineRule="auto"/>
        <w:jc w:val="both"/>
        <w:rPr>
          <w:rFonts w:eastAsia="宋体"/>
          <w:b/>
          <w:bCs/>
          <w:color w:val="FF0000"/>
          <w:kern w:val="2"/>
          <w:sz w:val="21"/>
          <w:lang w:eastAsia="zh-CN"/>
        </w:rPr>
      </w:pPr>
      <w:r>
        <w:rPr>
          <w:rFonts w:eastAsia="宋体" w:hint="eastAsia"/>
          <w:b/>
          <w:bCs/>
          <w:color w:val="FF0000"/>
          <w:kern w:val="2"/>
          <w:sz w:val="21"/>
          <w:lang w:eastAsia="zh-CN"/>
        </w:rPr>
        <w:t>（特别提示：投标人须按本招标文件评标信息中这一评审因素要求，提供详细证明资料）</w:t>
      </w:r>
    </w:p>
    <w:p>
      <w:pPr>
        <w:widowControl w:val="0"/>
        <w:spacing w:after="160" w:line="259" w:lineRule="auto"/>
        <w:jc w:val="both"/>
        <w:rPr>
          <w:rFonts w:eastAsia="宋体"/>
          <w:b/>
          <w:color w:val="FF0000"/>
          <w:kern w:val="2"/>
          <w:lang w:eastAsia="zh-CN"/>
        </w:rPr>
      </w:pPr>
    </w:p>
    <w:p>
      <w:pPr>
        <w:widowControl w:val="0"/>
        <w:spacing w:after="160" w:line="360" w:lineRule="auto"/>
        <w:jc w:val="both"/>
        <w:rPr>
          <w:rFonts w:eastAsia="宋体"/>
          <w:b/>
          <w:bCs/>
          <w:kern w:val="2"/>
          <w:lang w:eastAsia="zh-CN"/>
        </w:rPr>
      </w:pPr>
    </w:p>
    <w:p>
      <w:pPr>
        <w:keepNext/>
        <w:keepLines/>
        <w:widowControl w:val="0"/>
        <w:spacing w:before="260" w:after="260" w:line="240" w:lineRule="auto"/>
        <w:jc w:val="center"/>
        <w:outlineLvl w:val="2"/>
        <w:rPr>
          <w:rFonts w:ascii="黑体" w:eastAsia="黑体" w:hAnsi="宋体"/>
          <w:bCs/>
          <w:kern w:val="2"/>
          <w:lang w:eastAsia="zh-CN"/>
        </w:rPr>
      </w:pPr>
      <w:r>
        <w:rPr>
          <w:rFonts w:ascii="黑体" w:eastAsia="黑体" w:hAnsi="宋体" w:hint="eastAsia"/>
          <w:bCs/>
          <w:kern w:val="2"/>
          <w:lang w:eastAsia="zh-CN"/>
        </w:rPr>
        <w:t>十</w:t>
      </w:r>
      <w:r>
        <w:rPr>
          <w:rFonts w:ascii="黑体" w:eastAsia="黑体" w:hAnsi="宋体" w:hint="eastAsia"/>
          <w:bCs/>
          <w:kern w:val="2"/>
          <w:lang w:eastAsia="zh-CN"/>
        </w:rPr>
        <w:t>二</w:t>
      </w:r>
      <w:r>
        <w:rPr>
          <w:rFonts w:ascii="黑体" w:eastAsia="黑体" w:hAnsi="宋体" w:hint="eastAsia"/>
          <w:bCs/>
          <w:kern w:val="2"/>
          <w:lang w:eastAsia="zh-CN"/>
        </w:rPr>
        <w:t>、投标人认为需要加以说明的其他内容（格式自定）</w:t>
      </w:r>
    </w:p>
    <w:p>
      <w:pPr>
        <w:widowControl w:val="0"/>
        <w:spacing w:after="160" w:line="360" w:lineRule="auto"/>
        <w:jc w:val="both"/>
        <w:rPr>
          <w:rFonts w:eastAsia="宋体"/>
          <w:b/>
          <w:bCs/>
          <w:kern w:val="2"/>
          <w:lang w:eastAsia="zh-CN"/>
        </w:rPr>
      </w:pPr>
    </w:p>
    <w:p>
      <w:pPr>
        <w:widowControl/>
        <w:spacing w:after="160" w:line="259" w:lineRule="auto"/>
        <w:jc w:val="center"/>
        <w:rPr>
          <w:rFonts w:ascii="黑体" w:eastAsia="黑体" w:hAnsi="宋体"/>
          <w:szCs w:val="20"/>
          <w:lang w:eastAsia="zh-CN"/>
        </w:rPr>
      </w:pPr>
      <w:r>
        <w:rPr>
          <w:rFonts w:ascii="黑体" w:eastAsia="黑体" w:hAnsi="宋体" w:hint="eastAsia"/>
          <w:szCs w:val="20"/>
          <w:lang w:eastAsia="zh-CN"/>
        </w:rPr>
        <w:t>（一）采购违法行为风险知悉确认书</w:t>
      </w:r>
    </w:p>
    <w:p>
      <w:pPr>
        <w:widowControl/>
        <w:spacing w:after="160" w:line="259" w:lineRule="auto"/>
        <w:jc w:val="center"/>
        <w:rPr>
          <w:rFonts w:ascii="黑体" w:eastAsia="黑体" w:hAnsi="宋体"/>
          <w:szCs w:val="20"/>
          <w:lang w:eastAsia="zh-CN"/>
        </w:rPr>
      </w:pP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本公司在投标前已充分知悉以下情形为参与自行采购活动时的重大风险事项，并承诺已对下述风险提示事项重点排查，做到严谨、诚信、依法依规参与自行采购活动。</w:t>
      </w:r>
    </w:p>
    <w:p>
      <w:pPr>
        <w:widowControl w:val="0"/>
        <w:spacing w:after="160" w:line="259" w:lineRule="auto"/>
        <w:ind w:firstLine="420" w:firstLineChars="200"/>
        <w:jc w:val="both"/>
        <w:rPr>
          <w:rFonts w:eastAsia="宋体"/>
          <w:b/>
          <w:kern w:val="2"/>
          <w:sz w:val="21"/>
          <w:lang w:eastAsia="zh-CN"/>
        </w:rPr>
      </w:pPr>
      <w:r>
        <w:rPr>
          <w:rFonts w:eastAsia="宋体" w:hint="eastAsia"/>
          <w:b/>
          <w:kern w:val="2"/>
          <w:sz w:val="21"/>
          <w:lang w:eastAsia="zh-CN"/>
        </w:rPr>
        <w:t>一、本公司已充分知悉“隐瞒真实情况，提供虚假资料”的法定情形，相关情形包括但不限于：</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（一）通过转让或者租借等方式从其他单位获取资格或者资质证书投标的。</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（二）由其他单位或者其他单位负责人在投标供应商编制的投标文件上加盖印章或者签字的。</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（三）项目负责人或者主要技术人员不是本单位人员的。</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（四）投标保证金不是从投标供应商基本账户转出的。</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（五）其他隐瞒真实情况、提供虚假资料的行为。</w:t>
      </w:r>
    </w:p>
    <w:p>
      <w:pPr>
        <w:widowControl w:val="0"/>
        <w:spacing w:after="160" w:line="259" w:lineRule="auto"/>
        <w:ind w:firstLine="420" w:firstLineChars="200"/>
        <w:jc w:val="both"/>
        <w:rPr>
          <w:rFonts w:eastAsia="宋体"/>
          <w:b/>
          <w:kern w:val="2"/>
          <w:sz w:val="21"/>
          <w:lang w:eastAsia="zh-CN"/>
        </w:rPr>
      </w:pPr>
      <w:r>
        <w:rPr>
          <w:rFonts w:eastAsia="宋体" w:hint="eastAsia"/>
          <w:b/>
          <w:kern w:val="2"/>
          <w:sz w:val="21"/>
          <w:lang w:eastAsia="zh-CN"/>
        </w:rPr>
        <w:t>二、本公司已充分知悉“与其他采购参加人串通投标”的法定情形，相关情形包括但不限于：</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（一）投标供应商之间相互约定给予未中标的供应商利益补偿。</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（二）不同投标供应商的法定代表人、主要经营负责人、项目投标授权代表人、项目负责人、主要技术人员为同一人、属同一单位或者在同一单位缴纳社会保险。</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（三）不同投标供应商的投标文件由同一单位或者同一人编制，或者由同一人分阶段参与编制的。</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（四）不同投标供应商的投标文件或部分投标文件相互混装。</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（五）不同投标供应商的投标文件内容存在非正常一致。</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（六）由同一单位工作人员为两家以上（含两家）供应商进行同一项投标活动的。</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（七）不同投标人的投标报价呈规律性差异。</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（八）不同投标人的投标保证金从同一单位或者个人的账户转出。</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（九）主管部门依照法律、法规认定的其他情形。</w:t>
      </w:r>
    </w:p>
    <w:p>
      <w:pPr>
        <w:widowControl w:val="0"/>
        <w:spacing w:after="160" w:line="259" w:lineRule="auto"/>
        <w:ind w:firstLine="420" w:firstLineChars="200"/>
        <w:jc w:val="both"/>
        <w:rPr>
          <w:rFonts w:eastAsia="宋体"/>
          <w:b/>
          <w:kern w:val="2"/>
          <w:sz w:val="21"/>
          <w:lang w:eastAsia="zh-CN"/>
        </w:rPr>
      </w:pPr>
      <w:r>
        <w:rPr>
          <w:rFonts w:eastAsia="宋体" w:hint="eastAsia"/>
          <w:b/>
          <w:kern w:val="2"/>
          <w:sz w:val="21"/>
          <w:lang w:eastAsia="zh-CN"/>
        </w:rPr>
        <w:t>三、本公司已充分知悉下列情形所对应的法律风险，并在投标前已对相关风险事项进行排查。</w:t>
      </w:r>
    </w:p>
    <w:p>
      <w:pPr>
        <w:widowControl w:val="0"/>
        <w:spacing w:after="160" w:line="259" w:lineRule="auto"/>
        <w:ind w:firstLine="420" w:firstLineChars="200"/>
        <w:jc w:val="both"/>
        <w:rPr>
          <w:rFonts w:eastAsia="宋体"/>
          <w:b/>
          <w:kern w:val="2"/>
          <w:sz w:val="21"/>
          <w:lang w:eastAsia="zh-CN"/>
        </w:rPr>
      </w:pPr>
      <w:r>
        <w:rPr>
          <w:rFonts w:eastAsia="宋体" w:hint="eastAsia"/>
          <w:kern w:val="2"/>
          <w:sz w:val="21"/>
          <w:lang w:eastAsia="zh-CN"/>
        </w:rPr>
        <w:t>（一）对于从其他主体获取的投标资料，供应商应审慎核查，确保投标资料的真实性。</w:t>
      </w:r>
      <w:r>
        <w:rPr>
          <w:rFonts w:eastAsia="宋体" w:hint="eastAsia"/>
          <w:b/>
          <w:kern w:val="2"/>
          <w:sz w:val="21"/>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（三）对于涉及安全生产、特种作业、抢险救灾、防疫等采购项目，供应商实施提供虚假资料、串通投标等违法行为的，主管部门将依法从严处理。</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五）供应商对投标电子密钥负有妥善保管、及时变更和续期等主体责任。供应商使用电子密钥在深圳自行采购网站进行的活动，均具有法律效力，须承担相应的法律后果。供应商擅自将投标密钥出借他人使用所造成的法律后果，由供应商自行承担。</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（六）单位负责人为同一人或者存在直接控股、管理关系的不同供应商，不得参加同一合同项下的采购活动。相关情形如查实，依法作投标无效处理；涉嫌串通投标等违法行为的，主管部门将依法调查处理。</w:t>
      </w:r>
    </w:p>
    <w:p>
      <w:pPr>
        <w:widowControl w:val="0"/>
        <w:spacing w:after="160" w:line="259" w:lineRule="auto"/>
        <w:ind w:firstLine="420" w:firstLineChars="200"/>
        <w:jc w:val="both"/>
        <w:rPr>
          <w:rFonts w:eastAsia="宋体"/>
          <w:b/>
          <w:kern w:val="2"/>
          <w:sz w:val="21"/>
          <w:lang w:eastAsia="zh-CN"/>
        </w:rPr>
      </w:pPr>
      <w:r>
        <w:rPr>
          <w:rFonts w:eastAsia="宋体" w:hint="eastAsia"/>
          <w:b/>
          <w:kern w:val="2"/>
          <w:sz w:val="21"/>
          <w:lang w:eastAsia="zh-CN"/>
        </w:rPr>
        <w:t>四、本公司已充分知悉政府采购违法、违规行为的法律后果。</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以下文字请投标供应商抄写并确认：“本公司已仔细阅读《采购违法行为风险知悉确认书》，充分知悉违法行为的法律后果，并承诺将严谨、诚信、依法依规参与采购活动”。</w:t>
      </w:r>
    </w:p>
    <w:tbl>
      <w:tblPr>
        <w:tblStyle w:val="10"/>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8522"/>
      </w:tblGrid>
      <w:tr>
        <w:tblPrEx>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304"/>
        </w:trPr>
        <w:tc>
          <w:tcPr>
            <w:tcW w:w="8529" w:type="dxa"/>
            <w:tcBorders>
              <w:top w:val="nil"/>
              <w:left w:val="nil"/>
              <w:bottom w:val="single" w:sz="8" w:space="0" w:color="000000"/>
              <w:right w:val="nil"/>
            </w:tcBorders>
          </w:tcPr>
          <w:p>
            <w:pPr>
              <w:autoSpaceDE w:val="0"/>
              <w:autoSpaceDN w:val="0"/>
              <w:spacing w:line="400" w:lineRule="exact"/>
              <w:ind w:firstLine="1866"/>
              <w:rPr>
                <w:rFonts w:ascii="宋体" w:eastAsia="宋体" w:hAnsi="宋体"/>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autoSpaceDE w:val="0"/>
              <w:autoSpaceDN w:val="0"/>
              <w:spacing w:line="400" w:lineRule="exact"/>
              <w:ind w:firstLine="1866"/>
              <w:rPr>
                <w:rFonts w:ascii="宋体" w:eastAsia="宋体" w:hAnsi="宋体"/>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autoSpaceDE w:val="0"/>
              <w:autoSpaceDN w:val="0"/>
              <w:spacing w:line="400" w:lineRule="exact"/>
              <w:ind w:firstLine="1866"/>
              <w:rPr>
                <w:rFonts w:ascii="宋体" w:eastAsia="宋体" w:hAnsi="宋体"/>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auto"/>
              <w:right w:val="nil"/>
            </w:tcBorders>
          </w:tcPr>
          <w:p>
            <w:pPr>
              <w:autoSpaceDE w:val="0"/>
              <w:autoSpaceDN w:val="0"/>
              <w:spacing w:line="400" w:lineRule="exact"/>
              <w:ind w:firstLine="1866"/>
              <w:rPr>
                <w:rFonts w:ascii="宋体" w:eastAsia="宋体" w:hAnsi="宋体"/>
                <w:spacing w:val="-4"/>
                <w:sz w:val="21"/>
                <w:szCs w:val="21"/>
                <w:lang w:eastAsia="zh-CN"/>
              </w:rPr>
            </w:pPr>
          </w:p>
        </w:tc>
      </w:tr>
    </w:tbl>
    <w:p>
      <w:pPr>
        <w:widowControl/>
        <w:wordWrap w:val="0"/>
        <w:autoSpaceDE w:val="0"/>
        <w:autoSpaceDN w:val="0"/>
        <w:spacing w:after="160" w:line="400" w:lineRule="exact"/>
        <w:ind w:right="808" w:firstLine="420" w:firstLineChars="200"/>
        <w:jc w:val="right"/>
        <w:rPr>
          <w:rFonts w:ascii="宋体" w:eastAsia="宋体" w:hAnsi="宋体"/>
          <w:spacing w:val="-4"/>
          <w:sz w:val="21"/>
          <w:szCs w:val="21"/>
          <w:u w:val="single"/>
          <w:lang w:eastAsia="zh-CN"/>
        </w:rPr>
      </w:pPr>
      <w:r>
        <w:rPr>
          <w:rFonts w:ascii="宋体" w:eastAsia="宋体" w:hAnsi="宋体" w:hint="eastAsia"/>
          <w:spacing w:val="-4"/>
          <w:sz w:val="21"/>
          <w:szCs w:val="21"/>
          <w:lang w:eastAsia="zh-CN"/>
        </w:rPr>
        <w:t>负责人/投标授权代表签名：</w:t>
      </w:r>
      <w:r>
        <w:rPr>
          <w:rFonts w:ascii="宋体" w:eastAsia="宋体" w:hAnsi="宋体" w:hint="eastAsia"/>
          <w:spacing w:val="-4"/>
          <w:sz w:val="21"/>
          <w:szCs w:val="21"/>
          <w:u w:val="single"/>
          <w:lang w:eastAsia="zh-CN"/>
        </w:rPr>
        <w:t xml:space="preserve">              </w:t>
      </w:r>
    </w:p>
    <w:p>
      <w:pPr>
        <w:widowControl/>
        <w:wordWrap w:val="0"/>
        <w:autoSpaceDE w:val="0"/>
        <w:autoSpaceDN w:val="0"/>
        <w:spacing w:after="160" w:line="400" w:lineRule="exact"/>
        <w:ind w:right="808" w:firstLine="420" w:firstLineChars="200"/>
        <w:jc w:val="right"/>
        <w:rPr>
          <w:rFonts w:ascii="宋体" w:eastAsia="宋体" w:hAnsi="宋体"/>
          <w:spacing w:val="-4"/>
          <w:sz w:val="21"/>
          <w:szCs w:val="21"/>
          <w:u w:val="single"/>
          <w:lang w:eastAsia="zh-CN"/>
        </w:rPr>
      </w:pPr>
      <w:r>
        <w:rPr>
          <w:rFonts w:ascii="宋体" w:eastAsia="宋体" w:hAnsi="宋体" w:hint="eastAsia"/>
          <w:spacing w:val="-4"/>
          <w:sz w:val="21"/>
          <w:szCs w:val="21"/>
          <w:lang w:eastAsia="zh-CN"/>
        </w:rPr>
        <w:t>知悉人（公章）：</w:t>
      </w:r>
      <w:r>
        <w:rPr>
          <w:rFonts w:ascii="宋体" w:eastAsia="宋体" w:hAnsi="宋体" w:hint="eastAsia"/>
          <w:spacing w:val="-4"/>
          <w:sz w:val="21"/>
          <w:szCs w:val="21"/>
          <w:u w:val="single"/>
          <w:lang w:eastAsia="zh-CN"/>
        </w:rPr>
        <w:t xml:space="preserve">              </w:t>
      </w:r>
    </w:p>
    <w:p>
      <w:pPr>
        <w:widowControl/>
        <w:wordWrap w:val="0"/>
        <w:autoSpaceDE w:val="0"/>
        <w:autoSpaceDN w:val="0"/>
        <w:spacing w:after="160" w:line="400" w:lineRule="exact"/>
        <w:ind w:right="808" w:firstLine="420" w:firstLineChars="200"/>
        <w:jc w:val="right"/>
        <w:rPr>
          <w:rFonts w:ascii="宋体" w:eastAsia="宋体" w:hAnsi="宋体"/>
          <w:spacing w:val="-4"/>
          <w:sz w:val="21"/>
          <w:szCs w:val="21"/>
          <w:u w:val="single"/>
          <w:lang w:eastAsia="zh-CN"/>
        </w:rPr>
      </w:pPr>
      <w:r>
        <w:rPr>
          <w:rFonts w:ascii="宋体" w:eastAsia="宋体" w:hAnsi="宋体" w:hint="eastAsia"/>
          <w:spacing w:val="-4"/>
          <w:sz w:val="21"/>
          <w:szCs w:val="21"/>
          <w:lang w:eastAsia="zh-CN"/>
        </w:rPr>
        <w:t xml:space="preserve">     日期：</w:t>
      </w:r>
      <w:r>
        <w:rPr>
          <w:rFonts w:ascii="宋体" w:eastAsia="宋体" w:hAnsi="宋体" w:hint="eastAsia"/>
          <w:spacing w:val="-4"/>
          <w:sz w:val="21"/>
          <w:szCs w:val="21"/>
          <w:u w:val="single"/>
          <w:lang w:eastAsia="zh-CN"/>
        </w:rPr>
        <w:t xml:space="preserve">              </w:t>
      </w:r>
    </w:p>
    <w:p>
      <w:pPr>
        <w:widowControl/>
        <w:autoSpaceDE w:val="0"/>
        <w:autoSpaceDN w:val="0"/>
        <w:spacing w:after="160" w:line="400" w:lineRule="exact"/>
        <w:ind w:firstLine="420" w:firstLineChars="200"/>
        <w:jc w:val="left"/>
        <w:rPr>
          <w:rFonts w:ascii="宋体" w:eastAsia="宋体" w:hAnsi="宋体"/>
          <w:b/>
          <w:bCs/>
          <w:color w:val="FF0000"/>
          <w:spacing w:val="-4"/>
          <w:sz w:val="21"/>
          <w:szCs w:val="21"/>
          <w:lang w:eastAsia="zh-CN"/>
        </w:rPr>
      </w:pPr>
      <w:r>
        <w:rPr>
          <w:rFonts w:ascii="宋体" w:eastAsia="宋体" w:hAnsi="宋体" w:hint="eastAsia"/>
          <w:b/>
          <w:bCs/>
          <w:color w:val="FF0000"/>
          <w:spacing w:val="-4"/>
          <w:sz w:val="21"/>
          <w:szCs w:val="21"/>
          <w:lang w:eastAsia="zh-CN"/>
        </w:rPr>
        <w:t>注：</w:t>
      </w:r>
    </w:p>
    <w:p>
      <w:pPr>
        <w:widowControl/>
        <w:autoSpaceDE w:val="0"/>
        <w:autoSpaceDN w:val="0"/>
        <w:spacing w:after="160" w:line="400" w:lineRule="exact"/>
        <w:ind w:firstLine="420" w:firstLineChars="200"/>
        <w:jc w:val="left"/>
        <w:rPr>
          <w:rFonts w:ascii="宋体" w:eastAsia="宋体" w:hAnsi="宋体"/>
          <w:b/>
          <w:bCs/>
          <w:color w:val="FF0000"/>
          <w:spacing w:val="-4"/>
          <w:sz w:val="21"/>
          <w:szCs w:val="21"/>
          <w:lang w:eastAsia="zh-CN"/>
        </w:rPr>
      </w:pPr>
      <w:r>
        <w:rPr>
          <w:rFonts w:ascii="宋体" w:eastAsia="宋体" w:hAnsi="宋体" w:hint="eastAsia"/>
          <w:b/>
          <w:bCs/>
          <w:color w:val="FF0000"/>
          <w:spacing w:val="-4"/>
          <w:sz w:val="21"/>
          <w:szCs w:val="21"/>
          <w:lang w:eastAsia="zh-CN"/>
        </w:rPr>
        <w:t>1.</w:t>
      </w:r>
      <w:r>
        <w:rPr>
          <w:rFonts w:eastAsia="宋体" w:hint="eastAsia"/>
          <w:kern w:val="2"/>
          <w:sz w:val="21"/>
          <w:lang w:eastAsia="zh-CN"/>
        </w:rPr>
        <w:t xml:space="preserve"> </w:t>
      </w:r>
      <w:r>
        <w:rPr>
          <w:rFonts w:ascii="宋体" w:eastAsia="宋体" w:hAnsi="宋体" w:hint="eastAsia"/>
          <w:b/>
          <w:bCs/>
          <w:color w:val="FF0000"/>
          <w:spacing w:val="-4"/>
          <w:sz w:val="21"/>
          <w:szCs w:val="21"/>
          <w:lang w:eastAsia="zh-CN"/>
        </w:rPr>
        <w:t>根据《深圳市财政局关于采购文件增加风险告知有关事项的通知》（深财购〔2022〕22 号），该风险知悉确认书用于对供应商违法行为的警示，不作为供应商资格性审查及符合性审查条件。</w:t>
      </w:r>
    </w:p>
    <w:p>
      <w:pPr>
        <w:widowControl/>
        <w:autoSpaceDE w:val="0"/>
        <w:autoSpaceDN w:val="0"/>
        <w:spacing w:after="160" w:line="400" w:lineRule="exact"/>
        <w:ind w:firstLine="420" w:firstLineChars="200"/>
        <w:jc w:val="left"/>
        <w:rPr>
          <w:rFonts w:ascii="宋体" w:eastAsia="宋体" w:hAnsi="宋体"/>
          <w:color w:val="FF0000"/>
          <w:spacing w:val="-4"/>
          <w:sz w:val="21"/>
          <w:szCs w:val="21"/>
          <w:lang w:eastAsia="zh-CN"/>
        </w:rPr>
      </w:pPr>
      <w:r>
        <w:rPr>
          <w:rFonts w:ascii="宋体" w:eastAsia="宋体" w:hAnsi="宋体" w:hint="eastAsia"/>
          <w:b/>
          <w:bCs/>
          <w:color w:val="FF0000"/>
          <w:spacing w:val="-4"/>
          <w:sz w:val="21"/>
          <w:szCs w:val="21"/>
          <w:lang w:eastAsia="zh-CN"/>
        </w:rPr>
        <w:t>2.投标供应商负责人或投标授权代表签字并加盖单位公章后，扫描上传至投标文件一并提交。</w:t>
      </w:r>
    </w:p>
    <w:p>
      <w:pPr>
        <w:widowControl/>
        <w:spacing w:after="160" w:line="360" w:lineRule="auto"/>
        <w:jc w:val="left"/>
        <w:rPr>
          <w:rFonts w:eastAsia="宋体"/>
          <w:b/>
          <w:bCs/>
          <w:lang w:eastAsia="zh-CN"/>
        </w:rPr>
      </w:pPr>
    </w:p>
    <w:p>
      <w:pPr>
        <w:widowControl w:val="0"/>
        <w:spacing w:after="160" w:line="360" w:lineRule="auto"/>
        <w:jc w:val="both"/>
        <w:rPr>
          <w:rFonts w:eastAsia="宋体"/>
          <w:b/>
          <w:bCs/>
          <w:kern w:val="2"/>
          <w:lang w:eastAsia="zh-CN"/>
        </w:rPr>
      </w:pPr>
      <w:r>
        <w:rPr>
          <w:rFonts w:ascii="黑体" w:eastAsia="黑体" w:hAnsi="宋体" w:hint="eastAsia"/>
          <w:b/>
          <w:bCs/>
          <w:szCs w:val="20"/>
          <w:lang w:eastAsia="zh-CN"/>
        </w:rPr>
        <w:t>（二）投标人认为需要加以说明的其他内容（格式自定）</w:t>
      </w:r>
    </w:p>
    <w:p>
      <w:pPr>
        <w:widowControl w:val="0"/>
        <w:spacing w:after="160" w:line="360" w:lineRule="auto"/>
        <w:jc w:val="both"/>
        <w:rPr>
          <w:rFonts w:eastAsia="宋体"/>
          <w:kern w:val="2"/>
          <w:lang w:eastAsia="zh-CN"/>
        </w:rPr>
      </w:pPr>
    </w:p>
    <w:p>
      <w:pPr>
        <w:widowControl/>
        <w:spacing w:after="160" w:line="259" w:lineRule="auto"/>
        <w:jc w:val="left"/>
        <w:rPr>
          <w:rFonts w:ascii="宋体" w:eastAsia="宋体" w:hAnsi="宋体"/>
          <w:b/>
          <w:bCs/>
          <w:szCs w:val="20"/>
          <w:lang w:eastAsia="zh-CN"/>
        </w:rPr>
      </w:pPr>
      <w:r>
        <w:rPr>
          <w:rFonts w:eastAsia="宋体"/>
          <w:kern w:val="2"/>
          <w:sz w:val="21"/>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第五章  合同条款及格式</w:t>
      </w:r>
    </w:p>
    <w:p>
      <w:pPr>
        <w:widowControl w:val="0"/>
        <w:spacing w:after="160" w:line="259" w:lineRule="auto"/>
        <w:jc w:val="center"/>
        <w:outlineLvl w:val="0"/>
        <w:rPr>
          <w:rFonts w:eastAsia="宋体"/>
          <w:kern w:val="2"/>
          <w:sz w:val="21"/>
          <w:lang w:eastAsia="zh-CN"/>
        </w:rPr>
      </w:pPr>
      <w:r>
        <w:rPr>
          <w:rFonts w:eastAsia="宋体" w:hint="eastAsia"/>
          <w:b/>
          <w:kern w:val="2"/>
          <w:lang w:eastAsia="zh-CN"/>
        </w:rPr>
        <w:t>（仅供参考，具体以项目需求及实际签订为准）</w:t>
      </w:r>
    </w:p>
    <w:p>
      <w:pPr>
        <w:widowControl w:val="0"/>
        <w:spacing w:after="160" w:line="259" w:lineRule="auto"/>
        <w:jc w:val="center"/>
        <w:rPr>
          <w:rFonts w:ascii="宋体" w:eastAsia="宋体" w:hAnsi="宋体" w:cs="宋体"/>
          <w:b/>
          <w:bCs/>
          <w:spacing w:val="-20"/>
          <w:kern w:val="44"/>
          <w:sz w:val="48"/>
          <w:szCs w:val="48"/>
          <w:lang w:eastAsia="zh-CN"/>
        </w:rPr>
      </w:pPr>
      <w:r>
        <w:rPr>
          <w:rFonts w:ascii="宋体" w:eastAsia="宋体" w:hAnsi="宋体" w:cs="宋体" w:hint="eastAsia"/>
          <w:b/>
          <w:bCs/>
          <w:spacing w:val="-20"/>
          <w:kern w:val="44"/>
          <w:sz w:val="48"/>
          <w:szCs w:val="48"/>
          <w:lang w:eastAsia="zh-CN"/>
        </w:rPr>
        <w:t>自行采购货物买卖合同</w:t>
      </w:r>
    </w:p>
    <w:p>
      <w:pPr>
        <w:widowControl w:val="0"/>
        <w:spacing w:after="160" w:line="259" w:lineRule="auto"/>
        <w:jc w:val="center"/>
        <w:rPr>
          <w:rFonts w:ascii="宋体" w:eastAsia="宋体" w:hAnsi="宋体" w:cs="宋体"/>
          <w:b/>
          <w:bCs/>
          <w:spacing w:val="-20"/>
          <w:kern w:val="44"/>
          <w:sz w:val="48"/>
          <w:szCs w:val="48"/>
          <w:lang w:eastAsia="zh-CN"/>
        </w:rPr>
      </w:pPr>
      <w:r>
        <w:rPr>
          <w:rFonts w:ascii="宋体" w:eastAsia="宋体" w:hAnsi="宋体" w:cs="宋体" w:hint="eastAsia"/>
          <w:b/>
          <w:bCs/>
          <w:spacing w:val="-20"/>
          <w:kern w:val="44"/>
          <w:sz w:val="48"/>
          <w:szCs w:val="48"/>
          <w:lang w:eastAsia="zh-CN"/>
        </w:rPr>
        <w:t>（试行）</w:t>
      </w:r>
      <w:bookmarkStart w:id="63" w:name="_GoBack"/>
      <w:bookmarkEnd w:id="63"/>
    </w:p>
    <w:p>
      <w:pPr>
        <w:widowControl w:val="0"/>
        <w:spacing w:after="160" w:line="259" w:lineRule="auto"/>
        <w:jc w:val="both"/>
        <w:rPr>
          <w:rFonts w:ascii="宋体" w:eastAsia="宋体" w:hAnsi="宋体" w:cs="宋体"/>
          <w:b/>
          <w:bCs/>
          <w:spacing w:val="-20"/>
          <w:kern w:val="44"/>
          <w:sz w:val="40"/>
          <w:szCs w:val="40"/>
          <w:lang w:eastAsia="zh-CN"/>
        </w:rPr>
      </w:pPr>
    </w:p>
    <w:p>
      <w:pPr>
        <w:widowControl w:val="0"/>
        <w:spacing w:after="160" w:line="259" w:lineRule="auto"/>
        <w:jc w:val="both"/>
        <w:rPr>
          <w:rFonts w:ascii="宋体" w:eastAsia="宋体" w:hAnsi="宋体" w:cs="宋体"/>
          <w:b/>
          <w:bCs/>
          <w:spacing w:val="-20"/>
          <w:kern w:val="44"/>
          <w:sz w:val="40"/>
          <w:szCs w:val="40"/>
          <w:lang w:eastAsia="zh-CN"/>
        </w:rPr>
      </w:pPr>
    </w:p>
    <w:p>
      <w:pPr>
        <w:widowControl w:val="0"/>
        <w:spacing w:after="160" w:line="259" w:lineRule="auto"/>
        <w:jc w:val="both"/>
        <w:rPr>
          <w:rFonts w:ascii="宋体" w:eastAsia="宋体" w:hAnsi="宋体" w:cs="宋体"/>
          <w:b/>
          <w:bCs/>
          <w:spacing w:val="-20"/>
          <w:kern w:val="44"/>
          <w:sz w:val="40"/>
          <w:szCs w:val="40"/>
          <w:lang w:eastAsia="zh-CN"/>
        </w:rPr>
      </w:pPr>
    </w:p>
    <w:p>
      <w:pPr>
        <w:widowControl w:val="0"/>
        <w:spacing w:after="160" w:line="360" w:lineRule="auto"/>
        <w:ind w:left="480" w:leftChars="200"/>
        <w:jc w:val="both"/>
        <w:rPr>
          <w:rFonts w:eastAsia="宋体"/>
          <w:kern w:val="2"/>
          <w:sz w:val="32"/>
          <w:szCs w:val="32"/>
          <w:lang w:eastAsia="zh-CN"/>
        </w:rPr>
      </w:pPr>
      <w:r>
        <w:rPr>
          <w:rFonts w:ascii="宋体" w:eastAsia="宋体" w:hAnsi="宋体" w:cs="宋体" w:hint="eastAsia"/>
          <w:sz w:val="32"/>
          <w:szCs w:val="32"/>
          <w:lang w:eastAsia="zh-CN"/>
        </w:rPr>
        <w:t>项目名称：</w:t>
      </w:r>
      <w:r>
        <w:rPr>
          <w:rFonts w:eastAsia="宋体" w:hint="eastAsia"/>
          <w:kern w:val="2"/>
          <w:sz w:val="32"/>
          <w:szCs w:val="32"/>
          <w:u w:val="single"/>
          <w:lang w:eastAsia="zh-CN"/>
        </w:rPr>
        <w:t xml:space="preserve">                             </w:t>
      </w:r>
    </w:p>
    <w:p>
      <w:pPr>
        <w:widowControl w:val="0"/>
        <w:spacing w:after="160" w:line="360" w:lineRule="auto"/>
        <w:ind w:left="480" w:leftChars="200"/>
        <w:jc w:val="both"/>
        <w:rPr>
          <w:rFonts w:eastAsia="宋体"/>
          <w:kern w:val="2"/>
          <w:sz w:val="32"/>
          <w:szCs w:val="32"/>
          <w:u w:val="single"/>
          <w:lang w:eastAsia="zh-CN"/>
        </w:rPr>
      </w:pPr>
      <w:r>
        <w:rPr>
          <w:rFonts w:eastAsia="宋体" w:hint="eastAsia"/>
          <w:kern w:val="2"/>
          <w:sz w:val="32"/>
          <w:szCs w:val="32"/>
          <w:lang w:eastAsia="zh-CN"/>
        </w:rPr>
        <w:t>合同编号：</w:t>
      </w:r>
      <w:r>
        <w:rPr>
          <w:rFonts w:eastAsia="宋体" w:hint="eastAsia"/>
          <w:kern w:val="2"/>
          <w:sz w:val="32"/>
          <w:szCs w:val="32"/>
          <w:u w:val="single"/>
          <w:lang w:eastAsia="zh-CN"/>
        </w:rPr>
        <w:t xml:space="preserve">                             </w:t>
      </w:r>
    </w:p>
    <w:p>
      <w:pPr>
        <w:widowControl w:val="0"/>
        <w:spacing w:after="160" w:line="360" w:lineRule="auto"/>
        <w:ind w:left="480" w:leftChars="200"/>
        <w:jc w:val="both"/>
        <w:rPr>
          <w:rFonts w:eastAsia="宋体"/>
          <w:kern w:val="2"/>
          <w:sz w:val="32"/>
          <w:szCs w:val="32"/>
          <w:lang w:eastAsia="zh-CN"/>
        </w:rPr>
      </w:pPr>
      <w:r>
        <w:rPr>
          <w:rFonts w:eastAsia="宋体" w:hint="eastAsia"/>
          <w:kern w:val="2"/>
          <w:sz w:val="32"/>
          <w:szCs w:val="32"/>
          <w:lang w:eastAsia="zh-CN"/>
        </w:rPr>
        <w:t>甲    方：</w:t>
      </w:r>
      <w:r>
        <w:rPr>
          <w:rFonts w:eastAsia="宋体" w:hint="eastAsia"/>
          <w:kern w:val="2"/>
          <w:sz w:val="32"/>
          <w:szCs w:val="32"/>
          <w:u w:val="single"/>
          <w:lang w:eastAsia="zh-CN"/>
        </w:rPr>
        <w:t xml:space="preserve">                             </w:t>
      </w:r>
    </w:p>
    <w:p>
      <w:pPr>
        <w:widowControl w:val="0"/>
        <w:spacing w:after="160" w:line="360" w:lineRule="auto"/>
        <w:ind w:left="480" w:leftChars="200"/>
        <w:jc w:val="both"/>
        <w:rPr>
          <w:rFonts w:eastAsia="宋体"/>
          <w:kern w:val="2"/>
          <w:sz w:val="32"/>
          <w:szCs w:val="32"/>
          <w:u w:val="single"/>
          <w:lang w:eastAsia="zh-CN"/>
        </w:rPr>
      </w:pPr>
      <w:r>
        <w:rPr>
          <w:rFonts w:eastAsia="宋体" w:hint="eastAsia"/>
          <w:kern w:val="2"/>
          <w:sz w:val="32"/>
          <w:szCs w:val="32"/>
          <w:lang w:eastAsia="zh-CN"/>
        </w:rPr>
        <w:t>乙    方：</w:t>
      </w:r>
      <w:r>
        <w:rPr>
          <w:rFonts w:eastAsia="宋体" w:hint="eastAsia"/>
          <w:kern w:val="2"/>
          <w:sz w:val="32"/>
          <w:szCs w:val="32"/>
          <w:u w:val="single"/>
          <w:lang w:eastAsia="zh-CN"/>
        </w:rPr>
        <w:t xml:space="preserve">                             </w:t>
      </w:r>
    </w:p>
    <w:p>
      <w:pPr>
        <w:widowControl w:val="0"/>
        <w:spacing w:after="160" w:line="360" w:lineRule="auto"/>
        <w:ind w:left="480" w:leftChars="200"/>
        <w:jc w:val="both"/>
        <w:rPr>
          <w:rFonts w:eastAsia="宋体"/>
          <w:kern w:val="2"/>
          <w:sz w:val="32"/>
          <w:szCs w:val="32"/>
          <w:lang w:eastAsia="zh-CN"/>
        </w:rPr>
      </w:pPr>
      <w:r>
        <w:rPr>
          <w:rFonts w:eastAsia="宋体" w:hint="eastAsia"/>
          <w:kern w:val="2"/>
          <w:sz w:val="32"/>
          <w:szCs w:val="32"/>
          <w:lang w:eastAsia="zh-CN"/>
        </w:rPr>
        <w:t>签订时间：</w:t>
      </w:r>
      <w:r>
        <w:rPr>
          <w:rFonts w:eastAsia="宋体" w:hint="eastAsia"/>
          <w:kern w:val="2"/>
          <w:sz w:val="32"/>
          <w:szCs w:val="32"/>
          <w:u w:val="single"/>
          <w:lang w:eastAsia="zh-CN"/>
        </w:rPr>
        <w:t xml:space="preserve">      </w:t>
      </w:r>
      <w:r>
        <w:rPr>
          <w:rFonts w:eastAsia="宋体"/>
          <w:kern w:val="2"/>
          <w:sz w:val="32"/>
          <w:szCs w:val="32"/>
          <w:u w:val="single"/>
          <w:lang w:eastAsia="zh-CN"/>
        </w:rPr>
        <w:t xml:space="preserve">           </w:t>
      </w:r>
      <w:r>
        <w:rPr>
          <w:rFonts w:eastAsia="宋体" w:hint="eastAsia"/>
          <w:kern w:val="2"/>
          <w:sz w:val="32"/>
          <w:szCs w:val="32"/>
          <w:u w:val="single"/>
          <w:lang w:eastAsia="zh-CN"/>
        </w:rPr>
        <w:t xml:space="preserve">            </w:t>
      </w:r>
    </w:p>
    <w:p>
      <w:pPr>
        <w:widowControl w:val="0"/>
        <w:spacing w:after="160" w:line="259" w:lineRule="auto"/>
        <w:jc w:val="both"/>
        <w:rPr>
          <w:rFonts w:eastAsia="宋体"/>
          <w:kern w:val="2"/>
          <w:sz w:val="21"/>
          <w:lang w:eastAsia="zh-CN"/>
        </w:rPr>
      </w:pPr>
    </w:p>
    <w:p>
      <w:pPr>
        <w:widowControl w:val="0"/>
        <w:spacing w:after="160" w:line="259" w:lineRule="auto"/>
        <w:jc w:val="both"/>
        <w:rPr>
          <w:rFonts w:eastAsia="黑体"/>
          <w:kern w:val="2"/>
          <w:sz w:val="44"/>
          <w:szCs w:val="44"/>
          <w:lang w:eastAsia="zh-CN"/>
        </w:rPr>
      </w:pPr>
      <w:r>
        <w:rPr>
          <w:rFonts w:eastAsia="黑体"/>
          <w:kern w:val="2"/>
          <w:sz w:val="44"/>
          <w:szCs w:val="44"/>
          <w:lang w:eastAsia="zh-CN"/>
        </w:rPr>
        <w:br w:type="page"/>
      </w:r>
    </w:p>
    <w:p>
      <w:pPr>
        <w:widowControl w:val="0"/>
        <w:spacing w:after="160" w:line="259" w:lineRule="auto"/>
        <w:jc w:val="both"/>
        <w:rPr>
          <w:rFonts w:eastAsia="黑体"/>
          <w:kern w:val="2"/>
          <w:sz w:val="44"/>
          <w:szCs w:val="44"/>
          <w:lang w:eastAsia="zh-CN"/>
        </w:rPr>
      </w:pPr>
    </w:p>
    <w:p>
      <w:pPr>
        <w:widowControl w:val="0"/>
        <w:spacing w:after="160" w:line="259" w:lineRule="auto"/>
        <w:jc w:val="both"/>
        <w:rPr>
          <w:rFonts w:eastAsia="黑体"/>
          <w:kern w:val="2"/>
          <w:sz w:val="44"/>
          <w:szCs w:val="44"/>
          <w:lang w:eastAsia="zh-CN"/>
        </w:rPr>
      </w:pPr>
    </w:p>
    <w:p>
      <w:pPr>
        <w:widowControl w:val="0"/>
        <w:spacing w:after="160" w:line="259" w:lineRule="auto"/>
        <w:jc w:val="center"/>
        <w:rPr>
          <w:rFonts w:eastAsia="黑体"/>
          <w:kern w:val="2"/>
          <w:sz w:val="44"/>
          <w:szCs w:val="44"/>
          <w:lang w:eastAsia="zh-CN"/>
        </w:rPr>
      </w:pPr>
      <w:r>
        <w:rPr>
          <w:rFonts w:eastAsia="黑体" w:hint="eastAsia"/>
          <w:kern w:val="2"/>
          <w:sz w:val="44"/>
          <w:szCs w:val="44"/>
          <w:lang w:eastAsia="zh-CN"/>
        </w:rPr>
        <w:t>使 用 说 明</w:t>
      </w:r>
    </w:p>
    <w:p>
      <w:pPr>
        <w:widowControl w:val="0"/>
        <w:spacing w:after="160" w:line="259" w:lineRule="auto"/>
        <w:ind w:firstLine="640" w:firstLineChars="200"/>
        <w:jc w:val="both"/>
        <w:rPr>
          <w:rFonts w:ascii="仿宋_GB2312" w:eastAsia="仿宋_GB2312" w:hAnsi="仿宋_GB2312" w:cs="仿宋_GB2312"/>
          <w:kern w:val="2"/>
          <w:sz w:val="32"/>
          <w:szCs w:val="32"/>
          <w:lang w:eastAsia="zh-CN"/>
        </w:rPr>
      </w:pPr>
    </w:p>
    <w:p>
      <w:pPr>
        <w:widowControl w:val="0"/>
        <w:spacing w:after="160" w:line="259" w:lineRule="auto"/>
        <w:ind w:firstLine="640" w:firstLineChars="200"/>
        <w:jc w:val="both"/>
        <w:rPr>
          <w:rFonts w:ascii="仿宋_GB2312" w:eastAsia="仿宋_GB2312" w:hAnsi="仿宋_GB2312" w:cs="仿宋_GB2312"/>
          <w:kern w:val="2"/>
          <w:sz w:val="32"/>
          <w:szCs w:val="32"/>
          <w:lang w:eastAsia="zh-CN"/>
        </w:rPr>
      </w:pPr>
      <w:r>
        <w:rPr>
          <w:rFonts w:ascii="仿宋_GB2312" w:eastAsia="仿宋_GB2312" w:hAnsi="仿宋_GB2312" w:cs="仿宋_GB2312" w:hint="eastAsia"/>
          <w:kern w:val="2"/>
          <w:sz w:val="32"/>
          <w:szCs w:val="32"/>
          <w:lang w:eastAsia="zh-CN"/>
        </w:rPr>
        <w:t>1.本合同标准文本适用于购买现成货物的采购项目，不包括需要供应商定制开发、创新研发的货物采购项目。</w:t>
      </w:r>
    </w:p>
    <w:p>
      <w:pPr>
        <w:widowControl w:val="0"/>
        <w:spacing w:after="160" w:line="259" w:lineRule="auto"/>
        <w:ind w:firstLine="640" w:firstLineChars="200"/>
        <w:jc w:val="both"/>
        <w:rPr>
          <w:rFonts w:eastAsia="黑体"/>
          <w:kern w:val="2"/>
          <w:sz w:val="44"/>
          <w:szCs w:val="44"/>
          <w:lang w:eastAsia="zh-CN"/>
        </w:rPr>
      </w:pPr>
      <w:r>
        <w:rPr>
          <w:rFonts w:ascii="仿宋_GB2312" w:eastAsia="仿宋_GB2312" w:hAnsi="仿宋_GB2312" w:cs="仿宋_GB2312" w:hint="eastAsia"/>
          <w:kern w:val="2"/>
          <w:sz w:val="32"/>
          <w:szCs w:val="32"/>
          <w:lang w:eastAsia="zh-CN"/>
        </w:rPr>
        <w:t>2.本合同标准文本为采购货物买卖合同编制提供参考，可以结合采购项目具体情况，对文本作必要的调整修订后使用。</w:t>
      </w:r>
    </w:p>
    <w:p>
      <w:pPr>
        <w:widowControl w:val="0"/>
        <w:spacing w:after="160" w:line="259" w:lineRule="auto"/>
        <w:ind w:firstLine="640" w:firstLineChars="200"/>
        <w:jc w:val="both"/>
        <w:rPr>
          <w:rFonts w:ascii="仿宋_GB2312" w:eastAsia="仿宋_GB2312" w:hAnsi="仿宋_GB2312" w:cs="仿宋_GB2312"/>
          <w:kern w:val="2"/>
          <w:sz w:val="32"/>
          <w:szCs w:val="32"/>
          <w:lang w:eastAsia="zh-CN"/>
        </w:rPr>
      </w:pPr>
      <w:r>
        <w:rPr>
          <w:rFonts w:ascii="仿宋_GB2312" w:eastAsia="仿宋_GB2312" w:hAnsi="仿宋_GB2312" w:cs="仿宋_GB2312" w:hint="eastAsia"/>
          <w:kern w:val="2"/>
          <w:sz w:val="32"/>
          <w:szCs w:val="32"/>
          <w:lang w:eastAsia="zh-CN"/>
        </w:rPr>
        <w:t>3.本合同标准文本各条款中，如涉及填写多家供应商、制造商，多种采购标的、分包主要内容等信息的，可根据采购项目具体情况添加信息项。</w:t>
      </w:r>
    </w:p>
    <w:p>
      <w:pPr>
        <w:widowControl w:val="0"/>
        <w:spacing w:after="160" w:line="259" w:lineRule="auto"/>
        <w:ind w:firstLine="880" w:firstLineChars="200"/>
        <w:jc w:val="both"/>
        <w:rPr>
          <w:rFonts w:eastAsia="黑体"/>
          <w:kern w:val="2"/>
          <w:sz w:val="44"/>
          <w:szCs w:val="44"/>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p>
    <w:p>
      <w:pPr>
        <w:widowControl w:val="0"/>
        <w:spacing w:after="160" w:line="259" w:lineRule="auto"/>
        <w:jc w:val="both"/>
        <w:rPr>
          <w:rFonts w:eastAsia="宋体"/>
          <w:kern w:val="2"/>
          <w:sz w:val="21"/>
          <w:lang w:eastAsia="zh-CN"/>
        </w:rPr>
      </w:pPr>
      <w:bookmarkStart w:id="64" w:name="_Toc22209"/>
    </w:p>
    <w:p>
      <w:pPr>
        <w:keepNext/>
        <w:keepLines/>
        <w:widowControl w:val="0"/>
        <w:adjustRightInd w:val="0"/>
        <w:snapToGrid w:val="0"/>
        <w:spacing w:after="160" w:line="400" w:lineRule="exact"/>
        <w:jc w:val="center"/>
        <w:outlineLvl w:val="1"/>
        <w:rPr>
          <w:rFonts w:ascii="黑体" w:eastAsia="黑体" w:hAnsi="华文中宋"/>
          <w:kern w:val="2"/>
          <w:sz w:val="28"/>
          <w:szCs w:val="28"/>
          <w:lang w:eastAsia="zh-CN"/>
        </w:rPr>
      </w:pPr>
      <w:r>
        <w:rPr>
          <w:rFonts w:ascii="黑体" w:eastAsia="黑体" w:hAnsi="黑体" w:hint="eastAsia"/>
          <w:kern w:val="2"/>
          <w:sz w:val="28"/>
          <w:szCs w:val="28"/>
          <w:lang w:eastAsia="zh-CN"/>
        </w:rPr>
        <w:t xml:space="preserve">第一节 </w:t>
      </w:r>
      <w:r>
        <w:rPr>
          <w:rFonts w:ascii="黑体" w:eastAsia="黑体" w:hAnsi="华文中宋" w:hint="eastAsia"/>
          <w:kern w:val="2"/>
          <w:sz w:val="28"/>
          <w:szCs w:val="28"/>
          <w:lang w:eastAsia="zh-CN"/>
        </w:rPr>
        <w:t>采购合同协议书</w:t>
      </w:r>
      <w:bookmarkEnd w:id="64"/>
    </w:p>
    <w:p>
      <w:pPr>
        <w:widowControl w:val="0"/>
        <w:spacing w:after="160" w:line="259" w:lineRule="auto"/>
        <w:jc w:val="both"/>
        <w:rPr>
          <w:rFonts w:eastAsia="宋体"/>
          <w:kern w:val="2"/>
          <w:sz w:val="21"/>
          <w:lang w:eastAsia="zh-CN"/>
        </w:rPr>
      </w:pPr>
    </w:p>
    <w:p>
      <w:pPr>
        <w:widowControl w:val="0"/>
        <w:adjustRightInd w:val="0"/>
        <w:snapToGrid w:val="0"/>
        <w:spacing w:after="160" w:line="400" w:lineRule="exact"/>
        <w:jc w:val="both"/>
        <w:rPr>
          <w:rFonts w:ascii="宋体" w:eastAsia="宋体" w:hAnsi="宋体"/>
          <w:kern w:val="2"/>
          <w:sz w:val="21"/>
          <w:szCs w:val="21"/>
          <w:lang w:eastAsia="zh-CN"/>
        </w:rPr>
      </w:pPr>
      <w:r>
        <w:rPr>
          <w:rFonts w:ascii="宋体" w:eastAsia="宋体" w:hAnsi="宋体" w:hint="eastAsia"/>
          <w:kern w:val="2"/>
          <w:sz w:val="21"/>
          <w:szCs w:val="21"/>
          <w:lang w:eastAsia="zh-CN"/>
        </w:rPr>
        <w:t>甲方（全称）：</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（采购人、受采购人委托签订合同的单位或采购</w:t>
      </w:r>
      <w:r>
        <w:rPr>
          <w:rFonts w:ascii="宋体" w:eastAsia="宋体" w:hAnsi="宋体" w:hint="eastAsia"/>
          <w:kern w:val="2"/>
          <w:sz w:val="21"/>
          <w:szCs w:val="21"/>
          <w:lang w:eastAsia="zh-CN"/>
        </w:rPr>
        <w:tab/>
      </w:r>
      <w:r>
        <w:rPr>
          <w:rFonts w:ascii="宋体" w:eastAsia="宋体" w:hAnsi="宋体" w:hint="eastAsia"/>
          <w:kern w:val="2"/>
          <w:sz w:val="21"/>
          <w:szCs w:val="21"/>
          <w:lang w:eastAsia="zh-CN"/>
        </w:rPr>
        <w:t xml:space="preserve">                                   文件约定的合同甲方）</w:t>
      </w:r>
    </w:p>
    <w:p>
      <w:pPr>
        <w:widowControl w:val="0"/>
        <w:adjustRightInd w:val="0"/>
        <w:snapToGrid w:val="0"/>
        <w:spacing w:after="160" w:line="400" w:lineRule="exact"/>
        <w:jc w:val="both"/>
        <w:rPr>
          <w:rFonts w:ascii="宋体" w:eastAsia="宋体" w:hAnsi="宋体"/>
          <w:kern w:val="2"/>
          <w:sz w:val="21"/>
          <w:szCs w:val="21"/>
          <w:lang w:eastAsia="zh-CN"/>
        </w:rPr>
      </w:pPr>
      <w:r>
        <w:rPr>
          <w:rFonts w:ascii="宋体" w:eastAsia="宋体" w:hAnsi="宋体" w:hint="eastAsia"/>
          <w:kern w:val="2"/>
          <w:sz w:val="21"/>
          <w:szCs w:val="21"/>
          <w:lang w:eastAsia="zh-CN"/>
        </w:rPr>
        <w:t>乙方1（全称）：</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（供应商）</w:t>
      </w:r>
    </w:p>
    <w:p>
      <w:pPr>
        <w:widowControl w:val="0"/>
        <w:adjustRightInd w:val="0"/>
        <w:snapToGrid w:val="0"/>
        <w:spacing w:after="160" w:line="400" w:lineRule="exact"/>
        <w:jc w:val="both"/>
        <w:rPr>
          <w:rFonts w:ascii="宋体" w:eastAsia="宋体" w:hAnsi="宋体"/>
          <w:kern w:val="2"/>
          <w:sz w:val="21"/>
          <w:szCs w:val="21"/>
          <w:lang w:eastAsia="zh-CN"/>
        </w:rPr>
      </w:pPr>
      <w:r>
        <w:rPr>
          <w:rFonts w:ascii="宋体" w:eastAsia="宋体" w:hAnsi="宋体" w:hint="eastAsia"/>
          <w:kern w:val="2"/>
          <w:sz w:val="21"/>
          <w:szCs w:val="21"/>
          <w:lang w:eastAsia="zh-CN"/>
        </w:rPr>
        <w:t>乙方2（全称）：</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（联合体成员供应商或其他合同主体）（如有）</w:t>
      </w:r>
    </w:p>
    <w:p>
      <w:pPr>
        <w:widowControl w:val="0"/>
        <w:adjustRightInd w:val="0"/>
        <w:snapToGrid w:val="0"/>
        <w:spacing w:after="160" w:line="400" w:lineRule="exact"/>
        <w:jc w:val="both"/>
        <w:rPr>
          <w:rFonts w:ascii="宋体" w:eastAsia="宋体" w:hAnsi="宋体"/>
          <w:kern w:val="2"/>
          <w:sz w:val="21"/>
          <w:szCs w:val="21"/>
          <w:lang w:eastAsia="zh-CN"/>
        </w:rPr>
      </w:pPr>
      <w:r>
        <w:rPr>
          <w:rFonts w:eastAsia="宋体" w:hint="eastAsia"/>
          <w:kern w:val="2"/>
          <w:sz w:val="21"/>
          <w:lang w:eastAsia="zh-CN"/>
        </w:rPr>
        <w:t>乙方</w:t>
      </w:r>
      <w:r>
        <w:rPr>
          <w:rFonts w:ascii="宋体" w:eastAsia="宋体" w:hAnsi="宋体" w:hint="eastAsia"/>
          <w:kern w:val="2"/>
          <w:sz w:val="21"/>
          <w:szCs w:val="21"/>
          <w:lang w:eastAsia="zh-CN"/>
        </w:rPr>
        <w:t>3</w:t>
      </w:r>
      <w:r>
        <w:rPr>
          <w:rFonts w:eastAsia="宋体" w:hint="eastAsia"/>
          <w:kern w:val="2"/>
          <w:sz w:val="21"/>
          <w:lang w:eastAsia="zh-CN"/>
        </w:rPr>
        <w:t>（全称）</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（联合体成员供应商或其他合同主体）（如有）</w:t>
      </w:r>
    </w:p>
    <w:p>
      <w:pPr>
        <w:widowControl w:val="0"/>
        <w:spacing w:after="160" w:line="400" w:lineRule="exact"/>
        <w:jc w:val="both"/>
        <w:rPr>
          <w:rFonts w:eastAsia="宋体"/>
          <w:kern w:val="2"/>
          <w:sz w:val="21"/>
          <w:lang w:eastAsia="zh-CN"/>
        </w:rPr>
      </w:pPr>
    </w:p>
    <w:p>
      <w:pPr>
        <w:widowControl w:val="0"/>
        <w:adjustRightInd w:val="0"/>
        <w:snapToGrid w:val="0"/>
        <w:spacing w:after="160" w:line="400" w:lineRule="exact"/>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依据《中华人民共和国民法典》《中华人民共和国政府采购法》《深圳经济特区政府采购条例》等有关的法律法规，以及本采购项目的招标文件等采购文件、乙方的《投标（响应）文件》及《中标（成交）通知书》，甲乙双方同意签订本合同。具体情况及要求如下：     </w:t>
      </w:r>
    </w:p>
    <w:p>
      <w:pPr>
        <w:widowControl w:val="0"/>
        <w:numPr>
          <w:ilvl w:val="0"/>
          <w:numId w:val="3"/>
        </w:numPr>
        <w:adjustRightInd w:val="0"/>
        <w:snapToGrid w:val="0"/>
        <w:spacing w:after="160" w:line="400" w:lineRule="exact"/>
        <w:ind w:firstLine="420" w:firstLineChars="200"/>
        <w:jc w:val="both"/>
        <w:rPr>
          <w:rFonts w:ascii="宋体" w:eastAsia="宋体" w:hAnsi="宋体"/>
          <w:b/>
          <w:kern w:val="2"/>
          <w:sz w:val="21"/>
          <w:szCs w:val="21"/>
          <w:lang w:eastAsia="zh-CN"/>
        </w:rPr>
      </w:pPr>
      <w:r>
        <w:rPr>
          <w:rFonts w:ascii="宋体" w:eastAsia="宋体" w:hAnsi="宋体" w:hint="eastAsia"/>
          <w:b/>
          <w:kern w:val="2"/>
          <w:sz w:val="21"/>
          <w:szCs w:val="21"/>
          <w:lang w:eastAsia="zh-CN"/>
        </w:rPr>
        <w:t>项目信息</w:t>
      </w:r>
    </w:p>
    <w:p>
      <w:pPr>
        <w:widowControl w:val="0"/>
        <w:numPr>
          <w:ilvl w:val="0"/>
          <w:numId w:val="4"/>
        </w:numPr>
        <w:adjustRightInd w:val="0"/>
        <w:snapToGrid w:val="0"/>
        <w:spacing w:after="160" w:line="400" w:lineRule="exact"/>
        <w:ind w:firstLine="420" w:firstLineChars="200"/>
        <w:jc w:val="both"/>
        <w:rPr>
          <w:rFonts w:ascii="宋体" w:eastAsia="宋体" w:hAnsi="宋体"/>
          <w:kern w:val="2"/>
          <w:sz w:val="21"/>
          <w:szCs w:val="21"/>
          <w:u w:val="single"/>
          <w:lang w:eastAsia="zh-CN"/>
        </w:rPr>
      </w:pPr>
      <w:r>
        <w:rPr>
          <w:rFonts w:ascii="宋体" w:eastAsia="宋体" w:hAnsi="宋体" w:hint="eastAsia"/>
          <w:kern w:val="2"/>
          <w:sz w:val="21"/>
          <w:szCs w:val="21"/>
          <w:lang w:eastAsia="zh-CN"/>
        </w:rPr>
        <w:t>采购项目名称：</w:t>
      </w:r>
      <w:r>
        <w:rPr>
          <w:rFonts w:ascii="宋体" w:eastAsia="宋体" w:hAnsi="宋体" w:hint="eastAsia"/>
          <w:kern w:val="2"/>
          <w:sz w:val="21"/>
          <w:szCs w:val="21"/>
          <w:u w:val="single"/>
          <w:lang w:eastAsia="zh-CN"/>
        </w:rPr>
        <w:t xml:space="preserve">                                            </w:t>
      </w:r>
    </w:p>
    <w:p>
      <w:pPr>
        <w:widowControl w:val="0"/>
        <w:numPr>
          <w:ilvl w:val="12"/>
          <w:numId w:val="0"/>
        </w:numPr>
        <w:tabs>
          <w:tab w:val="left" w:pos="999"/>
        </w:tabs>
        <w:adjustRightInd w:val="0"/>
        <w:snapToGrid w:val="0"/>
        <w:spacing w:after="160" w:line="400" w:lineRule="exact"/>
        <w:ind w:left="0" w:firstLine="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采购项目编号：</w:t>
      </w:r>
      <w:r>
        <w:rPr>
          <w:rFonts w:ascii="宋体" w:eastAsia="宋体" w:hAnsi="宋体"/>
          <w:kern w:val="2"/>
          <w:sz w:val="21"/>
          <w:szCs w:val="21"/>
          <w:u w:val="single"/>
          <w:lang w:eastAsia="zh-CN"/>
        </w:rPr>
        <w:t xml:space="preserve">                                          </w:t>
      </w:r>
    </w:p>
    <w:p>
      <w:pPr>
        <w:widowControl w:val="0"/>
        <w:adjustRightInd w:val="0"/>
        <w:snapToGrid w:val="0"/>
        <w:spacing w:after="160" w:line="400" w:lineRule="exact"/>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（2）采购计划编号：</w:t>
      </w:r>
      <w:r>
        <w:rPr>
          <w:rFonts w:ascii="宋体" w:eastAsia="宋体" w:hAnsi="宋体"/>
          <w:kern w:val="2"/>
          <w:sz w:val="21"/>
          <w:szCs w:val="21"/>
          <w:u w:val="single"/>
          <w:lang w:eastAsia="zh-CN"/>
        </w:rPr>
        <w:t xml:space="preserve">                     </w:t>
      </w:r>
      <w:r>
        <w:rPr>
          <w:rFonts w:ascii="宋体" w:eastAsia="宋体" w:hAnsi="宋体" w:hint="eastAsia"/>
          <w:kern w:val="2"/>
          <w:sz w:val="21"/>
          <w:szCs w:val="21"/>
          <w:u w:val="single"/>
          <w:lang w:eastAsia="zh-CN"/>
        </w:rPr>
        <w:t xml:space="preserve">                </w:t>
      </w:r>
      <w:r>
        <w:rPr>
          <w:rFonts w:ascii="宋体" w:eastAsia="宋体" w:hAnsi="宋体"/>
          <w:kern w:val="2"/>
          <w:sz w:val="21"/>
          <w:szCs w:val="21"/>
          <w:u w:val="single"/>
          <w:lang w:eastAsia="zh-CN"/>
        </w:rPr>
        <w:t xml:space="preserve">     </w:t>
      </w:r>
      <w:r>
        <w:rPr>
          <w:rFonts w:ascii="宋体" w:eastAsia="宋体" w:hAnsi="宋体"/>
          <w:kern w:val="2"/>
          <w:sz w:val="21"/>
          <w:szCs w:val="21"/>
          <w:lang w:eastAsia="zh-CN"/>
        </w:rPr>
        <w:t xml:space="preserve"> </w:t>
      </w:r>
    </w:p>
    <w:p>
      <w:pPr>
        <w:widowControl w:val="0"/>
        <w:adjustRightInd w:val="0"/>
        <w:snapToGrid w:val="0"/>
        <w:spacing w:after="160" w:line="400" w:lineRule="exact"/>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（3）项目内容：</w:t>
      </w:r>
    </w:p>
    <w:p>
      <w:pPr>
        <w:widowControl w:val="0"/>
        <w:adjustRightInd w:val="0"/>
        <w:snapToGrid w:val="0"/>
        <w:spacing w:after="160" w:line="400" w:lineRule="exact"/>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采购标的及数量（台/套</w:t>
      </w:r>
      <w:r>
        <w:rPr>
          <w:rFonts w:ascii="宋体" w:eastAsia="宋体" w:hAnsi="宋体"/>
          <w:kern w:val="2"/>
          <w:sz w:val="21"/>
          <w:szCs w:val="21"/>
          <w:lang w:val="en" w:eastAsia="zh-CN"/>
        </w:rPr>
        <w:t>/</w:t>
      </w:r>
      <w:r>
        <w:rPr>
          <w:rFonts w:ascii="宋体" w:eastAsia="宋体" w:hAnsi="宋体" w:hint="eastAsia"/>
          <w:kern w:val="2"/>
          <w:sz w:val="21"/>
          <w:szCs w:val="21"/>
          <w:lang w:val="en" w:eastAsia="zh-CN"/>
        </w:rPr>
        <w:t>个</w:t>
      </w:r>
      <w:r>
        <w:rPr>
          <w:rFonts w:ascii="宋体" w:eastAsia="宋体" w:hAnsi="宋体"/>
          <w:kern w:val="2"/>
          <w:sz w:val="21"/>
          <w:szCs w:val="21"/>
          <w:lang w:val="en" w:eastAsia="zh-CN"/>
        </w:rPr>
        <w:t>/</w:t>
      </w:r>
      <w:r>
        <w:rPr>
          <w:rFonts w:ascii="宋体" w:eastAsia="宋体" w:hAnsi="宋体" w:hint="eastAsia"/>
          <w:kern w:val="2"/>
          <w:sz w:val="21"/>
          <w:szCs w:val="21"/>
          <w:lang w:val="en" w:eastAsia="zh-CN"/>
        </w:rPr>
        <w:t>架</w:t>
      </w:r>
      <w:r>
        <w:rPr>
          <w:rFonts w:ascii="宋体" w:eastAsia="宋体" w:hAnsi="宋体"/>
          <w:kern w:val="2"/>
          <w:sz w:val="21"/>
          <w:szCs w:val="21"/>
          <w:lang w:val="en" w:eastAsia="zh-CN"/>
        </w:rPr>
        <w:t>/</w:t>
      </w:r>
      <w:r>
        <w:rPr>
          <w:rFonts w:ascii="宋体" w:eastAsia="宋体" w:hAnsi="宋体" w:hint="eastAsia"/>
          <w:kern w:val="2"/>
          <w:sz w:val="21"/>
          <w:szCs w:val="21"/>
          <w:lang w:val="en" w:eastAsia="zh-CN"/>
        </w:rPr>
        <w:t>组等</w:t>
      </w:r>
      <w:r>
        <w:rPr>
          <w:rFonts w:ascii="宋体" w:eastAsia="宋体" w:hAnsi="宋体" w:hint="eastAsia"/>
          <w:kern w:val="2"/>
          <w:sz w:val="21"/>
          <w:szCs w:val="21"/>
          <w:lang w:eastAsia="zh-CN"/>
        </w:rPr>
        <w:t>）：</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 xml:space="preserve">            </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 xml:space="preserve"> </w:t>
      </w:r>
    </w:p>
    <w:p>
      <w:pPr>
        <w:widowControl w:val="0"/>
        <w:numPr>
          <w:ilvl w:val="12"/>
          <w:numId w:val="0"/>
        </w:numPr>
        <w:adjustRightInd w:val="0"/>
        <w:snapToGrid w:val="0"/>
        <w:spacing w:after="160" w:line="400" w:lineRule="exact"/>
        <w:ind w:left="0" w:firstLine="420" w:firstLineChars="200"/>
        <w:jc w:val="both"/>
        <w:rPr>
          <w:rFonts w:ascii="宋体" w:eastAsia="宋体" w:hAnsi="宋体" w:cs="宋体"/>
          <w:kern w:val="2"/>
          <w:sz w:val="21"/>
          <w:szCs w:val="21"/>
          <w:lang w:val="en" w:eastAsia="zh-CN"/>
        </w:rPr>
      </w:pPr>
      <w:r>
        <w:rPr>
          <w:rFonts w:ascii="宋体" w:eastAsia="宋体" w:hAnsi="宋体" w:hint="eastAsia"/>
          <w:kern w:val="2"/>
          <w:sz w:val="21"/>
          <w:szCs w:val="21"/>
          <w:lang w:eastAsia="zh-CN"/>
        </w:rPr>
        <w:t xml:space="preserve">     </w:t>
      </w:r>
      <w:r>
        <w:rPr>
          <w:rFonts w:ascii="宋体" w:eastAsia="宋体" w:hAnsi="宋体" w:cs="宋体" w:hint="eastAsia"/>
          <w:kern w:val="2"/>
          <w:sz w:val="21"/>
          <w:szCs w:val="21"/>
          <w:lang w:eastAsia="zh-CN"/>
        </w:rPr>
        <w:t>品牌：</w:t>
      </w:r>
      <w:r>
        <w:rPr>
          <w:rFonts w:ascii="宋体" w:eastAsia="宋体" w:hAnsi="宋体" w:cs="宋体" w:hint="eastAsia"/>
          <w:kern w:val="2"/>
          <w:sz w:val="21"/>
          <w:szCs w:val="21"/>
          <w:u w:val="single"/>
          <w:lang w:eastAsia="zh-CN"/>
        </w:rPr>
        <w:t xml:space="preserve">      </w:t>
      </w:r>
      <w:r>
        <w:rPr>
          <w:rFonts w:ascii="宋体" w:eastAsia="宋体" w:hAnsi="宋体" w:cs="宋体"/>
          <w:kern w:val="2"/>
          <w:sz w:val="21"/>
          <w:szCs w:val="21"/>
          <w:u w:val="single"/>
          <w:lang w:val="en" w:eastAsia="zh-CN"/>
        </w:rPr>
        <w:t xml:space="preserve">   </w:t>
      </w:r>
      <w:r>
        <w:rPr>
          <w:rFonts w:ascii="宋体" w:eastAsia="宋体" w:hAnsi="宋体" w:cs="宋体" w:hint="eastAsia"/>
          <w:kern w:val="2"/>
          <w:sz w:val="21"/>
          <w:szCs w:val="21"/>
          <w:u w:val="single"/>
          <w:lang w:eastAsia="zh-CN"/>
        </w:rPr>
        <w:t xml:space="preserve">    </w:t>
      </w:r>
      <w:r>
        <w:rPr>
          <w:rFonts w:ascii="宋体" w:eastAsia="宋体" w:hAnsi="宋体" w:cs="宋体"/>
          <w:kern w:val="2"/>
          <w:sz w:val="21"/>
          <w:szCs w:val="21"/>
          <w:u w:val="single"/>
          <w:lang w:val="en" w:eastAsia="zh-CN"/>
        </w:rPr>
        <w:t xml:space="preserve"> </w:t>
      </w:r>
      <w:r>
        <w:rPr>
          <w:rFonts w:ascii="宋体" w:eastAsia="宋体" w:hAnsi="宋体" w:cs="宋体" w:hint="eastAsia"/>
          <w:kern w:val="2"/>
          <w:sz w:val="21"/>
          <w:szCs w:val="21"/>
          <w:u w:val="single"/>
          <w:lang w:eastAsia="zh-CN"/>
        </w:rPr>
        <w:t xml:space="preserve"> </w:t>
      </w:r>
      <w:r>
        <w:rPr>
          <w:rFonts w:ascii="宋体" w:eastAsia="宋体" w:hAnsi="宋体" w:cs="宋体"/>
          <w:kern w:val="2"/>
          <w:sz w:val="21"/>
          <w:szCs w:val="21"/>
          <w:lang w:val="en" w:eastAsia="zh-CN"/>
        </w:rPr>
        <w:t xml:space="preserve">     </w:t>
      </w:r>
      <w:r>
        <w:rPr>
          <w:rFonts w:ascii="宋体" w:eastAsia="宋体" w:hAnsi="宋体" w:cs="宋体" w:hint="eastAsia"/>
          <w:kern w:val="2"/>
          <w:sz w:val="21"/>
          <w:szCs w:val="21"/>
          <w:lang w:eastAsia="zh-CN"/>
        </w:rPr>
        <w:t>规格型号：</w:t>
      </w:r>
      <w:r>
        <w:rPr>
          <w:rFonts w:ascii="宋体" w:eastAsia="宋体" w:hAnsi="宋体" w:cs="宋体" w:hint="eastAsia"/>
          <w:kern w:val="2"/>
          <w:sz w:val="21"/>
          <w:szCs w:val="21"/>
          <w:u w:val="single"/>
          <w:lang w:eastAsia="zh-CN"/>
        </w:rPr>
        <w:t xml:space="preserve">   </w:t>
      </w:r>
      <w:r>
        <w:rPr>
          <w:rFonts w:ascii="宋体" w:eastAsia="宋体" w:hAnsi="宋体" w:cs="宋体"/>
          <w:kern w:val="2"/>
          <w:sz w:val="21"/>
          <w:szCs w:val="21"/>
          <w:u w:val="single"/>
          <w:lang w:val="en" w:eastAsia="zh-CN"/>
        </w:rPr>
        <w:t xml:space="preserve">  </w:t>
      </w:r>
      <w:r>
        <w:rPr>
          <w:rFonts w:ascii="宋体" w:eastAsia="宋体" w:hAnsi="宋体" w:cs="宋体" w:hint="eastAsia"/>
          <w:kern w:val="2"/>
          <w:sz w:val="21"/>
          <w:szCs w:val="21"/>
          <w:u w:val="single"/>
          <w:lang w:eastAsia="zh-CN"/>
        </w:rPr>
        <w:t xml:space="preserve">       </w:t>
      </w:r>
      <w:r>
        <w:rPr>
          <w:rFonts w:ascii="宋体" w:eastAsia="宋体" w:hAnsi="宋体" w:cs="宋体"/>
          <w:kern w:val="2"/>
          <w:sz w:val="21"/>
          <w:szCs w:val="21"/>
          <w:u w:val="single"/>
          <w:lang w:val="en" w:eastAsia="zh-CN"/>
        </w:rPr>
        <w:t xml:space="preserve">   </w:t>
      </w:r>
    </w:p>
    <w:p>
      <w:pPr>
        <w:widowControl w:val="0"/>
        <w:adjustRightInd w:val="0"/>
        <w:snapToGrid w:val="0"/>
        <w:spacing w:after="160" w:line="400" w:lineRule="exact"/>
        <w:ind w:firstLine="945" w:firstLineChars="450"/>
        <w:jc w:val="both"/>
        <w:rPr>
          <w:rFonts w:ascii="宋体" w:eastAsia="宋体" w:hAnsi="宋体"/>
          <w:kern w:val="2"/>
          <w:sz w:val="21"/>
          <w:szCs w:val="21"/>
          <w:u w:val="single"/>
          <w:lang w:eastAsia="zh-CN"/>
        </w:rPr>
      </w:pPr>
      <w:r>
        <w:rPr>
          <w:rFonts w:ascii="宋体" w:eastAsia="宋体" w:hAnsi="宋体" w:hint="eastAsia"/>
          <w:kern w:val="2"/>
          <w:sz w:val="21"/>
          <w:szCs w:val="21"/>
          <w:lang w:eastAsia="zh-CN"/>
        </w:rPr>
        <w:t>采购标的的技术要求、商务要求具体见附件。</w:t>
      </w:r>
    </w:p>
    <w:p>
      <w:pPr>
        <w:widowControl w:val="0"/>
        <w:numPr>
          <w:ilvl w:val="12"/>
          <w:numId w:val="0"/>
        </w:numPr>
        <w:adjustRightInd w:val="0"/>
        <w:snapToGrid w:val="0"/>
        <w:spacing w:after="160" w:line="400" w:lineRule="exact"/>
        <w:ind w:left="0" w:firstLine="945" w:firstLineChars="450"/>
        <w:jc w:val="both"/>
        <w:rPr>
          <w:rFonts w:ascii="宋体" w:eastAsia="宋体" w:hAnsi="宋体" w:cs="宋体"/>
          <w:kern w:val="2"/>
          <w:sz w:val="21"/>
          <w:szCs w:val="21"/>
          <w:lang w:eastAsia="zh-CN"/>
        </w:rPr>
      </w:pPr>
      <w:r>
        <w:rPr>
          <w:rFonts w:ascii="汉仪书宋二S" w:eastAsia="汉仪书宋二S" w:hAnsi="汉仪书宋二S" w:cs="汉仪书宋二S" w:hint="eastAsia"/>
          <w:kern w:val="2"/>
          <w:sz w:val="21"/>
          <w:szCs w:val="21"/>
          <w:lang w:eastAsia="zh-CN"/>
        </w:rPr>
        <w:t>①</w:t>
      </w:r>
      <w:r>
        <w:rPr>
          <w:rFonts w:ascii="宋体" w:eastAsia="宋体" w:hAnsi="宋体" w:cs="宋体" w:hint="eastAsia"/>
          <w:kern w:val="2"/>
          <w:sz w:val="21"/>
          <w:szCs w:val="21"/>
          <w:lang w:eastAsia="zh-CN"/>
        </w:rPr>
        <w:t>涉及信息类产品，请填写该产品关键部件的品牌、型号：</w:t>
      </w:r>
    </w:p>
    <w:p>
      <w:pPr>
        <w:widowControl w:val="0"/>
        <w:numPr>
          <w:ilvl w:val="12"/>
          <w:numId w:val="0"/>
        </w:numPr>
        <w:adjustRightInd w:val="0"/>
        <w:snapToGrid w:val="0"/>
        <w:spacing w:after="160" w:line="400" w:lineRule="exact"/>
        <w:ind w:left="0" w:firstLine="420" w:firstLineChars="200"/>
        <w:jc w:val="both"/>
        <w:rPr>
          <w:rFonts w:ascii="宋体" w:eastAsia="宋体" w:hAnsi="宋体" w:cs="宋体"/>
          <w:sz w:val="21"/>
          <w:szCs w:val="21"/>
          <w:u w:val="single"/>
          <w:lang w:eastAsia="zh-CN"/>
        </w:rPr>
      </w:pPr>
      <w:r>
        <w:rPr>
          <w:rFonts w:ascii="宋体" w:eastAsia="宋体" w:hAnsi="宋体" w:cs="宋体" w:hint="eastAsia"/>
          <w:kern w:val="2"/>
          <w:sz w:val="21"/>
          <w:szCs w:val="21"/>
          <w:lang w:eastAsia="zh-CN"/>
        </w:rPr>
        <w:t xml:space="preserve">     标的名称：</w:t>
      </w:r>
      <w:r>
        <w:rPr>
          <w:rFonts w:ascii="宋体" w:eastAsia="宋体" w:hAnsi="宋体" w:cs="宋体" w:hint="eastAsia"/>
          <w:sz w:val="21"/>
          <w:szCs w:val="21"/>
          <w:u w:val="single"/>
          <w:lang w:eastAsia="zh-CN"/>
        </w:rPr>
        <w:t xml:space="preserve">      </w:t>
      </w:r>
      <w:r>
        <w:rPr>
          <w:rFonts w:ascii="宋体" w:eastAsia="宋体" w:hAnsi="宋体" w:cs="宋体"/>
          <w:sz w:val="21"/>
          <w:szCs w:val="21"/>
          <w:u w:val="single"/>
          <w:lang w:val="en" w:eastAsia="zh-CN"/>
        </w:rPr>
        <w:t xml:space="preserve">               </w:t>
      </w:r>
      <w:r>
        <w:rPr>
          <w:rFonts w:ascii="宋体" w:eastAsia="宋体" w:hAnsi="宋体" w:cs="宋体" w:hint="eastAsia"/>
          <w:sz w:val="21"/>
          <w:szCs w:val="21"/>
          <w:u w:val="single"/>
          <w:lang w:eastAsia="zh-CN"/>
        </w:rPr>
        <w:t xml:space="preserve">    </w:t>
      </w:r>
    </w:p>
    <w:p>
      <w:pPr>
        <w:widowControl w:val="0"/>
        <w:numPr>
          <w:ilvl w:val="12"/>
          <w:numId w:val="0"/>
        </w:numPr>
        <w:adjustRightInd w:val="0"/>
        <w:snapToGrid w:val="0"/>
        <w:spacing w:after="160" w:line="400" w:lineRule="exact"/>
        <w:ind w:left="0"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     关键部件：</w:t>
      </w:r>
      <w:r>
        <w:rPr>
          <w:rFonts w:ascii="宋体" w:eastAsia="宋体" w:hAnsi="宋体" w:cs="宋体" w:hint="eastAsia"/>
          <w:sz w:val="21"/>
          <w:szCs w:val="21"/>
          <w:u w:val="single"/>
          <w:lang w:eastAsia="zh-CN"/>
        </w:rPr>
        <w:t xml:space="preserve">          </w:t>
      </w:r>
      <w:r>
        <w:rPr>
          <w:rFonts w:ascii="宋体" w:eastAsia="宋体" w:hAnsi="宋体" w:cs="宋体" w:hint="eastAsia"/>
          <w:sz w:val="21"/>
          <w:szCs w:val="21"/>
          <w:lang w:eastAsia="zh-CN"/>
        </w:rPr>
        <w:t xml:space="preserve"> </w:t>
      </w:r>
      <w:r>
        <w:rPr>
          <w:rFonts w:ascii="宋体" w:eastAsia="宋体" w:hAnsi="宋体" w:cs="宋体" w:hint="eastAsia"/>
          <w:kern w:val="2"/>
          <w:sz w:val="21"/>
          <w:szCs w:val="21"/>
          <w:lang w:eastAsia="zh-CN"/>
        </w:rPr>
        <w:t>品牌：</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型号：</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p>
    <w:p>
      <w:pPr>
        <w:widowControl w:val="0"/>
        <w:autoSpaceDE w:val="0"/>
        <w:autoSpaceDN w:val="0"/>
        <w:adjustRightInd w:val="0"/>
        <w:spacing w:after="160" w:line="40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     关键部件：</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品牌：</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型号：</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p>
    <w:p>
      <w:pPr>
        <w:widowControl w:val="0"/>
        <w:autoSpaceDE w:val="0"/>
        <w:autoSpaceDN w:val="0"/>
        <w:adjustRightInd w:val="0"/>
        <w:spacing w:after="160" w:line="40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     关键部件：</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品牌：</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型号：</w:t>
      </w:r>
      <w:r>
        <w:rPr>
          <w:rFonts w:ascii="宋体" w:eastAsia="宋体" w:hAnsi="宋体" w:cs="宋体" w:hint="eastAsia"/>
          <w:kern w:val="2"/>
          <w:sz w:val="21"/>
          <w:szCs w:val="21"/>
          <w:u w:val="single"/>
          <w:lang w:eastAsia="zh-CN"/>
        </w:rPr>
        <w:t xml:space="preserve">       </w:t>
      </w:r>
    </w:p>
    <w:p>
      <w:pPr>
        <w:widowControl w:val="0"/>
        <w:numPr>
          <w:ilvl w:val="12"/>
          <w:numId w:val="0"/>
        </w:numPr>
        <w:autoSpaceDE w:val="0"/>
        <w:autoSpaceDN w:val="0"/>
        <w:adjustRightInd w:val="0"/>
        <w:snapToGrid w:val="0"/>
        <w:spacing w:after="160" w:line="400" w:lineRule="exact"/>
        <w:ind w:left="0" w:firstLine="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   （注：关键部件是指财政部会同有关部门发布的采购需求标准规定的需要通过国家有关部门指定的测评机构开展的安全可靠测评的软硬件，如CPU芯片、操作系统、数据库等。）</w:t>
      </w:r>
    </w:p>
    <w:p>
      <w:pPr>
        <w:widowControl w:val="0"/>
        <w:numPr>
          <w:ilvl w:val="12"/>
          <w:numId w:val="0"/>
        </w:numPr>
        <w:autoSpaceDE w:val="0"/>
        <w:autoSpaceDN w:val="0"/>
        <w:adjustRightInd w:val="0"/>
        <w:snapToGrid w:val="0"/>
        <w:spacing w:after="160" w:line="400" w:lineRule="exact"/>
        <w:ind w:left="0" w:firstLine="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         </w:t>
      </w:r>
      <w:r>
        <w:rPr>
          <w:rFonts w:ascii="汉仪书宋二S" w:eastAsia="汉仪书宋二S" w:hAnsi="汉仪书宋二S" w:cs="汉仪书宋二S" w:hint="eastAsia"/>
          <w:kern w:val="2"/>
          <w:sz w:val="21"/>
          <w:szCs w:val="21"/>
          <w:lang w:eastAsia="zh-CN"/>
        </w:rPr>
        <w:t>②</w:t>
      </w:r>
      <w:r>
        <w:rPr>
          <w:rFonts w:ascii="宋体" w:eastAsia="宋体" w:hAnsi="宋体" w:cs="宋体" w:hint="eastAsia"/>
          <w:kern w:val="2"/>
          <w:sz w:val="21"/>
          <w:szCs w:val="21"/>
          <w:lang w:eastAsia="zh-CN"/>
        </w:rPr>
        <w:t>涉及车辆采购，请填写是否属于新能源汽车：</w:t>
      </w:r>
    </w:p>
    <w:p>
      <w:pPr>
        <w:widowControl w:val="0"/>
        <w:numPr>
          <w:ilvl w:val="12"/>
          <w:numId w:val="0"/>
        </w:numPr>
        <w:autoSpaceDE w:val="0"/>
        <w:autoSpaceDN w:val="0"/>
        <w:adjustRightInd w:val="0"/>
        <w:snapToGrid w:val="0"/>
        <w:spacing w:after="160" w:line="400" w:lineRule="exact"/>
        <w:ind w:left="0" w:firstLine="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是，《政府采购品目分类目录》底级品目名称：</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数量：</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金额：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p>
    <w:p>
      <w:pPr>
        <w:widowControl w:val="0"/>
        <w:numPr>
          <w:ilvl w:val="12"/>
          <w:numId w:val="0"/>
        </w:numPr>
        <w:autoSpaceDE w:val="0"/>
        <w:autoSpaceDN w:val="0"/>
        <w:adjustRightInd w:val="0"/>
        <w:snapToGrid w:val="0"/>
        <w:spacing w:after="160" w:line="400" w:lineRule="exact"/>
        <w:ind w:left="0" w:firstLine="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否</w:t>
      </w:r>
    </w:p>
    <w:p>
      <w:pPr>
        <w:widowControl w:val="0"/>
        <w:numPr>
          <w:ilvl w:val="12"/>
          <w:numId w:val="0"/>
        </w:numPr>
        <w:autoSpaceDE w:val="0"/>
        <w:autoSpaceDN w:val="0"/>
        <w:adjustRightInd w:val="0"/>
        <w:snapToGrid w:val="0"/>
        <w:spacing w:after="160" w:line="400" w:lineRule="exact"/>
        <w:ind w:left="0" w:firstLine="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    （</w:t>
      </w:r>
      <w:r>
        <w:rPr>
          <w:rFonts w:ascii="宋体" w:eastAsia="宋体" w:hAnsi="宋体" w:cs="宋体"/>
          <w:kern w:val="2"/>
          <w:sz w:val="21"/>
          <w:szCs w:val="21"/>
          <w:lang w:val="en" w:eastAsia="zh-CN"/>
        </w:rPr>
        <w:t>4</w:t>
      </w:r>
      <w:r>
        <w:rPr>
          <w:rFonts w:ascii="宋体" w:eastAsia="宋体" w:hAnsi="宋体" w:cs="宋体" w:hint="eastAsia"/>
          <w:kern w:val="2"/>
          <w:sz w:val="21"/>
          <w:szCs w:val="21"/>
          <w:lang w:eastAsia="zh-CN"/>
        </w:rPr>
        <w:t>）采购组织形式：</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集中采购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自行采购</w:t>
      </w:r>
    </w:p>
    <w:p>
      <w:pPr>
        <w:widowControl w:val="0"/>
        <w:numPr>
          <w:ilvl w:val="12"/>
          <w:numId w:val="0"/>
        </w:numPr>
        <w:autoSpaceDE w:val="0"/>
        <w:autoSpaceDN w:val="0"/>
        <w:adjustRightInd w:val="0"/>
        <w:snapToGrid w:val="0"/>
        <w:spacing w:after="160" w:line="400" w:lineRule="exact"/>
        <w:ind w:left="240" w:firstLine="210" w:leftChars="100" w:firstLineChars="100"/>
        <w:jc w:val="both"/>
        <w:rPr>
          <w:rFonts w:ascii="宋体" w:eastAsia="宋体" w:hAnsi="宋体" w:cs="宋体"/>
          <w:kern w:val="2"/>
          <w:sz w:val="21"/>
          <w:szCs w:val="21"/>
          <w:u w:val="single"/>
          <w:lang w:eastAsia="zh-CN"/>
        </w:rPr>
      </w:pPr>
      <w:r>
        <w:rPr>
          <w:rFonts w:ascii="宋体" w:eastAsia="宋体" w:hAnsi="宋体" w:cs="宋体" w:hint="eastAsia"/>
          <w:kern w:val="2"/>
          <w:sz w:val="21"/>
          <w:szCs w:val="21"/>
          <w:lang w:eastAsia="zh-CN"/>
        </w:rPr>
        <w:t>（</w:t>
      </w:r>
      <w:r>
        <w:rPr>
          <w:rFonts w:ascii="宋体" w:eastAsia="宋体" w:hAnsi="宋体" w:cs="宋体"/>
          <w:kern w:val="2"/>
          <w:sz w:val="21"/>
          <w:szCs w:val="21"/>
          <w:lang w:val="en" w:eastAsia="zh-CN"/>
        </w:rPr>
        <w:t>5</w:t>
      </w:r>
      <w:r>
        <w:rPr>
          <w:rFonts w:ascii="宋体" w:eastAsia="宋体" w:hAnsi="宋体" w:cs="宋体" w:hint="eastAsia"/>
          <w:kern w:val="2"/>
          <w:sz w:val="21"/>
          <w:szCs w:val="21"/>
          <w:lang w:eastAsia="zh-CN"/>
        </w:rPr>
        <w:t>）采购方式：</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公开招标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竞争性谈判</w:t>
      </w:r>
      <w:r>
        <w:rPr>
          <w:rFonts w:ascii="宋体" w:eastAsia="华文楷体" w:hAnsi="宋体" w:cs="宋体" w:hint="eastAsia"/>
          <w:kern w:val="2"/>
          <w:sz w:val="22"/>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单一来源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竞价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框架协议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其他：</w:t>
      </w:r>
      <w:r>
        <w:rPr>
          <w:rFonts w:ascii="宋体" w:eastAsia="宋体" w:hAnsi="宋体" w:cs="宋体" w:hint="eastAsia"/>
          <w:kern w:val="2"/>
          <w:sz w:val="21"/>
          <w:szCs w:val="21"/>
          <w:u w:val="single"/>
          <w:lang w:eastAsia="zh-CN"/>
        </w:rPr>
        <w:t xml:space="preserve">          </w:t>
      </w:r>
    </w:p>
    <w:p>
      <w:pPr>
        <w:widowControl w:val="0"/>
        <w:numPr>
          <w:ilvl w:val="12"/>
          <w:numId w:val="0"/>
        </w:numPr>
        <w:autoSpaceDE w:val="0"/>
        <w:autoSpaceDN w:val="0"/>
        <w:adjustRightInd w:val="0"/>
        <w:snapToGrid w:val="0"/>
        <w:spacing w:after="160" w:line="400" w:lineRule="exact"/>
        <w:ind w:left="0" w:firstLine="42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（注：在框架协议采购的第二阶段，可选择使用该合同文本）</w:t>
      </w:r>
    </w:p>
    <w:p>
      <w:pPr>
        <w:widowControl w:val="0"/>
        <w:numPr>
          <w:ilvl w:val="12"/>
          <w:numId w:val="0"/>
        </w:numPr>
        <w:autoSpaceDE w:val="0"/>
        <w:autoSpaceDN w:val="0"/>
        <w:adjustRightInd w:val="0"/>
        <w:snapToGrid w:val="0"/>
        <w:spacing w:after="160" w:line="400" w:lineRule="exact"/>
        <w:ind w:left="0" w:firstLine="220" w:firstLineChars="100"/>
        <w:jc w:val="both"/>
        <w:rPr>
          <w:rFonts w:ascii="宋体" w:eastAsia="宋体" w:hAnsi="宋体"/>
          <w:kern w:val="2"/>
          <w:sz w:val="21"/>
          <w:szCs w:val="21"/>
          <w:lang w:eastAsia="zh-CN"/>
        </w:rPr>
      </w:pPr>
      <w:r>
        <w:rPr>
          <w:rFonts w:ascii="宋体" w:eastAsia="华文楷体" w:hAnsi="宋体" w:cs="华文楷体" w:hint="eastAsia"/>
          <w:kern w:val="2"/>
          <w:sz w:val="22"/>
          <w:szCs w:val="21"/>
          <w:lang w:eastAsia="zh-CN"/>
        </w:rPr>
        <w:t xml:space="preserve"> （</w:t>
      </w:r>
      <w:r>
        <w:rPr>
          <w:rFonts w:ascii="宋体" w:eastAsia="华文楷体" w:hAnsi="宋体" w:cs="华文楷体"/>
          <w:kern w:val="2"/>
          <w:sz w:val="22"/>
          <w:szCs w:val="21"/>
          <w:lang w:val="en" w:eastAsia="zh-CN"/>
        </w:rPr>
        <w:t>6</w:t>
      </w:r>
      <w:r>
        <w:rPr>
          <w:rFonts w:ascii="宋体" w:eastAsia="华文楷体" w:hAnsi="宋体" w:cs="华文楷体" w:hint="eastAsia"/>
          <w:kern w:val="2"/>
          <w:sz w:val="22"/>
          <w:szCs w:val="21"/>
          <w:lang w:eastAsia="zh-CN"/>
        </w:rPr>
        <w:t>）</w:t>
      </w:r>
      <w:r>
        <w:rPr>
          <w:rFonts w:ascii="宋体" w:eastAsia="宋体" w:hAnsi="宋体" w:hint="eastAsia"/>
          <w:kern w:val="2"/>
          <w:sz w:val="21"/>
          <w:szCs w:val="21"/>
          <w:lang w:eastAsia="zh-CN"/>
        </w:rPr>
        <w:t>中标（成交）采购标的制造商是否为中小企业：</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 xml:space="preserve">是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否</w:t>
      </w:r>
    </w:p>
    <w:p>
      <w:pPr>
        <w:widowControl w:val="0"/>
        <w:numPr>
          <w:ilvl w:val="12"/>
          <w:numId w:val="0"/>
        </w:numPr>
        <w:adjustRightInd w:val="0"/>
        <w:snapToGrid w:val="0"/>
        <w:spacing w:after="160" w:line="400" w:lineRule="exact"/>
        <w:ind w:left="0" w:firstLine="0"/>
        <w:jc w:val="both"/>
        <w:rPr>
          <w:rFonts w:ascii="宋体" w:eastAsia="宋体" w:hAnsi="宋体"/>
          <w:iCs/>
          <w:kern w:val="2"/>
          <w:sz w:val="21"/>
          <w:szCs w:val="21"/>
          <w:lang w:eastAsia="zh-CN"/>
        </w:rPr>
      </w:pPr>
      <w:r>
        <w:rPr>
          <w:rFonts w:ascii="宋体" w:eastAsia="宋体" w:hAnsi="宋体" w:hint="eastAsia"/>
          <w:kern w:val="2"/>
          <w:sz w:val="21"/>
          <w:szCs w:val="21"/>
          <w:lang w:eastAsia="zh-CN"/>
        </w:rPr>
        <w:t xml:space="preserve">         本合同是否为专门面向中小企业的采购合同（中小企业预留合同）：</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是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否</w:t>
      </w:r>
    </w:p>
    <w:p>
      <w:pPr>
        <w:widowControl w:val="0"/>
        <w:numPr>
          <w:ilvl w:val="12"/>
          <w:numId w:val="0"/>
        </w:numPr>
        <w:adjustRightInd w:val="0"/>
        <w:snapToGrid w:val="0"/>
        <w:spacing w:after="160" w:line="400" w:lineRule="exact"/>
        <w:ind w:left="0" w:firstLine="0"/>
        <w:jc w:val="both"/>
        <w:rPr>
          <w:rFonts w:ascii="宋体" w:eastAsia="宋体" w:hAnsi="宋体"/>
          <w:iCs/>
          <w:kern w:val="2"/>
          <w:sz w:val="21"/>
          <w:szCs w:val="21"/>
          <w:lang w:eastAsia="zh-CN"/>
        </w:rPr>
      </w:pPr>
      <w:r>
        <w:rPr>
          <w:rFonts w:eastAsia="宋体" w:hint="eastAsia"/>
          <w:kern w:val="2"/>
          <w:sz w:val="21"/>
          <w:lang w:eastAsia="zh-CN"/>
        </w:rPr>
        <w:t xml:space="preserve">         若本项目不专门面向中小企业采购，是否给予小微企业评审优惠：</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是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否</w:t>
      </w:r>
    </w:p>
    <w:p>
      <w:pPr>
        <w:widowControl w:val="0"/>
        <w:numPr>
          <w:ilvl w:val="12"/>
          <w:numId w:val="0"/>
        </w:numPr>
        <w:adjustRightInd w:val="0"/>
        <w:snapToGrid w:val="0"/>
        <w:spacing w:after="160" w:line="400" w:lineRule="exact"/>
        <w:ind w:left="0" w:firstLine="0"/>
        <w:jc w:val="both"/>
        <w:rPr>
          <w:rFonts w:ascii="宋体" w:eastAsia="宋体" w:hAnsi="宋体"/>
          <w:iCs/>
          <w:kern w:val="2"/>
          <w:sz w:val="21"/>
          <w:szCs w:val="21"/>
          <w:lang w:eastAsia="zh-CN"/>
        </w:rPr>
      </w:pPr>
      <w:r>
        <w:rPr>
          <w:rFonts w:eastAsia="宋体" w:hint="eastAsia"/>
          <w:kern w:val="2"/>
          <w:sz w:val="21"/>
          <w:lang w:eastAsia="zh-CN"/>
        </w:rPr>
        <w:t xml:space="preserve">         中标（成交）采购标的制造商是否为残疾人福利性单位：</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是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否</w:t>
      </w:r>
    </w:p>
    <w:p>
      <w:pPr>
        <w:widowControl w:val="0"/>
        <w:snapToGrid w:val="0"/>
        <w:spacing w:after="160" w:line="400" w:lineRule="exact"/>
        <w:jc w:val="both"/>
        <w:rPr>
          <w:rFonts w:eastAsia="宋体"/>
          <w:kern w:val="2"/>
          <w:sz w:val="21"/>
          <w:lang w:eastAsia="zh-CN"/>
        </w:rPr>
      </w:pPr>
      <w:r>
        <w:rPr>
          <w:rFonts w:eastAsia="宋体" w:hint="eastAsia"/>
          <w:kern w:val="2"/>
          <w:sz w:val="21"/>
          <w:lang w:eastAsia="zh-CN"/>
        </w:rPr>
        <w:t xml:space="preserve">         中标（成交）采购标的制造商是否为监狱企业：</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是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否</w:t>
      </w:r>
    </w:p>
    <w:p>
      <w:pPr>
        <w:widowControl w:val="0"/>
        <w:adjustRightInd w:val="0"/>
        <w:snapToGrid w:val="0"/>
        <w:spacing w:after="160" w:line="400" w:lineRule="exact"/>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w:t>
      </w:r>
      <w:r>
        <w:rPr>
          <w:rFonts w:ascii="宋体" w:eastAsia="宋体" w:hAnsi="宋体"/>
          <w:kern w:val="2"/>
          <w:sz w:val="21"/>
          <w:szCs w:val="21"/>
          <w:lang w:val="en" w:eastAsia="zh-CN"/>
        </w:rPr>
        <w:t>7</w:t>
      </w:r>
      <w:r>
        <w:rPr>
          <w:rFonts w:ascii="宋体" w:eastAsia="宋体" w:hAnsi="宋体" w:hint="eastAsia"/>
          <w:kern w:val="2"/>
          <w:sz w:val="21"/>
          <w:szCs w:val="21"/>
          <w:lang w:eastAsia="zh-CN"/>
        </w:rPr>
        <w:t>）合同是否分包：</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是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否</w:t>
      </w:r>
    </w:p>
    <w:p>
      <w:pPr>
        <w:widowControl w:val="0"/>
        <w:adjustRightInd w:val="0"/>
        <w:snapToGrid w:val="0"/>
        <w:spacing w:after="160" w:line="400" w:lineRule="exact"/>
        <w:ind w:firstLine="840" w:firstLineChars="400"/>
        <w:jc w:val="both"/>
        <w:rPr>
          <w:rFonts w:ascii="宋体" w:eastAsia="宋体" w:hAnsi="宋体"/>
          <w:kern w:val="2"/>
          <w:sz w:val="21"/>
          <w:szCs w:val="21"/>
          <w:u w:val="single"/>
          <w:lang w:eastAsia="zh-CN"/>
        </w:rPr>
      </w:pPr>
      <w:r>
        <w:rPr>
          <w:rFonts w:ascii="宋体" w:eastAsia="宋体" w:hAnsi="宋体" w:hint="eastAsia"/>
          <w:kern w:val="2"/>
          <w:sz w:val="21"/>
          <w:szCs w:val="21"/>
          <w:lang w:eastAsia="zh-CN"/>
        </w:rPr>
        <w:t xml:space="preserve"> 分包主要内容：</w:t>
      </w:r>
      <w:r>
        <w:rPr>
          <w:rFonts w:ascii="宋体" w:eastAsia="宋体" w:hAnsi="宋体" w:hint="eastAsia"/>
          <w:kern w:val="2"/>
          <w:sz w:val="21"/>
          <w:szCs w:val="21"/>
          <w:u w:val="single"/>
          <w:lang w:eastAsia="zh-CN"/>
        </w:rPr>
        <w:t xml:space="preserve">                                            </w:t>
      </w:r>
    </w:p>
    <w:p>
      <w:pPr>
        <w:widowControl w:val="0"/>
        <w:adjustRightInd w:val="0"/>
        <w:snapToGrid w:val="0"/>
        <w:spacing w:after="160" w:line="400" w:lineRule="exact"/>
        <w:ind w:firstLine="840" w:firstLineChars="4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分包供应商/制造商名称（如供应商和制造商不同，请分别填写）：</w:t>
      </w:r>
    </w:p>
    <w:p>
      <w:pPr>
        <w:widowControl w:val="0"/>
        <w:adjustRightInd w:val="0"/>
        <w:snapToGrid w:val="0"/>
        <w:spacing w:after="160" w:line="400" w:lineRule="exact"/>
        <w:ind w:firstLine="840" w:firstLineChars="400"/>
        <w:jc w:val="both"/>
        <w:rPr>
          <w:rFonts w:ascii="宋体" w:eastAsia="宋体" w:hAnsi="宋体"/>
          <w:kern w:val="2"/>
          <w:sz w:val="21"/>
          <w:szCs w:val="21"/>
          <w:u w:val="single"/>
          <w:lang w:eastAsia="zh-CN"/>
        </w:rPr>
      </w:pPr>
      <w:r>
        <w:rPr>
          <w:rFonts w:ascii="宋体" w:eastAsia="宋体" w:hAnsi="宋体" w:hint="eastAsia"/>
          <w:kern w:val="2"/>
          <w:sz w:val="21"/>
          <w:szCs w:val="21"/>
          <w:lang w:eastAsia="zh-CN"/>
        </w:rPr>
        <w:t xml:space="preserve"> </w:t>
      </w:r>
      <w:r>
        <w:rPr>
          <w:rFonts w:ascii="宋体" w:eastAsia="宋体" w:hAnsi="宋体" w:hint="eastAsia"/>
          <w:kern w:val="2"/>
          <w:sz w:val="21"/>
          <w:szCs w:val="21"/>
          <w:u w:val="single"/>
          <w:lang w:eastAsia="zh-CN"/>
        </w:rPr>
        <w:t xml:space="preserve">                                                          </w:t>
      </w:r>
    </w:p>
    <w:p>
      <w:pPr>
        <w:widowControl w:val="0"/>
        <w:adjustRightInd w:val="0"/>
        <w:snapToGrid w:val="0"/>
        <w:spacing w:after="160" w:line="400" w:lineRule="exact"/>
        <w:ind w:firstLine="840" w:firstLineChars="4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分包供应商/制造商类型（如果供应商和制造商不同，只填写制造商类型）：</w:t>
      </w:r>
    </w:p>
    <w:p>
      <w:pPr>
        <w:widowControl w:val="0"/>
        <w:adjustRightInd w:val="0"/>
        <w:snapToGrid w:val="0"/>
        <w:spacing w:after="160" w:line="400" w:lineRule="exact"/>
        <w:ind w:firstLine="840" w:firstLineChars="400"/>
        <w:jc w:val="both"/>
        <w:rPr>
          <w:rFonts w:ascii="宋体" w:eastAsia="宋体" w:hAnsi="宋体"/>
          <w:iCs/>
          <w:kern w:val="2"/>
          <w:sz w:val="21"/>
          <w:szCs w:val="21"/>
          <w:lang w:eastAsia="zh-CN"/>
        </w:rPr>
      </w:pPr>
      <w:r>
        <w:rPr>
          <w:rFonts w:ascii="宋体" w:eastAsia="宋体" w:hAnsi="宋体" w:hint="eastAsia"/>
          <w:iCs/>
          <w:kern w:val="2"/>
          <w:sz w:val="21"/>
          <w:szCs w:val="21"/>
          <w:lang w:eastAsia="zh-CN"/>
        </w:rPr>
        <w:t xml:space="preserve">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大型企业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中型企业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小微型企业  </w:t>
      </w:r>
    </w:p>
    <w:p>
      <w:pPr>
        <w:widowControl w:val="0"/>
        <w:adjustRightInd w:val="0"/>
        <w:snapToGrid w:val="0"/>
        <w:spacing w:after="160" w:line="400" w:lineRule="exact"/>
        <w:ind w:firstLine="840" w:firstLineChars="400"/>
        <w:jc w:val="both"/>
        <w:rPr>
          <w:rFonts w:eastAsia="华文楷体"/>
          <w:kern w:val="2"/>
          <w:sz w:val="21"/>
          <w:lang w:eastAsia="zh-CN"/>
        </w:rPr>
      </w:pPr>
      <w:r>
        <w:rPr>
          <w:rFonts w:ascii="宋体" w:eastAsia="宋体" w:hAnsi="宋体" w:hint="eastAsia"/>
          <w:iCs/>
          <w:kern w:val="2"/>
          <w:sz w:val="21"/>
          <w:szCs w:val="21"/>
          <w:lang w:eastAsia="zh-CN"/>
        </w:rPr>
        <w:t xml:space="preserve">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残疾人福利性单位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监狱企业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其他</w:t>
      </w:r>
    </w:p>
    <w:p>
      <w:pPr>
        <w:widowControl w:val="0"/>
        <w:numPr>
          <w:ilvl w:val="12"/>
          <w:numId w:val="0"/>
        </w:numPr>
        <w:adjustRightInd w:val="0"/>
        <w:snapToGrid w:val="0"/>
        <w:spacing w:after="160" w:line="400" w:lineRule="exact"/>
        <w:ind w:left="0" w:firstLine="0"/>
        <w:jc w:val="both"/>
        <w:rPr>
          <w:rFonts w:ascii="宋体" w:eastAsia="宋体" w:hAnsi="宋体" w:cs="宋体"/>
          <w:iCs/>
          <w:kern w:val="2"/>
          <w:sz w:val="21"/>
          <w:szCs w:val="21"/>
          <w:lang w:eastAsia="zh-CN"/>
        </w:rPr>
      </w:pPr>
      <w:r>
        <w:rPr>
          <w:rFonts w:ascii="宋体" w:eastAsia="宋体" w:hAnsi="宋体" w:hint="eastAsia"/>
          <w:kern w:val="2"/>
          <w:sz w:val="21"/>
          <w:szCs w:val="21"/>
          <w:lang w:eastAsia="zh-CN"/>
        </w:rPr>
        <w:t xml:space="preserve">    </w:t>
      </w:r>
      <w:r>
        <w:rPr>
          <w:rFonts w:ascii="宋体" w:eastAsia="宋体" w:hAnsi="宋体" w:cs="宋体" w:hint="eastAsia"/>
          <w:kern w:val="2"/>
          <w:sz w:val="21"/>
          <w:szCs w:val="21"/>
          <w:lang w:eastAsia="zh-CN"/>
        </w:rPr>
        <w:t>（</w:t>
      </w:r>
      <w:r>
        <w:rPr>
          <w:rFonts w:ascii="宋体" w:eastAsia="宋体" w:hAnsi="宋体" w:cs="宋体"/>
          <w:kern w:val="2"/>
          <w:sz w:val="21"/>
          <w:szCs w:val="21"/>
          <w:lang w:val="en" w:eastAsia="zh-CN"/>
        </w:rPr>
        <w:t>8</w:t>
      </w:r>
      <w:r>
        <w:rPr>
          <w:rFonts w:ascii="宋体" w:eastAsia="宋体" w:hAnsi="宋体" w:cs="宋体" w:hint="eastAsia"/>
          <w:kern w:val="2"/>
          <w:sz w:val="21"/>
          <w:szCs w:val="21"/>
          <w:lang w:eastAsia="zh-CN"/>
        </w:rPr>
        <w:t>）中标（成交）供应商是否为外商投资企业：</w:t>
      </w:r>
      <w:r>
        <w:rPr>
          <w:rFonts w:ascii="Wingdings" w:eastAsia="宋体" w:hAnsi="Wingdings" w:cs="宋体"/>
          <w:iCs/>
          <w:kern w:val="2"/>
          <w:sz w:val="21"/>
          <w:szCs w:val="21"/>
          <w:lang w:eastAsia="zh-CN"/>
        </w:rPr>
        <w:sym w:font="Wingdings" w:char="F0A8"/>
      </w:r>
      <w:r>
        <w:rPr>
          <w:rFonts w:ascii="宋体" w:eastAsia="宋体" w:hAnsi="宋体" w:cs="宋体" w:hint="eastAsia"/>
          <w:iCs/>
          <w:kern w:val="2"/>
          <w:sz w:val="21"/>
          <w:szCs w:val="21"/>
          <w:lang w:eastAsia="zh-CN"/>
        </w:rPr>
        <w:t xml:space="preserve">是       </w:t>
      </w:r>
      <w:r>
        <w:rPr>
          <w:rFonts w:ascii="Wingdings" w:eastAsia="宋体" w:hAnsi="Wingdings" w:cs="宋体"/>
          <w:iCs/>
          <w:kern w:val="2"/>
          <w:sz w:val="21"/>
          <w:szCs w:val="21"/>
          <w:lang w:eastAsia="zh-CN"/>
        </w:rPr>
        <w:sym w:font="Wingdings" w:char="F0A8"/>
      </w:r>
      <w:r>
        <w:rPr>
          <w:rFonts w:ascii="宋体" w:eastAsia="宋体" w:hAnsi="宋体" w:cs="宋体" w:hint="eastAsia"/>
          <w:iCs/>
          <w:kern w:val="2"/>
          <w:sz w:val="21"/>
          <w:szCs w:val="21"/>
          <w:lang w:eastAsia="zh-CN"/>
        </w:rPr>
        <w:t>否</w:t>
      </w:r>
    </w:p>
    <w:p>
      <w:pPr>
        <w:widowControl w:val="0"/>
        <w:tabs>
          <w:tab w:val="left" w:pos="1340"/>
        </w:tabs>
        <w:autoSpaceDE w:val="0"/>
        <w:autoSpaceDN w:val="0"/>
        <w:adjustRightInd w:val="0"/>
        <w:spacing w:after="160" w:line="400" w:lineRule="exact"/>
        <w:ind w:firstLine="420" w:firstLineChars="200"/>
        <w:jc w:val="both"/>
        <w:rPr>
          <w:rFonts w:ascii="宋体" w:eastAsia="宋体" w:hAnsi="宋体" w:cs="宋体"/>
          <w:kern w:val="2"/>
          <w:sz w:val="21"/>
          <w:szCs w:val="21"/>
          <w:u w:val="single"/>
          <w:lang w:eastAsia="zh-CN"/>
        </w:rPr>
      </w:pPr>
      <w:r>
        <w:rPr>
          <w:rFonts w:ascii="宋体" w:eastAsia="宋体" w:hAnsi="宋体" w:cs="宋体" w:hint="eastAsia"/>
          <w:kern w:val="2"/>
          <w:sz w:val="21"/>
          <w:szCs w:val="21"/>
          <w:lang w:eastAsia="zh-CN"/>
        </w:rPr>
        <w:t xml:space="preserve">     外商投资企业类型：</w:t>
      </w:r>
      <w:r>
        <w:rPr>
          <w:rFonts w:ascii="Wingdings" w:eastAsia="宋体" w:hAnsi="Wingdings" w:cs="宋体"/>
          <w:iCs/>
          <w:kern w:val="2"/>
          <w:sz w:val="21"/>
          <w:szCs w:val="21"/>
          <w:lang w:eastAsia="zh-CN"/>
        </w:rPr>
        <w:sym w:font="Wingdings" w:char="F0A8"/>
      </w:r>
      <w:r>
        <w:rPr>
          <w:rFonts w:ascii="宋体" w:eastAsia="宋体" w:hAnsi="宋体" w:cs="宋体" w:hint="eastAsia"/>
          <w:kern w:val="2"/>
          <w:sz w:val="21"/>
          <w:szCs w:val="21"/>
          <w:lang w:eastAsia="zh-CN"/>
        </w:rPr>
        <w:t xml:space="preserve">全部由外国投资者投资  </w:t>
      </w:r>
      <w:r>
        <w:rPr>
          <w:rFonts w:ascii="Wingdings" w:eastAsia="宋体" w:hAnsi="Wingdings" w:cs="宋体"/>
          <w:iCs/>
          <w:kern w:val="2"/>
          <w:sz w:val="21"/>
          <w:szCs w:val="21"/>
          <w:lang w:eastAsia="zh-CN"/>
        </w:rPr>
        <w:sym w:font="Wingdings" w:char="F0A8"/>
      </w:r>
      <w:r>
        <w:rPr>
          <w:rFonts w:ascii="宋体" w:eastAsia="宋体" w:hAnsi="宋体" w:cs="宋体" w:hint="eastAsia"/>
          <w:iCs/>
          <w:kern w:val="2"/>
          <w:sz w:val="21"/>
          <w:szCs w:val="21"/>
          <w:lang w:eastAsia="zh-CN"/>
        </w:rPr>
        <w:t>部分由外国投资者投资</w:t>
      </w:r>
    </w:p>
    <w:p>
      <w:pPr>
        <w:widowControl w:val="0"/>
        <w:numPr>
          <w:ilvl w:val="12"/>
          <w:numId w:val="0"/>
        </w:numPr>
        <w:adjustRightInd w:val="0"/>
        <w:snapToGrid w:val="0"/>
        <w:spacing w:after="160" w:line="400" w:lineRule="exact"/>
        <w:ind w:left="0"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kern w:val="2"/>
          <w:sz w:val="21"/>
          <w:szCs w:val="21"/>
          <w:lang w:val="en" w:eastAsia="zh-CN"/>
        </w:rPr>
        <w:t>9</w:t>
      </w:r>
      <w:r>
        <w:rPr>
          <w:rFonts w:ascii="宋体" w:eastAsia="宋体" w:hAnsi="宋体" w:cs="宋体" w:hint="eastAsia"/>
          <w:kern w:val="2"/>
          <w:sz w:val="21"/>
          <w:szCs w:val="21"/>
          <w:lang w:eastAsia="zh-CN"/>
        </w:rPr>
        <w:t>）是否涉及进口产品：</w:t>
      </w:r>
    </w:p>
    <w:p>
      <w:pPr>
        <w:widowControl w:val="0"/>
        <w:numPr>
          <w:ilvl w:val="12"/>
          <w:numId w:val="0"/>
        </w:numPr>
        <w:adjustRightInd w:val="0"/>
        <w:snapToGrid w:val="0"/>
        <w:spacing w:after="160" w:line="400" w:lineRule="exact"/>
        <w:ind w:left="0" w:firstLine="840" w:firstLineChars="400"/>
        <w:jc w:val="both"/>
        <w:rPr>
          <w:rFonts w:ascii="宋体" w:eastAsia="宋体" w:hAnsi="宋体" w:cs="宋体"/>
          <w:kern w:val="2"/>
          <w:sz w:val="21"/>
          <w:szCs w:val="21"/>
          <w:u w:val="single"/>
          <w:lang w:eastAsia="zh-CN"/>
        </w:rPr>
      </w:pPr>
      <w:r>
        <w:rPr>
          <w:rFonts w:ascii="宋体" w:eastAsia="宋体" w:hAnsi="宋体" w:cs="宋体" w:hint="eastAsia"/>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是，《政府采购品目分类目录》底级品目名称：</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金额：</w:t>
      </w:r>
      <w:r>
        <w:rPr>
          <w:rFonts w:ascii="宋体" w:eastAsia="宋体" w:hAnsi="宋体" w:cs="宋体" w:hint="eastAsia"/>
          <w:kern w:val="2"/>
          <w:sz w:val="21"/>
          <w:szCs w:val="21"/>
          <w:u w:val="single"/>
          <w:lang w:eastAsia="zh-CN"/>
        </w:rPr>
        <w:t xml:space="preserve">        </w:t>
      </w:r>
    </w:p>
    <w:p>
      <w:pPr>
        <w:widowControl w:val="0"/>
        <w:numPr>
          <w:ilvl w:val="12"/>
          <w:numId w:val="0"/>
        </w:numPr>
        <w:adjustRightInd w:val="0"/>
        <w:snapToGrid w:val="0"/>
        <w:spacing w:after="160" w:line="400" w:lineRule="exact"/>
        <w:ind w:left="0" w:firstLine="840" w:firstLineChars="400"/>
        <w:jc w:val="both"/>
        <w:rPr>
          <w:rFonts w:ascii="宋体" w:eastAsia="宋体" w:hAnsi="宋体"/>
          <w:kern w:val="2"/>
          <w:sz w:val="21"/>
          <w:szCs w:val="21"/>
          <w:lang w:eastAsia="zh-CN"/>
        </w:rPr>
      </w:pPr>
      <w:r>
        <w:rPr>
          <w:rFonts w:ascii="宋体" w:eastAsia="宋体" w:hAnsi="宋体" w:cs="宋体" w:hint="eastAsia"/>
          <w:kern w:val="2"/>
          <w:sz w:val="21"/>
          <w:szCs w:val="21"/>
          <w:lang w:eastAsia="zh-CN"/>
        </w:rPr>
        <w:t xml:space="preserve">        国别：</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品牌：</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规格型号：</w:t>
      </w:r>
      <w:r>
        <w:rPr>
          <w:rFonts w:ascii="宋体" w:eastAsia="宋体" w:hAnsi="宋体" w:cs="宋体" w:hint="eastAsia"/>
          <w:kern w:val="2"/>
          <w:sz w:val="21"/>
          <w:szCs w:val="21"/>
          <w:u w:val="single"/>
          <w:lang w:eastAsia="zh-CN"/>
        </w:rPr>
        <w:t xml:space="preserve">        </w:t>
      </w:r>
      <w:r>
        <w:rPr>
          <w:rFonts w:ascii="宋体" w:eastAsia="宋体" w:hAnsi="宋体" w:hint="eastAsia"/>
          <w:kern w:val="2"/>
          <w:sz w:val="21"/>
          <w:szCs w:val="21"/>
          <w:lang w:eastAsia="zh-CN"/>
        </w:rPr>
        <w:t xml:space="preserve">      </w:t>
      </w:r>
    </w:p>
    <w:p>
      <w:pPr>
        <w:widowControl w:val="0"/>
        <w:adjustRightInd w:val="0"/>
        <w:snapToGrid w:val="0"/>
        <w:spacing w:after="160" w:line="400" w:lineRule="exact"/>
        <w:ind w:firstLine="840" w:firstLineChars="4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否</w:t>
      </w:r>
    </w:p>
    <w:p>
      <w:pPr>
        <w:widowControl w:val="0"/>
        <w:numPr>
          <w:ilvl w:val="12"/>
          <w:numId w:val="0"/>
        </w:numPr>
        <w:tabs>
          <w:tab w:val="left" w:pos="740"/>
        </w:tabs>
        <w:adjustRightInd w:val="0"/>
        <w:snapToGrid w:val="0"/>
        <w:spacing w:after="160" w:line="400" w:lineRule="exact"/>
        <w:ind w:left="0" w:firstLine="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（1</w:t>
      </w:r>
      <w:r>
        <w:rPr>
          <w:rFonts w:ascii="宋体" w:eastAsia="宋体" w:hAnsi="宋体"/>
          <w:kern w:val="2"/>
          <w:sz w:val="21"/>
          <w:szCs w:val="21"/>
          <w:lang w:val="en" w:eastAsia="zh-CN"/>
        </w:rPr>
        <w:t>0</w:t>
      </w:r>
      <w:r>
        <w:rPr>
          <w:rFonts w:ascii="宋体" w:eastAsia="宋体" w:hAnsi="宋体" w:hint="eastAsia"/>
          <w:kern w:val="2"/>
          <w:sz w:val="21"/>
          <w:szCs w:val="21"/>
          <w:lang w:eastAsia="zh-CN"/>
        </w:rPr>
        <w:t>）是否涉及节能产品：</w:t>
      </w:r>
    </w:p>
    <w:p>
      <w:pPr>
        <w:widowControl w:val="0"/>
        <w:numPr>
          <w:ilvl w:val="12"/>
          <w:numId w:val="0"/>
        </w:numPr>
        <w:tabs>
          <w:tab w:val="left" w:pos="740"/>
        </w:tabs>
        <w:adjustRightInd w:val="0"/>
        <w:snapToGrid w:val="0"/>
        <w:spacing w:after="160" w:line="400" w:lineRule="exact"/>
        <w:ind w:left="0" w:firstLine="0"/>
        <w:jc w:val="both"/>
        <w:rPr>
          <w:rFonts w:ascii="宋体" w:eastAsia="宋体" w:hAnsi="宋体"/>
          <w:iCs/>
          <w:kern w:val="2"/>
          <w:sz w:val="21"/>
          <w:szCs w:val="21"/>
          <w:lang w:eastAsia="zh-CN"/>
        </w:rPr>
      </w:pPr>
      <w:r>
        <w:rPr>
          <w:rFonts w:ascii="宋体" w:eastAsia="宋体" w:hAnsi="宋体" w:hint="eastAsia"/>
          <w:kern w:val="2"/>
          <w:sz w:val="21"/>
          <w:szCs w:val="21"/>
          <w:lang w:eastAsia="zh-CN"/>
        </w:rPr>
        <w:t xml:space="preserve">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是，《节能产品政府采购品目清单》的底级品目名称：</w:t>
      </w:r>
      <w:r>
        <w:rPr>
          <w:rFonts w:ascii="宋体" w:eastAsia="宋体" w:hAnsi="宋体" w:hint="eastAsia"/>
          <w:kern w:val="2"/>
          <w:sz w:val="21"/>
          <w:szCs w:val="21"/>
          <w:u w:val="single"/>
          <w:lang w:eastAsia="zh-CN"/>
        </w:rPr>
        <w:t xml:space="preserve">         </w:t>
      </w:r>
      <w:r>
        <w:rPr>
          <w:rFonts w:ascii="宋体" w:eastAsia="宋体" w:hAnsi="宋体" w:hint="eastAsia"/>
          <w:iCs/>
          <w:kern w:val="2"/>
          <w:sz w:val="21"/>
          <w:szCs w:val="21"/>
          <w:lang w:eastAsia="zh-CN"/>
        </w:rPr>
        <w:t xml:space="preserve">     </w:t>
      </w:r>
    </w:p>
    <w:p>
      <w:pPr>
        <w:widowControl w:val="0"/>
        <w:numPr>
          <w:ilvl w:val="12"/>
          <w:numId w:val="0"/>
        </w:numPr>
        <w:tabs>
          <w:tab w:val="left" w:pos="740"/>
        </w:tabs>
        <w:adjustRightInd w:val="0"/>
        <w:snapToGrid w:val="0"/>
        <w:spacing w:after="160" w:line="400" w:lineRule="exact"/>
        <w:ind w:left="0" w:firstLine="0"/>
        <w:jc w:val="both"/>
        <w:rPr>
          <w:rFonts w:ascii="宋体" w:eastAsia="宋体" w:hAnsi="宋体"/>
          <w:iCs/>
          <w:kern w:val="2"/>
          <w:sz w:val="21"/>
          <w:szCs w:val="21"/>
          <w:lang w:eastAsia="zh-CN"/>
        </w:rPr>
      </w:pPr>
      <w:r>
        <w:rPr>
          <w:rFonts w:ascii="宋体" w:eastAsia="宋体" w:hAnsi="宋体" w:hint="eastAsia"/>
          <w:iCs/>
          <w:kern w:val="2"/>
          <w:sz w:val="21"/>
          <w:szCs w:val="21"/>
          <w:lang w:eastAsia="zh-CN"/>
        </w:rPr>
        <w:t xml:space="preserve">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强制采购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优先采购    </w:t>
      </w:r>
    </w:p>
    <w:p>
      <w:pPr>
        <w:widowControl w:val="0"/>
        <w:numPr>
          <w:ilvl w:val="12"/>
          <w:numId w:val="0"/>
        </w:numPr>
        <w:tabs>
          <w:tab w:val="left" w:pos="740"/>
        </w:tabs>
        <w:adjustRightInd w:val="0"/>
        <w:snapToGrid w:val="0"/>
        <w:spacing w:after="160" w:line="400" w:lineRule="exact"/>
        <w:ind w:left="0" w:firstLine="0"/>
        <w:jc w:val="both"/>
        <w:rPr>
          <w:rFonts w:ascii="宋体" w:eastAsia="宋体" w:hAnsi="宋体"/>
          <w:kern w:val="2"/>
          <w:sz w:val="21"/>
          <w:szCs w:val="21"/>
          <w:lang w:eastAsia="zh-CN"/>
        </w:rPr>
      </w:pPr>
      <w:r>
        <w:rPr>
          <w:rFonts w:ascii="宋体" w:eastAsia="宋体" w:hAnsi="宋体" w:hint="eastAsia"/>
          <w:iCs/>
          <w:kern w:val="2"/>
          <w:sz w:val="21"/>
          <w:szCs w:val="21"/>
          <w:lang w:eastAsia="zh-CN"/>
        </w:rPr>
        <w:t xml:space="preserve">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否</w:t>
      </w:r>
    </w:p>
    <w:p>
      <w:pPr>
        <w:widowControl w:val="0"/>
        <w:numPr>
          <w:ilvl w:val="12"/>
          <w:numId w:val="0"/>
        </w:numPr>
        <w:tabs>
          <w:tab w:val="left" w:pos="740"/>
        </w:tabs>
        <w:adjustRightInd w:val="0"/>
        <w:snapToGrid w:val="0"/>
        <w:spacing w:after="160" w:line="400" w:lineRule="exact"/>
        <w:ind w:left="0" w:firstLine="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是否涉及环境标志产品：</w:t>
      </w:r>
    </w:p>
    <w:p>
      <w:pPr>
        <w:widowControl w:val="0"/>
        <w:numPr>
          <w:ilvl w:val="12"/>
          <w:numId w:val="0"/>
        </w:numPr>
        <w:tabs>
          <w:tab w:val="left" w:pos="740"/>
        </w:tabs>
        <w:adjustRightInd w:val="0"/>
        <w:snapToGrid w:val="0"/>
        <w:spacing w:after="160" w:line="400" w:lineRule="exact"/>
        <w:ind w:left="0" w:firstLine="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是，《环境标志产品政府采购品目清单》的底级品目名称：</w:t>
      </w:r>
      <w:r>
        <w:rPr>
          <w:rFonts w:ascii="宋体" w:eastAsia="宋体" w:hAnsi="宋体" w:hint="eastAsia"/>
          <w:kern w:val="2"/>
          <w:sz w:val="21"/>
          <w:szCs w:val="21"/>
          <w:u w:val="single"/>
          <w:lang w:eastAsia="zh-CN"/>
        </w:rPr>
        <w:t xml:space="preserve">         </w:t>
      </w:r>
      <w:r>
        <w:rPr>
          <w:rFonts w:ascii="宋体" w:eastAsia="宋体" w:hAnsi="宋体" w:hint="eastAsia"/>
          <w:iCs/>
          <w:kern w:val="2"/>
          <w:sz w:val="21"/>
          <w:szCs w:val="21"/>
          <w:lang w:eastAsia="zh-CN"/>
        </w:rPr>
        <w:t xml:space="preserve"> </w:t>
      </w:r>
    </w:p>
    <w:p>
      <w:pPr>
        <w:widowControl w:val="0"/>
        <w:numPr>
          <w:ilvl w:val="12"/>
          <w:numId w:val="0"/>
        </w:numPr>
        <w:tabs>
          <w:tab w:val="left" w:pos="740"/>
        </w:tabs>
        <w:adjustRightInd w:val="0"/>
        <w:snapToGrid w:val="0"/>
        <w:spacing w:after="160" w:line="400" w:lineRule="exact"/>
        <w:ind w:left="0" w:firstLine="0"/>
        <w:jc w:val="both"/>
        <w:rPr>
          <w:rFonts w:ascii="宋体" w:eastAsia="宋体" w:hAnsi="宋体"/>
          <w:iCs/>
          <w:kern w:val="2"/>
          <w:sz w:val="21"/>
          <w:szCs w:val="21"/>
          <w:lang w:eastAsia="zh-CN"/>
        </w:rPr>
      </w:pPr>
      <w:r>
        <w:rPr>
          <w:rFonts w:ascii="宋体" w:eastAsia="宋体" w:hAnsi="宋体" w:hint="eastAsia"/>
          <w:iCs/>
          <w:kern w:val="2"/>
          <w:sz w:val="21"/>
          <w:szCs w:val="21"/>
          <w:lang w:eastAsia="zh-CN"/>
        </w:rPr>
        <w:t xml:space="preserve">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强制采购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优先采购    </w:t>
      </w:r>
    </w:p>
    <w:p>
      <w:pPr>
        <w:widowControl w:val="0"/>
        <w:numPr>
          <w:ilvl w:val="12"/>
          <w:numId w:val="0"/>
        </w:numPr>
        <w:tabs>
          <w:tab w:val="left" w:pos="740"/>
        </w:tabs>
        <w:adjustRightInd w:val="0"/>
        <w:snapToGrid w:val="0"/>
        <w:spacing w:after="160" w:line="400" w:lineRule="exact"/>
        <w:ind w:left="0" w:firstLine="0"/>
        <w:jc w:val="both"/>
        <w:rPr>
          <w:rFonts w:ascii="宋体" w:eastAsia="宋体" w:hAnsi="宋体"/>
          <w:kern w:val="2"/>
          <w:sz w:val="21"/>
          <w:szCs w:val="21"/>
          <w:lang w:eastAsia="zh-CN"/>
        </w:rPr>
      </w:pPr>
      <w:r>
        <w:rPr>
          <w:rFonts w:ascii="宋体" w:eastAsia="宋体" w:hAnsi="宋体" w:hint="eastAsia"/>
          <w:iCs/>
          <w:kern w:val="2"/>
          <w:sz w:val="21"/>
          <w:szCs w:val="21"/>
          <w:lang w:eastAsia="zh-CN"/>
        </w:rPr>
        <w:t xml:space="preserve">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否</w:t>
      </w:r>
    </w:p>
    <w:p>
      <w:pPr>
        <w:widowControl w:val="0"/>
        <w:numPr>
          <w:ilvl w:val="12"/>
          <w:numId w:val="0"/>
        </w:numPr>
        <w:autoSpaceDE w:val="0"/>
        <w:autoSpaceDN w:val="0"/>
        <w:adjustRightInd w:val="0"/>
        <w:snapToGrid w:val="0"/>
        <w:spacing w:after="160" w:line="400" w:lineRule="exact"/>
        <w:ind w:left="0" w:firstLine="0"/>
        <w:jc w:val="both"/>
        <w:rPr>
          <w:rFonts w:ascii="宋体" w:eastAsia="宋体" w:hAnsi="宋体"/>
          <w:kern w:val="2"/>
          <w:sz w:val="21"/>
          <w:szCs w:val="21"/>
          <w:lang w:eastAsia="zh-CN"/>
        </w:rPr>
      </w:pPr>
      <w:r>
        <w:rPr>
          <w:rFonts w:ascii="宋体" w:eastAsia="华文楷体" w:hAnsi="宋体" w:cs="华文楷体" w:hint="eastAsia"/>
          <w:kern w:val="2"/>
          <w:sz w:val="21"/>
          <w:szCs w:val="21"/>
          <w:lang w:eastAsia="zh-CN"/>
        </w:rPr>
        <w:t xml:space="preserve">          </w:t>
      </w:r>
      <w:r>
        <w:rPr>
          <w:rFonts w:ascii="宋体" w:eastAsia="宋体" w:hAnsi="宋体" w:hint="eastAsia"/>
          <w:kern w:val="2"/>
          <w:sz w:val="21"/>
          <w:szCs w:val="21"/>
          <w:lang w:eastAsia="zh-CN"/>
        </w:rPr>
        <w:t xml:space="preserve">是否涉及绿色产品： </w:t>
      </w:r>
    </w:p>
    <w:p>
      <w:pPr>
        <w:widowControl w:val="0"/>
        <w:autoSpaceDE w:val="0"/>
        <w:autoSpaceDN w:val="0"/>
        <w:adjustRightInd w:val="0"/>
        <w:spacing w:after="160" w:line="400" w:lineRule="exact"/>
        <w:ind w:firstLine="420"/>
        <w:jc w:val="both"/>
        <w:rPr>
          <w:rFonts w:ascii="宋体" w:eastAsia="宋体" w:hAnsi="宋体" w:cs="华文楷体"/>
          <w:kern w:val="2"/>
          <w:sz w:val="22"/>
          <w:szCs w:val="21"/>
          <w:u w:val="single"/>
          <w:lang w:eastAsia="zh-CN"/>
        </w:rPr>
      </w:pPr>
      <w:r>
        <w:rPr>
          <w:rFonts w:ascii="宋体" w:eastAsia="宋体" w:hAnsi="宋体" w:hint="eastAsia"/>
          <w:kern w:val="2"/>
          <w:sz w:val="21"/>
          <w:szCs w:val="21"/>
          <w:lang w:eastAsia="zh-CN"/>
        </w:rPr>
        <w:t xml:space="preserve">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是，绿色产品政府采购相关政策确定的底级品目名称：</w:t>
      </w:r>
      <w:r>
        <w:rPr>
          <w:rFonts w:ascii="宋体" w:eastAsia="宋体" w:hAnsi="宋体" w:cs="华文楷体" w:hint="eastAsia"/>
          <w:kern w:val="2"/>
          <w:sz w:val="22"/>
          <w:szCs w:val="21"/>
          <w:u w:val="single"/>
          <w:lang w:eastAsia="zh-CN"/>
        </w:rPr>
        <w:t xml:space="preserve">         </w:t>
      </w:r>
    </w:p>
    <w:p>
      <w:pPr>
        <w:widowControl w:val="0"/>
        <w:numPr>
          <w:ilvl w:val="12"/>
          <w:numId w:val="0"/>
        </w:numPr>
        <w:tabs>
          <w:tab w:val="left" w:pos="740"/>
        </w:tabs>
        <w:adjustRightInd w:val="0"/>
        <w:snapToGrid w:val="0"/>
        <w:spacing w:after="160" w:line="400" w:lineRule="exact"/>
        <w:ind w:left="0" w:firstLine="0"/>
        <w:jc w:val="both"/>
        <w:rPr>
          <w:rFonts w:ascii="宋体" w:eastAsia="宋体" w:hAnsi="宋体"/>
          <w:iCs/>
          <w:kern w:val="2"/>
          <w:sz w:val="21"/>
          <w:szCs w:val="21"/>
          <w:lang w:eastAsia="zh-CN"/>
        </w:rPr>
      </w:pPr>
      <w:r>
        <w:rPr>
          <w:rFonts w:ascii="宋体" w:eastAsia="宋体" w:hAnsi="宋体" w:hint="eastAsia"/>
          <w:iCs/>
          <w:kern w:val="2"/>
          <w:sz w:val="21"/>
          <w:szCs w:val="21"/>
          <w:lang w:eastAsia="zh-CN"/>
        </w:rPr>
        <w:t xml:space="preserve">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强制采购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优先采购    </w:t>
      </w:r>
    </w:p>
    <w:p>
      <w:pPr>
        <w:widowControl w:val="0"/>
        <w:autoSpaceDE w:val="0"/>
        <w:autoSpaceDN w:val="0"/>
        <w:adjustRightInd w:val="0"/>
        <w:spacing w:after="160" w:line="400" w:lineRule="exact"/>
        <w:ind w:firstLine="420"/>
        <w:jc w:val="both"/>
        <w:rPr>
          <w:rFonts w:ascii="宋体" w:eastAsia="华文楷体" w:hAnsi="宋体" w:cs="华文楷体"/>
          <w:kern w:val="2"/>
          <w:sz w:val="21"/>
          <w:szCs w:val="21"/>
          <w:lang w:eastAsia="zh-CN"/>
        </w:rPr>
      </w:pPr>
      <w:r>
        <w:rPr>
          <w:rFonts w:ascii="宋体" w:eastAsia="宋体" w:hAnsi="宋体" w:hint="eastAsia"/>
          <w:kern w:val="2"/>
          <w:sz w:val="21"/>
          <w:szCs w:val="21"/>
          <w:lang w:eastAsia="zh-CN"/>
        </w:rPr>
        <w:t xml:space="preserve">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否</w:t>
      </w:r>
    </w:p>
    <w:p>
      <w:pPr>
        <w:widowControl w:val="0"/>
        <w:numPr>
          <w:ilvl w:val="12"/>
          <w:numId w:val="0"/>
        </w:numPr>
        <w:adjustRightInd w:val="0"/>
        <w:snapToGrid w:val="0"/>
        <w:spacing w:after="160" w:line="400" w:lineRule="exact"/>
        <w:ind w:left="0" w:firstLine="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（1</w:t>
      </w:r>
      <w:r>
        <w:rPr>
          <w:rFonts w:ascii="宋体" w:eastAsia="宋体" w:hAnsi="宋体"/>
          <w:kern w:val="2"/>
          <w:sz w:val="21"/>
          <w:szCs w:val="21"/>
          <w:lang w:val="en" w:eastAsia="zh-CN"/>
        </w:rPr>
        <w:t>1</w:t>
      </w:r>
      <w:r>
        <w:rPr>
          <w:rFonts w:ascii="宋体" w:eastAsia="宋体" w:hAnsi="宋体" w:hint="eastAsia"/>
          <w:kern w:val="2"/>
          <w:sz w:val="21"/>
          <w:szCs w:val="21"/>
          <w:lang w:eastAsia="zh-CN"/>
        </w:rPr>
        <w:t>）涉及商品包装和快递包装的，是否参考《商品包装政府采购需求标准（试行）》、《快递包装政府采购需求标准（试行）》明确产品及相关快递服务的具体包装要求：</w:t>
      </w:r>
    </w:p>
    <w:p>
      <w:pPr>
        <w:widowControl w:val="0"/>
        <w:numPr>
          <w:ilvl w:val="12"/>
          <w:numId w:val="0"/>
        </w:numPr>
        <w:adjustRightInd w:val="0"/>
        <w:snapToGrid w:val="0"/>
        <w:spacing w:after="160" w:line="400" w:lineRule="exact"/>
        <w:ind w:left="0" w:firstLine="840" w:firstLineChars="400"/>
        <w:jc w:val="both"/>
        <w:rPr>
          <w:rFonts w:ascii="宋体" w:eastAsia="宋体" w:hAnsi="宋体"/>
          <w:kern w:val="2"/>
          <w:sz w:val="21"/>
          <w:szCs w:val="21"/>
          <w:lang w:eastAsia="zh-CN"/>
        </w:rPr>
      </w:pP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 xml:space="preserve">是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 xml:space="preserve">否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不涉及</w:t>
      </w:r>
    </w:p>
    <w:p>
      <w:pPr>
        <w:widowControl w:val="0"/>
        <w:numPr>
          <w:ilvl w:val="0"/>
          <w:numId w:val="3"/>
        </w:numPr>
        <w:adjustRightInd w:val="0"/>
        <w:snapToGrid w:val="0"/>
        <w:spacing w:after="160" w:line="400" w:lineRule="exact"/>
        <w:ind w:firstLine="420" w:firstLineChars="200"/>
        <w:jc w:val="both"/>
        <w:rPr>
          <w:rFonts w:ascii="宋体" w:eastAsia="宋体" w:hAnsi="宋体"/>
          <w:b/>
          <w:kern w:val="2"/>
          <w:sz w:val="21"/>
          <w:szCs w:val="21"/>
          <w:lang w:eastAsia="zh-CN"/>
        </w:rPr>
      </w:pPr>
      <w:r>
        <w:rPr>
          <w:rFonts w:ascii="宋体" w:eastAsia="宋体" w:hAnsi="宋体" w:hint="eastAsia"/>
          <w:b/>
          <w:kern w:val="2"/>
          <w:sz w:val="21"/>
          <w:szCs w:val="21"/>
          <w:lang w:eastAsia="zh-CN"/>
        </w:rPr>
        <w:t>合同金额</w:t>
      </w:r>
    </w:p>
    <w:p>
      <w:pPr>
        <w:widowControl w:val="0"/>
        <w:adjustRightInd w:val="0"/>
        <w:snapToGrid w:val="0"/>
        <w:spacing w:after="160" w:line="400" w:lineRule="exact"/>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（1）合同金额小写：</w:t>
      </w:r>
      <w:r>
        <w:rPr>
          <w:rFonts w:ascii="宋体" w:eastAsia="宋体" w:hAnsi="宋体" w:hint="eastAsia"/>
          <w:kern w:val="2"/>
          <w:sz w:val="21"/>
          <w:szCs w:val="21"/>
          <w:u w:val="single"/>
          <w:lang w:eastAsia="zh-CN"/>
        </w:rPr>
        <w:t xml:space="preserve">                           </w:t>
      </w:r>
    </w:p>
    <w:p>
      <w:pPr>
        <w:widowControl w:val="0"/>
        <w:adjustRightInd w:val="0"/>
        <w:snapToGrid w:val="0"/>
        <w:spacing w:after="160" w:line="400" w:lineRule="exact"/>
        <w:jc w:val="both"/>
        <w:rPr>
          <w:rFonts w:ascii="宋体" w:eastAsia="宋体" w:hAnsi="宋体"/>
          <w:kern w:val="2"/>
          <w:sz w:val="21"/>
          <w:szCs w:val="21"/>
          <w:u w:val="single"/>
          <w:lang w:eastAsia="zh-CN"/>
        </w:rPr>
      </w:pPr>
      <w:r>
        <w:rPr>
          <w:rFonts w:ascii="宋体" w:eastAsia="宋体" w:hAnsi="宋体" w:hint="eastAsia"/>
          <w:kern w:val="2"/>
          <w:sz w:val="21"/>
          <w:szCs w:val="21"/>
          <w:lang w:eastAsia="zh-CN"/>
        </w:rPr>
        <w:t xml:space="preserve">                 大写：</w:t>
      </w:r>
      <w:r>
        <w:rPr>
          <w:rFonts w:ascii="宋体" w:eastAsia="宋体" w:hAnsi="宋体" w:hint="eastAsia"/>
          <w:kern w:val="2"/>
          <w:sz w:val="21"/>
          <w:szCs w:val="21"/>
          <w:u w:val="single"/>
          <w:lang w:eastAsia="zh-CN"/>
        </w:rPr>
        <w:t xml:space="preserve">                           </w:t>
      </w:r>
    </w:p>
    <w:p>
      <w:pPr>
        <w:widowControl w:val="0"/>
        <w:adjustRightInd w:val="0"/>
        <w:snapToGrid w:val="0"/>
        <w:spacing w:after="160" w:line="400" w:lineRule="exact"/>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分包金额（如有）小写：</w:t>
      </w:r>
      <w:r>
        <w:rPr>
          <w:rFonts w:ascii="宋体" w:eastAsia="宋体" w:hAnsi="宋体" w:hint="eastAsia"/>
          <w:kern w:val="2"/>
          <w:sz w:val="21"/>
          <w:szCs w:val="21"/>
          <w:u w:val="single"/>
          <w:lang w:eastAsia="zh-CN"/>
        </w:rPr>
        <w:t xml:space="preserve">                   </w:t>
      </w:r>
    </w:p>
    <w:p>
      <w:pPr>
        <w:widowControl w:val="0"/>
        <w:adjustRightInd w:val="0"/>
        <w:snapToGrid w:val="0"/>
        <w:spacing w:after="160" w:line="400" w:lineRule="exact"/>
        <w:jc w:val="both"/>
        <w:rPr>
          <w:rFonts w:ascii="宋体" w:eastAsia="宋体" w:hAnsi="宋体"/>
          <w:kern w:val="2"/>
          <w:sz w:val="21"/>
          <w:szCs w:val="21"/>
          <w:u w:val="single"/>
          <w:lang w:eastAsia="zh-CN"/>
        </w:rPr>
      </w:pPr>
      <w:r>
        <w:rPr>
          <w:rFonts w:ascii="宋体" w:eastAsia="宋体" w:hAnsi="宋体" w:hint="eastAsia"/>
          <w:kern w:val="2"/>
          <w:sz w:val="21"/>
          <w:szCs w:val="21"/>
          <w:lang w:eastAsia="zh-CN"/>
        </w:rPr>
        <w:t xml:space="preserve">                     大写：</w:t>
      </w:r>
      <w:r>
        <w:rPr>
          <w:rFonts w:ascii="宋体" w:eastAsia="宋体" w:hAnsi="宋体" w:hint="eastAsia"/>
          <w:kern w:val="2"/>
          <w:sz w:val="21"/>
          <w:szCs w:val="21"/>
          <w:u w:val="single"/>
          <w:lang w:eastAsia="zh-CN"/>
        </w:rPr>
        <w:t xml:space="preserve">                       </w:t>
      </w:r>
    </w:p>
    <w:p>
      <w:pPr>
        <w:widowControl w:val="0"/>
        <w:adjustRightInd w:val="0"/>
        <w:snapToGrid w:val="0"/>
        <w:spacing w:after="160" w:line="400" w:lineRule="exact"/>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（注：固定单价合同应填写单价和最高限价）</w:t>
      </w:r>
    </w:p>
    <w:p>
      <w:pPr>
        <w:widowControl w:val="0"/>
        <w:numPr>
          <w:ilvl w:val="12"/>
          <w:numId w:val="0"/>
        </w:numPr>
        <w:adjustRightInd w:val="0"/>
        <w:snapToGrid w:val="0"/>
        <w:spacing w:after="160" w:line="400" w:lineRule="exact"/>
        <w:ind w:left="0" w:firstLine="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（2）合同定价方式（采用组合定价方式的，可以勾选多项）：</w:t>
      </w:r>
    </w:p>
    <w:p>
      <w:pPr>
        <w:widowControl w:val="0"/>
        <w:adjustRightInd w:val="0"/>
        <w:snapToGrid w:val="0"/>
        <w:spacing w:after="160" w:line="400" w:lineRule="exact"/>
        <w:ind w:firstLine="420" w:firstLineChars="200"/>
        <w:jc w:val="both"/>
        <w:rPr>
          <w:rFonts w:ascii="宋体" w:eastAsia="宋体" w:hAnsi="宋体"/>
          <w:kern w:val="2"/>
          <w:sz w:val="21"/>
          <w:szCs w:val="21"/>
          <w:lang w:eastAsia="zh-CN"/>
        </w:rPr>
      </w:pPr>
      <w:r>
        <w:rPr>
          <w:rFonts w:ascii="宋体" w:eastAsia="宋体" w:hAnsi="宋体" w:hint="eastAsia"/>
          <w:iCs/>
          <w:kern w:val="2"/>
          <w:sz w:val="21"/>
          <w:szCs w:val="21"/>
          <w:lang w:eastAsia="zh-CN"/>
        </w:rPr>
        <w:t xml:space="preserve">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固定总价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固定单价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固定费率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成本补偿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绩效激励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其他</w:t>
      </w:r>
      <w:r>
        <w:rPr>
          <w:rFonts w:ascii="宋体" w:eastAsia="宋体" w:hAnsi="宋体" w:hint="eastAsia"/>
          <w:kern w:val="2"/>
          <w:sz w:val="21"/>
          <w:szCs w:val="21"/>
          <w:u w:val="single"/>
          <w:lang w:eastAsia="zh-CN"/>
        </w:rPr>
        <w:t xml:space="preserve">       </w:t>
      </w:r>
    </w:p>
    <w:p>
      <w:pPr>
        <w:widowControl w:val="0"/>
        <w:spacing w:after="160" w:line="400" w:lineRule="exact"/>
        <w:ind w:firstLine="420" w:firstLineChars="200"/>
        <w:jc w:val="both"/>
        <w:rPr>
          <w:rFonts w:eastAsia="宋体"/>
          <w:kern w:val="2"/>
          <w:sz w:val="21"/>
          <w:szCs w:val="21"/>
          <w:lang w:eastAsia="zh-CN"/>
        </w:rPr>
      </w:pPr>
      <w:r>
        <w:rPr>
          <w:rFonts w:ascii="宋体" w:eastAsia="宋体" w:hAnsi="宋体" w:hint="eastAsia"/>
          <w:kern w:val="2"/>
          <w:sz w:val="21"/>
          <w:szCs w:val="21"/>
          <w:lang w:eastAsia="zh-CN"/>
        </w:rPr>
        <w:t>（3）付款方式（按项目实际勾选填写）：</w:t>
      </w:r>
    </w:p>
    <w:p>
      <w:pPr>
        <w:widowControl w:val="0"/>
        <w:adjustRightInd w:val="0"/>
        <w:snapToGrid w:val="0"/>
        <w:spacing w:after="160" w:line="400" w:lineRule="exact"/>
        <w:ind w:firstLine="630" w:firstLineChars="300"/>
        <w:jc w:val="both"/>
        <w:rPr>
          <w:rFonts w:ascii="宋体" w:eastAsia="宋体" w:hAnsi="宋体"/>
          <w:kern w:val="2"/>
          <w:sz w:val="21"/>
          <w:szCs w:val="21"/>
          <w:u w:val="single"/>
          <w:lang w:eastAsia="zh-CN"/>
        </w:rPr>
      </w:pP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全额付款：</w:t>
      </w:r>
      <w:r>
        <w:rPr>
          <w:rFonts w:ascii="宋体" w:eastAsia="宋体" w:hAnsi="宋体" w:hint="eastAsia"/>
          <w:kern w:val="2"/>
          <w:sz w:val="21"/>
          <w:szCs w:val="21"/>
          <w:u w:val="single"/>
          <w:lang w:eastAsia="zh-CN"/>
        </w:rPr>
        <w:t xml:space="preserve">     （应明确一次性支付合同款项的条件）                    </w:t>
      </w:r>
    </w:p>
    <w:p>
      <w:pPr>
        <w:widowControl w:val="0"/>
        <w:snapToGrid w:val="0"/>
        <w:spacing w:after="160" w:line="400" w:lineRule="exact"/>
        <w:ind w:firstLine="630" w:firstLineChars="300"/>
        <w:jc w:val="both"/>
        <w:rPr>
          <w:rFonts w:eastAsia="宋体"/>
          <w:kern w:val="2"/>
          <w:sz w:val="21"/>
          <w:lang w:eastAsia="zh-CN"/>
        </w:rPr>
      </w:pP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分期付款：</w:t>
      </w:r>
      <w:r>
        <w:rPr>
          <w:rFonts w:ascii="宋体" w:eastAsia="宋体" w:hAnsi="宋体" w:hint="eastAsia"/>
          <w:kern w:val="2"/>
          <w:sz w:val="21"/>
          <w:szCs w:val="21"/>
          <w:u w:val="single"/>
          <w:lang w:eastAsia="zh-CN"/>
        </w:rPr>
        <w:t xml:space="preserve">  （应明确分期支付合同款项的各期比例和支付条件，各期支付条件应与分期履约验收情况挂钩） </w:t>
      </w:r>
      <w:r>
        <w:rPr>
          <w:rFonts w:ascii="宋体" w:eastAsia="宋体" w:hAnsi="宋体" w:hint="eastAsia"/>
          <w:kern w:val="2"/>
          <w:sz w:val="21"/>
          <w:szCs w:val="21"/>
          <w:lang w:eastAsia="zh-CN"/>
        </w:rPr>
        <w:t>，其中涉及预付款的：</w:t>
      </w:r>
      <w:r>
        <w:rPr>
          <w:rFonts w:ascii="宋体" w:eastAsia="宋体" w:hAnsi="宋体" w:hint="eastAsia"/>
          <w:kern w:val="2"/>
          <w:sz w:val="21"/>
          <w:szCs w:val="21"/>
          <w:u w:val="single"/>
          <w:lang w:eastAsia="zh-CN"/>
        </w:rPr>
        <w:t xml:space="preserve"> （应明确预付款的支付比例和支付条件） </w:t>
      </w:r>
    </w:p>
    <w:p>
      <w:pPr>
        <w:widowControl w:val="0"/>
        <w:adjustRightInd w:val="0"/>
        <w:snapToGrid w:val="0"/>
        <w:spacing w:after="160" w:line="400" w:lineRule="exact"/>
        <w:ind w:firstLine="630" w:firstLineChars="300"/>
        <w:jc w:val="both"/>
        <w:rPr>
          <w:rFonts w:ascii="宋体" w:eastAsia="宋体" w:hAnsi="宋体"/>
          <w:kern w:val="2"/>
          <w:sz w:val="21"/>
          <w:szCs w:val="21"/>
          <w:u w:val="single"/>
          <w:lang w:eastAsia="zh-CN"/>
        </w:rPr>
      </w:pP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成本补偿：</w:t>
      </w:r>
      <w:r>
        <w:rPr>
          <w:rFonts w:ascii="宋体" w:eastAsia="宋体" w:hAnsi="宋体" w:hint="eastAsia"/>
          <w:kern w:val="2"/>
          <w:sz w:val="21"/>
          <w:szCs w:val="21"/>
          <w:u w:val="single"/>
          <w:lang w:eastAsia="zh-CN"/>
        </w:rPr>
        <w:t xml:space="preserve">      （应明确按照成本补偿方式的支付方式和支付条件）   </w:t>
      </w:r>
    </w:p>
    <w:p>
      <w:pPr>
        <w:widowControl w:val="0"/>
        <w:adjustRightInd w:val="0"/>
        <w:snapToGrid w:val="0"/>
        <w:spacing w:after="160" w:line="400" w:lineRule="exact"/>
        <w:ind w:firstLine="630" w:firstLineChars="300"/>
        <w:jc w:val="both"/>
        <w:rPr>
          <w:rFonts w:ascii="宋体" w:eastAsia="宋体" w:hAnsi="宋体"/>
          <w:kern w:val="2"/>
          <w:sz w:val="21"/>
          <w:szCs w:val="21"/>
          <w:lang w:eastAsia="zh-CN"/>
        </w:rPr>
      </w:pP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绩效激励：</w:t>
      </w:r>
      <w:r>
        <w:rPr>
          <w:rFonts w:ascii="宋体" w:eastAsia="宋体" w:hAnsi="宋体" w:hint="eastAsia"/>
          <w:kern w:val="2"/>
          <w:sz w:val="21"/>
          <w:szCs w:val="21"/>
          <w:u w:val="single"/>
          <w:lang w:eastAsia="zh-CN"/>
        </w:rPr>
        <w:t xml:space="preserve">      （应明确按照绩效激励方式的支付方式和支付条件）   </w:t>
      </w:r>
    </w:p>
    <w:p>
      <w:pPr>
        <w:widowControl w:val="0"/>
        <w:numPr>
          <w:ilvl w:val="0"/>
          <w:numId w:val="3"/>
        </w:numPr>
        <w:adjustRightInd w:val="0"/>
        <w:snapToGrid w:val="0"/>
        <w:spacing w:after="160" w:line="400" w:lineRule="exact"/>
        <w:ind w:firstLine="420" w:firstLineChars="200"/>
        <w:jc w:val="both"/>
        <w:rPr>
          <w:rFonts w:ascii="宋体" w:eastAsia="宋体" w:hAnsi="宋体"/>
          <w:b/>
          <w:kern w:val="2"/>
          <w:sz w:val="21"/>
          <w:szCs w:val="21"/>
          <w:u w:val="single"/>
          <w:lang w:eastAsia="zh-CN"/>
        </w:rPr>
      </w:pPr>
      <w:r>
        <w:rPr>
          <w:rFonts w:ascii="宋体" w:eastAsia="宋体" w:hAnsi="宋体" w:hint="eastAsia"/>
          <w:b/>
          <w:kern w:val="2"/>
          <w:sz w:val="21"/>
          <w:szCs w:val="21"/>
          <w:lang w:eastAsia="zh-CN"/>
        </w:rPr>
        <w:t>合同履行</w:t>
      </w:r>
    </w:p>
    <w:p>
      <w:pPr>
        <w:widowControl w:val="0"/>
        <w:adjustRightInd w:val="0"/>
        <w:snapToGrid w:val="0"/>
        <w:spacing w:after="160" w:line="40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（1）起始日期：</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日，完成日期：</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日。</w:t>
      </w:r>
    </w:p>
    <w:p>
      <w:pPr>
        <w:widowControl w:val="0"/>
        <w:adjustRightInd w:val="0"/>
        <w:snapToGrid w:val="0"/>
        <w:spacing w:after="160" w:line="400" w:lineRule="exact"/>
        <w:ind w:firstLine="420" w:firstLineChars="200"/>
        <w:jc w:val="both"/>
        <w:rPr>
          <w:rFonts w:ascii="宋体" w:eastAsia="宋体" w:hAnsi="宋体" w:cs="宋体"/>
          <w:kern w:val="2"/>
          <w:sz w:val="21"/>
          <w:szCs w:val="21"/>
          <w:u w:val="single"/>
          <w:lang w:eastAsia="zh-CN"/>
        </w:rPr>
      </w:pPr>
      <w:r>
        <w:rPr>
          <w:rFonts w:ascii="宋体" w:eastAsia="宋体" w:hAnsi="宋体" w:cs="宋体" w:hint="eastAsia"/>
          <w:kern w:val="2"/>
          <w:sz w:val="21"/>
          <w:szCs w:val="21"/>
          <w:lang w:eastAsia="zh-CN"/>
        </w:rPr>
        <w:t>（2）履约地点</w:t>
      </w:r>
      <w:r>
        <w:rPr>
          <w:rFonts w:ascii="宋体" w:eastAsia="宋体" w:hAnsi="宋体" w:cs="宋体" w:hint="eastAsia"/>
          <w:bCs/>
          <w:kern w:val="2"/>
          <w:sz w:val="21"/>
          <w:szCs w:val="21"/>
          <w:lang w:eastAsia="zh-CN"/>
        </w:rPr>
        <w:t>：</w:t>
      </w:r>
      <w:r>
        <w:rPr>
          <w:rFonts w:ascii="宋体" w:eastAsia="宋体" w:hAnsi="宋体" w:cs="宋体" w:hint="eastAsia"/>
          <w:kern w:val="2"/>
          <w:sz w:val="21"/>
          <w:szCs w:val="21"/>
          <w:u w:val="single"/>
          <w:lang w:eastAsia="zh-CN"/>
        </w:rPr>
        <w:t xml:space="preserve">                             </w:t>
      </w:r>
    </w:p>
    <w:p>
      <w:pPr>
        <w:widowControl w:val="0"/>
        <w:adjustRightInd w:val="0"/>
        <w:snapToGrid w:val="0"/>
        <w:spacing w:after="160" w:line="40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bCs/>
          <w:kern w:val="2"/>
          <w:sz w:val="21"/>
          <w:szCs w:val="21"/>
          <w:lang w:eastAsia="zh-CN"/>
        </w:rPr>
        <w:t>（3）履约担保：</w:t>
      </w:r>
      <w:r>
        <w:rPr>
          <w:rFonts w:ascii="宋体" w:eastAsia="宋体" w:hAnsi="宋体" w:cs="宋体" w:hint="eastAsia"/>
          <w:kern w:val="2"/>
          <w:sz w:val="21"/>
          <w:lang w:eastAsia="zh-CN"/>
        </w:rPr>
        <w:t>是否收取履约保证金：</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否</w:t>
      </w:r>
    </w:p>
    <w:p>
      <w:pPr>
        <w:widowControl w:val="0"/>
        <w:autoSpaceDE w:val="0"/>
        <w:autoSpaceDN w:val="0"/>
        <w:adjustRightInd w:val="0"/>
        <w:spacing w:after="160" w:line="400" w:lineRule="exact"/>
        <w:ind w:firstLine="440" w:firstLineChars="200"/>
        <w:jc w:val="both"/>
        <w:rPr>
          <w:rFonts w:ascii="宋体" w:eastAsia="宋体" w:hAnsi="宋体" w:cs="宋体"/>
          <w:kern w:val="2"/>
          <w:sz w:val="21"/>
          <w:szCs w:val="21"/>
          <w:lang w:eastAsia="zh-CN"/>
        </w:rPr>
      </w:pPr>
      <w:r>
        <w:rPr>
          <w:rFonts w:ascii="宋体" w:eastAsia="华文楷体" w:hAnsi="宋体" w:cs="宋体" w:hint="eastAsia"/>
          <w:bCs/>
          <w:kern w:val="2"/>
          <w:sz w:val="22"/>
          <w:szCs w:val="21"/>
          <w:lang w:eastAsia="zh-CN"/>
        </w:rPr>
        <w:t xml:space="preserve">  </w:t>
      </w:r>
      <w:r>
        <w:rPr>
          <w:rFonts w:ascii="宋体" w:eastAsia="宋体" w:hAnsi="宋体" w:cs="宋体" w:hint="eastAsia"/>
          <w:kern w:val="2"/>
          <w:sz w:val="21"/>
          <w:szCs w:val="21"/>
          <w:lang w:eastAsia="zh-CN"/>
        </w:rPr>
        <w:t xml:space="preserve">  收取履约保证金形式：</w:t>
      </w:r>
      <w:r>
        <w:rPr>
          <w:rFonts w:ascii="宋体" w:eastAsia="宋体" w:hAnsi="宋体" w:cs="宋体" w:hint="eastAsia"/>
          <w:bCs/>
          <w:kern w:val="2"/>
          <w:sz w:val="21"/>
          <w:szCs w:val="21"/>
          <w:u w:val="single"/>
          <w:lang w:eastAsia="zh-CN"/>
        </w:rPr>
        <w:t xml:space="preserve">                            </w:t>
      </w:r>
    </w:p>
    <w:p>
      <w:pPr>
        <w:widowControl w:val="0"/>
        <w:autoSpaceDE w:val="0"/>
        <w:autoSpaceDN w:val="0"/>
        <w:adjustRightInd w:val="0"/>
        <w:spacing w:after="160" w:line="40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    收取履约保证金金额：</w:t>
      </w:r>
      <w:r>
        <w:rPr>
          <w:rFonts w:ascii="宋体" w:eastAsia="宋体" w:hAnsi="宋体" w:cs="宋体" w:hint="eastAsia"/>
          <w:bCs/>
          <w:kern w:val="2"/>
          <w:sz w:val="21"/>
          <w:szCs w:val="21"/>
          <w:u w:val="single"/>
          <w:lang w:eastAsia="zh-CN"/>
        </w:rPr>
        <w:t xml:space="preserve">                            </w:t>
      </w:r>
    </w:p>
    <w:p>
      <w:pPr>
        <w:widowControl w:val="0"/>
        <w:snapToGrid w:val="0"/>
        <w:spacing w:after="160" w:line="400" w:lineRule="exact"/>
        <w:ind w:firstLine="420" w:firstLineChars="200"/>
        <w:jc w:val="both"/>
        <w:rPr>
          <w:rFonts w:ascii="宋体" w:eastAsia="宋体" w:hAnsi="宋体" w:cs="宋体"/>
          <w:kern w:val="2"/>
          <w:sz w:val="21"/>
          <w:lang w:eastAsia="zh-CN"/>
        </w:rPr>
      </w:pPr>
      <w:r>
        <w:rPr>
          <w:rFonts w:ascii="宋体" w:eastAsia="宋体" w:hAnsi="宋体" w:cs="宋体" w:hint="eastAsia"/>
          <w:bCs/>
          <w:kern w:val="2"/>
          <w:sz w:val="21"/>
          <w:szCs w:val="21"/>
          <w:lang w:eastAsia="zh-CN"/>
        </w:rPr>
        <w:t xml:space="preserve">    履约担保期限：</w:t>
      </w:r>
      <w:r>
        <w:rPr>
          <w:rFonts w:ascii="宋体" w:eastAsia="宋体" w:hAnsi="宋体" w:cs="宋体" w:hint="eastAsia"/>
          <w:bCs/>
          <w:kern w:val="2"/>
          <w:sz w:val="21"/>
          <w:szCs w:val="21"/>
          <w:u w:val="single"/>
          <w:lang w:eastAsia="zh-CN"/>
        </w:rPr>
        <w:t xml:space="preserve">                                  </w:t>
      </w:r>
    </w:p>
    <w:p>
      <w:pPr>
        <w:widowControl w:val="0"/>
        <w:adjustRightInd w:val="0"/>
        <w:snapToGrid w:val="0"/>
        <w:spacing w:after="160" w:line="400" w:lineRule="exact"/>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（4）分期履行要求：</w:t>
      </w:r>
      <w:r>
        <w:rPr>
          <w:rFonts w:ascii="宋体" w:eastAsia="宋体" w:hAnsi="宋体" w:cs="宋体" w:hint="eastAsia"/>
          <w:bCs/>
          <w:kern w:val="2"/>
          <w:sz w:val="21"/>
          <w:szCs w:val="21"/>
          <w:u w:val="single"/>
          <w:lang w:eastAsia="zh-CN"/>
        </w:rPr>
        <w:t xml:space="preserve">                                                        </w:t>
      </w:r>
    </w:p>
    <w:p>
      <w:pPr>
        <w:widowControl w:val="0"/>
        <w:adjustRightInd w:val="0"/>
        <w:snapToGrid w:val="0"/>
        <w:spacing w:after="160" w:line="400" w:lineRule="exact"/>
        <w:ind w:firstLine="420" w:firstLineChars="200"/>
        <w:jc w:val="both"/>
        <w:rPr>
          <w:rFonts w:ascii="宋体" w:eastAsia="宋体" w:hAnsi="宋体" w:cs="宋体"/>
          <w:kern w:val="2"/>
          <w:sz w:val="21"/>
          <w:szCs w:val="21"/>
          <w:u w:val="single"/>
          <w:lang w:eastAsia="zh-CN"/>
        </w:rPr>
      </w:pPr>
      <w:r>
        <w:rPr>
          <w:rFonts w:ascii="宋体" w:eastAsia="宋体" w:hAnsi="宋体" w:cs="宋体" w:hint="eastAsia"/>
          <w:bCs/>
          <w:kern w:val="2"/>
          <w:sz w:val="21"/>
          <w:szCs w:val="21"/>
          <w:lang w:eastAsia="zh-CN"/>
        </w:rPr>
        <w:t>（5）风险处置措施和替代方案：</w:t>
      </w:r>
      <w:r>
        <w:rPr>
          <w:rFonts w:ascii="宋体" w:eastAsia="宋体" w:hAnsi="宋体" w:cs="宋体" w:hint="eastAsia"/>
          <w:color w:val="0000FF"/>
          <w:kern w:val="2"/>
          <w:sz w:val="21"/>
          <w:szCs w:val="21"/>
          <w:u w:val="single"/>
          <w:lang w:eastAsia="zh-CN"/>
        </w:rPr>
        <w:t xml:space="preserve"> </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kern w:val="2"/>
          <w:sz w:val="21"/>
          <w:szCs w:val="21"/>
          <w:u w:val="single"/>
          <w:lang w:eastAsia="zh-CN"/>
        </w:rPr>
        <w:t xml:space="preserve">                                                </w:t>
      </w:r>
    </w:p>
    <w:p>
      <w:pPr>
        <w:widowControl w:val="0"/>
        <w:numPr>
          <w:ilvl w:val="0"/>
          <w:numId w:val="3"/>
        </w:numPr>
        <w:adjustRightInd w:val="0"/>
        <w:snapToGrid w:val="0"/>
        <w:spacing w:after="160" w:line="400" w:lineRule="exact"/>
        <w:ind w:firstLine="420" w:firstLineChars="200"/>
        <w:jc w:val="both"/>
        <w:rPr>
          <w:rFonts w:ascii="宋体" w:eastAsia="宋体" w:hAnsi="宋体"/>
          <w:b/>
          <w:kern w:val="2"/>
          <w:sz w:val="21"/>
          <w:szCs w:val="21"/>
          <w:lang w:eastAsia="zh-CN"/>
        </w:rPr>
      </w:pPr>
      <w:r>
        <w:rPr>
          <w:rFonts w:ascii="宋体" w:eastAsia="宋体" w:hAnsi="宋体" w:hint="eastAsia"/>
          <w:b/>
          <w:kern w:val="2"/>
          <w:sz w:val="21"/>
          <w:szCs w:val="21"/>
          <w:lang w:eastAsia="zh-CN"/>
        </w:rPr>
        <w:t>合同验收</w:t>
      </w:r>
    </w:p>
    <w:p>
      <w:pPr>
        <w:widowControl w:val="0"/>
        <w:numPr>
          <w:ilvl w:val="0"/>
          <w:numId w:val="5"/>
        </w:numPr>
        <w:adjustRightInd w:val="0"/>
        <w:snapToGrid w:val="0"/>
        <w:spacing w:after="160" w:line="400" w:lineRule="exact"/>
        <w:ind w:firstLine="420" w:firstLineChars="2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验收组织方式：</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 xml:space="preserve">自行组织 </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委托第三方组织</w:t>
      </w:r>
    </w:p>
    <w:p>
      <w:pPr>
        <w:widowControl w:val="0"/>
        <w:adjustRightInd w:val="0"/>
        <w:snapToGrid w:val="0"/>
        <w:spacing w:after="160" w:line="400" w:lineRule="exact"/>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 xml:space="preserve">         验收主体：</w:t>
      </w:r>
      <w:r>
        <w:rPr>
          <w:rFonts w:ascii="宋体" w:eastAsia="宋体" w:hAnsi="宋体" w:hint="eastAsia"/>
          <w:bCs/>
          <w:kern w:val="2"/>
          <w:sz w:val="21"/>
          <w:szCs w:val="21"/>
          <w:u w:val="single"/>
          <w:lang w:eastAsia="zh-CN"/>
        </w:rPr>
        <w:t xml:space="preserve">                  </w:t>
      </w:r>
    </w:p>
    <w:p>
      <w:pPr>
        <w:widowControl w:val="0"/>
        <w:adjustRightInd w:val="0"/>
        <w:snapToGrid w:val="0"/>
        <w:spacing w:after="160" w:line="400" w:lineRule="exact"/>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 xml:space="preserve">        是否邀请本项目的其他供应商参加验收：</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否</w:t>
      </w:r>
    </w:p>
    <w:p>
      <w:pPr>
        <w:widowControl w:val="0"/>
        <w:adjustRightInd w:val="0"/>
        <w:snapToGrid w:val="0"/>
        <w:spacing w:after="160" w:line="400" w:lineRule="exact"/>
        <w:ind w:firstLine="840" w:firstLineChars="4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是否邀请专家参加验收：</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否</w:t>
      </w:r>
    </w:p>
    <w:p>
      <w:pPr>
        <w:widowControl w:val="0"/>
        <w:adjustRightInd w:val="0"/>
        <w:snapToGrid w:val="0"/>
        <w:spacing w:after="160" w:line="400" w:lineRule="exact"/>
        <w:ind w:firstLine="840" w:firstLineChars="4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是否邀请服务对象参加验收：</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否</w:t>
      </w:r>
    </w:p>
    <w:p>
      <w:pPr>
        <w:widowControl w:val="0"/>
        <w:adjustRightInd w:val="0"/>
        <w:snapToGrid w:val="0"/>
        <w:spacing w:after="160" w:line="400" w:lineRule="exact"/>
        <w:ind w:firstLine="840" w:firstLineChars="4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是否邀请第三方检测机构参加验收：</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否</w:t>
      </w:r>
    </w:p>
    <w:p>
      <w:pPr>
        <w:widowControl w:val="0"/>
        <w:adjustRightInd w:val="0"/>
        <w:snapToGrid w:val="0"/>
        <w:spacing w:after="160" w:line="400" w:lineRule="exact"/>
        <w:ind w:firstLine="840" w:firstLineChars="4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是否进行抽查检测：</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是，抽查比例：</w:t>
      </w:r>
      <w:r>
        <w:rPr>
          <w:rFonts w:ascii="宋体" w:eastAsia="宋体" w:hAnsi="宋体" w:hint="eastAsia"/>
          <w:bCs/>
          <w:kern w:val="2"/>
          <w:sz w:val="21"/>
          <w:szCs w:val="21"/>
          <w:u w:val="single"/>
          <w:lang w:eastAsia="zh-CN"/>
        </w:rPr>
        <w:t xml:space="preserve">        </w:t>
      </w:r>
      <w:r>
        <w:rPr>
          <w:rFonts w:ascii="宋体" w:eastAsia="宋体" w:hAnsi="宋体" w:hint="eastAsia"/>
          <w:bCs/>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否</w:t>
      </w:r>
    </w:p>
    <w:p>
      <w:pPr>
        <w:widowControl w:val="0"/>
        <w:adjustRightInd w:val="0"/>
        <w:snapToGrid w:val="0"/>
        <w:spacing w:after="160" w:line="400" w:lineRule="exact"/>
        <w:ind w:firstLine="840" w:firstLineChars="400"/>
        <w:jc w:val="both"/>
        <w:rPr>
          <w:rFonts w:ascii="宋体" w:eastAsia="宋体" w:hAnsi="宋体"/>
          <w:bCs/>
          <w:kern w:val="2"/>
          <w:sz w:val="21"/>
          <w:szCs w:val="21"/>
          <w:u w:val="single"/>
          <w:lang w:eastAsia="zh-CN"/>
        </w:rPr>
      </w:pPr>
      <w:r>
        <w:rPr>
          <w:rFonts w:ascii="宋体" w:eastAsia="宋体" w:hAnsi="宋体" w:hint="eastAsia"/>
          <w:bCs/>
          <w:kern w:val="2"/>
          <w:sz w:val="21"/>
          <w:szCs w:val="21"/>
          <w:lang w:eastAsia="zh-CN"/>
        </w:rPr>
        <w:t>是否存在破坏性检测：</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是，</w:t>
      </w:r>
      <w:r>
        <w:rPr>
          <w:rFonts w:ascii="宋体" w:eastAsia="宋体" w:hAnsi="宋体" w:hint="eastAsia"/>
          <w:bCs/>
          <w:kern w:val="2"/>
          <w:sz w:val="21"/>
          <w:szCs w:val="21"/>
          <w:u w:val="single"/>
          <w:lang w:eastAsia="zh-CN"/>
        </w:rPr>
        <w:t>（应明确对被破坏的检测产品的处理方式）</w:t>
      </w:r>
    </w:p>
    <w:p>
      <w:pPr>
        <w:widowControl w:val="0"/>
        <w:adjustRightInd w:val="0"/>
        <w:snapToGrid w:val="0"/>
        <w:spacing w:after="160" w:line="400" w:lineRule="exact"/>
        <w:ind w:firstLine="840" w:firstLineChars="4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否</w:t>
      </w:r>
    </w:p>
    <w:p>
      <w:pPr>
        <w:widowControl w:val="0"/>
        <w:adjustRightInd w:val="0"/>
        <w:snapToGrid w:val="0"/>
        <w:spacing w:after="160" w:line="400" w:lineRule="exact"/>
        <w:ind w:firstLine="840" w:firstLineChars="400"/>
        <w:jc w:val="both"/>
        <w:rPr>
          <w:rFonts w:ascii="宋体" w:eastAsia="宋体" w:hAnsi="宋体"/>
          <w:bCs/>
          <w:kern w:val="2"/>
          <w:sz w:val="21"/>
          <w:szCs w:val="21"/>
          <w:u w:val="single"/>
          <w:lang w:eastAsia="zh-CN"/>
        </w:rPr>
      </w:pPr>
      <w:r>
        <w:rPr>
          <w:rFonts w:ascii="宋体" w:eastAsia="宋体" w:hAnsi="宋体" w:hint="eastAsia"/>
          <w:bCs/>
          <w:kern w:val="2"/>
          <w:sz w:val="21"/>
          <w:szCs w:val="21"/>
          <w:lang w:eastAsia="zh-CN"/>
        </w:rPr>
        <w:t>验收组织的其他事项：</w:t>
      </w:r>
      <w:r>
        <w:rPr>
          <w:rFonts w:ascii="宋体" w:eastAsia="宋体" w:hAnsi="宋体" w:hint="eastAsia"/>
          <w:bCs/>
          <w:kern w:val="2"/>
          <w:sz w:val="21"/>
          <w:szCs w:val="21"/>
          <w:u w:val="single"/>
          <w:lang w:eastAsia="zh-CN"/>
        </w:rPr>
        <w:t xml:space="preserve">                </w:t>
      </w:r>
    </w:p>
    <w:p>
      <w:pPr>
        <w:widowControl w:val="0"/>
        <w:adjustRightInd w:val="0"/>
        <w:snapToGrid w:val="0"/>
        <w:spacing w:after="160" w:line="400" w:lineRule="exact"/>
        <w:ind w:firstLine="420" w:firstLineChars="200"/>
        <w:jc w:val="both"/>
        <w:rPr>
          <w:rFonts w:ascii="宋体" w:eastAsia="宋体" w:hAnsi="宋体"/>
          <w:bCs/>
          <w:kern w:val="2"/>
          <w:sz w:val="21"/>
          <w:szCs w:val="21"/>
          <w:u w:val="single"/>
          <w:lang w:eastAsia="zh-CN"/>
        </w:rPr>
      </w:pPr>
      <w:r>
        <w:rPr>
          <w:rFonts w:ascii="宋体" w:eastAsia="宋体" w:hAnsi="宋体" w:hint="eastAsia"/>
          <w:bCs/>
          <w:kern w:val="2"/>
          <w:sz w:val="21"/>
          <w:szCs w:val="21"/>
          <w:lang w:eastAsia="zh-CN"/>
        </w:rPr>
        <w:t>（2）履约验收时间：</w:t>
      </w:r>
      <w:r>
        <w:rPr>
          <w:rFonts w:ascii="宋体" w:eastAsia="宋体" w:hAnsi="宋体" w:hint="eastAsia"/>
          <w:bCs/>
          <w:kern w:val="2"/>
          <w:sz w:val="21"/>
          <w:szCs w:val="21"/>
          <w:u w:val="single"/>
          <w:lang w:eastAsia="zh-CN"/>
        </w:rPr>
        <w:t xml:space="preserve">（计划于何时验收/供应商提出验收申请之日起   日内组织验收） </w:t>
      </w:r>
    </w:p>
    <w:p>
      <w:pPr>
        <w:widowControl w:val="0"/>
        <w:adjustRightInd w:val="0"/>
        <w:snapToGrid w:val="0"/>
        <w:spacing w:after="160" w:line="400" w:lineRule="exact"/>
        <w:ind w:firstLine="420" w:firstLineChars="2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（3）履约验收方式：</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 xml:space="preserve">一次性验收         </w:t>
      </w:r>
    </w:p>
    <w:p>
      <w:pPr>
        <w:widowControl w:val="0"/>
        <w:adjustRightInd w:val="0"/>
        <w:snapToGrid w:val="0"/>
        <w:spacing w:after="160" w:line="400" w:lineRule="exact"/>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分期/分项验收：</w:t>
      </w:r>
      <w:r>
        <w:rPr>
          <w:rFonts w:ascii="宋体" w:eastAsia="宋体" w:hAnsi="宋体" w:hint="eastAsia"/>
          <w:bCs/>
          <w:kern w:val="2"/>
          <w:sz w:val="21"/>
          <w:szCs w:val="21"/>
          <w:u w:val="single"/>
          <w:lang w:eastAsia="zh-CN"/>
        </w:rPr>
        <w:t xml:space="preserve"> （应明确分期</w:t>
      </w:r>
      <w:r>
        <w:rPr>
          <w:rFonts w:ascii="宋体" w:eastAsia="宋体" w:hAnsi="宋体"/>
          <w:bCs/>
          <w:kern w:val="2"/>
          <w:sz w:val="21"/>
          <w:szCs w:val="21"/>
          <w:u w:val="single"/>
          <w:lang w:val="en" w:eastAsia="zh-CN"/>
        </w:rPr>
        <w:t>/</w:t>
      </w:r>
      <w:r>
        <w:rPr>
          <w:rFonts w:ascii="宋体" w:eastAsia="宋体" w:hAnsi="宋体" w:hint="eastAsia"/>
          <w:bCs/>
          <w:kern w:val="2"/>
          <w:sz w:val="21"/>
          <w:szCs w:val="21"/>
          <w:u w:val="single"/>
          <w:lang w:val="en" w:eastAsia="zh-CN"/>
        </w:rPr>
        <w:t>分项验收的工作安排</w:t>
      </w:r>
      <w:r>
        <w:rPr>
          <w:rFonts w:ascii="宋体" w:eastAsia="宋体" w:hAnsi="宋体" w:hint="eastAsia"/>
          <w:bCs/>
          <w:kern w:val="2"/>
          <w:sz w:val="21"/>
          <w:szCs w:val="21"/>
          <w:u w:val="single"/>
          <w:lang w:eastAsia="zh-CN"/>
        </w:rPr>
        <w:t xml:space="preserve">）  </w:t>
      </w:r>
    </w:p>
    <w:p>
      <w:pPr>
        <w:widowControl w:val="0"/>
        <w:adjustRightInd w:val="0"/>
        <w:snapToGrid w:val="0"/>
        <w:spacing w:after="160" w:line="400" w:lineRule="exact"/>
        <w:ind w:firstLine="420" w:firstLineChars="2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（4）履约验收程序：</w:t>
      </w:r>
      <w:r>
        <w:rPr>
          <w:rFonts w:ascii="宋体" w:eastAsia="宋体" w:hAnsi="宋体" w:hint="eastAsia"/>
          <w:bCs/>
          <w:kern w:val="2"/>
          <w:sz w:val="21"/>
          <w:szCs w:val="21"/>
          <w:u w:val="single"/>
          <w:lang w:eastAsia="zh-CN"/>
        </w:rPr>
        <w:t xml:space="preserve">                                         </w:t>
      </w:r>
    </w:p>
    <w:p>
      <w:pPr>
        <w:widowControl w:val="0"/>
        <w:adjustRightInd w:val="0"/>
        <w:snapToGrid w:val="0"/>
        <w:spacing w:after="160" w:line="400" w:lineRule="exact"/>
        <w:ind w:firstLine="420" w:firstLineChars="200"/>
        <w:jc w:val="both"/>
        <w:rPr>
          <w:rFonts w:ascii="宋体" w:eastAsia="宋体" w:hAnsi="宋体"/>
          <w:bCs/>
          <w:kern w:val="2"/>
          <w:sz w:val="21"/>
          <w:szCs w:val="21"/>
          <w:u w:val="single"/>
          <w:lang w:eastAsia="zh-CN"/>
        </w:rPr>
      </w:pPr>
      <w:r>
        <w:rPr>
          <w:rFonts w:ascii="宋体" w:eastAsia="宋体" w:hAnsi="宋体" w:hint="eastAsia"/>
          <w:bCs/>
          <w:kern w:val="2"/>
          <w:sz w:val="21"/>
          <w:szCs w:val="21"/>
          <w:lang w:eastAsia="zh-CN"/>
        </w:rPr>
        <w:t>（5）履约验收的内容：</w:t>
      </w:r>
      <w:r>
        <w:rPr>
          <w:rFonts w:ascii="宋体" w:eastAsia="宋体" w:hAnsi="宋体" w:hint="eastAsia"/>
          <w:bCs/>
          <w:kern w:val="2"/>
          <w:sz w:val="21"/>
          <w:szCs w:val="21"/>
          <w:u w:val="single"/>
          <w:lang w:eastAsia="zh-CN"/>
        </w:rPr>
        <w:t xml:space="preserve"> （应当包括每一项技术和商务要求的履约情况，特别是落实政府采购扶持中小企业，支持绿色发展和乡村振兴等政策情况）                                      </w:t>
      </w:r>
    </w:p>
    <w:p>
      <w:pPr>
        <w:widowControl w:val="0"/>
        <w:adjustRightInd w:val="0"/>
        <w:snapToGrid w:val="0"/>
        <w:spacing w:after="160" w:line="400" w:lineRule="exact"/>
        <w:ind w:firstLine="420" w:firstLineChars="200"/>
        <w:jc w:val="both"/>
        <w:rPr>
          <w:rFonts w:ascii="宋体" w:eastAsia="宋体" w:hAnsi="宋体"/>
          <w:bCs/>
          <w:kern w:val="2"/>
          <w:sz w:val="21"/>
          <w:szCs w:val="21"/>
          <w:u w:val="single"/>
          <w:lang w:eastAsia="zh-CN"/>
        </w:rPr>
      </w:pPr>
      <w:r>
        <w:rPr>
          <w:rFonts w:ascii="宋体" w:eastAsia="宋体" w:hAnsi="宋体" w:hint="eastAsia"/>
          <w:bCs/>
          <w:kern w:val="2"/>
          <w:sz w:val="21"/>
          <w:szCs w:val="21"/>
          <w:lang w:eastAsia="zh-CN"/>
        </w:rPr>
        <w:t>（6）履约验收标准：</w:t>
      </w:r>
      <w:r>
        <w:rPr>
          <w:rFonts w:ascii="宋体" w:eastAsia="宋体" w:hAnsi="宋体" w:hint="eastAsia"/>
          <w:bCs/>
          <w:kern w:val="2"/>
          <w:sz w:val="21"/>
          <w:szCs w:val="21"/>
          <w:u w:val="single"/>
          <w:lang w:eastAsia="zh-CN"/>
        </w:rPr>
        <w:t xml:space="preserve">                                         </w:t>
      </w:r>
    </w:p>
    <w:p>
      <w:pPr>
        <w:widowControl w:val="0"/>
        <w:autoSpaceDE w:val="0"/>
        <w:autoSpaceDN w:val="0"/>
        <w:adjustRightInd w:val="0"/>
        <w:spacing w:after="160" w:line="40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bCs/>
          <w:kern w:val="2"/>
          <w:sz w:val="21"/>
          <w:szCs w:val="21"/>
          <w:lang w:eastAsia="zh-CN"/>
        </w:rPr>
        <w:t>（7）是否以采购活动中供应商提供的样品作为参考：</w:t>
      </w:r>
      <w:r>
        <w:rPr>
          <w:rFonts w:ascii="Wingdings" w:eastAsia="宋体" w:hAnsi="Wingdings" w:cs="宋体"/>
          <w:kern w:val="2"/>
          <w:sz w:val="21"/>
          <w:szCs w:val="21"/>
          <w:lang w:eastAsia="zh-CN"/>
        </w:rPr>
        <w:sym w:font="Wingdings" w:char="F0A8"/>
      </w:r>
      <w:r>
        <w:rPr>
          <w:rFonts w:ascii="宋体" w:eastAsia="宋体" w:hAnsi="宋体" w:cs="宋体" w:hint="eastAsia"/>
          <w:bCs/>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cs="宋体" w:hint="eastAsia"/>
          <w:bCs/>
          <w:kern w:val="2"/>
          <w:sz w:val="21"/>
          <w:szCs w:val="21"/>
          <w:lang w:eastAsia="zh-CN"/>
        </w:rPr>
        <w:t>否</w:t>
      </w:r>
    </w:p>
    <w:p>
      <w:pPr>
        <w:widowControl w:val="0"/>
        <w:adjustRightInd w:val="0"/>
        <w:snapToGrid w:val="0"/>
        <w:spacing w:after="160" w:line="400" w:lineRule="exact"/>
        <w:ind w:firstLine="420" w:firstLineChars="200"/>
        <w:jc w:val="both"/>
        <w:rPr>
          <w:rFonts w:ascii="宋体" w:eastAsia="宋体" w:hAnsi="宋体" w:cs="宋体"/>
          <w:bCs/>
          <w:kern w:val="2"/>
          <w:sz w:val="21"/>
          <w:szCs w:val="21"/>
          <w:u w:val="single"/>
          <w:lang w:eastAsia="zh-CN"/>
        </w:rPr>
      </w:pPr>
      <w:r>
        <w:rPr>
          <w:rFonts w:ascii="宋体" w:eastAsia="宋体" w:hAnsi="宋体" w:cs="宋体" w:hint="eastAsia"/>
          <w:bCs/>
          <w:kern w:val="2"/>
          <w:sz w:val="21"/>
          <w:szCs w:val="21"/>
          <w:lang w:eastAsia="zh-CN"/>
        </w:rPr>
        <w:t>（8）履约验收其他事项：</w:t>
      </w:r>
      <w:r>
        <w:rPr>
          <w:rFonts w:ascii="宋体" w:eastAsia="宋体" w:hAnsi="宋体" w:cs="宋体" w:hint="eastAsia"/>
          <w:bCs/>
          <w:kern w:val="2"/>
          <w:sz w:val="21"/>
          <w:szCs w:val="21"/>
          <w:u w:val="single"/>
          <w:lang w:eastAsia="zh-CN"/>
        </w:rPr>
        <w:t xml:space="preserve">      （产权过户登记等）          </w:t>
      </w:r>
    </w:p>
    <w:p>
      <w:pPr>
        <w:widowControl w:val="0"/>
        <w:numPr>
          <w:ilvl w:val="0"/>
          <w:numId w:val="3"/>
        </w:numPr>
        <w:adjustRightInd w:val="0"/>
        <w:snapToGrid w:val="0"/>
        <w:spacing w:after="160" w:line="400" w:lineRule="exact"/>
        <w:ind w:firstLine="420" w:firstLineChars="200"/>
        <w:jc w:val="both"/>
        <w:rPr>
          <w:rFonts w:ascii="宋体" w:eastAsia="宋体" w:hAnsi="宋体"/>
          <w:b/>
          <w:kern w:val="2"/>
          <w:sz w:val="21"/>
          <w:szCs w:val="21"/>
          <w:lang w:eastAsia="zh-CN"/>
        </w:rPr>
      </w:pPr>
      <w:r>
        <w:rPr>
          <w:rFonts w:ascii="宋体" w:eastAsia="宋体" w:hAnsi="宋体" w:hint="eastAsia"/>
          <w:b/>
          <w:kern w:val="2"/>
          <w:sz w:val="21"/>
          <w:szCs w:val="21"/>
          <w:lang w:eastAsia="zh-CN"/>
        </w:rPr>
        <w:t>组成合同的文件</w:t>
      </w:r>
    </w:p>
    <w:p>
      <w:pPr>
        <w:widowControl w:val="0"/>
        <w:adjustRightInd w:val="0"/>
        <w:snapToGrid w:val="0"/>
        <w:spacing w:after="160" w:line="400" w:lineRule="exact"/>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本协议书与下列文件一起构成合同文件，如下述文件之间有任何抵触、矛盾或歧义，应按以下顺序解释：</w:t>
      </w:r>
    </w:p>
    <w:p>
      <w:pPr>
        <w:widowControl w:val="0"/>
        <w:adjustRightInd w:val="0"/>
        <w:snapToGrid w:val="0"/>
        <w:spacing w:after="160" w:line="400" w:lineRule="exact"/>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（1）采购合同协议书及其变更、补充协议</w:t>
      </w:r>
    </w:p>
    <w:p>
      <w:pPr>
        <w:widowControl w:val="0"/>
        <w:adjustRightInd w:val="0"/>
        <w:snapToGrid w:val="0"/>
        <w:spacing w:after="160" w:line="400" w:lineRule="exact"/>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（2）采购合同专用条款</w:t>
      </w:r>
    </w:p>
    <w:p>
      <w:pPr>
        <w:widowControl w:val="0"/>
        <w:adjustRightInd w:val="0"/>
        <w:snapToGrid w:val="0"/>
        <w:spacing w:after="160" w:line="400" w:lineRule="exact"/>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（3）采购合同通用条款</w:t>
      </w:r>
    </w:p>
    <w:p>
      <w:pPr>
        <w:widowControl w:val="0"/>
        <w:adjustRightInd w:val="0"/>
        <w:snapToGrid w:val="0"/>
        <w:spacing w:after="160" w:line="400" w:lineRule="exact"/>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（4）中标（成交）通知书</w:t>
      </w:r>
    </w:p>
    <w:p>
      <w:pPr>
        <w:widowControl w:val="0"/>
        <w:adjustRightInd w:val="0"/>
        <w:snapToGrid w:val="0"/>
        <w:spacing w:after="160" w:line="400" w:lineRule="exact"/>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（5）投标（响应）文件</w:t>
      </w:r>
    </w:p>
    <w:p>
      <w:pPr>
        <w:widowControl w:val="0"/>
        <w:adjustRightInd w:val="0"/>
        <w:snapToGrid w:val="0"/>
        <w:spacing w:after="160" w:line="400" w:lineRule="exact"/>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（6）采购文件</w:t>
      </w:r>
    </w:p>
    <w:p>
      <w:pPr>
        <w:widowControl w:val="0"/>
        <w:adjustRightInd w:val="0"/>
        <w:snapToGrid w:val="0"/>
        <w:spacing w:after="160" w:line="400" w:lineRule="exact"/>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（7）有关技术文件，图纸</w:t>
      </w:r>
    </w:p>
    <w:p>
      <w:pPr>
        <w:widowControl w:val="0"/>
        <w:autoSpaceDE w:val="0"/>
        <w:autoSpaceDN w:val="0"/>
        <w:adjustRightInd w:val="0"/>
        <w:spacing w:after="160" w:line="40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（8）</w:t>
      </w:r>
      <w:r>
        <w:rPr>
          <w:rFonts w:ascii="宋体" w:eastAsia="宋体" w:hAnsi="宋体" w:cs="宋体" w:hint="eastAsia"/>
          <w:color w:val="000000"/>
          <w:kern w:val="2"/>
          <w:sz w:val="21"/>
          <w:szCs w:val="21"/>
          <w:lang w:eastAsia="zh-CN"/>
        </w:rPr>
        <w:t>国家法律、行政法规和规章制度规定或合同约定的作为合同组成部分的其他文件</w:t>
      </w:r>
    </w:p>
    <w:p>
      <w:pPr>
        <w:widowControl w:val="0"/>
        <w:numPr>
          <w:ilvl w:val="0"/>
          <w:numId w:val="3"/>
        </w:numPr>
        <w:adjustRightInd w:val="0"/>
        <w:snapToGrid w:val="0"/>
        <w:spacing w:after="160" w:line="400" w:lineRule="exact"/>
        <w:ind w:firstLine="420" w:firstLineChars="200"/>
        <w:jc w:val="both"/>
        <w:rPr>
          <w:rFonts w:ascii="宋体" w:eastAsia="宋体" w:hAnsi="宋体"/>
          <w:b/>
          <w:kern w:val="2"/>
          <w:sz w:val="21"/>
          <w:szCs w:val="21"/>
          <w:lang w:eastAsia="zh-CN"/>
        </w:rPr>
      </w:pPr>
      <w:r>
        <w:rPr>
          <w:rFonts w:ascii="宋体" w:eastAsia="宋体" w:hAnsi="宋体" w:hint="eastAsia"/>
          <w:b/>
          <w:kern w:val="2"/>
          <w:sz w:val="21"/>
          <w:szCs w:val="21"/>
          <w:lang w:eastAsia="zh-CN"/>
        </w:rPr>
        <w:t>合同生效</w:t>
      </w:r>
    </w:p>
    <w:p>
      <w:pPr>
        <w:widowControl w:val="0"/>
        <w:adjustRightInd w:val="0"/>
        <w:snapToGrid w:val="0"/>
        <w:spacing w:after="160" w:line="400" w:lineRule="exact"/>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本合同自</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生效。</w:t>
      </w:r>
    </w:p>
    <w:p>
      <w:pPr>
        <w:widowControl w:val="0"/>
        <w:numPr>
          <w:ilvl w:val="0"/>
          <w:numId w:val="3"/>
        </w:numPr>
        <w:adjustRightInd w:val="0"/>
        <w:snapToGrid w:val="0"/>
        <w:spacing w:after="160" w:line="400" w:lineRule="exact"/>
        <w:ind w:firstLine="420" w:firstLineChars="200"/>
        <w:jc w:val="both"/>
        <w:rPr>
          <w:rFonts w:ascii="宋体" w:eastAsia="宋体" w:hAnsi="宋体"/>
          <w:b/>
          <w:kern w:val="2"/>
          <w:sz w:val="21"/>
          <w:szCs w:val="21"/>
          <w:lang w:eastAsia="zh-CN"/>
        </w:rPr>
      </w:pPr>
      <w:r>
        <w:rPr>
          <w:rFonts w:ascii="宋体" w:eastAsia="宋体" w:hAnsi="宋体" w:hint="eastAsia"/>
          <w:b/>
          <w:kern w:val="2"/>
          <w:sz w:val="21"/>
          <w:szCs w:val="21"/>
          <w:lang w:eastAsia="zh-CN"/>
        </w:rPr>
        <w:t>合同份数</w:t>
      </w:r>
    </w:p>
    <w:p>
      <w:pPr>
        <w:widowControl w:val="0"/>
        <w:adjustRightInd w:val="0"/>
        <w:snapToGrid w:val="0"/>
        <w:spacing w:after="160" w:line="400" w:lineRule="exact"/>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本合同一式</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份，甲方执</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份，乙方执</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份，均具有同等法律效力。</w:t>
      </w:r>
    </w:p>
    <w:p>
      <w:pPr>
        <w:widowControl w:val="0"/>
        <w:adjustRightInd w:val="0"/>
        <w:snapToGrid w:val="0"/>
        <w:spacing w:after="160" w:line="400" w:lineRule="exact"/>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合同订立时间：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w:t>
      </w:r>
    </w:p>
    <w:p>
      <w:pPr>
        <w:widowControl w:val="0"/>
        <w:adjustRightInd w:val="0"/>
        <w:snapToGrid w:val="0"/>
        <w:spacing w:after="160" w:line="400" w:lineRule="exact"/>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合同订立地点：</w:t>
      </w:r>
      <w:r>
        <w:rPr>
          <w:rFonts w:ascii="宋体" w:eastAsia="宋体" w:hAnsi="宋体" w:hint="eastAsia"/>
          <w:kern w:val="2"/>
          <w:sz w:val="21"/>
          <w:szCs w:val="21"/>
          <w:u w:val="single"/>
          <w:lang w:eastAsia="zh-CN"/>
        </w:rPr>
        <w:t xml:space="preserve">                           </w:t>
      </w:r>
    </w:p>
    <w:p>
      <w:pPr>
        <w:widowControl w:val="0"/>
        <w:adjustRightInd w:val="0"/>
        <w:snapToGrid w:val="0"/>
        <w:spacing w:after="160" w:line="400" w:lineRule="exact"/>
        <w:ind w:firstLine="420" w:firstLineChars="200"/>
        <w:jc w:val="both"/>
        <w:rPr>
          <w:rFonts w:eastAsia="宋体"/>
          <w:kern w:val="2"/>
          <w:sz w:val="21"/>
          <w:lang w:eastAsia="zh-CN"/>
        </w:rPr>
      </w:pPr>
      <w:r>
        <w:rPr>
          <w:rFonts w:ascii="宋体" w:eastAsia="宋体" w:hAnsi="宋体" w:hint="eastAsia"/>
          <w:kern w:val="2"/>
          <w:sz w:val="21"/>
          <w:szCs w:val="21"/>
          <w:lang w:eastAsia="zh-CN"/>
        </w:rPr>
        <w:t>附件：具体标的及其技术要求和商务要求、联合协议、分包意向协议等。</w:t>
      </w:r>
    </w:p>
    <w:p>
      <w:pPr>
        <w:widowControl w:val="0"/>
        <w:spacing w:after="160" w:line="259" w:lineRule="auto"/>
        <w:jc w:val="both"/>
        <w:rPr>
          <w:rFonts w:eastAsia="宋体"/>
          <w:kern w:val="2"/>
          <w:sz w:val="21"/>
          <w:lang w:eastAsia="zh-CN"/>
        </w:rPr>
      </w:pPr>
      <w:r>
        <w:rPr>
          <w:rFonts w:eastAsia="宋体" w:hint="eastAsia"/>
          <w:kern w:val="2"/>
          <w:sz w:val="21"/>
          <w:lang w:eastAsia="zh-CN"/>
        </w:rPr>
        <w:br w:type="page"/>
      </w:r>
    </w:p>
    <w:p>
      <w:pPr>
        <w:widowControl w:val="0"/>
        <w:spacing w:after="160" w:line="259" w:lineRule="auto"/>
        <w:ind w:firstLine="420" w:firstLineChars="200"/>
        <w:jc w:val="both"/>
        <w:rPr>
          <w:rFonts w:eastAsia="宋体"/>
          <w:kern w:val="2"/>
          <w:sz w:val="21"/>
          <w:szCs w:val="21"/>
          <w:lang w:eastAsia="zh-CN"/>
        </w:rPr>
      </w:pP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top w:w="0" w:type="dxa"/>
          <w:left w:w="108" w:type="dxa"/>
          <w:bottom w:w="0" w:type="dxa"/>
          <w:right w:w="108" w:type="dxa"/>
        </w:tblCellMar>
      </w:tblPr>
      <w:tblGrid>
        <w:gridCol w:w="1920"/>
        <w:gridCol w:w="2450"/>
        <w:gridCol w:w="2010"/>
        <w:gridCol w:w="2149"/>
      </w:tblGrid>
      <w:tr>
        <w:tblPrEx>
          <w:tblW w:w="5000" w:type="pct"/>
          <w:tblInd w:w="0"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top w:w="0" w:type="dxa"/>
            <w:left w:w="108" w:type="dxa"/>
            <w:bottom w:w="0" w:type="dxa"/>
            <w:right w:w="108" w:type="dxa"/>
          </w:tblCellMar>
        </w:tblPrEx>
        <w:trPr>
          <w:trHeight w:val="490"/>
        </w:trPr>
        <w:tc>
          <w:tcPr>
            <w:tcW w:w="4303" w:type="dxa"/>
            <w:gridSpan w:val="2"/>
            <w:tcBorders>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lang w:eastAsia="zh-CN"/>
              </w:rPr>
            </w:pPr>
            <w:r>
              <w:rPr>
                <w:rFonts w:eastAsia="宋体"/>
                <w:kern w:val="2"/>
                <w:sz w:val="21"/>
                <w:szCs w:val="21"/>
                <w:lang w:eastAsia="zh-CN"/>
              </w:rPr>
              <w:t>甲方</w:t>
            </w:r>
            <w:r>
              <w:rPr>
                <w:rFonts w:eastAsia="宋体" w:hint="eastAsia"/>
                <w:kern w:val="2"/>
                <w:sz w:val="21"/>
                <w:szCs w:val="21"/>
                <w:lang w:eastAsia="zh-CN"/>
              </w:rPr>
              <w:t>（采购人</w:t>
            </w:r>
            <w:r>
              <w:rPr>
                <w:rFonts w:ascii="宋体" w:eastAsia="宋体" w:hAnsi="宋体" w:hint="eastAsia"/>
                <w:kern w:val="2"/>
                <w:sz w:val="21"/>
                <w:szCs w:val="21"/>
                <w:lang w:eastAsia="zh-CN"/>
              </w:rPr>
              <w:t>、受采购人委托签订合同的单位或</w:t>
            </w:r>
            <w:r>
              <w:rPr>
                <w:rFonts w:eastAsia="宋体" w:hint="eastAsia"/>
                <w:kern w:val="2"/>
                <w:sz w:val="21"/>
                <w:szCs w:val="21"/>
                <w:lang w:eastAsia="zh-CN"/>
              </w:rPr>
              <w:t>采购文件约定的合同甲方）</w:t>
            </w:r>
          </w:p>
        </w:tc>
        <w:tc>
          <w:tcPr>
            <w:tcW w:w="4095" w:type="dxa"/>
            <w:gridSpan w:val="2"/>
            <w:tcBorders>
              <w:left w:val="single" w:sz="2" w:space="0" w:color="auto"/>
              <w:bottom w:val="single" w:sz="2" w:space="0" w:color="auto"/>
            </w:tcBorders>
            <w:vAlign w:val="center"/>
          </w:tcPr>
          <w:p>
            <w:pPr>
              <w:widowControl w:val="0"/>
              <w:adjustRightInd w:val="0"/>
              <w:snapToGrid w:val="0"/>
              <w:spacing w:after="160" w:line="300" w:lineRule="exact"/>
              <w:jc w:val="center"/>
              <w:rPr>
                <w:rFonts w:eastAsia="宋体"/>
                <w:kern w:val="2"/>
                <w:sz w:val="21"/>
                <w:lang w:eastAsia="zh-CN"/>
              </w:rPr>
            </w:pPr>
            <w:r>
              <w:rPr>
                <w:rFonts w:eastAsia="宋体"/>
                <w:kern w:val="2"/>
                <w:sz w:val="21"/>
                <w:szCs w:val="21"/>
                <w:lang w:eastAsia="zh-CN"/>
              </w:rPr>
              <w:t>乙方</w:t>
            </w:r>
            <w:r>
              <w:rPr>
                <w:rFonts w:eastAsia="宋体" w:hint="eastAsia"/>
                <w:kern w:val="2"/>
                <w:sz w:val="21"/>
                <w:szCs w:val="21"/>
                <w:lang w:eastAsia="zh-CN"/>
              </w:rPr>
              <w:t>（供应商）</w:t>
            </w:r>
          </w:p>
        </w:tc>
      </w:tr>
      <w:tr>
        <w:tblPrEx>
          <w:tblW w:w="5000" w:type="pct"/>
          <w:tblInd w:w="0" w:type="dxa"/>
          <w:tblLayout w:type="fixed"/>
          <w:tblCellMar>
            <w:top w:w="0" w:type="dxa"/>
            <w:left w:w="108" w:type="dxa"/>
            <w:bottom w:w="0" w:type="dxa"/>
            <w:right w:w="108" w:type="dxa"/>
          </w:tblCellMar>
        </w:tblPrEx>
        <w:trPr>
          <w:trHeight w:val="917"/>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kern w:val="2"/>
                <w:sz w:val="21"/>
                <w:szCs w:val="21"/>
                <w:lang w:eastAsia="zh-CN"/>
              </w:rPr>
              <w:t>单位名称</w:t>
            </w:r>
            <w:r>
              <w:rPr>
                <w:rFonts w:eastAsia="宋体" w:hint="eastAsia"/>
                <w:kern w:val="2"/>
                <w:sz w:val="21"/>
                <w:szCs w:val="21"/>
                <w:lang w:eastAsia="zh-CN"/>
              </w:rPr>
              <w:t>（公章或合同章）</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kern w:val="2"/>
                <w:sz w:val="21"/>
                <w:szCs w:val="21"/>
                <w:lang w:eastAsia="zh-CN"/>
              </w:rPr>
              <w:t>单位名称</w:t>
            </w:r>
            <w:r>
              <w:rPr>
                <w:rFonts w:eastAsia="宋体" w:hint="eastAsia"/>
                <w:kern w:val="2"/>
                <w:sz w:val="21"/>
                <w:szCs w:val="21"/>
                <w:lang w:eastAsia="zh-CN"/>
              </w:rPr>
              <w:t>（公章或合同章）</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after="160"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171"/>
        </w:trPr>
        <w:tc>
          <w:tcPr>
            <w:tcW w:w="1891" w:type="dxa"/>
            <w:vMerge w:val="restart"/>
            <w:tcBorders>
              <w:top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kern w:val="2"/>
                <w:sz w:val="21"/>
                <w:szCs w:val="21"/>
                <w:lang w:eastAsia="zh-CN"/>
              </w:rPr>
              <w:t>法定代表人</w:t>
            </w:r>
          </w:p>
          <w:p>
            <w:pPr>
              <w:widowControl w:val="0"/>
              <w:adjustRightInd w:val="0"/>
              <w:snapToGrid w:val="0"/>
              <w:spacing w:after="160" w:line="300" w:lineRule="exact"/>
              <w:ind w:firstLine="101" w:firstLineChars="48"/>
              <w:jc w:val="center"/>
              <w:rPr>
                <w:rFonts w:eastAsia="宋体"/>
                <w:kern w:val="2"/>
                <w:sz w:val="21"/>
                <w:szCs w:val="21"/>
                <w:lang w:eastAsia="zh-CN"/>
              </w:rPr>
            </w:pPr>
            <w:r>
              <w:rPr>
                <w:rFonts w:eastAsia="宋体" w:hint="eastAsia"/>
                <w:kern w:val="2"/>
                <w:sz w:val="21"/>
                <w:szCs w:val="21"/>
                <w:lang w:eastAsia="zh-CN"/>
              </w:rPr>
              <w:t>或其</w:t>
            </w:r>
            <w:r>
              <w:rPr>
                <w:rFonts w:eastAsia="宋体"/>
                <w:kern w:val="2"/>
                <w:sz w:val="21"/>
                <w:szCs w:val="21"/>
                <w:lang w:eastAsia="zh-CN"/>
              </w:rPr>
              <w:t>委托代理人</w:t>
            </w:r>
            <w:r>
              <w:rPr>
                <w:rFonts w:eastAsia="宋体" w:hint="eastAsia"/>
                <w:kern w:val="2"/>
                <w:sz w:val="21"/>
                <w:szCs w:val="21"/>
                <w:lang w:eastAsia="zh-CN"/>
              </w:rPr>
              <w:t>（签章）</w:t>
            </w:r>
          </w:p>
        </w:tc>
        <w:tc>
          <w:tcPr>
            <w:tcW w:w="2412" w:type="dxa"/>
            <w:vMerge w:val="restart"/>
            <w:tcBorders>
              <w:top w:val="single" w:sz="2" w:space="0" w:color="auto"/>
              <w:left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p>
        </w:tc>
        <w:tc>
          <w:tcPr>
            <w:tcW w:w="1979" w:type="dxa"/>
            <w:tcBorders>
              <w:top w:val="single" w:sz="2" w:space="0" w:color="auto"/>
              <w:left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kern w:val="2"/>
                <w:sz w:val="21"/>
                <w:szCs w:val="21"/>
                <w:lang w:eastAsia="zh-CN"/>
              </w:rPr>
              <w:t>法定代表人</w:t>
            </w:r>
          </w:p>
          <w:p>
            <w:pPr>
              <w:widowControl w:val="0"/>
              <w:adjustRightInd w:val="0"/>
              <w:snapToGrid w:val="0"/>
              <w:spacing w:after="160" w:line="300" w:lineRule="exact"/>
              <w:jc w:val="center"/>
              <w:rPr>
                <w:rFonts w:eastAsia="宋体"/>
                <w:kern w:val="2"/>
                <w:sz w:val="21"/>
                <w:szCs w:val="21"/>
                <w:lang w:eastAsia="zh-CN"/>
              </w:rPr>
            </w:pPr>
            <w:r>
              <w:rPr>
                <w:rFonts w:eastAsia="宋体" w:hint="eastAsia"/>
                <w:kern w:val="2"/>
                <w:sz w:val="21"/>
                <w:szCs w:val="21"/>
                <w:lang w:eastAsia="zh-CN"/>
              </w:rPr>
              <w:t>或其</w:t>
            </w:r>
            <w:r>
              <w:rPr>
                <w:rFonts w:eastAsia="宋体"/>
                <w:kern w:val="2"/>
                <w:sz w:val="21"/>
                <w:szCs w:val="21"/>
                <w:lang w:eastAsia="zh-CN"/>
              </w:rPr>
              <w:t>委托代理人</w:t>
            </w:r>
            <w:r>
              <w:rPr>
                <w:rFonts w:eastAsia="宋体" w:hint="eastAsia"/>
                <w:kern w:val="2"/>
                <w:sz w:val="21"/>
                <w:szCs w:val="21"/>
                <w:lang w:eastAsia="zh-CN"/>
              </w:rPr>
              <w:t>（签章）</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vMerge/>
            <w:tcBorders>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p>
        </w:tc>
        <w:tc>
          <w:tcPr>
            <w:tcW w:w="2412" w:type="dxa"/>
            <w:vMerge/>
            <w:tcBorders>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hint="eastAsia"/>
                <w:kern w:val="2"/>
                <w:sz w:val="21"/>
                <w:szCs w:val="21"/>
                <w:lang w:eastAsia="zh-CN"/>
              </w:rPr>
              <w:t>拥有者性别</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after="160"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hint="eastAsia"/>
                <w:kern w:val="2"/>
                <w:sz w:val="21"/>
                <w:szCs w:val="21"/>
                <w:lang w:eastAsia="zh-CN"/>
              </w:rPr>
              <w:t>住  所</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hint="eastAsia"/>
                <w:kern w:val="2"/>
                <w:sz w:val="21"/>
                <w:szCs w:val="21"/>
                <w:lang w:eastAsia="zh-CN"/>
              </w:rPr>
              <w:t>住  所</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after="160"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kern w:val="2"/>
                <w:sz w:val="21"/>
                <w:szCs w:val="21"/>
                <w:lang w:eastAsia="zh-CN"/>
              </w:rPr>
              <w:t>联 系 人</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kern w:val="2"/>
                <w:sz w:val="21"/>
                <w:szCs w:val="21"/>
                <w:lang w:eastAsia="zh-CN"/>
              </w:rPr>
              <w:t>联 系 人</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after="160"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kern w:val="2"/>
                <w:sz w:val="21"/>
                <w:szCs w:val="21"/>
                <w:lang w:eastAsia="zh-CN"/>
              </w:rPr>
              <w:t>联系电话</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kern w:val="2"/>
                <w:sz w:val="21"/>
                <w:szCs w:val="21"/>
                <w:lang w:eastAsia="zh-CN"/>
              </w:rPr>
              <w:t>联系电话</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after="160"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hint="eastAsia"/>
                <w:kern w:val="2"/>
                <w:sz w:val="21"/>
                <w:szCs w:val="21"/>
                <w:lang w:eastAsia="zh-CN"/>
              </w:rPr>
              <w:t>通信地址</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hint="eastAsia"/>
                <w:kern w:val="2"/>
                <w:sz w:val="21"/>
                <w:szCs w:val="21"/>
                <w:lang w:eastAsia="zh-CN"/>
              </w:rPr>
              <w:t>通信地址</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after="160"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kern w:val="2"/>
                <w:sz w:val="21"/>
                <w:szCs w:val="21"/>
                <w:lang w:eastAsia="zh-CN"/>
              </w:rPr>
              <w:t>邮政编码</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kern w:val="2"/>
                <w:sz w:val="21"/>
                <w:szCs w:val="21"/>
                <w:lang w:eastAsia="zh-CN"/>
              </w:rPr>
              <w:t>邮政编码</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after="160"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hint="eastAsia"/>
                <w:kern w:val="2"/>
                <w:sz w:val="21"/>
                <w:szCs w:val="21"/>
                <w:lang w:eastAsia="zh-CN"/>
              </w:rPr>
              <w:t>电子邮箱</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hint="eastAsia"/>
                <w:kern w:val="2"/>
                <w:sz w:val="21"/>
                <w:szCs w:val="21"/>
                <w:lang w:eastAsia="zh-CN"/>
              </w:rPr>
              <w:t>电子邮箱</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after="160"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hint="eastAsia"/>
                <w:kern w:val="2"/>
                <w:sz w:val="21"/>
                <w:szCs w:val="21"/>
                <w:lang w:eastAsia="zh-CN"/>
              </w:rPr>
              <w:t>统一社会信用代码</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hint="eastAsia"/>
                <w:kern w:val="2"/>
                <w:sz w:val="21"/>
                <w:szCs w:val="21"/>
                <w:lang w:eastAsia="zh-CN"/>
              </w:rPr>
              <w:t>统一社会信用代码</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after="160"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kern w:val="2"/>
                <w:sz w:val="21"/>
                <w:szCs w:val="21"/>
                <w:lang w:eastAsia="zh-CN"/>
              </w:rPr>
              <w:t>开户名称</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after="160"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kern w:val="2"/>
                <w:sz w:val="21"/>
                <w:szCs w:val="21"/>
                <w:lang w:eastAsia="zh-CN"/>
              </w:rPr>
              <w:t>开户银行</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after="160"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after="160" w:line="300" w:lineRule="exact"/>
              <w:jc w:val="center"/>
              <w:rPr>
                <w:rFonts w:eastAsia="宋体"/>
                <w:kern w:val="2"/>
                <w:sz w:val="21"/>
                <w:szCs w:val="21"/>
                <w:lang w:eastAsia="zh-CN"/>
              </w:rPr>
            </w:pPr>
            <w:r>
              <w:rPr>
                <w:rFonts w:eastAsia="宋体"/>
                <w:kern w:val="2"/>
                <w:sz w:val="21"/>
                <w:szCs w:val="21"/>
                <w:lang w:eastAsia="zh-CN"/>
              </w:rPr>
              <w:t>银行账号</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after="160"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586"/>
        </w:trPr>
        <w:tc>
          <w:tcPr>
            <w:tcW w:w="8398" w:type="dxa"/>
            <w:gridSpan w:val="4"/>
            <w:tcBorders>
              <w:top w:val="single" w:sz="2" w:space="0" w:color="auto"/>
            </w:tcBorders>
            <w:vAlign w:val="center"/>
          </w:tcPr>
          <w:p>
            <w:pPr>
              <w:widowControl w:val="0"/>
              <w:adjustRightInd w:val="0"/>
              <w:snapToGrid w:val="0"/>
              <w:spacing w:before="120" w:beforeLines="50" w:after="160" w:line="360" w:lineRule="auto"/>
              <w:jc w:val="left"/>
              <w:rPr>
                <w:rFonts w:eastAsia="宋体"/>
                <w:spacing w:val="20"/>
                <w:kern w:val="2"/>
                <w:sz w:val="21"/>
                <w:szCs w:val="21"/>
                <w:lang w:eastAsia="zh-CN"/>
              </w:rPr>
            </w:pPr>
            <w:r>
              <w:rPr>
                <w:rFonts w:ascii="宋体" w:eastAsia="宋体" w:hAnsi="宋体" w:hint="eastAsia"/>
                <w:kern w:val="2"/>
                <w:sz w:val="21"/>
                <w:szCs w:val="21"/>
                <w:lang w:eastAsia="zh-CN"/>
              </w:rPr>
              <w:t>注：涉及联合体或其他合同主体的信息应按上表格式加列。</w:t>
            </w:r>
          </w:p>
        </w:tc>
      </w:tr>
    </w:tbl>
    <w:p>
      <w:pPr>
        <w:keepNext/>
        <w:keepLines/>
        <w:widowControl w:val="0"/>
        <w:adjustRightInd w:val="0"/>
        <w:snapToGrid w:val="0"/>
        <w:spacing w:before="120" w:beforeLines="50" w:after="160" w:line="360" w:lineRule="auto"/>
        <w:jc w:val="center"/>
        <w:outlineLvl w:val="1"/>
        <w:rPr>
          <w:rFonts w:ascii="黑体" w:eastAsia="黑体" w:hAnsi="黑体"/>
          <w:b/>
          <w:bCs/>
          <w:kern w:val="2"/>
          <w:sz w:val="28"/>
          <w:szCs w:val="28"/>
          <w:lang w:eastAsia="zh-CN"/>
        </w:rPr>
      </w:pPr>
      <w:r>
        <w:rPr>
          <w:rFonts w:ascii="宋体" w:eastAsia="宋体" w:hAnsi="宋体"/>
          <w:b/>
          <w:bCs/>
          <w:kern w:val="2"/>
          <w:sz w:val="21"/>
          <w:szCs w:val="21"/>
          <w:u w:val="single"/>
          <w:lang w:eastAsia="zh-CN"/>
        </w:rPr>
        <w:br w:type="page"/>
      </w:r>
      <w:bookmarkStart w:id="65" w:name="_Toc27624"/>
      <w:r>
        <w:rPr>
          <w:rFonts w:ascii="黑体" w:eastAsia="黑体" w:hAnsi="黑体" w:hint="eastAsia"/>
          <w:kern w:val="2"/>
          <w:sz w:val="28"/>
          <w:szCs w:val="28"/>
          <w:lang w:eastAsia="zh-CN"/>
        </w:rPr>
        <w:t>第二节 采购合同通用条款</w:t>
      </w:r>
      <w:bookmarkEnd w:id="65"/>
    </w:p>
    <w:p>
      <w:pPr>
        <w:widowControl w:val="0"/>
        <w:tabs>
          <w:tab w:val="left" w:pos="8820"/>
          <w:tab w:val="left" w:pos="9345"/>
          <w:tab w:val="left" w:pos="9765"/>
        </w:tabs>
        <w:adjustRightInd w:val="0"/>
        <w:snapToGrid w:val="0"/>
        <w:spacing w:after="160" w:line="400" w:lineRule="exact"/>
        <w:jc w:val="left"/>
        <w:rPr>
          <w:rFonts w:ascii="宋体" w:eastAsia="宋体" w:hAnsi="宋体"/>
          <w:b/>
          <w:bCs/>
          <w:kern w:val="2"/>
          <w:lang w:eastAsia="zh-CN"/>
        </w:rPr>
      </w:pPr>
      <w:r>
        <w:rPr>
          <w:rFonts w:ascii="宋体" w:eastAsia="宋体" w:hAnsi="宋体" w:hint="eastAsia"/>
          <w:b/>
          <w:kern w:val="2"/>
          <w:lang w:eastAsia="zh-CN"/>
        </w:rPr>
        <w:t xml:space="preserve">1. </w:t>
      </w:r>
      <w:r>
        <w:rPr>
          <w:rFonts w:ascii="宋体" w:eastAsia="宋体" w:hAnsi="宋体" w:hint="eastAsia"/>
          <w:b/>
          <w:bCs/>
          <w:kern w:val="2"/>
          <w:lang w:eastAsia="zh-CN"/>
        </w:rPr>
        <w:t>定义</w:t>
      </w:r>
    </w:p>
    <w:p>
      <w:pPr>
        <w:widowControl w:val="0"/>
        <w:autoSpaceDE w:val="0"/>
        <w:autoSpaceDN w:val="0"/>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1.1合同当事人</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（1）采购人（以下称甲方）是指使用财政性资金，通过采购方式向供应商购买货物及其相关服务的国家机关、事业单位、团体组织。</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（2）供应商（以下称乙方）是指参加采购活动并且中标（成交），向采购人提供合同约定的货物及其相关服务的法人、非法人组织或者自然人。</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（3）其他合同主体是指除采购人和供应商以外，</w:t>
      </w:r>
      <w:r>
        <w:rPr>
          <w:rFonts w:ascii="宋体" w:eastAsia="宋体" w:hAnsi="宋体" w:cs="宋体" w:hint="eastAsia"/>
          <w:bCs/>
          <w:color w:val="000000"/>
          <w:kern w:val="2"/>
          <w:sz w:val="21"/>
          <w:szCs w:val="21"/>
          <w:lang w:eastAsia="zh-CN"/>
        </w:rPr>
        <w:t>依法参与合同缔结或履行，享有权利、承担义务的合同当事人</w:t>
      </w:r>
      <w:r>
        <w:rPr>
          <w:rFonts w:ascii="宋体" w:eastAsia="宋体" w:hAnsi="宋体" w:hint="eastAsia"/>
          <w:kern w:val="2"/>
          <w:sz w:val="21"/>
          <w:szCs w:val="21"/>
          <w:lang w:eastAsia="zh-CN"/>
        </w:rPr>
        <w:t>。</w:t>
      </w:r>
    </w:p>
    <w:p>
      <w:pPr>
        <w:widowControl w:val="0"/>
        <w:tabs>
          <w:tab w:val="left" w:pos="570"/>
          <w:tab w:val="left" w:pos="9240"/>
          <w:tab w:val="left" w:pos="9555"/>
        </w:tabs>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1.2本合同下列术语应解释为：</w:t>
      </w:r>
    </w:p>
    <w:p>
      <w:pPr>
        <w:widowControl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（1）“合同”系指</w:t>
      </w:r>
      <w:r>
        <w:rPr>
          <w:rFonts w:ascii="宋体" w:eastAsia="宋体" w:hAnsi="宋体" w:cs="宋体" w:hint="eastAsia"/>
          <w:bCs/>
          <w:color w:val="000000"/>
          <w:kern w:val="2"/>
          <w:sz w:val="21"/>
          <w:szCs w:val="21"/>
          <w:lang w:eastAsia="zh-CN"/>
        </w:rPr>
        <w:t>合同当事人意思表示达成一致的任何协议，包括签署的</w:t>
      </w:r>
      <w:r>
        <w:rPr>
          <w:rFonts w:ascii="宋体" w:eastAsia="宋体" w:hAnsi="宋体" w:hint="eastAsia"/>
          <w:kern w:val="2"/>
          <w:sz w:val="21"/>
          <w:szCs w:val="21"/>
          <w:lang w:eastAsia="zh-CN"/>
        </w:rPr>
        <w:t>采购合同协议书及其变更、补充协议，采购合同专用条款，采购合同通用条款，中标（成交）通知书，投标（响应）文件，采购文件，有关技术文件和图纸，以及</w:t>
      </w:r>
      <w:r>
        <w:rPr>
          <w:rFonts w:ascii="宋体" w:eastAsia="宋体" w:hAnsi="宋体" w:cs="宋体" w:hint="eastAsia"/>
          <w:color w:val="000000"/>
          <w:kern w:val="2"/>
          <w:sz w:val="21"/>
          <w:szCs w:val="21"/>
          <w:lang w:eastAsia="zh-CN"/>
        </w:rPr>
        <w:t>国家法律、行政法规和规章制度规定或合同约定的作为合同组成部分的其他文件</w:t>
      </w:r>
      <w:r>
        <w:rPr>
          <w:rFonts w:ascii="宋体" w:eastAsia="宋体" w:hAnsi="宋体" w:hint="eastAsia"/>
          <w:kern w:val="2"/>
          <w:sz w:val="21"/>
          <w:szCs w:val="21"/>
          <w:lang w:eastAsia="zh-CN"/>
        </w:rPr>
        <w:t>。</w:t>
      </w:r>
    </w:p>
    <w:p>
      <w:pPr>
        <w:widowControl w:val="0"/>
        <w:tabs>
          <w:tab w:val="left" w:pos="570"/>
          <w:tab w:val="left" w:pos="9240"/>
          <w:tab w:val="left" w:pos="9555"/>
        </w:tabs>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（2）“合同价款”系指根据本合同规定乙方在全面履行合同义务后甲方应支付给乙方的价款。</w:t>
      </w:r>
    </w:p>
    <w:p>
      <w:pPr>
        <w:widowControl w:val="0"/>
        <w:tabs>
          <w:tab w:val="left" w:pos="570"/>
          <w:tab w:val="left" w:pos="9240"/>
          <w:tab w:val="left" w:pos="9555"/>
        </w:tabs>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kern w:val="2"/>
          <w:sz w:val="21"/>
          <w:szCs w:val="21"/>
          <w:lang w:eastAsia="zh-CN"/>
        </w:rPr>
        <w:t>（3）“货物”系指乙方根据本合同规定须向甲方提供的各种形态和种类的物品，包括原材料、设备、产品（</w:t>
      </w:r>
      <w:r>
        <w:rPr>
          <w:rFonts w:ascii="宋体" w:eastAsia="宋体" w:hAnsi="宋体" w:hint="eastAsia"/>
          <w:color w:val="000000"/>
          <w:kern w:val="2"/>
          <w:sz w:val="21"/>
          <w:szCs w:val="21"/>
          <w:lang w:eastAsia="zh-CN"/>
        </w:rPr>
        <w:t>包括软件）及相关的其备品备件、工具、手册及</w:t>
      </w:r>
      <w:r>
        <w:rPr>
          <w:rFonts w:ascii="宋体" w:eastAsia="宋体" w:hAnsi="宋体"/>
          <w:color w:val="000000"/>
          <w:kern w:val="2"/>
          <w:sz w:val="21"/>
          <w:szCs w:val="21"/>
          <w:lang w:val="en" w:eastAsia="zh-CN"/>
        </w:rPr>
        <w:t>其他</w:t>
      </w:r>
      <w:r>
        <w:rPr>
          <w:rFonts w:ascii="宋体" w:eastAsia="宋体" w:hAnsi="宋体" w:hint="eastAsia"/>
          <w:color w:val="000000"/>
          <w:kern w:val="2"/>
          <w:sz w:val="21"/>
          <w:szCs w:val="21"/>
          <w:lang w:eastAsia="zh-CN"/>
        </w:rPr>
        <w:t>技术资料和材料等。</w:t>
      </w:r>
    </w:p>
    <w:p>
      <w:pPr>
        <w:widowControl w:val="0"/>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（4）“</w:t>
      </w:r>
      <w:r>
        <w:rPr>
          <w:rFonts w:ascii="宋体" w:eastAsia="宋体" w:hAnsi="宋体" w:hint="eastAsia"/>
          <w:kern w:val="2"/>
          <w:sz w:val="21"/>
          <w:szCs w:val="21"/>
          <w:lang w:eastAsia="zh-CN"/>
        </w:rPr>
        <w:t>相关</w:t>
      </w:r>
      <w:r>
        <w:rPr>
          <w:rFonts w:ascii="宋体" w:eastAsia="宋体" w:hAnsi="宋体" w:hint="eastAsia"/>
          <w:color w:val="000000"/>
          <w:kern w:val="2"/>
          <w:sz w:val="21"/>
          <w:szCs w:val="21"/>
          <w:lang w:eastAsia="zh-CN"/>
        </w:rPr>
        <w:t>服务”系指根据合同规定，乙方应提供的与货物有关的技术、管理和</w:t>
      </w:r>
      <w:r>
        <w:rPr>
          <w:rFonts w:ascii="宋体" w:eastAsia="宋体" w:hAnsi="宋体"/>
          <w:color w:val="000000"/>
          <w:kern w:val="2"/>
          <w:sz w:val="21"/>
          <w:szCs w:val="21"/>
          <w:lang w:val="en" w:eastAsia="zh-CN"/>
        </w:rPr>
        <w:t>其他</w:t>
      </w:r>
      <w:r>
        <w:rPr>
          <w:rFonts w:ascii="宋体" w:eastAsia="宋体" w:hAnsi="宋体" w:hint="eastAsia"/>
          <w:color w:val="000000"/>
          <w:kern w:val="2"/>
          <w:sz w:val="21"/>
          <w:szCs w:val="21"/>
          <w:lang w:eastAsia="zh-CN"/>
        </w:rPr>
        <w:t>服务，包括但不限于：管理和质量保证、运输、保险、检验、现场准备、安装、集成、调试、培训、维修、废弃处置、技术支持等以及合同中规定乙方应承担的</w:t>
      </w:r>
      <w:r>
        <w:rPr>
          <w:rFonts w:ascii="宋体" w:eastAsia="宋体" w:hAnsi="宋体"/>
          <w:color w:val="000000"/>
          <w:kern w:val="2"/>
          <w:sz w:val="21"/>
          <w:szCs w:val="21"/>
          <w:lang w:val="en" w:eastAsia="zh-CN"/>
        </w:rPr>
        <w:t>其他</w:t>
      </w:r>
      <w:r>
        <w:rPr>
          <w:rFonts w:ascii="宋体" w:eastAsia="宋体" w:hAnsi="宋体" w:hint="eastAsia"/>
          <w:color w:val="000000"/>
          <w:kern w:val="2"/>
          <w:sz w:val="21"/>
          <w:szCs w:val="21"/>
          <w:lang w:eastAsia="zh-CN"/>
        </w:rPr>
        <w:t>义务。</w:t>
      </w:r>
    </w:p>
    <w:p>
      <w:pPr>
        <w:widowControl w:val="0"/>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（5）“分包”系指中标（成交）供应商按采购文件、投标（响应）文件的规定，根据分包意向协议，将中标（成交）项目中的部分履约内容，分给具有相应资质条件的供应商履行合同的行为。</w:t>
      </w:r>
    </w:p>
    <w:p>
      <w:pPr>
        <w:widowControl w:val="0"/>
        <w:tabs>
          <w:tab w:val="left" w:pos="570"/>
          <w:tab w:val="left" w:pos="9240"/>
          <w:tab w:val="left" w:pos="9555"/>
        </w:tabs>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（6）</w:t>
      </w:r>
      <w:r>
        <w:rPr>
          <w:rFonts w:ascii="宋体" w:eastAsia="宋体" w:hAnsi="宋体" w:hint="eastAsia"/>
          <w:kern w:val="2"/>
          <w:sz w:val="21"/>
          <w:szCs w:val="21"/>
          <w:lang w:eastAsia="zh-CN"/>
        </w:rPr>
        <w:t>“联合体”系指由两个以上的自然人、法人或者非法人组织组成，以一个供应商的身份共同参加采购的主体</w:t>
      </w:r>
      <w:r>
        <w:rPr>
          <w:rFonts w:ascii="宋体" w:eastAsia="宋体" w:hAnsi="宋体" w:hint="eastAsia"/>
          <w:color w:val="000000"/>
          <w:kern w:val="2"/>
          <w:sz w:val="21"/>
          <w:szCs w:val="21"/>
          <w:lang w:eastAsia="zh-CN"/>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宋体" w:eastAsia="宋体" w:hAnsi="宋体" w:hint="eastAsia"/>
          <w:b/>
          <w:bCs/>
          <w:color w:val="000000"/>
          <w:kern w:val="2"/>
          <w:sz w:val="21"/>
          <w:szCs w:val="21"/>
          <w:lang w:eastAsia="zh-CN"/>
        </w:rPr>
        <w:t>采购合同专用条款</w:t>
      </w:r>
      <w:r>
        <w:rPr>
          <w:rFonts w:ascii="宋体" w:eastAsia="宋体" w:hAnsi="宋体" w:hint="eastAsia"/>
          <w:color w:val="000000"/>
          <w:kern w:val="2"/>
          <w:sz w:val="21"/>
          <w:szCs w:val="21"/>
          <w:lang w:eastAsia="zh-CN"/>
        </w:rPr>
        <w:t>】。</w:t>
      </w:r>
    </w:p>
    <w:p>
      <w:pPr>
        <w:widowControl w:val="0"/>
        <w:tabs>
          <w:tab w:val="left" w:pos="570"/>
          <w:tab w:val="left" w:pos="9240"/>
          <w:tab w:val="left" w:pos="9555"/>
        </w:tabs>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（7）其他术语解释，见【</w:t>
      </w:r>
      <w:r>
        <w:rPr>
          <w:rFonts w:ascii="宋体" w:eastAsia="宋体" w:hAnsi="宋体" w:hint="eastAsia"/>
          <w:b/>
          <w:bCs/>
          <w:color w:val="000000"/>
          <w:kern w:val="2"/>
          <w:sz w:val="21"/>
          <w:szCs w:val="21"/>
          <w:lang w:eastAsia="zh-CN"/>
        </w:rPr>
        <w:t>采购合同专用条款</w:t>
      </w:r>
      <w:r>
        <w:rPr>
          <w:rFonts w:ascii="宋体" w:eastAsia="宋体" w:hAnsi="宋体" w:hint="eastAsia"/>
          <w:color w:val="000000"/>
          <w:kern w:val="2"/>
          <w:sz w:val="21"/>
          <w:szCs w:val="21"/>
          <w:lang w:eastAsia="zh-CN"/>
        </w:rPr>
        <w:t>】。</w:t>
      </w:r>
    </w:p>
    <w:p>
      <w:pPr>
        <w:widowControl w:val="0"/>
        <w:numPr>
          <w:ilvl w:val="0"/>
          <w:numId w:val="6"/>
        </w:numPr>
        <w:autoSpaceDE w:val="0"/>
        <w:autoSpaceDN w:val="0"/>
        <w:adjustRightInd w:val="0"/>
        <w:snapToGrid w:val="0"/>
        <w:spacing w:after="160" w:line="400" w:lineRule="exact"/>
        <w:jc w:val="left"/>
        <w:rPr>
          <w:rFonts w:ascii="宋体" w:eastAsia="宋体" w:hAnsi="宋体"/>
          <w:b/>
          <w:bCs/>
          <w:color w:val="000000"/>
          <w:kern w:val="2"/>
          <w:lang w:eastAsia="zh-CN"/>
        </w:rPr>
      </w:pPr>
      <w:r>
        <w:rPr>
          <w:rFonts w:ascii="宋体" w:eastAsia="宋体" w:hAnsi="宋体" w:hint="eastAsia"/>
          <w:b/>
          <w:color w:val="000000"/>
          <w:kern w:val="2"/>
          <w:lang w:eastAsia="zh-CN"/>
        </w:rPr>
        <w:t>合同标的及金额</w:t>
      </w:r>
    </w:p>
    <w:p>
      <w:pPr>
        <w:widowControl w:val="0"/>
        <w:autoSpaceDE w:val="0"/>
        <w:autoSpaceDN w:val="0"/>
        <w:adjustRightInd w:val="0"/>
        <w:snapToGrid w:val="0"/>
        <w:spacing w:after="160" w:line="400" w:lineRule="exact"/>
        <w:ind w:firstLine="420" w:firstLineChars="200"/>
        <w:jc w:val="left"/>
        <w:rPr>
          <w:rFonts w:ascii="宋体" w:eastAsia="宋体" w:hAnsi="宋体"/>
          <w:b/>
          <w:bCs/>
          <w:i/>
          <w:iCs/>
          <w:color w:val="000000"/>
          <w:kern w:val="2"/>
          <w:sz w:val="21"/>
          <w:szCs w:val="21"/>
          <w:lang w:eastAsia="zh-CN"/>
        </w:rPr>
      </w:pPr>
      <w:r>
        <w:rPr>
          <w:rFonts w:ascii="宋体" w:eastAsia="宋体" w:hAnsi="宋体" w:hint="eastAsia"/>
          <w:color w:val="000000"/>
          <w:kern w:val="2"/>
          <w:sz w:val="21"/>
          <w:szCs w:val="21"/>
          <w:lang w:eastAsia="zh-CN"/>
        </w:rPr>
        <w:t>2.1 合同标的及金额应与中标（成交）结果一致。乙方为履行本合同而发生的所有费用均应包含在合同价款中，甲方不再另行支付</w:t>
      </w:r>
      <w:r>
        <w:rPr>
          <w:rFonts w:ascii="宋体" w:eastAsia="宋体" w:hAnsi="宋体"/>
          <w:color w:val="000000"/>
          <w:kern w:val="2"/>
          <w:sz w:val="21"/>
          <w:szCs w:val="21"/>
          <w:lang w:val="en" w:eastAsia="zh-CN"/>
        </w:rPr>
        <w:t>其他</w:t>
      </w:r>
      <w:r>
        <w:rPr>
          <w:rFonts w:ascii="宋体" w:eastAsia="宋体" w:hAnsi="宋体" w:hint="eastAsia"/>
          <w:color w:val="000000"/>
          <w:kern w:val="2"/>
          <w:sz w:val="21"/>
          <w:szCs w:val="21"/>
          <w:lang w:eastAsia="zh-CN"/>
        </w:rPr>
        <w:t>任何费用。</w:t>
      </w:r>
    </w:p>
    <w:p>
      <w:pPr>
        <w:widowControl w:val="0"/>
        <w:adjustRightInd w:val="0"/>
        <w:snapToGrid w:val="0"/>
        <w:spacing w:after="160" w:line="400" w:lineRule="exact"/>
        <w:jc w:val="left"/>
        <w:rPr>
          <w:rFonts w:ascii="宋体" w:eastAsia="宋体" w:hAnsi="宋体"/>
          <w:b/>
          <w:color w:val="000000"/>
          <w:kern w:val="2"/>
          <w:lang w:eastAsia="zh-CN"/>
        </w:rPr>
      </w:pPr>
      <w:r>
        <w:rPr>
          <w:rFonts w:ascii="宋体" w:eastAsia="宋体" w:hAnsi="宋体" w:hint="eastAsia"/>
          <w:b/>
          <w:color w:val="000000"/>
          <w:kern w:val="2"/>
          <w:lang w:eastAsia="zh-CN"/>
        </w:rPr>
        <w:t>3. 履行合同的时间、地点和方式</w:t>
      </w:r>
    </w:p>
    <w:p>
      <w:pPr>
        <w:widowControl w:val="0"/>
        <w:autoSpaceDE w:val="0"/>
        <w:autoSpaceDN w:val="0"/>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 xml:space="preserve">3.1 </w:t>
      </w:r>
      <w:r>
        <w:rPr>
          <w:rFonts w:ascii="宋体" w:eastAsia="宋体" w:hAnsi="宋体" w:cs="宋体" w:hint="eastAsia"/>
          <w:kern w:val="2"/>
          <w:sz w:val="21"/>
          <w:szCs w:val="21"/>
          <w:lang w:eastAsia="zh-CN"/>
        </w:rPr>
        <w:t>乙方应当在约定的时间、地点，按照约定方式履行合同。</w:t>
      </w:r>
    </w:p>
    <w:p>
      <w:pPr>
        <w:widowControl w:val="0"/>
        <w:autoSpaceDE w:val="0"/>
        <w:autoSpaceDN w:val="0"/>
        <w:adjustRightInd w:val="0"/>
        <w:snapToGrid w:val="0"/>
        <w:spacing w:after="160" w:line="400" w:lineRule="exact"/>
        <w:jc w:val="left"/>
        <w:rPr>
          <w:rFonts w:ascii="宋体" w:eastAsia="宋体" w:hAnsi="宋体"/>
          <w:b/>
          <w:bCs/>
          <w:color w:val="000000"/>
          <w:kern w:val="2"/>
          <w:lang w:eastAsia="zh-CN"/>
        </w:rPr>
      </w:pPr>
      <w:r>
        <w:rPr>
          <w:rFonts w:ascii="宋体" w:eastAsia="宋体" w:hAnsi="宋体" w:hint="eastAsia"/>
          <w:b/>
          <w:bCs/>
          <w:color w:val="000000"/>
          <w:kern w:val="2"/>
          <w:lang w:eastAsia="zh-CN"/>
        </w:rPr>
        <w:t>4. 甲方的权利和义务</w:t>
      </w:r>
    </w:p>
    <w:p>
      <w:pPr>
        <w:widowControl w:val="0"/>
        <w:autoSpaceDE w:val="0"/>
        <w:autoSpaceDN w:val="0"/>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4.1</w:t>
      </w:r>
      <w:r>
        <w:rPr>
          <w:rFonts w:ascii="宋体" w:eastAsia="宋体" w:hAnsi="宋体"/>
          <w:color w:val="000000"/>
          <w:kern w:val="2"/>
          <w:sz w:val="21"/>
          <w:szCs w:val="21"/>
          <w:lang w:eastAsia="zh-CN"/>
        </w:rPr>
        <w:t xml:space="preserve"> 签署合同后，甲方</w:t>
      </w:r>
      <w:r>
        <w:rPr>
          <w:rFonts w:ascii="宋体" w:eastAsia="宋体" w:hAnsi="宋体" w:hint="eastAsia"/>
          <w:color w:val="000000"/>
          <w:kern w:val="2"/>
          <w:sz w:val="21"/>
          <w:szCs w:val="21"/>
          <w:lang w:eastAsia="zh-CN"/>
        </w:rPr>
        <w:t>应</w:t>
      </w:r>
      <w:r>
        <w:rPr>
          <w:rFonts w:ascii="宋体" w:eastAsia="宋体" w:hAnsi="宋体"/>
          <w:color w:val="000000"/>
          <w:kern w:val="2"/>
          <w:sz w:val="21"/>
          <w:szCs w:val="21"/>
          <w:lang w:eastAsia="zh-CN"/>
        </w:rPr>
        <w:t>确定</w:t>
      </w:r>
      <w:r>
        <w:rPr>
          <w:rFonts w:ascii="宋体" w:eastAsia="宋体" w:hAnsi="宋体" w:hint="eastAsia"/>
          <w:color w:val="000000"/>
          <w:kern w:val="2"/>
          <w:sz w:val="21"/>
          <w:szCs w:val="21"/>
          <w:lang w:eastAsia="zh-CN"/>
        </w:rPr>
        <w:t>项目负责人（或项目联系人）</w:t>
      </w:r>
      <w:r>
        <w:rPr>
          <w:rFonts w:ascii="宋体" w:eastAsia="宋体" w:hAnsi="宋体"/>
          <w:color w:val="000000"/>
          <w:kern w:val="2"/>
          <w:sz w:val="21"/>
          <w:szCs w:val="21"/>
          <w:lang w:eastAsia="zh-CN"/>
        </w:rPr>
        <w:t>，负责与本合同有关的事务。</w:t>
      </w:r>
      <w:r>
        <w:rPr>
          <w:rFonts w:ascii="宋体" w:eastAsia="宋体" w:hAnsi="宋体" w:hint="eastAsia"/>
          <w:color w:val="000000"/>
          <w:kern w:val="2"/>
          <w:sz w:val="21"/>
          <w:szCs w:val="21"/>
          <w:lang w:eastAsia="zh-CN"/>
        </w:rPr>
        <w:t>甲方有权对乙方的履约行为进行检查，并</w:t>
      </w:r>
      <w:r>
        <w:rPr>
          <w:rFonts w:ascii="宋体" w:eastAsia="宋体" w:hAnsi="宋体"/>
          <w:color w:val="000000"/>
          <w:kern w:val="2"/>
          <w:sz w:val="21"/>
          <w:szCs w:val="21"/>
          <w:lang w:eastAsia="zh-CN"/>
        </w:rPr>
        <w:t>及时确认乙方提交的事项</w:t>
      </w:r>
      <w:r>
        <w:rPr>
          <w:rFonts w:ascii="宋体" w:eastAsia="宋体" w:hAnsi="宋体" w:hint="eastAsia"/>
          <w:color w:val="000000"/>
          <w:kern w:val="2"/>
          <w:sz w:val="21"/>
          <w:szCs w:val="21"/>
          <w:lang w:eastAsia="zh-CN"/>
        </w:rPr>
        <w:t>。甲方应当</w:t>
      </w:r>
      <w:r>
        <w:rPr>
          <w:rFonts w:ascii="宋体" w:eastAsia="宋体" w:hAnsi="宋体"/>
          <w:color w:val="000000"/>
          <w:kern w:val="2"/>
          <w:sz w:val="21"/>
          <w:szCs w:val="21"/>
          <w:lang w:eastAsia="zh-CN"/>
        </w:rPr>
        <w:t>配合乙方完成</w:t>
      </w:r>
      <w:r>
        <w:rPr>
          <w:rFonts w:ascii="宋体" w:eastAsia="宋体" w:hAnsi="宋体" w:hint="eastAsia"/>
          <w:color w:val="000000"/>
          <w:kern w:val="2"/>
          <w:sz w:val="21"/>
          <w:szCs w:val="21"/>
          <w:lang w:eastAsia="zh-CN"/>
        </w:rPr>
        <w:t>相关项目</w:t>
      </w:r>
      <w:r>
        <w:rPr>
          <w:rFonts w:ascii="宋体" w:eastAsia="宋体" w:hAnsi="宋体"/>
          <w:color w:val="000000"/>
          <w:kern w:val="2"/>
          <w:sz w:val="21"/>
          <w:szCs w:val="21"/>
          <w:lang w:eastAsia="zh-CN"/>
        </w:rPr>
        <w:t>实施工作。</w:t>
      </w:r>
    </w:p>
    <w:p>
      <w:pPr>
        <w:widowControl w:val="0"/>
        <w:autoSpaceDE w:val="0"/>
        <w:autoSpaceDN w:val="0"/>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 xml:space="preserve">4.2 </w:t>
      </w:r>
      <w:r>
        <w:rPr>
          <w:rFonts w:ascii="宋体" w:eastAsia="宋体" w:hAnsi="宋体"/>
          <w:color w:val="000000"/>
          <w:kern w:val="2"/>
          <w:sz w:val="21"/>
          <w:szCs w:val="21"/>
          <w:lang w:eastAsia="zh-CN"/>
        </w:rPr>
        <w:t>甲方有权要求乙方按时提交各阶段有关</w:t>
      </w:r>
      <w:r>
        <w:rPr>
          <w:rFonts w:ascii="宋体" w:eastAsia="宋体" w:hAnsi="宋体" w:hint="eastAsia"/>
          <w:color w:val="000000"/>
          <w:kern w:val="2"/>
          <w:sz w:val="21"/>
          <w:szCs w:val="21"/>
          <w:lang w:eastAsia="zh-CN"/>
        </w:rPr>
        <w:t>安排计划</w:t>
      </w:r>
      <w:r>
        <w:rPr>
          <w:rFonts w:ascii="宋体" w:eastAsia="宋体" w:hAnsi="宋体"/>
          <w:color w:val="000000"/>
          <w:kern w:val="2"/>
          <w:sz w:val="21"/>
          <w:szCs w:val="21"/>
          <w:lang w:eastAsia="zh-CN"/>
        </w:rPr>
        <w:t>，并有权</w:t>
      </w:r>
      <w:r>
        <w:rPr>
          <w:rFonts w:ascii="宋体" w:eastAsia="宋体" w:hAnsi="宋体" w:hint="eastAsia"/>
          <w:color w:val="000000"/>
          <w:kern w:val="2"/>
          <w:sz w:val="21"/>
          <w:szCs w:val="21"/>
          <w:lang w:eastAsia="zh-CN"/>
        </w:rPr>
        <w:t>定期核对乙方提供货物数量、规格、质量等内容。甲方</w:t>
      </w:r>
      <w:r>
        <w:rPr>
          <w:rFonts w:ascii="宋体" w:eastAsia="宋体" w:hAnsi="宋体"/>
          <w:color w:val="000000"/>
          <w:kern w:val="2"/>
          <w:sz w:val="21"/>
          <w:szCs w:val="21"/>
          <w:lang w:eastAsia="zh-CN"/>
        </w:rPr>
        <w:t>有权督促乙方工作并要求乙方</w:t>
      </w:r>
      <w:r>
        <w:rPr>
          <w:rFonts w:ascii="宋体" w:eastAsia="宋体" w:hAnsi="宋体" w:hint="eastAsia"/>
          <w:color w:val="000000"/>
          <w:kern w:val="2"/>
          <w:sz w:val="21"/>
          <w:szCs w:val="21"/>
          <w:lang w:eastAsia="zh-CN"/>
        </w:rPr>
        <w:t>更</w:t>
      </w:r>
      <w:r>
        <w:rPr>
          <w:rFonts w:ascii="宋体" w:eastAsia="宋体" w:hAnsi="宋体"/>
          <w:color w:val="000000"/>
          <w:kern w:val="2"/>
          <w:sz w:val="21"/>
          <w:szCs w:val="21"/>
          <w:lang w:eastAsia="zh-CN"/>
        </w:rPr>
        <w:t>换不符合要求的</w:t>
      </w:r>
      <w:r>
        <w:rPr>
          <w:rFonts w:ascii="宋体" w:eastAsia="宋体" w:hAnsi="宋体" w:hint="eastAsia"/>
          <w:color w:val="000000"/>
          <w:kern w:val="2"/>
          <w:sz w:val="21"/>
          <w:szCs w:val="21"/>
          <w:lang w:eastAsia="zh-CN"/>
        </w:rPr>
        <w:t>货物</w:t>
      </w:r>
      <w:r>
        <w:rPr>
          <w:rFonts w:ascii="宋体" w:eastAsia="宋体" w:hAnsi="宋体"/>
          <w:color w:val="000000"/>
          <w:kern w:val="2"/>
          <w:sz w:val="21"/>
          <w:szCs w:val="21"/>
          <w:lang w:eastAsia="zh-CN"/>
        </w:rPr>
        <w:t>。</w:t>
      </w:r>
    </w:p>
    <w:p>
      <w:pPr>
        <w:widowControl w:val="0"/>
        <w:autoSpaceDE w:val="0"/>
        <w:autoSpaceDN w:val="0"/>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4.</w:t>
      </w:r>
      <w:r>
        <w:rPr>
          <w:rFonts w:ascii="宋体" w:eastAsia="宋体" w:hAnsi="宋体"/>
          <w:color w:val="000000"/>
          <w:kern w:val="2"/>
          <w:sz w:val="21"/>
          <w:szCs w:val="21"/>
          <w:lang w:eastAsia="zh-CN"/>
        </w:rPr>
        <w:t>3</w:t>
      </w:r>
      <w:r>
        <w:rPr>
          <w:rFonts w:ascii="宋体" w:eastAsia="宋体" w:hAnsi="宋体" w:hint="eastAsia"/>
          <w:color w:val="000000"/>
          <w:kern w:val="2"/>
          <w:sz w:val="21"/>
          <w:szCs w:val="21"/>
          <w:lang w:eastAsia="zh-CN"/>
        </w:rPr>
        <w:t xml:space="preserve"> </w:t>
      </w:r>
      <w:r>
        <w:rPr>
          <w:rFonts w:ascii="宋体" w:eastAsia="宋体" w:hAnsi="宋体"/>
          <w:color w:val="000000"/>
          <w:kern w:val="2"/>
          <w:sz w:val="21"/>
          <w:szCs w:val="21"/>
          <w:lang w:eastAsia="zh-CN"/>
        </w:rPr>
        <w:t>甲方</w:t>
      </w:r>
      <w:r>
        <w:rPr>
          <w:rFonts w:ascii="宋体" w:eastAsia="宋体" w:hAnsi="宋体" w:hint="eastAsia"/>
          <w:color w:val="000000"/>
          <w:kern w:val="2"/>
          <w:sz w:val="21"/>
          <w:szCs w:val="21"/>
          <w:lang w:eastAsia="zh-CN"/>
        </w:rPr>
        <w:t>有权要求乙方对缺陷部分予以修复，并按合同约定享有货物保修及其他合同约定的权利。</w:t>
      </w:r>
    </w:p>
    <w:p>
      <w:pPr>
        <w:widowControl w:val="0"/>
        <w:snapToGrid w:val="0"/>
        <w:spacing w:after="160" w:line="400" w:lineRule="exact"/>
        <w:ind w:firstLine="420" w:firstLineChars="200"/>
        <w:jc w:val="both"/>
        <w:rPr>
          <w:rFonts w:eastAsia="华文楷体"/>
          <w:kern w:val="2"/>
          <w:sz w:val="21"/>
          <w:lang w:eastAsia="zh-CN"/>
        </w:rPr>
      </w:pPr>
      <w:r>
        <w:rPr>
          <w:rFonts w:ascii="宋体" w:eastAsia="宋体" w:hAnsi="宋体"/>
          <w:color w:val="000000"/>
          <w:kern w:val="2"/>
          <w:sz w:val="21"/>
          <w:szCs w:val="21"/>
          <w:lang w:eastAsia="zh-CN"/>
        </w:rPr>
        <w:t>4.4 甲方应当按照合同约定及时对交付的货物进行验收</w:t>
      </w:r>
      <w:r>
        <w:rPr>
          <w:rFonts w:ascii="宋体" w:eastAsia="宋体" w:hAnsi="宋体" w:hint="eastAsia"/>
          <w:color w:val="000000"/>
          <w:kern w:val="2"/>
          <w:sz w:val="21"/>
          <w:szCs w:val="21"/>
          <w:lang w:eastAsia="zh-CN"/>
        </w:rPr>
        <w:t>，</w:t>
      </w:r>
      <w:r>
        <w:rPr>
          <w:rFonts w:ascii="宋体" w:eastAsia="宋体" w:hAnsi="宋体" w:cs="宋体" w:hint="eastAsia"/>
          <w:kern w:val="2"/>
          <w:sz w:val="21"/>
          <w:szCs w:val="21"/>
          <w:lang w:eastAsia="zh-CN"/>
        </w:rPr>
        <w:t>未</w:t>
      </w:r>
      <w:r>
        <w:rPr>
          <w:rFonts w:ascii="宋体" w:eastAsia="宋体" w:hAnsi="宋体" w:hint="eastAsia"/>
          <w:color w:val="000000"/>
          <w:kern w:val="2"/>
          <w:sz w:val="21"/>
          <w:szCs w:val="21"/>
          <w:lang w:eastAsia="zh-CN"/>
        </w:rPr>
        <w:t>在</w:t>
      </w:r>
      <w:r>
        <w:rPr>
          <w:rFonts w:ascii="宋体" w:eastAsia="宋体" w:hAnsi="宋体" w:cs="宋体" w:hint="eastAsia"/>
          <w:b/>
          <w:bCs/>
          <w:kern w:val="2"/>
          <w:sz w:val="21"/>
          <w:szCs w:val="21"/>
          <w:lang w:eastAsia="zh-CN"/>
        </w:rPr>
        <w:t>【采购合同专用条款】</w:t>
      </w:r>
      <w:r>
        <w:rPr>
          <w:rFonts w:ascii="宋体" w:eastAsia="宋体" w:hAnsi="宋体" w:cs="宋体" w:hint="eastAsia"/>
          <w:kern w:val="2"/>
          <w:sz w:val="21"/>
          <w:szCs w:val="21"/>
          <w:lang w:eastAsia="zh-CN"/>
        </w:rPr>
        <w:t>约定的期限内对乙方履约提出任何异议或者向乙方作出任何说明的，</w:t>
      </w:r>
      <w:r>
        <w:rPr>
          <w:rFonts w:ascii="宋体" w:eastAsia="宋体" w:hAnsi="宋体" w:hint="eastAsia"/>
          <w:color w:val="000000"/>
          <w:kern w:val="2"/>
          <w:sz w:val="21"/>
          <w:szCs w:val="21"/>
          <w:lang w:eastAsia="zh-CN"/>
        </w:rPr>
        <w:t>视为验收通过。</w:t>
      </w:r>
    </w:p>
    <w:p>
      <w:pPr>
        <w:widowControl w:val="0"/>
        <w:autoSpaceDE w:val="0"/>
        <w:autoSpaceDN w:val="0"/>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color w:val="000000"/>
          <w:kern w:val="2"/>
          <w:sz w:val="21"/>
          <w:szCs w:val="21"/>
          <w:lang w:eastAsia="zh-CN"/>
        </w:rPr>
        <w:t>4</w:t>
      </w:r>
      <w:r>
        <w:rPr>
          <w:rFonts w:ascii="宋体" w:eastAsia="宋体" w:hAnsi="宋体" w:hint="eastAsia"/>
          <w:color w:val="000000"/>
          <w:kern w:val="2"/>
          <w:sz w:val="21"/>
          <w:szCs w:val="21"/>
          <w:lang w:eastAsia="zh-CN"/>
        </w:rPr>
        <w:t>.</w:t>
      </w:r>
      <w:r>
        <w:rPr>
          <w:rFonts w:ascii="宋体" w:eastAsia="宋体" w:hAnsi="宋体"/>
          <w:color w:val="000000"/>
          <w:kern w:val="2"/>
          <w:sz w:val="21"/>
          <w:szCs w:val="21"/>
          <w:lang w:eastAsia="zh-CN"/>
        </w:rPr>
        <w:t xml:space="preserve">5 </w:t>
      </w:r>
      <w:r>
        <w:rPr>
          <w:rFonts w:ascii="宋体" w:eastAsia="宋体" w:hAnsi="宋体" w:hint="eastAsia"/>
          <w:color w:val="000000"/>
          <w:kern w:val="2"/>
          <w:sz w:val="21"/>
          <w:szCs w:val="21"/>
          <w:lang w:eastAsia="zh-CN"/>
        </w:rPr>
        <w:t>甲方应当根据合同约定及时向乙方支付合同价款</w:t>
      </w:r>
      <w:r>
        <w:rPr>
          <w:rFonts w:ascii="宋体" w:eastAsia="宋体" w:hAnsi="宋体"/>
          <w:color w:val="000000"/>
          <w:kern w:val="2"/>
          <w:sz w:val="21"/>
          <w:szCs w:val="21"/>
          <w:lang w:eastAsia="zh-CN"/>
        </w:rPr>
        <w:t>，不得以内部人员变更、履行内部付款流程等为由，拒绝或迟延支付。</w:t>
      </w:r>
    </w:p>
    <w:p>
      <w:pPr>
        <w:widowControl w:val="0"/>
        <w:autoSpaceDE w:val="0"/>
        <w:autoSpaceDN w:val="0"/>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4.6</w:t>
      </w:r>
      <w:r>
        <w:rPr>
          <w:rFonts w:ascii="宋体" w:eastAsia="宋体" w:hAnsi="宋体"/>
          <w:color w:val="000000"/>
          <w:kern w:val="2"/>
          <w:sz w:val="21"/>
          <w:szCs w:val="21"/>
          <w:lang w:eastAsia="zh-CN"/>
        </w:rPr>
        <w:t xml:space="preserve"> </w:t>
      </w:r>
      <w:r>
        <w:rPr>
          <w:rFonts w:ascii="宋体" w:eastAsia="宋体" w:hAnsi="宋体" w:hint="eastAsia"/>
          <w:color w:val="000000"/>
          <w:kern w:val="2"/>
          <w:sz w:val="21"/>
          <w:szCs w:val="21"/>
          <w:lang w:eastAsia="zh-CN"/>
        </w:rPr>
        <w:t>国家法律法规规定及</w:t>
      </w:r>
      <w:r>
        <w:rPr>
          <w:rFonts w:ascii="宋体" w:eastAsia="宋体" w:hAnsi="宋体" w:cs="宋体" w:hint="eastAsia"/>
          <w:b/>
          <w:bCs/>
          <w:kern w:val="2"/>
          <w:sz w:val="21"/>
          <w:szCs w:val="21"/>
          <w:lang w:eastAsia="zh-CN"/>
        </w:rPr>
        <w:t>【采购合同专用条款】</w:t>
      </w:r>
      <w:r>
        <w:rPr>
          <w:rFonts w:ascii="宋体" w:eastAsia="宋体" w:hAnsi="宋体" w:hint="eastAsia"/>
          <w:color w:val="000000"/>
          <w:kern w:val="2"/>
          <w:sz w:val="21"/>
          <w:szCs w:val="21"/>
          <w:lang w:eastAsia="zh-CN"/>
        </w:rPr>
        <w:t>约定应由甲方承担的其他义务和责任。</w:t>
      </w:r>
    </w:p>
    <w:p>
      <w:pPr>
        <w:widowControl w:val="0"/>
        <w:autoSpaceDE w:val="0"/>
        <w:autoSpaceDN w:val="0"/>
        <w:adjustRightInd w:val="0"/>
        <w:snapToGrid w:val="0"/>
        <w:spacing w:after="160" w:line="400" w:lineRule="exact"/>
        <w:jc w:val="left"/>
        <w:rPr>
          <w:rFonts w:ascii="宋体" w:eastAsia="宋体" w:hAnsi="宋体"/>
          <w:b/>
          <w:bCs/>
          <w:color w:val="000000"/>
          <w:kern w:val="2"/>
          <w:lang w:eastAsia="zh-CN"/>
        </w:rPr>
      </w:pPr>
      <w:r>
        <w:rPr>
          <w:rFonts w:ascii="宋体" w:eastAsia="宋体" w:hAnsi="宋体" w:hint="eastAsia"/>
          <w:b/>
          <w:bCs/>
          <w:color w:val="000000"/>
          <w:kern w:val="2"/>
          <w:lang w:eastAsia="zh-CN"/>
        </w:rPr>
        <w:t>5. 乙方的权利和义务</w:t>
      </w:r>
    </w:p>
    <w:p>
      <w:pPr>
        <w:widowControl w:val="0"/>
        <w:autoSpaceDE w:val="0"/>
        <w:autoSpaceDN w:val="0"/>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 xml:space="preserve">5.1 </w:t>
      </w:r>
      <w:r>
        <w:rPr>
          <w:rFonts w:ascii="宋体" w:eastAsia="宋体" w:hAnsi="宋体"/>
          <w:color w:val="000000"/>
          <w:kern w:val="2"/>
          <w:sz w:val="21"/>
          <w:szCs w:val="21"/>
          <w:lang w:eastAsia="zh-CN"/>
        </w:rPr>
        <w:t>签署合同后，乙方</w:t>
      </w:r>
      <w:r>
        <w:rPr>
          <w:rFonts w:ascii="宋体" w:eastAsia="宋体" w:hAnsi="宋体" w:hint="eastAsia"/>
          <w:color w:val="000000"/>
          <w:kern w:val="2"/>
          <w:sz w:val="21"/>
          <w:szCs w:val="21"/>
          <w:lang w:eastAsia="zh-CN"/>
        </w:rPr>
        <w:t>应</w:t>
      </w:r>
      <w:r>
        <w:rPr>
          <w:rFonts w:ascii="宋体" w:eastAsia="宋体" w:hAnsi="宋体"/>
          <w:color w:val="000000"/>
          <w:kern w:val="2"/>
          <w:sz w:val="21"/>
          <w:szCs w:val="21"/>
          <w:lang w:eastAsia="zh-CN"/>
        </w:rPr>
        <w:t>确定</w:t>
      </w:r>
      <w:r>
        <w:rPr>
          <w:rFonts w:ascii="宋体" w:eastAsia="宋体" w:hAnsi="宋体" w:hint="eastAsia"/>
          <w:color w:val="000000"/>
          <w:kern w:val="2"/>
          <w:sz w:val="21"/>
          <w:szCs w:val="21"/>
          <w:lang w:eastAsia="zh-CN"/>
        </w:rPr>
        <w:t>项目负责人（或项目联系人）</w:t>
      </w:r>
      <w:r>
        <w:rPr>
          <w:rFonts w:ascii="宋体" w:eastAsia="宋体" w:hAnsi="宋体"/>
          <w:color w:val="000000"/>
          <w:kern w:val="2"/>
          <w:sz w:val="21"/>
          <w:szCs w:val="21"/>
          <w:lang w:eastAsia="zh-CN"/>
        </w:rPr>
        <w:t>，负责与本合同有关的事务。</w:t>
      </w:r>
    </w:p>
    <w:p>
      <w:pPr>
        <w:widowControl w:val="0"/>
        <w:autoSpaceDE w:val="0"/>
        <w:autoSpaceDN w:val="0"/>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5.</w:t>
      </w:r>
      <w:r>
        <w:rPr>
          <w:rFonts w:ascii="宋体" w:eastAsia="宋体" w:hAnsi="宋体"/>
          <w:color w:val="000000"/>
          <w:kern w:val="2"/>
          <w:sz w:val="21"/>
          <w:szCs w:val="21"/>
          <w:lang w:eastAsia="zh-CN"/>
        </w:rPr>
        <w:t>2 乙方应按照合同要求</w:t>
      </w:r>
      <w:r>
        <w:rPr>
          <w:rFonts w:ascii="宋体" w:eastAsia="宋体" w:hAnsi="宋体" w:hint="eastAsia"/>
          <w:color w:val="000000"/>
          <w:kern w:val="2"/>
          <w:sz w:val="21"/>
          <w:szCs w:val="21"/>
          <w:lang w:eastAsia="zh-CN"/>
        </w:rPr>
        <w:t>履约</w:t>
      </w:r>
      <w:r>
        <w:rPr>
          <w:rFonts w:ascii="宋体" w:eastAsia="宋体" w:hAnsi="宋体"/>
          <w:color w:val="000000"/>
          <w:kern w:val="2"/>
          <w:sz w:val="21"/>
          <w:szCs w:val="21"/>
          <w:lang w:eastAsia="zh-CN"/>
        </w:rPr>
        <w:t>，充分合理安排，确保</w:t>
      </w:r>
      <w:r>
        <w:rPr>
          <w:rFonts w:ascii="宋体" w:eastAsia="宋体" w:hAnsi="宋体" w:hint="eastAsia"/>
          <w:color w:val="000000"/>
          <w:kern w:val="2"/>
          <w:sz w:val="21"/>
          <w:szCs w:val="21"/>
          <w:lang w:eastAsia="zh-CN"/>
        </w:rPr>
        <w:t>提供的货物及相关服务符合合同有关</w:t>
      </w:r>
      <w:r>
        <w:rPr>
          <w:rFonts w:ascii="宋体" w:eastAsia="宋体" w:hAnsi="宋体"/>
          <w:color w:val="000000"/>
          <w:kern w:val="2"/>
          <w:sz w:val="21"/>
          <w:szCs w:val="21"/>
          <w:lang w:eastAsia="zh-CN"/>
        </w:rPr>
        <w:t>要求</w:t>
      </w:r>
      <w:r>
        <w:rPr>
          <w:rFonts w:ascii="宋体" w:eastAsia="宋体" w:hAnsi="宋体" w:hint="eastAsia"/>
          <w:color w:val="000000"/>
          <w:kern w:val="2"/>
          <w:sz w:val="21"/>
          <w:szCs w:val="21"/>
          <w:lang w:eastAsia="zh-CN"/>
        </w:rPr>
        <w:t>。接受项目行业管理部门及政府有关部门的指导，配合甲方的履约检查及验收，并</w:t>
      </w:r>
      <w:r>
        <w:rPr>
          <w:rFonts w:ascii="宋体" w:eastAsia="宋体" w:hAnsi="宋体"/>
          <w:color w:val="000000"/>
          <w:kern w:val="2"/>
          <w:sz w:val="21"/>
          <w:szCs w:val="21"/>
          <w:lang w:eastAsia="zh-CN"/>
        </w:rPr>
        <w:t>负责项目实施过程中的所有协调工作。</w:t>
      </w:r>
    </w:p>
    <w:p>
      <w:pPr>
        <w:widowControl w:val="0"/>
        <w:spacing w:after="160" w:line="400" w:lineRule="exact"/>
        <w:ind w:firstLine="370" w:firstLineChars="176"/>
        <w:jc w:val="both"/>
        <w:rPr>
          <w:rFonts w:ascii="宋体" w:eastAsia="宋体" w:hAnsi="宋体" w:cs="宋体"/>
          <w:color w:val="000000"/>
          <w:kern w:val="2"/>
          <w:sz w:val="21"/>
          <w:szCs w:val="21"/>
          <w:lang w:eastAsia="zh-CN"/>
        </w:rPr>
      </w:pPr>
      <w:r>
        <w:rPr>
          <w:rFonts w:ascii="宋体" w:eastAsia="宋体" w:hAnsi="宋体" w:hint="eastAsia"/>
          <w:color w:val="000000"/>
          <w:kern w:val="2"/>
          <w:sz w:val="21"/>
          <w:szCs w:val="21"/>
          <w:lang w:eastAsia="zh-CN"/>
        </w:rPr>
        <w:t>5.</w:t>
      </w:r>
      <w:r>
        <w:rPr>
          <w:rFonts w:ascii="宋体" w:eastAsia="宋体" w:hAnsi="宋体"/>
          <w:color w:val="000000"/>
          <w:kern w:val="2"/>
          <w:sz w:val="21"/>
          <w:szCs w:val="21"/>
          <w:lang w:eastAsia="zh-CN"/>
        </w:rPr>
        <w:t>3</w:t>
      </w:r>
      <w:r>
        <w:rPr>
          <w:rFonts w:ascii="宋体" w:eastAsia="宋体" w:hAnsi="宋体" w:hint="eastAsia"/>
          <w:color w:val="000000"/>
          <w:kern w:val="2"/>
          <w:sz w:val="21"/>
          <w:szCs w:val="21"/>
          <w:lang w:eastAsia="zh-CN"/>
        </w:rPr>
        <w:t>乙方有权</w:t>
      </w:r>
      <w:r>
        <w:rPr>
          <w:rFonts w:ascii="宋体" w:eastAsia="宋体" w:hAnsi="宋体" w:cs="宋体" w:hint="eastAsia"/>
          <w:color w:val="000000"/>
          <w:kern w:val="2"/>
          <w:sz w:val="21"/>
          <w:szCs w:val="21"/>
          <w:lang w:eastAsia="zh-CN"/>
        </w:rPr>
        <w:t>根据合同约定向甲方收取合同价款。</w:t>
      </w:r>
    </w:p>
    <w:p>
      <w:pPr>
        <w:widowControl w:val="0"/>
        <w:spacing w:after="160" w:line="400" w:lineRule="exact"/>
        <w:ind w:firstLine="370" w:firstLineChars="176"/>
        <w:jc w:val="both"/>
        <w:rPr>
          <w:rFonts w:ascii="宋体" w:eastAsia="宋体" w:hAnsi="宋体" w:cs="宋体"/>
          <w:color w:val="000000"/>
          <w:kern w:val="2"/>
          <w:sz w:val="21"/>
          <w:szCs w:val="21"/>
          <w:lang w:eastAsia="zh-CN"/>
        </w:rPr>
      </w:pPr>
      <w:r>
        <w:rPr>
          <w:rFonts w:ascii="宋体" w:eastAsia="宋体" w:hAnsi="宋体" w:hint="eastAsia"/>
          <w:color w:val="000000"/>
          <w:kern w:val="2"/>
          <w:sz w:val="21"/>
          <w:szCs w:val="21"/>
          <w:lang w:eastAsia="zh-CN"/>
        </w:rPr>
        <w:t>5.</w:t>
      </w:r>
      <w:r>
        <w:rPr>
          <w:rFonts w:ascii="宋体" w:eastAsia="宋体" w:hAnsi="宋体"/>
          <w:color w:val="000000"/>
          <w:kern w:val="2"/>
          <w:sz w:val="21"/>
          <w:szCs w:val="21"/>
          <w:lang w:eastAsia="zh-CN"/>
        </w:rPr>
        <w:t>4</w:t>
      </w:r>
      <w:r>
        <w:rPr>
          <w:rFonts w:ascii="宋体" w:eastAsia="宋体" w:hAnsi="宋体" w:cs="宋体" w:hint="eastAsia"/>
          <w:color w:val="000000"/>
          <w:kern w:val="2"/>
          <w:sz w:val="21"/>
          <w:szCs w:val="21"/>
          <w:lang w:eastAsia="zh-CN"/>
        </w:rPr>
        <w:t>国家法律法规规定</w:t>
      </w:r>
      <w:r>
        <w:rPr>
          <w:rFonts w:ascii="宋体" w:eastAsia="宋体" w:hAnsi="宋体" w:hint="eastAsia"/>
          <w:color w:val="000000"/>
          <w:kern w:val="2"/>
          <w:sz w:val="21"/>
          <w:szCs w:val="21"/>
          <w:lang w:eastAsia="zh-CN"/>
        </w:rPr>
        <w:t>及</w:t>
      </w:r>
      <w:r>
        <w:rPr>
          <w:rFonts w:ascii="宋体" w:eastAsia="宋体" w:hAnsi="宋体" w:cs="宋体" w:hint="eastAsia"/>
          <w:b/>
          <w:bCs/>
          <w:kern w:val="2"/>
          <w:sz w:val="21"/>
          <w:szCs w:val="21"/>
          <w:lang w:eastAsia="zh-CN"/>
        </w:rPr>
        <w:t>【采购合同专用条款】</w:t>
      </w:r>
      <w:r>
        <w:rPr>
          <w:rFonts w:ascii="宋体" w:eastAsia="宋体" w:hAnsi="宋体" w:cs="宋体" w:hint="eastAsia"/>
          <w:kern w:val="2"/>
          <w:sz w:val="21"/>
          <w:szCs w:val="21"/>
          <w:lang w:eastAsia="zh-CN"/>
        </w:rPr>
        <w:t>约定应</w:t>
      </w:r>
      <w:r>
        <w:rPr>
          <w:rFonts w:ascii="宋体" w:eastAsia="宋体" w:hAnsi="宋体" w:cs="宋体" w:hint="eastAsia"/>
          <w:color w:val="000000"/>
          <w:kern w:val="2"/>
          <w:sz w:val="21"/>
          <w:szCs w:val="21"/>
          <w:lang w:eastAsia="zh-CN"/>
        </w:rPr>
        <w:t>由乙方承担的其他义务和责任。</w:t>
      </w:r>
    </w:p>
    <w:p>
      <w:pPr>
        <w:widowControl w:val="0"/>
        <w:numPr>
          <w:ilvl w:val="0"/>
          <w:numId w:val="7"/>
        </w:numPr>
        <w:autoSpaceDE w:val="0"/>
        <w:autoSpaceDN w:val="0"/>
        <w:adjustRightInd w:val="0"/>
        <w:snapToGrid w:val="0"/>
        <w:spacing w:after="160" w:line="400" w:lineRule="exact"/>
        <w:jc w:val="left"/>
        <w:rPr>
          <w:rFonts w:ascii="宋体" w:eastAsia="宋体" w:hAnsi="宋体"/>
          <w:b/>
          <w:bCs/>
          <w:color w:val="000000"/>
          <w:kern w:val="2"/>
          <w:lang w:eastAsia="zh-CN"/>
        </w:rPr>
      </w:pPr>
      <w:r>
        <w:rPr>
          <w:rFonts w:ascii="宋体" w:eastAsia="宋体" w:hAnsi="宋体" w:hint="eastAsia"/>
          <w:b/>
          <w:bCs/>
          <w:color w:val="000000"/>
          <w:kern w:val="2"/>
          <w:lang w:eastAsia="zh-CN"/>
        </w:rPr>
        <w:t>合同履行</w:t>
      </w:r>
    </w:p>
    <w:p>
      <w:pPr>
        <w:widowControl w:val="0"/>
        <w:autoSpaceDE w:val="0"/>
        <w:autoSpaceDN w:val="0"/>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6.1 甲乙双方应当按照</w:t>
      </w:r>
      <w:r>
        <w:rPr>
          <w:rFonts w:ascii="宋体" w:eastAsia="宋体" w:hAnsi="宋体" w:cs="宋体" w:hint="eastAsia"/>
          <w:b/>
          <w:bCs/>
          <w:kern w:val="2"/>
          <w:sz w:val="21"/>
          <w:szCs w:val="21"/>
          <w:lang w:eastAsia="zh-CN"/>
        </w:rPr>
        <w:t>【采购合同专用条款】</w:t>
      </w:r>
      <w:r>
        <w:rPr>
          <w:rFonts w:ascii="宋体" w:eastAsia="宋体" w:hAnsi="宋体" w:hint="eastAsia"/>
          <w:color w:val="000000"/>
          <w:kern w:val="2"/>
          <w:sz w:val="21"/>
          <w:szCs w:val="21"/>
          <w:lang w:eastAsia="zh-CN"/>
        </w:rPr>
        <w:t>约定顺序履行合同义务；如果没有先后顺序的，应当同时履行。</w:t>
      </w:r>
    </w:p>
    <w:p>
      <w:pPr>
        <w:widowControl w:val="0"/>
        <w:autoSpaceDE w:val="0"/>
        <w:autoSpaceDN w:val="0"/>
        <w:adjustRightInd w:val="0"/>
        <w:snapToGrid w:val="0"/>
        <w:spacing w:after="160" w:line="400" w:lineRule="exact"/>
        <w:ind w:firstLine="420" w:firstLineChars="200"/>
        <w:jc w:val="left"/>
        <w:rPr>
          <w:rFonts w:eastAsia="宋体"/>
          <w:kern w:val="2"/>
          <w:sz w:val="21"/>
          <w:lang w:eastAsia="zh-CN"/>
        </w:rPr>
      </w:pPr>
      <w:r>
        <w:rPr>
          <w:rFonts w:ascii="宋体" w:eastAsia="宋体" w:hAnsi="宋体" w:hint="eastAsia"/>
          <w:color w:val="000000"/>
          <w:kern w:val="2"/>
          <w:sz w:val="21"/>
          <w:szCs w:val="21"/>
          <w:lang w:eastAsia="zh-CN"/>
        </w:rPr>
        <w:t>6.2 甲乙双方按照合同约定顺序履行合同义务时，应当先履行一方未履行的，后履行一方有权拒绝其履行请求。先履行一方履行不符合约定的，后履行一方有权拒绝其相应的履行请求。</w:t>
      </w:r>
    </w:p>
    <w:p>
      <w:pPr>
        <w:widowControl w:val="0"/>
        <w:adjustRightInd w:val="0"/>
        <w:snapToGrid w:val="0"/>
        <w:spacing w:after="160" w:line="400" w:lineRule="exact"/>
        <w:jc w:val="left"/>
        <w:rPr>
          <w:rFonts w:ascii="宋体" w:eastAsia="宋体" w:hAnsi="宋体"/>
          <w:b/>
          <w:bCs/>
          <w:color w:val="000000"/>
          <w:kern w:val="2"/>
          <w:lang w:eastAsia="zh-CN"/>
        </w:rPr>
      </w:pPr>
      <w:r>
        <w:rPr>
          <w:rFonts w:ascii="宋体" w:eastAsia="宋体" w:hAnsi="宋体" w:hint="eastAsia"/>
          <w:b/>
          <w:bCs/>
          <w:color w:val="000000"/>
          <w:kern w:val="2"/>
          <w:lang w:eastAsia="zh-CN"/>
        </w:rPr>
        <w:t>7. 货物包装、运输、保险和交付要求</w:t>
      </w:r>
    </w:p>
    <w:p>
      <w:pPr>
        <w:widowControl w:val="0"/>
        <w:autoSpaceDE w:val="0"/>
        <w:autoSpaceDN w:val="0"/>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7.1 本合同</w:t>
      </w:r>
      <w:r>
        <w:rPr>
          <w:rFonts w:ascii="宋体" w:eastAsia="宋体" w:hAnsi="宋体" w:hint="eastAsia"/>
          <w:bCs/>
          <w:color w:val="000000"/>
          <w:kern w:val="2"/>
          <w:sz w:val="21"/>
          <w:szCs w:val="21"/>
          <w:lang w:eastAsia="zh-CN"/>
        </w:rPr>
        <w:t>涉及商品包装、快递包装的，</w:t>
      </w:r>
      <w:r>
        <w:rPr>
          <w:rFonts w:ascii="宋体" w:eastAsia="宋体" w:hAnsi="宋体" w:hint="eastAsia"/>
          <w:color w:val="000000"/>
          <w:kern w:val="2"/>
          <w:sz w:val="21"/>
          <w:szCs w:val="21"/>
          <w:lang w:eastAsia="zh-CN"/>
        </w:rPr>
        <w:t>除</w:t>
      </w:r>
      <w:r>
        <w:rPr>
          <w:rFonts w:ascii="宋体" w:eastAsia="宋体" w:hAnsi="宋体" w:hint="eastAsia"/>
          <w:b/>
          <w:color w:val="000000"/>
          <w:kern w:val="2"/>
          <w:sz w:val="21"/>
          <w:szCs w:val="21"/>
          <w:lang w:eastAsia="zh-CN"/>
        </w:rPr>
        <w:t>【采购合同专用条款】</w:t>
      </w:r>
      <w:r>
        <w:rPr>
          <w:rFonts w:ascii="宋体" w:eastAsia="宋体" w:hAnsi="宋体" w:hint="eastAsia"/>
          <w:bCs/>
          <w:color w:val="000000"/>
          <w:kern w:val="2"/>
          <w:sz w:val="21"/>
          <w:szCs w:val="21"/>
          <w:lang w:eastAsia="zh-CN"/>
        </w:rPr>
        <w:t>另有约定外，</w:t>
      </w:r>
      <w:r>
        <w:rPr>
          <w:rFonts w:ascii="宋体" w:eastAsia="宋体" w:hAnsi="宋体" w:hint="eastAsia"/>
          <w:color w:val="000000"/>
          <w:kern w:val="2"/>
          <w:sz w:val="21"/>
          <w:szCs w:val="21"/>
          <w:lang w:eastAsia="zh-CN"/>
        </w:rPr>
        <w:t>包装应适应远距离运输、防潮、防震、防锈和防野蛮装卸等要求，确保货物安全无损地运抵</w:t>
      </w:r>
      <w:r>
        <w:rPr>
          <w:rFonts w:ascii="宋体" w:eastAsia="宋体" w:hAnsi="宋体" w:hint="eastAsia"/>
          <w:b/>
          <w:color w:val="000000"/>
          <w:kern w:val="2"/>
          <w:sz w:val="21"/>
          <w:szCs w:val="21"/>
          <w:lang w:eastAsia="zh-CN"/>
        </w:rPr>
        <w:t>【采购合同专用条款】</w:t>
      </w:r>
      <w:r>
        <w:rPr>
          <w:rFonts w:ascii="宋体" w:eastAsia="宋体" w:hAnsi="宋体" w:hint="eastAsia"/>
          <w:bCs/>
          <w:color w:val="000000"/>
          <w:kern w:val="2"/>
          <w:sz w:val="21"/>
          <w:szCs w:val="21"/>
          <w:lang w:eastAsia="zh-CN"/>
        </w:rPr>
        <w:t>约定的</w:t>
      </w:r>
      <w:r>
        <w:rPr>
          <w:rFonts w:ascii="宋体" w:eastAsia="宋体" w:hAnsi="宋体" w:hint="eastAsia"/>
          <w:color w:val="000000"/>
          <w:kern w:val="2"/>
          <w:sz w:val="21"/>
          <w:szCs w:val="21"/>
          <w:lang w:eastAsia="zh-CN"/>
        </w:rPr>
        <w:t>指定现场。</w:t>
      </w:r>
    </w:p>
    <w:p>
      <w:pPr>
        <w:widowControl w:val="0"/>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7.2 除</w:t>
      </w:r>
      <w:r>
        <w:rPr>
          <w:rFonts w:ascii="宋体" w:eastAsia="宋体" w:hAnsi="宋体" w:hint="eastAsia"/>
          <w:b/>
          <w:color w:val="000000"/>
          <w:kern w:val="2"/>
          <w:sz w:val="21"/>
          <w:szCs w:val="21"/>
          <w:lang w:eastAsia="zh-CN"/>
        </w:rPr>
        <w:t>【采购合同专用条款】</w:t>
      </w:r>
      <w:r>
        <w:rPr>
          <w:rFonts w:ascii="宋体" w:eastAsia="宋体" w:hAnsi="宋体" w:hint="eastAsia"/>
          <w:bCs/>
          <w:color w:val="000000"/>
          <w:kern w:val="2"/>
          <w:sz w:val="21"/>
          <w:szCs w:val="21"/>
          <w:lang w:eastAsia="zh-CN"/>
        </w:rPr>
        <w:t>另有约定外，</w:t>
      </w:r>
      <w:r>
        <w:rPr>
          <w:rFonts w:ascii="宋体" w:eastAsia="宋体" w:hAnsi="宋体" w:hint="eastAsia"/>
          <w:color w:val="000000"/>
          <w:kern w:val="2"/>
          <w:sz w:val="21"/>
          <w:szCs w:val="21"/>
          <w:lang w:eastAsia="zh-CN"/>
        </w:rPr>
        <w:t>乙方负责办理将货物运抵本合同规定的交货地点，并装卸、交付至甲方的一切运输事项，相关费用应包含在合同价款中。</w:t>
      </w:r>
    </w:p>
    <w:p>
      <w:pPr>
        <w:widowControl w:val="0"/>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7.3 货物保险要求按</w:t>
      </w:r>
      <w:r>
        <w:rPr>
          <w:rFonts w:ascii="宋体" w:eastAsia="宋体" w:hAnsi="宋体" w:hint="eastAsia"/>
          <w:b/>
          <w:color w:val="000000"/>
          <w:kern w:val="2"/>
          <w:sz w:val="21"/>
          <w:szCs w:val="21"/>
          <w:lang w:eastAsia="zh-CN"/>
        </w:rPr>
        <w:t>【采购合同专用条款】</w:t>
      </w:r>
      <w:r>
        <w:rPr>
          <w:rFonts w:ascii="宋体" w:eastAsia="宋体" w:hAnsi="宋体" w:hint="eastAsia"/>
          <w:bCs/>
          <w:color w:val="000000"/>
          <w:kern w:val="2"/>
          <w:sz w:val="21"/>
          <w:szCs w:val="21"/>
          <w:lang w:eastAsia="zh-CN"/>
        </w:rPr>
        <w:t>规定执行</w:t>
      </w:r>
      <w:r>
        <w:rPr>
          <w:rFonts w:ascii="宋体" w:eastAsia="宋体" w:hAnsi="宋体" w:hint="eastAsia"/>
          <w:color w:val="000000"/>
          <w:kern w:val="2"/>
          <w:sz w:val="21"/>
          <w:szCs w:val="21"/>
          <w:lang w:eastAsia="zh-CN"/>
        </w:rPr>
        <w:t>。</w:t>
      </w:r>
    </w:p>
    <w:p>
      <w:pPr>
        <w:widowControl w:val="0"/>
        <w:autoSpaceDE w:val="0"/>
        <w:autoSpaceDN w:val="0"/>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widowControl w:val="0"/>
        <w:autoSpaceDE w:val="0"/>
        <w:autoSpaceDN w:val="0"/>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 xml:space="preserve">7.5 </w:t>
      </w:r>
      <w:r>
        <w:rPr>
          <w:rFonts w:ascii="宋体" w:eastAsia="宋体" w:hAnsi="宋体" w:cs="宋体" w:hint="eastAsia"/>
          <w:color w:val="000000"/>
          <w:kern w:val="2"/>
          <w:sz w:val="21"/>
          <w:szCs w:val="21"/>
          <w:lang w:eastAsia="zh-CN"/>
        </w:rPr>
        <w:t>乙方在运输到达之前应提前通知甲方，并提示货物运输装卸的注意事项，甲方配合乙方做好货物的接收工作。</w:t>
      </w:r>
    </w:p>
    <w:p>
      <w:pPr>
        <w:widowControl w:val="0"/>
        <w:autoSpaceDE w:val="0"/>
        <w:autoSpaceDN w:val="0"/>
        <w:adjustRightInd w:val="0"/>
        <w:spacing w:after="160" w:line="400" w:lineRule="exact"/>
        <w:ind w:firstLine="420" w:firstLineChars="200"/>
        <w:jc w:val="both"/>
        <w:rPr>
          <w:rFonts w:ascii="华文楷体" w:eastAsia="华文楷体" w:hAnsi="华文楷体" w:cs="华文楷体"/>
          <w:kern w:val="2"/>
          <w:sz w:val="21"/>
          <w:szCs w:val="21"/>
          <w:lang w:eastAsia="zh-CN"/>
        </w:rPr>
      </w:pPr>
      <w:r>
        <w:rPr>
          <w:rFonts w:ascii="宋体" w:eastAsia="宋体" w:hAnsi="宋体" w:hint="eastAsia"/>
          <w:color w:val="000000"/>
          <w:kern w:val="2"/>
          <w:sz w:val="21"/>
          <w:szCs w:val="21"/>
          <w:lang w:eastAsia="zh-CN"/>
        </w:rPr>
        <w:t>7.6 如因包装、运输问题导致货物损毁、丢失或者品质下降，甲方有权要求降价、换货、拒收部分或整批货物，由此产生的费用和损失，均由乙方承担。</w:t>
      </w:r>
    </w:p>
    <w:p>
      <w:pPr>
        <w:widowControl w:val="0"/>
        <w:adjustRightInd w:val="0"/>
        <w:snapToGrid w:val="0"/>
        <w:spacing w:after="160" w:line="400" w:lineRule="exact"/>
        <w:jc w:val="left"/>
        <w:rPr>
          <w:rFonts w:ascii="宋体" w:eastAsia="宋体" w:hAnsi="宋体"/>
          <w:b/>
          <w:kern w:val="2"/>
          <w:lang w:eastAsia="zh-CN"/>
        </w:rPr>
      </w:pPr>
      <w:r>
        <w:rPr>
          <w:rFonts w:ascii="宋体" w:eastAsia="宋体" w:hAnsi="宋体" w:hint="eastAsia"/>
          <w:b/>
          <w:color w:val="000000"/>
          <w:kern w:val="2"/>
          <w:lang w:eastAsia="zh-CN"/>
        </w:rPr>
        <w:t xml:space="preserve">8. </w:t>
      </w:r>
      <w:r>
        <w:rPr>
          <w:rFonts w:ascii="宋体" w:eastAsia="宋体" w:hAnsi="宋体" w:hint="eastAsia"/>
          <w:b/>
          <w:kern w:val="2"/>
          <w:lang w:eastAsia="zh-CN"/>
        </w:rPr>
        <w:t>质量标准和保证</w:t>
      </w:r>
    </w:p>
    <w:p>
      <w:pPr>
        <w:widowControl w:val="0"/>
        <w:adjustRightInd w:val="0"/>
        <w:snapToGrid w:val="0"/>
        <w:spacing w:after="160" w:line="400" w:lineRule="exact"/>
        <w:ind w:firstLine="420" w:firstLineChars="200"/>
        <w:jc w:val="left"/>
        <w:rPr>
          <w:rFonts w:ascii="宋体" w:eastAsia="宋体" w:hAnsi="宋体" w:cs="Courier New"/>
          <w:b/>
          <w:kern w:val="2"/>
          <w:sz w:val="21"/>
          <w:szCs w:val="21"/>
          <w:lang w:eastAsia="zh-CN"/>
        </w:rPr>
      </w:pPr>
      <w:r>
        <w:rPr>
          <w:rFonts w:ascii="宋体" w:eastAsia="宋体" w:hAnsi="宋体" w:cs="Courier New" w:hint="eastAsia"/>
          <w:kern w:val="2"/>
          <w:sz w:val="21"/>
          <w:szCs w:val="21"/>
          <w:lang w:eastAsia="zh-CN"/>
        </w:rPr>
        <w:t>8.1 质量标准</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（1）本合同下提供的货物应符合合同</w:t>
      </w:r>
      <w:r>
        <w:rPr>
          <w:rFonts w:ascii="宋体" w:eastAsia="宋体" w:hAnsi="宋体" w:cs="宋体" w:hint="eastAsia"/>
          <w:color w:val="000000"/>
          <w:kern w:val="2"/>
          <w:sz w:val="21"/>
          <w:szCs w:val="21"/>
          <w:lang w:eastAsia="zh-CN"/>
        </w:rPr>
        <w:t>约定的</w:t>
      </w:r>
      <w:r>
        <w:rPr>
          <w:rFonts w:ascii="宋体" w:eastAsia="宋体" w:hAnsi="宋体" w:cs="宋体" w:hint="eastAsia"/>
          <w:kern w:val="2"/>
          <w:sz w:val="21"/>
          <w:szCs w:val="21"/>
          <w:lang w:eastAsia="zh-CN"/>
        </w:rPr>
        <w:t>品牌、规格型号、技术性能、配置、质量、数量等要求。</w:t>
      </w:r>
      <w:r>
        <w:rPr>
          <w:rFonts w:ascii="宋体" w:eastAsia="宋体" w:hAnsi="宋体" w:hint="eastAsia"/>
          <w:kern w:val="2"/>
          <w:sz w:val="21"/>
          <w:szCs w:val="21"/>
          <w:lang w:eastAsia="zh-CN"/>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widowControl w:val="0"/>
        <w:adjustRightInd w:val="0"/>
        <w:snapToGrid w:val="0"/>
        <w:spacing w:after="160" w:line="400" w:lineRule="exact"/>
        <w:ind w:firstLine="420" w:firstLineChars="200"/>
        <w:jc w:val="left"/>
        <w:rPr>
          <w:rFonts w:ascii="宋体" w:eastAsia="宋体" w:hAnsi="宋体" w:cs="Courier New"/>
          <w:kern w:val="2"/>
          <w:sz w:val="21"/>
          <w:szCs w:val="21"/>
          <w:lang w:eastAsia="zh-CN"/>
        </w:rPr>
      </w:pPr>
      <w:r>
        <w:rPr>
          <w:rFonts w:ascii="宋体" w:eastAsia="宋体" w:hAnsi="宋体" w:cs="Courier New" w:hint="eastAsia"/>
          <w:kern w:val="2"/>
          <w:sz w:val="21"/>
          <w:szCs w:val="21"/>
          <w:lang w:eastAsia="zh-CN"/>
        </w:rPr>
        <w:t>（2）采用中华人民共和国法定计量单位。</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（3）乙方所提供的货物应符合国家有关安全、环保、卫生的规定。</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（4）乙方应向甲方提交所提供货物的技术文件，包括相应的中文技术文件，如：产品目录、图纸、操作手册、使用说明、维护手册或服务指南等。上述文件应包装好随货物一同发运。</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8.2 保证</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（1）乙方应保证提供的货物完全符合合同规定的质量、规格和性能要求。乙方应保证货物在正确安装、正常使用和保养条件下，</w:t>
      </w:r>
      <w:r>
        <w:rPr>
          <w:rFonts w:ascii="宋体" w:eastAsia="宋体" w:hAnsi="宋体" w:cs="宋体" w:hint="eastAsia"/>
          <w:kern w:val="2"/>
          <w:sz w:val="21"/>
          <w:szCs w:val="21"/>
          <w:lang w:eastAsia="zh-CN"/>
        </w:rPr>
        <w:t>在其使用寿命期内具备合同约定的性能</w:t>
      </w:r>
      <w:r>
        <w:rPr>
          <w:rFonts w:ascii="宋体" w:eastAsia="宋体" w:hAnsi="宋体" w:hint="eastAsia"/>
          <w:kern w:val="2"/>
          <w:sz w:val="21"/>
          <w:szCs w:val="21"/>
          <w:lang w:eastAsia="zh-CN"/>
        </w:rPr>
        <w:t>。存在质量保证期的，货物最终交付验收合格后在</w:t>
      </w:r>
      <w:r>
        <w:rPr>
          <w:rFonts w:ascii="宋体" w:eastAsia="宋体" w:hAnsi="宋体" w:hint="eastAsia"/>
          <w:b/>
          <w:kern w:val="2"/>
          <w:sz w:val="21"/>
          <w:szCs w:val="21"/>
          <w:lang w:eastAsia="zh-CN"/>
        </w:rPr>
        <w:t>【采购合同专用条款】</w:t>
      </w:r>
      <w:r>
        <w:rPr>
          <w:rFonts w:ascii="宋体" w:eastAsia="宋体" w:hAnsi="宋体" w:hint="eastAsia"/>
          <w:kern w:val="2"/>
          <w:sz w:val="21"/>
          <w:szCs w:val="21"/>
          <w:lang w:eastAsia="zh-CN"/>
        </w:rPr>
        <w:t>规定或乙方书面承诺（两者以较长的为准）的质量保证期内，本保证保持有效。</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（2）在质量保证期内所发现的缺陷，甲方应尽快以书面形式通知乙方。</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（3）乙方收到通知后，应在</w:t>
      </w:r>
      <w:r>
        <w:rPr>
          <w:rFonts w:ascii="宋体" w:eastAsia="宋体" w:hAnsi="宋体" w:hint="eastAsia"/>
          <w:b/>
          <w:kern w:val="2"/>
          <w:sz w:val="21"/>
          <w:szCs w:val="21"/>
          <w:lang w:eastAsia="zh-CN"/>
        </w:rPr>
        <w:t>【采购合同专用条款】</w:t>
      </w:r>
      <w:r>
        <w:rPr>
          <w:rFonts w:ascii="宋体" w:eastAsia="宋体" w:hAnsi="宋体" w:hint="eastAsia"/>
          <w:kern w:val="2"/>
          <w:sz w:val="21"/>
          <w:szCs w:val="21"/>
          <w:lang w:eastAsia="zh-CN"/>
        </w:rPr>
        <w:t>规定的响应时间内以合理的速度免费维修或更换有缺陷的货物或部件。</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（4）在质量保证期内，如果货物的质量或规格与合同不符，或证实货物是有缺陷的，包括潜在的缺陷或使用不符合要求的材料等，甲方可以根据本合同第1</w:t>
      </w:r>
      <w:r>
        <w:rPr>
          <w:rFonts w:ascii="宋体" w:eastAsia="宋体" w:hAnsi="宋体" w:hint="eastAsia"/>
          <w:color w:val="000000"/>
          <w:kern w:val="2"/>
          <w:sz w:val="21"/>
          <w:szCs w:val="21"/>
          <w:lang w:eastAsia="zh-CN"/>
        </w:rPr>
        <w:t>5</w:t>
      </w:r>
      <w:r>
        <w:rPr>
          <w:rFonts w:ascii="宋体" w:eastAsia="宋体" w:hAnsi="宋体" w:hint="eastAsia"/>
          <w:kern w:val="2"/>
          <w:sz w:val="21"/>
          <w:szCs w:val="21"/>
          <w:lang w:eastAsia="zh-CN"/>
        </w:rPr>
        <w:t>.1条规定以书面形式</w:t>
      </w:r>
      <w:r>
        <w:rPr>
          <w:rFonts w:ascii="宋体" w:eastAsia="宋体" w:hAnsi="宋体" w:hint="eastAsia"/>
          <w:color w:val="000000"/>
          <w:kern w:val="2"/>
          <w:sz w:val="21"/>
          <w:szCs w:val="21"/>
          <w:lang w:eastAsia="zh-CN"/>
        </w:rPr>
        <w:t>追究</w:t>
      </w:r>
      <w:r>
        <w:rPr>
          <w:rFonts w:ascii="宋体" w:eastAsia="宋体" w:hAnsi="宋体" w:hint="eastAsia"/>
          <w:kern w:val="2"/>
          <w:sz w:val="21"/>
          <w:szCs w:val="21"/>
          <w:lang w:eastAsia="zh-CN"/>
        </w:rPr>
        <w:t>乙方</w:t>
      </w:r>
      <w:r>
        <w:rPr>
          <w:rFonts w:ascii="宋体" w:eastAsia="宋体" w:hAnsi="宋体" w:hint="eastAsia"/>
          <w:color w:val="000000"/>
          <w:kern w:val="2"/>
          <w:sz w:val="21"/>
          <w:szCs w:val="21"/>
          <w:lang w:eastAsia="zh-CN"/>
        </w:rPr>
        <w:t>的违约责任</w:t>
      </w:r>
      <w:r>
        <w:rPr>
          <w:rFonts w:ascii="宋体" w:eastAsia="宋体" w:hAnsi="宋体" w:hint="eastAsia"/>
          <w:kern w:val="2"/>
          <w:sz w:val="21"/>
          <w:szCs w:val="21"/>
          <w:lang w:eastAsia="zh-CN"/>
        </w:rPr>
        <w:t>。</w:t>
      </w:r>
    </w:p>
    <w:p>
      <w:pPr>
        <w:widowControl w:val="0"/>
        <w:adjustRightInd w:val="0"/>
        <w:snapToGrid w:val="0"/>
        <w:spacing w:after="160" w:line="400" w:lineRule="exact"/>
        <w:ind w:firstLine="420" w:firstLineChars="200"/>
        <w:jc w:val="left"/>
        <w:rPr>
          <w:rFonts w:eastAsia="宋体"/>
          <w:kern w:val="2"/>
          <w:sz w:val="21"/>
          <w:lang w:eastAsia="zh-CN"/>
        </w:rPr>
      </w:pPr>
      <w:r>
        <w:rPr>
          <w:rFonts w:ascii="宋体" w:eastAsia="宋体" w:hAnsi="宋体" w:hint="eastAsia"/>
          <w:kern w:val="2"/>
          <w:sz w:val="21"/>
          <w:szCs w:val="21"/>
          <w:lang w:eastAsia="zh-CN"/>
        </w:rPr>
        <w:t>（5）乙方在约定的时间内未能弥补缺陷，甲方可采取必要的补救措施，但其风险和费用将由乙方承担，甲方根据合同约定对乙方行使的其他权利不受影响。</w:t>
      </w:r>
    </w:p>
    <w:p>
      <w:pPr>
        <w:widowControl w:val="0"/>
        <w:adjustRightInd w:val="0"/>
        <w:snapToGrid w:val="0"/>
        <w:spacing w:after="160" w:line="400" w:lineRule="exact"/>
        <w:jc w:val="left"/>
        <w:rPr>
          <w:rFonts w:ascii="宋体" w:eastAsia="宋体" w:hAnsi="宋体"/>
          <w:b/>
          <w:bCs/>
          <w:kern w:val="2"/>
          <w:lang w:eastAsia="zh-CN"/>
        </w:rPr>
      </w:pPr>
      <w:r>
        <w:rPr>
          <w:rFonts w:ascii="宋体" w:eastAsia="宋体" w:hAnsi="宋体" w:hint="eastAsia"/>
          <w:b/>
          <w:bCs/>
          <w:color w:val="000000"/>
          <w:kern w:val="2"/>
          <w:lang w:eastAsia="zh-CN"/>
        </w:rPr>
        <w:t>9</w:t>
      </w:r>
      <w:r>
        <w:rPr>
          <w:rFonts w:ascii="宋体" w:eastAsia="宋体" w:hAnsi="宋体" w:hint="eastAsia"/>
          <w:b/>
          <w:bCs/>
          <w:kern w:val="2"/>
          <w:lang w:eastAsia="zh-CN"/>
        </w:rPr>
        <w:t>.</w:t>
      </w:r>
      <w:r>
        <w:rPr>
          <w:rFonts w:ascii="宋体" w:eastAsia="宋体" w:hAnsi="宋体" w:hint="eastAsia"/>
          <w:b/>
          <w:bCs/>
          <w:color w:val="000000"/>
          <w:kern w:val="2"/>
          <w:lang w:eastAsia="zh-CN"/>
        </w:rPr>
        <w:t xml:space="preserve"> </w:t>
      </w:r>
      <w:r>
        <w:rPr>
          <w:rFonts w:ascii="宋体" w:eastAsia="宋体" w:hAnsi="宋体" w:hint="eastAsia"/>
          <w:b/>
          <w:bCs/>
          <w:kern w:val="2"/>
          <w:lang w:eastAsia="zh-CN"/>
        </w:rPr>
        <w:t>权利瑕疵担保</w:t>
      </w:r>
    </w:p>
    <w:p>
      <w:pPr>
        <w:widowControl w:val="0"/>
        <w:autoSpaceDE w:val="0"/>
        <w:autoSpaceDN w:val="0"/>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9.1 乙方保证对其出售的货物享有合法的权利。</w:t>
      </w:r>
    </w:p>
    <w:p>
      <w:pPr>
        <w:widowControl w:val="0"/>
        <w:autoSpaceDE w:val="0"/>
        <w:autoSpaceDN w:val="0"/>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 xml:space="preserve">9.2 </w:t>
      </w:r>
      <w:r>
        <w:rPr>
          <w:rFonts w:ascii="宋体" w:eastAsia="宋体" w:hAnsi="宋体" w:cs="宋体" w:hint="eastAsia"/>
          <w:kern w:val="2"/>
          <w:sz w:val="21"/>
          <w:szCs w:val="15"/>
          <w:lang w:eastAsia="zh-CN"/>
        </w:rPr>
        <w:t>乙方保证在交付的货物上不存在抵押权等担保物权。</w:t>
      </w:r>
    </w:p>
    <w:p>
      <w:pPr>
        <w:widowControl w:val="0"/>
        <w:autoSpaceDE w:val="0"/>
        <w:autoSpaceDN w:val="0"/>
        <w:adjustRightInd w:val="0"/>
        <w:snapToGrid w:val="0"/>
        <w:spacing w:after="160" w:line="400" w:lineRule="exact"/>
        <w:ind w:firstLine="420" w:firstLineChars="200"/>
        <w:jc w:val="left"/>
        <w:rPr>
          <w:rFonts w:ascii="宋体" w:eastAsia="宋体" w:hAnsi="宋体"/>
          <w:color w:val="000000"/>
          <w:kern w:val="2"/>
          <w:sz w:val="21"/>
          <w:szCs w:val="21"/>
          <w:lang w:eastAsia="zh-CN"/>
        </w:rPr>
      </w:pPr>
      <w:r>
        <w:rPr>
          <w:rFonts w:ascii="宋体" w:eastAsia="宋体" w:hAnsi="宋体" w:hint="eastAsia"/>
          <w:color w:val="000000"/>
          <w:kern w:val="2"/>
          <w:sz w:val="21"/>
          <w:szCs w:val="21"/>
          <w:lang w:eastAsia="zh-CN"/>
        </w:rPr>
        <w:t>9.3 如甲方使用上述货物构成对第三人侵权的，则由乙方承担全部责任。</w:t>
      </w:r>
    </w:p>
    <w:p>
      <w:pPr>
        <w:widowControl w:val="0"/>
        <w:autoSpaceDE w:val="0"/>
        <w:autoSpaceDN w:val="0"/>
        <w:adjustRightInd w:val="0"/>
        <w:snapToGrid w:val="0"/>
        <w:spacing w:after="160" w:line="400" w:lineRule="exact"/>
        <w:jc w:val="left"/>
        <w:rPr>
          <w:rFonts w:ascii="宋体" w:eastAsia="宋体" w:hAnsi="宋体"/>
          <w:b/>
          <w:bCs/>
          <w:color w:val="000000"/>
          <w:kern w:val="2"/>
          <w:lang w:eastAsia="zh-CN"/>
        </w:rPr>
      </w:pPr>
      <w:r>
        <w:rPr>
          <w:rFonts w:ascii="宋体" w:eastAsia="宋体" w:hAnsi="宋体" w:hint="eastAsia"/>
          <w:b/>
          <w:bCs/>
          <w:color w:val="000000"/>
          <w:kern w:val="2"/>
          <w:lang w:eastAsia="zh-CN"/>
        </w:rPr>
        <w:t>10. 知识产权保护</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color w:val="000000"/>
          <w:kern w:val="2"/>
          <w:sz w:val="21"/>
          <w:szCs w:val="21"/>
          <w:lang w:eastAsia="zh-CN"/>
        </w:rPr>
        <w:t>10.1 乙方对其所销售的货物应当享有知识产权或经权利人合法授权，保证没有侵犯任</w:t>
      </w:r>
      <w:r>
        <w:rPr>
          <w:rFonts w:ascii="宋体" w:eastAsia="宋体" w:hAnsi="宋体" w:hint="eastAsia"/>
          <w:kern w:val="2"/>
          <w:sz w:val="21"/>
          <w:szCs w:val="21"/>
          <w:lang w:eastAsia="zh-CN"/>
        </w:rPr>
        <w:t>何第三人的知识产权等权利。</w:t>
      </w:r>
      <w:bookmarkStart w:id="66" w:name="_Hlk163047038"/>
      <w:r>
        <w:rPr>
          <w:rFonts w:ascii="宋体" w:eastAsia="宋体" w:hAnsi="宋体" w:cs="宋体" w:hint="eastAsia"/>
          <w:kern w:val="2"/>
          <w:sz w:val="21"/>
          <w:szCs w:val="15"/>
          <w:lang w:eastAsia="zh-CN"/>
        </w:rPr>
        <w:t>因违反前述约定对第三人构成侵权的，应当由乙方向第三人承担法律责任；甲方依法向第三人赔偿后，有权向乙方追偿。甲方有其他损失的，乙方应当赔偿</w:t>
      </w:r>
      <w:bookmarkEnd w:id="66"/>
      <w:r>
        <w:rPr>
          <w:rFonts w:ascii="宋体" w:eastAsia="宋体" w:hAnsi="宋体" w:hint="eastAsia"/>
          <w:kern w:val="2"/>
          <w:sz w:val="21"/>
          <w:szCs w:val="21"/>
          <w:lang w:eastAsia="zh-CN"/>
        </w:rPr>
        <w:t>。</w:t>
      </w:r>
    </w:p>
    <w:p>
      <w:pPr>
        <w:widowControl w:val="0"/>
        <w:autoSpaceDE w:val="0"/>
        <w:autoSpaceDN w:val="0"/>
        <w:adjustRightInd w:val="0"/>
        <w:snapToGrid w:val="0"/>
        <w:spacing w:after="160" w:line="400" w:lineRule="exact"/>
        <w:jc w:val="left"/>
        <w:rPr>
          <w:rFonts w:ascii="宋体" w:eastAsia="宋体" w:hAnsi="宋体"/>
          <w:b/>
          <w:bCs/>
          <w:kern w:val="2"/>
          <w:lang w:eastAsia="zh-CN"/>
        </w:rPr>
      </w:pPr>
      <w:r>
        <w:rPr>
          <w:rFonts w:ascii="宋体" w:eastAsia="宋体" w:hAnsi="宋体" w:hint="eastAsia"/>
          <w:b/>
          <w:bCs/>
          <w:kern w:val="2"/>
          <w:lang w:eastAsia="zh-CN"/>
        </w:rPr>
        <w:t>11. 保密义务</w:t>
      </w:r>
    </w:p>
    <w:p>
      <w:pPr>
        <w:widowControl w:val="0"/>
        <w:autoSpaceDE w:val="0"/>
        <w:autoSpaceDN w:val="0"/>
        <w:adjustRightInd w:val="0"/>
        <w:snapToGrid w:val="0"/>
        <w:spacing w:after="160" w:line="400" w:lineRule="exact"/>
        <w:ind w:firstLine="420" w:firstLineChars="200"/>
        <w:jc w:val="left"/>
        <w:rPr>
          <w:rFonts w:ascii="宋体" w:eastAsia="宋体" w:hAnsi="宋体" w:cs="宋体"/>
          <w:kern w:val="2"/>
          <w:sz w:val="21"/>
          <w:szCs w:val="15"/>
          <w:lang w:eastAsia="zh-CN"/>
        </w:rPr>
      </w:pPr>
      <w:r>
        <w:rPr>
          <w:rFonts w:ascii="宋体" w:eastAsia="宋体" w:hAnsi="宋体" w:cs="宋体" w:hint="eastAsia"/>
          <w:kern w:val="2"/>
          <w:sz w:val="21"/>
          <w:szCs w:val="15"/>
          <w:lang w:eastAsia="zh-CN"/>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宋体" w:eastAsia="宋体" w:hAnsi="宋体" w:cs="宋体" w:hint="eastAsia"/>
          <w:b/>
          <w:bCs/>
          <w:kern w:val="2"/>
          <w:sz w:val="21"/>
          <w:szCs w:val="15"/>
          <w:lang w:eastAsia="zh-CN"/>
        </w:rPr>
        <w:t>【采购合同专用条款】</w:t>
      </w:r>
      <w:r>
        <w:rPr>
          <w:rFonts w:ascii="宋体" w:eastAsia="宋体" w:hAnsi="宋体" w:cs="宋体" w:hint="eastAsia"/>
          <w:kern w:val="2"/>
          <w:sz w:val="21"/>
          <w:szCs w:val="15"/>
          <w:lang w:eastAsia="zh-CN"/>
        </w:rPr>
        <w:t>中约定。</w:t>
      </w:r>
    </w:p>
    <w:p>
      <w:pPr>
        <w:widowControl w:val="0"/>
        <w:autoSpaceDE w:val="0"/>
        <w:autoSpaceDN w:val="0"/>
        <w:adjustRightInd w:val="0"/>
        <w:snapToGrid w:val="0"/>
        <w:spacing w:after="160" w:line="400" w:lineRule="exact"/>
        <w:jc w:val="left"/>
        <w:rPr>
          <w:rFonts w:ascii="宋体" w:eastAsia="宋体" w:hAnsi="宋体"/>
          <w:b/>
          <w:bCs/>
          <w:kern w:val="2"/>
          <w:lang w:eastAsia="zh-CN"/>
        </w:rPr>
      </w:pPr>
      <w:r>
        <w:rPr>
          <w:rFonts w:ascii="宋体" w:eastAsia="宋体" w:hAnsi="宋体" w:hint="eastAsia"/>
          <w:b/>
          <w:bCs/>
          <w:kern w:val="2"/>
          <w:lang w:eastAsia="zh-CN"/>
        </w:rPr>
        <w:t>12. 合同价款支付</w:t>
      </w:r>
    </w:p>
    <w:p>
      <w:pPr>
        <w:widowControl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12.1 合同价款支付按照国库集中支付制度及财政管理相关规定执行。</w:t>
      </w:r>
    </w:p>
    <w:p>
      <w:pPr>
        <w:widowControl w:val="0"/>
        <w:autoSpaceDE w:val="0"/>
        <w:autoSpaceDN w:val="0"/>
        <w:adjustRightInd w:val="0"/>
        <w:snapToGrid w:val="0"/>
        <w:spacing w:after="160" w:line="400" w:lineRule="exact"/>
        <w:ind w:firstLine="420" w:firstLineChars="200"/>
        <w:jc w:val="left"/>
        <w:rPr>
          <w:rFonts w:ascii="Arial" w:eastAsia="宋体" w:hAnsi="Arial"/>
          <w:b/>
          <w:bCs/>
          <w:kern w:val="2"/>
          <w:szCs w:val="32"/>
          <w:lang w:eastAsia="zh-CN"/>
        </w:rPr>
      </w:pPr>
      <w:r>
        <w:rPr>
          <w:rFonts w:ascii="宋体" w:eastAsia="宋体" w:hAnsi="宋体" w:hint="eastAsia"/>
          <w:kern w:val="2"/>
          <w:sz w:val="21"/>
          <w:szCs w:val="21"/>
          <w:lang w:eastAsia="zh-CN"/>
        </w:rPr>
        <w:t>12.2 对于满足合同约定支付条件的，甲方原则上应当自收到发票后10个工作日内将资金</w:t>
      </w:r>
      <w:r>
        <w:rPr>
          <w:rFonts w:ascii="宋体" w:eastAsia="宋体" w:hAnsi="宋体" w:cs="宋体" w:hint="eastAsia"/>
          <w:kern w:val="2"/>
          <w:sz w:val="21"/>
          <w:szCs w:val="15"/>
          <w:lang w:eastAsia="zh-CN"/>
        </w:rPr>
        <w:t>支付</w:t>
      </w:r>
      <w:r>
        <w:rPr>
          <w:rFonts w:ascii="宋体" w:eastAsia="宋体" w:hAnsi="宋体" w:hint="eastAsia"/>
          <w:kern w:val="2"/>
          <w:sz w:val="21"/>
          <w:szCs w:val="21"/>
          <w:lang w:eastAsia="zh-CN"/>
        </w:rPr>
        <w:t>到合同约定的乙方账户，不得以机构变动、人员更替、政策调整等为由迟延付款，不得将采购文件和合同中未规定的义务作为向乙方付款的条件。具体合同价款支付时间在【</w:t>
      </w:r>
      <w:r>
        <w:rPr>
          <w:rFonts w:ascii="宋体" w:eastAsia="宋体" w:hAnsi="宋体" w:hint="eastAsia"/>
          <w:b/>
          <w:bCs/>
          <w:kern w:val="2"/>
          <w:sz w:val="21"/>
          <w:szCs w:val="21"/>
          <w:lang w:eastAsia="zh-CN"/>
        </w:rPr>
        <w:t>采购合同专用条款</w:t>
      </w:r>
      <w:r>
        <w:rPr>
          <w:rFonts w:ascii="宋体" w:eastAsia="宋体" w:hAnsi="宋体" w:hint="eastAsia"/>
          <w:kern w:val="2"/>
          <w:sz w:val="21"/>
          <w:szCs w:val="21"/>
          <w:lang w:eastAsia="zh-CN"/>
        </w:rPr>
        <w:t>】中约定。</w:t>
      </w:r>
    </w:p>
    <w:p>
      <w:pPr>
        <w:widowControl w:val="0"/>
        <w:spacing w:after="160" w:line="400" w:lineRule="exact"/>
        <w:jc w:val="both"/>
        <w:rPr>
          <w:rFonts w:ascii="宋体" w:eastAsia="宋体" w:hAnsi="宋体"/>
          <w:b/>
          <w:bCs/>
          <w:kern w:val="2"/>
          <w:lang w:eastAsia="zh-CN"/>
        </w:rPr>
      </w:pPr>
      <w:r>
        <w:rPr>
          <w:rFonts w:ascii="宋体" w:eastAsia="宋体" w:hAnsi="宋体" w:hint="eastAsia"/>
          <w:b/>
          <w:bCs/>
          <w:kern w:val="2"/>
          <w:lang w:eastAsia="zh-CN"/>
        </w:rPr>
        <w:t>13. 履约保证金</w:t>
      </w:r>
    </w:p>
    <w:p>
      <w:pPr>
        <w:widowControl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 xml:space="preserve">13.1 </w:t>
      </w:r>
      <w:r>
        <w:rPr>
          <w:rFonts w:ascii="宋体" w:eastAsia="宋体" w:hAnsi="宋体" w:cs="宋体" w:hint="eastAsia"/>
          <w:kern w:val="2"/>
          <w:sz w:val="21"/>
          <w:szCs w:val="15"/>
          <w:lang w:eastAsia="zh-CN"/>
        </w:rPr>
        <w:t>乙方应当以支票、汇票、本票或者金融机构、担保机构出具的保函等非现金形式提交。</w:t>
      </w:r>
    </w:p>
    <w:p>
      <w:pPr>
        <w:widowControl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13.2 如果乙方出现</w:t>
      </w:r>
      <w:r>
        <w:rPr>
          <w:rFonts w:ascii="宋体" w:eastAsia="宋体" w:hAnsi="宋体" w:cs="宋体" w:hint="eastAsia"/>
          <w:b/>
          <w:bCs/>
          <w:kern w:val="2"/>
          <w:sz w:val="21"/>
          <w:szCs w:val="15"/>
          <w:lang w:eastAsia="zh-CN"/>
        </w:rPr>
        <w:t>【采购合同专用条款】</w:t>
      </w:r>
      <w:r>
        <w:rPr>
          <w:rFonts w:ascii="宋体" w:eastAsia="宋体" w:hAnsi="宋体" w:cs="宋体" w:hint="eastAsia"/>
          <w:kern w:val="2"/>
          <w:sz w:val="21"/>
          <w:szCs w:val="15"/>
          <w:lang w:eastAsia="zh-CN"/>
        </w:rPr>
        <w:t>约定情形的</w:t>
      </w:r>
      <w:r>
        <w:rPr>
          <w:rFonts w:ascii="宋体" w:eastAsia="宋体" w:hAnsi="宋体" w:hint="eastAsia"/>
          <w:kern w:val="2"/>
          <w:sz w:val="21"/>
          <w:szCs w:val="21"/>
          <w:lang w:eastAsia="zh-CN"/>
        </w:rPr>
        <w:t>，履约保证金不予退还；如果乙方未能按合同约定全面履行义务，甲方有权从履约保证金中取得补偿或赔偿，且不影响甲方要求乙方承担合同约定的超过履约保证金的违约责任的权利。</w:t>
      </w:r>
    </w:p>
    <w:p>
      <w:pPr>
        <w:widowControl w:val="0"/>
        <w:spacing w:after="160" w:line="400" w:lineRule="exact"/>
        <w:ind w:firstLine="420"/>
        <w:jc w:val="both"/>
        <w:rPr>
          <w:rFonts w:eastAsia="宋体"/>
          <w:kern w:val="2"/>
          <w:sz w:val="21"/>
          <w:lang w:eastAsia="zh-CN"/>
        </w:rPr>
      </w:pPr>
      <w:r>
        <w:rPr>
          <w:rFonts w:ascii="宋体" w:eastAsia="宋体" w:hAnsi="宋体" w:hint="eastAsia"/>
          <w:kern w:val="2"/>
          <w:sz w:val="21"/>
          <w:szCs w:val="21"/>
          <w:lang w:eastAsia="zh-CN"/>
        </w:rPr>
        <w:t>13.3 甲方在项目通过验收后按照</w:t>
      </w:r>
      <w:r>
        <w:rPr>
          <w:rFonts w:ascii="宋体" w:eastAsia="宋体" w:hAnsi="宋体" w:hint="eastAsia"/>
          <w:b/>
          <w:kern w:val="2"/>
          <w:sz w:val="21"/>
          <w:szCs w:val="21"/>
          <w:lang w:eastAsia="zh-CN"/>
        </w:rPr>
        <w:t>【采购合同专用条款】</w:t>
      </w:r>
      <w:r>
        <w:rPr>
          <w:rFonts w:ascii="宋体" w:eastAsia="宋体" w:hAnsi="宋体" w:hint="eastAsia"/>
          <w:kern w:val="2"/>
          <w:sz w:val="21"/>
          <w:szCs w:val="21"/>
          <w:lang w:eastAsia="zh-CN"/>
        </w:rPr>
        <w:t>规定的时间内将履约保证金退还乙方；逾期退还的，乙方可要求甲方支付违约金，违约金按照</w:t>
      </w:r>
      <w:r>
        <w:rPr>
          <w:rFonts w:ascii="宋体" w:eastAsia="宋体" w:hAnsi="宋体" w:hint="eastAsia"/>
          <w:b/>
          <w:kern w:val="2"/>
          <w:sz w:val="21"/>
          <w:szCs w:val="21"/>
          <w:lang w:eastAsia="zh-CN"/>
        </w:rPr>
        <w:t>【采购合同专用条款】</w:t>
      </w:r>
      <w:r>
        <w:rPr>
          <w:rFonts w:ascii="宋体" w:eastAsia="宋体" w:hAnsi="宋体" w:hint="eastAsia"/>
          <w:kern w:val="2"/>
          <w:sz w:val="21"/>
          <w:szCs w:val="21"/>
          <w:lang w:eastAsia="zh-CN"/>
        </w:rPr>
        <w:t>规定支付。</w:t>
      </w:r>
    </w:p>
    <w:p>
      <w:pPr>
        <w:widowControl w:val="0"/>
        <w:autoSpaceDE w:val="0"/>
        <w:autoSpaceDN w:val="0"/>
        <w:adjustRightInd w:val="0"/>
        <w:snapToGrid w:val="0"/>
        <w:spacing w:after="160" w:line="400" w:lineRule="exact"/>
        <w:jc w:val="left"/>
        <w:rPr>
          <w:rFonts w:ascii="宋体" w:eastAsia="宋体" w:hAnsi="宋体"/>
          <w:b/>
          <w:kern w:val="2"/>
          <w:lang w:eastAsia="zh-CN"/>
        </w:rPr>
      </w:pPr>
      <w:r>
        <w:rPr>
          <w:rFonts w:ascii="宋体" w:eastAsia="宋体" w:hAnsi="宋体" w:hint="eastAsia"/>
          <w:b/>
          <w:bCs/>
          <w:kern w:val="2"/>
          <w:lang w:eastAsia="zh-CN"/>
        </w:rPr>
        <w:t xml:space="preserve">14. </w:t>
      </w:r>
      <w:r>
        <w:rPr>
          <w:rFonts w:eastAsia="宋体" w:hint="eastAsia"/>
          <w:b/>
          <w:kern w:val="2"/>
          <w:lang w:eastAsia="zh-CN"/>
        </w:rPr>
        <w:t>售后</w:t>
      </w:r>
      <w:r>
        <w:rPr>
          <w:rFonts w:ascii="宋体" w:eastAsia="宋体" w:hAnsi="宋体" w:hint="eastAsia"/>
          <w:b/>
          <w:kern w:val="2"/>
          <w:lang w:eastAsia="zh-CN"/>
        </w:rPr>
        <w:t>服务</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14.1 除项目不涉及或采购活动中明确约定无须承担外，乙方还应提供下列服务：</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（1）货物的现场移动、安装、调试、启动监督及技术支持；</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（2）提供货物组装和维修所需的专用工具和辅助材料；</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（3）在</w:t>
      </w:r>
      <w:r>
        <w:rPr>
          <w:rFonts w:ascii="宋体" w:eastAsia="宋体" w:hAnsi="宋体" w:cs="宋体" w:hint="eastAsia"/>
          <w:b/>
          <w:bCs/>
          <w:kern w:val="2"/>
          <w:sz w:val="21"/>
          <w:szCs w:val="15"/>
          <w:lang w:eastAsia="zh-CN"/>
        </w:rPr>
        <w:t>【采购合同专用条款】</w:t>
      </w:r>
      <w:r>
        <w:rPr>
          <w:rFonts w:ascii="宋体" w:eastAsia="宋体" w:hAnsi="宋体" w:hint="eastAsia"/>
          <w:kern w:val="2"/>
          <w:sz w:val="21"/>
          <w:szCs w:val="21"/>
          <w:lang w:eastAsia="zh-CN"/>
        </w:rPr>
        <w:t>约定的期限内对所有的货物实施运行监督、维修，但前提条件是该服务并不能免除乙方在质量保证期内所承担的义务；</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（4）在制造商所在地或指定现场就货物的安装、启动、运营、维护、废弃处置等对甲方操作人员进行培训</w:t>
      </w:r>
      <w:r>
        <w:rPr>
          <w:rFonts w:ascii="宋体" w:eastAsia="宋体" w:hAnsi="宋体" w:cs="宋体" w:hint="eastAsia"/>
          <w:kern w:val="2"/>
          <w:sz w:val="21"/>
          <w:szCs w:val="15"/>
          <w:lang w:eastAsia="zh-CN"/>
        </w:rPr>
        <w:t>；</w:t>
      </w:r>
    </w:p>
    <w:p>
      <w:pPr>
        <w:widowControl w:val="0"/>
        <w:autoSpaceDE w:val="0"/>
        <w:autoSpaceDN w:val="0"/>
        <w:adjustRightInd w:val="0"/>
        <w:spacing w:after="160" w:line="40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（5）依照法律、行政法规的规定或者按照</w:t>
      </w:r>
      <w:r>
        <w:rPr>
          <w:rFonts w:ascii="宋体" w:eastAsia="宋体" w:hAnsi="宋体" w:cs="宋体" w:hint="eastAsia"/>
          <w:b/>
          <w:bCs/>
          <w:kern w:val="2"/>
          <w:sz w:val="21"/>
          <w:szCs w:val="21"/>
          <w:lang w:eastAsia="zh-CN"/>
        </w:rPr>
        <w:t>【采购合同专用条款】</w:t>
      </w:r>
      <w:r>
        <w:rPr>
          <w:rFonts w:ascii="宋体" w:eastAsia="宋体" w:hAnsi="宋体" w:cs="宋体" w:hint="eastAsia"/>
          <w:kern w:val="2"/>
          <w:sz w:val="21"/>
          <w:szCs w:val="21"/>
          <w:lang w:eastAsia="zh-CN"/>
        </w:rPr>
        <w:t>约定，货物在有效使用年限届满后应予回收的，乙方负有自行或者委托第三人对货物予以回收的义务；</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（6）</w:t>
      </w:r>
      <w:r>
        <w:rPr>
          <w:rFonts w:ascii="宋体" w:eastAsia="宋体" w:hAnsi="宋体" w:hint="eastAsia"/>
          <w:b/>
          <w:kern w:val="2"/>
          <w:sz w:val="21"/>
          <w:szCs w:val="21"/>
          <w:lang w:eastAsia="zh-CN"/>
        </w:rPr>
        <w:t>【采购合同专用条款】</w:t>
      </w:r>
      <w:r>
        <w:rPr>
          <w:rFonts w:ascii="宋体" w:eastAsia="宋体" w:hAnsi="宋体" w:hint="eastAsia"/>
          <w:kern w:val="2"/>
          <w:sz w:val="21"/>
          <w:szCs w:val="21"/>
          <w:lang w:eastAsia="zh-CN"/>
        </w:rPr>
        <w:t>规定由乙方提供的其他服务。</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14.2 乙方提供的售后服务的费用已包含在合同价款中，甲方不再另行支付。</w:t>
      </w:r>
    </w:p>
    <w:p>
      <w:pPr>
        <w:widowControl w:val="0"/>
        <w:adjustRightInd w:val="0"/>
        <w:snapToGrid w:val="0"/>
        <w:spacing w:after="160" w:line="400" w:lineRule="exact"/>
        <w:jc w:val="left"/>
        <w:rPr>
          <w:rFonts w:ascii="宋体" w:eastAsia="宋体" w:hAnsi="宋体"/>
          <w:b/>
          <w:bCs/>
          <w:kern w:val="2"/>
          <w:lang w:eastAsia="zh-CN"/>
        </w:rPr>
      </w:pPr>
      <w:r>
        <w:rPr>
          <w:rFonts w:ascii="宋体" w:eastAsia="宋体" w:hAnsi="宋体" w:hint="eastAsia"/>
          <w:b/>
          <w:bCs/>
          <w:kern w:val="2"/>
          <w:lang w:eastAsia="zh-CN"/>
        </w:rPr>
        <w:t>15. 违约责任</w:t>
      </w:r>
    </w:p>
    <w:p>
      <w:pPr>
        <w:widowControl w:val="0"/>
        <w:adjustRightInd w:val="0"/>
        <w:snapToGrid w:val="0"/>
        <w:spacing w:after="160" w:line="400" w:lineRule="exact"/>
        <w:ind w:firstLine="420" w:firstLineChars="200"/>
        <w:jc w:val="left"/>
        <w:rPr>
          <w:rFonts w:ascii="宋体" w:eastAsia="宋体" w:hAnsi="宋体"/>
          <w:bCs/>
          <w:kern w:val="2"/>
          <w:sz w:val="21"/>
          <w:szCs w:val="21"/>
          <w:lang w:eastAsia="zh-CN"/>
        </w:rPr>
      </w:pPr>
      <w:r>
        <w:rPr>
          <w:rFonts w:ascii="宋体" w:eastAsia="宋体" w:hAnsi="宋体" w:hint="eastAsia"/>
          <w:bCs/>
          <w:kern w:val="2"/>
          <w:sz w:val="21"/>
          <w:szCs w:val="21"/>
          <w:lang w:eastAsia="zh-CN"/>
        </w:rPr>
        <w:t>15.1质量瑕疵的违约责任</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乙方提供的产品不符合合同约定的质量标准或存在产品质量缺陷，甲方有权要求乙方根据</w:t>
      </w:r>
      <w:r>
        <w:rPr>
          <w:rFonts w:ascii="宋体" w:eastAsia="宋体" w:hAnsi="宋体" w:hint="eastAsia"/>
          <w:b/>
          <w:kern w:val="2"/>
          <w:sz w:val="21"/>
          <w:szCs w:val="21"/>
          <w:lang w:eastAsia="zh-CN"/>
        </w:rPr>
        <w:t>【采购合同专用条款】</w:t>
      </w:r>
      <w:r>
        <w:rPr>
          <w:rFonts w:ascii="宋体" w:eastAsia="宋体" w:hAnsi="宋体" w:hint="eastAsia"/>
          <w:bCs/>
          <w:kern w:val="2"/>
          <w:sz w:val="21"/>
          <w:szCs w:val="21"/>
          <w:lang w:eastAsia="zh-CN"/>
        </w:rPr>
        <w:t>要求</w:t>
      </w:r>
      <w:r>
        <w:rPr>
          <w:rFonts w:ascii="宋体" w:eastAsia="宋体" w:hAnsi="宋体" w:hint="eastAsia"/>
          <w:kern w:val="2"/>
          <w:sz w:val="21"/>
          <w:szCs w:val="21"/>
          <w:lang w:eastAsia="zh-CN"/>
        </w:rPr>
        <w:t>及时修理、重作、更换，并承担由此给甲方造成的损失。</w:t>
      </w:r>
    </w:p>
    <w:p>
      <w:pPr>
        <w:widowControl w:val="0"/>
        <w:autoSpaceDE w:val="0"/>
        <w:autoSpaceDN w:val="0"/>
        <w:adjustRightInd w:val="0"/>
        <w:snapToGrid w:val="0"/>
        <w:spacing w:after="160" w:line="400" w:lineRule="exact"/>
        <w:ind w:firstLine="420" w:firstLineChars="200"/>
        <w:jc w:val="left"/>
        <w:rPr>
          <w:rFonts w:ascii="宋体" w:eastAsia="宋体" w:hAnsi="宋体"/>
          <w:bCs/>
          <w:kern w:val="2"/>
          <w:sz w:val="21"/>
          <w:szCs w:val="21"/>
          <w:lang w:eastAsia="zh-CN"/>
        </w:rPr>
      </w:pPr>
      <w:r>
        <w:rPr>
          <w:rFonts w:ascii="宋体" w:eastAsia="宋体" w:hAnsi="宋体" w:hint="eastAsia"/>
          <w:bCs/>
          <w:kern w:val="2"/>
          <w:sz w:val="21"/>
          <w:szCs w:val="21"/>
          <w:lang w:eastAsia="zh-CN"/>
        </w:rPr>
        <w:t>15.2 迟延交货的违约责任</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（2）如果乙方没有按照合同规定的时间交货和提供相关服务，甲方有权从货款中扣除误期赔偿费而不影响合同项下的其他补救方法，赔偿费按</w:t>
      </w:r>
      <w:r>
        <w:rPr>
          <w:rFonts w:ascii="宋体" w:eastAsia="宋体" w:hAnsi="宋体" w:hint="eastAsia"/>
          <w:b/>
          <w:kern w:val="2"/>
          <w:sz w:val="21"/>
          <w:szCs w:val="21"/>
          <w:lang w:eastAsia="zh-CN"/>
        </w:rPr>
        <w:t>【采购合同专用条款】</w:t>
      </w:r>
      <w:r>
        <w:rPr>
          <w:rFonts w:ascii="宋体" w:eastAsia="宋体" w:hAnsi="宋体" w:hint="eastAsia"/>
          <w:kern w:val="2"/>
          <w:sz w:val="21"/>
          <w:szCs w:val="21"/>
          <w:lang w:eastAsia="zh-CN"/>
        </w:rPr>
        <w:t>规定执行。如果涉及公共利益，且赔偿金额无法弥补公共利益损失，甲方可要求继续履行或者采取其他补救措施。</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15.3 迟延支付的违约责任</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甲方存在迟延支付乙方合同款项的，应当承担</w:t>
      </w:r>
      <w:r>
        <w:rPr>
          <w:rFonts w:ascii="宋体" w:eastAsia="宋体" w:hAnsi="宋体" w:hint="eastAsia"/>
          <w:b/>
          <w:bCs/>
          <w:kern w:val="2"/>
          <w:sz w:val="21"/>
          <w:szCs w:val="21"/>
          <w:lang w:eastAsia="zh-CN"/>
        </w:rPr>
        <w:t>【采购合同专用条款】</w:t>
      </w:r>
      <w:r>
        <w:rPr>
          <w:rFonts w:ascii="宋体" w:eastAsia="宋体" w:hAnsi="宋体" w:hint="eastAsia"/>
          <w:kern w:val="2"/>
          <w:sz w:val="21"/>
          <w:szCs w:val="21"/>
          <w:lang w:eastAsia="zh-CN"/>
        </w:rPr>
        <w:t>规定的逾期付款利息。</w:t>
      </w:r>
    </w:p>
    <w:p>
      <w:pPr>
        <w:widowControl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bCs/>
          <w:kern w:val="2"/>
          <w:sz w:val="21"/>
          <w:szCs w:val="21"/>
          <w:lang w:eastAsia="zh-CN"/>
        </w:rPr>
        <w:t>15.4其他违约责任根据项目实际需要按</w:t>
      </w:r>
      <w:r>
        <w:rPr>
          <w:rFonts w:ascii="宋体" w:eastAsia="宋体" w:hAnsi="宋体" w:hint="eastAsia"/>
          <w:b/>
          <w:bCs/>
          <w:kern w:val="2"/>
          <w:sz w:val="21"/>
          <w:szCs w:val="21"/>
          <w:lang w:eastAsia="zh-CN"/>
        </w:rPr>
        <w:t>【采购合同专用条款】</w:t>
      </w:r>
      <w:r>
        <w:rPr>
          <w:rFonts w:ascii="宋体" w:eastAsia="宋体" w:hAnsi="宋体" w:hint="eastAsia"/>
          <w:kern w:val="2"/>
          <w:sz w:val="21"/>
          <w:szCs w:val="21"/>
          <w:lang w:eastAsia="zh-CN"/>
        </w:rPr>
        <w:t>规定执行。</w:t>
      </w:r>
    </w:p>
    <w:p>
      <w:pPr>
        <w:widowControl w:val="0"/>
        <w:numPr>
          <w:ilvl w:val="0"/>
          <w:numId w:val="8"/>
        </w:numPr>
        <w:autoSpaceDE w:val="0"/>
        <w:autoSpaceDN w:val="0"/>
        <w:adjustRightInd w:val="0"/>
        <w:snapToGrid w:val="0"/>
        <w:spacing w:after="160" w:line="400" w:lineRule="exact"/>
        <w:jc w:val="left"/>
        <w:rPr>
          <w:rFonts w:ascii="宋体" w:eastAsia="宋体" w:hAnsi="宋体"/>
          <w:b/>
          <w:kern w:val="2"/>
          <w:lang w:eastAsia="zh-CN"/>
        </w:rPr>
      </w:pPr>
      <w:r>
        <w:rPr>
          <w:rFonts w:ascii="宋体" w:eastAsia="宋体" w:hAnsi="宋体" w:hint="eastAsia"/>
          <w:b/>
          <w:kern w:val="2"/>
          <w:lang w:eastAsia="zh-CN"/>
        </w:rPr>
        <w:t>合同变更、中止与终止</w:t>
      </w:r>
    </w:p>
    <w:p>
      <w:pPr>
        <w:widowControl w:val="0"/>
        <w:adjustRightInd w:val="0"/>
        <w:snapToGrid w:val="0"/>
        <w:spacing w:after="160" w:line="400" w:lineRule="exact"/>
        <w:jc w:val="left"/>
        <w:rPr>
          <w:rFonts w:ascii="宋体" w:eastAsia="宋体" w:hAnsi="宋体"/>
          <w:kern w:val="2"/>
          <w:sz w:val="21"/>
          <w:szCs w:val="21"/>
          <w:lang w:eastAsia="zh-CN"/>
        </w:rPr>
      </w:pPr>
      <w:r>
        <w:rPr>
          <w:rFonts w:ascii="宋体" w:eastAsia="宋体" w:hAnsi="宋体" w:hint="eastAsia"/>
          <w:kern w:val="2"/>
          <w:sz w:val="21"/>
          <w:szCs w:val="21"/>
          <w:lang w:eastAsia="zh-CN"/>
        </w:rPr>
        <w:t xml:space="preserve">    16.1合同的变更</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采购合同履行中，在不改变合同其他条款的前提下，甲方可以在合同价款10%的范围内追加与合同标的相同的货物，并就此与乙方协商一致后签订补充协议。</w:t>
      </w:r>
    </w:p>
    <w:p>
      <w:pPr>
        <w:widowControl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16.2合同的中止</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（1）合同履行过程中因供应商就采购文件、采购过程或结果提起投诉的，甲方认为有必要的，可以中止合同的履行。</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widowControl w:val="0"/>
        <w:autoSpaceDE w:val="0"/>
        <w:autoSpaceDN w:val="0"/>
        <w:adjustRightInd w:val="0"/>
        <w:spacing w:after="160" w:line="400" w:lineRule="exact"/>
        <w:ind w:firstLine="420" w:firstLineChars="200"/>
        <w:jc w:val="both"/>
        <w:rPr>
          <w:rFonts w:ascii="华文楷体" w:eastAsia="华文楷体" w:hAnsi="华文楷体" w:cs="华文楷体"/>
          <w:kern w:val="2"/>
          <w:sz w:val="21"/>
          <w:szCs w:val="21"/>
          <w:lang w:eastAsia="zh-CN"/>
        </w:rPr>
      </w:pPr>
      <w:r>
        <w:rPr>
          <w:rFonts w:ascii="宋体" w:eastAsia="宋体" w:hAnsi="宋体" w:cs="宋体" w:hint="eastAsia"/>
          <w:kern w:val="2"/>
          <w:sz w:val="21"/>
          <w:szCs w:val="21"/>
          <w:lang w:eastAsia="zh-CN"/>
        </w:rPr>
        <w:t>（3）乙方分立、合并或者变更住所的，应当及时以书面形式告知甲方。乙方没有及时告知甲方，致使合同履行发生困难的，甲方可以中止合同履行并要求乙方承担由此给甲方造成的损失。</w:t>
      </w:r>
    </w:p>
    <w:p>
      <w:pPr>
        <w:widowControl w:val="0"/>
        <w:snapToGrid w:val="0"/>
        <w:spacing w:after="160" w:line="400" w:lineRule="exact"/>
        <w:ind w:firstLine="420" w:firstLineChars="200"/>
        <w:jc w:val="left"/>
        <w:rPr>
          <w:rFonts w:eastAsia="宋体"/>
          <w:kern w:val="2"/>
          <w:sz w:val="21"/>
          <w:lang w:eastAsia="zh-CN"/>
        </w:rPr>
      </w:pPr>
      <w:r>
        <w:rPr>
          <w:rFonts w:ascii="宋体" w:eastAsia="宋体" w:hAnsi="宋体" w:hint="eastAsia"/>
          <w:kern w:val="2"/>
          <w:sz w:val="21"/>
          <w:szCs w:val="21"/>
          <w:lang w:eastAsia="zh-CN"/>
        </w:rPr>
        <w:t>（4）甲方不得以行政区划调整、政府换届、机构或者职能调整以及相关责任人更替为由中止合同。</w:t>
      </w:r>
    </w:p>
    <w:p>
      <w:pPr>
        <w:widowControl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16.3合同的终止</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（1）合同因有效期限届满而终止；</w:t>
      </w:r>
    </w:p>
    <w:p>
      <w:pPr>
        <w:widowControl w:val="0"/>
        <w:snapToGrid w:val="0"/>
        <w:spacing w:after="160" w:line="400" w:lineRule="exact"/>
        <w:ind w:firstLine="420" w:firstLineChars="200"/>
        <w:jc w:val="both"/>
        <w:rPr>
          <w:rFonts w:ascii="宋体" w:eastAsia="宋体" w:hAnsi="宋体" w:cs="宋体"/>
          <w:kern w:val="2"/>
          <w:sz w:val="21"/>
          <w:szCs w:val="21"/>
          <w:lang w:eastAsia="zh-CN"/>
        </w:rPr>
      </w:pPr>
      <w:r>
        <w:rPr>
          <w:rFonts w:ascii="宋体" w:eastAsia="宋体" w:hAnsi="宋体" w:hint="eastAsia"/>
          <w:kern w:val="2"/>
          <w:sz w:val="21"/>
          <w:szCs w:val="21"/>
          <w:lang w:eastAsia="zh-CN"/>
        </w:rPr>
        <w:t>（2）乙方未按合同约定履行，构成根本性违约的，甲方有权终止合同，</w:t>
      </w:r>
      <w:r>
        <w:rPr>
          <w:rFonts w:ascii="宋体" w:eastAsia="宋体" w:hAnsi="宋体" w:cs="宋体" w:hint="eastAsia"/>
          <w:kern w:val="2"/>
          <w:sz w:val="21"/>
          <w:szCs w:val="21"/>
          <w:lang w:eastAsia="zh-CN"/>
        </w:rPr>
        <w:t>并追究乙方的违约责任</w:t>
      </w:r>
      <w:r>
        <w:rPr>
          <w:rFonts w:ascii="宋体" w:eastAsia="宋体" w:hAnsi="宋体" w:hint="eastAsia"/>
          <w:kern w:val="2"/>
          <w:sz w:val="21"/>
          <w:szCs w:val="21"/>
          <w:lang w:eastAsia="zh-CN"/>
        </w:rPr>
        <w:t>。</w:t>
      </w:r>
    </w:p>
    <w:p>
      <w:pPr>
        <w:widowControl w:val="0"/>
        <w:autoSpaceDE w:val="0"/>
        <w:autoSpaceDN w:val="0"/>
        <w:adjustRightInd w:val="0"/>
        <w:spacing w:after="160" w:line="400" w:lineRule="exact"/>
        <w:ind w:firstLine="440" w:firstLineChars="200"/>
        <w:jc w:val="both"/>
        <w:rPr>
          <w:rFonts w:ascii="宋体" w:eastAsia="华文楷体" w:hAnsi="宋体" w:cs="华文楷体"/>
          <w:kern w:val="2"/>
          <w:sz w:val="22"/>
          <w:szCs w:val="21"/>
          <w:lang w:eastAsia="zh-CN"/>
        </w:rPr>
      </w:pPr>
      <w:r>
        <w:rPr>
          <w:rFonts w:ascii="宋体" w:eastAsia="华文楷体" w:hAnsi="宋体" w:cs="华文楷体" w:hint="eastAsia"/>
          <w:kern w:val="2"/>
          <w:sz w:val="22"/>
          <w:szCs w:val="21"/>
          <w:lang w:eastAsia="zh-CN"/>
        </w:rPr>
        <w:t xml:space="preserve">16.4 </w:t>
      </w:r>
      <w:r>
        <w:rPr>
          <w:rFonts w:ascii="宋体" w:eastAsia="宋体" w:hAnsi="宋体" w:hint="eastAsia"/>
          <w:kern w:val="2"/>
          <w:sz w:val="21"/>
          <w:szCs w:val="21"/>
          <w:lang w:eastAsia="zh-CN"/>
        </w:rPr>
        <w:t>涉及国家利益、社会公共利益的情形</w:t>
      </w:r>
    </w:p>
    <w:p>
      <w:pPr>
        <w:widowControl w:val="0"/>
        <w:autoSpaceDE w:val="0"/>
        <w:autoSpaceDN w:val="0"/>
        <w:adjustRightInd w:val="0"/>
        <w:spacing w:after="160" w:line="400" w:lineRule="exact"/>
        <w:ind w:firstLine="420" w:firstLineChars="200"/>
        <w:jc w:val="both"/>
        <w:rPr>
          <w:rFonts w:ascii="华文楷体" w:eastAsia="华文楷体" w:hAnsi="华文楷体" w:cs="华文楷体"/>
          <w:kern w:val="2"/>
          <w:sz w:val="21"/>
          <w:szCs w:val="21"/>
          <w:lang w:eastAsia="zh-CN"/>
        </w:rPr>
      </w:pPr>
      <w:r>
        <w:rPr>
          <w:rFonts w:ascii="宋体" w:eastAsia="宋体" w:hAnsi="宋体" w:cs="宋体" w:hint="eastAsia"/>
          <w:kern w:val="2"/>
          <w:sz w:val="21"/>
          <w:szCs w:val="21"/>
          <w:lang w:eastAsia="zh-CN"/>
        </w:rPr>
        <w:t>采购合同继续履行将损害国家利益和社会公共利益的，双方当事人应当变更、中止或者终止合同。有过错的一方应当承担赔偿责任，双方都有过错的，各自承担相应的责任。</w:t>
      </w:r>
    </w:p>
    <w:p>
      <w:pPr>
        <w:widowControl w:val="0"/>
        <w:autoSpaceDE w:val="0"/>
        <w:autoSpaceDN w:val="0"/>
        <w:adjustRightInd w:val="0"/>
        <w:snapToGrid w:val="0"/>
        <w:spacing w:after="160" w:line="400" w:lineRule="exact"/>
        <w:jc w:val="left"/>
        <w:rPr>
          <w:rFonts w:ascii="宋体" w:eastAsia="宋体" w:hAnsi="宋体"/>
          <w:b/>
          <w:bCs/>
          <w:kern w:val="2"/>
          <w:lang w:eastAsia="zh-CN"/>
        </w:rPr>
      </w:pPr>
      <w:r>
        <w:rPr>
          <w:rFonts w:ascii="宋体" w:eastAsia="宋体" w:hAnsi="宋体" w:hint="eastAsia"/>
          <w:b/>
          <w:bCs/>
          <w:kern w:val="2"/>
          <w:lang w:eastAsia="zh-CN"/>
        </w:rPr>
        <w:t>17. 合同分包</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17.1 乙方不得将合同转包给其他供应商。涉及合同分包的，乙方应根据采购文件和投标（响应）文件规定进行合同分包。</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17.2 乙方执行采购政策向中小企业依法分包的，乙方应当按采购文件和投标（响应）文件签订分包意向协议，分包意向协议属于本合同组成部分。</w:t>
      </w:r>
    </w:p>
    <w:p>
      <w:pPr>
        <w:widowControl w:val="0"/>
        <w:autoSpaceDE w:val="0"/>
        <w:autoSpaceDN w:val="0"/>
        <w:adjustRightInd w:val="0"/>
        <w:snapToGrid w:val="0"/>
        <w:spacing w:after="160" w:line="400" w:lineRule="exact"/>
        <w:jc w:val="left"/>
        <w:rPr>
          <w:rFonts w:ascii="宋体" w:eastAsia="宋体" w:hAnsi="宋体"/>
          <w:b/>
          <w:bCs/>
          <w:kern w:val="2"/>
          <w:lang w:eastAsia="zh-CN"/>
        </w:rPr>
      </w:pPr>
      <w:r>
        <w:rPr>
          <w:rFonts w:ascii="宋体" w:eastAsia="宋体" w:hAnsi="宋体" w:hint="eastAsia"/>
          <w:b/>
          <w:bCs/>
          <w:kern w:val="2"/>
          <w:lang w:eastAsia="zh-CN"/>
        </w:rPr>
        <w:t>18. 不可抗力</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18.1 不可抗力是指合同双方不能预见、不能避免且不能克服的客观情况。</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18.2 任何一方对由于不可抗力造成的部分或全部不能履行合同不承担违约责任。但迟延履行后发生不可抗力的，不能免除责任。</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widowControl w:val="0"/>
        <w:autoSpaceDE w:val="0"/>
        <w:autoSpaceDN w:val="0"/>
        <w:adjustRightInd w:val="0"/>
        <w:snapToGrid w:val="0"/>
        <w:spacing w:after="160" w:line="400" w:lineRule="exact"/>
        <w:jc w:val="left"/>
        <w:rPr>
          <w:rFonts w:ascii="宋体" w:eastAsia="宋体" w:hAnsi="宋体"/>
          <w:b/>
          <w:bCs/>
          <w:kern w:val="2"/>
          <w:lang w:eastAsia="zh-CN"/>
        </w:rPr>
      </w:pPr>
      <w:r>
        <w:rPr>
          <w:rFonts w:ascii="宋体" w:eastAsia="宋体" w:hAnsi="宋体" w:hint="eastAsia"/>
          <w:b/>
          <w:bCs/>
          <w:kern w:val="2"/>
          <w:lang w:eastAsia="zh-CN"/>
        </w:rPr>
        <w:t>19. 解决争议的方法</w:t>
      </w:r>
    </w:p>
    <w:p>
      <w:pPr>
        <w:widowControl w:val="0"/>
        <w:autoSpaceDE w:val="0"/>
        <w:autoSpaceDN w:val="0"/>
        <w:adjustRightInd w:val="0"/>
        <w:spacing w:after="160" w:line="40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19.1 因本合同及合同有关事项发生的争议，由甲乙双方友好协商解决。协商不成时，可以向有关组织申请调解。合同一方或双方不愿调解或调解不成的，可以通过仲裁或诉讼的方式解决争议。</w:t>
      </w:r>
    </w:p>
    <w:p>
      <w:pPr>
        <w:widowControl w:val="0"/>
        <w:autoSpaceDE w:val="0"/>
        <w:autoSpaceDN w:val="0"/>
        <w:adjustRightInd w:val="0"/>
        <w:spacing w:after="160" w:line="40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19.2 选择仲裁的，应在</w:t>
      </w:r>
      <w:r>
        <w:rPr>
          <w:rFonts w:ascii="宋体" w:eastAsia="宋体" w:hAnsi="宋体" w:cs="宋体" w:hint="eastAsia"/>
          <w:b/>
          <w:bCs/>
          <w:kern w:val="2"/>
          <w:sz w:val="21"/>
          <w:szCs w:val="21"/>
          <w:lang w:eastAsia="zh-CN"/>
        </w:rPr>
        <w:t>【采购合同专用条款】</w:t>
      </w:r>
      <w:r>
        <w:rPr>
          <w:rFonts w:ascii="宋体" w:eastAsia="宋体" w:hAnsi="宋体" w:cs="宋体" w:hint="eastAsia"/>
          <w:kern w:val="2"/>
          <w:sz w:val="21"/>
          <w:szCs w:val="21"/>
          <w:lang w:eastAsia="zh-CN"/>
        </w:rPr>
        <w:t>中明确仲裁机构及仲裁地；通过诉讼方式解决的，可以在</w:t>
      </w:r>
      <w:r>
        <w:rPr>
          <w:rFonts w:ascii="宋体" w:eastAsia="宋体" w:hAnsi="宋体" w:cs="宋体" w:hint="eastAsia"/>
          <w:b/>
          <w:bCs/>
          <w:kern w:val="2"/>
          <w:sz w:val="21"/>
          <w:szCs w:val="21"/>
          <w:lang w:eastAsia="zh-CN"/>
        </w:rPr>
        <w:t>【采购合同专用条款】</w:t>
      </w:r>
      <w:r>
        <w:rPr>
          <w:rFonts w:ascii="宋体" w:eastAsia="宋体" w:hAnsi="宋体" w:cs="宋体" w:hint="eastAsia"/>
          <w:kern w:val="2"/>
          <w:sz w:val="21"/>
          <w:szCs w:val="21"/>
          <w:lang w:eastAsia="zh-CN"/>
        </w:rPr>
        <w:t>中进一步约定选择与争议有实际联系的地点的人民法院管辖，但管辖法院的约定不得违反级别管辖和专属管辖的规定。</w:t>
      </w:r>
    </w:p>
    <w:p>
      <w:pPr>
        <w:widowControl w:val="0"/>
        <w:autoSpaceDE w:val="0"/>
        <w:autoSpaceDN w:val="0"/>
        <w:adjustRightInd w:val="0"/>
        <w:spacing w:after="160" w:line="40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19.3 如甲乙双方有争议的事项不影响合同其他部分的履行，在争议解决期间，合同其他部分应当继续履行。</w:t>
      </w:r>
    </w:p>
    <w:p>
      <w:pPr>
        <w:widowControl w:val="0"/>
        <w:autoSpaceDE w:val="0"/>
        <w:autoSpaceDN w:val="0"/>
        <w:adjustRightInd w:val="0"/>
        <w:snapToGrid w:val="0"/>
        <w:spacing w:after="160" w:line="400" w:lineRule="exact"/>
        <w:jc w:val="left"/>
        <w:rPr>
          <w:rFonts w:ascii="宋体" w:eastAsia="宋体" w:hAnsi="宋体"/>
          <w:kern w:val="2"/>
          <w:lang w:eastAsia="zh-CN"/>
        </w:rPr>
      </w:pPr>
      <w:r>
        <w:rPr>
          <w:rFonts w:ascii="宋体" w:eastAsia="宋体" w:hAnsi="宋体" w:hint="eastAsia"/>
          <w:b/>
          <w:kern w:val="2"/>
          <w:lang w:eastAsia="zh-CN"/>
        </w:rPr>
        <w:t>20. 采购政策</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 xml:space="preserve">20.1 </w:t>
      </w:r>
      <w:r>
        <w:rPr>
          <w:rFonts w:ascii="宋体" w:eastAsia="宋体" w:hAnsi="宋体" w:cs="宋体" w:hint="eastAsia"/>
          <w:kern w:val="2"/>
          <w:sz w:val="21"/>
          <w:lang w:val="en-GB" w:eastAsia="zh-CN"/>
        </w:rPr>
        <w:t>本合同应当按照规定执行政府采购政策。</w:t>
      </w:r>
    </w:p>
    <w:p>
      <w:pPr>
        <w:widowControl w:val="0"/>
        <w:autoSpaceDE w:val="0"/>
        <w:autoSpaceDN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0.2 本合同依法执行政府采购政策的方式和内容，属于合同履约验收的范围。</w:t>
      </w:r>
      <w:r>
        <w:rPr>
          <w:rFonts w:ascii="宋体" w:eastAsia="宋体" w:hAnsi="宋体" w:cs="宋体" w:hint="eastAsia"/>
          <w:kern w:val="2"/>
          <w:sz w:val="21"/>
          <w:lang w:eastAsia="zh-CN"/>
        </w:rPr>
        <w:t>甲乙双方</w:t>
      </w:r>
      <w:r>
        <w:rPr>
          <w:rFonts w:ascii="宋体" w:eastAsia="宋体" w:hAnsi="宋体" w:cs="宋体" w:hint="eastAsia"/>
          <w:kern w:val="2"/>
          <w:sz w:val="21"/>
          <w:lang w:val="en-GB" w:eastAsia="zh-CN"/>
        </w:rPr>
        <w:t>未按规定要求执行政府采购政策造成损失的</w:t>
      </w:r>
      <w:r>
        <w:rPr>
          <w:rFonts w:ascii="宋体" w:eastAsia="宋体" w:hAnsi="宋体" w:hint="eastAsia"/>
          <w:kern w:val="2"/>
          <w:sz w:val="21"/>
          <w:szCs w:val="21"/>
          <w:lang w:eastAsia="zh-CN"/>
        </w:rPr>
        <w:t>，有过错的一方应当承担赔偿责任，双方都有过错的，各自承担相应的责任。</w:t>
      </w:r>
    </w:p>
    <w:p>
      <w:pPr>
        <w:widowControl w:val="0"/>
        <w:spacing w:after="160" w:line="400" w:lineRule="exact"/>
        <w:ind w:firstLine="420" w:firstLineChars="200"/>
        <w:jc w:val="both"/>
        <w:rPr>
          <w:rFonts w:ascii="Calibri" w:eastAsia="宋体" w:hAnsi="Calibri"/>
          <w:kern w:val="2"/>
          <w:sz w:val="21"/>
          <w:szCs w:val="22"/>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widowControl w:val="0"/>
        <w:autoSpaceDE w:val="0"/>
        <w:autoSpaceDN w:val="0"/>
        <w:adjustRightInd w:val="0"/>
        <w:snapToGrid w:val="0"/>
        <w:spacing w:after="160" w:line="400" w:lineRule="exact"/>
        <w:jc w:val="left"/>
        <w:rPr>
          <w:rFonts w:ascii="宋体" w:eastAsia="宋体" w:hAnsi="宋体"/>
          <w:b/>
          <w:kern w:val="2"/>
          <w:lang w:eastAsia="zh-CN"/>
        </w:rPr>
      </w:pPr>
      <w:r>
        <w:rPr>
          <w:rFonts w:ascii="宋体" w:eastAsia="宋体" w:hAnsi="宋体" w:hint="eastAsia"/>
          <w:b/>
          <w:kern w:val="2"/>
          <w:lang w:eastAsia="zh-CN"/>
        </w:rPr>
        <w:t>21. 法律适用</w:t>
      </w:r>
    </w:p>
    <w:p>
      <w:pPr>
        <w:widowControl w:val="0"/>
        <w:autoSpaceDE w:val="0"/>
        <w:autoSpaceDN w:val="0"/>
        <w:adjustRightInd w:val="0"/>
        <w:spacing w:after="160" w:line="40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21.1 本合同的订立、生效、解释、履行及与本合同有关的争议解决，均适用法律、行政法规。</w:t>
      </w:r>
    </w:p>
    <w:p>
      <w:pPr>
        <w:widowControl w:val="0"/>
        <w:autoSpaceDE w:val="0"/>
        <w:autoSpaceDN w:val="0"/>
        <w:adjustRightInd w:val="0"/>
        <w:spacing w:after="160" w:line="40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21.2 本合同条款与法律、行政法规的强制性规定不一致的，双方当事人应按照法律、行政法规的强制性规定修改本合同的相关条款。</w:t>
      </w:r>
    </w:p>
    <w:p>
      <w:pPr>
        <w:widowControl w:val="0"/>
        <w:numPr>
          <w:ilvl w:val="12"/>
          <w:numId w:val="0"/>
        </w:numPr>
        <w:autoSpaceDE w:val="0"/>
        <w:autoSpaceDN w:val="0"/>
        <w:adjustRightInd w:val="0"/>
        <w:snapToGrid w:val="0"/>
        <w:spacing w:after="160" w:line="400" w:lineRule="exact"/>
        <w:ind w:left="0" w:firstLine="0"/>
        <w:jc w:val="left"/>
        <w:rPr>
          <w:rFonts w:ascii="宋体" w:eastAsia="宋体" w:hAnsi="宋体"/>
          <w:b/>
          <w:kern w:val="2"/>
          <w:lang w:eastAsia="zh-CN"/>
        </w:rPr>
      </w:pPr>
      <w:r>
        <w:rPr>
          <w:rFonts w:ascii="宋体" w:eastAsia="宋体" w:hAnsi="宋体" w:hint="eastAsia"/>
          <w:b/>
          <w:kern w:val="2"/>
          <w:lang w:eastAsia="zh-CN"/>
        </w:rPr>
        <w:t>22. 通知</w:t>
      </w:r>
    </w:p>
    <w:p>
      <w:pPr>
        <w:widowControl w:val="0"/>
        <w:autoSpaceDE w:val="0"/>
        <w:autoSpaceDN w:val="0"/>
        <w:adjustRightInd w:val="0"/>
        <w:spacing w:after="160" w:line="40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22.1 本合同任何一方向对方发出的通知、信件、数据电文等，应当发送至本合同第一部分《采购合同协议书》所约定的通讯地址、联系人、联系电话或电子邮箱。</w:t>
      </w:r>
    </w:p>
    <w:p>
      <w:pPr>
        <w:widowControl w:val="0"/>
        <w:autoSpaceDE w:val="0"/>
        <w:autoSpaceDN w:val="0"/>
        <w:adjustRightInd w:val="0"/>
        <w:spacing w:after="160" w:line="400" w:lineRule="exact"/>
        <w:jc w:val="both"/>
        <w:rPr>
          <w:rFonts w:ascii="华文楷体" w:eastAsia="华文楷体" w:hAnsi="华文楷体" w:cs="华文楷体"/>
          <w:kern w:val="2"/>
          <w:sz w:val="21"/>
          <w:szCs w:val="21"/>
          <w:lang w:eastAsia="zh-CN"/>
        </w:rPr>
      </w:pPr>
      <w:r>
        <w:rPr>
          <w:rFonts w:ascii="宋体" w:eastAsia="宋体" w:hAnsi="宋体" w:cs="宋体" w:hint="eastAsia"/>
          <w:kern w:val="2"/>
          <w:sz w:val="21"/>
          <w:szCs w:val="21"/>
          <w:lang w:eastAsia="zh-CN"/>
        </w:rPr>
        <w:t xml:space="preserve">    22.2 一方当事人变更名称、住所、联系人、联系电话或电子邮箱等信息的，应当在变更后3日内及时书面通知对方，对方实际收到变更通知前的送达仍为有效送达。</w:t>
      </w:r>
    </w:p>
    <w:p>
      <w:pPr>
        <w:widowControl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22.3本合同一方给另一方的通知均应采用书面形式，传真或快递送到本合同中规定的对方的地址和办理签收手续。</w:t>
      </w:r>
    </w:p>
    <w:p>
      <w:pPr>
        <w:widowControl w:val="0"/>
        <w:adjustRightInd w:val="0"/>
        <w:snapToGrid w:val="0"/>
        <w:spacing w:after="160" w:line="400" w:lineRule="exact"/>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22.4通知以送达之日或通知书中规定的生效之日起生效，两者中以较迟之日为准。</w:t>
      </w:r>
    </w:p>
    <w:p>
      <w:pPr>
        <w:widowControl w:val="0"/>
        <w:numPr>
          <w:ilvl w:val="0"/>
          <w:numId w:val="9"/>
        </w:numPr>
        <w:adjustRightInd w:val="0"/>
        <w:snapToGrid w:val="0"/>
        <w:spacing w:after="160" w:line="400" w:lineRule="exact"/>
        <w:jc w:val="left"/>
        <w:rPr>
          <w:rFonts w:ascii="宋体" w:eastAsia="宋体" w:hAnsi="宋体"/>
          <w:b/>
          <w:bCs/>
          <w:kern w:val="2"/>
          <w:lang w:eastAsia="zh-CN"/>
        </w:rPr>
      </w:pPr>
      <w:r>
        <w:rPr>
          <w:rFonts w:ascii="宋体" w:eastAsia="宋体" w:hAnsi="宋体" w:hint="eastAsia"/>
          <w:b/>
          <w:bCs/>
          <w:kern w:val="2"/>
          <w:lang w:eastAsia="zh-CN"/>
        </w:rPr>
        <w:t>合同未尽事项</w:t>
      </w:r>
    </w:p>
    <w:p>
      <w:pPr>
        <w:widowControl w:val="0"/>
        <w:adjustRightInd w:val="0"/>
        <w:snapToGrid w:val="0"/>
        <w:spacing w:after="160" w:line="400" w:lineRule="exact"/>
        <w:ind w:firstLine="420" w:firstLineChars="200"/>
        <w:jc w:val="left"/>
        <w:rPr>
          <w:rFonts w:ascii="宋体" w:eastAsia="宋体" w:hAnsi="宋体"/>
          <w:bCs/>
          <w:kern w:val="2"/>
          <w:sz w:val="21"/>
          <w:szCs w:val="21"/>
          <w:lang w:eastAsia="zh-CN"/>
        </w:rPr>
      </w:pPr>
      <w:r>
        <w:rPr>
          <w:rFonts w:ascii="宋体" w:eastAsia="宋体" w:hAnsi="宋体" w:hint="eastAsia"/>
          <w:bCs/>
          <w:kern w:val="2"/>
          <w:sz w:val="21"/>
          <w:szCs w:val="21"/>
          <w:lang w:eastAsia="zh-CN"/>
        </w:rPr>
        <w:t>23.1合同未尽事项见</w:t>
      </w:r>
      <w:r>
        <w:rPr>
          <w:rFonts w:ascii="宋体" w:eastAsia="宋体" w:hAnsi="宋体" w:hint="eastAsia"/>
          <w:b/>
          <w:kern w:val="2"/>
          <w:sz w:val="21"/>
          <w:szCs w:val="21"/>
          <w:lang w:eastAsia="zh-CN"/>
        </w:rPr>
        <w:t>【采购合同专用条款】</w:t>
      </w:r>
      <w:r>
        <w:rPr>
          <w:rFonts w:ascii="宋体" w:eastAsia="宋体" w:hAnsi="宋体" w:hint="eastAsia"/>
          <w:bCs/>
          <w:kern w:val="2"/>
          <w:sz w:val="21"/>
          <w:szCs w:val="21"/>
          <w:lang w:eastAsia="zh-CN"/>
        </w:rPr>
        <w:t>。</w:t>
      </w:r>
    </w:p>
    <w:p>
      <w:pPr>
        <w:widowControl w:val="0"/>
        <w:adjustRightInd w:val="0"/>
        <w:snapToGrid w:val="0"/>
        <w:spacing w:after="160" w:line="400" w:lineRule="exact"/>
        <w:jc w:val="left"/>
        <w:rPr>
          <w:rFonts w:ascii="黑体" w:eastAsia="黑体" w:hAnsi="华文中宋"/>
          <w:kern w:val="2"/>
          <w:sz w:val="28"/>
          <w:szCs w:val="28"/>
          <w:lang w:eastAsia="zh-CN"/>
        </w:rPr>
      </w:pPr>
      <w:r>
        <w:rPr>
          <w:rFonts w:ascii="宋体" w:eastAsia="宋体" w:hAnsi="宋体" w:hint="eastAsia"/>
          <w:bCs/>
          <w:kern w:val="2"/>
          <w:sz w:val="21"/>
          <w:szCs w:val="21"/>
          <w:lang w:eastAsia="zh-CN"/>
        </w:rPr>
        <w:t xml:space="preserve">    23.2 合同附件与合同正文具有同等的法律效力。</w:t>
      </w:r>
      <w:bookmarkStart w:id="67" w:name="_Toc20313"/>
    </w:p>
    <w:p>
      <w:pPr>
        <w:widowControl w:val="0"/>
        <w:adjustRightInd w:val="0"/>
        <w:snapToGrid w:val="0"/>
        <w:spacing w:after="160" w:line="259" w:lineRule="auto"/>
        <w:jc w:val="center"/>
        <w:rPr>
          <w:rFonts w:ascii="黑体" w:eastAsia="黑体" w:hAnsi="华文中宋"/>
          <w:kern w:val="2"/>
          <w:sz w:val="28"/>
          <w:szCs w:val="28"/>
          <w:lang w:eastAsia="zh-CN"/>
        </w:rPr>
      </w:pPr>
      <w:r>
        <w:rPr>
          <w:rFonts w:ascii="黑体" w:eastAsia="黑体" w:hAnsi="华文中宋" w:hint="eastAsia"/>
          <w:kern w:val="2"/>
          <w:sz w:val="28"/>
          <w:szCs w:val="28"/>
          <w:lang w:eastAsia="zh-CN"/>
        </w:rPr>
        <w:br w:type="page"/>
      </w:r>
    </w:p>
    <w:p>
      <w:pPr>
        <w:keepNext/>
        <w:keepLines/>
        <w:widowControl w:val="0"/>
        <w:adjustRightInd w:val="0"/>
        <w:snapToGrid w:val="0"/>
        <w:spacing w:after="160" w:line="360" w:lineRule="auto"/>
        <w:jc w:val="center"/>
        <w:outlineLvl w:val="1"/>
        <w:rPr>
          <w:rFonts w:ascii="黑体" w:eastAsia="黑体" w:hAnsi="华文中宋"/>
          <w:kern w:val="2"/>
          <w:sz w:val="28"/>
          <w:szCs w:val="28"/>
          <w:lang w:eastAsia="zh-CN"/>
        </w:rPr>
      </w:pPr>
      <w:r>
        <w:rPr>
          <w:rFonts w:ascii="黑体" w:eastAsia="黑体" w:hAnsi="华文中宋" w:hint="eastAsia"/>
          <w:kern w:val="2"/>
          <w:sz w:val="28"/>
          <w:szCs w:val="28"/>
          <w:lang w:eastAsia="zh-CN"/>
        </w:rPr>
        <w:t>第三节 采购合同专用条款</w:t>
      </w:r>
      <w:bookmarkEnd w:id="67"/>
    </w:p>
    <w:tbl>
      <w:tblPr>
        <w:tblStyle w:val="TableNormal"/>
        <w:tblW w:w="5000"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1609"/>
        <w:gridCol w:w="1744"/>
        <w:gridCol w:w="5176"/>
      </w:tblGrid>
      <w:tr>
        <w:tblPrEx>
          <w:tblW w:w="5000"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第1.2（6）项</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联合体具体要求</w:t>
            </w:r>
          </w:p>
        </w:tc>
        <w:tc>
          <w:tcPr>
            <w:tcW w:w="5170"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604"/>
        </w:trPr>
        <w:tc>
          <w:tcPr>
            <w:tcW w:w="1607" w:type="dxa"/>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第1.2（7）项</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其他术语解释</w:t>
            </w:r>
          </w:p>
        </w:tc>
        <w:tc>
          <w:tcPr>
            <w:tcW w:w="5170"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第4.4款</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履约验收中甲方提出异议或作出说明的期限</w:t>
            </w:r>
          </w:p>
        </w:tc>
        <w:tc>
          <w:tcPr>
            <w:tcW w:w="5170"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第4.6款</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约定甲方承担的其他义务和责任</w:t>
            </w:r>
          </w:p>
        </w:tc>
        <w:tc>
          <w:tcPr>
            <w:tcW w:w="5170"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snapToGrid w:val="0"/>
              <w:spacing w:after="160" w:line="259" w:lineRule="auto"/>
              <w:jc w:val="center"/>
              <w:rPr>
                <w:rFonts w:eastAsia="宋体"/>
                <w:kern w:val="2"/>
                <w:sz w:val="21"/>
                <w:lang w:eastAsia="zh-CN"/>
              </w:rPr>
            </w:pPr>
            <w:r>
              <w:rPr>
                <w:rFonts w:ascii="宋体" w:eastAsia="宋体" w:hAnsi="宋体" w:hint="eastAsia"/>
                <w:kern w:val="2"/>
                <w:sz w:val="21"/>
                <w:szCs w:val="21"/>
                <w:lang w:eastAsia="zh-CN"/>
              </w:rPr>
              <w:t>第5.4款</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约定乙方承担的其他义务和责任</w:t>
            </w:r>
          </w:p>
        </w:tc>
        <w:tc>
          <w:tcPr>
            <w:tcW w:w="5170"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第6.1款</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履行合同义务的顺序</w:t>
            </w:r>
          </w:p>
        </w:tc>
        <w:tc>
          <w:tcPr>
            <w:tcW w:w="5170"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667"/>
        </w:trPr>
        <w:tc>
          <w:tcPr>
            <w:tcW w:w="1607" w:type="dxa"/>
            <w:vMerge w:val="restart"/>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第7.1款</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包装特殊要求</w:t>
            </w:r>
          </w:p>
        </w:tc>
        <w:tc>
          <w:tcPr>
            <w:tcW w:w="5170" w:type="dxa"/>
            <w:vAlign w:val="center"/>
          </w:tcPr>
          <w:p>
            <w:pPr>
              <w:widowControl w:val="0"/>
              <w:spacing w:after="160" w:line="259" w:lineRule="auto"/>
              <w:jc w:val="both"/>
              <w:rPr>
                <w:rFonts w:eastAsia="宋体"/>
                <w:kern w:val="2"/>
                <w:sz w:val="21"/>
                <w:lang w:eastAsia="zh-CN"/>
              </w:rPr>
            </w:pPr>
          </w:p>
        </w:tc>
      </w:tr>
      <w:tr>
        <w:tblPrEx>
          <w:tblW w:w="5000" w:type="pct"/>
          <w:tblInd w:w="108" w:type="dxa"/>
          <w:tblLayout w:type="fixed"/>
          <w:tblCellMar>
            <w:top w:w="0" w:type="dxa"/>
            <w:left w:w="108" w:type="dxa"/>
            <w:bottom w:w="0" w:type="dxa"/>
            <w:right w:w="108" w:type="dxa"/>
          </w:tblCellMar>
        </w:tblPrEx>
        <w:trPr>
          <w:trHeight w:val="667"/>
        </w:trPr>
        <w:tc>
          <w:tcPr>
            <w:tcW w:w="1607" w:type="dxa"/>
            <w:vMerge/>
            <w:vAlign w:val="center"/>
          </w:tcPr>
          <w:p>
            <w:pPr>
              <w:widowControl w:val="0"/>
              <w:adjustRightInd w:val="0"/>
              <w:snapToGrid w:val="0"/>
              <w:spacing w:after="160" w:line="259" w:lineRule="auto"/>
              <w:jc w:val="center"/>
              <w:rPr>
                <w:rFonts w:ascii="宋体" w:eastAsia="宋体" w:hAnsi="宋体"/>
                <w:kern w:val="2"/>
                <w:sz w:val="21"/>
                <w:szCs w:val="21"/>
                <w:lang w:eastAsia="zh-CN"/>
              </w:rPr>
            </w:pP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指定现场</w:t>
            </w:r>
          </w:p>
        </w:tc>
        <w:tc>
          <w:tcPr>
            <w:tcW w:w="5170" w:type="dxa"/>
            <w:vAlign w:val="center"/>
          </w:tcPr>
          <w:p>
            <w:pPr>
              <w:widowControl w:val="0"/>
              <w:spacing w:after="160" w:line="259" w:lineRule="auto"/>
              <w:jc w:val="both"/>
              <w:rPr>
                <w:rFonts w:eastAsia="宋体"/>
                <w:kern w:val="2"/>
                <w:sz w:val="21"/>
                <w:lang w:eastAsia="zh-CN"/>
              </w:rPr>
            </w:pPr>
          </w:p>
        </w:tc>
      </w:tr>
      <w:tr>
        <w:tblPrEx>
          <w:tblW w:w="5000" w:type="pct"/>
          <w:tblInd w:w="108" w:type="dxa"/>
          <w:tblLayout w:type="fixed"/>
          <w:tblCellMar>
            <w:top w:w="0" w:type="dxa"/>
            <w:left w:w="108" w:type="dxa"/>
            <w:bottom w:w="0" w:type="dxa"/>
            <w:right w:w="108" w:type="dxa"/>
          </w:tblCellMar>
        </w:tblPrEx>
        <w:trPr>
          <w:trHeight w:val="772"/>
        </w:trPr>
        <w:tc>
          <w:tcPr>
            <w:tcW w:w="1607" w:type="dxa"/>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第7.2款</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运输特殊要求</w:t>
            </w:r>
          </w:p>
        </w:tc>
        <w:tc>
          <w:tcPr>
            <w:tcW w:w="5170" w:type="dxa"/>
            <w:vAlign w:val="center"/>
          </w:tcPr>
          <w:p>
            <w:pPr>
              <w:widowControl w:val="0"/>
              <w:spacing w:after="160" w:line="259" w:lineRule="auto"/>
              <w:jc w:val="both"/>
              <w:rPr>
                <w:rFonts w:eastAsia="宋体"/>
                <w:kern w:val="2"/>
                <w:sz w:val="21"/>
                <w:lang w:eastAsia="zh-CN"/>
              </w:rPr>
            </w:pPr>
          </w:p>
        </w:tc>
      </w:tr>
      <w:tr>
        <w:tblPrEx>
          <w:tblW w:w="5000" w:type="pct"/>
          <w:tblInd w:w="108" w:type="dxa"/>
          <w:tblLayout w:type="fixed"/>
          <w:tblCellMar>
            <w:top w:w="0" w:type="dxa"/>
            <w:left w:w="108" w:type="dxa"/>
            <w:bottom w:w="0" w:type="dxa"/>
            <w:right w:w="108" w:type="dxa"/>
          </w:tblCellMar>
        </w:tblPrEx>
        <w:trPr>
          <w:trHeight w:val="667"/>
        </w:trPr>
        <w:tc>
          <w:tcPr>
            <w:tcW w:w="1607" w:type="dxa"/>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第7.3款</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保险要求</w:t>
            </w:r>
          </w:p>
        </w:tc>
        <w:tc>
          <w:tcPr>
            <w:tcW w:w="5170" w:type="dxa"/>
            <w:vAlign w:val="center"/>
          </w:tcPr>
          <w:p>
            <w:pPr>
              <w:widowControl w:val="0"/>
              <w:spacing w:after="160" w:line="259" w:lineRule="auto"/>
              <w:jc w:val="both"/>
              <w:rPr>
                <w:rFonts w:eastAsia="宋体"/>
                <w:kern w:val="2"/>
                <w:sz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第8.2（1）项</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质量保证期</w:t>
            </w:r>
          </w:p>
        </w:tc>
        <w:tc>
          <w:tcPr>
            <w:tcW w:w="5170" w:type="dxa"/>
            <w:vAlign w:val="center"/>
          </w:tcPr>
          <w:p>
            <w:pPr>
              <w:widowControl w:val="0"/>
              <w:autoSpaceDE w:val="0"/>
              <w:autoSpaceDN w:val="0"/>
              <w:adjustRightInd w:val="0"/>
              <w:snapToGrid w:val="0"/>
              <w:spacing w:after="160" w:line="259" w:lineRule="auto"/>
              <w:ind w:firstLine="420" w:firstLineChars="200"/>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第8.2（3）项</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货物质量缺陷</w:t>
            </w:r>
          </w:p>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响应时间</w:t>
            </w:r>
          </w:p>
        </w:tc>
        <w:tc>
          <w:tcPr>
            <w:tcW w:w="5170"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snapToGrid w:val="0"/>
              <w:spacing w:after="160" w:line="259"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第二节</w:t>
            </w:r>
          </w:p>
          <w:p>
            <w:pPr>
              <w:widowControl w:val="0"/>
              <w:autoSpaceDE w:val="0"/>
              <w:autoSpaceDN w:val="0"/>
              <w:adjustRightInd w:val="0"/>
              <w:spacing w:after="160" w:line="400" w:lineRule="exact"/>
              <w:jc w:val="center"/>
              <w:rPr>
                <w:rFonts w:ascii="华文楷体" w:eastAsia="华文楷体" w:hAnsi="华文楷体" w:cs="华文楷体"/>
                <w:kern w:val="2"/>
                <w:sz w:val="22"/>
                <w:szCs w:val="21"/>
                <w:lang w:eastAsia="zh-CN"/>
              </w:rPr>
            </w:pPr>
            <w:r>
              <w:rPr>
                <w:rFonts w:ascii="宋体" w:eastAsia="宋体" w:hAnsi="宋体" w:cs="宋体" w:hint="eastAsia"/>
                <w:kern w:val="2"/>
                <w:sz w:val="22"/>
                <w:szCs w:val="21"/>
                <w:lang w:eastAsia="zh-CN"/>
              </w:rPr>
              <w:t>第11.1款</w:t>
            </w:r>
          </w:p>
        </w:tc>
        <w:tc>
          <w:tcPr>
            <w:tcW w:w="1742" w:type="dxa"/>
            <w:vAlign w:val="center"/>
          </w:tcPr>
          <w:p>
            <w:pPr>
              <w:widowControl w:val="0"/>
              <w:adjustRightInd w:val="0"/>
              <w:snapToGrid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其他应当保密的信息</w:t>
            </w:r>
          </w:p>
        </w:tc>
        <w:tc>
          <w:tcPr>
            <w:tcW w:w="5170"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697"/>
        </w:trPr>
        <w:tc>
          <w:tcPr>
            <w:tcW w:w="1607" w:type="dxa"/>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第12.2款</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合同价款支付时间</w:t>
            </w:r>
          </w:p>
        </w:tc>
        <w:tc>
          <w:tcPr>
            <w:tcW w:w="5170"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697"/>
        </w:trPr>
        <w:tc>
          <w:tcPr>
            <w:tcW w:w="1607" w:type="dxa"/>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第13.2款</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履约保证金不予退还的情形</w:t>
            </w:r>
          </w:p>
        </w:tc>
        <w:tc>
          <w:tcPr>
            <w:tcW w:w="5170"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第13.3款</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履约保证金退还时间及逾期退还的违约金</w:t>
            </w:r>
          </w:p>
        </w:tc>
        <w:tc>
          <w:tcPr>
            <w:tcW w:w="5170"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84"/>
        </w:trPr>
        <w:tc>
          <w:tcPr>
            <w:tcW w:w="1607" w:type="dxa"/>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第14.1（3）项</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运行监督、维修期限</w:t>
            </w:r>
          </w:p>
        </w:tc>
        <w:tc>
          <w:tcPr>
            <w:tcW w:w="5170"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84"/>
        </w:trPr>
        <w:tc>
          <w:tcPr>
            <w:tcW w:w="1607" w:type="dxa"/>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第14.1（5）项</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货物回收的约定</w:t>
            </w:r>
          </w:p>
        </w:tc>
        <w:tc>
          <w:tcPr>
            <w:tcW w:w="5170"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第14.1（6）项</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乙方提供的其他服务</w:t>
            </w:r>
          </w:p>
        </w:tc>
        <w:tc>
          <w:tcPr>
            <w:tcW w:w="5170"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第15.1款</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修理、重作、更换相关具体规定</w:t>
            </w:r>
          </w:p>
        </w:tc>
        <w:tc>
          <w:tcPr>
            <w:tcW w:w="5170"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第15.2（2）项</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迟延交货赔偿费</w:t>
            </w:r>
          </w:p>
        </w:tc>
        <w:tc>
          <w:tcPr>
            <w:tcW w:w="5170" w:type="dxa"/>
            <w:vAlign w:val="center"/>
          </w:tcPr>
          <w:p>
            <w:pPr>
              <w:widowControl w:val="0"/>
              <w:adjustRightInd w:val="0"/>
              <w:snapToGrid w:val="0"/>
              <w:spacing w:after="160" w:line="259" w:lineRule="auto"/>
              <w:jc w:val="left"/>
              <w:rPr>
                <w:rFonts w:ascii="宋体" w:eastAsia="宋体" w:hAnsi="宋体"/>
                <w:kern w:val="2"/>
                <w:sz w:val="21"/>
                <w:szCs w:val="21"/>
                <w:u w:val="single"/>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第15.3款</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逾期付款利息</w:t>
            </w:r>
          </w:p>
        </w:tc>
        <w:tc>
          <w:tcPr>
            <w:tcW w:w="5170" w:type="dxa"/>
            <w:vAlign w:val="center"/>
          </w:tcPr>
          <w:p>
            <w:pPr>
              <w:widowControl w:val="0"/>
              <w:adjustRightInd w:val="0"/>
              <w:snapToGrid w:val="0"/>
              <w:spacing w:after="160" w:line="259" w:lineRule="auto"/>
              <w:jc w:val="left"/>
              <w:rPr>
                <w:rFonts w:ascii="宋体" w:eastAsia="宋体" w:hAnsi="宋体"/>
                <w:kern w:val="2"/>
                <w:sz w:val="21"/>
                <w:szCs w:val="21"/>
                <w:u w:val="single"/>
                <w:lang w:eastAsia="zh-CN"/>
              </w:rPr>
            </w:pPr>
          </w:p>
        </w:tc>
      </w:tr>
      <w:tr>
        <w:tblPrEx>
          <w:tblW w:w="5000" w:type="pct"/>
          <w:tblInd w:w="108" w:type="dxa"/>
          <w:tblLayout w:type="fixed"/>
          <w:tblCellMar>
            <w:top w:w="0" w:type="dxa"/>
            <w:left w:w="108" w:type="dxa"/>
            <w:bottom w:w="0" w:type="dxa"/>
            <w:right w:w="108" w:type="dxa"/>
          </w:tblCellMar>
        </w:tblPrEx>
        <w:trPr>
          <w:trHeight w:val="876"/>
        </w:trPr>
        <w:tc>
          <w:tcPr>
            <w:tcW w:w="1607" w:type="dxa"/>
            <w:tcBorders>
              <w:bottom w:val="single" w:sz="2" w:space="0" w:color="auto"/>
              <w:right w:val="single" w:sz="2" w:space="0" w:color="auto"/>
            </w:tcBorders>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第15.4款</w:t>
            </w:r>
          </w:p>
        </w:tc>
        <w:tc>
          <w:tcPr>
            <w:tcW w:w="1742" w:type="dxa"/>
            <w:tcBorders>
              <w:left w:val="single" w:sz="2" w:space="0" w:color="auto"/>
              <w:bottom w:val="single" w:sz="2" w:space="0" w:color="auto"/>
              <w:right w:val="single" w:sz="2" w:space="0" w:color="auto"/>
            </w:tcBorders>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其他违约责任</w:t>
            </w:r>
          </w:p>
        </w:tc>
        <w:tc>
          <w:tcPr>
            <w:tcW w:w="5170" w:type="dxa"/>
            <w:tcBorders>
              <w:left w:val="single" w:sz="2" w:space="0" w:color="auto"/>
              <w:bottom w:val="single" w:sz="2" w:space="0" w:color="auto"/>
            </w:tcBorders>
            <w:vAlign w:val="center"/>
          </w:tcPr>
          <w:p>
            <w:pPr>
              <w:widowControl w:val="0"/>
              <w:adjustRightInd w:val="0"/>
              <w:snapToGrid w:val="0"/>
              <w:spacing w:after="160" w:line="259" w:lineRule="auto"/>
              <w:jc w:val="left"/>
              <w:rPr>
                <w:rFonts w:ascii="宋体" w:eastAsia="宋体" w:hAnsi="宋体"/>
                <w:kern w:val="2"/>
                <w:sz w:val="21"/>
                <w:szCs w:val="21"/>
                <w:u w:val="single"/>
                <w:lang w:eastAsia="zh-CN"/>
              </w:rPr>
            </w:pPr>
          </w:p>
        </w:tc>
      </w:tr>
      <w:tr>
        <w:tblPrEx>
          <w:tblW w:w="5000" w:type="pct"/>
          <w:tblInd w:w="108" w:type="dxa"/>
          <w:tblLayout w:type="fixed"/>
          <w:tblCellMar>
            <w:top w:w="0" w:type="dxa"/>
            <w:left w:w="108" w:type="dxa"/>
            <w:bottom w:w="0" w:type="dxa"/>
            <w:right w:w="108" w:type="dxa"/>
          </w:tblCellMar>
        </w:tblPrEx>
        <w:trPr>
          <w:trHeight w:val="90"/>
        </w:trPr>
        <w:tc>
          <w:tcPr>
            <w:tcW w:w="1607" w:type="dxa"/>
            <w:tcBorders>
              <w:top w:val="single" w:sz="2" w:space="0" w:color="auto"/>
              <w:right w:val="single" w:sz="2" w:space="0" w:color="auto"/>
            </w:tcBorders>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第19.2款</w:t>
            </w:r>
          </w:p>
        </w:tc>
        <w:tc>
          <w:tcPr>
            <w:tcW w:w="1742" w:type="dxa"/>
            <w:tcBorders>
              <w:top w:val="single" w:sz="2" w:space="0" w:color="auto"/>
              <w:left w:val="single" w:sz="2" w:space="0" w:color="auto"/>
              <w:right w:val="single" w:sz="2" w:space="0" w:color="auto"/>
            </w:tcBorders>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kern w:val="2"/>
                <w:sz w:val="21"/>
                <w:szCs w:val="21"/>
                <w:lang w:eastAsia="zh-CN"/>
              </w:rPr>
              <w:t>解决争议的方法</w:t>
            </w:r>
          </w:p>
        </w:tc>
        <w:tc>
          <w:tcPr>
            <w:tcW w:w="5170" w:type="dxa"/>
            <w:tcBorders>
              <w:top w:val="single" w:sz="2" w:space="0" w:color="auto"/>
              <w:left w:val="single" w:sz="2" w:space="0" w:color="auto"/>
            </w:tcBorders>
            <w:vAlign w:val="center"/>
          </w:tcPr>
          <w:p>
            <w:pPr>
              <w:widowControl w:val="0"/>
              <w:autoSpaceDE w:val="0"/>
              <w:autoSpaceDN w:val="0"/>
              <w:adjustRightInd w:val="0"/>
              <w:snapToGrid w:val="0"/>
              <w:spacing w:after="160" w:line="400" w:lineRule="exact"/>
              <w:jc w:val="left"/>
              <w:rPr>
                <w:rFonts w:ascii="宋体" w:eastAsia="宋体" w:hAnsi="宋体" w:cs="宋体"/>
                <w:iCs/>
                <w:kern w:val="2"/>
                <w:sz w:val="21"/>
                <w:szCs w:val="21"/>
                <w:lang w:eastAsia="zh-CN"/>
              </w:rPr>
            </w:pPr>
            <w:r>
              <w:rPr>
                <w:rFonts w:ascii="宋体" w:eastAsia="宋体" w:hAnsi="宋体" w:cs="宋体" w:hint="eastAsia"/>
                <w:iCs/>
                <w:kern w:val="2"/>
                <w:sz w:val="21"/>
                <w:szCs w:val="21"/>
                <w:lang w:eastAsia="zh-CN"/>
              </w:rPr>
              <w:t>因本合同及合同有关事项发生的争议，按下列第</w:t>
            </w:r>
            <w:r>
              <w:rPr>
                <w:rFonts w:ascii="宋体" w:eastAsia="宋体" w:hAnsi="宋体" w:cs="宋体" w:hint="eastAsia"/>
                <w:iCs/>
                <w:kern w:val="2"/>
                <w:sz w:val="21"/>
                <w:szCs w:val="21"/>
                <w:u w:val="single"/>
                <w:lang w:eastAsia="zh-CN"/>
              </w:rPr>
              <w:t xml:space="preserve">   </w:t>
            </w:r>
            <w:r>
              <w:rPr>
                <w:rFonts w:ascii="宋体" w:eastAsia="宋体" w:hAnsi="宋体" w:cs="宋体" w:hint="eastAsia"/>
                <w:iCs/>
                <w:kern w:val="2"/>
                <w:sz w:val="21"/>
                <w:szCs w:val="21"/>
                <w:lang w:eastAsia="zh-CN"/>
              </w:rPr>
              <w:t>种方式解决：</w:t>
            </w:r>
          </w:p>
          <w:p>
            <w:pPr>
              <w:widowControl w:val="0"/>
              <w:autoSpaceDE w:val="0"/>
              <w:autoSpaceDN w:val="0"/>
              <w:adjustRightInd w:val="0"/>
              <w:snapToGrid w:val="0"/>
              <w:spacing w:after="160" w:line="400" w:lineRule="exact"/>
              <w:jc w:val="left"/>
              <w:rPr>
                <w:rFonts w:ascii="宋体" w:eastAsia="宋体" w:hAnsi="宋体" w:cs="宋体"/>
                <w:iCs/>
                <w:kern w:val="2"/>
                <w:sz w:val="21"/>
                <w:szCs w:val="21"/>
                <w:lang w:eastAsia="zh-CN"/>
              </w:rPr>
            </w:pPr>
            <w:r>
              <w:rPr>
                <w:rFonts w:ascii="宋体" w:eastAsia="宋体" w:hAnsi="宋体" w:cs="宋体" w:hint="eastAsia"/>
                <w:iCs/>
                <w:kern w:val="2"/>
                <w:sz w:val="21"/>
                <w:szCs w:val="21"/>
                <w:lang w:eastAsia="zh-CN"/>
              </w:rPr>
              <w:t>（1）向</w:t>
            </w:r>
            <w:r>
              <w:rPr>
                <w:rFonts w:ascii="宋体" w:eastAsia="宋体" w:hAnsi="宋体" w:cs="宋体" w:hint="eastAsia"/>
                <w:iCs/>
                <w:kern w:val="2"/>
                <w:sz w:val="21"/>
                <w:szCs w:val="21"/>
                <w:u w:val="single"/>
                <w:lang w:eastAsia="zh-CN"/>
              </w:rPr>
              <w:t xml:space="preserve">                    </w:t>
            </w:r>
            <w:r>
              <w:rPr>
                <w:rFonts w:ascii="宋体" w:eastAsia="宋体" w:hAnsi="宋体" w:cs="宋体" w:hint="eastAsia"/>
                <w:iCs/>
                <w:kern w:val="2"/>
                <w:sz w:val="21"/>
                <w:szCs w:val="21"/>
                <w:lang w:eastAsia="zh-CN"/>
              </w:rPr>
              <w:t>仲裁委员会申请仲裁，仲裁地点为</w:t>
            </w:r>
            <w:r>
              <w:rPr>
                <w:rFonts w:ascii="宋体" w:eastAsia="宋体" w:hAnsi="宋体" w:cs="宋体" w:hint="eastAsia"/>
                <w:iCs/>
                <w:kern w:val="2"/>
                <w:sz w:val="21"/>
                <w:szCs w:val="21"/>
                <w:u w:val="single"/>
                <w:lang w:eastAsia="zh-CN"/>
              </w:rPr>
              <w:t xml:space="preserve">           </w:t>
            </w:r>
            <w:r>
              <w:rPr>
                <w:rFonts w:ascii="宋体" w:eastAsia="宋体" w:hAnsi="宋体" w:cs="宋体" w:hint="eastAsia"/>
                <w:iCs/>
                <w:kern w:val="2"/>
                <w:sz w:val="21"/>
                <w:szCs w:val="21"/>
                <w:lang w:eastAsia="zh-CN"/>
              </w:rPr>
              <w:t>；</w:t>
            </w:r>
          </w:p>
          <w:p>
            <w:pPr>
              <w:widowControl w:val="0"/>
              <w:adjustRightInd w:val="0"/>
              <w:snapToGrid w:val="0"/>
              <w:spacing w:after="160" w:line="259" w:lineRule="auto"/>
              <w:jc w:val="left"/>
              <w:rPr>
                <w:rFonts w:ascii="宋体" w:eastAsia="宋体" w:hAnsi="宋体"/>
                <w:kern w:val="2"/>
                <w:sz w:val="21"/>
                <w:szCs w:val="21"/>
                <w:u w:val="single"/>
                <w:lang w:eastAsia="zh-CN"/>
              </w:rPr>
            </w:pPr>
            <w:r>
              <w:rPr>
                <w:rFonts w:ascii="宋体" w:eastAsia="宋体" w:hAnsi="宋体" w:cs="宋体" w:hint="eastAsia"/>
                <w:iCs/>
                <w:kern w:val="2"/>
                <w:sz w:val="21"/>
                <w:szCs w:val="21"/>
                <w:lang w:eastAsia="zh-CN"/>
              </w:rPr>
              <w:t>（2）向</w:t>
            </w:r>
            <w:r>
              <w:rPr>
                <w:rFonts w:ascii="宋体" w:eastAsia="宋体" w:hAnsi="宋体" w:cs="宋体" w:hint="eastAsia"/>
                <w:iCs/>
                <w:kern w:val="2"/>
                <w:sz w:val="21"/>
                <w:szCs w:val="21"/>
                <w:u w:val="single"/>
                <w:lang w:eastAsia="zh-CN"/>
              </w:rPr>
              <w:t xml:space="preserve">                    </w:t>
            </w:r>
            <w:r>
              <w:rPr>
                <w:rFonts w:ascii="宋体" w:eastAsia="宋体" w:hAnsi="宋体" w:cs="宋体" w:hint="eastAsia"/>
                <w:iCs/>
                <w:kern w:val="2"/>
                <w:sz w:val="21"/>
                <w:szCs w:val="21"/>
                <w:lang w:eastAsia="zh-CN"/>
              </w:rPr>
              <w:t>人民法院起诉。</w:t>
            </w:r>
          </w:p>
        </w:tc>
      </w:tr>
      <w:tr>
        <w:tblPrEx>
          <w:tblW w:w="5000" w:type="pct"/>
          <w:tblInd w:w="108" w:type="dxa"/>
          <w:tblLayout w:type="fixed"/>
          <w:tblCellMar>
            <w:top w:w="0" w:type="dxa"/>
            <w:left w:w="108" w:type="dxa"/>
            <w:bottom w:w="0" w:type="dxa"/>
            <w:right w:w="108" w:type="dxa"/>
          </w:tblCellMar>
        </w:tblPrEx>
        <w:trPr>
          <w:trHeight w:val="770"/>
        </w:trPr>
        <w:tc>
          <w:tcPr>
            <w:tcW w:w="1607" w:type="dxa"/>
            <w:vAlign w:val="center"/>
          </w:tcPr>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spacing w:after="160" w:line="259" w:lineRule="auto"/>
              <w:jc w:val="center"/>
              <w:rPr>
                <w:rFonts w:ascii="宋体" w:eastAsia="宋体" w:hAnsi="宋体"/>
                <w:kern w:val="2"/>
                <w:sz w:val="21"/>
                <w:szCs w:val="21"/>
                <w:lang w:eastAsia="zh-CN"/>
              </w:rPr>
            </w:pPr>
            <w:r>
              <w:rPr>
                <w:rFonts w:ascii="宋体" w:eastAsia="宋体" w:hAnsi="宋体" w:hint="eastAsia"/>
                <w:kern w:val="2"/>
                <w:sz w:val="21"/>
                <w:szCs w:val="21"/>
                <w:lang w:eastAsia="zh-CN"/>
              </w:rPr>
              <w:t>第23.1款</w:t>
            </w:r>
          </w:p>
        </w:tc>
        <w:tc>
          <w:tcPr>
            <w:tcW w:w="1742"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r>
              <w:rPr>
                <w:rFonts w:ascii="宋体" w:eastAsia="宋体" w:hAnsi="宋体" w:hint="eastAsia"/>
                <w:bCs/>
                <w:kern w:val="2"/>
                <w:sz w:val="21"/>
                <w:szCs w:val="21"/>
                <w:lang w:eastAsia="zh-CN"/>
              </w:rPr>
              <w:t>其他专用条款</w:t>
            </w:r>
          </w:p>
        </w:tc>
        <w:tc>
          <w:tcPr>
            <w:tcW w:w="5170" w:type="dxa"/>
            <w:vAlign w:val="center"/>
          </w:tcPr>
          <w:p>
            <w:pPr>
              <w:widowControl w:val="0"/>
              <w:adjustRightInd w:val="0"/>
              <w:snapToGrid w:val="0"/>
              <w:spacing w:after="160" w:line="259" w:lineRule="auto"/>
              <w:jc w:val="left"/>
              <w:rPr>
                <w:rFonts w:ascii="宋体" w:eastAsia="宋体" w:hAnsi="宋体"/>
                <w:kern w:val="2"/>
                <w:sz w:val="21"/>
                <w:szCs w:val="21"/>
                <w:lang w:eastAsia="zh-CN"/>
              </w:rPr>
            </w:pPr>
          </w:p>
        </w:tc>
      </w:tr>
    </w:tbl>
    <w:p>
      <w:pPr>
        <w:widowControl/>
        <w:spacing w:after="160" w:line="259" w:lineRule="auto"/>
        <w:jc w:val="left"/>
        <w:rPr>
          <w:rFonts w:ascii="宋体" w:eastAsia="宋体" w:hAnsi="宋体"/>
          <w:kern w:val="2"/>
          <w:sz w:val="21"/>
          <w:szCs w:val="21"/>
          <w:lang w:eastAsia="zh-CN"/>
        </w:rPr>
      </w:pPr>
      <w:r>
        <w:rPr>
          <w:rFonts w:ascii="宋体" w:eastAsia="宋体" w:hAnsi="宋体"/>
          <w:kern w:val="2"/>
          <w:sz w:val="21"/>
          <w:szCs w:val="21"/>
          <w:lang w:eastAsia="zh-CN"/>
        </w:rPr>
        <w:br w:type="page"/>
      </w:r>
    </w:p>
    <w:p>
      <w:pPr>
        <w:keepNext/>
        <w:keepLines/>
        <w:widowControl w:val="0"/>
        <w:adjustRightInd w:val="0"/>
        <w:spacing w:before="120" w:beforeLines="50" w:after="120" w:afterLines="50" w:line="240" w:lineRule="auto"/>
        <w:ind w:left="562"/>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第二册  通用条款（公开招标）</w:t>
      </w:r>
    </w:p>
    <w:p>
      <w:pPr>
        <w:keepNext/>
        <w:keepLines/>
        <w:widowControl w:val="0"/>
        <w:numPr>
          <w:ilvl w:val="0"/>
          <w:numId w:val="10"/>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bookmarkStart w:id="68" w:name="_Hlk72399513"/>
      <w:bookmarkStart w:id="69" w:name="_Hlk72439706"/>
      <w:r>
        <w:rPr>
          <w:rFonts w:ascii="Cambria" w:eastAsia="宋体" w:hAnsi="Cambria" w:cstheme="majorBidi" w:hint="eastAsia"/>
          <w:b/>
          <w:bCs/>
          <w:kern w:val="2"/>
          <w:sz w:val="28"/>
          <w:szCs w:val="28"/>
          <w:lang w:eastAsia="zh-CN"/>
        </w:rPr>
        <w:t>总则</w:t>
      </w:r>
    </w:p>
    <w:bookmarkEnd w:id="68"/>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1. 通用条款说明</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1.1政府集中采购机构发出招标文件通用条款版本，列出深圳市自行采购项目进行招标采购所适用的通用条款内容。</w:t>
      </w:r>
      <w:bookmarkStart w:id="70" w:name="_Hlk72399729"/>
      <w:r>
        <w:rPr>
          <w:rFonts w:ascii="宋体" w:eastAsia="宋体" w:hAnsi="宋体" w:hint="eastAsia"/>
          <w:kern w:val="2"/>
          <w:sz w:val="21"/>
          <w:szCs w:val="21"/>
          <w:lang w:eastAsia="zh-CN"/>
        </w:rPr>
        <w:t>如有需要，政府集中采购机构可以对通用条款的内容进行补充。</w:t>
      </w:r>
      <w:bookmarkEnd w:id="70"/>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1.2招标文件分为第一册“专用条款”和第二册“通用条款”。</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1.3“专用条款”是对本次采购项目的具体要求，包含招标公告、对通用条款的补充内容及其他关键信息、用户需求书、投标文件格式及附件、合同条款及格式等内容。</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1.4“通用条款”是适用于自行采购公开招标项目的基础性条款，具有普遍性和通用性。</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1.5 “专用条款”和“通用条款”表述不一致或有冲突时，以“专用条款”为准。</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2</w:t>
      </w:r>
      <w:r>
        <w:rPr>
          <w:rFonts w:ascii="黑体" w:eastAsia="黑体" w:hAnsi="宋体"/>
          <w:kern w:val="2"/>
          <w:sz w:val="21"/>
          <w:szCs w:val="21"/>
          <w:lang w:eastAsia="zh-CN"/>
        </w:rPr>
        <w:t>．</w:t>
      </w:r>
      <w:r>
        <w:rPr>
          <w:rFonts w:ascii="黑体" w:eastAsia="黑体" w:hAnsi="宋体" w:hint="eastAsia"/>
          <w:kern w:val="2"/>
          <w:sz w:val="21"/>
          <w:szCs w:val="21"/>
          <w:lang w:eastAsia="zh-CN"/>
        </w:rPr>
        <w:t>招标说明</w:t>
      </w:r>
    </w:p>
    <w:p>
      <w:pPr>
        <w:widowControl w:val="0"/>
        <w:spacing w:after="160" w:line="259" w:lineRule="auto"/>
        <w:ind w:firstLine="420" w:firstLineChars="200"/>
        <w:jc w:val="both"/>
        <w:rPr>
          <w:rFonts w:ascii="宋体" w:eastAsia="宋体" w:hAnsi="宋体"/>
          <w:b/>
          <w:bCs/>
          <w:color w:val="FF0000"/>
          <w:kern w:val="2"/>
          <w:sz w:val="21"/>
          <w:szCs w:val="21"/>
          <w:lang w:eastAsia="zh-CN"/>
        </w:rPr>
      </w:pPr>
      <w:r>
        <w:rPr>
          <w:rFonts w:ascii="宋体" w:eastAsia="宋体" w:hAnsi="宋体" w:hint="eastAsia"/>
          <w:b/>
          <w:bCs/>
          <w:color w:val="FF0000"/>
          <w:kern w:val="2"/>
          <w:sz w:val="21"/>
          <w:szCs w:val="21"/>
          <w:lang w:eastAsia="zh-CN"/>
        </w:rPr>
        <w:t>本项目为自行采购项目，参照《深圳经济特区政府采购条例》、《深圳经济特区政府采购条例实施细则》及政府采购其他法律法规，通过公开招标方式确定中标供应商。</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3．定义</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招标</w:t>
      </w:r>
      <w:r>
        <w:rPr>
          <w:rFonts w:ascii="宋体" w:eastAsia="宋体" w:hAnsi="宋体"/>
          <w:kern w:val="2"/>
          <w:sz w:val="21"/>
          <w:szCs w:val="21"/>
          <w:lang w:eastAsia="zh-CN"/>
        </w:rPr>
        <w:t>文件中下列术语应解释为：</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1</w:t>
      </w:r>
      <w:r>
        <w:rPr>
          <w:rFonts w:ascii="宋体" w:eastAsia="宋体" w:hAnsi="宋体" w:hint="eastAsia"/>
          <w:kern w:val="2"/>
          <w:sz w:val="21"/>
          <w:szCs w:val="21"/>
          <w:lang w:eastAsia="zh-CN"/>
        </w:rPr>
        <w:t>“采购人”：指利用财政性资金依法进行</w:t>
      </w:r>
      <w:r>
        <w:rPr>
          <w:rFonts w:ascii="宋体" w:eastAsia="宋体" w:hAnsi="宋体" w:hint="eastAsia"/>
          <w:b/>
          <w:bCs/>
          <w:color w:val="FF0000"/>
          <w:kern w:val="2"/>
          <w:sz w:val="21"/>
          <w:szCs w:val="21"/>
          <w:lang w:eastAsia="zh-CN"/>
        </w:rPr>
        <w:t>自行采购</w:t>
      </w:r>
      <w:r>
        <w:rPr>
          <w:rFonts w:ascii="宋体" w:eastAsia="宋体" w:hAnsi="宋体" w:hint="eastAsia"/>
          <w:kern w:val="2"/>
          <w:sz w:val="21"/>
          <w:szCs w:val="21"/>
          <w:lang w:eastAsia="zh-CN"/>
        </w:rPr>
        <w:t>的国家机关、事业单位、团体组织；</w:t>
      </w: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 “政府集中采购机构”</w:t>
      </w:r>
      <w:r>
        <w:rPr>
          <w:rFonts w:ascii="Arial" w:eastAsia="宋体" w:hAnsi="Arial" w:cs="Arial" w:hint="eastAsia"/>
          <w:kern w:val="2"/>
          <w:sz w:val="21"/>
          <w:szCs w:val="21"/>
          <w:shd w:val="clear" w:color="auto" w:fill="FFFFFF"/>
          <w:lang w:eastAsia="zh-CN"/>
        </w:rPr>
        <w:t>是指市政府设立的，组织实施采购项目，并对采购活动提供服务的专门机构；</w:t>
      </w:r>
      <w:r>
        <w:rPr>
          <w:rFonts w:ascii="宋体" w:eastAsia="宋体" w:hAnsi="宋体" w:hint="eastAsia"/>
          <w:kern w:val="2"/>
          <w:sz w:val="21"/>
          <w:szCs w:val="21"/>
          <w:lang w:eastAsia="zh-CN"/>
        </w:rPr>
        <w:t>本文件所述的“政府集中采购机构”</w:t>
      </w:r>
      <w:r>
        <w:rPr>
          <w:rFonts w:ascii="宋体" w:eastAsia="宋体" w:hAnsi="宋体"/>
          <w:kern w:val="2"/>
          <w:sz w:val="21"/>
          <w:szCs w:val="21"/>
          <w:lang w:eastAsia="zh-CN"/>
        </w:rPr>
        <w:t>指</w:t>
      </w:r>
      <w:r>
        <w:rPr>
          <w:rFonts w:ascii="宋体" w:eastAsia="宋体" w:hAnsi="宋体" w:hint="eastAsia"/>
          <w:b/>
          <w:bCs/>
          <w:kern w:val="2"/>
          <w:sz w:val="21"/>
          <w:szCs w:val="21"/>
          <w:lang w:eastAsia="zh-CN"/>
        </w:rPr>
        <w:t>深圳公共资源交易中心</w:t>
      </w:r>
      <w:r>
        <w:rPr>
          <w:rFonts w:ascii="宋体" w:eastAsia="宋体" w:hAnsi="宋体" w:hint="eastAsia"/>
          <w:kern w:val="2"/>
          <w:sz w:val="21"/>
          <w:szCs w:val="21"/>
          <w:lang w:eastAsia="zh-CN"/>
        </w:rPr>
        <w:t>；</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3.3“投标人”，即供应商，指参加投标竞争并愿意按照招标文件要求向采购人提供货物、工程或者服务的依法成立的法人、其他组织或者自然人；</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3.4“评审委员会”是依据《深圳经济特区政府采购条例》、《深圳经济特区政府采购条例实施细则》等有关规定组建的专门负责本次招标其评审工作的临时性机构；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3.5“日期”</w:t>
      </w:r>
      <w:r>
        <w:rPr>
          <w:rFonts w:ascii="宋体" w:eastAsia="宋体" w:hAnsi="宋体"/>
          <w:kern w:val="2"/>
          <w:sz w:val="21"/>
          <w:szCs w:val="21"/>
          <w:lang w:eastAsia="zh-CN"/>
        </w:rPr>
        <w:t>指</w:t>
      </w:r>
      <w:r>
        <w:rPr>
          <w:rFonts w:ascii="宋体" w:eastAsia="宋体" w:hAnsi="宋体" w:hint="eastAsia"/>
          <w:kern w:val="2"/>
          <w:sz w:val="21"/>
          <w:szCs w:val="21"/>
          <w:lang w:eastAsia="zh-CN"/>
        </w:rPr>
        <w:t>公历日；</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3.6“合同”指由本次招标所产生的合同或合约文件；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3.7“电子投标文件”指利用</w:t>
      </w:r>
      <w:r>
        <w:rPr>
          <w:rFonts w:ascii="宋体" w:eastAsia="宋体" w:hAnsi="宋体" w:hint="eastAsia"/>
          <w:b/>
          <w:bCs/>
          <w:color w:val="FF0000"/>
          <w:kern w:val="2"/>
          <w:sz w:val="21"/>
          <w:szCs w:val="21"/>
          <w:lang w:eastAsia="zh-CN"/>
        </w:rPr>
        <w:t>深圳公共资源交易中心（深圳交易集团有限公司政府采购业务分公司）</w:t>
      </w:r>
      <w:r>
        <w:rPr>
          <w:rFonts w:ascii="宋体" w:eastAsia="宋体" w:hAnsi="宋体" w:hint="eastAsia"/>
          <w:kern w:val="2"/>
          <w:sz w:val="21"/>
          <w:szCs w:val="21"/>
          <w:lang w:eastAsia="zh-CN"/>
        </w:rPr>
        <w:t>网站提供的深圳市自行采购系统投标文件制作专用软件（以下简称：投标文件制作软件）制作并加密的投标文件,适用于网上投标；（投标文件制作软件可从“下载地址：https://www.szggzy.com/jyfw/details.html?contentId=2053275深圳市自行采购系统投标文件编制工具”下载）</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3.8“网上投标”指通过</w:t>
      </w:r>
      <w:r>
        <w:rPr>
          <w:rFonts w:ascii="宋体" w:eastAsia="宋体" w:hAnsi="宋体" w:hint="eastAsia"/>
          <w:b/>
          <w:bCs/>
          <w:color w:val="FF0000"/>
          <w:kern w:val="2"/>
          <w:sz w:val="21"/>
          <w:szCs w:val="21"/>
          <w:lang w:eastAsia="zh-CN"/>
        </w:rPr>
        <w:t>深圳市自行采购系统</w:t>
      </w:r>
      <w:r>
        <w:rPr>
          <w:rFonts w:ascii="宋体" w:eastAsia="宋体" w:hAnsi="宋体" w:hint="eastAsia"/>
          <w:kern w:val="2"/>
          <w:sz w:val="21"/>
          <w:szCs w:val="21"/>
          <w:lang w:eastAsia="zh-CN"/>
        </w:rPr>
        <w:t>网站上传电子投标文件；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3.9招标文件中的标题或题名仅起引导作用，而不应视为对招标文件内容的理解和解释。</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 xml:space="preserve">4. </w:t>
      </w:r>
      <w:bookmarkStart w:id="71" w:name="_Hlk72398643"/>
      <w:r>
        <w:rPr>
          <w:rFonts w:ascii="黑体" w:eastAsia="黑体" w:hAnsi="宋体" w:hint="eastAsia"/>
          <w:kern w:val="2"/>
          <w:sz w:val="21"/>
          <w:szCs w:val="21"/>
          <w:lang w:eastAsia="zh-CN"/>
        </w:rPr>
        <w:t>自行采购供应商责任</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4.1欢迎诚信、有实力和有社会责任心的供应商参与自行采购事业。</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4.2投标人应当遵循公平竞争的原则，不得恶意串通，不得妨碍其他投标人的竞争行为，不得损害采购人或者其他投标人的合法权益。如违反上述要求，经核实后，供应商的投标无效。</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5．投标人参加自行采购的条件</w:t>
      </w:r>
    </w:p>
    <w:p>
      <w:pPr>
        <w:widowControl w:val="0"/>
        <w:spacing w:after="160" w:line="259" w:lineRule="auto"/>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5.1投标人应在投标前到</w:t>
      </w:r>
      <w:r>
        <w:rPr>
          <w:rFonts w:ascii="宋体" w:eastAsia="宋体" w:hAnsi="宋体" w:hint="eastAsia"/>
          <w:b/>
          <w:bCs/>
          <w:kern w:val="2"/>
          <w:sz w:val="21"/>
          <w:szCs w:val="21"/>
          <w:lang w:eastAsia="zh-CN"/>
        </w:rPr>
        <w:t>深圳市自行采购系统（具体在深圳交易集团有限公司政府采购业务分公司进行办理）</w:t>
      </w:r>
      <w:r>
        <w:rPr>
          <w:rFonts w:ascii="宋体" w:eastAsia="宋体" w:hAnsi="宋体" w:hint="eastAsia"/>
          <w:kern w:val="2"/>
          <w:sz w:val="21"/>
          <w:szCs w:val="21"/>
          <w:lang w:eastAsia="zh-CN"/>
        </w:rPr>
        <w:t>进行注册并办理电子密钥。《深圳政府采购自行采购系统用户操作指引（供应商）》详见www.szggzy.com网站“交易服务指南-政府采购-资料下载”。</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5.2投标人资格要求</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参加本项目的投标人应具备的资格条件详见本项目招标公告中 “投标人资格要求”的内容。</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5.3联合体投标</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5.3.1　以下有关联合体投标的条款仅适用于允许投标人组成联合体投标的项目。</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5.3.2  由两个或两个以上的自然人、法人或者其他组织可以组成一个联合体，以一个供应商的身份共同投标时，应符合以下原则：</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（1）投标联合体各方参加采购活动应当具备下列条件：</w:t>
      </w: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1、具有独立承担民事责任的能力；</w:t>
      </w: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2、有良好的商业信誉和健全的财务会计制度；</w:t>
      </w: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3、具有履行合同所必需的设备和专业技术能力；</w:t>
      </w: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4、有依法缴纳税收和社会保障资金的良好记录；</w:t>
      </w: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5、参加采购活动前三年内，在经营活动中没有重大违法记录；</w:t>
      </w: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6、法律、行政法规规定的其他条件。</w:t>
      </w: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（2）在投标截止前，投标联合体各方均应注册成</w:t>
      </w:r>
      <w:r>
        <w:rPr>
          <w:rFonts w:ascii="宋体" w:eastAsia="宋体" w:hAnsi="宋体" w:hint="eastAsia"/>
          <w:b/>
          <w:bCs/>
          <w:color w:val="FF0000"/>
          <w:kern w:val="2"/>
          <w:sz w:val="21"/>
          <w:szCs w:val="21"/>
          <w:lang w:eastAsia="zh-CN"/>
        </w:rPr>
        <w:t>深圳市自行采购系统</w:t>
      </w:r>
      <w:r>
        <w:rPr>
          <w:rFonts w:ascii="宋体" w:eastAsia="宋体" w:hAnsi="宋体" w:hint="eastAsia"/>
          <w:kern w:val="2"/>
          <w:sz w:val="21"/>
          <w:szCs w:val="21"/>
          <w:lang w:eastAsia="zh-CN"/>
        </w:rPr>
        <w:t>供应商；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（3）联合体中有同类资质的供应商按照联合体分工承担相同工作的，应当按照资质等级较低的供应商确定资质等级；</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（4）是否允许联合体参加投标，应当由采购人和采购代理机构根据项目的实际情况和潜在供应商的数量自主决定，如果决定接受联合体投标则应当在招标公告中明示；</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（5）投标人的投标文件及中标后签署的合同协议对联合体各方均具法律约束力；</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（6）联合体各方应当签订联合体投标协议，明确约定各方拟承担的工作和责任，并将该协议随投标文件一并递交给政府集中采购机构；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（7）联合体中标后，联合体各方应当共同与采购人签订合同，就中标项目向采购人承担连带责任；</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（8）以联合体形式参加采购活动的，联合体各方不得再单独参加或者与其他供应商另外组成联合体参加同一合同项下的采购活动，出现上述情况者，其投标和与此有关联合体、总包单位的投标将被拒绝；</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（9）本通用条款中“投标人”一词亦指联合体各方，专用条款另有规定或说明的除外。</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6．政策导向</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6.1</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采购扶持贫困地区、中小企业、监狱企业和残疾人福利性单位发展，支持节能减排、环境保护。</w:t>
      </w:r>
    </w:p>
    <w:p>
      <w:pPr>
        <w:widowControl w:val="0"/>
        <w:spacing w:after="160" w:line="259" w:lineRule="auto"/>
        <w:ind w:firstLine="420" w:firstLineChars="200"/>
        <w:jc w:val="both"/>
        <w:rPr>
          <w:rFonts w:eastAsia="宋体"/>
          <w:kern w:val="2"/>
          <w:sz w:val="21"/>
          <w:szCs w:val="21"/>
          <w:shd w:val="clear" w:color="auto" w:fill="FFFFFF"/>
          <w:lang w:eastAsia="zh-CN"/>
        </w:rPr>
      </w:pPr>
      <w:r>
        <w:rPr>
          <w:rFonts w:ascii="宋体" w:eastAsia="宋体" w:hAnsi="宋体" w:hint="eastAsia"/>
          <w:kern w:val="2"/>
          <w:sz w:val="21"/>
          <w:szCs w:val="21"/>
          <w:lang w:eastAsia="zh-CN"/>
        </w:rPr>
        <w:t>6.2</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本项目落实深圳市政府采购供应商诚信管理政策要求。</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7. 本项目若涉及采购货物，则合格的货物及相应服务应满足以下要求：</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w:t>
      </w:r>
      <w:r>
        <w:rPr>
          <w:rFonts w:ascii="宋体" w:eastAsia="宋体" w:hAnsi="宋体"/>
          <w:kern w:val="2"/>
          <w:sz w:val="21"/>
          <w:szCs w:val="21"/>
          <w:lang w:eastAsia="zh-CN"/>
        </w:rPr>
        <w:t xml:space="preserve">.1  </w:t>
      </w:r>
      <w:r>
        <w:rPr>
          <w:rFonts w:ascii="宋体" w:eastAsia="宋体" w:hAnsi="宋体" w:hint="eastAsia"/>
          <w:kern w:val="2"/>
          <w:sz w:val="21"/>
          <w:szCs w:val="21"/>
          <w:lang w:eastAsia="zh-CN"/>
        </w:rPr>
        <w:t>必须是全新、未使用过的原装合格正品（包括零部件），如安装或配置了软件的，须为正版软件。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7.2  国产的货物及其有关服务必须符合中华人民共和国的设计、制造生产标准及行业标准。招标公告有其他要求的，亦应符合其要求。</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3</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4</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投标人</w:t>
      </w:r>
      <w:bookmarkStart w:id="72" w:name="_Hlk72152753"/>
      <w:r>
        <w:rPr>
          <w:rFonts w:ascii="宋体" w:eastAsia="宋体" w:hAnsi="宋体" w:hint="eastAsia"/>
          <w:kern w:val="2"/>
          <w:sz w:val="21"/>
          <w:szCs w:val="21"/>
          <w:lang w:eastAsia="zh-CN"/>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72"/>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7.6  工期要求：投标人在投标时对其所投项目应提交交货进度、交货计划等，在合同规定的时间内完成项目实施工作。</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7.7  投标人必须承担的设备运输、安装调试、验收检测和提供设备操作说明书、图纸等其他相关及类似的义务。</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8．投标费用</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不论投标结果如何，投标人应承担其编制投标文件与递交投标文件所涉及的一切费用。</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9．踏勘现场</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9.2投标人及其人员经过采购人的允许，可以进入采购人的项目现场踏勘。若招标文件要求投标人于统一时间地点踏勘现场的，投标人应当按时前往。</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9.3采购人应当通过政府集中采购机构向投标人提供有关现场的书面资料和数据。</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9.4任何人或任何组织在踏勘现场时向投标人提供的任何书面资料或口头承诺，未经政府集中采购机构在网上发布或书面通知，均作无效处理。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9</w:t>
      </w:r>
      <w:r>
        <w:rPr>
          <w:rFonts w:ascii="宋体" w:eastAsia="宋体" w:hAnsi="宋体" w:hint="eastAsia"/>
          <w:kern w:val="2"/>
          <w:sz w:val="21"/>
          <w:szCs w:val="21"/>
          <w:lang w:eastAsia="zh-CN"/>
        </w:rPr>
        <w:t>.</w:t>
      </w:r>
      <w:r>
        <w:rPr>
          <w:rFonts w:ascii="宋体" w:eastAsia="宋体" w:hAnsi="宋体"/>
          <w:kern w:val="2"/>
          <w:sz w:val="21"/>
          <w:szCs w:val="21"/>
          <w:lang w:eastAsia="zh-CN"/>
        </w:rPr>
        <w:t>5</w:t>
      </w:r>
      <w:r>
        <w:rPr>
          <w:rFonts w:ascii="宋体" w:eastAsia="宋体" w:hAnsi="宋体" w:hint="eastAsia"/>
          <w:kern w:val="2"/>
          <w:sz w:val="21"/>
          <w:szCs w:val="21"/>
          <w:lang w:eastAsia="zh-CN"/>
        </w:rPr>
        <w:t>未参与踏勘现场不作为否定投标人资格的理由。</w:t>
      </w:r>
    </w:p>
    <w:p>
      <w:pPr>
        <w:widowControl w:val="0"/>
        <w:spacing w:after="160" w:line="259" w:lineRule="auto"/>
        <w:ind w:firstLine="420" w:firstLineChars="200"/>
        <w:jc w:val="both"/>
        <w:rPr>
          <w:rFonts w:ascii="宋体" w:eastAsia="宋体" w:hAnsi="宋体"/>
          <w:kern w:val="2"/>
          <w:sz w:val="21"/>
          <w:szCs w:val="21"/>
          <w:lang w:eastAsia="zh-CN"/>
        </w:rPr>
      </w:pPr>
      <w:r>
        <w:rPr>
          <w:rFonts w:ascii="黑体" w:eastAsia="黑体" w:hAnsi="宋体" w:hint="eastAsia"/>
          <w:kern w:val="2"/>
          <w:sz w:val="21"/>
          <w:szCs w:val="21"/>
          <w:lang w:eastAsia="zh-CN"/>
        </w:rPr>
        <w:t>1</w:t>
      </w:r>
      <w:r>
        <w:rPr>
          <w:rFonts w:ascii="黑体" w:eastAsia="黑体" w:hAnsi="宋体"/>
          <w:kern w:val="2"/>
          <w:sz w:val="21"/>
          <w:szCs w:val="21"/>
          <w:lang w:eastAsia="zh-CN"/>
        </w:rPr>
        <w:t>0</w:t>
      </w:r>
      <w:r>
        <w:rPr>
          <w:rFonts w:ascii="黑体" w:eastAsia="黑体" w:hAnsi="宋体" w:hint="eastAsia"/>
          <w:kern w:val="2"/>
          <w:sz w:val="21"/>
          <w:szCs w:val="21"/>
          <w:lang w:eastAsia="zh-CN"/>
        </w:rPr>
        <w:t>．标前会议</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0</w:t>
      </w:r>
      <w:r>
        <w:rPr>
          <w:rFonts w:ascii="宋体" w:eastAsia="宋体" w:hAnsi="宋体" w:hint="eastAsia"/>
          <w:kern w:val="2"/>
          <w:sz w:val="21"/>
          <w:szCs w:val="21"/>
          <w:lang w:eastAsia="zh-CN"/>
        </w:rPr>
        <w:t>.</w:t>
      </w:r>
      <w:r>
        <w:rPr>
          <w:rFonts w:ascii="宋体" w:eastAsia="宋体" w:hAnsi="宋体"/>
          <w:kern w:val="2"/>
          <w:sz w:val="21"/>
          <w:szCs w:val="21"/>
          <w:lang w:eastAsia="zh-CN"/>
        </w:rPr>
        <w:t>1</w:t>
      </w:r>
      <w:r>
        <w:rPr>
          <w:rFonts w:ascii="宋体" w:eastAsia="宋体" w:hAnsi="宋体" w:hint="eastAsia"/>
          <w:kern w:val="2"/>
          <w:sz w:val="21"/>
          <w:szCs w:val="21"/>
          <w:lang w:eastAsia="zh-CN"/>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10</w:t>
      </w:r>
      <w:r>
        <w:rPr>
          <w:rFonts w:ascii="宋体" w:eastAsia="宋体" w:hAnsi="宋体" w:hint="eastAsia"/>
          <w:kern w:val="2"/>
          <w:sz w:val="21"/>
          <w:szCs w:val="21"/>
          <w:lang w:eastAsia="zh-CN"/>
        </w:rPr>
        <w:t>.</w:t>
      </w:r>
      <w:r>
        <w:rPr>
          <w:rFonts w:ascii="宋体" w:eastAsia="宋体" w:hAnsi="宋体"/>
          <w:kern w:val="2"/>
          <w:sz w:val="21"/>
          <w:szCs w:val="21"/>
          <w:lang w:eastAsia="zh-CN"/>
        </w:rPr>
        <w:t>2</w:t>
      </w:r>
      <w:r>
        <w:rPr>
          <w:rFonts w:ascii="宋体" w:eastAsia="宋体" w:hAnsi="宋体" w:hint="eastAsia"/>
          <w:kern w:val="2"/>
          <w:sz w:val="21"/>
          <w:szCs w:val="21"/>
          <w:lang w:eastAsia="zh-CN"/>
        </w:rPr>
        <w:t>任何人或任何组织在标前会议时向投标人提供的任何书面资料或口头承诺，未经政府集中采购机构在网上发布或书面通知，均作无效处理。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0</w:t>
      </w:r>
      <w:r>
        <w:rPr>
          <w:rFonts w:ascii="宋体" w:eastAsia="宋体" w:hAnsi="宋体" w:hint="eastAsia"/>
          <w:kern w:val="2"/>
          <w:sz w:val="21"/>
          <w:szCs w:val="21"/>
          <w:lang w:eastAsia="zh-CN"/>
        </w:rPr>
        <w:t>.</w:t>
      </w:r>
      <w:r>
        <w:rPr>
          <w:rFonts w:ascii="宋体" w:eastAsia="宋体" w:hAnsi="宋体"/>
          <w:kern w:val="2"/>
          <w:sz w:val="21"/>
          <w:szCs w:val="21"/>
          <w:lang w:eastAsia="zh-CN"/>
        </w:rPr>
        <w:t>3</w:t>
      </w:r>
      <w:r>
        <w:rPr>
          <w:rFonts w:ascii="宋体" w:eastAsia="宋体" w:hAnsi="宋体" w:hint="eastAsia"/>
          <w:kern w:val="2"/>
          <w:sz w:val="21"/>
          <w:szCs w:val="21"/>
          <w:lang w:eastAsia="zh-CN"/>
        </w:rPr>
        <w:t>未参与标前会议不作为否定投标人资格的理由。</w:t>
      </w:r>
    </w:p>
    <w:bookmarkEnd w:id="71"/>
    <w:p>
      <w:pPr>
        <w:widowControl w:val="0"/>
        <w:spacing w:after="160" w:line="259" w:lineRule="auto"/>
        <w:ind w:firstLine="412" w:firstLineChars="196"/>
        <w:jc w:val="both"/>
        <w:rPr>
          <w:rFonts w:ascii="宋体" w:eastAsia="宋体" w:hAnsi="宋体"/>
          <w:kern w:val="2"/>
          <w:sz w:val="21"/>
          <w:lang w:eastAsia="zh-CN"/>
        </w:rPr>
      </w:pPr>
    </w:p>
    <w:p>
      <w:pPr>
        <w:keepNext/>
        <w:keepLines/>
        <w:widowControl w:val="0"/>
        <w:numPr>
          <w:ilvl w:val="0"/>
          <w:numId w:val="10"/>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招标文件</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1</w:t>
      </w:r>
      <w:r>
        <w:rPr>
          <w:rFonts w:ascii="黑体" w:eastAsia="黑体" w:hAnsi="宋体"/>
          <w:kern w:val="2"/>
          <w:sz w:val="21"/>
          <w:szCs w:val="21"/>
          <w:lang w:eastAsia="zh-CN"/>
        </w:rPr>
        <w:t>1</w:t>
      </w:r>
      <w:r>
        <w:rPr>
          <w:rFonts w:ascii="黑体" w:eastAsia="黑体" w:hAnsi="宋体" w:hint="eastAsia"/>
          <w:kern w:val="2"/>
          <w:sz w:val="21"/>
          <w:szCs w:val="21"/>
          <w:lang w:eastAsia="zh-CN"/>
        </w:rPr>
        <w:t>．</w:t>
      </w:r>
      <w:bookmarkStart w:id="73" w:name="_Hlk72399819"/>
      <w:r>
        <w:rPr>
          <w:rFonts w:ascii="黑体" w:eastAsia="黑体" w:hAnsi="宋体" w:hint="eastAsia"/>
          <w:kern w:val="2"/>
          <w:sz w:val="21"/>
          <w:szCs w:val="21"/>
          <w:lang w:eastAsia="zh-CN"/>
        </w:rPr>
        <w:t>招标文件的编制与组成</w:t>
      </w:r>
    </w:p>
    <w:p>
      <w:pPr>
        <w:widowControl w:val="0"/>
        <w:snapToGrid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.1招标文件除以下内容外，政府集中采购机构在招标期间发出的澄清或修改等相关公告或通知内容，均是招标文件的组成部分，对投标人起约束作用；</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招标文件包括下列内容：</w:t>
      </w:r>
    </w:p>
    <w:p>
      <w:pPr>
        <w:widowControl w:val="0"/>
        <w:spacing w:after="160" w:line="259" w:lineRule="auto"/>
        <w:ind w:firstLine="420" w:firstLineChars="200"/>
        <w:jc w:val="both"/>
        <w:rPr>
          <w:rFonts w:ascii="宋体" w:eastAsia="宋体" w:hAnsi="宋体"/>
          <w:b/>
          <w:kern w:val="2"/>
          <w:sz w:val="21"/>
          <w:szCs w:val="21"/>
          <w:lang w:eastAsia="zh-CN"/>
        </w:rPr>
      </w:pPr>
      <w:r>
        <w:rPr>
          <w:rFonts w:ascii="宋体" w:eastAsia="宋体" w:hAnsi="宋体" w:hint="eastAsia"/>
          <w:b/>
          <w:kern w:val="2"/>
          <w:sz w:val="21"/>
          <w:szCs w:val="21"/>
          <w:lang w:eastAsia="zh-CN"/>
        </w:rPr>
        <w:t>第一册  专用条款</w:t>
      </w:r>
    </w:p>
    <w:p>
      <w:pPr>
        <w:widowControl w:val="0"/>
        <w:spacing w:after="160" w:line="259" w:lineRule="auto"/>
        <w:ind w:firstLine="420" w:firstLineChars="200"/>
        <w:jc w:val="both"/>
        <w:rPr>
          <w:rFonts w:ascii="宋体" w:eastAsia="宋体" w:hAnsi="宋体"/>
          <w:b/>
          <w:kern w:val="2"/>
          <w:sz w:val="21"/>
          <w:szCs w:val="21"/>
          <w:lang w:eastAsia="zh-CN"/>
        </w:rPr>
      </w:pPr>
      <w:r>
        <w:rPr>
          <w:rFonts w:ascii="宋体" w:eastAsia="宋体" w:hAnsi="宋体" w:hint="eastAsia"/>
          <w:b/>
          <w:kern w:val="2"/>
          <w:sz w:val="21"/>
          <w:szCs w:val="21"/>
          <w:lang w:eastAsia="zh-CN"/>
        </w:rPr>
        <w:t>关键信息</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第一章  招标公告</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第二章  对通用条款的补充内容及其他关键信息</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第三章  用户需求书</w:t>
      </w:r>
    </w:p>
    <w:p>
      <w:pPr>
        <w:widowControl w:val="0"/>
        <w:spacing w:after="160" w:line="259" w:lineRule="auto"/>
        <w:ind w:firstLine="420" w:firstLineChars="200"/>
        <w:jc w:val="both"/>
        <w:rPr>
          <w:rFonts w:ascii="宋体" w:eastAsia="宋体" w:hAnsi="宋体"/>
          <w:kern w:val="2"/>
          <w:sz w:val="21"/>
          <w:szCs w:val="21"/>
          <w:lang w:eastAsia="zh-CN"/>
        </w:rPr>
      </w:pPr>
      <w:r>
        <w:rPr>
          <w:rFonts w:eastAsia="宋体" w:hint="eastAsia"/>
          <w:kern w:val="2"/>
          <w:sz w:val="21"/>
          <w:szCs w:val="21"/>
          <w:lang w:eastAsia="zh-CN"/>
        </w:rPr>
        <w:t xml:space="preserve">第四章 </w:t>
      </w:r>
      <w:r>
        <w:rPr>
          <w:rFonts w:eastAsia="宋体"/>
          <w:kern w:val="2"/>
          <w:sz w:val="21"/>
          <w:szCs w:val="21"/>
          <w:lang w:eastAsia="zh-CN"/>
        </w:rPr>
        <w:t xml:space="preserve"> </w:t>
      </w:r>
      <w:r>
        <w:rPr>
          <w:rFonts w:eastAsia="宋体" w:hint="eastAsia"/>
          <w:kern w:val="2"/>
          <w:sz w:val="21"/>
          <w:szCs w:val="21"/>
          <w:lang w:eastAsia="zh-CN"/>
        </w:rPr>
        <w:t>投标文件格式及附件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第五章  合同条款及格式</w:t>
      </w:r>
    </w:p>
    <w:p>
      <w:pPr>
        <w:widowControl w:val="0"/>
        <w:spacing w:after="160" w:line="259" w:lineRule="auto"/>
        <w:ind w:firstLine="420" w:firstLineChars="200"/>
        <w:jc w:val="both"/>
        <w:rPr>
          <w:rFonts w:ascii="宋体" w:eastAsia="宋体" w:hAnsi="宋体"/>
          <w:b/>
          <w:kern w:val="2"/>
          <w:sz w:val="21"/>
          <w:szCs w:val="21"/>
          <w:lang w:eastAsia="zh-CN"/>
        </w:rPr>
      </w:pPr>
      <w:r>
        <w:rPr>
          <w:rFonts w:ascii="宋体" w:eastAsia="宋体" w:hAnsi="宋体" w:hint="eastAsia"/>
          <w:b/>
          <w:kern w:val="2"/>
          <w:sz w:val="21"/>
          <w:szCs w:val="21"/>
          <w:lang w:eastAsia="zh-CN"/>
        </w:rPr>
        <w:t>第二册  通用条款</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第一章  总则</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第二章  招标文件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第三章  投标文件的编制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第四章  投标文件的递交</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第五章  开标</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第六章  评审要求</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第七章  评审程序及评审方法</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第八章  定标及公示</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第九章  公开招标失败的后续处理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第十章  合同的授予与备案</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第十一章  质疑处理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1</w:t>
      </w:r>
      <w:r>
        <w:rPr>
          <w:rFonts w:ascii="黑体" w:eastAsia="黑体" w:hAnsi="宋体"/>
          <w:kern w:val="2"/>
          <w:sz w:val="21"/>
          <w:szCs w:val="21"/>
          <w:lang w:eastAsia="zh-CN"/>
        </w:rPr>
        <w:t>2</w:t>
      </w:r>
      <w:r>
        <w:rPr>
          <w:rFonts w:ascii="黑体" w:eastAsia="黑体" w:hAnsi="宋体" w:hint="eastAsia"/>
          <w:kern w:val="2"/>
          <w:sz w:val="21"/>
          <w:szCs w:val="21"/>
          <w:lang w:eastAsia="zh-CN"/>
        </w:rPr>
        <w:t>．招标文件的澄清</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.1招标文件澄清的目的是澄清、解答投标人在查阅招标文件后或现场踏勘中可能提出的与投标有关的疑问或询问。</w:t>
      </w:r>
    </w:p>
    <w:p>
      <w:pPr>
        <w:widowControl w:val="0"/>
        <w:spacing w:after="160" w:line="259" w:lineRule="auto"/>
        <w:ind w:firstLine="420" w:firstLineChars="200"/>
        <w:jc w:val="both"/>
        <w:rPr>
          <w:rFonts w:ascii="宋体" w:eastAsia="宋体" w:hAnsi="宋体"/>
          <w:color w:val="FF0000"/>
          <w:kern w:val="2"/>
          <w:sz w:val="21"/>
          <w:szCs w:val="21"/>
          <w:lang w:eastAsia="zh-CN"/>
        </w:rPr>
      </w:pPr>
      <w:r>
        <w:rPr>
          <w:rFonts w:ascii="宋体" w:eastAsia="宋体" w:hAnsi="宋体" w:hint="eastAsia"/>
          <w:color w:val="FF0000"/>
          <w:kern w:val="2"/>
          <w:sz w:val="21"/>
          <w:szCs w:val="21"/>
          <w:lang w:eastAsia="zh-CN"/>
        </w:rPr>
        <w:t>1</w:t>
      </w:r>
      <w:r>
        <w:rPr>
          <w:rFonts w:ascii="宋体" w:eastAsia="宋体" w:hAnsi="宋体"/>
          <w:color w:val="FF0000"/>
          <w:kern w:val="2"/>
          <w:sz w:val="21"/>
          <w:szCs w:val="21"/>
          <w:lang w:eastAsia="zh-CN"/>
        </w:rPr>
        <w:t>2</w:t>
      </w:r>
      <w:r>
        <w:rPr>
          <w:rFonts w:ascii="宋体" w:eastAsia="宋体" w:hAnsi="宋体" w:hint="eastAsia"/>
          <w:color w:val="FF0000"/>
          <w:kern w:val="2"/>
          <w:sz w:val="21"/>
          <w:szCs w:val="21"/>
          <w:lang w:eastAsia="zh-CN"/>
        </w:rPr>
        <w:t>.2投标人如对招标文件内容有疑问，应当在招标公告规定的澄清（提问）截止时间前将疑问内容加盖公章书面提交至政府集中采购机构。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eastAsia="宋体" w:hAnsi="宋体"/>
          <w:kern w:val="2"/>
          <w:sz w:val="21"/>
          <w:szCs w:val="21"/>
          <w:lang w:eastAsia="zh-CN"/>
        </w:rPr>
        <w:t>3.3</w:t>
      </w:r>
      <w:r>
        <w:rPr>
          <w:rFonts w:ascii="宋体" w:eastAsia="宋体" w:hAnsi="宋体" w:hint="eastAsia"/>
          <w:kern w:val="2"/>
          <w:sz w:val="21"/>
          <w:szCs w:val="21"/>
          <w:lang w:eastAsia="zh-CN"/>
        </w:rPr>
        <w:t>、1</w:t>
      </w:r>
      <w:r>
        <w:rPr>
          <w:rFonts w:ascii="宋体" w:eastAsia="宋体" w:hAnsi="宋体"/>
          <w:kern w:val="2"/>
          <w:sz w:val="21"/>
          <w:szCs w:val="21"/>
          <w:lang w:eastAsia="zh-CN"/>
        </w:rPr>
        <w:t>3.4</w:t>
      </w:r>
      <w:r>
        <w:rPr>
          <w:rFonts w:ascii="宋体" w:eastAsia="宋体" w:hAnsi="宋体" w:hint="eastAsia"/>
          <w:kern w:val="2"/>
          <w:sz w:val="21"/>
          <w:szCs w:val="21"/>
          <w:lang w:eastAsia="zh-CN"/>
        </w:rPr>
        <w:t>款规定执行。</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kern w:val="2"/>
          <w:sz w:val="21"/>
          <w:szCs w:val="21"/>
          <w:lang w:eastAsia="zh-CN"/>
        </w:rPr>
        <w:t>1</w:t>
      </w:r>
      <w:r>
        <w:rPr>
          <w:rFonts w:ascii="黑体" w:eastAsia="黑体" w:hAnsi="宋体" w:hint="eastAsia"/>
          <w:kern w:val="2"/>
          <w:sz w:val="21"/>
          <w:szCs w:val="21"/>
          <w:lang w:eastAsia="zh-CN"/>
        </w:rPr>
        <w:t>3．招标文件的修改</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3.1招标文件发出后，在投标截止日期前任何时候，确需要变更招标文件内容的，政府集中采购机构可主动或在解答投标人提出的澄清问题时对招标文件进行修改。</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3.2招标文件的修改以书面形式（包括政府集中采购机构网站发布方式，如更正公告等）发送给所有投标人，招标文件的修改内容作为招标文件的组成部分，并具有约束力。</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73"/>
    </w:p>
    <w:p>
      <w:pPr>
        <w:widowControl w:val="0"/>
        <w:spacing w:after="160" w:line="259" w:lineRule="auto"/>
        <w:jc w:val="both"/>
        <w:rPr>
          <w:rFonts w:ascii="宋体" w:eastAsia="宋体" w:hAnsi="宋体"/>
          <w:kern w:val="2"/>
          <w:sz w:val="21"/>
          <w:szCs w:val="21"/>
          <w:lang w:eastAsia="zh-CN"/>
        </w:rPr>
      </w:pPr>
    </w:p>
    <w:p>
      <w:pPr>
        <w:keepNext/>
        <w:keepLines/>
        <w:widowControl w:val="0"/>
        <w:numPr>
          <w:ilvl w:val="0"/>
          <w:numId w:val="10"/>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投标文件的编制</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14．</w:t>
      </w:r>
      <w:bookmarkStart w:id="74" w:name="_Hlk72400236"/>
      <w:r>
        <w:rPr>
          <w:rFonts w:ascii="黑体" w:eastAsia="黑体" w:hAnsi="宋体" w:hint="eastAsia"/>
          <w:kern w:val="2"/>
          <w:sz w:val="21"/>
          <w:szCs w:val="21"/>
          <w:lang w:eastAsia="zh-CN"/>
        </w:rPr>
        <w:t>投标文件的语言及度量单位</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14.1 投标人与政府集中采购机构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14.2 除技术规范另有规定外，投标文件使用的度量单位，均采用中华人民共和国法定计量单位。</w:t>
      </w:r>
    </w:p>
    <w:bookmarkEnd w:id="74"/>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15．</w:t>
      </w:r>
      <w:bookmarkStart w:id="75" w:name="_Hlk72401567"/>
      <w:r>
        <w:rPr>
          <w:rFonts w:ascii="黑体" w:eastAsia="黑体" w:hAnsi="宋体" w:hint="eastAsia"/>
          <w:kern w:val="2"/>
          <w:sz w:val="21"/>
          <w:szCs w:val="21"/>
          <w:lang w:eastAsia="zh-CN"/>
        </w:rPr>
        <w:t>投标文件的组成</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具体内容在招标文件专用条款中进行规定。</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kern w:val="2"/>
          <w:sz w:val="21"/>
          <w:szCs w:val="21"/>
          <w:lang w:eastAsia="zh-CN"/>
        </w:rPr>
        <w:t>16．投标文件格式</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投标文件包括本通用条款第</w:t>
      </w:r>
      <w:r>
        <w:rPr>
          <w:rFonts w:ascii="宋体" w:eastAsia="宋体" w:hAnsi="宋体"/>
          <w:kern w:val="2"/>
          <w:sz w:val="21"/>
          <w:szCs w:val="21"/>
          <w:lang w:eastAsia="zh-CN"/>
        </w:rPr>
        <w:t>15条中规定的内容。如</w:t>
      </w:r>
      <w:r>
        <w:rPr>
          <w:rFonts w:ascii="宋体" w:eastAsia="宋体" w:hAnsi="宋体" w:hint="eastAsia"/>
          <w:kern w:val="2"/>
          <w:sz w:val="21"/>
          <w:szCs w:val="21"/>
          <w:lang w:eastAsia="zh-CN"/>
        </w:rPr>
        <w:t>招标</w:t>
      </w:r>
      <w:r>
        <w:rPr>
          <w:rFonts w:ascii="宋体" w:eastAsia="宋体" w:hAnsi="宋体"/>
          <w:kern w:val="2"/>
          <w:sz w:val="21"/>
          <w:szCs w:val="21"/>
          <w:lang w:eastAsia="zh-CN"/>
        </w:rPr>
        <w:t>文件提供了投标文件格式，则</w:t>
      </w:r>
      <w:r>
        <w:rPr>
          <w:rFonts w:ascii="宋体" w:eastAsia="宋体" w:hAnsi="宋体" w:hint="eastAsia"/>
          <w:b/>
          <w:bCs/>
          <w:kern w:val="2"/>
          <w:sz w:val="21"/>
          <w:szCs w:val="21"/>
          <w:lang w:eastAsia="zh-CN"/>
        </w:rPr>
        <w:t>投标人提交的投标文件应毫无例外地使用招标文件所提供的相应格式</w:t>
      </w:r>
      <w:r>
        <w:rPr>
          <w:rFonts w:ascii="宋体" w:eastAsia="宋体" w:hAnsi="宋体" w:hint="eastAsia"/>
          <w:kern w:val="2"/>
          <w:sz w:val="21"/>
          <w:szCs w:val="21"/>
          <w:lang w:eastAsia="zh-CN"/>
        </w:rPr>
        <w:t>（表格均可按同样格式扩展）。</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17．投标货币</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本项目的投标报价应以人民币计。</w:t>
      </w:r>
    </w:p>
    <w:bookmarkEnd w:id="75"/>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18．</w:t>
      </w:r>
      <w:bookmarkStart w:id="76" w:name="_Hlk72401735"/>
      <w:r>
        <w:rPr>
          <w:rFonts w:ascii="黑体" w:eastAsia="黑体" w:hAnsi="宋体" w:hint="eastAsia"/>
          <w:kern w:val="2"/>
          <w:sz w:val="21"/>
          <w:szCs w:val="21"/>
          <w:lang w:eastAsia="zh-CN"/>
        </w:rPr>
        <w:t>证明投标文件投标技术方案的合格性和符合招标文件规定的文件要求</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18</w:t>
      </w:r>
      <w:r>
        <w:rPr>
          <w:rFonts w:ascii="宋体" w:eastAsia="宋体" w:hAnsi="宋体"/>
          <w:kern w:val="2"/>
          <w:sz w:val="21"/>
          <w:szCs w:val="21"/>
          <w:lang w:eastAsia="zh-CN"/>
        </w:rPr>
        <w:t xml:space="preserve">.1 </w:t>
      </w:r>
      <w:r>
        <w:rPr>
          <w:rFonts w:ascii="宋体" w:eastAsia="宋体" w:hAnsi="宋体" w:hint="eastAsia"/>
          <w:kern w:val="2"/>
          <w:sz w:val="21"/>
          <w:szCs w:val="21"/>
          <w:lang w:eastAsia="zh-CN"/>
        </w:rPr>
        <w:t>投标人应提交证明文件，证明其投标技术方案项下的货物和服务的合格性符合招标文件规定。该投标技术方案及其证明文件均作为投标文件组成部分。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8</w:t>
      </w:r>
      <w:r>
        <w:rPr>
          <w:rFonts w:ascii="宋体" w:eastAsia="宋体" w:hAnsi="宋体"/>
          <w:kern w:val="2"/>
          <w:sz w:val="21"/>
          <w:szCs w:val="21"/>
          <w:lang w:eastAsia="zh-CN"/>
        </w:rPr>
        <w:t xml:space="preserve">.2 </w:t>
      </w:r>
      <w:r>
        <w:rPr>
          <w:rFonts w:ascii="宋体" w:eastAsia="宋体" w:hAnsi="宋体" w:hint="eastAsia"/>
          <w:kern w:val="2"/>
          <w:sz w:val="21"/>
          <w:szCs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18.2.1主要技术指标和性能的详细说明。</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18.2.</w:t>
      </w:r>
      <w:r>
        <w:rPr>
          <w:rFonts w:ascii="宋体" w:eastAsia="宋体" w:hAnsi="宋体"/>
          <w:kern w:val="2"/>
          <w:sz w:val="21"/>
          <w:szCs w:val="21"/>
          <w:lang w:eastAsia="zh-CN"/>
        </w:rPr>
        <w:t>2</w:t>
      </w:r>
      <w:r>
        <w:rPr>
          <w:rFonts w:ascii="宋体" w:eastAsia="宋体" w:hAnsi="宋体" w:hint="eastAsia"/>
          <w:kern w:val="2"/>
          <w:sz w:val="21"/>
          <w:szCs w:val="21"/>
          <w:lang w:eastAsia="zh-CN"/>
        </w:rPr>
        <w:t>投标产品从采购人开始使用至招标文件中规定的周期内正常、连续地使用所必须的备件和专用工具清单，包括备件和专用工具的货源及现行价格。</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18.2.</w:t>
      </w:r>
      <w:r>
        <w:rPr>
          <w:rFonts w:ascii="宋体" w:eastAsia="宋体" w:hAnsi="宋体"/>
          <w:kern w:val="2"/>
          <w:sz w:val="21"/>
          <w:szCs w:val="21"/>
          <w:lang w:eastAsia="zh-CN"/>
        </w:rPr>
        <w:t>3</w:t>
      </w:r>
      <w:r>
        <w:rPr>
          <w:rFonts w:ascii="宋体" w:eastAsia="宋体" w:hAnsi="宋体" w:hint="eastAsia"/>
          <w:kern w:val="2"/>
          <w:sz w:val="21"/>
          <w:szCs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eastAsia="宋体" w:hint="eastAsia"/>
          <w:kern w:val="2"/>
          <w:sz w:val="21"/>
          <w:szCs w:val="21"/>
          <w:lang w:eastAsia="zh-CN"/>
        </w:rPr>
        <w:t>清晰度要求能够使用电脑阅读、识别和判断</w:t>
      </w:r>
      <w:r>
        <w:rPr>
          <w:rFonts w:ascii="宋体" w:eastAsia="宋体" w:hAnsi="宋体" w:hint="eastAsia"/>
          <w:kern w:val="2"/>
          <w:sz w:val="21"/>
          <w:szCs w:val="21"/>
          <w:lang w:eastAsia="zh-CN"/>
        </w:rPr>
        <w:t>；</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18.3相关资料不符合18.2款要求的，评审委员会有权认定为投标技术方案不合格响应，其相关分数予以扣减或作投标无效处理。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8</w:t>
      </w:r>
      <w:r>
        <w:rPr>
          <w:rFonts w:ascii="宋体" w:eastAsia="宋体" w:hAnsi="宋体"/>
          <w:kern w:val="2"/>
          <w:sz w:val="21"/>
          <w:szCs w:val="21"/>
          <w:lang w:eastAsia="zh-CN"/>
        </w:rPr>
        <w:t>.</w:t>
      </w:r>
      <w:r>
        <w:rPr>
          <w:rFonts w:ascii="宋体" w:eastAsia="宋体" w:hAnsi="宋体" w:hint="eastAsia"/>
          <w:kern w:val="2"/>
          <w:sz w:val="21"/>
          <w:szCs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eastAsia="宋体" w:hint="eastAsia"/>
          <w:kern w:val="2"/>
          <w:sz w:val="21"/>
          <w:szCs w:val="21"/>
          <w:lang w:eastAsia="zh-CN"/>
        </w:rPr>
        <w:t>满足要求</w:t>
      </w:r>
      <w:r>
        <w:rPr>
          <w:rFonts w:ascii="宋体" w:eastAsia="宋体" w:hAnsi="宋体" w:hint="eastAsia"/>
          <w:kern w:val="2"/>
          <w:sz w:val="21"/>
          <w:szCs w:val="21"/>
          <w:lang w:eastAsia="zh-CN"/>
        </w:rPr>
        <w:t>，由评审委员会来评判。</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18.5除非另有规定或说明，投标人对同一项目投标时，不得同时提供两套或两套以上的投标方案。</w:t>
      </w:r>
    </w:p>
    <w:bookmarkEnd w:id="76"/>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19．</w:t>
      </w:r>
      <w:bookmarkStart w:id="77" w:name="_Hlk72402034"/>
      <w:r>
        <w:rPr>
          <w:rFonts w:ascii="黑体" w:eastAsia="黑体" w:hAnsi="宋体" w:hint="eastAsia"/>
          <w:kern w:val="2"/>
          <w:sz w:val="21"/>
          <w:szCs w:val="21"/>
          <w:lang w:eastAsia="zh-CN"/>
        </w:rPr>
        <w:t>投标文件其他证明文件的要求</w:t>
      </w:r>
    </w:p>
    <w:p>
      <w:pPr>
        <w:widowControl w:val="0"/>
        <w:spacing w:after="160" w:line="259" w:lineRule="auto"/>
        <w:ind w:firstLine="420" w:firstLineChars="200"/>
        <w:jc w:val="both"/>
        <w:rPr>
          <w:rFonts w:ascii="宋体" w:eastAsia="宋体" w:hAnsi="宋体"/>
          <w:color w:val="FF0000"/>
          <w:kern w:val="2"/>
          <w:sz w:val="21"/>
          <w:szCs w:val="21"/>
          <w:lang w:eastAsia="zh-CN"/>
        </w:rPr>
      </w:pPr>
      <w:r>
        <w:rPr>
          <w:rFonts w:ascii="宋体" w:eastAsia="宋体" w:hAnsi="宋体" w:hint="eastAsia"/>
          <w:kern w:val="2"/>
          <w:sz w:val="21"/>
          <w:szCs w:val="21"/>
          <w:lang w:eastAsia="zh-CN"/>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78" w:name="_Hlk71407299"/>
    </w:p>
    <w:bookmarkEnd w:id="78"/>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20．投标有效期</w:t>
      </w:r>
    </w:p>
    <w:bookmarkEnd w:id="77"/>
    <w:p>
      <w:pPr>
        <w:widowControl w:val="0"/>
        <w:spacing w:after="160" w:line="259" w:lineRule="auto"/>
        <w:ind w:firstLine="420" w:firstLineChars="200"/>
        <w:jc w:val="both"/>
        <w:rPr>
          <w:rFonts w:ascii="宋体" w:eastAsia="宋体" w:hAnsi="宋体"/>
          <w:kern w:val="2"/>
          <w:sz w:val="21"/>
          <w:szCs w:val="21"/>
          <w:lang w:eastAsia="zh-CN"/>
        </w:rPr>
      </w:pPr>
      <w:bookmarkStart w:id="79" w:name="_Hlk72402214"/>
      <w:r>
        <w:rPr>
          <w:rFonts w:ascii="宋体" w:eastAsia="宋体" w:hAnsi="宋体" w:hint="eastAsia"/>
          <w:kern w:val="2"/>
          <w:sz w:val="21"/>
          <w:szCs w:val="21"/>
          <w:lang w:eastAsia="zh-CN"/>
        </w:rPr>
        <w:t>20.1 投标有效期为</w:t>
      </w:r>
      <w:r>
        <w:rPr>
          <w:rFonts w:ascii="Arial" w:eastAsia="宋体" w:hAnsi="Arial" w:cs="Arial" w:hint="eastAsia"/>
          <w:kern w:val="2"/>
          <w:sz w:val="21"/>
          <w:szCs w:val="21"/>
          <w:lang w:eastAsia="zh-CN"/>
        </w:rPr>
        <w:t>从投标截止之日算起的日历天数。</w:t>
      </w:r>
      <w:r>
        <w:rPr>
          <w:rFonts w:ascii="宋体" w:eastAsia="宋体" w:hAnsi="宋体" w:hint="eastAsia"/>
          <w:kern w:val="2"/>
          <w:sz w:val="21"/>
          <w:szCs w:val="21"/>
          <w:lang w:eastAsia="zh-CN"/>
        </w:rPr>
        <w:t>在此期限内，所有投标文件均保持有效。</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20</w:t>
      </w:r>
      <w:r>
        <w:rPr>
          <w:rFonts w:ascii="宋体" w:eastAsia="宋体" w:hAnsi="宋体"/>
          <w:kern w:val="2"/>
          <w:sz w:val="21"/>
          <w:szCs w:val="21"/>
          <w:lang w:eastAsia="zh-CN"/>
        </w:rPr>
        <w:t>.3</w:t>
      </w:r>
      <w:r>
        <w:rPr>
          <w:rFonts w:ascii="宋体" w:eastAsia="宋体" w:hAnsi="宋体" w:hint="eastAsia"/>
          <w:kern w:val="2"/>
          <w:sz w:val="21"/>
          <w:szCs w:val="21"/>
          <w:lang w:eastAsia="zh-CN"/>
        </w:rPr>
        <w:t xml:space="preserve"> 中标供应商的投标文件有效期，截止于完成本招标文件规定的全部项目内容，并通过竣工验收及保修期结束。</w:t>
      </w:r>
    </w:p>
    <w:bookmarkEnd w:id="79"/>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21．</w:t>
      </w:r>
      <w:bookmarkStart w:id="80" w:name="_Hlk72402325"/>
      <w:r>
        <w:rPr>
          <w:rFonts w:ascii="黑体" w:eastAsia="黑体" w:hAnsi="宋体" w:hint="eastAsia"/>
          <w:kern w:val="2"/>
          <w:sz w:val="21"/>
          <w:szCs w:val="21"/>
          <w:lang w:eastAsia="zh-CN"/>
        </w:rPr>
        <w:t xml:space="preserve">关于投标保证金 </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szCs w:val="21"/>
          <w:lang w:eastAsia="zh-CN"/>
        </w:rPr>
        <w:t>根据《深圳市财政局关于调整政府采购投标（响应）保证金管理政策的通知》（深财购〔2021〕51号）文的规定，本项目不收取投标保证金。</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22．投标人的替代方案</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他详细资料。</w:t>
      </w:r>
    </w:p>
    <w:bookmarkEnd w:id="80"/>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23．</w:t>
      </w:r>
      <w:bookmarkStart w:id="81" w:name="_Hlk72402860"/>
      <w:r>
        <w:rPr>
          <w:rFonts w:ascii="黑体" w:eastAsia="黑体" w:hAnsi="宋体"/>
          <w:kern w:val="2"/>
          <w:sz w:val="21"/>
          <w:szCs w:val="21"/>
          <w:lang w:eastAsia="zh-CN"/>
        </w:rPr>
        <w:t>投标文件的</w:t>
      </w:r>
      <w:r>
        <w:rPr>
          <w:rFonts w:ascii="黑体" w:eastAsia="黑体" w:hAnsi="宋体" w:hint="eastAsia"/>
          <w:kern w:val="2"/>
          <w:sz w:val="21"/>
          <w:szCs w:val="21"/>
          <w:lang w:eastAsia="zh-CN"/>
        </w:rPr>
        <w:t>制作</w:t>
      </w:r>
      <w:r>
        <w:rPr>
          <w:rFonts w:ascii="黑体" w:eastAsia="黑体" w:hAnsi="宋体"/>
          <w:kern w:val="2"/>
          <w:sz w:val="21"/>
          <w:szCs w:val="21"/>
          <w:lang w:eastAsia="zh-CN"/>
        </w:rPr>
        <w:t>要求</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23.1投标人应准备所投项目的电子投标文件一份。</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23.2投标人在使用《投标书编制软件》编制投标书时须注意：</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23.2.2不能用非本公司的电子密钥加密本公司的投标文件，或者用其他公司的登录用户上传本公司的投标文件。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23.2.3要求用《投标书编制软件》编制投标书的包，不能用其他方式编制投标书。编制投标文件时，电脑须连通互联网。</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23.2.4投标文件不能带病毒。政府集中采购机构将用专业杀毒软件对投标文件进行病毒检测，如果软件报告发现病毒，则政府集中采购机构认为该投标文件带病毒。</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23.2.6投标人在编辑投标文件时，</w:t>
      </w:r>
      <w:r>
        <w:rPr>
          <w:rFonts w:ascii="宋体" w:eastAsia="宋体" w:hAnsi="宋体" w:hint="eastAsia"/>
          <w:b/>
          <w:kern w:val="2"/>
          <w:sz w:val="21"/>
          <w:szCs w:val="21"/>
          <w:lang w:eastAsia="zh-CN"/>
        </w:rPr>
        <w:t>在投标文件目录中属于本节点内容的必须在本节点中填写，填写到其他节点或附件，</w:t>
      </w:r>
      <w:r>
        <w:rPr>
          <w:rFonts w:ascii="宋体" w:eastAsia="宋体" w:hAnsi="宋体" w:hint="eastAsia"/>
          <w:kern w:val="2"/>
          <w:sz w:val="21"/>
          <w:szCs w:val="21"/>
          <w:lang w:eastAsia="zh-CN"/>
        </w:rPr>
        <w:t>一切后果由供应商自行承担。</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23.2.7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23.2.8如果开标时出现网络故障、技术故障，影响了采购活动，政府集中采购机构有权采取措施如延期、接受无法从网上上传的投标书等，以保障采购活动的公开、公平和公正。</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23.3电报、电话、传真形式的投标概不接受。</w:t>
      </w:r>
    </w:p>
    <w:p>
      <w:pPr>
        <w:widowControl w:val="0"/>
        <w:spacing w:after="160" w:line="259" w:lineRule="auto"/>
        <w:ind w:firstLine="420" w:firstLineChars="200"/>
        <w:jc w:val="both"/>
        <w:rPr>
          <w:rFonts w:ascii="宋体" w:eastAsia="宋体" w:hAnsi="宋体"/>
          <w:b/>
          <w:kern w:val="2"/>
          <w:sz w:val="21"/>
          <w:szCs w:val="21"/>
          <w:lang w:eastAsia="zh-CN"/>
        </w:rPr>
      </w:pPr>
      <w:r>
        <w:rPr>
          <w:rFonts w:ascii="宋体" w:eastAsia="宋体" w:hAnsi="宋体" w:hint="eastAsia"/>
          <w:b/>
          <w:kern w:val="2"/>
          <w:sz w:val="21"/>
          <w:szCs w:val="21"/>
          <w:lang w:eastAsia="zh-CN"/>
        </w:rPr>
        <w:t>23.4全流程线上投标的投标文件无须盖章或签字，</w:t>
      </w:r>
      <w:r>
        <w:rPr>
          <w:rFonts w:ascii="宋体" w:eastAsia="宋体" w:hAnsi="宋体" w:hint="eastAsia"/>
          <w:kern w:val="2"/>
          <w:sz w:val="21"/>
          <w:szCs w:val="21"/>
          <w:lang w:eastAsia="zh-CN"/>
        </w:rPr>
        <w:t>专用条款另有要求的除外。</w:t>
      </w:r>
    </w:p>
    <w:p>
      <w:pPr>
        <w:widowControl w:val="0"/>
        <w:spacing w:after="160" w:line="259" w:lineRule="auto"/>
        <w:ind w:firstLine="420" w:firstLineChars="200"/>
        <w:jc w:val="both"/>
        <w:rPr>
          <w:rFonts w:ascii="宋体" w:eastAsia="宋体" w:hAnsi="宋体"/>
          <w:kern w:val="2"/>
          <w:sz w:val="21"/>
          <w:lang w:eastAsia="zh-CN"/>
        </w:rPr>
      </w:pPr>
      <w:r>
        <w:rPr>
          <w:rFonts w:ascii="宋体" w:eastAsia="宋体" w:hAnsi="宋体" w:hint="eastAsia"/>
          <w:b/>
          <w:kern w:val="2"/>
          <w:sz w:val="21"/>
          <w:szCs w:val="21"/>
          <w:lang w:eastAsia="zh-CN"/>
        </w:rPr>
        <w:t>23.5</w:t>
      </w:r>
      <w:r>
        <w:rPr>
          <w:rFonts w:ascii="宋体" w:eastAsia="宋体" w:hAnsi="宋体" w:hint="eastAsia"/>
          <w:kern w:val="2"/>
          <w:sz w:val="21"/>
          <w:szCs w:val="21"/>
          <w:lang w:eastAsia="zh-CN"/>
        </w:rPr>
        <w:t xml:space="preserve"> 各类资格（资质）文件提供扫描件，专用条款另有要求的除外。</w:t>
      </w:r>
      <w:bookmarkEnd w:id="81"/>
    </w:p>
    <w:p>
      <w:pPr>
        <w:widowControl w:val="0"/>
        <w:spacing w:after="160" w:line="259" w:lineRule="auto"/>
        <w:ind w:firstLine="412" w:firstLineChars="196"/>
        <w:jc w:val="both"/>
        <w:rPr>
          <w:rFonts w:ascii="宋体" w:eastAsia="宋体" w:hAnsi="宋体"/>
          <w:kern w:val="2"/>
          <w:sz w:val="21"/>
          <w:szCs w:val="21"/>
          <w:lang w:eastAsia="zh-CN"/>
        </w:rPr>
      </w:pPr>
    </w:p>
    <w:p>
      <w:pPr>
        <w:keepNext/>
        <w:keepLines/>
        <w:widowControl w:val="0"/>
        <w:numPr>
          <w:ilvl w:val="0"/>
          <w:numId w:val="10"/>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投标文件的递交</w:t>
      </w:r>
    </w:p>
    <w:p>
      <w:pPr>
        <w:widowControl w:val="0"/>
        <w:spacing w:after="160" w:line="259" w:lineRule="auto"/>
        <w:ind w:firstLine="420" w:firstLineChars="200"/>
        <w:jc w:val="both"/>
        <w:rPr>
          <w:rFonts w:ascii="黑体" w:eastAsia="黑体" w:hAnsi="宋体"/>
          <w:kern w:val="2"/>
          <w:sz w:val="21"/>
          <w:szCs w:val="21"/>
          <w:lang w:eastAsia="zh-CN"/>
        </w:rPr>
      </w:pPr>
      <w:bookmarkStart w:id="82" w:name="_Hlk72405459"/>
      <w:r>
        <w:rPr>
          <w:rFonts w:ascii="黑体" w:eastAsia="黑体" w:hAnsi="宋体" w:hint="eastAsia"/>
          <w:kern w:val="2"/>
          <w:sz w:val="21"/>
          <w:szCs w:val="21"/>
          <w:lang w:eastAsia="zh-CN"/>
        </w:rPr>
        <w:t>24．投标文件的保密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pPr>
        <w:widowControl w:val="0"/>
        <w:spacing w:after="160" w:line="259" w:lineRule="auto"/>
        <w:ind w:firstLine="420" w:firstLineChars="200"/>
        <w:jc w:val="both"/>
        <w:rPr>
          <w:rFonts w:ascii="宋体" w:eastAsia="宋体" w:hAnsi="宋体"/>
          <w:b/>
          <w:kern w:val="2"/>
          <w:sz w:val="21"/>
          <w:szCs w:val="21"/>
          <w:lang w:eastAsia="zh-CN"/>
        </w:rPr>
      </w:pPr>
      <w:r>
        <w:rPr>
          <w:rFonts w:ascii="宋体" w:eastAsia="宋体" w:hAnsi="宋体" w:hint="eastAsia"/>
          <w:b/>
          <w:kern w:val="2"/>
          <w:sz w:val="21"/>
          <w:szCs w:val="21"/>
          <w:lang w:eastAsia="zh-CN"/>
        </w:rPr>
        <w:t>24.2若采购项目出现延期情况：</w:t>
      </w:r>
    </w:p>
    <w:p>
      <w:pPr>
        <w:widowControl w:val="0"/>
        <w:spacing w:after="160" w:line="259" w:lineRule="auto"/>
        <w:ind w:firstLine="420" w:firstLineChars="200"/>
        <w:jc w:val="both"/>
        <w:rPr>
          <w:rFonts w:ascii="黑体" w:eastAsia="黑体" w:hAnsi="宋体"/>
          <w:b/>
          <w:kern w:val="2"/>
          <w:sz w:val="21"/>
          <w:szCs w:val="21"/>
          <w:lang w:eastAsia="zh-CN"/>
        </w:rPr>
      </w:pPr>
      <w:r>
        <w:rPr>
          <w:rFonts w:ascii="宋体" w:eastAsia="宋体" w:hAnsi="宋体" w:hint="eastAsia"/>
          <w:b/>
          <w:kern w:val="2"/>
          <w:sz w:val="21"/>
          <w:szCs w:val="21"/>
          <w:lang w:eastAsia="zh-CN"/>
        </w:rPr>
        <w:t>如果供下载的招标文件有更新，投标人必须重新下载招标文件、重新制作投标文件、重新加密投标文件、重新上传投标文件。</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25．上传投标文件及投标截止日期</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25</w:t>
      </w:r>
      <w:r>
        <w:rPr>
          <w:rFonts w:ascii="宋体" w:eastAsia="宋体" w:hAnsi="宋体"/>
          <w:kern w:val="2"/>
          <w:sz w:val="21"/>
          <w:szCs w:val="21"/>
          <w:lang w:eastAsia="zh-CN"/>
        </w:rPr>
        <w:t>.</w:t>
      </w:r>
      <w:r>
        <w:rPr>
          <w:rFonts w:ascii="宋体" w:eastAsia="宋体" w:hAnsi="宋体" w:hint="eastAsia"/>
          <w:kern w:val="2"/>
          <w:sz w:val="21"/>
          <w:szCs w:val="21"/>
          <w:lang w:eastAsia="zh-CN"/>
        </w:rPr>
        <w:t>1实行网上投标，</w:t>
      </w:r>
      <w:r>
        <w:rPr>
          <w:rFonts w:ascii="宋体" w:eastAsia="宋体" w:hAnsi="宋体"/>
          <w:kern w:val="2"/>
          <w:sz w:val="21"/>
          <w:szCs w:val="21"/>
          <w:lang w:eastAsia="zh-CN"/>
        </w:rPr>
        <w:t>投标人必须</w:t>
      </w:r>
      <w:r>
        <w:rPr>
          <w:rFonts w:ascii="宋体" w:eastAsia="宋体" w:hAnsi="宋体" w:hint="eastAsia"/>
          <w:kern w:val="2"/>
          <w:sz w:val="21"/>
          <w:szCs w:val="21"/>
          <w:lang w:eastAsia="zh-CN"/>
        </w:rPr>
        <w:t>在招标</w:t>
      </w:r>
      <w:r>
        <w:rPr>
          <w:rFonts w:ascii="宋体" w:eastAsia="宋体" w:hAnsi="宋体"/>
          <w:kern w:val="2"/>
          <w:sz w:val="21"/>
          <w:szCs w:val="21"/>
          <w:lang w:eastAsia="zh-CN"/>
        </w:rPr>
        <w:t>文件规定的投标截止时间前</w:t>
      </w:r>
      <w:r>
        <w:rPr>
          <w:rFonts w:ascii="宋体" w:eastAsia="宋体" w:hAnsi="宋体" w:hint="eastAsia"/>
          <w:kern w:val="2"/>
          <w:sz w:val="21"/>
          <w:szCs w:val="21"/>
          <w:lang w:eastAsia="zh-CN"/>
        </w:rPr>
        <w:t>用电子密钥登录“深圳市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hint="eastAsia"/>
          <w:b/>
          <w:bCs/>
          <w:kern w:val="2"/>
          <w:sz w:val="21"/>
          <w:szCs w:val="21"/>
          <w:lang w:eastAsia="zh-CN"/>
        </w:rPr>
        <w:t>深圳公共资源交易中心（深圳交易集团有限公司政府采购业务分公司）3楼服务大厅（地址：深圳市南山区沙河西路3185号南山智谷A座深圳交易集团总部大楼）</w:t>
      </w:r>
      <w:r>
        <w:rPr>
          <w:rFonts w:ascii="宋体" w:eastAsia="宋体" w:hAnsi="宋体"/>
          <w:b/>
          <w:bCs/>
          <w:kern w:val="2"/>
          <w:sz w:val="21"/>
          <w:szCs w:val="21"/>
          <w:lang w:eastAsia="zh-CN"/>
        </w:rPr>
        <w:t>协助上传</w:t>
      </w:r>
      <w:r>
        <w:rPr>
          <w:rFonts w:ascii="宋体" w:eastAsia="宋体" w:hAnsi="宋体" w:hint="eastAsia"/>
          <w:b/>
          <w:bCs/>
          <w:kern w:val="2"/>
          <w:sz w:val="21"/>
          <w:szCs w:val="21"/>
          <w:lang w:eastAsia="zh-CN"/>
        </w:rPr>
        <w:t>，</w:t>
      </w:r>
      <w:r>
        <w:rPr>
          <w:rFonts w:ascii="宋体" w:eastAsia="宋体" w:hAnsi="宋体"/>
          <w:b/>
          <w:bCs/>
          <w:kern w:val="2"/>
          <w:sz w:val="21"/>
          <w:szCs w:val="21"/>
          <w:lang w:eastAsia="zh-CN"/>
        </w:rPr>
        <w:t>但上传过程</w:t>
      </w:r>
      <w:r>
        <w:rPr>
          <w:rFonts w:ascii="宋体" w:eastAsia="宋体" w:hAnsi="宋体" w:hint="eastAsia"/>
          <w:b/>
          <w:bCs/>
          <w:kern w:val="2"/>
          <w:sz w:val="21"/>
          <w:szCs w:val="21"/>
          <w:lang w:eastAsia="zh-CN"/>
        </w:rPr>
        <w:t>中</w:t>
      </w:r>
      <w:r>
        <w:rPr>
          <w:rFonts w:ascii="宋体" w:eastAsia="宋体" w:hAnsi="宋体"/>
          <w:b/>
          <w:bCs/>
          <w:kern w:val="2"/>
          <w:sz w:val="21"/>
          <w:szCs w:val="21"/>
          <w:lang w:eastAsia="zh-CN"/>
        </w:rPr>
        <w:t>投标截止时间到达仍无法上传成功的，由投标人自行负责</w:t>
      </w:r>
      <w:r>
        <w:rPr>
          <w:rFonts w:ascii="宋体" w:eastAsia="宋体" w:hAnsi="宋体" w:hint="eastAsia"/>
          <w:kern w:val="2"/>
          <w:sz w:val="21"/>
          <w:szCs w:val="21"/>
          <w:lang w:eastAsia="zh-CN"/>
        </w:rPr>
        <w:t>。</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25</w:t>
      </w:r>
      <w:r>
        <w:rPr>
          <w:rFonts w:ascii="宋体" w:eastAsia="宋体" w:hAnsi="宋体"/>
          <w:kern w:val="2"/>
          <w:sz w:val="21"/>
          <w:szCs w:val="21"/>
          <w:lang w:eastAsia="zh-CN"/>
        </w:rPr>
        <w:t>.</w:t>
      </w:r>
      <w:r>
        <w:rPr>
          <w:rFonts w:ascii="宋体" w:eastAsia="宋体" w:hAnsi="宋体" w:hint="eastAsia"/>
          <w:kern w:val="2"/>
          <w:sz w:val="21"/>
          <w:szCs w:val="21"/>
          <w:lang w:eastAsia="zh-CN"/>
        </w:rPr>
        <w:t>3投标截止时间以后不得上传投标文件。</w:t>
      </w:r>
    </w:p>
    <w:bookmarkEnd w:id="82"/>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26. 样品、现场演示、方案讲解</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26.1 样品、现场演示、方案讲解等事项在招标文件专用条款中进行规定。</w:t>
      </w:r>
    </w:p>
    <w:p>
      <w:pPr>
        <w:widowControl w:val="0"/>
        <w:spacing w:after="160" w:line="259" w:lineRule="auto"/>
        <w:ind w:firstLine="420" w:firstLineChars="200"/>
        <w:jc w:val="both"/>
        <w:rPr>
          <w:rFonts w:ascii="黑体" w:eastAsia="黑体" w:hAnsi="宋体"/>
          <w:kern w:val="2"/>
          <w:sz w:val="21"/>
          <w:szCs w:val="21"/>
          <w:lang w:eastAsia="zh-CN"/>
        </w:rPr>
      </w:pPr>
      <w:bookmarkStart w:id="83" w:name="_Hlk72428346"/>
      <w:r>
        <w:rPr>
          <w:rFonts w:ascii="黑体" w:eastAsia="黑体" w:hAnsi="宋体"/>
          <w:kern w:val="2"/>
          <w:sz w:val="21"/>
          <w:szCs w:val="21"/>
          <w:lang w:eastAsia="zh-CN"/>
        </w:rPr>
        <w:t>2</w:t>
      </w:r>
      <w:r>
        <w:rPr>
          <w:rFonts w:ascii="黑体" w:eastAsia="黑体" w:hAnsi="宋体" w:hint="eastAsia"/>
          <w:kern w:val="2"/>
          <w:sz w:val="21"/>
          <w:szCs w:val="21"/>
          <w:lang w:eastAsia="zh-CN"/>
        </w:rPr>
        <w:t>7．</w:t>
      </w:r>
      <w:r>
        <w:rPr>
          <w:rFonts w:ascii="黑体" w:eastAsia="黑体" w:hAnsi="宋体"/>
          <w:kern w:val="2"/>
          <w:sz w:val="21"/>
          <w:szCs w:val="21"/>
          <w:lang w:eastAsia="zh-CN"/>
        </w:rPr>
        <w:t>投标文件的修改和撤销</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1</w:t>
      </w:r>
      <w:r>
        <w:rPr>
          <w:rFonts w:ascii="宋体" w:eastAsia="宋体" w:hAnsi="宋体"/>
          <w:kern w:val="2"/>
          <w:sz w:val="21"/>
          <w:szCs w:val="21"/>
          <w:lang w:eastAsia="zh-CN"/>
        </w:rPr>
        <w:t>投标方在提交投标文件后可对其投标文件进行修改</w:t>
      </w:r>
      <w:r>
        <w:rPr>
          <w:rFonts w:ascii="宋体" w:eastAsia="宋体" w:hAnsi="宋体" w:hint="eastAsia"/>
          <w:kern w:val="2"/>
          <w:sz w:val="21"/>
          <w:szCs w:val="21"/>
          <w:lang w:eastAsia="zh-CN"/>
        </w:rPr>
        <w:t>并重新上传投标文件</w:t>
      </w:r>
      <w:r>
        <w:rPr>
          <w:rFonts w:ascii="宋体" w:eastAsia="宋体" w:hAnsi="宋体"/>
          <w:kern w:val="2"/>
          <w:sz w:val="21"/>
          <w:szCs w:val="21"/>
          <w:lang w:eastAsia="zh-CN"/>
        </w:rPr>
        <w:t>或</w:t>
      </w:r>
      <w:r>
        <w:rPr>
          <w:rFonts w:ascii="宋体" w:eastAsia="宋体" w:hAnsi="宋体" w:hint="eastAsia"/>
          <w:kern w:val="2"/>
          <w:sz w:val="21"/>
          <w:szCs w:val="21"/>
          <w:lang w:eastAsia="zh-CN"/>
        </w:rPr>
        <w:t>在网上进行</w:t>
      </w:r>
      <w:r>
        <w:rPr>
          <w:rFonts w:ascii="宋体" w:eastAsia="宋体" w:hAnsi="宋体"/>
          <w:kern w:val="2"/>
          <w:sz w:val="21"/>
          <w:szCs w:val="21"/>
          <w:lang w:eastAsia="zh-CN"/>
        </w:rPr>
        <w:t>撤销</w:t>
      </w:r>
      <w:r>
        <w:rPr>
          <w:rFonts w:ascii="宋体" w:eastAsia="宋体" w:hAnsi="宋体" w:hint="eastAsia"/>
          <w:kern w:val="2"/>
          <w:sz w:val="21"/>
          <w:szCs w:val="21"/>
          <w:lang w:eastAsia="zh-CN"/>
        </w:rPr>
        <w:t>投标的操作</w:t>
      </w:r>
      <w:r>
        <w:rPr>
          <w:rFonts w:ascii="宋体" w:eastAsia="宋体" w:hAnsi="宋体"/>
          <w:kern w:val="2"/>
          <w:sz w:val="21"/>
          <w:szCs w:val="21"/>
          <w:lang w:eastAsia="zh-CN"/>
        </w:rPr>
        <w:t>。</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2</w:t>
      </w:r>
      <w:r>
        <w:rPr>
          <w:rFonts w:ascii="宋体" w:eastAsia="宋体" w:hAnsi="宋体"/>
          <w:kern w:val="2"/>
          <w:sz w:val="21"/>
          <w:szCs w:val="21"/>
          <w:lang w:eastAsia="zh-CN"/>
        </w:rPr>
        <w:t>投标截止时间以后不得修改投标文件。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3从投标截止期至投标人在投标文件中确定的投标有效期之间的这段时间内，投标人不得撤回其投标。</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27.4政府集中采购机构不退还投标文件，专用条款另有规定的除外。</w:t>
      </w:r>
    </w:p>
    <w:bookmarkEnd w:id="83"/>
    <w:p>
      <w:pPr>
        <w:keepNext/>
        <w:keepLines/>
        <w:widowControl w:val="0"/>
        <w:numPr>
          <w:ilvl w:val="0"/>
          <w:numId w:val="10"/>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开标</w:t>
      </w:r>
    </w:p>
    <w:p>
      <w:pPr>
        <w:widowControl w:val="0"/>
        <w:wordWrap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28．开标</w:t>
      </w:r>
    </w:p>
    <w:p>
      <w:pPr>
        <w:widowControl w:val="0"/>
        <w:wordWrap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8</w:t>
      </w:r>
      <w:r>
        <w:rPr>
          <w:rFonts w:ascii="宋体" w:eastAsia="宋体" w:hAnsi="宋体"/>
          <w:kern w:val="2"/>
          <w:sz w:val="21"/>
          <w:szCs w:val="21"/>
          <w:lang w:eastAsia="zh-CN"/>
        </w:rPr>
        <w:t>.</w:t>
      </w:r>
      <w:r>
        <w:rPr>
          <w:rFonts w:ascii="宋体" w:eastAsia="宋体" w:hAnsi="宋体" w:hint="eastAsia"/>
          <w:kern w:val="2"/>
          <w:sz w:val="21"/>
          <w:szCs w:val="21"/>
          <w:lang w:eastAsia="zh-CN"/>
        </w:rPr>
        <w:t>1投标人须在开标当日的开标时间至解密截止时间内进行解密，逾期未解密的作无效处理。解密方法：登录“深圳市自行采购系统（https://trade.szggzy.com/ggzy/center/#/login）”，使用本单位制作电子投标文件同一个电子密钥进行在线解密、查询开标情况。</w:t>
      </w:r>
    </w:p>
    <w:p>
      <w:pPr>
        <w:widowControl w:val="0"/>
        <w:wordWrap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28.2政府集中采购机构将在满足开标条件（①解密时间结束，解密后的投标供应商数量满足开标要求或②解密时间结束前所有投标供应商均完成投标文件解密）后，对投标文件进行开标，并在网上公布开标结果。</w:t>
      </w:r>
    </w:p>
    <w:p>
      <w:pPr>
        <w:widowControl w:val="0"/>
        <w:spacing w:after="160" w:line="259" w:lineRule="auto"/>
        <w:ind w:firstLine="315" w:firstLineChars="150"/>
        <w:jc w:val="both"/>
        <w:rPr>
          <w:rFonts w:ascii="宋体" w:eastAsia="宋体" w:hAnsi="宋体"/>
          <w:kern w:val="2"/>
          <w:sz w:val="21"/>
          <w:szCs w:val="21"/>
          <w:lang w:eastAsia="zh-CN"/>
        </w:rPr>
      </w:pPr>
    </w:p>
    <w:p>
      <w:pPr>
        <w:keepNext/>
        <w:keepLines/>
        <w:widowControl w:val="0"/>
        <w:numPr>
          <w:ilvl w:val="0"/>
          <w:numId w:val="10"/>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评审要求</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29．评审委员会组成</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29.1网上开标结束后召开评审会议，评审委员会由政府集中采购机构依法组建，负责评审活动。</w:t>
      </w:r>
    </w:p>
    <w:p>
      <w:pPr>
        <w:widowControl w:val="0"/>
        <w:spacing w:after="160" w:line="259" w:lineRule="auto"/>
        <w:ind w:firstLine="420" w:firstLineChars="200"/>
        <w:jc w:val="both"/>
        <w:rPr>
          <w:rFonts w:ascii="宋体" w:eastAsia="宋体" w:hAnsi="宋体"/>
          <w:kern w:val="2"/>
          <w:sz w:val="21"/>
          <w:szCs w:val="21"/>
          <w:lang w:eastAsia="zh-CN"/>
        </w:rPr>
      </w:pPr>
      <w:bookmarkStart w:id="84" w:name="_Hlk72436580"/>
      <w:r>
        <w:rPr>
          <w:rFonts w:ascii="宋体" w:eastAsia="宋体" w:hAnsi="宋体" w:hint="eastAsia"/>
          <w:kern w:val="2"/>
          <w:sz w:val="21"/>
          <w:szCs w:val="21"/>
          <w:lang w:eastAsia="zh-CN"/>
        </w:rPr>
        <w:t>评审委员会由采购人代表和评审专家组成，成员人数应当为5人以上单数（部分条件下为7人以上单数），其中评审专家不得少于成员总数的三分之二。</w:t>
      </w:r>
      <w:bookmarkEnd w:id="84"/>
      <w:r>
        <w:rPr>
          <w:rFonts w:ascii="宋体" w:eastAsia="宋体" w:hAnsi="宋体" w:hint="eastAsia"/>
          <w:kern w:val="2"/>
          <w:sz w:val="21"/>
          <w:szCs w:val="21"/>
          <w:lang w:eastAsia="zh-CN"/>
        </w:rPr>
        <w:t>评定</w:t>
      </w:r>
      <w:r>
        <w:rPr>
          <w:rFonts w:eastAsia="宋体" w:hint="eastAsia"/>
          <w:kern w:val="2"/>
          <w:sz w:val="21"/>
          <w:szCs w:val="21"/>
          <w:lang w:eastAsia="zh-CN"/>
        </w:rPr>
        <w:t>分离项目</w:t>
      </w:r>
      <w:r>
        <w:rPr>
          <w:rFonts w:eastAsia="宋体"/>
          <w:kern w:val="2"/>
          <w:sz w:val="21"/>
          <w:szCs w:val="21"/>
          <w:lang w:eastAsia="zh-CN"/>
        </w:rPr>
        <w:t>评审专家</w:t>
      </w:r>
      <w:r>
        <w:rPr>
          <w:rFonts w:eastAsia="宋体" w:hint="eastAsia"/>
          <w:kern w:val="2"/>
          <w:sz w:val="21"/>
          <w:szCs w:val="21"/>
          <w:lang w:eastAsia="zh-CN"/>
        </w:rPr>
        <w:t>均</w:t>
      </w:r>
      <w:r>
        <w:rPr>
          <w:rFonts w:eastAsia="宋体"/>
          <w:kern w:val="2"/>
          <w:sz w:val="21"/>
          <w:szCs w:val="21"/>
          <w:lang w:eastAsia="zh-CN"/>
        </w:rPr>
        <w:t>由</w:t>
      </w:r>
      <w:r>
        <w:rPr>
          <w:rFonts w:eastAsia="宋体" w:hint="eastAsia"/>
          <w:kern w:val="2"/>
          <w:sz w:val="21"/>
          <w:szCs w:val="21"/>
          <w:lang w:eastAsia="zh-CN"/>
        </w:rPr>
        <w:t>评审专家组成。</w:t>
      </w:r>
      <w:r>
        <w:rPr>
          <w:rFonts w:ascii="宋体" w:eastAsia="宋体" w:hAnsi="宋体" w:hint="eastAsia"/>
          <w:kern w:val="2"/>
          <w:sz w:val="21"/>
          <w:szCs w:val="21"/>
          <w:lang w:eastAsia="zh-CN"/>
        </w:rPr>
        <w:t>评审专家一般是从深圳市政府采购评审专家库中随机抽取。采购人代表须持本单位签发的《评审授权书》参加评审。</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29.2评审定标应当遵循公平、公正、科学、择优的原则。</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29.3评审活动依法进行，任何单位和个人不得非法干预评标过程和结果。</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29.4评审过程中不允许违背评标程序或采用招标文件未载明的评标方法或评标因素进行评标。</w:t>
      </w:r>
    </w:p>
    <w:p>
      <w:pPr>
        <w:widowControl w:val="0"/>
        <w:spacing w:after="160" w:line="259" w:lineRule="auto"/>
        <w:ind w:firstLine="420" w:firstLineChars="2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29.5 开标后，直到签订合同为止，凡属于对投标文件的审查、澄清、评价和比较的有关资料以及中标候选人的推荐情况、与评审有关的其他任何情况均严格保密（</w:t>
      </w:r>
      <w:r>
        <w:rPr>
          <w:rFonts w:eastAsia="宋体" w:hint="eastAsia"/>
          <w:kern w:val="2"/>
          <w:sz w:val="21"/>
          <w:szCs w:val="21"/>
          <w:lang w:eastAsia="zh-CN"/>
        </w:rPr>
        <w:t>信息公开的内容除外</w:t>
      </w:r>
      <w:r>
        <w:rPr>
          <w:rFonts w:ascii="宋体" w:eastAsia="宋体" w:hAnsi="宋体" w:hint="eastAsia"/>
          <w:bCs/>
          <w:kern w:val="2"/>
          <w:sz w:val="21"/>
          <w:szCs w:val="21"/>
          <w:lang w:eastAsia="zh-CN"/>
        </w:rPr>
        <w:t>）。</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30．向评审委员会提供的资料</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30.1公开发布的招标文件，包括图纸、服务清单、答疑文件等；</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30.2其他评标必须的资料。</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30.3评审委员会应当认真研究招标文件，至少应了解熟悉以下内容：</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（1）招标的目的；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（2）招标项目需求的范围和性质；</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（3）招标文件规定的投标人的资格、财政预算限额、商务条款；</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（4）招标文件规定的评标程序、评标方法和评标因素；</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（5）招标文件所列示的资格性审查表及符合性审查表。</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31．独立评审</w:t>
      </w:r>
    </w:p>
    <w:p>
      <w:pPr>
        <w:widowControl w:val="0"/>
        <w:spacing w:after="160" w:line="259" w:lineRule="auto"/>
        <w:ind w:firstLine="420" w:firstLineChars="2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3</w:t>
      </w:r>
      <w:r>
        <w:rPr>
          <w:rFonts w:ascii="宋体" w:eastAsia="宋体" w:hAnsi="宋体"/>
          <w:bCs/>
          <w:kern w:val="2"/>
          <w:sz w:val="21"/>
          <w:szCs w:val="21"/>
          <w:lang w:eastAsia="zh-CN"/>
        </w:rPr>
        <w:t>1</w:t>
      </w:r>
      <w:r>
        <w:rPr>
          <w:rFonts w:ascii="宋体" w:eastAsia="宋体" w:hAnsi="宋体" w:hint="eastAsia"/>
          <w:bCs/>
          <w:kern w:val="2"/>
          <w:sz w:val="21"/>
          <w:szCs w:val="21"/>
          <w:lang w:eastAsia="zh-CN"/>
        </w:rPr>
        <w:t>.1</w:t>
      </w:r>
      <w:r>
        <w:rPr>
          <w:rFonts w:ascii="宋体" w:eastAsia="宋体" w:hAnsi="宋体" w:hint="eastAsia"/>
          <w:kern w:val="2"/>
          <w:sz w:val="21"/>
          <w:szCs w:val="21"/>
          <w:lang w:eastAsia="zh-CN"/>
        </w:rPr>
        <w:t>评审委员会</w:t>
      </w:r>
      <w:r>
        <w:rPr>
          <w:rFonts w:ascii="宋体" w:eastAsia="宋体" w:hAnsi="宋体" w:hint="eastAsia"/>
          <w:bCs/>
          <w:kern w:val="2"/>
          <w:sz w:val="21"/>
          <w:szCs w:val="21"/>
          <w:lang w:eastAsia="zh-CN"/>
        </w:rPr>
        <w:t>成员的评标活动应当独立进行，并应遵循投标文件初审、澄清有关问题、比较与评价、确定中标供应商、编写评审报告的工作程序。</w:t>
      </w:r>
    </w:p>
    <w:p>
      <w:pPr>
        <w:widowControl w:val="0"/>
        <w:spacing w:after="160" w:line="259" w:lineRule="auto"/>
        <w:ind w:firstLine="412" w:firstLineChars="196"/>
        <w:jc w:val="both"/>
        <w:rPr>
          <w:rFonts w:ascii="宋体" w:eastAsia="宋体" w:hAnsi="宋体"/>
          <w:bCs/>
          <w:kern w:val="2"/>
          <w:sz w:val="21"/>
          <w:szCs w:val="21"/>
          <w:lang w:eastAsia="zh-CN"/>
        </w:rPr>
      </w:pPr>
    </w:p>
    <w:p>
      <w:pPr>
        <w:keepNext/>
        <w:keepLines/>
        <w:widowControl w:val="0"/>
        <w:numPr>
          <w:ilvl w:val="0"/>
          <w:numId w:val="10"/>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评审程序及评审方法</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32．投标文件初审</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32.1投标文件初审包括资格性审查和符合性审查。</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资格性审查：依据法律法规和招标文件的规定，对投标文件中的资格证明等进行审查，以确定投标供应商是否具备投标资格。</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符合性审查：依据招标文件的规定，对投标文件的有效性、完整性和对招标文件的响应程度进行审查，以确定是否满足符合性审查的要求。</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32.2 投标文件初审内容请详见《资格性审查表》和《符合性审查表》部分。投标人若有一条审查不通过则按投标无效处理。</w:t>
      </w:r>
    </w:p>
    <w:p>
      <w:pPr>
        <w:widowControl w:val="0"/>
        <w:spacing w:after="160" w:line="259" w:lineRule="auto"/>
        <w:ind w:firstLine="420" w:firstLineChars="2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32.3 投标文件初审中关于供应商家数的计算:</w:t>
      </w:r>
    </w:p>
    <w:p>
      <w:pPr>
        <w:widowControl w:val="0"/>
        <w:spacing w:after="160" w:line="259" w:lineRule="auto"/>
        <w:ind w:firstLine="420" w:firstLineChars="2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val="0"/>
        <w:spacing w:after="160" w:line="259" w:lineRule="auto"/>
        <w:ind w:firstLine="420" w:firstLineChars="2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pPr>
        <w:widowControl w:val="0"/>
        <w:spacing w:after="160" w:line="259" w:lineRule="auto"/>
        <w:ind w:firstLine="420" w:firstLineChars="2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32.4投标人投标文件作无效处理的情形，具体包括但不限于以下：</w:t>
      </w:r>
    </w:p>
    <w:p>
      <w:pPr>
        <w:widowControl w:val="0"/>
        <w:spacing w:after="160" w:line="259" w:lineRule="auto"/>
        <w:ind w:firstLine="420" w:firstLineChars="200"/>
        <w:jc w:val="both"/>
        <w:rPr>
          <w:rFonts w:eastAsia="宋体"/>
          <w:kern w:val="2"/>
          <w:sz w:val="21"/>
          <w:szCs w:val="21"/>
          <w:lang w:eastAsia="zh-CN"/>
        </w:rPr>
      </w:pPr>
      <w:r>
        <w:rPr>
          <w:rFonts w:ascii="宋体" w:eastAsia="宋体" w:hAnsi="宋体" w:hint="eastAsia"/>
          <w:kern w:val="2"/>
          <w:sz w:val="21"/>
          <w:szCs w:val="21"/>
          <w:lang w:eastAsia="zh-CN"/>
        </w:rPr>
        <w:t>32.4.1</w:t>
      </w:r>
      <w:r>
        <w:rPr>
          <w:rFonts w:eastAsia="宋体" w:hint="eastAsia"/>
          <w:kern w:val="2"/>
          <w:sz w:val="21"/>
          <w:szCs w:val="21"/>
          <w:lang w:eastAsia="zh-CN"/>
        </w:rPr>
        <w:t>不同投标人的投标文件由同一单位或者同一个人编制，或者由同一个人分阶段参与编制；</w:t>
      </w:r>
    </w:p>
    <w:p>
      <w:pPr>
        <w:widowControl w:val="0"/>
        <w:spacing w:after="160" w:line="259" w:lineRule="auto"/>
        <w:ind w:firstLine="420" w:firstLineChars="200"/>
        <w:jc w:val="both"/>
        <w:rPr>
          <w:rFonts w:eastAsia="宋体"/>
          <w:kern w:val="2"/>
          <w:sz w:val="21"/>
          <w:szCs w:val="21"/>
          <w:lang w:eastAsia="zh-CN"/>
        </w:rPr>
      </w:pPr>
      <w:r>
        <w:rPr>
          <w:rFonts w:ascii="宋体" w:eastAsia="宋体" w:hAnsi="宋体"/>
          <w:kern w:val="2"/>
          <w:sz w:val="21"/>
          <w:szCs w:val="21"/>
          <w:lang w:eastAsia="zh-CN"/>
        </w:rPr>
        <w:t>32.4.</w:t>
      </w:r>
      <w:r>
        <w:rPr>
          <w:rFonts w:ascii="宋体" w:eastAsia="宋体" w:hAnsi="宋体" w:hint="eastAsia"/>
          <w:kern w:val="2"/>
          <w:sz w:val="21"/>
          <w:szCs w:val="21"/>
          <w:lang w:eastAsia="zh-CN"/>
        </w:rPr>
        <w:t>2</w:t>
      </w:r>
      <w:r>
        <w:rPr>
          <w:rFonts w:eastAsia="宋体" w:hint="eastAsia"/>
          <w:kern w:val="2"/>
          <w:sz w:val="21"/>
          <w:szCs w:val="21"/>
          <w:lang w:eastAsia="zh-CN"/>
        </w:rPr>
        <w:t>不同投标人委托同一单位或者个人办理投标事宜；</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32.4.3不同投标人的投标文件载明的项目管理成员或者联系人员为同一人；</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32.4.4不同投标人的投标文件异常一致或者投标报价呈规律性差异；</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32.4.5</w:t>
      </w:r>
      <w:r>
        <w:rPr>
          <w:rFonts w:ascii="宋体" w:eastAsia="宋体" w:hAnsi="宋体"/>
          <w:kern w:val="2"/>
          <w:sz w:val="21"/>
          <w:szCs w:val="21"/>
          <w:lang w:eastAsia="zh-CN"/>
        </w:rPr>
        <w:t>不同投标供应商的投标文件或部分投标文件相互混装</w:t>
      </w:r>
      <w:r>
        <w:rPr>
          <w:rFonts w:ascii="宋体" w:eastAsia="宋体" w:hAnsi="宋体" w:hint="eastAsia"/>
          <w:kern w:val="2"/>
          <w:sz w:val="21"/>
          <w:szCs w:val="21"/>
          <w:lang w:eastAsia="zh-CN"/>
        </w:rPr>
        <w:t>；</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32.4.6投标供应商之间相互约定给予未中标的供应商利益补偿；</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32.4.7不同投标供应商的法定代表人、主要经营负责人、项目投标授权代表人、项目负责人、主要技术人员为同一人、属同一单位或者同一单位缴纳社会保险；</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32.4.8不同投标供应商的投标文件内容存在非正常一致；</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32.4.9在同一单位工作人员为两家以上（含两家）供应商进行同一项投标活动；</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32.4.10主管部门依照法律、法规认定的其他情形。</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32.5对不属于《资格性审查表》和《符合性审查表》所列的其他情形，除专用条款另有规定和32.4条款所列情形外，不得作为投标无效的理由。</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33．澄清有关问题</w:t>
      </w:r>
    </w:p>
    <w:p>
      <w:pPr>
        <w:widowControl w:val="0"/>
        <w:spacing w:after="160" w:line="259" w:lineRule="auto"/>
        <w:ind w:firstLine="420" w:firstLineChars="200"/>
        <w:jc w:val="both"/>
        <w:rPr>
          <w:rFonts w:ascii="宋体" w:eastAsia="宋体" w:hAnsi="宋体"/>
          <w:kern w:val="2"/>
          <w:sz w:val="21"/>
          <w:szCs w:val="21"/>
          <w:lang w:eastAsia="zh-CN"/>
        </w:rPr>
      </w:pPr>
      <w:bookmarkStart w:id="85" w:name="_Hlk71407321"/>
      <w:r>
        <w:rPr>
          <w:rFonts w:ascii="宋体" w:eastAsia="宋体" w:hAnsi="宋体" w:hint="eastAsia"/>
          <w:kern w:val="2"/>
          <w:sz w:val="21"/>
          <w:szCs w:val="21"/>
          <w:lang w:eastAsia="zh-CN"/>
        </w:rPr>
        <w:t>3</w:t>
      </w:r>
      <w:r>
        <w:rPr>
          <w:rFonts w:ascii="宋体" w:eastAsia="宋体" w:hAnsi="宋体"/>
          <w:kern w:val="2"/>
          <w:sz w:val="21"/>
          <w:szCs w:val="21"/>
          <w:lang w:eastAsia="zh-CN"/>
        </w:rPr>
        <w:t>3.1</w:t>
      </w:r>
      <w:r>
        <w:rPr>
          <w:rFonts w:ascii="宋体" w:eastAsia="宋体" w:hAnsi="宋体" w:hint="eastAsia"/>
          <w:kern w:val="2"/>
          <w:sz w:val="21"/>
          <w:szCs w:val="21"/>
          <w:lang w:eastAsia="zh-CN"/>
        </w:rPr>
        <w:t>对招标文件中描述有歧义或前后不一致的地方（不含</w:t>
      </w:r>
      <w:r>
        <w:rPr>
          <w:rFonts w:eastAsia="宋体" w:hint="eastAsia"/>
          <w:kern w:val="2"/>
          <w:sz w:val="21"/>
          <w:szCs w:val="21"/>
          <w:lang w:eastAsia="zh-CN"/>
        </w:rPr>
        <w:t>招标</w:t>
      </w:r>
      <w:r>
        <w:rPr>
          <w:rFonts w:eastAsia="宋体"/>
          <w:kern w:val="2"/>
          <w:sz w:val="21"/>
          <w:szCs w:val="21"/>
          <w:lang w:eastAsia="zh-CN"/>
        </w:rPr>
        <w:t>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ascii="宋体" w:eastAsia="宋体" w:hAnsi="宋体" w:hint="eastAsia"/>
          <w:kern w:val="2"/>
          <w:sz w:val="21"/>
          <w:szCs w:val="21"/>
          <w:lang w:eastAsia="zh-CN"/>
        </w:rPr>
        <w:t>，评审委员会有权进行评判，但对同一条款的评判应适用于每个投标人。</w:t>
      </w:r>
      <w:bookmarkEnd w:id="85"/>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3.2</w:t>
      </w:r>
      <w:r>
        <w:rPr>
          <w:rFonts w:eastAsia="宋体"/>
          <w:kern w:val="2"/>
          <w:sz w:val="21"/>
          <w:szCs w:val="21"/>
          <w:lang w:eastAsia="zh-CN"/>
        </w:rPr>
        <w:t>评</w:t>
      </w:r>
      <w:r>
        <w:rPr>
          <w:rFonts w:eastAsia="宋体" w:hint="eastAsia"/>
          <w:kern w:val="2"/>
          <w:sz w:val="21"/>
          <w:szCs w:val="21"/>
          <w:lang w:eastAsia="zh-CN"/>
        </w:rPr>
        <w:t>审</w:t>
      </w:r>
      <w:r>
        <w:rPr>
          <w:rFonts w:eastAsia="宋体"/>
          <w:kern w:val="2"/>
          <w:sz w:val="21"/>
          <w:szCs w:val="21"/>
          <w:lang w:eastAsia="zh-CN"/>
        </w:rPr>
        <w:t>委员会发现</w:t>
      </w:r>
      <w:r>
        <w:rPr>
          <w:rFonts w:eastAsia="宋体" w:hint="eastAsia"/>
          <w:kern w:val="2"/>
          <w:sz w:val="21"/>
          <w:szCs w:val="21"/>
          <w:lang w:eastAsia="zh-CN"/>
        </w:rPr>
        <w:t>招标</w:t>
      </w:r>
      <w:r>
        <w:rPr>
          <w:rFonts w:eastAsia="宋体"/>
          <w:kern w:val="2"/>
          <w:sz w:val="21"/>
          <w:szCs w:val="21"/>
          <w:lang w:eastAsia="zh-CN"/>
        </w:rPr>
        <w:t>文件存在歧义、重大缺陷导致评</w:t>
      </w:r>
      <w:r>
        <w:rPr>
          <w:rFonts w:eastAsia="宋体" w:hint="eastAsia"/>
          <w:kern w:val="2"/>
          <w:sz w:val="21"/>
          <w:szCs w:val="21"/>
          <w:lang w:eastAsia="zh-CN"/>
        </w:rPr>
        <w:t>审</w:t>
      </w:r>
      <w:r>
        <w:rPr>
          <w:rFonts w:eastAsia="宋体"/>
          <w:kern w:val="2"/>
          <w:sz w:val="21"/>
          <w:szCs w:val="21"/>
          <w:lang w:eastAsia="zh-CN"/>
        </w:rPr>
        <w:t>工作无法进行，或者</w:t>
      </w:r>
      <w:r>
        <w:rPr>
          <w:rFonts w:eastAsia="宋体" w:hint="eastAsia"/>
          <w:kern w:val="2"/>
          <w:sz w:val="21"/>
          <w:szCs w:val="21"/>
          <w:lang w:eastAsia="zh-CN"/>
        </w:rPr>
        <w:t>招标</w:t>
      </w:r>
      <w:r>
        <w:rPr>
          <w:rFonts w:eastAsia="宋体"/>
          <w:kern w:val="2"/>
          <w:sz w:val="21"/>
          <w:szCs w:val="21"/>
          <w:lang w:eastAsia="zh-CN"/>
        </w:rPr>
        <w:t>文件内容违反国家有关强制性规定的，应当停止评</w:t>
      </w:r>
      <w:r>
        <w:rPr>
          <w:rFonts w:eastAsia="宋体" w:hint="eastAsia"/>
          <w:kern w:val="2"/>
          <w:sz w:val="21"/>
          <w:szCs w:val="21"/>
          <w:lang w:eastAsia="zh-CN"/>
        </w:rPr>
        <w:t>审</w:t>
      </w:r>
      <w:r>
        <w:rPr>
          <w:rFonts w:eastAsia="宋体"/>
          <w:kern w:val="2"/>
          <w:sz w:val="21"/>
          <w:szCs w:val="21"/>
          <w:lang w:eastAsia="zh-CN"/>
        </w:rPr>
        <w:t>工作，与</w:t>
      </w:r>
      <w:r>
        <w:rPr>
          <w:rFonts w:eastAsia="宋体" w:hint="eastAsia"/>
          <w:kern w:val="2"/>
          <w:sz w:val="21"/>
          <w:szCs w:val="21"/>
          <w:lang w:eastAsia="zh-CN"/>
        </w:rPr>
        <w:t>政府集中采购机构</w:t>
      </w:r>
      <w:r>
        <w:rPr>
          <w:rFonts w:eastAsia="宋体"/>
          <w:kern w:val="2"/>
          <w:sz w:val="21"/>
          <w:szCs w:val="21"/>
          <w:lang w:eastAsia="zh-CN"/>
        </w:rPr>
        <w:t>沟通并作书面记录。</w:t>
      </w:r>
      <w:r>
        <w:rPr>
          <w:rFonts w:eastAsia="宋体" w:hint="eastAsia"/>
          <w:kern w:val="2"/>
          <w:sz w:val="21"/>
          <w:szCs w:val="21"/>
          <w:lang w:eastAsia="zh-CN"/>
        </w:rPr>
        <w:t>经</w:t>
      </w:r>
      <w:r>
        <w:rPr>
          <w:rFonts w:eastAsia="宋体"/>
          <w:kern w:val="2"/>
          <w:sz w:val="21"/>
          <w:szCs w:val="21"/>
          <w:lang w:eastAsia="zh-CN"/>
        </w:rPr>
        <w:t>确认后，</w:t>
      </w:r>
      <w:r>
        <w:rPr>
          <w:rFonts w:eastAsia="宋体" w:hint="eastAsia"/>
          <w:kern w:val="2"/>
          <w:sz w:val="21"/>
          <w:szCs w:val="21"/>
          <w:lang w:eastAsia="zh-CN"/>
        </w:rPr>
        <w:t>项目</w:t>
      </w:r>
      <w:r>
        <w:rPr>
          <w:rFonts w:eastAsia="宋体"/>
          <w:kern w:val="2"/>
          <w:sz w:val="21"/>
          <w:szCs w:val="21"/>
          <w:lang w:eastAsia="zh-CN"/>
        </w:rPr>
        <w:t>应当修改</w:t>
      </w:r>
      <w:r>
        <w:rPr>
          <w:rFonts w:eastAsia="宋体" w:hint="eastAsia"/>
          <w:kern w:val="2"/>
          <w:sz w:val="21"/>
          <w:szCs w:val="21"/>
          <w:lang w:eastAsia="zh-CN"/>
        </w:rPr>
        <w:t>招标</w:t>
      </w:r>
      <w:r>
        <w:rPr>
          <w:rFonts w:eastAsia="宋体"/>
          <w:kern w:val="2"/>
          <w:sz w:val="21"/>
          <w:szCs w:val="21"/>
          <w:lang w:eastAsia="zh-CN"/>
        </w:rPr>
        <w:t>文件，重新组织采购活动。</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33.3</w:t>
      </w:r>
      <w:r>
        <w:rPr>
          <w:rFonts w:ascii="宋体" w:eastAsia="宋体" w:hAnsi="宋体" w:hint="eastAsia"/>
          <w:kern w:val="2"/>
          <w:sz w:val="21"/>
          <w:szCs w:val="21"/>
          <w:lang w:eastAsia="zh-CN"/>
        </w:rPr>
        <w:t>对于投标文件中含义不明确、同类问题表述不一致或者有明显文字和计算错误的内容，评审委员会应当以书面形式要求投标人作出必要的澄清、说明或者补正。</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根据本通用条款第34条，凡属于评审委员会在评审中发现的算术错误进行核实的修改不在此列。</w:t>
      </w:r>
    </w:p>
    <w:p>
      <w:pPr>
        <w:widowControl w:val="0"/>
        <w:spacing w:after="160" w:line="259" w:lineRule="auto"/>
        <w:ind w:firstLine="420" w:firstLineChars="200"/>
        <w:jc w:val="both"/>
        <w:rPr>
          <w:rFonts w:ascii="黑体" w:eastAsia="黑体" w:hAnsi="宋体"/>
          <w:kern w:val="2"/>
          <w:sz w:val="21"/>
          <w:szCs w:val="21"/>
          <w:lang w:eastAsia="zh-CN"/>
        </w:rPr>
      </w:pPr>
      <w:bookmarkStart w:id="86" w:name="_Toc100052400"/>
      <w:bookmarkStart w:id="87" w:name="_Toc73518151"/>
      <w:bookmarkStart w:id="88" w:name="_Toc73521581"/>
      <w:bookmarkStart w:id="89" w:name="_Toc73521669"/>
      <w:bookmarkStart w:id="90" w:name="_Toc73517673"/>
      <w:r>
        <w:rPr>
          <w:rFonts w:ascii="黑体" w:eastAsia="黑体" w:hAnsi="宋体" w:hint="eastAsia"/>
          <w:kern w:val="2"/>
          <w:sz w:val="21"/>
          <w:szCs w:val="21"/>
          <w:lang w:eastAsia="zh-CN"/>
        </w:rPr>
        <w:t>34．错误的修正</w:t>
      </w:r>
      <w:bookmarkEnd w:id="86"/>
      <w:bookmarkEnd w:id="87"/>
      <w:bookmarkEnd w:id="88"/>
      <w:bookmarkEnd w:id="89"/>
      <w:bookmarkEnd w:id="90"/>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投标文件报价出现前后不一致的，除专用条款另有规定外，按照下列规定修正：</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34.1投标文件中开标一览表投标报价内容与投标文件中投标报价相应内容不一致的，以开标一览表为准；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34.2大写金额和小写金额不一致的，以大写金额为准；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34.3单价金额小数点或者百分比有明显错位，以开标一览表的总价为准，并修改单价；</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34.4总价金额与按单价汇总金额不一致的，以单价金额计算结果为准。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34.5同时出现两种以上不一致的，按照前款规定的顺序修正。修正后的报价按照本通用条款33条的规定，经投标人确认后产生约束力，投标人不确认的，其投标无效。</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35．投标文件的比较与评价</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评审委员会成员对需要共同认定的事项存在争议的，应当按照少数服从多数的原则作出结论。持不同意见的评审委员会成员应当书面作出说明，否则视为无异议。</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36. 实地考察或资料查验</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36.1在评审过程中，评审委员会有权决定是否对本项目投标人进行实地考察或资料查验（原件）。投标人应随时做好接受实地考察或资料查验的准备。</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37．评审方法</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37.1.1最低价法</w:t>
      </w:r>
    </w:p>
    <w:p>
      <w:pPr>
        <w:widowControl w:val="0"/>
        <w:spacing w:after="160" w:line="259" w:lineRule="auto"/>
        <w:ind w:firstLine="420" w:firstLineChars="200"/>
        <w:jc w:val="both"/>
        <w:rPr>
          <w:rFonts w:ascii="ˎ̥" w:eastAsia="宋体" w:hAnsi="ˎ̥"/>
          <w:kern w:val="2"/>
          <w:sz w:val="21"/>
          <w:szCs w:val="21"/>
          <w:lang w:eastAsia="zh-CN"/>
        </w:rPr>
      </w:pPr>
      <w:bookmarkStart w:id="91" w:name="_Hlk72438142"/>
      <w:r>
        <w:rPr>
          <w:rFonts w:ascii="ˎ̥" w:eastAsia="宋体" w:hAnsi="ˎ̥"/>
          <w:kern w:val="2"/>
          <w:sz w:val="21"/>
          <w:szCs w:val="21"/>
          <w:lang w:eastAsia="zh-CN"/>
        </w:rPr>
        <w:t>最低价法，是指</w:t>
      </w:r>
      <w:r>
        <w:rPr>
          <w:rFonts w:ascii="ˎ̥" w:eastAsia="宋体" w:hAnsi="ˎ̥" w:hint="eastAsia"/>
          <w:kern w:val="2"/>
          <w:sz w:val="21"/>
          <w:szCs w:val="21"/>
          <w:lang w:eastAsia="zh-CN"/>
        </w:rPr>
        <w:t>完全</w:t>
      </w:r>
      <w:r>
        <w:rPr>
          <w:rFonts w:ascii="ˎ̥" w:eastAsia="宋体" w:hAnsi="ˎ̥"/>
          <w:kern w:val="2"/>
          <w:sz w:val="21"/>
          <w:szCs w:val="21"/>
          <w:lang w:eastAsia="zh-CN"/>
        </w:rPr>
        <w:t>满足</w:t>
      </w:r>
      <w:r>
        <w:rPr>
          <w:rFonts w:ascii="ˎ̥" w:eastAsia="宋体" w:hAnsi="ˎ̥" w:hint="eastAsia"/>
          <w:kern w:val="2"/>
          <w:sz w:val="21"/>
          <w:szCs w:val="21"/>
          <w:lang w:eastAsia="zh-CN"/>
        </w:rPr>
        <w:t>招标</w:t>
      </w:r>
      <w:r>
        <w:rPr>
          <w:rFonts w:ascii="ˎ̥" w:eastAsia="宋体" w:hAnsi="ˎ̥"/>
          <w:kern w:val="2"/>
          <w:sz w:val="21"/>
          <w:szCs w:val="21"/>
          <w:lang w:eastAsia="zh-CN"/>
        </w:rPr>
        <w:t>文件实质性要求，</w:t>
      </w:r>
      <w:r>
        <w:rPr>
          <w:rFonts w:ascii="ˎ̥" w:eastAsia="宋体" w:hAnsi="ˎ̥" w:hint="eastAsia"/>
          <w:kern w:val="2"/>
          <w:sz w:val="21"/>
          <w:szCs w:val="21"/>
          <w:lang w:eastAsia="zh-CN"/>
        </w:rPr>
        <w:t>按照报价由低到高的顺序，依据招标文件中规定的数量或者比例推荐候选中标供应商。</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37.1.2综合评分法</w:t>
      </w:r>
    </w:p>
    <w:p>
      <w:pPr>
        <w:widowControl w:val="0"/>
        <w:spacing w:after="160" w:line="259" w:lineRule="auto"/>
        <w:ind w:firstLine="420" w:firstLineChars="200"/>
        <w:jc w:val="both"/>
        <w:rPr>
          <w:rFonts w:ascii="ˎ̥" w:eastAsia="宋体" w:hAnsi="ˎ̥"/>
          <w:kern w:val="2"/>
          <w:sz w:val="21"/>
          <w:szCs w:val="21"/>
          <w:lang w:eastAsia="zh-CN"/>
        </w:rPr>
      </w:pPr>
      <w:r>
        <w:rPr>
          <w:rFonts w:ascii="ˎ̥" w:eastAsia="宋体" w:hAnsi="ˎ̥"/>
          <w:kern w:val="2"/>
          <w:sz w:val="21"/>
          <w:szCs w:val="21"/>
          <w:lang w:eastAsia="zh-CN"/>
        </w:rPr>
        <w:t>综合评分法，是指</w:t>
      </w:r>
      <w:r>
        <w:rPr>
          <w:rFonts w:ascii="ˎ̥" w:eastAsia="宋体" w:hAnsi="ˎ̥" w:hint="eastAsia"/>
          <w:kern w:val="2"/>
          <w:sz w:val="21"/>
          <w:szCs w:val="21"/>
          <w:lang w:eastAsia="zh-CN"/>
        </w:rPr>
        <w:t>在</w:t>
      </w:r>
      <w:r>
        <w:rPr>
          <w:rFonts w:ascii="ˎ̥" w:eastAsia="宋体" w:hAnsi="ˎ̥"/>
          <w:kern w:val="2"/>
          <w:sz w:val="21"/>
          <w:szCs w:val="21"/>
          <w:lang w:eastAsia="zh-CN"/>
        </w:rPr>
        <w:t>满足</w:t>
      </w:r>
      <w:r>
        <w:rPr>
          <w:rFonts w:ascii="ˎ̥" w:eastAsia="宋体" w:hAnsi="ˎ̥" w:hint="eastAsia"/>
          <w:kern w:val="2"/>
          <w:sz w:val="21"/>
          <w:szCs w:val="21"/>
          <w:lang w:eastAsia="zh-CN"/>
        </w:rPr>
        <w:t>招标</w:t>
      </w:r>
      <w:r>
        <w:rPr>
          <w:rFonts w:ascii="ˎ̥" w:eastAsia="宋体" w:hAnsi="ˎ̥"/>
          <w:kern w:val="2"/>
          <w:sz w:val="21"/>
          <w:szCs w:val="21"/>
          <w:lang w:eastAsia="zh-CN"/>
        </w:rPr>
        <w:t>文件全部实质性要求</w:t>
      </w:r>
      <w:r>
        <w:rPr>
          <w:rFonts w:ascii="ˎ̥" w:eastAsia="宋体" w:hAnsi="ˎ̥" w:hint="eastAsia"/>
          <w:kern w:val="2"/>
          <w:sz w:val="21"/>
          <w:szCs w:val="21"/>
          <w:lang w:eastAsia="zh-CN"/>
        </w:rPr>
        <w:t>的前提下</w:t>
      </w:r>
      <w:r>
        <w:rPr>
          <w:rFonts w:ascii="ˎ̥" w:eastAsia="宋体" w:hAnsi="ˎ̥"/>
          <w:kern w:val="2"/>
          <w:sz w:val="21"/>
          <w:szCs w:val="21"/>
          <w:lang w:eastAsia="zh-CN"/>
        </w:rPr>
        <w:t>，</w:t>
      </w:r>
      <w:r>
        <w:rPr>
          <w:rFonts w:ascii="ˎ̥" w:eastAsia="宋体" w:hAnsi="ˎ̥" w:hint="eastAsia"/>
          <w:kern w:val="2"/>
          <w:sz w:val="21"/>
          <w:szCs w:val="21"/>
          <w:lang w:eastAsia="zh-CN"/>
        </w:rPr>
        <w:t>按照招标文件中规定的各项因素进行综合评审，评审总得分排名前列的投标人，作为推荐的候选中标供应商。</w:t>
      </w:r>
      <w:bookmarkEnd w:id="91"/>
      <w:r>
        <w:rPr>
          <w:rFonts w:ascii="宋体" w:eastAsia="宋体" w:hAnsi="宋体" w:hint="eastAsia"/>
          <w:bCs/>
          <w:color w:val="FF0000"/>
          <w:kern w:val="2"/>
          <w:sz w:val="21"/>
          <w:szCs w:val="21"/>
          <w:lang w:eastAsia="zh-CN"/>
        </w:rPr>
        <w:t xml:space="preserve">  </w:t>
      </w:r>
      <w:r>
        <w:rPr>
          <w:rFonts w:ascii="宋体" w:eastAsia="宋体" w:hAnsi="宋体" w:hint="eastAsia"/>
          <w:bCs/>
          <w:kern w:val="2"/>
          <w:sz w:val="21"/>
          <w:szCs w:val="21"/>
          <w:lang w:eastAsia="zh-CN"/>
        </w:rPr>
        <w:t xml:space="preserve">                                                                                                                                                                                                                                                                                                                                                                                                                                                                                                                                                                                                                                                                                                                                                                                                                                                                                                                                                                                                                                                                                                                                                                                                                                                                                                                                                                                                                                                                                                                                                                                                                                                                                                                                                                                                                                                                                                                                                                                                                                                                                                                                                                                                                                                                                                                                                                                                                                                                                                                                                                                                                                                                                                                                                                                                                                                                                                                                                                                                                           </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37.2 本项目采用的评审方法见本项目招标文件第一册“专用条款”的相关内容。</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37.3重新评审的情形</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cs="宋体" w:hint="eastAsia"/>
          <w:sz w:val="21"/>
          <w:szCs w:val="21"/>
          <w:lang w:eastAsia="zh-CN"/>
        </w:rPr>
        <w:t>评审结果汇总完成后，除下列情形外，任何人不得修改评审结果：</w:t>
      </w:r>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37.3.1分值汇总计算错误的；</w:t>
      </w:r>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37.3.2分项评分超出评分标准范围的；</w:t>
      </w:r>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37.3.3评审委员会成员对客观评审因素评分不一致的；</w:t>
      </w:r>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37.3.4经评审委员会认定评分畸高、畸低的。</w:t>
      </w:r>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投标人对本条第一款情形提出质疑的，采购人或者采购代理机构可以组织原评审委员会进行重新评审，重新评审改变评审结果的，应当书面报告本级财政部门。</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 xml:space="preserve"> 37.4重新组建评审委员会的情形</w:t>
      </w:r>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评审委员会或者其成员存在下列情形导致评审结果无效的，重新组建评审委员会进行评标，并书面报告本级财政部门：</w:t>
      </w:r>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37.4.1评审委员会组成不符合《政府采购货物和服务招标投标管理办法》规定的；</w:t>
      </w:r>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37.4.2有《政府采购货物和服务招标投标管理办法》第六十二条第一至五项情形的；</w:t>
      </w:r>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37.4.3评审委员会及其成员独立评标受到非法干预的；</w:t>
      </w:r>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37.4.4有政府采购法实施条例第七十五条规定的违法行为的。</w:t>
      </w:r>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有违法违规行为的原评审委员会成员不得参加重新组建的评审委员会。</w:t>
      </w:r>
    </w:p>
    <w:p>
      <w:pPr>
        <w:widowControl w:val="0"/>
        <w:spacing w:after="160" w:line="259" w:lineRule="auto"/>
        <w:ind w:firstLine="412" w:firstLineChars="196"/>
        <w:jc w:val="both"/>
        <w:rPr>
          <w:rFonts w:ascii="宋体" w:eastAsia="宋体" w:hAnsi="宋体"/>
          <w:kern w:val="2"/>
          <w:sz w:val="21"/>
          <w:szCs w:val="21"/>
          <w:lang w:eastAsia="zh-CN"/>
        </w:rPr>
      </w:pPr>
    </w:p>
    <w:p>
      <w:pPr>
        <w:keepNext/>
        <w:keepLines/>
        <w:widowControl w:val="0"/>
        <w:numPr>
          <w:ilvl w:val="0"/>
          <w:numId w:val="10"/>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定标及公示</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38．定标方法</w:t>
      </w:r>
    </w:p>
    <w:p>
      <w:pPr>
        <w:widowControl w:val="0"/>
        <w:spacing w:after="160" w:line="259" w:lineRule="auto"/>
        <w:ind w:firstLine="420" w:firstLineChars="200"/>
        <w:jc w:val="both"/>
        <w:rPr>
          <w:rFonts w:ascii="宋体" w:eastAsia="宋体" w:hAnsi="宋体"/>
          <w:kern w:val="2"/>
          <w:sz w:val="21"/>
          <w:szCs w:val="21"/>
          <w:lang w:eastAsia="zh-CN"/>
        </w:rPr>
      </w:pPr>
      <w:bookmarkStart w:id="92" w:name="_Hlk73782795"/>
      <w:r>
        <w:rPr>
          <w:rFonts w:ascii="宋体" w:eastAsia="宋体" w:hAnsi="宋体" w:hint="eastAsia"/>
          <w:kern w:val="2"/>
          <w:sz w:val="21"/>
          <w:szCs w:val="21"/>
          <w:lang w:eastAsia="zh-CN"/>
        </w:rPr>
        <w:t>38.1非评定分离项目定标方法</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1.1评审委员会依据本项目招标文件所约定的评审方法进行评审和比较，向政府集中采购机构提交书面评审报告，并根据评审方法比较评价结果从优到劣进行排序，确定候选中标供应商。</w:t>
      </w:r>
    </w:p>
    <w:p>
      <w:pPr>
        <w:widowControl w:val="0"/>
        <w:spacing w:after="160" w:line="259" w:lineRule="auto"/>
        <w:ind w:firstLine="420" w:firstLineChars="200"/>
        <w:jc w:val="both"/>
        <w:rPr>
          <w:rFonts w:ascii="ˎ̥" w:eastAsia="宋体" w:hAnsi="ˎ̥"/>
          <w:kern w:val="2"/>
          <w:sz w:val="21"/>
          <w:szCs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1.2</w:t>
      </w:r>
      <w:r>
        <w:rPr>
          <w:rFonts w:ascii="ˎ̥" w:eastAsia="宋体" w:hAnsi="ˎ̥"/>
          <w:kern w:val="2"/>
          <w:sz w:val="21"/>
          <w:szCs w:val="21"/>
          <w:lang w:eastAsia="zh-CN"/>
        </w:rPr>
        <w:t>采用最低价法的，评</w:t>
      </w:r>
      <w:r>
        <w:rPr>
          <w:rFonts w:ascii="ˎ̥" w:eastAsia="宋体" w:hAnsi="ˎ̥" w:hint="eastAsia"/>
          <w:kern w:val="2"/>
          <w:sz w:val="21"/>
          <w:szCs w:val="21"/>
          <w:lang w:eastAsia="zh-CN"/>
        </w:rPr>
        <w:t>审</w:t>
      </w:r>
      <w:r>
        <w:rPr>
          <w:rFonts w:ascii="ˎ̥" w:eastAsia="宋体" w:hAnsi="ˎ̥"/>
          <w:kern w:val="2"/>
          <w:sz w:val="21"/>
          <w:szCs w:val="21"/>
          <w:lang w:eastAsia="zh-CN"/>
        </w:rPr>
        <w:t>结果按投标报价由低到高顺序排列。投标报价相同的并列。投标文件满足</w:t>
      </w:r>
      <w:r>
        <w:rPr>
          <w:rFonts w:ascii="ˎ̥" w:eastAsia="宋体" w:hAnsi="ˎ̥" w:hint="eastAsia"/>
          <w:kern w:val="2"/>
          <w:sz w:val="21"/>
          <w:szCs w:val="21"/>
          <w:lang w:eastAsia="zh-CN"/>
        </w:rPr>
        <w:t>招标</w:t>
      </w:r>
      <w:r>
        <w:rPr>
          <w:rFonts w:ascii="ˎ̥" w:eastAsia="宋体" w:hAnsi="ˎ̥"/>
          <w:kern w:val="2"/>
          <w:sz w:val="21"/>
          <w:szCs w:val="21"/>
          <w:lang w:eastAsia="zh-CN"/>
        </w:rPr>
        <w:t>文件全部实质性要求且投标报价最低的</w:t>
      </w:r>
      <w:r>
        <w:rPr>
          <w:rFonts w:ascii="ˎ̥" w:eastAsia="宋体" w:hAnsi="ˎ̥" w:hint="eastAsia"/>
          <w:kern w:val="2"/>
          <w:sz w:val="21"/>
          <w:szCs w:val="21"/>
          <w:lang w:eastAsia="zh-CN"/>
        </w:rPr>
        <w:t>投标人为</w:t>
      </w:r>
      <w:bookmarkStart w:id="93" w:name="_Hlk73821177"/>
      <w:r>
        <w:rPr>
          <w:rFonts w:ascii="ˎ̥" w:eastAsia="宋体" w:hAnsi="ˎ̥" w:hint="eastAsia"/>
          <w:kern w:val="2"/>
          <w:sz w:val="21"/>
          <w:szCs w:val="21"/>
          <w:lang w:eastAsia="zh-CN"/>
        </w:rPr>
        <w:t>唯一候选中标供应商</w:t>
      </w:r>
      <w:bookmarkEnd w:id="93"/>
      <w:r>
        <w:rPr>
          <w:rFonts w:ascii="ˎ̥" w:eastAsia="宋体" w:hAnsi="ˎ̥"/>
          <w:kern w:val="2"/>
          <w:sz w:val="21"/>
          <w:szCs w:val="21"/>
          <w:lang w:eastAsia="zh-CN"/>
        </w:rPr>
        <w:t>。</w:t>
      </w:r>
    </w:p>
    <w:p>
      <w:pPr>
        <w:widowControl w:val="0"/>
        <w:spacing w:after="160" w:line="259" w:lineRule="auto"/>
        <w:ind w:firstLine="420" w:firstLineChars="200"/>
        <w:jc w:val="both"/>
        <w:rPr>
          <w:rFonts w:ascii="ˎ̥" w:eastAsia="宋体" w:hAnsi="ˎ̥"/>
          <w:kern w:val="2"/>
          <w:sz w:val="21"/>
          <w:szCs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1.3</w:t>
      </w:r>
      <w:r>
        <w:rPr>
          <w:rFonts w:ascii="宋体" w:eastAsia="宋体" w:hAnsi="宋体"/>
          <w:kern w:val="2"/>
          <w:sz w:val="21"/>
          <w:szCs w:val="21"/>
          <w:lang w:eastAsia="zh-CN"/>
        </w:rPr>
        <w:t>采</w:t>
      </w:r>
      <w:r>
        <w:rPr>
          <w:rFonts w:ascii="ˎ̥" w:eastAsia="宋体" w:hAnsi="ˎ̥"/>
          <w:kern w:val="2"/>
          <w:sz w:val="21"/>
          <w:szCs w:val="21"/>
          <w:lang w:eastAsia="zh-CN"/>
        </w:rPr>
        <w:t>用综合评分法的，评标结果按评审后得分由高到低顺序排列。得分相同的，按投标报价由低到高顺序排列。得分且投标报价相同的并列。投标文件满足</w:t>
      </w:r>
      <w:r>
        <w:rPr>
          <w:rFonts w:ascii="ˎ̥" w:eastAsia="宋体" w:hAnsi="ˎ̥" w:hint="eastAsia"/>
          <w:kern w:val="2"/>
          <w:sz w:val="21"/>
          <w:szCs w:val="21"/>
          <w:lang w:eastAsia="zh-CN"/>
        </w:rPr>
        <w:t>招标</w:t>
      </w:r>
      <w:r>
        <w:rPr>
          <w:rFonts w:ascii="ˎ̥" w:eastAsia="宋体" w:hAnsi="ˎ̥"/>
          <w:kern w:val="2"/>
          <w:sz w:val="21"/>
          <w:szCs w:val="21"/>
          <w:lang w:eastAsia="zh-CN"/>
        </w:rPr>
        <w:t>文件全部实质性要求，且按照评审因素的量化指标评审得分最高的投标人</w:t>
      </w:r>
      <w:r>
        <w:rPr>
          <w:rFonts w:ascii="ˎ̥" w:eastAsia="宋体" w:hAnsi="ˎ̥" w:hint="eastAsia"/>
          <w:kern w:val="2"/>
          <w:sz w:val="21"/>
          <w:szCs w:val="21"/>
          <w:lang w:eastAsia="zh-CN"/>
        </w:rPr>
        <w:t>为唯一候选中标供应商</w:t>
      </w:r>
      <w:r>
        <w:rPr>
          <w:rFonts w:ascii="ˎ̥" w:eastAsia="宋体" w:hAnsi="ˎ̥"/>
          <w:kern w:val="2"/>
          <w:sz w:val="21"/>
          <w:szCs w:val="21"/>
          <w:lang w:eastAsia="zh-CN"/>
        </w:rPr>
        <w:t>。</w:t>
      </w:r>
      <w:r>
        <w:rPr>
          <w:rFonts w:ascii="ˎ̥" w:eastAsia="宋体" w:hAnsi="ˎ̥" w:hint="eastAsia"/>
          <w:kern w:val="2"/>
          <w:sz w:val="21"/>
          <w:szCs w:val="21"/>
          <w:lang w:eastAsia="zh-CN"/>
        </w:rPr>
        <w:t>出现</w:t>
      </w:r>
      <w:r>
        <w:rPr>
          <w:rFonts w:ascii="ˎ̥" w:eastAsia="宋体" w:hAnsi="ˎ̥"/>
          <w:kern w:val="2"/>
          <w:sz w:val="21"/>
          <w:szCs w:val="21"/>
          <w:lang w:eastAsia="zh-CN"/>
        </w:rPr>
        <w:t>得分且投标报价相同的并列</w:t>
      </w:r>
      <w:r>
        <w:rPr>
          <w:rFonts w:ascii="ˎ̥" w:eastAsia="宋体" w:hAnsi="ˎ̥" w:hint="eastAsia"/>
          <w:kern w:val="2"/>
          <w:sz w:val="21"/>
          <w:szCs w:val="21"/>
          <w:lang w:eastAsia="zh-CN"/>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38.2评定分离项目定标方法</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val="0"/>
        <w:spacing w:after="160" w:line="259" w:lineRule="auto"/>
        <w:ind w:firstLine="420" w:firstLineChars="200"/>
        <w:jc w:val="both"/>
        <w:rPr>
          <w:rFonts w:eastAsia="宋体"/>
          <w:kern w:val="2"/>
          <w:sz w:val="21"/>
          <w:szCs w:val="21"/>
          <w:lang w:eastAsia="zh-CN"/>
        </w:rPr>
      </w:pPr>
      <w:r>
        <w:rPr>
          <w:rFonts w:ascii="宋体" w:eastAsia="宋体" w:hAnsi="宋体"/>
          <w:kern w:val="2"/>
          <w:sz w:val="21"/>
          <w:szCs w:val="21"/>
          <w:lang w:eastAsia="zh-CN"/>
        </w:rPr>
        <w:t xml:space="preserve">38.2.2 </w:t>
      </w:r>
      <w:bookmarkStart w:id="94" w:name="_Hlk71469733"/>
      <w:r>
        <w:rPr>
          <w:rFonts w:eastAsia="宋体"/>
          <w:kern w:val="2"/>
          <w:sz w:val="21"/>
          <w:szCs w:val="21"/>
          <w:lang w:eastAsia="zh-CN"/>
        </w:rPr>
        <w:t>适用评定分离的</w:t>
      </w:r>
      <w:r>
        <w:rPr>
          <w:rFonts w:eastAsia="宋体" w:hint="eastAsia"/>
          <w:kern w:val="2"/>
          <w:sz w:val="21"/>
          <w:szCs w:val="21"/>
          <w:lang w:eastAsia="zh-CN"/>
        </w:rPr>
        <w:t>采购</w:t>
      </w:r>
      <w:r>
        <w:rPr>
          <w:rFonts w:eastAsia="宋体"/>
          <w:kern w:val="2"/>
          <w:sz w:val="21"/>
          <w:szCs w:val="21"/>
          <w:lang w:eastAsia="zh-CN"/>
        </w:rPr>
        <w:t>项目，采用综合评分法评</w:t>
      </w:r>
      <w:r>
        <w:rPr>
          <w:rFonts w:eastAsia="宋体" w:hint="eastAsia"/>
          <w:kern w:val="2"/>
          <w:sz w:val="21"/>
          <w:szCs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szCs w:val="21"/>
          <w:lang w:eastAsia="zh-CN"/>
        </w:rPr>
        <w:t>三个合格的候选中标供应商。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38.2.3</w:t>
      </w:r>
      <w:bookmarkStart w:id="95" w:name="_Hlk71469688"/>
      <w:r>
        <w:rPr>
          <w:rFonts w:eastAsia="宋体"/>
          <w:kern w:val="2"/>
          <w:sz w:val="21"/>
          <w:szCs w:val="21"/>
          <w:lang w:eastAsia="zh-CN"/>
        </w:rPr>
        <w:t>适用评定分离的</w:t>
      </w:r>
      <w:r>
        <w:rPr>
          <w:rFonts w:eastAsia="宋体" w:hint="eastAsia"/>
          <w:kern w:val="2"/>
          <w:sz w:val="21"/>
          <w:szCs w:val="21"/>
          <w:lang w:eastAsia="zh-CN"/>
        </w:rPr>
        <w:t>采购</w:t>
      </w:r>
      <w:r>
        <w:rPr>
          <w:rFonts w:eastAsia="宋体"/>
          <w:kern w:val="2"/>
          <w:sz w:val="21"/>
          <w:szCs w:val="21"/>
          <w:lang w:eastAsia="zh-CN"/>
        </w:rPr>
        <w:t>项目，</w:t>
      </w:r>
      <w:r>
        <w:rPr>
          <w:rFonts w:ascii="宋体" w:eastAsia="宋体" w:hAnsi="宋体" w:hint="eastAsia"/>
          <w:kern w:val="2"/>
          <w:sz w:val="21"/>
          <w:szCs w:val="21"/>
          <w:lang w:eastAsia="zh-CN"/>
        </w:rPr>
        <w:t>按照自定法确定中标供应商：自定法是指采购人组织定标委员会，由定标委员会在三家候选中标供应商中确定中标供应商。</w:t>
      </w:r>
      <w:bookmarkEnd w:id="94"/>
      <w:bookmarkEnd w:id="95"/>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政府集中采购机构</w:t>
      </w:r>
      <w:r>
        <w:rPr>
          <w:rFonts w:eastAsia="宋体"/>
          <w:kern w:val="2"/>
          <w:sz w:val="21"/>
          <w:szCs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szCs w:val="21"/>
          <w:lang w:eastAsia="zh-CN"/>
        </w:rPr>
        <w:t>采购人应当安排专人对定标过程进行书面记录，形成定标报告，作为采购文件的组成部分存档，并及时将定标结果反馈</w:t>
      </w:r>
      <w:r>
        <w:rPr>
          <w:rFonts w:eastAsia="宋体" w:hint="eastAsia"/>
          <w:kern w:val="2"/>
          <w:sz w:val="21"/>
          <w:szCs w:val="21"/>
          <w:lang w:eastAsia="zh-CN"/>
        </w:rPr>
        <w:t>政府集中采购机构。具体定标程序及相关要求以参照《</w:t>
      </w:r>
      <w:r>
        <w:rPr>
          <w:rFonts w:eastAsia="宋体"/>
          <w:kern w:val="2"/>
          <w:sz w:val="21"/>
          <w:szCs w:val="21"/>
          <w:lang w:eastAsia="zh-CN"/>
        </w:rPr>
        <w:t>深圳市财政局关于印发</w:t>
      </w:r>
      <w:r>
        <w:rPr>
          <w:rFonts w:ascii="宋体" w:eastAsia="宋体" w:hAnsi="宋体" w:hint="eastAsia"/>
          <w:kern w:val="2"/>
          <w:sz w:val="21"/>
          <w:szCs w:val="21"/>
          <w:lang w:eastAsia="zh-CN"/>
        </w:rPr>
        <w:t>〈</w:t>
      </w:r>
      <w:r>
        <w:rPr>
          <w:rFonts w:eastAsia="宋体"/>
          <w:kern w:val="2"/>
          <w:sz w:val="21"/>
          <w:szCs w:val="21"/>
          <w:lang w:eastAsia="zh-CN"/>
        </w:rPr>
        <w:t>深圳市政府采购评标定标分离管理办法</w:t>
      </w:r>
      <w:r>
        <w:rPr>
          <w:rFonts w:ascii="宋体" w:eastAsia="宋体" w:hAnsi="宋体" w:hint="eastAsia"/>
          <w:kern w:val="2"/>
          <w:sz w:val="21"/>
          <w:szCs w:val="21"/>
          <w:lang w:eastAsia="zh-CN"/>
        </w:rPr>
        <w:t>〉</w:t>
      </w:r>
      <w:r>
        <w:rPr>
          <w:rFonts w:eastAsia="宋体"/>
          <w:kern w:val="2"/>
          <w:sz w:val="21"/>
          <w:szCs w:val="21"/>
          <w:lang w:eastAsia="zh-CN"/>
        </w:rPr>
        <w:t>的通知</w:t>
      </w:r>
      <w:r>
        <w:rPr>
          <w:rFonts w:eastAsia="宋体" w:hint="eastAsia"/>
          <w:kern w:val="2"/>
          <w:sz w:val="21"/>
          <w:szCs w:val="21"/>
          <w:lang w:eastAsia="zh-CN"/>
        </w:rPr>
        <w:t>》（深财规【2</w:t>
      </w:r>
      <w:r>
        <w:rPr>
          <w:rFonts w:eastAsia="宋体"/>
          <w:kern w:val="2"/>
          <w:sz w:val="21"/>
          <w:szCs w:val="21"/>
          <w:lang w:eastAsia="zh-CN"/>
        </w:rPr>
        <w:t>020</w:t>
      </w:r>
      <w:r>
        <w:rPr>
          <w:rFonts w:eastAsia="宋体" w:hint="eastAsia"/>
          <w:kern w:val="2"/>
          <w:sz w:val="21"/>
          <w:szCs w:val="21"/>
          <w:lang w:eastAsia="zh-CN"/>
        </w:rPr>
        <w:t>】1号）执行。</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说明：采购人及投标供应商应按照上述方法提前做好相关准备。</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38.3专用条款另有规定的，按专用条款相关要求定标。</w:t>
      </w:r>
      <w:bookmarkEnd w:id="92"/>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39．编写评审报告</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40．中标（成交）公告</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40.1</w:t>
      </w:r>
      <w:bookmarkStart w:id="96" w:name="_Hlk72438709"/>
      <w:r>
        <w:rPr>
          <w:rFonts w:ascii="宋体" w:eastAsia="宋体" w:hAnsi="宋体" w:hint="eastAsia"/>
          <w:kern w:val="2"/>
          <w:sz w:val="21"/>
          <w:szCs w:val="21"/>
          <w:lang w:eastAsia="zh-CN"/>
        </w:rPr>
        <w:t>为体现“公开、公平、公正”的原则，评审结束后经采购人确认（确定）评审结果，政府集中采购机构将在深圳交易集团（深圳公共资源交易中心）官网</w:t>
      </w:r>
      <w:r>
        <w:rPr>
          <w:rFonts w:ascii="宋体" w:eastAsia="宋体" w:hAnsi="宋体" w:hint="eastAsia"/>
          <w:b/>
          <w:bCs/>
          <w:kern w:val="2"/>
          <w:sz w:val="21"/>
          <w:szCs w:val="21"/>
          <w:lang w:eastAsia="zh-CN"/>
        </w:rPr>
        <w:t>https://www.szexgrp.com/jyfw/zfcg-view.html?id=zfcg</w:t>
      </w:r>
      <w:r>
        <w:rPr>
          <w:rFonts w:ascii="宋体" w:eastAsia="宋体" w:hAnsi="宋体" w:hint="eastAsia"/>
          <w:kern w:val="2"/>
          <w:sz w:val="21"/>
          <w:szCs w:val="21"/>
          <w:lang w:eastAsia="zh-CN"/>
        </w:rPr>
        <w:t>上发布中标结果公告。</w:t>
      </w:r>
      <w:bookmarkEnd w:id="96"/>
      <w:bookmarkStart w:id="97" w:name="_Hlk72438751"/>
      <w:r>
        <w:rPr>
          <w:rFonts w:ascii="宋体" w:eastAsia="宋体" w:hAnsi="宋体" w:hint="eastAsia"/>
          <w:kern w:val="2"/>
          <w:sz w:val="21"/>
          <w:szCs w:val="21"/>
          <w:lang w:eastAsia="zh-CN"/>
        </w:rPr>
        <w:t>中标(成交)公告公示内容包含:采购人名称、项目名称、预算金额、采购方式、成交供应商名称、成交金额。供应商如对评审结果有异议，</w:t>
      </w:r>
      <w:r>
        <w:rPr>
          <w:rFonts w:ascii="宋体" w:eastAsia="宋体" w:hAnsi="宋体"/>
          <w:kern w:val="2"/>
          <w:sz w:val="21"/>
          <w:szCs w:val="21"/>
          <w:lang w:eastAsia="zh-CN"/>
        </w:rPr>
        <w:t>可在发布公示日期起</w:t>
      </w:r>
      <w:r>
        <w:rPr>
          <w:rFonts w:ascii="宋体" w:eastAsia="宋体" w:hAnsi="宋体" w:hint="eastAsia"/>
          <w:kern w:val="2"/>
          <w:sz w:val="21"/>
          <w:szCs w:val="21"/>
          <w:lang w:eastAsia="zh-CN"/>
        </w:rPr>
        <w:t>七</w:t>
      </w:r>
      <w:r>
        <w:rPr>
          <w:rFonts w:ascii="宋体" w:eastAsia="宋体" w:hAnsi="宋体"/>
          <w:kern w:val="2"/>
          <w:sz w:val="21"/>
          <w:szCs w:val="21"/>
          <w:lang w:eastAsia="zh-CN"/>
        </w:rPr>
        <w:t>个工作日内向</w:t>
      </w:r>
      <w:r>
        <w:rPr>
          <w:rFonts w:ascii="宋体" w:eastAsia="宋体" w:hAnsi="宋体" w:hint="eastAsia"/>
          <w:kern w:val="2"/>
          <w:sz w:val="21"/>
          <w:szCs w:val="21"/>
          <w:lang w:eastAsia="zh-CN"/>
        </w:rPr>
        <w:t>政府集中采购机构</w:t>
      </w:r>
      <w:r>
        <w:rPr>
          <w:rFonts w:ascii="宋体" w:eastAsia="宋体" w:hAnsi="宋体"/>
          <w:kern w:val="2"/>
          <w:sz w:val="21"/>
          <w:szCs w:val="21"/>
          <w:lang w:eastAsia="zh-CN"/>
        </w:rPr>
        <w:t xml:space="preserve">提出。 </w:t>
      </w:r>
      <w:r>
        <w:rPr>
          <w:rFonts w:ascii="宋体" w:eastAsia="宋体" w:hAnsi="宋体" w:hint="eastAsia"/>
          <w:kern w:val="2"/>
          <w:sz w:val="21"/>
          <w:szCs w:val="21"/>
          <w:lang w:eastAsia="zh-CN"/>
        </w:rPr>
        <w:t xml:space="preserve"> 监督电话：0755-86500050</w:t>
      </w:r>
      <w:r>
        <w:rPr>
          <w:rFonts w:ascii="宋体" w:eastAsia="宋体" w:hAnsi="宋体"/>
          <w:kern w:val="2"/>
          <w:sz w:val="21"/>
          <w:szCs w:val="21"/>
          <w:lang w:eastAsia="zh-CN"/>
        </w:rPr>
        <w:t>。</w:t>
      </w:r>
      <w:r>
        <w:rPr>
          <w:rFonts w:ascii="宋体" w:eastAsia="宋体" w:hAnsi="宋体" w:hint="eastAsia"/>
          <w:kern w:val="2"/>
          <w:sz w:val="21"/>
          <w:szCs w:val="21"/>
          <w:lang w:eastAsia="zh-CN"/>
        </w:rPr>
        <w:t>若在公示期内未提出质疑，则视为认同该评审结果。</w:t>
      </w:r>
    </w:p>
    <w:bookmarkEnd w:id="97"/>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40.2质疑、投诉供应商应保证质疑、投诉内容的真实性和可靠性，并承担相应的法律责任。</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41．中标通知书</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41</w:t>
      </w:r>
      <w:r>
        <w:rPr>
          <w:rFonts w:ascii="宋体" w:eastAsia="宋体" w:hAnsi="宋体"/>
          <w:kern w:val="2"/>
          <w:sz w:val="21"/>
          <w:szCs w:val="21"/>
          <w:lang w:eastAsia="zh-CN"/>
        </w:rPr>
        <w:t>.</w:t>
      </w:r>
      <w:r>
        <w:rPr>
          <w:rFonts w:ascii="宋体" w:eastAsia="宋体" w:hAnsi="宋体" w:hint="eastAsia"/>
          <w:kern w:val="2"/>
          <w:sz w:val="21"/>
          <w:szCs w:val="21"/>
          <w:lang w:eastAsia="zh-CN"/>
        </w:rPr>
        <w:t>1</w:t>
      </w:r>
      <w:bookmarkStart w:id="98" w:name="_Hlk72438863"/>
      <w:r>
        <w:rPr>
          <w:rFonts w:ascii="宋体" w:eastAsia="宋体" w:hAnsi="宋体" w:hint="eastAsia"/>
          <w:kern w:val="2"/>
          <w:sz w:val="21"/>
          <w:szCs w:val="21"/>
          <w:lang w:eastAsia="zh-CN"/>
        </w:rPr>
        <w:t>中标公告公布以后无异常的情况下,中标供应商和采购人可自行在</w:t>
      </w:r>
      <w:r>
        <w:rPr>
          <w:rFonts w:ascii="宋体" w:eastAsia="宋体" w:hAnsi="宋体" w:hint="eastAsia"/>
          <w:b/>
          <w:bCs/>
          <w:kern w:val="2"/>
          <w:sz w:val="21"/>
          <w:szCs w:val="21"/>
          <w:lang w:eastAsia="zh-CN"/>
        </w:rPr>
        <w:t>“</w:t>
      </w:r>
      <w:r>
        <w:rPr>
          <w:rFonts w:ascii="宋体" w:eastAsia="宋体" w:hAnsi="宋体" w:hint="eastAsia"/>
          <w:kern w:val="2"/>
          <w:sz w:val="21"/>
          <w:szCs w:val="21"/>
          <w:lang w:eastAsia="zh-CN"/>
        </w:rPr>
        <w:t>深圳市自行采购系统（https://trade.szggzy.com/ggzy/center/#/login）</w:t>
      </w:r>
      <w:r>
        <w:rPr>
          <w:rFonts w:ascii="宋体" w:eastAsia="宋体" w:hAnsi="宋体" w:hint="eastAsia"/>
          <w:b/>
          <w:bCs/>
          <w:kern w:val="2"/>
          <w:sz w:val="21"/>
          <w:szCs w:val="21"/>
          <w:lang w:eastAsia="zh-CN"/>
        </w:rPr>
        <w:t>”</w:t>
      </w:r>
      <w:r>
        <w:rPr>
          <w:rFonts w:ascii="宋体" w:eastAsia="宋体" w:hAnsi="宋体" w:hint="eastAsia"/>
          <w:kern w:val="2"/>
          <w:sz w:val="21"/>
          <w:szCs w:val="21"/>
          <w:lang w:eastAsia="zh-CN"/>
        </w:rPr>
        <w:t>上打印</w:t>
      </w:r>
      <w:r>
        <w:rPr>
          <w:rFonts w:ascii="宋体" w:eastAsia="宋体" w:hAnsi="宋体" w:hint="eastAsia"/>
          <w:b/>
          <w:kern w:val="2"/>
          <w:sz w:val="21"/>
          <w:szCs w:val="21"/>
          <w:lang w:eastAsia="zh-CN"/>
        </w:rPr>
        <w:t>《数字中标通知书》</w:t>
      </w:r>
      <w:r>
        <w:rPr>
          <w:rFonts w:ascii="宋体" w:eastAsia="宋体" w:hAnsi="宋体" w:hint="eastAsia"/>
          <w:kern w:val="2"/>
          <w:sz w:val="21"/>
          <w:szCs w:val="21"/>
          <w:lang w:eastAsia="zh-CN"/>
        </w:rPr>
        <w:t>。</w:t>
      </w:r>
      <w:bookmarkEnd w:id="98"/>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41</w:t>
      </w:r>
      <w:r>
        <w:rPr>
          <w:rFonts w:ascii="宋体" w:eastAsia="宋体" w:hAnsi="宋体"/>
          <w:kern w:val="2"/>
          <w:sz w:val="21"/>
          <w:szCs w:val="21"/>
          <w:lang w:eastAsia="zh-CN"/>
        </w:rPr>
        <w:t>.2</w:t>
      </w:r>
      <w:r>
        <w:rPr>
          <w:rFonts w:ascii="宋体" w:eastAsia="宋体" w:hAnsi="宋体" w:hint="eastAsia"/>
          <w:kern w:val="2"/>
          <w:sz w:val="21"/>
          <w:szCs w:val="21"/>
          <w:lang w:eastAsia="zh-CN"/>
        </w:rPr>
        <w:t>中标通知书是合同的重要组成部分。</w:t>
      </w:r>
    </w:p>
    <w:p>
      <w:pPr>
        <w:widowControl w:val="0"/>
        <w:spacing w:after="160" w:line="259" w:lineRule="auto"/>
        <w:ind w:firstLine="420" w:firstLineChars="200"/>
        <w:jc w:val="both"/>
        <w:rPr>
          <w:rFonts w:ascii="宋体" w:eastAsia="宋体" w:hAnsi="宋体"/>
          <w:kern w:val="2"/>
          <w:sz w:val="21"/>
          <w:szCs w:val="21"/>
          <w:lang w:eastAsia="zh-CN"/>
        </w:rPr>
      </w:pPr>
      <w:bookmarkStart w:id="99" w:name="_Hlk71407340"/>
      <w:r>
        <w:rPr>
          <w:rFonts w:ascii="宋体" w:eastAsia="宋体" w:hAnsi="宋体" w:hint="eastAsia"/>
          <w:kern w:val="2"/>
          <w:sz w:val="21"/>
          <w:szCs w:val="21"/>
          <w:lang w:eastAsia="zh-CN"/>
        </w:rPr>
        <w:t>41.3因质疑投诉或其他原因导致项目结果变更或采购终止的，政府集中采购机构有权吊销中标通知书。</w:t>
      </w:r>
    </w:p>
    <w:bookmarkEnd w:id="99"/>
    <w:p>
      <w:pPr>
        <w:widowControl w:val="0"/>
        <w:spacing w:after="160" w:line="259" w:lineRule="auto"/>
        <w:ind w:firstLine="412" w:firstLineChars="196"/>
        <w:jc w:val="both"/>
        <w:rPr>
          <w:rFonts w:ascii="宋体" w:eastAsia="宋体" w:hAnsi="宋体"/>
          <w:kern w:val="2"/>
          <w:sz w:val="21"/>
          <w:szCs w:val="21"/>
          <w:lang w:eastAsia="zh-CN"/>
        </w:rPr>
      </w:pPr>
    </w:p>
    <w:p>
      <w:pPr>
        <w:keepNext/>
        <w:keepLines/>
        <w:widowControl w:val="0"/>
        <w:numPr>
          <w:ilvl w:val="0"/>
          <w:numId w:val="10"/>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公开招标失败的后续处理</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42．公开招标失败的处理</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szCs w:val="21"/>
          <w:lang w:eastAsia="zh-CN"/>
        </w:rPr>
        <w:t>42.1本项目公开招标过程中若由于投标截止后</w:t>
      </w:r>
      <w:r>
        <w:rPr>
          <w:rFonts w:ascii="宋体" w:eastAsia="宋体" w:hAnsi="宋体" w:hint="eastAsia"/>
          <w:kern w:val="2"/>
          <w:sz w:val="21"/>
          <w:lang w:eastAsia="zh-CN"/>
        </w:rPr>
        <w:t>实际递交</w:t>
      </w:r>
      <w:r>
        <w:rPr>
          <w:rFonts w:ascii="宋体" w:eastAsia="宋体" w:hAnsi="宋体"/>
          <w:kern w:val="2"/>
          <w:sz w:val="21"/>
          <w:lang w:eastAsia="zh-CN"/>
        </w:rPr>
        <w:t>投标</w:t>
      </w:r>
      <w:r>
        <w:rPr>
          <w:rFonts w:ascii="宋体" w:eastAsia="宋体" w:hAnsi="宋体" w:hint="eastAsia"/>
          <w:kern w:val="2"/>
          <w:sz w:val="21"/>
          <w:lang w:eastAsia="zh-CN"/>
        </w:rPr>
        <w:t>文件的供应商数量不足、经</w:t>
      </w:r>
      <w:r>
        <w:rPr>
          <w:rFonts w:ascii="宋体" w:eastAsia="宋体" w:hAnsi="宋体" w:hint="eastAsia"/>
          <w:kern w:val="2"/>
          <w:sz w:val="21"/>
          <w:szCs w:val="21"/>
          <w:lang w:eastAsia="zh-CN"/>
        </w:rPr>
        <w:t>评审委员会</w:t>
      </w:r>
      <w:r>
        <w:rPr>
          <w:rFonts w:ascii="宋体" w:eastAsia="宋体" w:hAnsi="宋体" w:hint="eastAsia"/>
          <w:kern w:val="2"/>
          <w:sz w:val="21"/>
          <w:lang w:eastAsia="zh-CN"/>
        </w:rPr>
        <w:t>评审对招标文件作实质响应的供应商不足等原因造成公开招标失败，可由</w:t>
      </w:r>
      <w:r>
        <w:rPr>
          <w:rFonts w:ascii="宋体" w:eastAsia="宋体" w:hAnsi="宋体" w:cs="宋体" w:hint="eastAsia"/>
          <w:kern w:val="2"/>
          <w:sz w:val="21"/>
          <w:lang w:eastAsia="zh-CN"/>
        </w:rPr>
        <w:t>政府集中采购机构</w:t>
      </w:r>
      <w:r>
        <w:rPr>
          <w:rFonts w:ascii="宋体" w:eastAsia="宋体" w:hAnsi="宋体" w:hint="eastAsia"/>
          <w:kern w:val="2"/>
          <w:sz w:val="21"/>
          <w:lang w:eastAsia="zh-CN"/>
        </w:rPr>
        <w:t>重新组织采购。</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42.3重新组织采购有以下两种组织形式：</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（1）由政府集中采购机构重新组织公开招标；</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（2）根据实际情况需要向采购人主管部门提出非公开招标方式申请，经采购人主管部门批准，公开招标失败采购项目可转为竞争性谈判或单一来源谈判方式采购。</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42.4公开招标失败的采购项目重新组织公开招标，由政府集中采购机构重新按公开招标流程组织采购活动。</w:t>
      </w:r>
    </w:p>
    <w:p>
      <w:pPr>
        <w:widowControl w:val="0"/>
        <w:spacing w:after="160" w:line="259" w:lineRule="auto"/>
        <w:ind w:firstLine="420" w:firstLineChars="200"/>
        <w:jc w:val="both"/>
        <w:rPr>
          <w:rFonts w:ascii="黑体" w:eastAsia="黑体" w:hAnsi="宋体"/>
          <w:kern w:val="2"/>
          <w:lang w:eastAsia="zh-CN"/>
        </w:rPr>
      </w:pPr>
      <w:r>
        <w:rPr>
          <w:rFonts w:ascii="宋体" w:eastAsia="宋体" w:hAnsi="宋体" w:hint="eastAsia"/>
          <w:kern w:val="2"/>
          <w:sz w:val="21"/>
          <w:lang w:eastAsia="zh-CN"/>
        </w:rPr>
        <w:t>42.5公开招标失败的采购项目经采购人主管部门批准转为竞争性谈判或单一来源谈判方式采购的，按规定要求组织自行采购工作。</w:t>
      </w:r>
    </w:p>
    <w:p>
      <w:pPr>
        <w:widowControl w:val="0"/>
        <w:spacing w:after="160" w:line="259" w:lineRule="auto"/>
        <w:ind w:firstLine="420" w:firstLineChars="200"/>
        <w:jc w:val="both"/>
        <w:rPr>
          <w:rFonts w:ascii="宋体" w:eastAsia="宋体" w:hAnsi="宋体"/>
          <w:kern w:val="2"/>
          <w:sz w:val="21"/>
          <w:szCs w:val="21"/>
          <w:lang w:eastAsia="zh-CN"/>
        </w:rPr>
      </w:pPr>
    </w:p>
    <w:p>
      <w:pPr>
        <w:widowControl w:val="0"/>
        <w:spacing w:after="160" w:line="259" w:lineRule="auto"/>
        <w:jc w:val="both"/>
        <w:rPr>
          <w:rFonts w:ascii="黑体" w:eastAsia="黑体" w:hAnsi="宋体"/>
          <w:kern w:val="2"/>
          <w:lang w:eastAsia="zh-CN"/>
        </w:rPr>
      </w:pPr>
    </w:p>
    <w:p>
      <w:pPr>
        <w:keepNext/>
        <w:keepLines/>
        <w:widowControl w:val="0"/>
        <w:numPr>
          <w:ilvl w:val="0"/>
          <w:numId w:val="10"/>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bookmarkStart w:id="100" w:name="_Hlk72439043"/>
      <w:r>
        <w:rPr>
          <w:rFonts w:ascii="Cambria" w:eastAsia="宋体" w:hAnsi="Cambria" w:cstheme="majorBidi" w:hint="eastAsia"/>
          <w:b/>
          <w:bCs/>
          <w:kern w:val="2"/>
          <w:sz w:val="28"/>
          <w:szCs w:val="28"/>
          <w:lang w:eastAsia="zh-CN"/>
        </w:rPr>
        <w:t>合同的授予与备案</w:t>
      </w:r>
      <w:bookmarkEnd w:id="100"/>
    </w:p>
    <w:p>
      <w:pPr>
        <w:widowControl w:val="0"/>
        <w:spacing w:after="160" w:line="259" w:lineRule="auto"/>
        <w:ind w:firstLine="420" w:firstLineChars="200"/>
        <w:jc w:val="both"/>
        <w:rPr>
          <w:rFonts w:ascii="黑体" w:eastAsia="黑体" w:hAnsi="宋体"/>
          <w:kern w:val="2"/>
          <w:sz w:val="21"/>
          <w:szCs w:val="21"/>
          <w:lang w:eastAsia="zh-CN"/>
        </w:rPr>
      </w:pPr>
      <w:bookmarkStart w:id="101" w:name="_Toc73521586"/>
      <w:bookmarkStart w:id="102" w:name="_Toc100052408"/>
      <w:bookmarkStart w:id="103" w:name="_Toc73521674"/>
      <w:bookmarkStart w:id="104" w:name="_Toc73517679"/>
      <w:bookmarkStart w:id="105" w:name="_Toc73518157"/>
      <w:bookmarkStart w:id="106" w:name="_Hlk72439088"/>
      <w:r>
        <w:rPr>
          <w:rFonts w:ascii="黑体" w:eastAsia="黑体" w:hAnsi="宋体" w:hint="eastAsia"/>
          <w:kern w:val="2"/>
          <w:sz w:val="21"/>
          <w:szCs w:val="21"/>
          <w:lang w:eastAsia="zh-CN"/>
        </w:rPr>
        <w:t>43．合同授予标准</w:t>
      </w:r>
      <w:bookmarkEnd w:id="101"/>
      <w:bookmarkEnd w:id="102"/>
      <w:bookmarkEnd w:id="103"/>
      <w:bookmarkEnd w:id="104"/>
      <w:bookmarkEnd w:id="105"/>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本项目的合同将授予经本招标文件规定评审确定的中标供应商。</w:t>
      </w:r>
    </w:p>
    <w:p>
      <w:pPr>
        <w:widowControl w:val="0"/>
        <w:spacing w:after="160" w:line="259" w:lineRule="auto"/>
        <w:ind w:firstLine="420" w:firstLineChars="200"/>
        <w:jc w:val="both"/>
        <w:rPr>
          <w:rFonts w:ascii="黑体" w:eastAsia="黑体" w:hAnsi="宋体"/>
          <w:kern w:val="2"/>
          <w:sz w:val="21"/>
          <w:szCs w:val="21"/>
          <w:lang w:eastAsia="zh-CN"/>
        </w:rPr>
      </w:pPr>
      <w:bookmarkStart w:id="107" w:name="_Toc73518158"/>
      <w:bookmarkStart w:id="108" w:name="_Toc73521587"/>
      <w:bookmarkStart w:id="109" w:name="_Toc73521675"/>
      <w:bookmarkStart w:id="110" w:name="_Toc100052409"/>
      <w:bookmarkStart w:id="111" w:name="_Toc73517680"/>
      <w:r>
        <w:rPr>
          <w:rFonts w:ascii="黑体" w:eastAsia="黑体" w:hAnsi="宋体" w:hint="eastAsia"/>
          <w:kern w:val="2"/>
          <w:sz w:val="21"/>
          <w:szCs w:val="21"/>
          <w:lang w:eastAsia="zh-CN"/>
        </w:rPr>
        <w:t>44．</w:t>
      </w:r>
      <w:bookmarkEnd w:id="107"/>
      <w:bookmarkEnd w:id="108"/>
      <w:bookmarkEnd w:id="109"/>
      <w:bookmarkEnd w:id="110"/>
      <w:bookmarkEnd w:id="111"/>
      <w:r>
        <w:rPr>
          <w:rFonts w:ascii="黑体" w:eastAsia="黑体" w:hAnsi="宋体" w:hint="eastAsia"/>
          <w:kern w:val="2"/>
          <w:sz w:val="21"/>
          <w:szCs w:val="21"/>
          <w:lang w:eastAsia="zh-CN"/>
        </w:rPr>
        <w:t>接受和拒绝任何或所有投标的权力</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widowControl w:val="0"/>
        <w:spacing w:after="160" w:line="259" w:lineRule="auto"/>
        <w:ind w:firstLine="420" w:firstLineChars="200"/>
        <w:jc w:val="both"/>
        <w:rPr>
          <w:rFonts w:ascii="黑体" w:eastAsia="黑体" w:hAnsi="宋体"/>
          <w:kern w:val="2"/>
          <w:sz w:val="21"/>
          <w:szCs w:val="21"/>
          <w:lang w:eastAsia="zh-CN"/>
        </w:rPr>
      </w:pPr>
      <w:bookmarkStart w:id="112" w:name="_Toc100052410"/>
      <w:bookmarkStart w:id="113" w:name="_Toc73517682"/>
      <w:bookmarkStart w:id="114" w:name="_Toc73521677"/>
      <w:bookmarkStart w:id="115" w:name="_Toc73518160"/>
      <w:bookmarkStart w:id="116" w:name="_Toc73521589"/>
      <w:r>
        <w:rPr>
          <w:rFonts w:ascii="黑体" w:eastAsia="黑体" w:hAnsi="宋体" w:hint="eastAsia"/>
          <w:kern w:val="2"/>
          <w:sz w:val="21"/>
          <w:szCs w:val="21"/>
          <w:lang w:eastAsia="zh-CN"/>
        </w:rPr>
        <w:t>45．合同的签订</w:t>
      </w:r>
      <w:bookmarkEnd w:id="112"/>
      <w:bookmarkEnd w:id="113"/>
      <w:bookmarkEnd w:id="114"/>
      <w:bookmarkEnd w:id="115"/>
      <w:bookmarkEnd w:id="116"/>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45.1中标人将于中标通知书发出之日起十个工作日内，按照采购文件（招标文件和投标文件等）内容与采购人签订采购合同；合同的实质性内容应当符合招标文件的规定；</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45.2中标人应当按照合同约定履行义务，完成中标项目，不得将中标项目转让（转包）给他人。</w:t>
      </w:r>
    </w:p>
    <w:p>
      <w:pPr>
        <w:widowControl w:val="0"/>
        <w:spacing w:after="160" w:line="259" w:lineRule="auto"/>
        <w:ind w:firstLine="420" w:firstLineChars="200"/>
        <w:jc w:val="both"/>
        <w:rPr>
          <w:rFonts w:ascii="黑体" w:eastAsia="黑体" w:hAnsi="宋体"/>
          <w:kern w:val="2"/>
          <w:sz w:val="21"/>
          <w:szCs w:val="21"/>
          <w:lang w:eastAsia="zh-CN"/>
        </w:rPr>
      </w:pPr>
      <w:bookmarkStart w:id="117" w:name="_Toc73521678"/>
      <w:bookmarkStart w:id="118" w:name="_Toc73521590"/>
      <w:bookmarkStart w:id="119" w:name="_Toc73517683"/>
      <w:bookmarkStart w:id="120" w:name="_Toc73518161"/>
      <w:bookmarkStart w:id="121" w:name="_Toc100052411"/>
      <w:r>
        <w:rPr>
          <w:rFonts w:ascii="黑体" w:eastAsia="黑体" w:hAnsi="宋体" w:hint="eastAsia"/>
          <w:kern w:val="2"/>
          <w:sz w:val="21"/>
          <w:szCs w:val="21"/>
          <w:lang w:eastAsia="zh-CN"/>
        </w:rPr>
        <w:t>46．履约担保</w:t>
      </w:r>
      <w:bookmarkEnd w:id="117"/>
      <w:bookmarkEnd w:id="118"/>
      <w:bookmarkEnd w:id="119"/>
      <w:bookmarkEnd w:id="120"/>
      <w:bookmarkEnd w:id="121"/>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46.1在签订项目合同的同时，中标人应按“对通用条款的补充内容”中规定的金额向采购人提交履约担保；</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szCs w:val="21"/>
          <w:lang w:eastAsia="zh-CN"/>
        </w:rPr>
        <w:t>中标</w:t>
      </w:r>
      <w:r>
        <w:rPr>
          <w:rFonts w:eastAsia="宋体" w:hint="eastAsia"/>
          <w:kern w:val="2"/>
          <w:sz w:val="21"/>
          <w:szCs w:val="21"/>
          <w:lang w:eastAsia="zh-CN"/>
        </w:rPr>
        <w:t>人</w:t>
      </w:r>
      <w:r>
        <w:rPr>
          <w:rFonts w:eastAsia="宋体"/>
          <w:kern w:val="2"/>
          <w:sz w:val="21"/>
          <w:szCs w:val="21"/>
          <w:lang w:eastAsia="zh-CN"/>
        </w:rPr>
        <w:t>提交履约</w:t>
      </w:r>
      <w:r>
        <w:rPr>
          <w:rFonts w:eastAsia="宋体" w:hint="eastAsia"/>
          <w:kern w:val="2"/>
          <w:sz w:val="21"/>
          <w:szCs w:val="21"/>
          <w:lang w:eastAsia="zh-CN"/>
        </w:rPr>
        <w:t>担保不是</w:t>
      </w:r>
      <w:r>
        <w:rPr>
          <w:rFonts w:eastAsia="宋体"/>
          <w:kern w:val="2"/>
          <w:sz w:val="21"/>
          <w:szCs w:val="21"/>
          <w:lang w:eastAsia="zh-CN"/>
        </w:rPr>
        <w:t>合同签订的</w:t>
      </w:r>
      <w:r>
        <w:rPr>
          <w:rFonts w:eastAsia="宋体" w:hint="eastAsia"/>
          <w:kern w:val="2"/>
          <w:sz w:val="21"/>
          <w:szCs w:val="21"/>
          <w:lang w:eastAsia="zh-CN"/>
        </w:rPr>
        <w:t>前提</w:t>
      </w:r>
      <w:r>
        <w:rPr>
          <w:rFonts w:eastAsia="宋体"/>
          <w:kern w:val="2"/>
          <w:sz w:val="21"/>
          <w:szCs w:val="21"/>
          <w:lang w:eastAsia="zh-CN"/>
        </w:rPr>
        <w:t>条件，不要求中标</w:t>
      </w:r>
      <w:r>
        <w:rPr>
          <w:rFonts w:eastAsia="宋体" w:hint="eastAsia"/>
          <w:kern w:val="2"/>
          <w:sz w:val="21"/>
          <w:szCs w:val="21"/>
          <w:lang w:eastAsia="zh-CN"/>
        </w:rPr>
        <w:t>人</w:t>
      </w:r>
      <w:r>
        <w:rPr>
          <w:rFonts w:eastAsia="宋体"/>
          <w:kern w:val="2"/>
          <w:sz w:val="21"/>
          <w:szCs w:val="21"/>
          <w:lang w:eastAsia="zh-CN"/>
        </w:rPr>
        <w:t>提供除法律、法规明确规定外的其他担保</w:t>
      </w:r>
      <w:r>
        <w:rPr>
          <w:rFonts w:eastAsia="宋体" w:hint="eastAsia"/>
          <w:kern w:val="2"/>
          <w:sz w:val="21"/>
          <w:szCs w:val="21"/>
          <w:lang w:eastAsia="zh-CN"/>
        </w:rPr>
        <w:t>。</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47. 合同备案</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Hans"/>
        </w:rPr>
        <w:t>采购人与中标供应商自中标通知书发出之日起10个工作日内签订采购合同，</w:t>
      </w:r>
      <w:r>
        <w:rPr>
          <w:rFonts w:ascii="宋体" w:eastAsia="宋体" w:hAnsi="宋体" w:hint="eastAsia"/>
          <w:kern w:val="2"/>
          <w:sz w:val="21"/>
          <w:szCs w:val="21"/>
          <w:lang w:eastAsia="zh-CN"/>
        </w:rPr>
        <w:t>并按采购人内控制度规定提交备案。</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48. 合同变更</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合同变更事宜参照《深圳市财政局关于优化政府采购合同备案的通知》（深财发保〔2022〕2号）相关规定，按采购人内控制度执行。</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49. 项目验收</w:t>
      </w:r>
    </w:p>
    <w:p>
      <w:pPr>
        <w:widowControl/>
        <w:spacing w:after="160" w:line="259" w:lineRule="auto"/>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49.1采购人应当按照招标文件和合同规定的标准和方法，及时组织验收。</w:t>
      </w: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50. 宣传</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凡与采购活动有关的宣传或广告，若当中提及本项目采购，必须事先将具体对外宣传方案报采购人预算主管部门，并征得其同意。对外市场宣传包括但不限于以下形式：</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a.名片、宣传册、广告标语等；</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b.案例介绍、推广等；</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c.工作人员向其他消费群体宣传。</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51. 供应商违法责任</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w:t>
      </w:r>
      <w:r>
        <w:rPr>
          <w:rFonts w:ascii="宋体" w:eastAsia="宋体" w:hAnsi="宋体"/>
          <w:kern w:val="2"/>
          <w:sz w:val="21"/>
          <w:szCs w:val="21"/>
          <w:lang w:eastAsia="zh-CN"/>
        </w:rPr>
        <w:t>1.1</w:t>
      </w:r>
      <w:r>
        <w:rPr>
          <w:rFonts w:ascii="宋体" w:eastAsia="宋体" w:hAnsi="宋体" w:hint="eastAsia"/>
          <w:kern w:val="2"/>
          <w:sz w:val="21"/>
          <w:szCs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（1）在采购活动中应当回避而未回避的；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（2）未按本条例规定签订、履行采购合同，造成严重后果的；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（3）隐瞒真实情况，提供虚假资料的；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（4）以非法手段排斥其他供应商参与竞争的；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（5）与其他采购参加人串通投标的；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（6）恶意投诉的；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（7）向采购项目相关人行贿或者提供其他不当利益的；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（8）阻碍、抗拒主管部门监督检查的；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（9）其他违反本条例规定的行为。</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w:t>
      </w:r>
      <w:r>
        <w:rPr>
          <w:rFonts w:ascii="宋体" w:eastAsia="宋体" w:hAnsi="宋体"/>
          <w:kern w:val="2"/>
          <w:sz w:val="21"/>
          <w:szCs w:val="21"/>
          <w:lang w:eastAsia="zh-CN"/>
        </w:rPr>
        <w:t xml:space="preserve">1.2 </w:t>
      </w:r>
      <w:r>
        <w:rPr>
          <w:rFonts w:ascii="宋体" w:eastAsia="宋体" w:hAnsi="宋体" w:hint="eastAsia"/>
          <w:kern w:val="2"/>
          <w:sz w:val="21"/>
          <w:szCs w:val="21"/>
          <w:lang w:eastAsia="zh-CN"/>
        </w:rPr>
        <w:t>根据《深圳市财政局关于调整政府采购投标（响应）保证金管理政策的通知 》（深财购〔2021〕51 号）的要求，供应商在政府采购活动中出现《深圳经济特区政府采购条例实施细则》第八十条所列情形的，</w:t>
      </w:r>
      <w:bookmarkStart w:id="122" w:name="_Hlk72440769"/>
      <w:r>
        <w:rPr>
          <w:rFonts w:ascii="宋体" w:eastAsia="宋体" w:hAnsi="宋体" w:hint="eastAsia"/>
          <w:kern w:val="2"/>
          <w:sz w:val="21"/>
          <w:szCs w:val="21"/>
          <w:lang w:eastAsia="zh-CN"/>
        </w:rPr>
        <w:t>政府集中采购机构或采购人不予退还其交纳的谈判保证金，情节严重的，并由主管部门</w:t>
      </w:r>
      <w:bookmarkEnd w:id="122"/>
      <w:r>
        <w:rPr>
          <w:rFonts w:ascii="宋体" w:eastAsia="宋体" w:hAnsi="宋体" w:hint="eastAsia"/>
          <w:kern w:val="2"/>
          <w:sz w:val="21"/>
          <w:szCs w:val="21"/>
          <w:lang w:eastAsia="zh-CN"/>
        </w:rPr>
        <w:t>记入供应商诚信档案，予以通报：</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）投标截止后，撤销投标的；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2</w:t>
      </w:r>
      <w:r>
        <w:rPr>
          <w:rFonts w:ascii="宋体" w:eastAsia="宋体" w:hAnsi="宋体"/>
          <w:kern w:val="2"/>
          <w:sz w:val="21"/>
          <w:szCs w:val="21"/>
          <w:lang w:eastAsia="zh-CN"/>
        </w:rPr>
        <w:t>）中标后无正当理由未在规定期限内签订合同的；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3</w:t>
      </w:r>
      <w:r>
        <w:rPr>
          <w:rFonts w:ascii="宋体" w:eastAsia="宋体" w:hAnsi="宋体"/>
          <w:kern w:val="2"/>
          <w:sz w:val="21"/>
          <w:szCs w:val="21"/>
          <w:lang w:eastAsia="zh-CN"/>
        </w:rPr>
        <w:t>）将中标项目转让给他人、或者在投标文件中未说明且未经采购人、采购</w:t>
      </w:r>
      <w:r>
        <w:rPr>
          <w:rFonts w:ascii="宋体" w:eastAsia="宋体" w:hAnsi="宋体" w:hint="eastAsia"/>
          <w:kern w:val="2"/>
          <w:sz w:val="21"/>
          <w:szCs w:val="21"/>
          <w:lang w:eastAsia="zh-CN"/>
        </w:rPr>
        <w:t>招标</w:t>
      </w:r>
      <w:r>
        <w:rPr>
          <w:rFonts w:ascii="宋体" w:eastAsia="宋体" w:hAnsi="宋体"/>
          <w:kern w:val="2"/>
          <w:sz w:val="21"/>
          <w:szCs w:val="21"/>
          <w:lang w:eastAsia="zh-CN"/>
        </w:rPr>
        <w:t>机构同意，将中标项目分包给他人的；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4</w:t>
      </w:r>
      <w:r>
        <w:rPr>
          <w:rFonts w:ascii="宋体" w:eastAsia="宋体" w:hAnsi="宋体"/>
          <w:kern w:val="2"/>
          <w:sz w:val="21"/>
          <w:szCs w:val="21"/>
          <w:lang w:eastAsia="zh-CN"/>
        </w:rPr>
        <w:t>）拒绝履行合同义务的</w:t>
      </w:r>
      <w:r>
        <w:rPr>
          <w:rFonts w:ascii="宋体" w:eastAsia="宋体" w:hAnsi="宋体" w:hint="eastAsia"/>
          <w:kern w:val="2"/>
          <w:sz w:val="21"/>
          <w:szCs w:val="21"/>
          <w:lang w:eastAsia="zh-CN"/>
        </w:rPr>
        <w:t>。</w:t>
      </w:r>
    </w:p>
    <w:p>
      <w:pPr>
        <w:widowControl w:val="0"/>
        <w:spacing w:after="160" w:line="360" w:lineRule="auto"/>
        <w:jc w:val="both"/>
        <w:rPr>
          <w:rFonts w:eastAsia="宋体"/>
          <w:b/>
          <w:bCs/>
          <w:kern w:val="2"/>
          <w:lang w:eastAsia="zh-CN"/>
        </w:rPr>
      </w:pPr>
    </w:p>
    <w:bookmarkEnd w:id="106"/>
    <w:p>
      <w:pPr>
        <w:keepNext/>
        <w:keepLines/>
        <w:widowControl w:val="0"/>
        <w:numPr>
          <w:ilvl w:val="0"/>
          <w:numId w:val="10"/>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质疑处理</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52.质疑提出与答复</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52.1提出质疑</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参与采购活动的供应商认为自己的权益在采购活动中受到损害的，应当自知道或者应当知道其权益受到损害之日起七个工作日内向采购人、政府集中采购机构以书面形式提出质疑。</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52.2</w:t>
      </w:r>
      <w:r>
        <w:rPr>
          <w:rFonts w:ascii="宋体" w:eastAsia="宋体" w:hAnsi="宋体"/>
          <w:kern w:val="2"/>
          <w:sz w:val="21"/>
          <w:szCs w:val="21"/>
          <w:lang w:eastAsia="zh-CN"/>
        </w:rPr>
        <w:t>法律依据</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《中华人民共和国政府采购法》、《中华人民共和国政府采购法实施条例》、</w:t>
      </w:r>
      <w:r>
        <w:rPr>
          <w:rFonts w:ascii="宋体" w:eastAsia="宋体" w:hAnsi="宋体"/>
          <w:kern w:val="2"/>
          <w:sz w:val="21"/>
          <w:szCs w:val="21"/>
          <w:lang w:eastAsia="zh-CN"/>
        </w:rPr>
        <w:t>《</w:t>
      </w:r>
      <w:r>
        <w:rPr>
          <w:rFonts w:ascii="宋体" w:eastAsia="宋体" w:hAnsi="宋体" w:hint="eastAsia"/>
          <w:kern w:val="2"/>
          <w:sz w:val="21"/>
          <w:szCs w:val="21"/>
          <w:lang w:eastAsia="zh-CN"/>
        </w:rPr>
        <w:t>深圳经济特区政府采购</w:t>
      </w:r>
      <w:r>
        <w:rPr>
          <w:rFonts w:ascii="宋体" w:eastAsia="宋体" w:hAnsi="宋体"/>
          <w:kern w:val="2"/>
          <w:sz w:val="21"/>
          <w:szCs w:val="21"/>
          <w:lang w:eastAsia="zh-CN"/>
        </w:rPr>
        <w:t>条例</w:t>
      </w:r>
      <w:r>
        <w:rPr>
          <w:rFonts w:ascii="宋体" w:eastAsia="宋体" w:hAnsi="宋体" w:hint="eastAsia"/>
          <w:kern w:val="2"/>
          <w:sz w:val="21"/>
          <w:szCs w:val="21"/>
          <w:lang w:eastAsia="zh-CN"/>
        </w:rPr>
        <w:t>》、《深圳经济特区政府采购条例实施细则》、《政府采购质疑和投诉办法》（财政部令第94号）和其他有关法律法规规定。</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52.3质疑条件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52.3.1提出质疑的供应商应当是参与所质疑项目采购活动的供应商；</w:t>
      </w:r>
      <w:bookmarkStart w:id="123" w:name="_Hlk75374941"/>
      <w:r>
        <w:rPr>
          <w:rFonts w:ascii="宋体" w:eastAsia="宋体" w:hAnsi="宋体" w:hint="eastAsia"/>
          <w:kern w:val="2"/>
          <w:sz w:val="21"/>
          <w:szCs w:val="21"/>
          <w:lang w:eastAsia="zh-CN"/>
        </w:rPr>
        <w:t>以联合体形式参与的，质疑应当由组成联合体的所有成员共同提出</w:t>
      </w:r>
      <w:bookmarkEnd w:id="123"/>
      <w:r>
        <w:rPr>
          <w:rFonts w:ascii="宋体" w:eastAsia="宋体" w:hAnsi="宋体" w:hint="eastAsia"/>
          <w:kern w:val="2"/>
          <w:sz w:val="21"/>
          <w:szCs w:val="21"/>
          <w:lang w:eastAsia="zh-CN"/>
        </w:rPr>
        <w:t>；</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52.3.3应提交书面质疑函，质疑函应当包括以下内容：</w:t>
      </w: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（1）供应商的名称（或者姓名）、地址、邮编、邮箱、联系人及联系电话；</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（2）质疑项目的名称、编号；</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（3）具体、明确的质疑对象、质疑事项和质疑请求；</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（4）因质疑事项而受损害的权益；</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（5）事实依据；</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（6）必要的法律依据；</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（7）提出质疑的日期。</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供应商为自然人的，应当由本人签字；供应商为法人或者其他组织的，应当由法定代表人（负责人），或者其授权代理人签字或者盖章，并加盖公章。</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52.4提交</w:t>
      </w:r>
      <w:r>
        <w:rPr>
          <w:rFonts w:ascii="宋体" w:eastAsia="宋体" w:hAnsi="宋体"/>
          <w:kern w:val="2"/>
          <w:sz w:val="21"/>
          <w:szCs w:val="21"/>
          <w:lang w:eastAsia="zh-CN"/>
        </w:rPr>
        <w:t>材料</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供应商可以委托代理人进行质疑。</w:t>
      </w:r>
      <w:r>
        <w:rPr>
          <w:rFonts w:ascii="宋体" w:eastAsia="宋体" w:hAnsi="宋体"/>
          <w:kern w:val="2"/>
          <w:sz w:val="21"/>
          <w:szCs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52.5收文地点</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地址：深圳公共资源交易中心（深圳交易集团有限公司政府采购业务分公司）27楼，质疑咨询电话：0755-</w:t>
      </w:r>
      <w:r>
        <w:rPr>
          <w:rFonts w:ascii="宋体" w:eastAsia="宋体" w:hAnsi="宋体" w:hint="eastAsia"/>
          <w:b/>
          <w:kern w:val="2"/>
          <w:sz w:val="21"/>
          <w:lang w:eastAsia="zh-CN"/>
        </w:rPr>
        <w:t>86500050</w:t>
      </w:r>
      <w:r>
        <w:rPr>
          <w:rFonts w:ascii="宋体" w:eastAsia="宋体" w:hAnsi="宋体" w:hint="eastAsia"/>
          <w:b/>
          <w:bCs/>
          <w:kern w:val="2"/>
          <w:sz w:val="21"/>
          <w:szCs w:val="21"/>
          <w:lang w:eastAsia="zh-CN"/>
        </w:rPr>
        <w:t>。</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52.6收文办理</w:t>
      </w:r>
      <w:r>
        <w:rPr>
          <w:rFonts w:ascii="宋体" w:eastAsia="宋体" w:hAnsi="宋体"/>
          <w:kern w:val="2"/>
          <w:sz w:val="21"/>
          <w:szCs w:val="21"/>
          <w:lang w:eastAsia="zh-CN"/>
        </w:rPr>
        <w:t>程序</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widowControl w:val="0"/>
        <w:spacing w:after="160" w:line="259" w:lineRule="auto"/>
        <w:ind w:firstLine="420" w:firstLineChars="200"/>
        <w:jc w:val="both"/>
        <w:rPr>
          <w:rFonts w:ascii="仿宋" w:eastAsia="仿宋" w:hAnsi="仿宋"/>
          <w:kern w:val="2"/>
          <w:sz w:val="21"/>
          <w:szCs w:val="21"/>
          <w:lang w:eastAsia="zh-CN"/>
        </w:rPr>
      </w:pPr>
      <w:r>
        <w:rPr>
          <w:rFonts w:ascii="宋体" w:eastAsia="宋体" w:hAnsi="宋体" w:hint="eastAsia"/>
          <w:kern w:val="2"/>
          <w:sz w:val="21"/>
          <w:szCs w:val="21"/>
          <w:lang w:eastAsia="zh-CN"/>
        </w:rPr>
        <w:t>52.6.2供应商提交的质疑材料不符合质疑条件的，视情况处理：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供应商提交的质疑材料不全或者未按要求签字或者盖章的，政府集中采购机构应当一次性告知供应商需补正的内容和补正期限。</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供应商提交的质疑存在下列情形之一的，不予受理：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（1）质疑主体不满足要求的；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（2）供应商自身权益未受到损害的；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（3）供应商未在法定质疑期限内提出质疑的；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（4）质疑材料不全或者未按要求签字或者盖章的情况下，要求补正后，逾期未补正或者补正后仍不符合规定的；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（5）其他不符合受理条件情形的。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质疑事项不予受理的，政府集中采购机构应当向供应商出具不符合质疑条件告知书。</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52.7质疑答复时限</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自收文之日起七个工作日内。</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52.8</w:t>
      </w:r>
      <w:r>
        <w:rPr>
          <w:rFonts w:ascii="宋体" w:eastAsia="宋体" w:hAnsi="宋体" w:hint="eastAsia"/>
          <w:kern w:val="2"/>
          <w:sz w:val="21"/>
          <w:lang w:eastAsia="zh-CN"/>
        </w:rPr>
        <w:t>争议（投诉）</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对质疑答复不满意或者未在规定时间内答复的，提出质疑的供应商可以在答复期满后15个工作日内向本项目预算主管单位投诉。</w:t>
      </w:r>
    </w:p>
    <w:p>
      <w:pPr>
        <w:widowControl w:val="0"/>
        <w:spacing w:after="160" w:line="259" w:lineRule="auto"/>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53. 质疑后续处理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53.1供应商质疑不成立，或者成立但未对中标、成交结果构成影响的，继续开展采购活动。</w:t>
      </w:r>
    </w:p>
    <w:p>
      <w:pPr>
        <w:widowControl w:val="0"/>
        <w:spacing w:after="160" w:line="259" w:lineRule="auto"/>
        <w:ind w:firstLine="420" w:firstLineChars="200"/>
        <w:jc w:val="left"/>
        <w:rPr>
          <w:rFonts w:eastAsia="宋体"/>
          <w:kern w:val="2"/>
          <w:sz w:val="21"/>
          <w:szCs w:val="21"/>
          <w:lang w:eastAsia="zh-CN"/>
        </w:rPr>
      </w:pPr>
      <w:r>
        <w:rPr>
          <w:rFonts w:ascii="宋体" w:eastAsia="宋体" w:hAnsi="宋体" w:hint="eastAsia"/>
          <w:kern w:val="2"/>
          <w:sz w:val="21"/>
          <w:szCs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widowControl w:val="0"/>
        <w:spacing w:after="160" w:line="259" w:lineRule="auto"/>
        <w:jc w:val="center"/>
        <w:rPr>
          <w:rFonts w:eastAsia="宋体"/>
          <w:kern w:val="2"/>
          <w:sz w:val="21"/>
          <w:lang w:eastAsia="zh-CN"/>
        </w:rPr>
      </w:pPr>
      <w:r>
        <w:rPr>
          <w:rFonts w:eastAsia="宋体"/>
          <w:kern w:val="2"/>
          <w:sz w:val="21"/>
          <w:lang w:eastAsia="zh-CN"/>
        </w:rPr>
        <w:t>---- END ----</w:t>
      </w:r>
      <w:bookmarkEnd w:id="69"/>
    </w:p>
    <w:p>
      <w:pPr>
        <w:widowControl w:val="0"/>
        <w:spacing w:after="160" w:line="259" w:lineRule="auto"/>
        <w:jc w:val="both"/>
        <w:rPr>
          <w:rFonts w:ascii="宋体" w:eastAsia="宋体" w:hAnsi="宋体"/>
          <w:kern w:val="2"/>
          <w:sz w:val="21"/>
          <w:szCs w:val="21"/>
          <w:lang w:eastAsia="zh-CN"/>
        </w:rPr>
        <w:sectPr>
          <w:footerReference w:type="even" r:id="rId6"/>
          <w:footerReference w:type="default" r:id="rId7"/>
          <w:headerReference w:type="first" r:id="rId8"/>
          <w:pgSz w:w="11907" w:h="16840"/>
          <w:pgMar w:top="1440" w:right="1797" w:bottom="1440" w:left="1797" w:header="851" w:footer="992" w:gutter="0"/>
          <w:cols w:num="1" w:space="425"/>
          <w:titlePg/>
          <w:docGrid w:linePitch="462" w:charSpace="0"/>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内镜清洗消毒工作站及洗消追溯管理系统-A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项目详细报价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供应商同类业绩</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其他招标文件要求或投标人认为需要补充的内容（非公开）</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SZZXCG-2025-00567-001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内镜清洗消毒工作站及洗消追溯管理系统-A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投标人不符合资格要求，或未提交相应的资格证明资料（详见招标公告投标人资格要求）</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响应的内容在技术、商务等方面没有实质性满足（或未响应招标文件中带★号条款或响应有负偏离）招标文件要求的（是否实质性满足招标文件要求，由评审委员会根据实质性条款响应情况作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未按招标文件所提供的样式填写《投标函》；未按招标文件所提供的《采购投标及履约承诺函》进行承诺或不符合承诺的；未按招标文件对投标文件组成的要求提供投标文件；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采购标的所投产品货物清单有缺漏项或响应不全或报价有缺漏或者对招标文件规定的项目需求内容或者需求数量进行修改，评审委员会判定投标响应不满足采购需求；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投标文件用不属于本公司的电子密钥进行加密或投标文件未按时解密的；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line="432" w:lineRule="atLeast"/>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49</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免费保修期内售后服务条款偏离情况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免费保修期外售后服务条款偏离情况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其他商务条款偏离情况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供应商同类业绩</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4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default"/>
    <w:sig w:usb0="E0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隶书">
    <w:panose1 w:val="0201050906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auto"/>
    <w:pitch w:val="default"/>
    <w:sig w:usb0="00000000" w:usb1="00000000" w:usb2="00000000" w:usb3="00000000" w:csb0="00040001" w:csb1="00000000"/>
  </w:font>
  <w:font w:name="??">
    <w:altName w:val="Times New Roman"/>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tabs>
        <w:tab w:val="center" w:pos="4153"/>
        <w:tab w:val="right" w:pos="8306"/>
      </w:tabs>
      <w:snapToGrid w:val="0"/>
      <w:jc w:val="left"/>
      <w:rPr>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t xml:space="preserve">- </w:t>
    </w:r>
    <w:r>
      <w:fldChar w:fldCharType="begin"/>
    </w:r>
    <w:r>
      <w:instrText xml:space="preserve"> PAGE </w:instrText>
    </w:r>
    <w:r>
      <w:fldChar w:fldCharType="separate"/>
    </w:r>
    <w:r>
      <w:t>66</w:t>
    </w:r>
    <w:r>
      <w:fldChar w:fldCharType="end"/>
    </w:r>
    <w:r>
      <w:t xml:space="preserve"> -</w:t>
    </w:r>
  </w:p>
  <w:p>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none" w:sz="0" w:space="1" w:color="auto"/>
        <w:left w:val="none" w:sz="0" w:space="4" w:color="auto"/>
        <w:bottom w:val="none" w:sz="0" w:space="1" w:color="auto"/>
        <w:right w:val="none" w:sz="0" w:space="4" w:color="auto"/>
      </w:pBdr>
      <w:tabs>
        <w:tab w:val="center" w:pos="4153"/>
        <w:tab w:val="right" w:pos="8306"/>
      </w:tabs>
      <w:snapToGrid w:val="0"/>
      <w:rPr>
        <w:sz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F30691"/>
    <w:multiLevelType w:val="singleLevel"/>
    <w:tmpl w:val="B4F30691"/>
    <w:lvl w:ilvl="0">
      <w:start w:val="3"/>
      <w:numFmt w:val="decimal"/>
      <w:suff w:val="nothing"/>
      <w:lvlText w:val="（%1）"/>
      <w:lvlJc w:val="left"/>
    </w:lvl>
  </w:abstractNum>
  <w:abstractNum w:abstractNumId="1">
    <w:nsid w:val="B9358C2E"/>
    <w:multiLevelType w:val="singleLevel"/>
    <w:tmpl w:val="B9358C2E"/>
    <w:lvl w:ilvl="0">
      <w:start w:val="2"/>
      <w:numFmt w:val="decimal"/>
      <w:suff w:val="nothing"/>
      <w:lvlText w:val="%1、"/>
      <w:lvlJc w:val="left"/>
    </w:lvl>
  </w:abstractNum>
  <w:abstractNum w:abstractNumId="2">
    <w:nsid w:val="BF6BC116"/>
    <w:multiLevelType w:val="singleLevel"/>
    <w:tmpl w:val="BF6BC116"/>
    <w:lvl w:ilvl="0">
      <w:start w:val="16"/>
      <w:numFmt w:val="decimal"/>
      <w:suff w:val="space"/>
      <w:lvlText w:val="%1."/>
      <w:lvlJc w:val="left"/>
    </w:lvl>
  </w:abstractNum>
  <w:abstractNum w:abstractNumId="3">
    <w:nsid w:val="CFE7C3F8"/>
    <w:multiLevelType w:val="singleLevel"/>
    <w:tmpl w:val="CFE7C3F8"/>
    <w:lvl w:ilvl="0">
      <w:start w:val="1"/>
      <w:numFmt w:val="decimal"/>
      <w:suff w:val="nothing"/>
      <w:lvlText w:val="（%1）"/>
      <w:lvlJc w:val="left"/>
    </w:lvl>
  </w:abstractNum>
  <w:abstractNum w:abstractNumId="4">
    <w:nsid w:val="DDECD3BC"/>
    <w:multiLevelType w:val="singleLevel"/>
    <w:tmpl w:val="DDECD3BC"/>
    <w:lvl w:ilvl="0">
      <w:start w:val="6"/>
      <w:numFmt w:val="decimal"/>
      <w:suff w:val="space"/>
      <w:lvlText w:val="%1."/>
      <w:lvlJc w:val="left"/>
    </w:lvl>
  </w:abstractNum>
  <w:abstractNum w:abstractNumId="5">
    <w:nsid w:val="DE759F4B"/>
    <w:multiLevelType w:val="singleLevel"/>
    <w:tmpl w:val="DE759F4B"/>
    <w:lvl w:ilvl="0">
      <w:start w:val="2"/>
      <w:numFmt w:val="decimal"/>
      <w:suff w:val="space"/>
      <w:lvlText w:val="%1."/>
      <w:lvlJc w:val="left"/>
    </w:lvl>
  </w:abstractNum>
  <w:abstractNum w:abstractNumId="6">
    <w:nsid w:val="DEABE1DB"/>
    <w:multiLevelType w:val="singleLevel"/>
    <w:tmpl w:val="DEABE1DB"/>
    <w:lvl w:ilvl="0">
      <w:start w:val="23"/>
      <w:numFmt w:val="decimal"/>
      <w:suff w:val="space"/>
      <w:lvlText w:val="%1."/>
      <w:lvlJc w:val="left"/>
    </w:lvl>
  </w:abstractNum>
  <w:abstractNum w:abstractNumId="7">
    <w:nsid w:val="FFEFC674"/>
    <w:multiLevelType w:val="singleLevel"/>
    <w:tmpl w:val="FFEFC674"/>
    <w:lvl w:ilvl="0">
      <w:start w:val="1"/>
      <w:numFmt w:val="decimal"/>
      <w:suff w:val="nothing"/>
      <w:lvlText w:val="（%1）"/>
      <w:lvlJc w:val="left"/>
    </w:lvl>
  </w:abstractNum>
  <w:abstractNum w:abstractNumId="8">
    <w:nsid w:val="34416252"/>
    <w:multiLevelType w:val="multilevel"/>
    <w:tmpl w:val="34416252"/>
    <w:lvl w:ilvl="0">
      <w:start w:val="1"/>
      <w:numFmt w:val="japaneseCounting"/>
      <w:lvlText w:val="第%1章"/>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7A0F6431"/>
    <w:multiLevelType w:val="singleLevel"/>
    <w:tmpl w:val="7A0F6431"/>
    <w:lvl w:ilvl="0">
      <w:start w:val="1"/>
      <w:numFmt w:val="decimal"/>
      <w:suff w:val="space"/>
      <w:lvlText w:val="%1."/>
      <w:lvlJc w:val="left"/>
    </w:lvl>
  </w:abstractNum>
  <w:num w:numId="1">
    <w:abstractNumId w:val="0"/>
  </w:num>
  <w:num w:numId="2">
    <w:abstractNumId w:val="1"/>
  </w:num>
  <w:num w:numId="3">
    <w:abstractNumId w:val="9"/>
  </w:num>
  <w:num w:numId="4">
    <w:abstractNumId w:val="3"/>
  </w:num>
  <w:num w:numId="5">
    <w:abstractNumId w:val="7"/>
  </w:num>
  <w:num w:numId="6">
    <w:abstractNumId w:val="5"/>
  </w:num>
  <w:num w:numId="7">
    <w:abstractNumId w:val="4"/>
  </w:num>
  <w:num w:numId="8">
    <w:abstractNumId w:val="2"/>
  </w:num>
  <w:num w:numId="9">
    <w:abstractNumId w:val="6"/>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Heading3"/>
    <w:next w:val="Normal"/>
    <w:link w:val="1"/>
    <w:qFormat/>
    <w:pPr>
      <w:spacing w:before="340" w:after="330" w:line="360" w:lineRule="auto"/>
      <w:jc w:val="center"/>
      <w:outlineLvl w:val="0"/>
    </w:pPr>
    <w:rPr>
      <w:rFonts w:eastAsia="黑体"/>
      <w:kern w:val="44"/>
      <w:szCs w:val="44"/>
    </w:rPr>
  </w:style>
  <w:style w:type="paragraph" w:styleId="Heading2">
    <w:name w:val="heading 2"/>
    <w:basedOn w:val="Heading3"/>
    <w:next w:val="Heading4"/>
    <w:link w:val="20"/>
    <w:qFormat/>
    <w:pPr>
      <w:adjustRightInd w:val="0"/>
      <w:jc w:val="center"/>
      <w:textAlignment w:val="baseline"/>
      <w:outlineLvl w:val="1"/>
    </w:pPr>
    <w:rPr>
      <w:kern w:val="0"/>
      <w:sz w:val="24"/>
      <w:szCs w:val="20"/>
    </w:rPr>
  </w:style>
  <w:style w:type="paragraph" w:styleId="Heading3">
    <w:name w:val="heading 3"/>
    <w:basedOn w:val="Heading4"/>
    <w:next w:val="Normal"/>
    <w:link w:val="3"/>
    <w:uiPriority w:val="9"/>
    <w:qFormat/>
    <w:pPr>
      <w:spacing w:before="260" w:after="260" w:line="240" w:lineRule="auto"/>
      <w:outlineLvl w:val="2"/>
    </w:pPr>
    <w:rPr>
      <w:rFonts w:ascii="宋体" w:eastAsia="宋体" w:hAnsi="宋体"/>
      <w:szCs w:val="32"/>
    </w:rPr>
  </w:style>
  <w:style w:type="paragraph" w:styleId="Heading4">
    <w:name w:val="heading 4"/>
    <w:basedOn w:val="Normal"/>
    <w:next w:val="Normal"/>
    <w:link w:val="4"/>
    <w:uiPriority w:val="9"/>
    <w:qFormat/>
    <w:pPr>
      <w:keepNext/>
      <w:keepLines/>
      <w:widowControl w:val="0"/>
      <w:spacing w:before="280" w:after="290" w:line="376" w:lineRule="auto"/>
      <w:jc w:val="both"/>
      <w:outlineLvl w:val="3"/>
    </w:pPr>
    <w:rPr>
      <w:rFonts w:ascii="Arial" w:eastAsia="黑体" w:hAnsi="Arial"/>
      <w:b/>
      <w:bCs/>
      <w:kern w:val="2"/>
      <w:sz w:val="28"/>
      <w:szCs w:val="28"/>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link w:val="a"/>
    <w:uiPriority w:val="99"/>
    <w:qFormat/>
    <w:pPr>
      <w:widowControl w:val="0"/>
      <w:spacing w:after="160" w:line="259" w:lineRule="auto"/>
      <w:jc w:val="both"/>
    </w:pPr>
    <w:rPr>
      <w:rFonts w:eastAsia="宋体"/>
      <w:kern w:val="2"/>
      <w:lang w:eastAsia="zh-CN"/>
    </w:rPr>
  </w:style>
  <w:style w:type="character" w:customStyle="1" w:styleId="a">
    <w:name w:val="普通(网站) 字符"/>
    <w:link w:val="NormalWeb"/>
    <w:qFormat/>
    <w:rPr>
      <w:rFonts w:eastAsia="宋体"/>
      <w:kern w:val="2"/>
      <w:sz w:val="24"/>
      <w:szCs w:val="24"/>
    </w:rPr>
  </w:style>
  <w:style w:type="paragraph" w:styleId="BodyText">
    <w:name w:val="Body Text"/>
    <w:basedOn w:val="Normal"/>
    <w:next w:val="BodyText2"/>
    <w:link w:val="a0"/>
    <w:qFormat/>
    <w:pPr>
      <w:widowControl w:val="0"/>
      <w:spacing w:after="160" w:line="360" w:lineRule="auto"/>
      <w:jc w:val="both"/>
    </w:pPr>
    <w:rPr>
      <w:rFonts w:eastAsia="宋体"/>
      <w:b/>
      <w:bCs/>
      <w:kern w:val="2"/>
      <w:lang w:eastAsia="zh-CN"/>
    </w:rPr>
  </w:style>
  <w:style w:type="paragraph" w:styleId="BodyText2">
    <w:name w:val="Body Text 2"/>
    <w:basedOn w:val="Normal"/>
    <w:link w:val="2"/>
    <w:qFormat/>
    <w:pPr>
      <w:widowControl w:val="0"/>
      <w:spacing w:after="160" w:line="360" w:lineRule="auto"/>
      <w:jc w:val="both"/>
    </w:pPr>
    <w:rPr>
      <w:rFonts w:eastAsia="宋体"/>
      <w:kern w:val="2"/>
      <w:lang w:eastAsia="zh-CN"/>
    </w:rPr>
  </w:style>
  <w:style w:type="character" w:customStyle="1" w:styleId="2">
    <w:name w:val="正文文本 2 字符"/>
    <w:link w:val="BodyText2"/>
    <w:qFormat/>
    <w:rPr>
      <w:rFonts w:eastAsia="宋体"/>
      <w:kern w:val="2"/>
      <w:sz w:val="24"/>
      <w:szCs w:val="24"/>
      <w:lang w:eastAsia="zh-CN"/>
    </w:rPr>
  </w:style>
  <w:style w:type="character" w:customStyle="1" w:styleId="a0">
    <w:name w:val="正文文本 字符"/>
    <w:link w:val="BodyText"/>
    <w:qFormat/>
    <w:rPr>
      <w:rFonts w:eastAsia="宋体"/>
      <w:b/>
      <w:bCs/>
      <w:kern w:val="2"/>
      <w:sz w:val="24"/>
      <w:szCs w:val="24"/>
      <w:lang w:eastAsia="zh-CN"/>
    </w:rPr>
  </w:style>
  <w:style w:type="character" w:customStyle="1" w:styleId="4">
    <w:name w:val="标题 4 字符"/>
    <w:link w:val="Heading4"/>
    <w:uiPriority w:val="9"/>
    <w:qFormat/>
    <w:rPr>
      <w:rFonts w:ascii="Arial" w:eastAsia="黑体" w:hAnsi="Arial"/>
      <w:b/>
      <w:bCs/>
      <w:kern w:val="2"/>
      <w:sz w:val="28"/>
      <w:szCs w:val="28"/>
      <w:lang w:eastAsia="zh-CN"/>
    </w:rPr>
  </w:style>
  <w:style w:type="character" w:customStyle="1" w:styleId="3">
    <w:name w:val="标题 3 字符"/>
    <w:link w:val="Heading3"/>
    <w:uiPriority w:val="9"/>
    <w:qFormat/>
    <w:rPr>
      <w:rFonts w:ascii="宋体" w:eastAsia="宋体" w:hAnsi="宋体"/>
      <w:b/>
      <w:bCs/>
      <w:kern w:val="2"/>
      <w:sz w:val="28"/>
      <w:szCs w:val="32"/>
      <w:lang w:eastAsia="zh-CN"/>
    </w:rPr>
  </w:style>
  <w:style w:type="character" w:customStyle="1" w:styleId="1">
    <w:name w:val="标题 1 字符"/>
    <w:link w:val="Heading1"/>
    <w:qFormat/>
    <w:rPr>
      <w:rFonts w:ascii="宋体" w:eastAsia="黑体" w:hAnsi="宋体"/>
      <w:b/>
      <w:bCs/>
      <w:kern w:val="44"/>
      <w:sz w:val="28"/>
      <w:szCs w:val="44"/>
      <w:lang w:eastAsia="zh-CN"/>
    </w:rPr>
  </w:style>
  <w:style w:type="character" w:customStyle="1" w:styleId="20">
    <w:name w:val="标题 2 字符"/>
    <w:link w:val="Heading2"/>
    <w:qFormat/>
    <w:rPr>
      <w:rFonts w:ascii="宋体" w:eastAsia="宋体" w:hAnsi="宋体"/>
      <w:b/>
      <w:bCs/>
      <w:sz w:val="24"/>
      <w:lang w:eastAsia="zh-CN"/>
    </w:rPr>
  </w:style>
  <w:style w:type="table" w:styleId="TableGrid">
    <w:name w:val="Table Grid"/>
    <w:basedOn w:val="TableNormal"/>
    <w:uiPriority w:val="39"/>
    <w:qFormat/>
    <w:pPr>
      <w:widowControl w:val="0"/>
      <w:spacing w:after="160" w:line="259" w:lineRule="auto"/>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link w:val="a1"/>
    <w:qFormat/>
    <w:pPr>
      <w:widowControl w:val="0"/>
      <w:spacing w:after="160" w:line="259" w:lineRule="auto"/>
      <w:ind w:firstLine="420"/>
      <w:jc w:val="both"/>
    </w:pPr>
    <w:rPr>
      <w:rFonts w:eastAsia="宋体"/>
      <w:kern w:val="2"/>
      <w:sz w:val="21"/>
      <w:szCs w:val="20"/>
      <w:lang w:eastAsia="zh-CN"/>
    </w:rPr>
  </w:style>
  <w:style w:type="character" w:customStyle="1" w:styleId="a1">
    <w:name w:val="正文缩进 字符"/>
    <w:link w:val="NormalIndent"/>
    <w:qFormat/>
    <w:rPr>
      <w:rFonts w:eastAsia="宋体"/>
      <w:kern w:val="2"/>
      <w:sz w:val="21"/>
      <w:lang w:eastAsia="zh-CN"/>
    </w:rPr>
  </w:style>
  <w:style w:type="table" w:customStyle="1" w:styleId="TableNormal0">
    <w:name w:val="Table Normal_0"/>
    <w:semiHidden/>
    <w:unhideWhenUsed/>
    <w:qFormat/>
    <w:pPr>
      <w:spacing w:after="160" w:line="259" w:lineRule="auto"/>
    </w:pPr>
    <w:rPr>
      <w:rFonts w:eastAsia="宋体"/>
    </w:rPr>
    <w:tblPr>
      <w:tblCellMar>
        <w:top w:w="0" w:type="dxa"/>
        <w:left w:w="0" w:type="dxa"/>
        <w:bottom w:w="0" w:type="dxa"/>
        <w:right w:w="0" w:type="dxa"/>
      </w:tblCellMar>
    </w:tblPr>
  </w:style>
  <w:style w:type="paragraph" w:customStyle="1" w:styleId="TableText">
    <w:name w:val="Table Text"/>
    <w:basedOn w:val="Normal"/>
    <w:semiHidden/>
    <w:qFormat/>
    <w:pPr>
      <w:widowControl w:val="0"/>
      <w:spacing w:after="160" w:line="259" w:lineRule="auto"/>
      <w:jc w:val="both"/>
    </w:pPr>
    <w:rPr>
      <w:rFonts w:ascii="微软雅黑" w:eastAsia="微软雅黑" w:hAnsi="微软雅黑" w:cs="微软雅黑"/>
      <w:kern w:val="2"/>
    </w:rPr>
  </w:style>
  <w:style w:type="table" w:customStyle="1" w:styleId="10">
    <w:name w:val="网格型1"/>
    <w:basedOn w:val="TableNormal"/>
    <w:qFormat/>
    <w:pPr>
      <w:widowControl w:val="0"/>
      <w:spacing w:after="160" w:line="259" w:lineRule="auto"/>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a2"/>
    <w:uiPriority w:val="99"/>
    <w:qFormat/>
    <w:pPr>
      <w:widowControl w:val="0"/>
      <w:pBdr>
        <w:bottom w:val="single" w:sz="6" w:space="1" w:color="auto"/>
      </w:pBdr>
      <w:tabs>
        <w:tab w:val="center" w:pos="4153"/>
        <w:tab w:val="right" w:pos="8306"/>
      </w:tabs>
      <w:snapToGrid w:val="0"/>
      <w:spacing w:after="160" w:line="259" w:lineRule="auto"/>
      <w:jc w:val="center"/>
    </w:pPr>
    <w:rPr>
      <w:rFonts w:eastAsia="宋体"/>
      <w:kern w:val="2"/>
      <w:sz w:val="18"/>
      <w:szCs w:val="18"/>
      <w:lang w:eastAsia="zh-CN"/>
    </w:rPr>
  </w:style>
  <w:style w:type="character" w:customStyle="1" w:styleId="a2">
    <w:name w:val="页眉 字符"/>
    <w:link w:val="Header"/>
    <w:uiPriority w:val="99"/>
    <w:qFormat/>
    <w:rPr>
      <w:rFonts w:eastAsia="宋体"/>
      <w:kern w:val="2"/>
      <w:sz w:val="18"/>
      <w:szCs w:val="18"/>
      <w:lang w:eastAsia="zh-CN"/>
    </w:rPr>
  </w:style>
  <w:style w:type="paragraph" w:styleId="Footer">
    <w:name w:val="footer"/>
    <w:basedOn w:val="Normal"/>
    <w:link w:val="a3"/>
    <w:qFormat/>
    <w:pPr>
      <w:widowControl w:val="0"/>
      <w:tabs>
        <w:tab w:val="center" w:pos="4153"/>
        <w:tab w:val="right" w:pos="8306"/>
      </w:tabs>
      <w:snapToGrid w:val="0"/>
      <w:spacing w:after="160" w:line="259" w:lineRule="auto"/>
    </w:pPr>
    <w:rPr>
      <w:rFonts w:eastAsia="宋体"/>
      <w:kern w:val="2"/>
      <w:sz w:val="18"/>
      <w:szCs w:val="18"/>
      <w:lang w:eastAsia="zh-CN"/>
    </w:rPr>
  </w:style>
  <w:style w:type="character" w:customStyle="1" w:styleId="a3">
    <w:name w:val="页脚 字符"/>
    <w:link w:val="Footer"/>
    <w:qFormat/>
    <w:rPr>
      <w:rFonts w:eastAsia="宋体"/>
      <w:kern w:val="2"/>
      <w:sz w:val="18"/>
      <w:szCs w:val="18"/>
      <w:lang w:eastAsia="zh-CN"/>
    </w:rPr>
  </w:style>
  <w:style w:type="character" w:styleId="PageNumber">
    <w:name w:val="page number"/>
    <w:basedOn w:val="DefaultParagraphFont"/>
    <w:qFormat/>
  </w:style>
  <w:style w:type="paragraph" w:styleId="ListParagraph">
    <w:name w:val="List Paragraph"/>
    <w:basedOn w:val="Normal"/>
    <w:uiPriority w:val="34"/>
    <w:qFormat/>
    <w:pPr>
      <w:widowControl w:val="0"/>
      <w:spacing w:after="160" w:line="259" w:lineRule="auto"/>
      <w:ind w:firstLine="420" w:firstLineChars="200"/>
      <w:jc w:val="both"/>
    </w:pPr>
    <w:rPr>
      <w:rFonts w:ascii="Calibri" w:eastAsia="宋体" w:hAnsi="Calibri"/>
      <w:kern w:val="2"/>
      <w:sz w:val="21"/>
      <w:szCs w:val="22"/>
      <w:lang w:eastAsia="zh-CN"/>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