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BB357">
      <w:pPr>
        <w:ind w:right="-240" w:rightChars="-100"/>
        <w:rPr>
          <w:b/>
          <w:color w:val="auto"/>
          <w:sz w:val="28"/>
        </w:rPr>
      </w:pPr>
      <w:bookmarkStart w:id="1" w:name="_GoBack"/>
      <w:bookmarkEnd w:id="1"/>
      <w:r>
        <w:rPr>
          <w:b/>
          <w:color w:val="auto"/>
          <w:sz w:val="28"/>
        </w:rPr>
        <w:t>合同编号：</w:t>
      </w:r>
    </w:p>
    <w:p w14:paraId="51229F75">
      <w:pPr>
        <w:jc w:val="center"/>
        <w:rPr>
          <w:color w:val="auto"/>
          <w:sz w:val="52"/>
        </w:rPr>
      </w:pPr>
    </w:p>
    <w:p w14:paraId="66A61AF5">
      <w:pPr>
        <w:jc w:val="center"/>
        <w:rPr>
          <w:color w:val="auto"/>
          <w:sz w:val="52"/>
        </w:rPr>
      </w:pPr>
    </w:p>
    <w:p w14:paraId="2348CB03">
      <w:pPr>
        <w:jc w:val="center"/>
        <w:rPr>
          <w:color w:val="auto"/>
          <w:sz w:val="52"/>
        </w:rPr>
      </w:pPr>
    </w:p>
    <w:p w14:paraId="267C7F72">
      <w:pPr>
        <w:jc w:val="center"/>
        <w:rPr>
          <w:b/>
          <w:bCs/>
          <w:color w:val="auto"/>
          <w:sz w:val="52"/>
        </w:rPr>
      </w:pPr>
      <w:r>
        <w:rPr>
          <w:b/>
          <w:bCs/>
          <w:color w:val="auto"/>
          <w:sz w:val="52"/>
        </w:rPr>
        <w:t>技术</w:t>
      </w:r>
      <w:r>
        <w:rPr>
          <w:rFonts w:hint="eastAsia"/>
          <w:b/>
          <w:bCs/>
          <w:color w:val="auto"/>
          <w:sz w:val="52"/>
        </w:rPr>
        <w:t>服务</w:t>
      </w:r>
      <w:r>
        <w:rPr>
          <w:b/>
          <w:bCs/>
          <w:color w:val="auto"/>
          <w:sz w:val="52"/>
        </w:rPr>
        <w:t>合同</w:t>
      </w:r>
    </w:p>
    <w:p w14:paraId="56BD8879">
      <w:pPr>
        <w:jc w:val="center"/>
        <w:rPr>
          <w:color w:val="auto"/>
          <w:sz w:val="36"/>
        </w:rPr>
      </w:pPr>
    </w:p>
    <w:p w14:paraId="3CCBE6EF">
      <w:pPr>
        <w:jc w:val="center"/>
        <w:rPr>
          <w:color w:val="auto"/>
          <w:sz w:val="36"/>
        </w:rPr>
      </w:pPr>
    </w:p>
    <w:p w14:paraId="052805D5">
      <w:pPr>
        <w:jc w:val="center"/>
        <w:rPr>
          <w:color w:val="auto"/>
          <w:sz w:val="36"/>
        </w:rPr>
      </w:pPr>
    </w:p>
    <w:p w14:paraId="4A67C47E">
      <w:pPr>
        <w:jc w:val="center"/>
        <w:rPr>
          <w:color w:val="auto"/>
          <w:sz w:val="36"/>
        </w:rPr>
      </w:pPr>
    </w:p>
    <w:p w14:paraId="07BF33EE">
      <w:pPr>
        <w:spacing w:after="312" w:afterLines="100" w:line="552" w:lineRule="auto"/>
        <w:ind w:firstLine="640" w:firstLineChars="200"/>
        <w:rPr>
          <w:b/>
          <w:bCs/>
          <w:color w:val="auto"/>
          <w:sz w:val="32"/>
        </w:rPr>
      </w:pPr>
      <w:r>
        <w:rPr>
          <w:b/>
          <w:bCs/>
          <w:color w:val="auto"/>
          <w:sz w:val="32"/>
        </w:rPr>
        <w:t>项目名称：</w:t>
      </w:r>
      <w:r>
        <w:rPr>
          <w:rFonts w:hint="eastAsia"/>
          <w:b/>
          <w:bCs/>
          <w:color w:val="auto"/>
          <w:sz w:val="32"/>
          <w:u w:val="single"/>
        </w:rPr>
        <w:t xml:space="preserve"> </w:t>
      </w:r>
      <w:r>
        <w:rPr>
          <w:b/>
          <w:bCs/>
          <w:color w:val="auto"/>
          <w:sz w:val="32"/>
          <w:u w:val="single"/>
        </w:rPr>
        <w:t xml:space="preserve">  </w:t>
      </w:r>
      <w:r>
        <w:rPr>
          <w:rFonts w:hint="eastAsia"/>
          <w:b/>
          <w:bCs/>
          <w:color w:val="auto"/>
          <w:sz w:val="32"/>
          <w:u w:val="single"/>
        </w:rPr>
        <w:t xml:space="preserve">出入境在用系统网络安全防护加固项目 </w:t>
      </w:r>
      <w:r>
        <w:rPr>
          <w:b/>
          <w:bCs/>
          <w:color w:val="auto"/>
          <w:sz w:val="32"/>
          <w:u w:val="single"/>
        </w:rPr>
        <w:t xml:space="preserve">     </w:t>
      </w:r>
    </w:p>
    <w:p w14:paraId="21599239">
      <w:pPr>
        <w:spacing w:after="312" w:afterLines="100" w:line="552" w:lineRule="auto"/>
        <w:ind w:firstLine="640" w:firstLineChars="200"/>
        <w:rPr>
          <w:b/>
          <w:bCs/>
          <w:color w:val="auto"/>
          <w:sz w:val="32"/>
          <w:u w:val="single"/>
        </w:rPr>
      </w:pPr>
      <w:r>
        <w:rPr>
          <w:b/>
          <w:bCs/>
          <w:color w:val="auto"/>
          <w:sz w:val="32"/>
        </w:rPr>
        <w:t>委托方（甲方）：</w:t>
      </w:r>
      <w:r>
        <w:rPr>
          <w:rFonts w:hint="eastAsia"/>
          <w:b/>
          <w:bCs/>
          <w:color w:val="auto"/>
          <w:sz w:val="32"/>
          <w:u w:val="single"/>
        </w:rPr>
        <w:t xml:space="preserve">  </w:t>
      </w:r>
      <w:bookmarkStart w:id="0" w:name="OLE_LINK1"/>
      <w:r>
        <w:rPr>
          <w:rFonts w:hint="eastAsia"/>
          <w:b/>
          <w:bCs/>
          <w:color w:val="auto"/>
          <w:sz w:val="32"/>
          <w:u w:val="single"/>
        </w:rPr>
        <w:t>深圳市公安局出入境管理支队</w:t>
      </w:r>
      <w:bookmarkEnd w:id="0"/>
      <w:r>
        <w:rPr>
          <w:rFonts w:hint="eastAsia"/>
          <w:b/>
          <w:bCs/>
          <w:color w:val="auto"/>
          <w:sz w:val="32"/>
          <w:u w:val="single"/>
        </w:rPr>
        <w:t xml:space="preserve"> </w:t>
      </w:r>
      <w:r>
        <w:rPr>
          <w:b/>
          <w:bCs/>
          <w:color w:val="auto"/>
          <w:sz w:val="32"/>
          <w:u w:val="single"/>
        </w:rPr>
        <w:t xml:space="preserve"> </w:t>
      </w:r>
    </w:p>
    <w:p w14:paraId="35078828">
      <w:pPr>
        <w:spacing w:after="312" w:afterLines="100" w:line="552" w:lineRule="auto"/>
        <w:ind w:firstLine="640" w:firstLineChars="200"/>
        <w:rPr>
          <w:b/>
          <w:bCs/>
          <w:color w:val="auto"/>
          <w:sz w:val="32"/>
          <w:u w:val="single"/>
        </w:rPr>
      </w:pPr>
      <w:r>
        <w:rPr>
          <w:b/>
          <w:bCs/>
          <w:color w:val="auto"/>
          <w:sz w:val="32"/>
        </w:rPr>
        <w:t>受托方（乙方）：</w:t>
      </w:r>
      <w:r>
        <w:rPr>
          <w:rFonts w:hint="eastAsia"/>
          <w:b/>
          <w:bCs/>
          <w:color w:val="auto"/>
          <w:sz w:val="32"/>
          <w:u w:val="single"/>
        </w:rPr>
        <w:t xml:space="preserve">  </w:t>
      </w:r>
      <w:r>
        <w:rPr>
          <w:b/>
          <w:bCs/>
          <w:color w:val="auto"/>
          <w:sz w:val="32"/>
          <w:u w:val="single"/>
        </w:rPr>
        <w:t xml:space="preserve">      </w:t>
      </w:r>
    </w:p>
    <w:p w14:paraId="36437C70">
      <w:pPr>
        <w:spacing w:after="312" w:afterLines="100" w:line="552" w:lineRule="auto"/>
        <w:ind w:firstLine="640" w:firstLineChars="200"/>
        <w:rPr>
          <w:b/>
          <w:bCs/>
          <w:color w:val="auto"/>
          <w:sz w:val="32"/>
          <w:u w:val="single"/>
        </w:rPr>
      </w:pPr>
      <w:r>
        <w:rPr>
          <w:b/>
          <w:bCs/>
          <w:color w:val="auto"/>
          <w:sz w:val="32"/>
        </w:rPr>
        <w:t>签订地点：</w:t>
      </w:r>
      <w:r>
        <w:rPr>
          <w:b/>
          <w:bCs/>
          <w:color w:val="auto"/>
          <w:sz w:val="32"/>
          <w:u w:val="single"/>
        </w:rPr>
        <w:t xml:space="preserve">   </w:t>
      </w:r>
      <w:r>
        <w:rPr>
          <w:rFonts w:hint="eastAsia"/>
          <w:b/>
          <w:bCs/>
          <w:color w:val="auto"/>
          <w:sz w:val="32"/>
          <w:u w:val="single"/>
        </w:rPr>
        <w:t xml:space="preserve">    </w:t>
      </w:r>
      <w:r>
        <w:rPr>
          <w:b/>
          <w:bCs/>
          <w:color w:val="auto"/>
          <w:sz w:val="32"/>
          <w:u w:val="single"/>
        </w:rPr>
        <w:t xml:space="preserve"> </w:t>
      </w:r>
      <w:r>
        <w:rPr>
          <w:rFonts w:hint="eastAsia"/>
          <w:b/>
          <w:bCs/>
          <w:color w:val="auto"/>
          <w:sz w:val="32"/>
          <w:u w:val="single"/>
        </w:rPr>
        <w:t xml:space="preserve"> </w:t>
      </w:r>
      <w:r>
        <w:rPr>
          <w:b/>
          <w:bCs/>
          <w:color w:val="auto"/>
          <w:sz w:val="32"/>
          <w:u w:val="single"/>
        </w:rPr>
        <w:t xml:space="preserve">      深圳市     </w:t>
      </w:r>
      <w:r>
        <w:rPr>
          <w:rFonts w:hint="eastAsia"/>
          <w:b/>
          <w:bCs/>
          <w:color w:val="auto"/>
          <w:sz w:val="32"/>
          <w:u w:val="single"/>
        </w:rPr>
        <w:t xml:space="preserve"> </w:t>
      </w:r>
      <w:r>
        <w:rPr>
          <w:b/>
          <w:bCs/>
          <w:color w:val="auto"/>
          <w:sz w:val="32"/>
          <w:u w:val="single"/>
        </w:rPr>
        <w:t xml:space="preserve">      </w:t>
      </w:r>
      <w:r>
        <w:rPr>
          <w:rFonts w:hint="eastAsia"/>
          <w:b/>
          <w:bCs/>
          <w:color w:val="auto"/>
          <w:sz w:val="32"/>
          <w:u w:val="single"/>
        </w:rPr>
        <w:t xml:space="preserve">   </w:t>
      </w:r>
      <w:r>
        <w:rPr>
          <w:b/>
          <w:bCs/>
          <w:color w:val="auto"/>
          <w:sz w:val="32"/>
          <w:u w:val="single"/>
        </w:rPr>
        <w:t xml:space="preserve"> </w:t>
      </w:r>
    </w:p>
    <w:p w14:paraId="1F8427F4">
      <w:pPr>
        <w:pStyle w:val="79"/>
        <w:rPr>
          <w:color w:val="auto"/>
        </w:rPr>
      </w:pPr>
      <w:r>
        <w:rPr>
          <w:color w:val="auto"/>
        </w:rPr>
        <w:t xml:space="preserve">         </w:t>
      </w:r>
    </w:p>
    <w:p w14:paraId="04A50D57">
      <w:pPr>
        <w:pStyle w:val="79"/>
        <w:rPr>
          <w:color w:val="auto"/>
        </w:rPr>
      </w:pPr>
    </w:p>
    <w:p w14:paraId="7172F447">
      <w:pPr>
        <w:pStyle w:val="79"/>
        <w:rPr>
          <w:color w:val="auto"/>
        </w:rPr>
      </w:pPr>
    </w:p>
    <w:p w14:paraId="6AEECDDB">
      <w:pPr>
        <w:spacing w:after="156" w:afterLines="50" w:line="360" w:lineRule="auto"/>
        <w:ind w:firstLine="720" w:firstLineChars="300"/>
        <w:rPr>
          <w:rFonts w:ascii="Times New Roman" w:hAnsi="Times New Roman"/>
          <w:b/>
          <w:color w:val="auto"/>
        </w:rPr>
        <w:sectPr>
          <w:pgSz w:w="11906" w:h="16838"/>
          <w:pgMar w:top="1418" w:right="1418" w:bottom="1304" w:left="1418" w:header="851" w:footer="992" w:gutter="0"/>
          <w:cols w:space="425" w:num="1"/>
          <w:docGrid w:type="linesAndChars" w:linePitch="312" w:charSpace="0"/>
        </w:sectPr>
      </w:pPr>
    </w:p>
    <w:p w14:paraId="025B37A8">
      <w:pPr>
        <w:jc w:val="center"/>
        <w:rPr>
          <w:rFonts w:ascii="Times New Roman" w:hAnsi="Times New Roman"/>
          <w:b/>
          <w:color w:val="auto"/>
          <w:sz w:val="32"/>
          <w:szCs w:val="32"/>
        </w:rPr>
      </w:pPr>
      <w:r>
        <w:rPr>
          <w:rFonts w:hint="eastAsia" w:ascii="Times New Roman" w:hAnsi="Times New Roman"/>
          <w:b/>
          <w:color w:val="auto"/>
          <w:sz w:val="32"/>
          <w:szCs w:val="32"/>
        </w:rPr>
        <w:t>合同条款</w:t>
      </w:r>
    </w:p>
    <w:p w14:paraId="13D35324">
      <w:pPr>
        <w:jc w:val="center"/>
        <w:rPr>
          <w:rFonts w:ascii="Times New Roman" w:hAnsi="Times New Roman"/>
          <w:color w:val="auto"/>
        </w:rPr>
      </w:pPr>
    </w:p>
    <w:p w14:paraId="7B78677B">
      <w:pPr>
        <w:rPr>
          <w:rFonts w:ascii="Times New Roman" w:hAnsi="Times New Roman"/>
          <w:b/>
          <w:bCs/>
          <w:color w:val="auto"/>
          <w:szCs w:val="21"/>
        </w:rPr>
      </w:pPr>
    </w:p>
    <w:p w14:paraId="084A265C">
      <w:pPr>
        <w:tabs>
          <w:tab w:val="left" w:pos="2552"/>
        </w:tabs>
        <w:spacing w:line="480" w:lineRule="auto"/>
        <w:ind w:firstLine="960" w:firstLineChars="400"/>
        <w:rPr>
          <w:rFonts w:ascii="Times New Roman" w:hAnsi="Times New Roman"/>
          <w:color w:val="auto"/>
        </w:rPr>
      </w:pPr>
      <w:r>
        <w:rPr>
          <w:rFonts w:hint="eastAsia" w:ascii="Times New Roman" w:hAnsi="Times New Roman"/>
          <w:color w:val="auto"/>
        </w:rPr>
        <w:t>甲方（委托方）：</w:t>
      </w:r>
      <w:r>
        <w:rPr>
          <w:rFonts w:ascii="Times New Roman" w:hAnsi="Times New Roman"/>
          <w:color w:val="auto"/>
        </w:rPr>
        <w:t>深圳市公安局出入境管理支队</w:t>
      </w:r>
    </w:p>
    <w:p w14:paraId="47DE6B3D">
      <w:pPr>
        <w:spacing w:line="480" w:lineRule="auto"/>
        <w:ind w:firstLine="960" w:firstLineChars="400"/>
        <w:rPr>
          <w:rFonts w:ascii="Times New Roman" w:hAnsi="Times New Roman"/>
          <w:color w:val="auto"/>
        </w:rPr>
      </w:pPr>
      <w:r>
        <w:rPr>
          <w:rFonts w:ascii="Times New Roman" w:hAnsi="Times New Roman"/>
          <w:color w:val="auto"/>
        </w:rPr>
        <w:t>通讯地址</w:t>
      </w:r>
      <w:r>
        <w:rPr>
          <w:rFonts w:hint="eastAsia" w:ascii="Times New Roman" w:hAnsi="Times New Roman"/>
          <w:color w:val="auto"/>
        </w:rPr>
        <w:t>：深圳市罗湖区解放路4</w:t>
      </w:r>
      <w:r>
        <w:rPr>
          <w:rFonts w:ascii="Times New Roman" w:hAnsi="Times New Roman"/>
          <w:color w:val="auto"/>
        </w:rPr>
        <w:t>018</w:t>
      </w:r>
      <w:r>
        <w:rPr>
          <w:rFonts w:hint="eastAsia" w:ascii="Times New Roman" w:hAnsi="Times New Roman"/>
          <w:color w:val="auto"/>
        </w:rPr>
        <w:t>号（出入境管理支队8楼）</w:t>
      </w:r>
    </w:p>
    <w:p w14:paraId="2474EAB4">
      <w:pPr>
        <w:spacing w:line="480" w:lineRule="auto"/>
        <w:ind w:firstLine="960" w:firstLineChars="400"/>
        <w:rPr>
          <w:rFonts w:ascii="Times New Roman" w:hAnsi="Times New Roman"/>
          <w:color w:val="auto"/>
        </w:rPr>
      </w:pPr>
      <w:r>
        <w:rPr>
          <w:rFonts w:hint="eastAsia" w:ascii="Times New Roman" w:hAnsi="Times New Roman"/>
          <w:color w:val="auto"/>
        </w:rPr>
        <w:t>联系人：曲兴华</w:t>
      </w:r>
    </w:p>
    <w:p w14:paraId="2BD7341E">
      <w:pPr>
        <w:spacing w:line="480" w:lineRule="auto"/>
        <w:ind w:firstLine="960" w:firstLineChars="400"/>
        <w:rPr>
          <w:rFonts w:ascii="Times New Roman" w:hAnsi="Times New Roman"/>
          <w:color w:val="auto"/>
        </w:rPr>
      </w:pPr>
      <w:r>
        <w:rPr>
          <w:rFonts w:hint="eastAsia" w:ascii="Times New Roman" w:hAnsi="Times New Roman"/>
          <w:color w:val="auto"/>
        </w:rPr>
        <w:t>联系方式</w:t>
      </w:r>
      <w:r>
        <w:rPr>
          <w:rFonts w:ascii="Times New Roman" w:hAnsi="Times New Roman"/>
          <w:color w:val="auto"/>
        </w:rPr>
        <w:t>：19926639780</w:t>
      </w:r>
    </w:p>
    <w:p w14:paraId="0668ACC8">
      <w:pPr>
        <w:jc w:val="center"/>
        <w:rPr>
          <w:rFonts w:ascii="Times New Roman" w:hAnsi="Times New Roman"/>
          <w:color w:val="auto"/>
        </w:rPr>
      </w:pPr>
    </w:p>
    <w:p w14:paraId="4CDA2964">
      <w:pPr>
        <w:rPr>
          <w:rFonts w:ascii="Times New Roman" w:hAnsi="Times New Roman"/>
          <w:b/>
          <w:bCs/>
          <w:color w:val="auto"/>
          <w:szCs w:val="21"/>
        </w:rPr>
      </w:pPr>
    </w:p>
    <w:p w14:paraId="42E7A6D3">
      <w:pPr>
        <w:tabs>
          <w:tab w:val="left" w:pos="6521"/>
        </w:tabs>
        <w:spacing w:line="480" w:lineRule="auto"/>
        <w:ind w:firstLine="960" w:firstLineChars="400"/>
        <w:rPr>
          <w:rFonts w:ascii="Times New Roman" w:hAnsi="Times New Roman"/>
          <w:color w:val="auto"/>
        </w:rPr>
      </w:pPr>
      <w:r>
        <w:rPr>
          <w:rFonts w:hint="eastAsia" w:ascii="Times New Roman" w:hAnsi="Times New Roman"/>
          <w:color w:val="auto"/>
        </w:rPr>
        <w:t>乙方（受托方）：</w:t>
      </w:r>
    </w:p>
    <w:p w14:paraId="0638CD70">
      <w:pPr>
        <w:spacing w:line="480" w:lineRule="auto"/>
        <w:ind w:firstLine="960" w:firstLineChars="400"/>
        <w:rPr>
          <w:rFonts w:ascii="Times New Roman" w:hAnsi="Times New Roman"/>
          <w:color w:val="auto"/>
        </w:rPr>
      </w:pPr>
      <w:r>
        <w:rPr>
          <w:rFonts w:ascii="Times New Roman" w:hAnsi="Times New Roman"/>
          <w:color w:val="auto"/>
        </w:rPr>
        <w:t>通讯地址</w:t>
      </w:r>
      <w:r>
        <w:rPr>
          <w:rFonts w:hint="eastAsia" w:ascii="Times New Roman" w:hAnsi="Times New Roman"/>
          <w:color w:val="auto"/>
        </w:rPr>
        <w:t>：</w:t>
      </w:r>
    </w:p>
    <w:p w14:paraId="1648E8D2">
      <w:pPr>
        <w:spacing w:line="480" w:lineRule="auto"/>
        <w:ind w:firstLine="960" w:firstLineChars="400"/>
        <w:rPr>
          <w:rFonts w:ascii="Times New Roman" w:hAnsi="Times New Roman"/>
          <w:color w:val="auto"/>
        </w:rPr>
      </w:pPr>
      <w:r>
        <w:rPr>
          <w:rFonts w:hint="eastAsia" w:ascii="Times New Roman" w:hAnsi="Times New Roman"/>
          <w:color w:val="auto"/>
        </w:rPr>
        <w:t>联系人：</w:t>
      </w:r>
    </w:p>
    <w:p w14:paraId="213C7ABA">
      <w:pPr>
        <w:spacing w:line="480" w:lineRule="auto"/>
        <w:ind w:firstLine="960" w:firstLineChars="400"/>
        <w:rPr>
          <w:rFonts w:ascii="Times New Roman" w:hAnsi="Times New Roman"/>
          <w:color w:val="auto"/>
        </w:rPr>
      </w:pPr>
      <w:r>
        <w:rPr>
          <w:rFonts w:hint="eastAsia" w:ascii="Times New Roman" w:hAnsi="Times New Roman"/>
          <w:color w:val="auto"/>
        </w:rPr>
        <w:t>联系方式：</w:t>
      </w:r>
    </w:p>
    <w:p w14:paraId="6C84E7CD">
      <w:pPr>
        <w:spacing w:line="480" w:lineRule="auto"/>
        <w:ind w:firstLine="960" w:firstLineChars="400"/>
        <w:rPr>
          <w:rFonts w:ascii="Times New Roman" w:hAnsi="Times New Roman"/>
          <w:color w:val="auto"/>
        </w:rPr>
      </w:pPr>
    </w:p>
    <w:p w14:paraId="3447E64D">
      <w:pPr>
        <w:spacing w:after="156" w:afterLines="50" w:line="360" w:lineRule="auto"/>
        <w:ind w:firstLine="480" w:firstLineChars="200"/>
        <w:rPr>
          <w:rFonts w:ascii="Times New Roman" w:hAnsi="Times New Roman"/>
          <w:color w:val="auto"/>
        </w:rPr>
      </w:pPr>
      <w:r>
        <w:rPr>
          <w:rFonts w:ascii="Times New Roman" w:hAnsi="Times New Roman"/>
          <w:b/>
          <w:color w:val="auto"/>
        </w:rPr>
        <w:br w:type="page"/>
      </w:r>
    </w:p>
    <w:p w14:paraId="57607329">
      <w:pPr>
        <w:spacing w:line="360" w:lineRule="auto"/>
        <w:ind w:firstLine="480" w:firstLineChars="200"/>
        <w:rPr>
          <w:color w:val="auto"/>
        </w:rPr>
      </w:pPr>
      <w:r>
        <w:rPr>
          <w:rFonts w:hint="eastAsia"/>
          <w:color w:val="auto"/>
        </w:rPr>
        <w:t>本合同甲方委托乙方就</w:t>
      </w:r>
      <w:r>
        <w:rPr>
          <w:rFonts w:hint="eastAsia"/>
          <w:color w:val="auto"/>
          <w:u w:val="single"/>
        </w:rPr>
        <w:t xml:space="preserve"> </w:t>
      </w:r>
      <w:r>
        <w:rPr>
          <w:rFonts w:hint="eastAsia"/>
          <w:b/>
          <w:color w:val="auto"/>
          <w:u w:val="single"/>
        </w:rPr>
        <w:t xml:space="preserve"> 出入境在用系统网络安全防护加固项目 </w:t>
      </w:r>
      <w:r>
        <w:rPr>
          <w:rFonts w:hint="eastAsia"/>
          <w:color w:val="auto"/>
          <w:u w:val="single"/>
        </w:rPr>
        <w:t xml:space="preserve"> </w:t>
      </w:r>
      <w:r>
        <w:rPr>
          <w:rFonts w:hint="eastAsia"/>
          <w:color w:val="auto"/>
        </w:rPr>
        <w:t>进行专项技术服务，并支付相应的技术服务报酬。双方经过平等协商，在真实、充分地表达各自意愿的基础上，根据《中华人民共和国民法典》的规定，达成如下协议，并由双方共同恪守。</w:t>
      </w:r>
    </w:p>
    <w:p w14:paraId="35CFD7F9">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项目概况</w:t>
      </w:r>
    </w:p>
    <w:p w14:paraId="28CC9EAA">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项目名称：</w:t>
      </w:r>
      <w:r>
        <w:rPr>
          <w:rFonts w:hint="eastAsia" w:ascii="Times New Roman" w:hAnsi="Times New Roman"/>
          <w:b/>
          <w:color w:val="auto"/>
        </w:rPr>
        <w:t>出入境在用系统网络安全防护加固项目</w:t>
      </w:r>
    </w:p>
    <w:p w14:paraId="383356EB">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项目建设目标：</w:t>
      </w:r>
    </w:p>
    <w:p w14:paraId="4E39A5D6">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ascii="Times New Roman" w:hAnsi="Times New Roman"/>
          <w:color w:val="auto"/>
        </w:rPr>
        <w:tab/>
      </w:r>
      <w:r>
        <w:rPr>
          <w:rFonts w:ascii="Times New Roman" w:hAnsi="Times New Roman"/>
          <w:color w:val="auto"/>
        </w:rPr>
        <w:t>将安全能力细化、深入到应用系统核心组件层面：补充针对应用系统核心组件安全评估与检查，更细粒度强化应用系统自身安全能力，通过面向出入境管理支队核心业务的应用、数据库、中间件开展应用系统安全基础评估设计、技术安全评估、措施与建议分析等一系列工作核查对业务系统进行安全性测试，通过一个渐进的过程，从业务系统自身安全角度充分发现系统和系统运行所依赖的关键基础组件中存在的弱点，比黑客更早发现可导致组织数据泄露、资产受损等安全问题，提前采取应对措施。</w:t>
      </w:r>
    </w:p>
    <w:p w14:paraId="45B90C78">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ascii="Times New Roman" w:hAnsi="Times New Roman"/>
          <w:color w:val="auto"/>
        </w:rPr>
        <w:tab/>
      </w:r>
      <w:r>
        <w:rPr>
          <w:rFonts w:ascii="Times New Roman" w:hAnsi="Times New Roman"/>
          <w:color w:val="auto"/>
        </w:rPr>
        <w:t>提升重大时期网络安全自检能力：在国庆和大型攻防演习等重点防护期间做好市局出入境管理支队业务系统自身网络安全自检自查工作，确保重点保护时期网络与信息系统安全稳定出行，不出现重大网络安全事件</w:t>
      </w:r>
      <w:r>
        <w:rPr>
          <w:rFonts w:hint="eastAsia" w:ascii="Times New Roman" w:hAnsi="Times New Roman"/>
          <w:color w:val="auto"/>
        </w:rPr>
        <w:t>。</w:t>
      </w:r>
    </w:p>
    <w:p w14:paraId="01111407">
      <w:pPr>
        <w:spacing w:after="156" w:afterLines="50" w:line="360" w:lineRule="auto"/>
        <w:ind w:firstLine="480" w:firstLineChars="200"/>
        <w:rPr>
          <w:rFonts w:ascii="Times New Roman" w:hAnsi="Times New Roman"/>
          <w:color w:val="auto"/>
        </w:rPr>
      </w:pPr>
      <w:r>
        <w:rPr>
          <w:rFonts w:ascii="Times New Roman" w:hAnsi="Times New Roman"/>
          <w:color w:val="auto"/>
        </w:rPr>
        <w:t>3.</w:t>
      </w:r>
      <w:r>
        <w:rPr>
          <w:rFonts w:ascii="Times New Roman" w:hAnsi="Times New Roman"/>
          <w:color w:val="auto"/>
        </w:rPr>
        <w:tab/>
      </w:r>
      <w:r>
        <w:rPr>
          <w:rFonts w:ascii="Times New Roman" w:hAnsi="Times New Roman"/>
          <w:color w:val="auto"/>
        </w:rPr>
        <w:t>提升突发事件应急响应能力：在出现突发网络安全事件时，有专业的网络安全队伍快速响应，协助开展事件分析、研判、处置、溯源与恢复工作，控制事态蔓延，减少事件带来的损失。</w:t>
      </w:r>
    </w:p>
    <w:p w14:paraId="1A6027B7">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合同价款：合同总价为</w:t>
      </w:r>
      <w:r>
        <w:rPr>
          <w:rFonts w:hint="eastAsia" w:ascii="Times New Roman" w:hAnsi="Times New Roman"/>
          <w:b/>
          <w:color w:val="auto"/>
          <w:u w:val="single"/>
        </w:rPr>
        <w:t>大写：人民币壹拾捌万元整（小写：￥</w:t>
      </w:r>
      <w:r>
        <w:rPr>
          <w:rFonts w:ascii="Times New Roman" w:hAnsi="Times New Roman"/>
          <w:b/>
          <w:color w:val="auto"/>
          <w:u w:val="single"/>
        </w:rPr>
        <w:t>180,000.00</w:t>
      </w:r>
      <w:r>
        <w:rPr>
          <w:rFonts w:hint="eastAsia" w:ascii="Times New Roman" w:hAnsi="Times New Roman"/>
          <w:b/>
          <w:color w:val="auto"/>
          <w:u w:val="single"/>
        </w:rPr>
        <w:t>）</w:t>
      </w:r>
      <w:r>
        <w:rPr>
          <w:rFonts w:hint="eastAsia" w:ascii="Times New Roman" w:hAnsi="Times New Roman"/>
          <w:color w:val="auto"/>
        </w:rPr>
        <w:t>，含一切税、费。合同总价包括乙方履行本合同义务所发生的一切费用和支出和以各种方式寄送技术资料到甲方办公室所发生的费用。支付方式：按本合同第十三条约定执行。</w:t>
      </w:r>
    </w:p>
    <w:p w14:paraId="71907476">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服务范围及要求</w:t>
      </w:r>
    </w:p>
    <w:p w14:paraId="66B4D4B4">
      <w:pPr>
        <w:pStyle w:val="3"/>
        <w:numPr>
          <w:ilvl w:val="0"/>
          <w:numId w:val="0"/>
        </w:numPr>
        <w:spacing w:before="0" w:after="0" w:line="360" w:lineRule="auto"/>
        <w:ind w:left="578" w:firstLine="0"/>
        <w:rPr>
          <w:rFonts w:ascii="Times New Roman" w:hAnsi="Times New Roman"/>
          <w:color w:val="auto"/>
          <w:sz w:val="28"/>
          <w:szCs w:val="28"/>
        </w:rPr>
      </w:pPr>
      <w:r>
        <w:rPr>
          <w:rFonts w:ascii="Times New Roman" w:hAnsi="Times New Roman"/>
          <w:color w:val="auto"/>
          <w:sz w:val="28"/>
          <w:szCs w:val="28"/>
        </w:rPr>
        <w:t>2.1</w:t>
      </w:r>
      <w:r>
        <w:rPr>
          <w:rFonts w:hint="eastAsia" w:ascii="Times New Roman" w:hAnsi="Times New Roman"/>
          <w:color w:val="auto"/>
          <w:sz w:val="28"/>
          <w:szCs w:val="28"/>
        </w:rPr>
        <w:t>项目服务范围</w:t>
      </w:r>
    </w:p>
    <w:p w14:paraId="36CB641D">
      <w:pPr>
        <w:spacing w:after="156" w:afterLines="50" w:line="360" w:lineRule="auto"/>
        <w:ind w:firstLine="480" w:firstLineChars="200"/>
        <w:rPr>
          <w:rFonts w:ascii="Times New Roman" w:hAnsi="Times New Roman"/>
          <w:color w:val="auto"/>
        </w:rPr>
      </w:pPr>
      <w:r>
        <w:rPr>
          <w:rFonts w:ascii="Times New Roman" w:hAnsi="Times New Roman"/>
          <w:color w:val="auto"/>
        </w:rPr>
        <w:t>本项目服务范围为市局出入境管理支队自主建设及运营的7个业务信息系统</w:t>
      </w:r>
      <w:r>
        <w:rPr>
          <w:rFonts w:hint="eastAsia" w:ascii="Times New Roman" w:hAnsi="Times New Roman"/>
          <w:color w:val="auto"/>
        </w:rPr>
        <w:t>，包括深圳出入境民生警务预约系统、深圳出入境国家工作人员管理系统、深圳出入境商务备案管理系统、深圳出入境外国人综合服务管理平台、境外人员临住登记管理系统、深圳出入境电子档案管理系统、出入境情报分析应用系统。</w:t>
      </w:r>
    </w:p>
    <w:p w14:paraId="58D18399">
      <w:pPr>
        <w:spacing w:after="156" w:afterLines="50" w:line="360" w:lineRule="auto"/>
        <w:ind w:firstLine="480" w:firstLineChars="200"/>
        <w:rPr>
          <w:rFonts w:ascii="Times New Roman" w:hAnsi="Times New Roman"/>
          <w:color w:val="auto"/>
        </w:rPr>
      </w:pPr>
      <w:r>
        <w:rPr>
          <w:rFonts w:ascii="Times New Roman" w:hAnsi="Times New Roman"/>
          <w:color w:val="auto"/>
        </w:rPr>
        <w:t>1、市局出入境管理支队自主建设运行的信息系统及系统所依赖的基础设施安全配置应用系统安全检查服务</w:t>
      </w:r>
      <w:r>
        <w:rPr>
          <w:rFonts w:hint="eastAsia" w:ascii="Times New Roman" w:hAnsi="Times New Roman"/>
          <w:color w:val="auto"/>
        </w:rPr>
        <w:t>。</w:t>
      </w:r>
    </w:p>
    <w:p w14:paraId="279C0699">
      <w:pPr>
        <w:spacing w:after="156" w:afterLines="50" w:line="360" w:lineRule="auto"/>
        <w:ind w:firstLine="480" w:firstLineChars="200"/>
        <w:rPr>
          <w:rFonts w:ascii="Times New Roman" w:hAnsi="Times New Roman"/>
          <w:color w:val="auto"/>
        </w:rPr>
      </w:pPr>
      <w:r>
        <w:rPr>
          <w:rFonts w:ascii="Times New Roman" w:hAnsi="Times New Roman"/>
          <w:color w:val="auto"/>
        </w:rPr>
        <w:t>2、市局出入境管理支队重要时期网络安全应急保障与突发网络安全事件应急响应服务</w:t>
      </w:r>
      <w:r>
        <w:rPr>
          <w:rFonts w:hint="eastAsia" w:ascii="Times New Roman" w:hAnsi="Times New Roman"/>
          <w:color w:val="auto"/>
        </w:rPr>
        <w:t>。</w:t>
      </w:r>
    </w:p>
    <w:p w14:paraId="587E6456">
      <w:pPr>
        <w:spacing w:after="156" w:afterLines="50" w:line="360" w:lineRule="auto"/>
        <w:ind w:firstLine="480" w:firstLineChars="200"/>
        <w:rPr>
          <w:rFonts w:ascii="Times New Roman" w:hAnsi="Times New Roman"/>
          <w:color w:val="auto"/>
        </w:rPr>
      </w:pPr>
      <w:r>
        <w:rPr>
          <w:rFonts w:ascii="Times New Roman" w:hAnsi="Times New Roman"/>
          <w:color w:val="auto"/>
        </w:rPr>
        <w:t>3、市局出入境管理支队日常突发网络安全事件应急响应服务。</w:t>
      </w:r>
    </w:p>
    <w:p w14:paraId="3DC1FB11">
      <w:pPr>
        <w:pStyle w:val="3"/>
        <w:numPr>
          <w:ilvl w:val="0"/>
          <w:numId w:val="0"/>
        </w:numPr>
        <w:spacing w:before="0" w:after="0" w:line="360" w:lineRule="auto"/>
        <w:ind w:left="578" w:firstLine="0"/>
        <w:rPr>
          <w:rFonts w:ascii="Times New Roman" w:hAnsi="Times New Roman"/>
          <w:color w:val="auto"/>
          <w:sz w:val="28"/>
          <w:szCs w:val="28"/>
        </w:rPr>
      </w:pPr>
      <w:r>
        <w:rPr>
          <w:rFonts w:ascii="Times New Roman" w:hAnsi="Times New Roman"/>
          <w:color w:val="auto"/>
          <w:sz w:val="28"/>
          <w:szCs w:val="28"/>
        </w:rPr>
        <w:t>2.2</w:t>
      </w:r>
      <w:r>
        <w:rPr>
          <w:rFonts w:hint="eastAsia" w:ascii="Times New Roman" w:hAnsi="Times New Roman"/>
          <w:color w:val="auto"/>
          <w:sz w:val="28"/>
          <w:szCs w:val="28"/>
        </w:rPr>
        <w:t>项目交付成果</w:t>
      </w:r>
    </w:p>
    <w:p w14:paraId="1DF68252">
      <w:pPr>
        <w:spacing w:after="156" w:afterLines="50" w:line="360" w:lineRule="auto"/>
        <w:ind w:firstLine="480" w:firstLineChars="200"/>
        <w:rPr>
          <w:rFonts w:ascii="Times New Roman" w:hAnsi="Times New Roman"/>
          <w:color w:val="auto"/>
        </w:rPr>
      </w:pPr>
      <w:r>
        <w:rPr>
          <w:rFonts w:ascii="Times New Roman" w:hAnsi="Times New Roman"/>
          <w:color w:val="auto"/>
        </w:rPr>
        <w:t>《</w:t>
      </w:r>
      <w:r>
        <w:rPr>
          <w:rFonts w:hint="eastAsia" w:ascii="Times New Roman" w:hAnsi="Times New Roman"/>
          <w:color w:val="auto"/>
        </w:rPr>
        <w:t>出入境7个业务</w:t>
      </w:r>
      <w:r>
        <w:rPr>
          <w:rFonts w:ascii="Times New Roman" w:hAnsi="Times New Roman"/>
          <w:color w:val="auto"/>
        </w:rPr>
        <w:t>系统渗透测试报告》</w:t>
      </w:r>
      <w:r>
        <w:rPr>
          <w:rFonts w:hint="eastAsia" w:ascii="Times New Roman" w:hAnsi="Times New Roman"/>
          <w:color w:val="auto"/>
        </w:rPr>
        <w:t>及整改建议</w:t>
      </w:r>
    </w:p>
    <w:p w14:paraId="5610F064">
      <w:pPr>
        <w:spacing w:after="156" w:afterLines="50" w:line="360" w:lineRule="auto"/>
        <w:ind w:firstLine="480" w:firstLineChars="200"/>
        <w:rPr>
          <w:rFonts w:ascii="Times New Roman" w:hAnsi="Times New Roman"/>
          <w:color w:val="auto"/>
        </w:rPr>
      </w:pPr>
      <w:r>
        <w:rPr>
          <w:rFonts w:ascii="Times New Roman" w:hAnsi="Times New Roman"/>
          <w:color w:val="auto"/>
        </w:rPr>
        <w:t>《安全漏洞扫描报告》</w:t>
      </w:r>
    </w:p>
    <w:p w14:paraId="2D3A7E1C">
      <w:pPr>
        <w:tabs>
          <w:tab w:val="left" w:pos="3631"/>
        </w:tabs>
        <w:spacing w:after="156" w:afterLines="50" w:line="360" w:lineRule="auto"/>
        <w:ind w:firstLine="480" w:firstLineChars="200"/>
        <w:rPr>
          <w:rFonts w:hint="eastAsia"/>
          <w:color w:val="auto"/>
          <w:szCs w:val="21"/>
        </w:rPr>
      </w:pPr>
      <w:r>
        <w:rPr>
          <w:rFonts w:hint="eastAsia"/>
          <w:color w:val="auto"/>
          <w:szCs w:val="21"/>
        </w:rPr>
        <w:t>《每月安全信息通报》</w:t>
      </w:r>
    </w:p>
    <w:p w14:paraId="033AF9D6">
      <w:pPr>
        <w:tabs>
          <w:tab w:val="left" w:pos="3631"/>
        </w:tabs>
        <w:spacing w:after="156" w:afterLines="50" w:line="360" w:lineRule="auto"/>
        <w:ind w:firstLine="480" w:firstLineChars="200"/>
        <w:rPr>
          <w:rFonts w:hint="eastAsia"/>
          <w:color w:val="auto"/>
          <w:szCs w:val="21"/>
        </w:rPr>
      </w:pPr>
      <w:r>
        <w:rPr>
          <w:rFonts w:hint="eastAsia"/>
          <w:color w:val="auto"/>
          <w:szCs w:val="21"/>
          <w:lang w:val="en-US" w:eastAsia="zh-CN"/>
        </w:rPr>
        <w:t>人员安全培训：</w:t>
      </w:r>
      <w:r>
        <w:rPr>
          <w:rFonts w:hint="eastAsia"/>
          <w:color w:val="auto"/>
          <w:szCs w:val="21"/>
        </w:rPr>
        <w:t>对全体员工进行信息安全意识类的培训，使员工在日常工作中提升信息安全意识。</w:t>
      </w:r>
    </w:p>
    <w:p w14:paraId="51788860">
      <w:pPr>
        <w:tabs>
          <w:tab w:val="left" w:pos="3631"/>
        </w:tabs>
        <w:spacing w:after="156" w:afterLines="50" w:line="360" w:lineRule="auto"/>
        <w:ind w:firstLine="480" w:firstLineChars="200"/>
        <w:rPr>
          <w:rFonts w:hint="eastAsia" w:eastAsia="宋体"/>
          <w:color w:val="auto"/>
          <w:szCs w:val="21"/>
          <w:lang w:val="en-US" w:eastAsia="zh-CN"/>
        </w:rPr>
      </w:pPr>
      <w:r>
        <w:rPr>
          <w:rFonts w:hint="eastAsia"/>
          <w:color w:val="auto"/>
          <w:szCs w:val="21"/>
        </w:rPr>
        <w:t>技术支持</w:t>
      </w:r>
      <w:r>
        <w:rPr>
          <w:rFonts w:hint="eastAsia"/>
          <w:color w:val="auto"/>
          <w:szCs w:val="21"/>
          <w:lang w:eastAsia="zh-CN"/>
        </w:rPr>
        <w:t>：</w:t>
      </w:r>
      <w:r>
        <w:rPr>
          <w:rFonts w:hint="eastAsia"/>
          <w:color w:val="auto"/>
          <w:szCs w:val="21"/>
          <w:lang w:val="en-US" w:eastAsia="zh-CN"/>
        </w:rPr>
        <w:t>对于日常</w:t>
      </w:r>
      <w:r>
        <w:rPr>
          <w:rFonts w:hint="eastAsia"/>
          <w:color w:val="auto"/>
          <w:szCs w:val="21"/>
        </w:rPr>
        <w:t>出入境管理支队提出的信息安全相关的问题进行线上专业的解答，技术支持</w:t>
      </w:r>
      <w:r>
        <w:rPr>
          <w:rFonts w:hint="eastAsia"/>
          <w:color w:val="auto"/>
          <w:szCs w:val="21"/>
          <w:lang w:eastAsia="zh-CN"/>
        </w:rPr>
        <w:t>。</w:t>
      </w:r>
    </w:p>
    <w:p w14:paraId="4929A1EB">
      <w:pPr>
        <w:pStyle w:val="3"/>
        <w:numPr>
          <w:ilvl w:val="0"/>
          <w:numId w:val="0"/>
        </w:numPr>
        <w:spacing w:before="0" w:after="0" w:line="360" w:lineRule="auto"/>
        <w:ind w:left="578" w:firstLine="0"/>
        <w:jc w:val="both"/>
        <w:rPr>
          <w:rFonts w:ascii="Times New Roman" w:hAnsi="Times New Roman"/>
          <w:color w:val="auto"/>
          <w:sz w:val="28"/>
          <w:szCs w:val="28"/>
        </w:rPr>
      </w:pPr>
      <w:r>
        <w:rPr>
          <w:rFonts w:ascii="Times New Roman" w:hAnsi="Times New Roman"/>
          <w:color w:val="auto"/>
          <w:sz w:val="28"/>
          <w:szCs w:val="28"/>
        </w:rPr>
        <w:t>2.3应用系统</w:t>
      </w:r>
      <w:r>
        <w:rPr>
          <w:rFonts w:hint="eastAsia" w:ascii="Times New Roman" w:hAnsi="Times New Roman"/>
          <w:color w:val="auto"/>
          <w:sz w:val="28"/>
          <w:szCs w:val="28"/>
        </w:rPr>
        <w:t>渗透测试</w:t>
      </w:r>
      <w:r>
        <w:rPr>
          <w:rFonts w:ascii="Times New Roman" w:hAnsi="Times New Roman"/>
          <w:color w:val="auto"/>
          <w:sz w:val="28"/>
          <w:szCs w:val="28"/>
        </w:rPr>
        <w:t>服务</w:t>
      </w:r>
    </w:p>
    <w:p w14:paraId="546C30B6">
      <w:pPr>
        <w:spacing w:line="360" w:lineRule="auto"/>
        <w:ind w:firstLine="480" w:firstLineChars="200"/>
        <w:rPr>
          <w:color w:val="auto"/>
        </w:rPr>
      </w:pPr>
      <w:r>
        <w:rPr>
          <w:rFonts w:hint="eastAsia"/>
          <w:color w:val="auto"/>
        </w:rPr>
        <w:t>主要的服务内容包括如下五个方面：</w:t>
      </w:r>
    </w:p>
    <w:p w14:paraId="51B345FB">
      <w:pPr>
        <w:spacing w:line="360" w:lineRule="auto"/>
        <w:ind w:firstLine="480" w:firstLineChars="200"/>
        <w:rPr>
          <w:color w:val="auto"/>
        </w:rPr>
      </w:pPr>
      <w:r>
        <w:rPr>
          <w:rFonts w:hint="eastAsia"/>
          <w:color w:val="auto"/>
        </w:rPr>
        <w:t>1）信息收集：信息收集的方法包括主机网络扫描、端口扫描、操作类型判别、应用判别、账号扫描、配置判别等等。入侵攻击常用的工具包括nmap、nessus等，有时，操作系统中内置的许多工具（例如telnet）也可以成为非常有效的攻击入侵武器。</w:t>
      </w:r>
    </w:p>
    <w:p w14:paraId="1D5322C1">
      <w:pPr>
        <w:spacing w:line="360" w:lineRule="auto"/>
        <w:ind w:firstLine="480" w:firstLineChars="200"/>
        <w:rPr>
          <w:color w:val="auto"/>
        </w:rPr>
      </w:pPr>
      <w:r>
        <w:rPr>
          <w:rFonts w:hint="eastAsia"/>
          <w:color w:val="auto"/>
        </w:rPr>
        <w:t>2）口令猜测：口令猜测也是一种出现概率很高的风险，几乎不需要任何攻击工具，利用一个简单的暴力攻击程序和一个比较完善的字典，就可以猜测口令。</w:t>
      </w:r>
    </w:p>
    <w:p w14:paraId="61F80E1B">
      <w:pPr>
        <w:spacing w:line="360" w:lineRule="auto"/>
        <w:ind w:firstLine="480" w:firstLineChars="200"/>
        <w:rPr>
          <w:color w:val="auto"/>
        </w:rPr>
      </w:pPr>
      <w:r>
        <w:rPr>
          <w:rFonts w:hint="eastAsia"/>
          <w:color w:val="auto"/>
        </w:rPr>
        <w:t>3）Web</w:t>
      </w:r>
      <w:r>
        <w:rPr>
          <w:color w:val="auto"/>
        </w:rPr>
        <w:t>脚本及应用测试 ：Web脚本及应用测试专门针对Web</w:t>
      </w:r>
      <w:r>
        <w:rPr>
          <w:rFonts w:hint="eastAsia"/>
          <w:color w:val="auto"/>
        </w:rPr>
        <w:t>类服务</w:t>
      </w:r>
      <w:r>
        <w:rPr>
          <w:color w:val="auto"/>
        </w:rPr>
        <w:t>及数据库服务器进行。</w:t>
      </w:r>
      <w:r>
        <w:rPr>
          <w:rFonts w:hint="eastAsia"/>
          <w:color w:val="auto"/>
        </w:rPr>
        <w:t>OWASP</w:t>
      </w:r>
      <w:r>
        <w:rPr>
          <w:color w:val="auto"/>
        </w:rPr>
        <w:t>最新的技术统计</w:t>
      </w:r>
      <w:r>
        <w:rPr>
          <w:rFonts w:hint="eastAsia"/>
          <w:color w:val="auto"/>
        </w:rPr>
        <w:t>显示：</w:t>
      </w:r>
      <w:r>
        <w:rPr>
          <w:color w:val="auto"/>
        </w:rPr>
        <w:t>脚本安全</w:t>
      </w:r>
      <w:r>
        <w:rPr>
          <w:rFonts w:hint="eastAsia"/>
          <w:color w:val="auto"/>
        </w:rPr>
        <w:t>漏洞</w:t>
      </w:r>
      <w:r>
        <w:rPr>
          <w:color w:val="auto"/>
        </w:rPr>
        <w:t>为当前Web系统</w:t>
      </w:r>
      <w:r>
        <w:rPr>
          <w:rFonts w:hint="eastAsia"/>
          <w:color w:val="auto"/>
        </w:rPr>
        <w:t>最</w:t>
      </w:r>
      <w:r>
        <w:rPr>
          <w:color w:val="auto"/>
        </w:rPr>
        <w:t>严重的安全弱点之一。利用脚本相关弱点</w:t>
      </w:r>
      <w:r>
        <w:rPr>
          <w:rFonts w:hint="eastAsia"/>
          <w:color w:val="auto"/>
        </w:rPr>
        <w:t>如跨站脚本攻击、SQL注入等攻击方法，</w:t>
      </w:r>
      <w:r>
        <w:rPr>
          <w:color w:val="auto"/>
        </w:rPr>
        <w:t>轻则可以获取系统其他目录的访问权限，重则将有可能取得系统的控制权限。</w:t>
      </w:r>
    </w:p>
    <w:p w14:paraId="1F7AD630">
      <w:pPr>
        <w:spacing w:line="360" w:lineRule="auto"/>
        <w:ind w:firstLine="480" w:firstLineChars="200"/>
        <w:rPr>
          <w:color w:val="auto"/>
        </w:rPr>
      </w:pPr>
      <w:r>
        <w:rPr>
          <w:color w:val="auto"/>
        </w:rPr>
        <w:t>在Web脚本及应用测试中，可能需要检查的部</w:t>
      </w:r>
      <w:r>
        <w:rPr>
          <w:rFonts w:hint="eastAsia"/>
          <w:color w:val="auto"/>
        </w:rPr>
        <w:t>分主要</w:t>
      </w:r>
      <w:r>
        <w:rPr>
          <w:color w:val="auto"/>
        </w:rPr>
        <w:t xml:space="preserve">包括： </w:t>
      </w:r>
    </w:p>
    <w:p w14:paraId="3712A976">
      <w:pPr>
        <w:pStyle w:val="113"/>
        <w:ind w:firstLine="0" w:firstLineChars="0"/>
        <w:jc w:val="center"/>
        <w:rPr>
          <w:rFonts w:ascii="宋体" w:hAnsi="宋体" w:eastAsia="宋体"/>
          <w:color w:val="auto"/>
        </w:rPr>
      </w:pPr>
      <w:r>
        <w:rPr>
          <w:rFonts w:ascii="宋体" w:hAnsi="宋体" w:eastAsia="宋体"/>
          <w:color w:val="auto"/>
        </w:rPr>
        <w:drawing>
          <wp:inline distT="0" distB="0" distL="0" distR="0">
            <wp:extent cx="5493385" cy="4039870"/>
            <wp:effectExtent l="0" t="0" r="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93385" cy="4039870"/>
                    </a:xfrm>
                    <a:prstGeom prst="rect">
                      <a:avLst/>
                    </a:prstGeom>
                    <a:noFill/>
                    <a:ln>
                      <a:noFill/>
                    </a:ln>
                  </pic:spPr>
                </pic:pic>
              </a:graphicData>
            </a:graphic>
          </wp:inline>
        </w:drawing>
      </w:r>
    </w:p>
    <w:p w14:paraId="7255185B">
      <w:pPr>
        <w:spacing w:line="360" w:lineRule="auto"/>
        <w:ind w:firstLine="480" w:firstLineChars="200"/>
        <w:rPr>
          <w:color w:val="auto"/>
        </w:rPr>
      </w:pPr>
      <w:r>
        <w:rPr>
          <w:rFonts w:hint="eastAsia"/>
          <w:color w:val="auto"/>
        </w:rPr>
        <w:t>4）业务逻辑</w:t>
      </w:r>
      <w:r>
        <w:rPr>
          <w:color w:val="auto"/>
        </w:rPr>
        <w:t>测试</w:t>
      </w:r>
      <w:r>
        <w:rPr>
          <w:rFonts w:hint="eastAsia"/>
          <w:color w:val="auto"/>
        </w:rPr>
        <w:t>：对关键业务逻辑进行测试，检查业务流程中是否存在相互矛盾或使用了脆弱验证方法控制业务。通过该方法可以测试出相关业务设计/架构人员的安全意识，并可以为深层次的渗透提供方法与思路。</w:t>
      </w:r>
    </w:p>
    <w:p w14:paraId="55F33B2D">
      <w:pPr>
        <w:spacing w:line="360" w:lineRule="auto"/>
        <w:ind w:firstLine="480" w:firstLineChars="200"/>
        <w:rPr>
          <w:color w:val="auto"/>
        </w:rPr>
      </w:pPr>
      <w:r>
        <w:rPr>
          <w:rFonts w:hint="eastAsia"/>
          <w:color w:val="auto"/>
        </w:rPr>
        <w:t>5）其它：为模拟真实的攻防环境与场景，渗透测试中不排除使用一些其他的黑客入侵思路。</w:t>
      </w:r>
    </w:p>
    <w:p w14:paraId="3A642FE5">
      <w:pPr>
        <w:spacing w:after="156" w:afterLines="50" w:line="360" w:lineRule="auto"/>
        <w:ind w:firstLine="480" w:firstLineChars="200"/>
        <w:rPr>
          <w:rFonts w:ascii="Times New Roman" w:hAnsi="Times New Roman"/>
          <w:color w:val="auto"/>
        </w:rPr>
      </w:pPr>
    </w:p>
    <w:p w14:paraId="2569BE64">
      <w:pPr>
        <w:pStyle w:val="3"/>
        <w:numPr>
          <w:ilvl w:val="0"/>
          <w:numId w:val="0"/>
        </w:numPr>
        <w:spacing w:before="0" w:after="0" w:line="360" w:lineRule="auto"/>
        <w:ind w:left="578" w:firstLine="0"/>
        <w:rPr>
          <w:rFonts w:ascii="Times New Roman" w:hAnsi="Times New Roman"/>
          <w:color w:val="auto"/>
          <w:sz w:val="28"/>
          <w:szCs w:val="28"/>
        </w:rPr>
      </w:pPr>
      <w:r>
        <w:rPr>
          <w:rFonts w:ascii="Times New Roman" w:hAnsi="Times New Roman"/>
          <w:color w:val="auto"/>
          <w:sz w:val="28"/>
          <w:szCs w:val="28"/>
        </w:rPr>
        <w:t>2.4安全漏洞扫描服务</w:t>
      </w:r>
    </w:p>
    <w:p w14:paraId="4AD3387A">
      <w:pPr>
        <w:spacing w:after="156" w:afterLines="50" w:line="360" w:lineRule="auto"/>
        <w:ind w:firstLine="480" w:firstLineChars="200"/>
        <w:rPr>
          <w:rFonts w:cs="Times New Roman"/>
          <w:color w:val="auto"/>
        </w:rPr>
      </w:pPr>
      <w:r>
        <w:rPr>
          <w:rFonts w:cs="Times New Roman"/>
          <w:color w:val="auto"/>
        </w:rPr>
        <w:t>在本服务中，安全扫描主要是通过评估工具以本地扫描的方式对评估范围内的系统和网络进行安全扫描，从内网和外网两个角度来查找网络结构、网络设备、服务器主机、数据和用户账号/口令等安全对象目标存在的安全风险、漏洞和威胁。</w:t>
      </w:r>
    </w:p>
    <w:p w14:paraId="02F49F2D">
      <w:pPr>
        <w:spacing w:after="156" w:afterLines="50" w:line="360" w:lineRule="auto"/>
        <w:ind w:firstLine="480" w:firstLineChars="200"/>
        <w:rPr>
          <w:rFonts w:cs="Times New Roman"/>
          <w:color w:val="auto"/>
        </w:rPr>
      </w:pPr>
      <w:r>
        <w:rPr>
          <w:rFonts w:cs="Times New Roman"/>
          <w:color w:val="auto"/>
        </w:rPr>
        <w:t>扫描项目涉及了如下三个层面的安全问题</w:t>
      </w:r>
      <w:r>
        <w:rPr>
          <w:rFonts w:hint="eastAsia" w:cs="Times New Roman"/>
          <w:color w:val="auto"/>
        </w:rPr>
        <w:t>：</w:t>
      </w:r>
    </w:p>
    <w:p w14:paraId="18B4B392">
      <w:pPr>
        <w:spacing w:after="156" w:afterLines="50" w:line="360" w:lineRule="auto"/>
        <w:ind w:firstLine="480" w:firstLineChars="200"/>
        <w:rPr>
          <w:rFonts w:cs="Times New Roman"/>
          <w:color w:val="auto"/>
        </w:rPr>
      </w:pPr>
      <w:r>
        <w:rPr>
          <w:rFonts w:cs="Times New Roman"/>
          <w:color w:val="auto"/>
        </w:rPr>
        <w:t>1）系统层安全：该层的安全问题来自网络运行的操作系统：UNIX系列、Linux系列、Windows NT系列以及专用操作系统等。安全性问题表现在两方面：一是操作系统本身的不安全因素，主要包括身份认证、访问控制、系统漏洞等；二是操作系统的安全配置存在问题。</w:t>
      </w:r>
    </w:p>
    <w:p w14:paraId="5E435A24">
      <w:pPr>
        <w:spacing w:after="156" w:afterLines="50" w:line="360" w:lineRule="auto"/>
        <w:ind w:firstLine="480" w:firstLineChars="200"/>
        <w:rPr>
          <w:rFonts w:cs="Times New Roman"/>
          <w:color w:val="auto"/>
        </w:rPr>
      </w:pPr>
      <w:r>
        <w:rPr>
          <w:rFonts w:cs="Times New Roman"/>
          <w:color w:val="auto"/>
        </w:rPr>
        <w:t>访问控制：注册表 HKEY_LOCAL_MACHINE 普通用户可写，远程主机允许匿名FTP登录，ftp服务器存在匿名可写目录。</w:t>
      </w:r>
    </w:p>
    <w:p w14:paraId="364B1D0A">
      <w:pPr>
        <w:spacing w:after="156" w:afterLines="50" w:line="360" w:lineRule="auto"/>
        <w:ind w:firstLine="480" w:firstLineChars="200"/>
        <w:rPr>
          <w:rFonts w:cs="Times New Roman"/>
          <w:color w:val="auto"/>
        </w:rPr>
      </w:pPr>
      <w:r>
        <w:rPr>
          <w:rFonts w:cs="Times New Roman"/>
          <w:color w:val="auto"/>
        </w:rPr>
        <w:t>系统漏洞：System V系统Login远程缓冲区溢出漏洞，Microsoft Windows Locator服务远程缓冲区溢出漏洞。</w:t>
      </w:r>
    </w:p>
    <w:p w14:paraId="6B5C6F31">
      <w:pPr>
        <w:spacing w:after="156" w:afterLines="50" w:line="360" w:lineRule="auto"/>
        <w:ind w:firstLine="480" w:firstLineChars="200"/>
        <w:rPr>
          <w:rFonts w:cs="Times New Roman"/>
          <w:color w:val="auto"/>
        </w:rPr>
      </w:pPr>
      <w:r>
        <w:rPr>
          <w:rFonts w:cs="Times New Roman"/>
          <w:color w:val="auto"/>
        </w:rPr>
        <w:t>安全配置问题：部分SMB用户存在薄弱口令，试图使用SSH登录进入远程系统。</w:t>
      </w:r>
    </w:p>
    <w:p w14:paraId="0B273D12">
      <w:pPr>
        <w:spacing w:after="156" w:afterLines="50" w:line="360" w:lineRule="auto"/>
        <w:ind w:firstLine="480" w:firstLineChars="200"/>
        <w:rPr>
          <w:rFonts w:cs="Times New Roman"/>
          <w:color w:val="auto"/>
        </w:rPr>
      </w:pPr>
      <w:r>
        <w:rPr>
          <w:rFonts w:cs="Times New Roman"/>
          <w:color w:val="auto"/>
        </w:rPr>
        <w:t>2）网络层安全：该层的安全问题主要指网络信息的安全性，包括网络层身份认证，网络资源的访问控制，数据传输的保密与完整性、远程接入、域名系统、路由系统的安全，入侵检测的手段等。</w:t>
      </w:r>
    </w:p>
    <w:p w14:paraId="72110D5B">
      <w:pPr>
        <w:spacing w:after="156" w:afterLines="50" w:line="360" w:lineRule="auto"/>
        <w:ind w:firstLine="480" w:firstLineChars="200"/>
        <w:rPr>
          <w:rFonts w:cs="Times New Roman"/>
          <w:color w:val="auto"/>
        </w:rPr>
      </w:pPr>
      <w:r>
        <w:rPr>
          <w:rFonts w:cs="Times New Roman"/>
          <w:color w:val="auto"/>
        </w:rPr>
        <w:t>网络资源的访问控制：检测到无线访问点。</w:t>
      </w:r>
    </w:p>
    <w:p w14:paraId="484352EC">
      <w:pPr>
        <w:spacing w:after="156" w:afterLines="50" w:line="360" w:lineRule="auto"/>
        <w:ind w:firstLine="480" w:firstLineChars="200"/>
        <w:rPr>
          <w:rFonts w:cs="Times New Roman"/>
          <w:color w:val="auto"/>
        </w:rPr>
      </w:pPr>
      <w:r>
        <w:rPr>
          <w:rFonts w:cs="Times New Roman"/>
          <w:color w:val="auto"/>
        </w:rPr>
        <w:t>域名系统：ISC BIND SIG资源记录无效过期时间拒绝服务攻击漏洞，Microsoft Windows NT DNS拒绝服务攻击。</w:t>
      </w:r>
    </w:p>
    <w:p w14:paraId="019B5191">
      <w:pPr>
        <w:spacing w:after="156" w:afterLines="50" w:line="360" w:lineRule="auto"/>
        <w:ind w:firstLine="480" w:firstLineChars="200"/>
        <w:rPr>
          <w:rFonts w:cs="Times New Roman"/>
          <w:color w:val="auto"/>
        </w:rPr>
      </w:pPr>
      <w:r>
        <w:rPr>
          <w:rFonts w:cs="Times New Roman"/>
          <w:color w:val="auto"/>
        </w:rPr>
        <w:t>路由器：Cisco IOS Web配置接口安全认证可被绕过，Nortel交换机/路由器缺省口令漏洞，华为网络设备没有设置口令。</w:t>
      </w:r>
    </w:p>
    <w:p w14:paraId="483F7DB2">
      <w:pPr>
        <w:spacing w:after="156" w:afterLines="50" w:line="360" w:lineRule="auto"/>
        <w:ind w:firstLine="480" w:firstLineChars="200"/>
        <w:rPr>
          <w:rFonts w:cs="Times New Roman"/>
          <w:color w:val="auto"/>
        </w:rPr>
      </w:pPr>
      <w:r>
        <w:rPr>
          <w:rFonts w:cs="Times New Roman"/>
          <w:color w:val="auto"/>
        </w:rPr>
        <w:t>3）应用层安全：该层的安全考虑网络对用户提供服务所采用的应用软件和数据的安全性，包括：数据库软件、Web服务、电子邮件系统、域名系统、交换与路由系统、防火墙及应用网管系统、业务应用软件以及其它网络服务系统等。</w:t>
      </w:r>
    </w:p>
    <w:p w14:paraId="4C5FE892">
      <w:pPr>
        <w:spacing w:after="156" w:afterLines="50" w:line="360" w:lineRule="auto"/>
        <w:ind w:firstLine="480" w:firstLineChars="200"/>
        <w:rPr>
          <w:rFonts w:cs="Times New Roman"/>
          <w:color w:val="auto"/>
        </w:rPr>
      </w:pPr>
      <w:r>
        <w:rPr>
          <w:rFonts w:cs="Times New Roman"/>
          <w:color w:val="auto"/>
        </w:rPr>
        <w:t>数据库软件：Oracle tnslsnr没有设置口令，Microsoft SQL Server 2000 Resolution服务多个安全漏洞。</w:t>
      </w:r>
    </w:p>
    <w:p w14:paraId="20D32575">
      <w:pPr>
        <w:spacing w:after="156" w:afterLines="50" w:line="360" w:lineRule="auto"/>
        <w:ind w:firstLine="480" w:firstLineChars="200"/>
        <w:rPr>
          <w:rFonts w:cs="Times New Roman"/>
          <w:color w:val="auto"/>
        </w:rPr>
      </w:pPr>
      <w:r>
        <w:rPr>
          <w:rFonts w:cs="Times New Roman"/>
          <w:color w:val="auto"/>
        </w:rPr>
        <w:t>Web服务器：Apache Mod_SSL/Apache-SSL远程缓冲区溢出漏洞，Microsoft IIS 5.0 .printer ISAPI远程缓冲区溢出，Sun ONE/iPlanet Web服务程序分块编码传输漏洞。</w:t>
      </w:r>
    </w:p>
    <w:p w14:paraId="7598942D">
      <w:pPr>
        <w:spacing w:after="156" w:afterLines="50" w:line="360" w:lineRule="auto"/>
        <w:ind w:firstLine="480" w:firstLineChars="200"/>
        <w:rPr>
          <w:rFonts w:cs="Times New Roman"/>
          <w:color w:val="auto"/>
        </w:rPr>
      </w:pPr>
      <w:r>
        <w:rPr>
          <w:rFonts w:cs="Times New Roman"/>
          <w:color w:val="auto"/>
        </w:rPr>
        <w:t>电子邮件系统：Sendmail头处理远程溢出漏洞，Microsoft Windows 2000 SMTP服务认证错误漏洞。</w:t>
      </w:r>
    </w:p>
    <w:p w14:paraId="7637D670">
      <w:pPr>
        <w:spacing w:after="156" w:afterLines="50" w:line="360" w:lineRule="auto"/>
        <w:ind w:firstLine="480" w:firstLineChars="200"/>
        <w:rPr>
          <w:rFonts w:cs="Times New Roman"/>
          <w:color w:val="auto"/>
        </w:rPr>
      </w:pPr>
      <w:r>
        <w:rPr>
          <w:rFonts w:cs="Times New Roman"/>
          <w:color w:val="auto"/>
        </w:rPr>
        <w:t>防火墙及应用网管系统：Axent Raptor防火墙拒绝服务漏洞。</w:t>
      </w:r>
    </w:p>
    <w:p w14:paraId="45A59E4D">
      <w:pPr>
        <w:spacing w:after="156" w:afterLines="50" w:line="360" w:lineRule="auto"/>
        <w:ind w:firstLine="480" w:firstLineChars="200"/>
        <w:rPr>
          <w:rFonts w:cs="Times New Roman"/>
          <w:color w:val="auto"/>
        </w:rPr>
      </w:pPr>
      <w:r>
        <w:rPr>
          <w:rFonts w:cs="Times New Roman"/>
          <w:color w:val="auto"/>
        </w:rPr>
        <w:t>其它网络服务系统：Wingate POP3 USER命令远程溢出漏洞，Linux系统LPRng远程格式化串漏洞。</w:t>
      </w:r>
    </w:p>
    <w:p w14:paraId="765EEC02">
      <w:pPr>
        <w:spacing w:after="156" w:afterLines="50" w:line="360" w:lineRule="auto"/>
        <w:ind w:firstLine="480" w:firstLineChars="200"/>
        <w:rPr>
          <w:rFonts w:cs="Times New Roman"/>
          <w:color w:val="auto"/>
        </w:rPr>
      </w:pPr>
      <w:r>
        <w:rPr>
          <w:rFonts w:cs="Times New Roman"/>
          <w:color w:val="auto"/>
        </w:rPr>
        <w:t>为了确保扫描的可靠性和安全性，详细评估管理支队网络系统业务情况，与管理支队一起确定扫描计划。计划主要包括扫描开始时间、扫描对象、预计结束时间、扫描项目、预期影响、需要对方提供的支持等。</w:t>
      </w:r>
      <w:r>
        <w:rPr>
          <w:rFonts w:hint="eastAsia" w:cs="Times New Roman"/>
          <w:color w:val="auto"/>
        </w:rPr>
        <w:t>乙方</w:t>
      </w:r>
      <w:r>
        <w:rPr>
          <w:rFonts w:cs="Times New Roman"/>
          <w:color w:val="auto"/>
        </w:rPr>
        <w:t>与管理支队系统评估项目组一起协商具体需要扫描的项目。比如，为了防止对系统和网络的正常运行造成影响，乙方将修改、配置一定的扫描、审计策略使资源消耗降低至最小，限制或不采用拒绝服务模块进行扫描。</w:t>
      </w:r>
      <w:r>
        <w:rPr>
          <w:rFonts w:hint="eastAsia" w:cs="Times New Roman"/>
          <w:color w:val="auto"/>
        </w:rPr>
        <w:t>乙方</w:t>
      </w:r>
      <w:r>
        <w:rPr>
          <w:rFonts w:cs="Times New Roman"/>
          <w:color w:val="auto"/>
        </w:rPr>
        <w:t>仅在可控环境下，对非重要服务的主机、设备进行拒绝服务扫描。对那些危险的模块和重要主机则主要采用手动检查的方式。另外，乙方将在评估前将协助评估节点进行必要的系统备份，并检查本地的应急恢复计划是否合理。</w:t>
      </w:r>
    </w:p>
    <w:p w14:paraId="29C02384">
      <w:pPr>
        <w:spacing w:after="156" w:afterLines="50" w:line="360" w:lineRule="auto"/>
        <w:ind w:firstLine="480" w:firstLineChars="200"/>
        <w:rPr>
          <w:color w:val="auto"/>
        </w:rPr>
      </w:pPr>
      <w:r>
        <w:rPr>
          <w:rFonts w:cs="Times New Roman"/>
          <w:color w:val="auto"/>
        </w:rPr>
        <w:t>在实际开始评估扫描时，乙方会正式管理支队系统评估项目组成员。乙方将按照预定计划，在规定时间内进行并完成评估工作。如遇到特殊情况（如设备问题、停电、网络中断等不可预知的状况）不能按时完成扫描计划或致使扫描无法正常进行时，由双方召开临时协调会协商予以解决。</w:t>
      </w:r>
    </w:p>
    <w:p w14:paraId="041CA7CF">
      <w:pPr>
        <w:pStyle w:val="3"/>
        <w:spacing w:before="0" w:after="0" w:line="360" w:lineRule="auto"/>
        <w:ind w:left="578"/>
        <w:rPr>
          <w:rFonts w:ascii="Times New Roman" w:hAnsi="Times New Roman"/>
          <w:color w:val="auto"/>
          <w:sz w:val="28"/>
          <w:szCs w:val="28"/>
        </w:rPr>
      </w:pPr>
      <w:r>
        <w:rPr>
          <w:rFonts w:ascii="Times New Roman" w:hAnsi="Times New Roman"/>
          <w:color w:val="auto"/>
          <w:sz w:val="28"/>
          <w:szCs w:val="28"/>
        </w:rPr>
        <w:t>2.5</w:t>
      </w:r>
      <w:r>
        <w:rPr>
          <w:rFonts w:hint="eastAsia" w:ascii="Times New Roman" w:hAnsi="Times New Roman"/>
          <w:color w:val="auto"/>
          <w:sz w:val="28"/>
          <w:szCs w:val="28"/>
        </w:rPr>
        <w:t>服务内容</w:t>
      </w:r>
    </w:p>
    <w:tbl>
      <w:tblPr>
        <w:tblStyle w:val="20"/>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185"/>
        <w:gridCol w:w="1016"/>
        <w:gridCol w:w="3052"/>
        <w:gridCol w:w="1016"/>
        <w:gridCol w:w="1319"/>
        <w:gridCol w:w="1304"/>
        <w:gridCol w:w="28"/>
        <w:gridCol w:w="1143"/>
      </w:tblGrid>
      <w:tr w14:paraId="009F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94" w:type="pct"/>
            <w:shd w:val="clear" w:color="000000" w:fill="D9D9D9"/>
            <w:vAlign w:val="center"/>
          </w:tcPr>
          <w:p w14:paraId="41D86DD7">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序号</w:t>
            </w:r>
          </w:p>
        </w:tc>
        <w:tc>
          <w:tcPr>
            <w:tcW w:w="566" w:type="pct"/>
            <w:shd w:val="clear" w:color="000000" w:fill="D9D9D9"/>
            <w:noWrap/>
            <w:vAlign w:val="center"/>
          </w:tcPr>
          <w:p w14:paraId="1819EE8C">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服务大项</w:t>
            </w:r>
          </w:p>
        </w:tc>
        <w:tc>
          <w:tcPr>
            <w:tcW w:w="485" w:type="pct"/>
            <w:shd w:val="clear" w:color="000000" w:fill="D9D9D9"/>
            <w:vAlign w:val="center"/>
          </w:tcPr>
          <w:p w14:paraId="522B7159">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服务子项</w:t>
            </w:r>
          </w:p>
        </w:tc>
        <w:tc>
          <w:tcPr>
            <w:tcW w:w="1458" w:type="pct"/>
            <w:shd w:val="clear" w:color="000000" w:fill="D9D9D9"/>
            <w:noWrap/>
            <w:vAlign w:val="center"/>
          </w:tcPr>
          <w:p w14:paraId="69622821">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服务描述</w:t>
            </w:r>
          </w:p>
        </w:tc>
        <w:tc>
          <w:tcPr>
            <w:tcW w:w="485" w:type="pct"/>
            <w:shd w:val="clear" w:color="000000" w:fill="D9D9D9"/>
            <w:vAlign w:val="center"/>
          </w:tcPr>
          <w:p w14:paraId="5EA5E7BE">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频率</w:t>
            </w:r>
            <w:r>
              <w:rPr>
                <w:rFonts w:hint="eastAsia" w:ascii="微软雅黑" w:hAnsi="微软雅黑" w:eastAsia="微软雅黑"/>
                <w:b/>
                <w:bCs/>
                <w:color w:val="auto"/>
                <w:sz w:val="18"/>
                <w:szCs w:val="20"/>
              </w:rPr>
              <w:br w:type="textWrapping"/>
            </w:r>
            <w:r>
              <w:rPr>
                <w:rFonts w:hint="eastAsia" w:ascii="微软雅黑" w:hAnsi="微软雅黑" w:eastAsia="微软雅黑"/>
                <w:b/>
                <w:bCs/>
                <w:color w:val="auto"/>
                <w:sz w:val="18"/>
                <w:szCs w:val="20"/>
              </w:rPr>
              <w:t>（单位：次）</w:t>
            </w:r>
          </w:p>
        </w:tc>
        <w:tc>
          <w:tcPr>
            <w:tcW w:w="630" w:type="pct"/>
            <w:shd w:val="clear" w:color="000000" w:fill="D9D9D9"/>
            <w:vAlign w:val="center"/>
          </w:tcPr>
          <w:p w14:paraId="0CCABFFE">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单价</w:t>
            </w:r>
            <w:r>
              <w:rPr>
                <w:rFonts w:hint="eastAsia" w:ascii="微软雅黑" w:hAnsi="微软雅黑" w:eastAsia="微软雅黑"/>
                <w:b/>
                <w:bCs/>
                <w:color w:val="auto"/>
                <w:sz w:val="18"/>
                <w:szCs w:val="20"/>
              </w:rPr>
              <w:br w:type="textWrapping"/>
            </w:r>
            <w:r>
              <w:rPr>
                <w:rFonts w:hint="eastAsia" w:ascii="微软雅黑" w:hAnsi="微软雅黑" w:eastAsia="微软雅黑"/>
                <w:b/>
                <w:bCs/>
                <w:color w:val="auto"/>
                <w:sz w:val="18"/>
                <w:szCs w:val="20"/>
              </w:rPr>
              <w:t>（单位：元）</w:t>
            </w:r>
          </w:p>
        </w:tc>
        <w:tc>
          <w:tcPr>
            <w:tcW w:w="623" w:type="pct"/>
            <w:shd w:val="clear" w:color="000000" w:fill="D9D9D9"/>
            <w:vAlign w:val="center"/>
          </w:tcPr>
          <w:p w14:paraId="140E2C5B">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价格</w:t>
            </w:r>
            <w:r>
              <w:rPr>
                <w:rFonts w:hint="eastAsia" w:ascii="微软雅黑" w:hAnsi="微软雅黑" w:eastAsia="微软雅黑"/>
                <w:b/>
                <w:bCs/>
                <w:color w:val="auto"/>
                <w:sz w:val="18"/>
                <w:szCs w:val="20"/>
              </w:rPr>
              <w:br w:type="textWrapping"/>
            </w:r>
            <w:r>
              <w:rPr>
                <w:rFonts w:hint="eastAsia" w:ascii="微软雅黑" w:hAnsi="微软雅黑" w:eastAsia="微软雅黑"/>
                <w:b/>
                <w:bCs/>
                <w:color w:val="auto"/>
                <w:sz w:val="18"/>
                <w:szCs w:val="20"/>
              </w:rPr>
              <w:t>(单位：元)</w:t>
            </w:r>
          </w:p>
        </w:tc>
        <w:tc>
          <w:tcPr>
            <w:tcW w:w="558" w:type="pct"/>
            <w:gridSpan w:val="2"/>
            <w:shd w:val="clear" w:color="000000" w:fill="D9D9D9"/>
            <w:vAlign w:val="center"/>
          </w:tcPr>
          <w:p w14:paraId="5A3A97B5">
            <w:pPr>
              <w:jc w:val="center"/>
              <w:rPr>
                <w:rFonts w:ascii="微软雅黑" w:hAnsi="微软雅黑" w:eastAsia="微软雅黑"/>
                <w:b/>
                <w:bCs/>
                <w:color w:val="auto"/>
                <w:sz w:val="18"/>
                <w:szCs w:val="20"/>
              </w:rPr>
            </w:pPr>
            <w:r>
              <w:rPr>
                <w:rFonts w:hint="eastAsia" w:ascii="微软雅黑" w:hAnsi="微软雅黑" w:eastAsia="微软雅黑"/>
                <w:b/>
                <w:bCs/>
                <w:color w:val="auto"/>
                <w:sz w:val="18"/>
                <w:szCs w:val="20"/>
              </w:rPr>
              <w:t>备注</w:t>
            </w:r>
          </w:p>
        </w:tc>
      </w:tr>
      <w:tr w14:paraId="7490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4" w:type="pct"/>
            <w:vMerge w:val="restart"/>
            <w:shd w:val="clear" w:color="000000" w:fill="FFFFFF"/>
            <w:vAlign w:val="center"/>
          </w:tcPr>
          <w:p w14:paraId="449C9F79">
            <w:pPr>
              <w:jc w:val="center"/>
              <w:rPr>
                <w:rFonts w:ascii="微软雅黑" w:hAnsi="微软雅黑" w:eastAsia="微软雅黑"/>
                <w:color w:val="auto"/>
                <w:sz w:val="18"/>
                <w:szCs w:val="20"/>
              </w:rPr>
            </w:pPr>
            <w:r>
              <w:rPr>
                <w:rFonts w:hint="eastAsia" w:ascii="微软雅黑" w:hAnsi="微软雅黑" w:eastAsia="微软雅黑"/>
                <w:color w:val="auto"/>
                <w:sz w:val="18"/>
                <w:szCs w:val="20"/>
              </w:rPr>
              <w:t>1</w:t>
            </w:r>
          </w:p>
        </w:tc>
        <w:tc>
          <w:tcPr>
            <w:tcW w:w="566" w:type="pct"/>
            <w:vMerge w:val="restart"/>
            <w:shd w:val="clear" w:color="auto" w:fill="auto"/>
            <w:vAlign w:val="center"/>
          </w:tcPr>
          <w:p w14:paraId="41C1D691">
            <w:pPr>
              <w:jc w:val="center"/>
              <w:rPr>
                <w:rFonts w:ascii="微软雅黑" w:hAnsi="微软雅黑" w:eastAsia="微软雅黑"/>
                <w:color w:val="auto"/>
                <w:sz w:val="18"/>
              </w:rPr>
            </w:pPr>
            <w:r>
              <w:rPr>
                <w:rFonts w:hint="eastAsia" w:ascii="微软雅黑" w:hAnsi="微软雅黑" w:eastAsia="微软雅黑"/>
                <w:color w:val="auto"/>
                <w:sz w:val="18"/>
              </w:rPr>
              <w:t>应用系统安全检查服务</w:t>
            </w:r>
          </w:p>
        </w:tc>
        <w:tc>
          <w:tcPr>
            <w:tcW w:w="485" w:type="pct"/>
            <w:vAlign w:val="center"/>
          </w:tcPr>
          <w:p w14:paraId="72EF3396">
            <w:pPr>
              <w:rPr>
                <w:rFonts w:ascii="微软雅黑" w:hAnsi="微软雅黑" w:eastAsia="微软雅黑"/>
                <w:color w:val="auto"/>
                <w:sz w:val="18"/>
              </w:rPr>
            </w:pPr>
            <w:r>
              <w:rPr>
                <w:rFonts w:hint="eastAsia" w:ascii="微软雅黑" w:hAnsi="微软雅黑" w:eastAsia="微软雅黑"/>
                <w:color w:val="auto"/>
                <w:sz w:val="18"/>
              </w:rPr>
              <w:t>应用系统渗透测试</w:t>
            </w:r>
          </w:p>
        </w:tc>
        <w:tc>
          <w:tcPr>
            <w:tcW w:w="1458" w:type="pct"/>
            <w:shd w:val="clear" w:color="auto" w:fill="auto"/>
            <w:vAlign w:val="center"/>
          </w:tcPr>
          <w:p w14:paraId="59BE45D9">
            <w:pPr>
              <w:rPr>
                <w:rFonts w:ascii="微软雅黑" w:hAnsi="微软雅黑" w:eastAsia="微软雅黑"/>
                <w:color w:val="auto"/>
                <w:sz w:val="18"/>
              </w:rPr>
            </w:pPr>
            <w:r>
              <w:rPr>
                <w:rFonts w:hint="eastAsia" w:ascii="微软雅黑" w:hAnsi="微软雅黑" w:eastAsia="微软雅黑"/>
                <w:color w:val="auto"/>
                <w:sz w:val="18"/>
              </w:rPr>
              <w:t>针对出入境管理支队业务系统开展全面的渗透测试，</w:t>
            </w:r>
            <w:r>
              <w:rPr>
                <w:rFonts w:ascii="微软雅黑" w:hAnsi="微软雅黑" w:eastAsia="微软雅黑"/>
                <w:color w:val="auto"/>
                <w:sz w:val="18"/>
              </w:rPr>
              <w:t>利用乙方已掌握的漏洞信息，针对核心业务系统开展非破坏性的模拟黑客攻击测试，发现漏洞不进行破坏，并协助用户进行修复，修复后进行复测，以确认漏洞是否被完全修复。</w:t>
            </w:r>
          </w:p>
        </w:tc>
        <w:tc>
          <w:tcPr>
            <w:tcW w:w="485" w:type="pct"/>
            <w:shd w:val="clear" w:color="auto" w:fill="auto"/>
            <w:noWrap/>
            <w:vAlign w:val="center"/>
          </w:tcPr>
          <w:p w14:paraId="20A4DE21">
            <w:pPr>
              <w:jc w:val="center"/>
              <w:rPr>
                <w:rFonts w:ascii="微软雅黑" w:hAnsi="微软雅黑" w:eastAsia="微软雅黑"/>
                <w:color w:val="auto"/>
                <w:sz w:val="18"/>
              </w:rPr>
            </w:pPr>
            <w:r>
              <w:rPr>
                <w:rFonts w:ascii="微软雅黑" w:hAnsi="微软雅黑" w:eastAsia="微软雅黑"/>
                <w:color w:val="auto"/>
                <w:sz w:val="18"/>
              </w:rPr>
              <w:t>1</w:t>
            </w:r>
          </w:p>
        </w:tc>
        <w:tc>
          <w:tcPr>
            <w:tcW w:w="630" w:type="pct"/>
            <w:shd w:val="clear" w:color="auto" w:fill="auto"/>
            <w:noWrap/>
            <w:vAlign w:val="center"/>
          </w:tcPr>
          <w:p w14:paraId="649D3006">
            <w:pPr>
              <w:jc w:val="center"/>
              <w:rPr>
                <w:rFonts w:ascii="微软雅黑" w:hAnsi="微软雅黑" w:eastAsia="微软雅黑"/>
                <w:color w:val="auto"/>
                <w:sz w:val="18"/>
              </w:rPr>
            </w:pPr>
            <w:r>
              <w:rPr>
                <w:rFonts w:hint="eastAsia" w:ascii="微软雅黑" w:hAnsi="微软雅黑" w:eastAsia="微软雅黑"/>
                <w:color w:val="auto"/>
                <w:sz w:val="18"/>
              </w:rPr>
              <w:t>¥</w:t>
            </w:r>
            <w:r>
              <w:rPr>
                <w:rFonts w:ascii="微软雅黑" w:hAnsi="微软雅黑" w:eastAsia="微软雅黑"/>
                <w:color w:val="auto"/>
                <w:sz w:val="18"/>
              </w:rPr>
              <w:t>1</w:t>
            </w:r>
            <w:r>
              <w:rPr>
                <w:rFonts w:hint="eastAsia" w:ascii="微软雅黑" w:hAnsi="微软雅黑" w:eastAsia="微软雅黑"/>
                <w:color w:val="auto"/>
                <w:sz w:val="18"/>
              </w:rPr>
              <w:t>6</w:t>
            </w:r>
            <w:r>
              <w:rPr>
                <w:rFonts w:ascii="微软雅黑" w:hAnsi="微软雅黑" w:eastAsia="微软雅黑"/>
                <w:color w:val="auto"/>
                <w:sz w:val="18"/>
              </w:rPr>
              <w:t>0</w:t>
            </w:r>
            <w:r>
              <w:rPr>
                <w:rFonts w:hint="eastAsia" w:ascii="微软雅黑" w:hAnsi="微软雅黑" w:eastAsia="微软雅黑"/>
                <w:color w:val="auto"/>
                <w:sz w:val="18"/>
              </w:rPr>
              <w:t xml:space="preserve">,000.00 </w:t>
            </w:r>
          </w:p>
        </w:tc>
        <w:tc>
          <w:tcPr>
            <w:tcW w:w="623" w:type="pct"/>
            <w:shd w:val="clear" w:color="auto" w:fill="auto"/>
            <w:noWrap/>
            <w:vAlign w:val="center"/>
          </w:tcPr>
          <w:p w14:paraId="25846AC9">
            <w:pPr>
              <w:jc w:val="center"/>
              <w:rPr>
                <w:rFonts w:ascii="微软雅黑" w:hAnsi="微软雅黑" w:eastAsia="微软雅黑"/>
                <w:color w:val="auto"/>
                <w:sz w:val="18"/>
              </w:rPr>
            </w:pPr>
            <w:r>
              <w:rPr>
                <w:rFonts w:hint="eastAsia" w:ascii="微软雅黑" w:hAnsi="微软雅黑" w:eastAsia="微软雅黑"/>
                <w:color w:val="auto"/>
                <w:sz w:val="18"/>
              </w:rPr>
              <w:t>¥</w:t>
            </w:r>
            <w:r>
              <w:rPr>
                <w:rFonts w:ascii="微软雅黑" w:hAnsi="微软雅黑" w:eastAsia="微软雅黑"/>
                <w:color w:val="auto"/>
                <w:sz w:val="18"/>
              </w:rPr>
              <w:t>1</w:t>
            </w:r>
            <w:r>
              <w:rPr>
                <w:rFonts w:hint="eastAsia" w:ascii="微软雅黑" w:hAnsi="微软雅黑" w:eastAsia="微软雅黑"/>
                <w:color w:val="auto"/>
                <w:sz w:val="18"/>
              </w:rPr>
              <w:t>6</w:t>
            </w:r>
            <w:r>
              <w:rPr>
                <w:rFonts w:ascii="微软雅黑" w:hAnsi="微软雅黑" w:eastAsia="微软雅黑"/>
                <w:color w:val="auto"/>
                <w:sz w:val="18"/>
              </w:rPr>
              <w:t>0</w:t>
            </w:r>
            <w:r>
              <w:rPr>
                <w:rFonts w:hint="eastAsia" w:ascii="微软雅黑" w:hAnsi="微软雅黑" w:eastAsia="微软雅黑"/>
                <w:color w:val="auto"/>
                <w:sz w:val="18"/>
              </w:rPr>
              <w:t xml:space="preserve">,000.00 </w:t>
            </w:r>
          </w:p>
        </w:tc>
        <w:tc>
          <w:tcPr>
            <w:tcW w:w="558" w:type="pct"/>
            <w:gridSpan w:val="2"/>
            <w:shd w:val="clear" w:color="auto" w:fill="auto"/>
            <w:noWrap/>
            <w:vAlign w:val="center"/>
          </w:tcPr>
          <w:p w14:paraId="0A9D2431">
            <w:pPr>
              <w:jc w:val="center"/>
              <w:rPr>
                <w:rFonts w:ascii="微软雅黑" w:hAnsi="微软雅黑" w:eastAsia="微软雅黑"/>
                <w:color w:val="auto"/>
                <w:sz w:val="18"/>
              </w:rPr>
            </w:pPr>
            <w:r>
              <w:rPr>
                <w:rFonts w:hint="eastAsia" w:ascii="微软雅黑" w:hAnsi="微软雅黑" w:eastAsia="微软雅黑"/>
                <w:color w:val="auto"/>
                <w:sz w:val="18"/>
              </w:rPr>
              <w:t>7个业务系统</w:t>
            </w:r>
          </w:p>
          <w:p w14:paraId="0F5F4DAB">
            <w:pPr>
              <w:jc w:val="center"/>
              <w:rPr>
                <w:rFonts w:ascii="微软雅黑" w:hAnsi="微软雅黑" w:eastAsia="微软雅黑"/>
                <w:color w:val="auto"/>
                <w:sz w:val="18"/>
              </w:rPr>
            </w:pPr>
            <w:r>
              <w:rPr>
                <w:rFonts w:hint="eastAsia" w:ascii="微软雅黑" w:hAnsi="微软雅黑" w:eastAsia="微软雅黑"/>
                <w:color w:val="auto"/>
                <w:sz w:val="18"/>
              </w:rPr>
              <w:t>年度深蓝攻防演练前完成</w:t>
            </w:r>
          </w:p>
          <w:p w14:paraId="41E80012">
            <w:pPr>
              <w:jc w:val="center"/>
              <w:rPr>
                <w:rFonts w:ascii="微软雅黑" w:hAnsi="微软雅黑" w:eastAsia="微软雅黑"/>
                <w:color w:val="auto"/>
                <w:sz w:val="18"/>
              </w:rPr>
            </w:pPr>
            <w:r>
              <w:rPr>
                <w:rFonts w:hint="eastAsia" w:ascii="微软雅黑" w:hAnsi="微软雅黑" w:eastAsia="微软雅黑"/>
                <w:color w:val="auto"/>
                <w:sz w:val="18"/>
              </w:rPr>
              <w:t>（每年6月前）</w:t>
            </w:r>
          </w:p>
        </w:tc>
      </w:tr>
      <w:tr w14:paraId="4948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4" w:type="pct"/>
            <w:vMerge w:val="continue"/>
            <w:shd w:val="clear" w:color="000000" w:fill="FFFFFF"/>
            <w:vAlign w:val="center"/>
          </w:tcPr>
          <w:p w14:paraId="432B8049">
            <w:pPr>
              <w:jc w:val="center"/>
              <w:rPr>
                <w:rFonts w:ascii="微软雅黑" w:hAnsi="微软雅黑" w:eastAsia="微软雅黑"/>
                <w:color w:val="auto"/>
                <w:sz w:val="18"/>
                <w:szCs w:val="20"/>
              </w:rPr>
            </w:pPr>
          </w:p>
        </w:tc>
        <w:tc>
          <w:tcPr>
            <w:tcW w:w="566" w:type="pct"/>
            <w:vMerge w:val="continue"/>
            <w:shd w:val="clear" w:color="auto" w:fill="auto"/>
            <w:vAlign w:val="center"/>
          </w:tcPr>
          <w:p w14:paraId="278281F3">
            <w:pPr>
              <w:jc w:val="center"/>
              <w:rPr>
                <w:rFonts w:ascii="微软雅黑" w:hAnsi="微软雅黑" w:eastAsia="微软雅黑"/>
                <w:color w:val="auto"/>
                <w:sz w:val="18"/>
              </w:rPr>
            </w:pPr>
          </w:p>
        </w:tc>
        <w:tc>
          <w:tcPr>
            <w:tcW w:w="485" w:type="pct"/>
            <w:vAlign w:val="center"/>
          </w:tcPr>
          <w:p w14:paraId="3EBDB5CE">
            <w:pPr>
              <w:rPr>
                <w:rFonts w:ascii="微软雅黑" w:hAnsi="微软雅黑" w:eastAsia="微软雅黑"/>
                <w:color w:val="auto"/>
                <w:sz w:val="18"/>
              </w:rPr>
            </w:pPr>
            <w:r>
              <w:rPr>
                <w:rFonts w:hint="eastAsia" w:ascii="微软雅黑" w:hAnsi="微软雅黑" w:eastAsia="微软雅黑"/>
                <w:color w:val="auto"/>
                <w:sz w:val="18"/>
              </w:rPr>
              <w:t>安全漏洞扫描</w:t>
            </w:r>
          </w:p>
        </w:tc>
        <w:tc>
          <w:tcPr>
            <w:tcW w:w="1458" w:type="pct"/>
            <w:shd w:val="clear" w:color="auto" w:fill="auto"/>
            <w:vAlign w:val="center"/>
          </w:tcPr>
          <w:p w14:paraId="13E304F6">
            <w:pPr>
              <w:rPr>
                <w:rFonts w:ascii="微软雅黑" w:hAnsi="微软雅黑" w:eastAsia="微软雅黑"/>
                <w:color w:val="auto"/>
                <w:sz w:val="18"/>
              </w:rPr>
            </w:pPr>
            <w:r>
              <w:rPr>
                <w:rFonts w:hint="eastAsia" w:ascii="微软雅黑" w:hAnsi="微软雅黑" w:eastAsia="微软雅黑"/>
                <w:color w:val="auto"/>
                <w:sz w:val="18"/>
              </w:rPr>
              <w:t>通过扫描渗透方式对重保重要单位业务系统进行安全测试，发现应用安全漏洞，提出整改建议，协助被检测单位及时修复业务系统安全漏洞，保障业务系统安全运行</w:t>
            </w:r>
          </w:p>
        </w:tc>
        <w:tc>
          <w:tcPr>
            <w:tcW w:w="485" w:type="pct"/>
            <w:shd w:val="clear" w:color="auto" w:fill="auto"/>
            <w:noWrap/>
            <w:vAlign w:val="center"/>
          </w:tcPr>
          <w:p w14:paraId="0B7774D7">
            <w:pPr>
              <w:jc w:val="center"/>
              <w:rPr>
                <w:rFonts w:ascii="微软雅黑" w:hAnsi="微软雅黑" w:eastAsia="微软雅黑"/>
                <w:color w:val="auto"/>
                <w:sz w:val="18"/>
              </w:rPr>
            </w:pPr>
            <w:r>
              <w:rPr>
                <w:rFonts w:hint="eastAsia" w:ascii="微软雅黑" w:hAnsi="微软雅黑" w:eastAsia="微软雅黑"/>
                <w:color w:val="auto"/>
                <w:sz w:val="18"/>
              </w:rPr>
              <w:t>2</w:t>
            </w:r>
          </w:p>
        </w:tc>
        <w:tc>
          <w:tcPr>
            <w:tcW w:w="630" w:type="pct"/>
            <w:shd w:val="clear" w:color="auto" w:fill="auto"/>
            <w:noWrap/>
            <w:vAlign w:val="center"/>
          </w:tcPr>
          <w:p w14:paraId="1847890C">
            <w:pPr>
              <w:jc w:val="center"/>
              <w:rPr>
                <w:rFonts w:ascii="微软雅黑" w:hAnsi="微软雅黑" w:eastAsia="微软雅黑"/>
                <w:color w:val="auto"/>
                <w:sz w:val="18"/>
              </w:rPr>
            </w:pPr>
            <w:r>
              <w:rPr>
                <w:rFonts w:hint="eastAsia" w:ascii="微软雅黑" w:hAnsi="微软雅黑" w:eastAsia="微软雅黑"/>
                <w:color w:val="auto"/>
                <w:sz w:val="18"/>
              </w:rPr>
              <w:t>¥</w:t>
            </w:r>
            <w:r>
              <w:rPr>
                <w:rFonts w:ascii="微软雅黑" w:hAnsi="微软雅黑" w:eastAsia="微软雅黑"/>
                <w:color w:val="auto"/>
                <w:sz w:val="18"/>
              </w:rPr>
              <w:t>10</w:t>
            </w:r>
            <w:r>
              <w:rPr>
                <w:rFonts w:hint="eastAsia" w:ascii="微软雅黑" w:hAnsi="微软雅黑" w:eastAsia="微软雅黑"/>
                <w:color w:val="auto"/>
                <w:sz w:val="18"/>
              </w:rPr>
              <w:t>,000.00</w:t>
            </w:r>
          </w:p>
        </w:tc>
        <w:tc>
          <w:tcPr>
            <w:tcW w:w="623" w:type="pct"/>
            <w:shd w:val="clear" w:color="auto" w:fill="auto"/>
            <w:noWrap/>
            <w:vAlign w:val="center"/>
          </w:tcPr>
          <w:p w14:paraId="4C708E42">
            <w:pPr>
              <w:jc w:val="center"/>
              <w:rPr>
                <w:rFonts w:ascii="微软雅黑" w:hAnsi="微软雅黑" w:eastAsia="微软雅黑"/>
                <w:color w:val="auto"/>
                <w:sz w:val="18"/>
              </w:rPr>
            </w:pPr>
            <w:r>
              <w:rPr>
                <w:rFonts w:hint="eastAsia" w:ascii="微软雅黑" w:hAnsi="微软雅黑" w:eastAsia="微软雅黑"/>
                <w:color w:val="auto"/>
                <w:sz w:val="18"/>
              </w:rPr>
              <w:t>¥2</w:t>
            </w:r>
            <w:r>
              <w:rPr>
                <w:rFonts w:ascii="微软雅黑" w:hAnsi="微软雅黑" w:eastAsia="微软雅黑"/>
                <w:color w:val="auto"/>
                <w:sz w:val="18"/>
              </w:rPr>
              <w:t>0</w:t>
            </w:r>
            <w:r>
              <w:rPr>
                <w:rFonts w:hint="eastAsia" w:ascii="微软雅黑" w:hAnsi="微软雅黑" w:eastAsia="微软雅黑"/>
                <w:color w:val="auto"/>
                <w:sz w:val="18"/>
              </w:rPr>
              <w:t xml:space="preserve">,000.00 </w:t>
            </w:r>
          </w:p>
        </w:tc>
        <w:tc>
          <w:tcPr>
            <w:tcW w:w="558" w:type="pct"/>
            <w:gridSpan w:val="2"/>
            <w:shd w:val="clear" w:color="auto" w:fill="auto"/>
            <w:noWrap/>
            <w:vAlign w:val="center"/>
          </w:tcPr>
          <w:p w14:paraId="47B4EEFF">
            <w:pPr>
              <w:jc w:val="center"/>
              <w:rPr>
                <w:rFonts w:ascii="微软雅黑" w:hAnsi="微软雅黑" w:eastAsia="微软雅黑"/>
                <w:color w:val="auto"/>
                <w:sz w:val="18"/>
              </w:rPr>
            </w:pPr>
            <w:r>
              <w:rPr>
                <w:rFonts w:hint="eastAsia" w:ascii="微软雅黑" w:hAnsi="微软雅黑" w:eastAsia="微软雅黑"/>
                <w:color w:val="auto"/>
                <w:sz w:val="18"/>
              </w:rPr>
              <w:t>IP资产</w:t>
            </w:r>
          </w:p>
          <w:p w14:paraId="681A2AAB">
            <w:pPr>
              <w:jc w:val="center"/>
              <w:rPr>
                <w:rFonts w:ascii="微软雅黑" w:hAnsi="微软雅黑" w:eastAsia="微软雅黑"/>
                <w:color w:val="auto"/>
                <w:sz w:val="18"/>
              </w:rPr>
            </w:pPr>
            <w:r>
              <w:rPr>
                <w:rFonts w:hint="eastAsia" w:ascii="微软雅黑" w:hAnsi="微软雅黑" w:eastAsia="微软雅黑"/>
                <w:color w:val="auto"/>
                <w:sz w:val="18"/>
              </w:rPr>
              <w:t>（每年3月、9月各一次）</w:t>
            </w:r>
          </w:p>
        </w:tc>
      </w:tr>
      <w:tr w14:paraId="01D3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4" w:type="pct"/>
            <w:shd w:val="clear" w:color="000000" w:fill="FFFFFF"/>
            <w:vAlign w:val="center"/>
          </w:tcPr>
          <w:p w14:paraId="41D4FC27">
            <w:pPr>
              <w:jc w:val="center"/>
              <w:rPr>
                <w:rFonts w:ascii="微软雅黑" w:hAnsi="微软雅黑" w:eastAsia="微软雅黑"/>
                <w:color w:val="auto"/>
                <w:sz w:val="18"/>
                <w:szCs w:val="20"/>
              </w:rPr>
            </w:pPr>
            <w:r>
              <w:rPr>
                <w:rFonts w:hint="eastAsia" w:ascii="微软雅黑" w:hAnsi="微软雅黑" w:eastAsia="微软雅黑"/>
                <w:color w:val="auto"/>
                <w:sz w:val="18"/>
                <w:szCs w:val="20"/>
              </w:rPr>
              <w:t>2</w:t>
            </w:r>
          </w:p>
        </w:tc>
        <w:tc>
          <w:tcPr>
            <w:tcW w:w="566" w:type="pct"/>
            <w:shd w:val="clear" w:color="auto" w:fill="auto"/>
            <w:vAlign w:val="center"/>
          </w:tcPr>
          <w:p w14:paraId="4ECF8512">
            <w:pPr>
              <w:jc w:val="center"/>
              <w:rPr>
                <w:rFonts w:ascii="微软雅黑" w:hAnsi="微软雅黑" w:eastAsia="微软雅黑"/>
                <w:color w:val="auto"/>
                <w:sz w:val="18"/>
              </w:rPr>
            </w:pPr>
            <w:r>
              <w:rPr>
                <w:rFonts w:hint="eastAsia" w:ascii="微软雅黑" w:hAnsi="微软雅黑" w:eastAsia="微软雅黑"/>
                <w:color w:val="auto"/>
                <w:sz w:val="18"/>
              </w:rPr>
              <w:t>安全培训</w:t>
            </w:r>
          </w:p>
        </w:tc>
        <w:tc>
          <w:tcPr>
            <w:tcW w:w="485" w:type="pct"/>
            <w:vAlign w:val="center"/>
          </w:tcPr>
          <w:p w14:paraId="25C2EA20">
            <w:pPr>
              <w:rPr>
                <w:rFonts w:ascii="微软雅黑" w:hAnsi="微软雅黑" w:eastAsia="微软雅黑"/>
                <w:color w:val="auto"/>
                <w:sz w:val="18"/>
              </w:rPr>
            </w:pPr>
            <w:r>
              <w:rPr>
                <w:rFonts w:ascii="微软雅黑" w:hAnsi="微软雅黑" w:eastAsia="微软雅黑"/>
                <w:color w:val="auto"/>
                <w:sz w:val="18"/>
              </w:rPr>
              <w:t>全体员工安全意识培训</w:t>
            </w:r>
          </w:p>
        </w:tc>
        <w:tc>
          <w:tcPr>
            <w:tcW w:w="1458" w:type="pct"/>
            <w:shd w:val="clear" w:color="auto" w:fill="auto"/>
            <w:vAlign w:val="center"/>
          </w:tcPr>
          <w:p w14:paraId="2C38AD4E">
            <w:pPr>
              <w:rPr>
                <w:rFonts w:ascii="微软雅黑" w:hAnsi="微软雅黑" w:eastAsia="微软雅黑"/>
                <w:color w:val="auto"/>
                <w:sz w:val="18"/>
              </w:rPr>
            </w:pPr>
            <w:r>
              <w:rPr>
                <w:rFonts w:ascii="微软雅黑" w:hAnsi="微软雅黑" w:eastAsia="微软雅黑"/>
                <w:color w:val="auto"/>
                <w:sz w:val="18"/>
              </w:rPr>
              <w:t>对全体员工进行信息安全意识类的培训，使员工在日常工作中提升信息安全意识。</w:t>
            </w:r>
          </w:p>
        </w:tc>
        <w:tc>
          <w:tcPr>
            <w:tcW w:w="485" w:type="pct"/>
            <w:shd w:val="clear" w:color="auto" w:fill="auto"/>
            <w:noWrap/>
            <w:vAlign w:val="center"/>
          </w:tcPr>
          <w:p w14:paraId="466EF903">
            <w:pPr>
              <w:jc w:val="center"/>
              <w:rPr>
                <w:rFonts w:ascii="微软雅黑" w:hAnsi="微软雅黑" w:eastAsia="微软雅黑"/>
                <w:color w:val="auto"/>
                <w:sz w:val="18"/>
              </w:rPr>
            </w:pPr>
            <w:r>
              <w:rPr>
                <w:rFonts w:hint="eastAsia" w:ascii="微软雅黑" w:hAnsi="微软雅黑" w:eastAsia="微软雅黑"/>
                <w:color w:val="auto"/>
                <w:sz w:val="18"/>
              </w:rPr>
              <w:t>/</w:t>
            </w:r>
          </w:p>
        </w:tc>
        <w:tc>
          <w:tcPr>
            <w:tcW w:w="630" w:type="pct"/>
            <w:shd w:val="clear" w:color="auto" w:fill="auto"/>
            <w:noWrap/>
            <w:vAlign w:val="center"/>
          </w:tcPr>
          <w:p w14:paraId="197251F0">
            <w:pPr>
              <w:jc w:val="center"/>
              <w:rPr>
                <w:rFonts w:ascii="微软雅黑" w:hAnsi="微软雅黑" w:eastAsia="微软雅黑"/>
                <w:color w:val="auto"/>
                <w:sz w:val="18"/>
              </w:rPr>
            </w:pPr>
            <w:r>
              <w:rPr>
                <w:rFonts w:hint="eastAsia" w:ascii="微软雅黑" w:hAnsi="微软雅黑" w:eastAsia="微软雅黑"/>
                <w:color w:val="auto"/>
                <w:sz w:val="18"/>
              </w:rPr>
              <w:t>/</w:t>
            </w:r>
          </w:p>
        </w:tc>
        <w:tc>
          <w:tcPr>
            <w:tcW w:w="623" w:type="pct"/>
            <w:shd w:val="clear" w:color="auto" w:fill="auto"/>
            <w:noWrap/>
            <w:vAlign w:val="center"/>
          </w:tcPr>
          <w:p w14:paraId="73918AD2">
            <w:pPr>
              <w:jc w:val="center"/>
              <w:rPr>
                <w:rFonts w:ascii="微软雅黑" w:hAnsi="微软雅黑" w:eastAsia="微软雅黑"/>
                <w:color w:val="auto"/>
                <w:sz w:val="18"/>
              </w:rPr>
            </w:pPr>
            <w:r>
              <w:rPr>
                <w:rFonts w:hint="eastAsia" w:ascii="微软雅黑" w:hAnsi="微软雅黑" w:eastAsia="微软雅黑"/>
                <w:color w:val="auto"/>
                <w:sz w:val="18"/>
              </w:rPr>
              <w:t>/</w:t>
            </w:r>
          </w:p>
        </w:tc>
        <w:tc>
          <w:tcPr>
            <w:tcW w:w="558" w:type="pct"/>
            <w:gridSpan w:val="2"/>
            <w:shd w:val="clear" w:color="auto" w:fill="auto"/>
            <w:noWrap/>
            <w:vAlign w:val="center"/>
          </w:tcPr>
          <w:p w14:paraId="67F67619">
            <w:pPr>
              <w:jc w:val="center"/>
              <w:rPr>
                <w:rFonts w:ascii="微软雅黑" w:hAnsi="微软雅黑" w:eastAsia="微软雅黑"/>
                <w:color w:val="auto"/>
                <w:sz w:val="18"/>
              </w:rPr>
            </w:pPr>
            <w:r>
              <w:rPr>
                <w:rFonts w:hint="eastAsia" w:ascii="微软雅黑" w:hAnsi="微软雅黑" w:eastAsia="微软雅黑"/>
                <w:color w:val="auto"/>
                <w:sz w:val="18"/>
              </w:rPr>
              <w:t>增值服务</w:t>
            </w:r>
          </w:p>
        </w:tc>
      </w:tr>
      <w:tr w14:paraId="0C34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4" w:type="pct"/>
            <w:shd w:val="clear" w:color="000000" w:fill="FFFFFF"/>
            <w:vAlign w:val="center"/>
          </w:tcPr>
          <w:p w14:paraId="2059907C">
            <w:pPr>
              <w:jc w:val="center"/>
              <w:rPr>
                <w:rFonts w:ascii="微软雅黑" w:hAnsi="微软雅黑" w:eastAsia="微软雅黑"/>
                <w:color w:val="auto"/>
                <w:sz w:val="18"/>
                <w:szCs w:val="20"/>
              </w:rPr>
            </w:pPr>
            <w:r>
              <w:rPr>
                <w:rFonts w:hint="eastAsia" w:ascii="微软雅黑" w:hAnsi="微软雅黑" w:eastAsia="微软雅黑"/>
                <w:color w:val="auto"/>
                <w:sz w:val="18"/>
                <w:szCs w:val="20"/>
              </w:rPr>
              <w:t>3</w:t>
            </w:r>
          </w:p>
        </w:tc>
        <w:tc>
          <w:tcPr>
            <w:tcW w:w="566" w:type="pct"/>
            <w:shd w:val="clear" w:color="auto" w:fill="auto"/>
            <w:vAlign w:val="center"/>
          </w:tcPr>
          <w:p w14:paraId="6B66E31C">
            <w:pPr>
              <w:jc w:val="center"/>
              <w:rPr>
                <w:rFonts w:ascii="微软雅黑" w:hAnsi="微软雅黑" w:eastAsia="微软雅黑"/>
                <w:color w:val="auto"/>
                <w:sz w:val="18"/>
              </w:rPr>
            </w:pPr>
            <w:r>
              <w:rPr>
                <w:rFonts w:hint="eastAsia" w:ascii="微软雅黑" w:hAnsi="微软雅黑" w:eastAsia="微软雅黑"/>
                <w:color w:val="auto"/>
                <w:sz w:val="18"/>
              </w:rPr>
              <w:t>技术支持</w:t>
            </w:r>
          </w:p>
        </w:tc>
        <w:tc>
          <w:tcPr>
            <w:tcW w:w="485" w:type="pct"/>
            <w:vAlign w:val="center"/>
          </w:tcPr>
          <w:p w14:paraId="748FDB08">
            <w:pPr>
              <w:rPr>
                <w:rFonts w:ascii="微软雅黑" w:hAnsi="微软雅黑" w:eastAsia="微软雅黑"/>
                <w:color w:val="auto"/>
                <w:sz w:val="18"/>
              </w:rPr>
            </w:pPr>
            <w:r>
              <w:rPr>
                <w:rFonts w:hint="eastAsia" w:ascii="微软雅黑" w:hAnsi="微软雅黑" w:eastAsia="微软雅黑"/>
                <w:color w:val="auto"/>
                <w:sz w:val="18"/>
              </w:rPr>
              <w:t>咨询与技术支持</w:t>
            </w:r>
          </w:p>
        </w:tc>
        <w:tc>
          <w:tcPr>
            <w:tcW w:w="1458" w:type="pct"/>
            <w:shd w:val="clear" w:color="auto" w:fill="auto"/>
            <w:vAlign w:val="center"/>
          </w:tcPr>
          <w:p w14:paraId="3D1ED3EF">
            <w:pPr>
              <w:rPr>
                <w:rFonts w:ascii="微软雅黑" w:hAnsi="微软雅黑" w:eastAsia="微软雅黑"/>
                <w:color w:val="auto"/>
                <w:sz w:val="18"/>
              </w:rPr>
            </w:pPr>
            <w:r>
              <w:rPr>
                <w:rFonts w:ascii="微软雅黑" w:hAnsi="微软雅黑" w:eastAsia="微软雅黑"/>
                <w:color w:val="auto"/>
                <w:sz w:val="18"/>
              </w:rPr>
              <w:t>对于出入境管理支队提出的信息安全相关的问题进行线上专业的解答，技术支持</w:t>
            </w:r>
          </w:p>
        </w:tc>
        <w:tc>
          <w:tcPr>
            <w:tcW w:w="485" w:type="pct"/>
            <w:shd w:val="clear" w:color="auto" w:fill="auto"/>
            <w:noWrap/>
            <w:vAlign w:val="center"/>
          </w:tcPr>
          <w:p w14:paraId="0DA2B612">
            <w:pPr>
              <w:jc w:val="center"/>
              <w:rPr>
                <w:rFonts w:ascii="微软雅黑" w:hAnsi="微软雅黑" w:eastAsia="微软雅黑"/>
                <w:color w:val="auto"/>
                <w:sz w:val="18"/>
              </w:rPr>
            </w:pPr>
            <w:r>
              <w:rPr>
                <w:rFonts w:hint="eastAsia" w:ascii="微软雅黑" w:hAnsi="微软雅黑" w:eastAsia="微软雅黑"/>
                <w:color w:val="auto"/>
                <w:sz w:val="18"/>
              </w:rPr>
              <w:t>/</w:t>
            </w:r>
          </w:p>
        </w:tc>
        <w:tc>
          <w:tcPr>
            <w:tcW w:w="630" w:type="pct"/>
            <w:shd w:val="clear" w:color="auto" w:fill="auto"/>
            <w:noWrap/>
            <w:vAlign w:val="center"/>
          </w:tcPr>
          <w:p w14:paraId="0E3E5175">
            <w:pPr>
              <w:jc w:val="center"/>
              <w:rPr>
                <w:rFonts w:ascii="微软雅黑" w:hAnsi="微软雅黑" w:eastAsia="微软雅黑"/>
                <w:color w:val="auto"/>
                <w:sz w:val="18"/>
              </w:rPr>
            </w:pPr>
            <w:r>
              <w:rPr>
                <w:rFonts w:hint="eastAsia" w:ascii="微软雅黑" w:hAnsi="微软雅黑" w:eastAsia="微软雅黑"/>
                <w:color w:val="auto"/>
                <w:sz w:val="18"/>
              </w:rPr>
              <w:t>/</w:t>
            </w:r>
          </w:p>
        </w:tc>
        <w:tc>
          <w:tcPr>
            <w:tcW w:w="623" w:type="pct"/>
            <w:shd w:val="clear" w:color="auto" w:fill="auto"/>
            <w:noWrap/>
            <w:vAlign w:val="center"/>
          </w:tcPr>
          <w:p w14:paraId="00150355">
            <w:pPr>
              <w:jc w:val="center"/>
              <w:rPr>
                <w:rFonts w:ascii="微软雅黑" w:hAnsi="微软雅黑" w:eastAsia="微软雅黑"/>
                <w:color w:val="auto"/>
                <w:sz w:val="18"/>
              </w:rPr>
            </w:pPr>
            <w:r>
              <w:rPr>
                <w:rFonts w:hint="eastAsia" w:ascii="微软雅黑" w:hAnsi="微软雅黑" w:eastAsia="微软雅黑"/>
                <w:color w:val="auto"/>
                <w:sz w:val="18"/>
              </w:rPr>
              <w:t>/</w:t>
            </w:r>
          </w:p>
        </w:tc>
        <w:tc>
          <w:tcPr>
            <w:tcW w:w="558" w:type="pct"/>
            <w:gridSpan w:val="2"/>
            <w:shd w:val="clear" w:color="auto" w:fill="auto"/>
            <w:noWrap/>
            <w:vAlign w:val="center"/>
          </w:tcPr>
          <w:p w14:paraId="29E3E7CE">
            <w:pPr>
              <w:jc w:val="center"/>
              <w:rPr>
                <w:rFonts w:ascii="微软雅黑" w:hAnsi="微软雅黑" w:eastAsia="微软雅黑"/>
                <w:color w:val="auto"/>
                <w:sz w:val="18"/>
              </w:rPr>
            </w:pPr>
            <w:r>
              <w:rPr>
                <w:rFonts w:hint="eastAsia" w:ascii="微软雅黑" w:hAnsi="微软雅黑" w:eastAsia="微软雅黑"/>
                <w:color w:val="auto"/>
                <w:sz w:val="18"/>
              </w:rPr>
              <w:t>增值服务</w:t>
            </w:r>
          </w:p>
        </w:tc>
      </w:tr>
      <w:tr w14:paraId="1789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17" w:type="pct"/>
            <w:gridSpan w:val="6"/>
            <w:shd w:val="clear" w:color="000000" w:fill="FFFFFF"/>
            <w:vAlign w:val="center"/>
          </w:tcPr>
          <w:p w14:paraId="7B85A201">
            <w:pPr>
              <w:jc w:val="right"/>
              <w:rPr>
                <w:rFonts w:ascii="微软雅黑" w:hAnsi="微软雅黑" w:eastAsia="微软雅黑"/>
                <w:color w:val="auto"/>
                <w:sz w:val="18"/>
              </w:rPr>
            </w:pPr>
            <w:r>
              <w:rPr>
                <w:rFonts w:hint="eastAsia" w:ascii="微软雅黑" w:hAnsi="微软雅黑" w:eastAsia="微软雅黑"/>
                <w:color w:val="auto"/>
                <w:sz w:val="18"/>
              </w:rPr>
              <w:t>合计：</w:t>
            </w:r>
          </w:p>
        </w:tc>
        <w:tc>
          <w:tcPr>
            <w:tcW w:w="636" w:type="pct"/>
            <w:gridSpan w:val="2"/>
            <w:shd w:val="clear" w:color="auto" w:fill="auto"/>
            <w:noWrap/>
            <w:vAlign w:val="center"/>
          </w:tcPr>
          <w:p w14:paraId="2EE76012">
            <w:pPr>
              <w:jc w:val="center"/>
              <w:rPr>
                <w:rFonts w:ascii="微软雅黑" w:hAnsi="微软雅黑" w:eastAsia="微软雅黑"/>
                <w:color w:val="auto"/>
                <w:sz w:val="18"/>
              </w:rPr>
            </w:pPr>
            <w:r>
              <w:rPr>
                <w:rFonts w:hint="eastAsia" w:ascii="微软雅黑" w:hAnsi="微软雅黑" w:eastAsia="微软雅黑"/>
                <w:color w:val="auto"/>
                <w:sz w:val="18"/>
              </w:rPr>
              <w:t>¥180,000.00</w:t>
            </w:r>
          </w:p>
          <w:p w14:paraId="10637C6E">
            <w:pPr>
              <w:rPr>
                <w:color w:val="auto"/>
              </w:rPr>
            </w:pPr>
          </w:p>
        </w:tc>
        <w:tc>
          <w:tcPr>
            <w:tcW w:w="548" w:type="pct"/>
            <w:shd w:val="clear" w:color="auto" w:fill="auto"/>
            <w:noWrap/>
            <w:vAlign w:val="center"/>
          </w:tcPr>
          <w:p w14:paraId="5406C849">
            <w:pPr>
              <w:jc w:val="center"/>
              <w:rPr>
                <w:rFonts w:ascii="微软雅黑" w:hAnsi="微软雅黑" w:eastAsia="微软雅黑"/>
                <w:color w:val="auto"/>
                <w:sz w:val="18"/>
              </w:rPr>
            </w:pPr>
          </w:p>
        </w:tc>
      </w:tr>
    </w:tbl>
    <w:p w14:paraId="2946FF4E">
      <w:pPr>
        <w:rPr>
          <w:color w:val="auto"/>
        </w:rPr>
      </w:pPr>
    </w:p>
    <w:p w14:paraId="0DE3A308">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服务时间要求</w:t>
      </w:r>
    </w:p>
    <w:p w14:paraId="015452D7">
      <w:pPr>
        <w:numPr>
          <w:ilvl w:val="0"/>
          <w:numId w:val="2"/>
        </w:numPr>
        <w:spacing w:after="156" w:afterLines="50" w:line="360" w:lineRule="auto"/>
        <w:ind w:left="0" w:firstLine="480" w:firstLineChars="200"/>
        <w:rPr>
          <w:rFonts w:ascii="Times New Roman" w:hAnsi="Times New Roman"/>
          <w:color w:val="auto"/>
        </w:rPr>
      </w:pPr>
      <w:r>
        <w:rPr>
          <w:rFonts w:hint="eastAsia" w:ascii="Times New Roman" w:hAnsi="Times New Roman"/>
          <w:color w:val="auto"/>
        </w:rPr>
        <w:t>本项目服务期限为</w:t>
      </w:r>
      <w:r>
        <w:rPr>
          <w:rFonts w:hint="eastAsia" w:ascii="Times New Roman" w:hAnsi="Times New Roman"/>
          <w:b/>
          <w:bCs/>
          <w:color w:val="auto"/>
          <w:u w:val="single"/>
        </w:rPr>
        <w:t>2</w:t>
      </w:r>
      <w:r>
        <w:rPr>
          <w:rFonts w:ascii="Times New Roman" w:hAnsi="Times New Roman"/>
          <w:b/>
          <w:bCs/>
          <w:color w:val="auto"/>
          <w:u w:val="single"/>
        </w:rPr>
        <w:t>02</w:t>
      </w:r>
      <w:r>
        <w:rPr>
          <w:rFonts w:hint="eastAsia" w:ascii="Times New Roman" w:hAnsi="Times New Roman"/>
          <w:b/>
          <w:bCs/>
          <w:color w:val="auto"/>
          <w:u w:val="single"/>
          <w:lang w:val="en-US" w:eastAsia="zh-CN"/>
        </w:rPr>
        <w:t>5</w:t>
      </w:r>
      <w:r>
        <w:rPr>
          <w:rFonts w:hint="eastAsia" w:ascii="Times New Roman" w:hAnsi="Times New Roman"/>
          <w:b/>
          <w:bCs/>
          <w:color w:val="auto"/>
          <w:u w:val="single"/>
        </w:rPr>
        <w:t>年07月</w:t>
      </w:r>
      <w:r>
        <w:rPr>
          <w:rFonts w:hint="eastAsia" w:ascii="Times New Roman" w:hAnsi="Times New Roman"/>
          <w:b/>
          <w:bCs/>
          <w:color w:val="auto"/>
          <w:u w:val="single"/>
          <w:lang w:val="en-US" w:eastAsia="zh-CN"/>
        </w:rPr>
        <w:t>29</w:t>
      </w:r>
      <w:r>
        <w:rPr>
          <w:rFonts w:hint="eastAsia" w:ascii="Times New Roman" w:hAnsi="Times New Roman"/>
          <w:b/>
          <w:bCs/>
          <w:color w:val="auto"/>
          <w:u w:val="single"/>
        </w:rPr>
        <w:t>日至2</w:t>
      </w:r>
      <w:r>
        <w:rPr>
          <w:rFonts w:ascii="Times New Roman" w:hAnsi="Times New Roman"/>
          <w:b/>
          <w:bCs/>
          <w:color w:val="auto"/>
          <w:u w:val="single"/>
        </w:rPr>
        <w:t>02</w:t>
      </w:r>
      <w:r>
        <w:rPr>
          <w:rFonts w:hint="eastAsia" w:ascii="Times New Roman" w:hAnsi="Times New Roman"/>
          <w:b/>
          <w:bCs/>
          <w:color w:val="auto"/>
          <w:u w:val="single"/>
          <w:lang w:val="en-US" w:eastAsia="zh-CN"/>
        </w:rPr>
        <w:t>6</w:t>
      </w:r>
      <w:r>
        <w:rPr>
          <w:rFonts w:hint="eastAsia" w:ascii="Times New Roman" w:hAnsi="Times New Roman"/>
          <w:b/>
          <w:bCs/>
          <w:color w:val="auto"/>
          <w:u w:val="single"/>
        </w:rPr>
        <w:t>年07月</w:t>
      </w:r>
      <w:r>
        <w:rPr>
          <w:rFonts w:hint="eastAsia" w:ascii="Times New Roman" w:hAnsi="Times New Roman"/>
          <w:b/>
          <w:bCs/>
          <w:color w:val="auto"/>
          <w:u w:val="single"/>
          <w:lang w:val="en-US" w:eastAsia="zh-CN"/>
        </w:rPr>
        <w:t>28</w:t>
      </w:r>
      <w:r>
        <w:rPr>
          <w:rFonts w:hint="eastAsia" w:ascii="Times New Roman" w:hAnsi="Times New Roman"/>
          <w:b/>
          <w:bCs/>
          <w:color w:val="auto"/>
          <w:u w:val="single"/>
        </w:rPr>
        <w:t>日</w:t>
      </w:r>
      <w:r>
        <w:rPr>
          <w:rFonts w:hint="eastAsia" w:ascii="Times New Roman" w:hAnsi="Times New Roman"/>
          <w:color w:val="auto"/>
        </w:rPr>
        <w:t>。</w:t>
      </w:r>
    </w:p>
    <w:p w14:paraId="3B6A8223">
      <w:pPr>
        <w:numPr>
          <w:ilvl w:val="0"/>
          <w:numId w:val="2"/>
        </w:numPr>
        <w:spacing w:after="156" w:afterLines="50" w:line="360" w:lineRule="auto"/>
        <w:ind w:left="0" w:firstLine="480" w:firstLineChars="200"/>
        <w:rPr>
          <w:rFonts w:ascii="Times New Roman" w:hAnsi="Times New Roman"/>
          <w:color w:val="auto"/>
        </w:rPr>
      </w:pPr>
      <w:r>
        <w:rPr>
          <w:rFonts w:hint="eastAsia" w:ascii="Times New Roman" w:hAnsi="Times New Roman"/>
          <w:color w:val="auto"/>
        </w:rPr>
        <w:t>维护服务响应时间要求：</w:t>
      </w:r>
      <w:r>
        <w:rPr>
          <w:rFonts w:hint="eastAsia" w:ascii="Times New Roman" w:hAnsi="Times New Roman"/>
          <w:color w:val="auto"/>
          <w:szCs w:val="21"/>
        </w:rPr>
        <w:t>如果发生网络安全应急响应事件，在接到甲方电话30分钟内响应；一般问题2小时内远程处理，经过分析判断2个小时内远程不能解决的，应当在6小时内到现场，48个小时内解决。</w:t>
      </w:r>
    </w:p>
    <w:p w14:paraId="00C3B2BF">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服务资料归属</w:t>
      </w:r>
    </w:p>
    <w:p w14:paraId="4759CD33">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所有提交给甲方的服务文件及相关的资料的最后文本，包括为履行服务范围所编制的图纸、计划和证明资料等，都属于甲方的财产，知识产权也为甲方所有，乙方在提交给甲方之前应将上述资料进行整理归类和编制索引。</w:t>
      </w:r>
    </w:p>
    <w:p w14:paraId="31962F6B">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、合同履行完毕，未经甲方的书面同意，乙方不得保存在履行合同过程中所获得或接触到的任何内部数据资料，否则，甲方有权要求乙方立即改正，并按照本合同总价的</w:t>
      </w:r>
      <w:r>
        <w:rPr>
          <w:rFonts w:ascii="Times New Roman" w:hAnsi="Times New Roman"/>
          <w:color w:val="auto"/>
        </w:rPr>
        <w:t>10%</w:t>
      </w:r>
      <w:r>
        <w:rPr>
          <w:rFonts w:hint="eastAsia" w:ascii="Times New Roman" w:hAnsi="Times New Roman"/>
          <w:color w:val="auto"/>
        </w:rPr>
        <w:t>承担违约金，如该违约金不足以补偿甲方损失的，乙方还应继续赔偿甲方遭受的损失。</w:t>
      </w:r>
    </w:p>
    <w:p w14:paraId="2722309A">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甲方的义务</w:t>
      </w:r>
    </w:p>
    <w:p w14:paraId="1273182E">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、负责与本服务项目有关的第三方的协调，提供开展服务工作的外部条件。</w:t>
      </w:r>
    </w:p>
    <w:p w14:paraId="17545CC8">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、向乙方提供与本项目服务工作有关的资料。</w:t>
      </w:r>
    </w:p>
    <w:p w14:paraId="72034301">
      <w:pPr>
        <w:spacing w:after="156" w:afterLines="50" w:line="360" w:lineRule="auto"/>
        <w:ind w:firstLine="48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、负责组织相关人员对项目进行验收。</w:t>
      </w:r>
    </w:p>
    <w:p w14:paraId="0C5A1773">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乙方的义务</w:t>
      </w:r>
    </w:p>
    <w:p w14:paraId="6E5B3F00">
      <w:pPr>
        <w:spacing w:after="156" w:afterLines="50" w:line="360" w:lineRule="auto"/>
        <w:ind w:firstLine="480" w:firstLineChars="200"/>
        <w:rPr>
          <w:rFonts w:ascii="Times New Roman" w:hAnsi="Times New Roman"/>
          <w:color w:val="auto"/>
        </w:rPr>
      </w:pPr>
      <w:r>
        <w:rPr>
          <w:rFonts w:ascii="Times New Roman" w:hAnsi="Times New Roman" w:cs="Calibri"/>
          <w:color w:val="auto"/>
        </w:rPr>
        <w:t>1</w:t>
      </w:r>
      <w:r>
        <w:rPr>
          <w:rFonts w:hint="eastAsia" w:ascii="Times New Roman" w:hAnsi="Times New Roman" w:cs="Calibri"/>
          <w:color w:val="auto"/>
        </w:rPr>
        <w:t>、</w:t>
      </w:r>
      <w:r>
        <w:rPr>
          <w:rFonts w:hint="eastAsia" w:ascii="Times New Roman" w:hAnsi="Times New Roman"/>
          <w:color w:val="auto"/>
        </w:rPr>
        <w:t>应按照本合同的要求按期完成本项目的工作。</w:t>
      </w:r>
    </w:p>
    <w:p w14:paraId="0A7BF43D">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、负责组织项目的服务实施，保证工程进度和工作质量，并满足验收相关标准。</w:t>
      </w:r>
    </w:p>
    <w:p w14:paraId="306CD194">
      <w:pPr>
        <w:spacing w:after="156" w:afterLines="50" w:line="360" w:lineRule="auto"/>
        <w:ind w:firstLine="48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、向甲方提交纸质版和电子版验收资料等各一套，一套电子版文件（不加密、可编辑）。</w:t>
      </w:r>
    </w:p>
    <w:p w14:paraId="4C2D1BA0">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甲方的权利</w:t>
      </w:r>
    </w:p>
    <w:p w14:paraId="34588CA4">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、有权向乙方询问工作进展情况及相关的内容。</w:t>
      </w:r>
    </w:p>
    <w:p w14:paraId="5743A382">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、有权阐述对具体问题的意见和建议。</w:t>
      </w:r>
    </w:p>
    <w:p w14:paraId="67802CC0">
      <w:pPr>
        <w:spacing w:after="156" w:afterLines="50" w:line="360" w:lineRule="auto"/>
        <w:ind w:firstLine="48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、当甲方认定乙方人员不按合同履行其职责，或与第三人串通给甲方造成经济损失的，甲方有权要求更换人员，直至终止合同并要求乙方承担相应的赔偿责任。</w:t>
      </w:r>
    </w:p>
    <w:p w14:paraId="0E12A3D9">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乙方的权利</w:t>
      </w:r>
    </w:p>
    <w:p w14:paraId="2DA5A0D3">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、乙方在本项目服务过程中，如甲方提供的资料不明确时可向甲方提出书面报告。</w:t>
      </w:r>
    </w:p>
    <w:p w14:paraId="6C238FA9">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、乙方在本项目服务过程中，有权对第三方提出与本项目服务业务有关的问题进行核对或查问。</w:t>
      </w:r>
    </w:p>
    <w:p w14:paraId="392931A3">
      <w:pPr>
        <w:spacing w:after="156" w:afterLines="50" w:line="360" w:lineRule="auto"/>
        <w:ind w:firstLine="48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、乙方在本项目服务过程中，有到工程现场勘察的权利。</w:t>
      </w:r>
    </w:p>
    <w:p w14:paraId="6B1AF212">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甲方的责任</w:t>
      </w:r>
    </w:p>
    <w:p w14:paraId="640E66A0">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、应当履行本合同约定的义务，如有违反则应当承担违约责任，赔偿给乙方造成的损失。</w:t>
      </w:r>
    </w:p>
    <w:p w14:paraId="75003B21">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、甲方向乙方提出赔偿要求不能成立时，则应补偿由于该赔偿或其他要求所导致乙方的各种费用的支出。</w:t>
      </w:r>
    </w:p>
    <w:p w14:paraId="388C256F">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乙方的责任</w:t>
      </w:r>
    </w:p>
    <w:p w14:paraId="1F9D061F">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、如因乙方的责任造成进度的推迟或延误而超过约定的日期，双方应进一步约定相应延长合同有效期。</w:t>
      </w:r>
    </w:p>
    <w:p w14:paraId="6BF7926F">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、乙方应当履行本合同中约定的义务，因乙方的单方过失造成的经济损失，应当向甲方进行赔偿。</w:t>
      </w:r>
    </w:p>
    <w:p w14:paraId="755EC54D">
      <w:pPr>
        <w:spacing w:after="156" w:afterLines="50" w:line="360" w:lineRule="auto"/>
        <w:ind w:firstLine="48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、乙方对甲方或第三方所提出的问题不能及时核对或答复，导致合同不能全部或部分履行，甲方有权解除本合同，不予支付剩余的服务费，同时，乙方还应承担因此导致的其他法律责任。</w:t>
      </w:r>
    </w:p>
    <w:p w14:paraId="10B3BD25">
      <w:pPr>
        <w:spacing w:after="156" w:afterLines="50" w:line="360" w:lineRule="auto"/>
        <w:ind w:firstLine="480" w:firstLineChars="200"/>
        <w:rPr>
          <w:rFonts w:ascii="Times New Roman" w:hAnsi="Times New Roman"/>
          <w:color w:val="auto"/>
        </w:rPr>
      </w:pPr>
      <w:r>
        <w:rPr>
          <w:rFonts w:ascii="Times New Roman" w:hAnsi="Times New Roman"/>
          <w:color w:val="auto"/>
        </w:rPr>
        <w:t>4</w:t>
      </w:r>
      <w:r>
        <w:rPr>
          <w:rFonts w:hint="eastAsia" w:ascii="Times New Roman" w:hAnsi="Times New Roman"/>
          <w:color w:val="auto"/>
        </w:rPr>
        <w:t>、乙方向甲方提出赔偿要求不能成立时，则应补偿由于该赔偿或其他要求所导致甲方的各种费用的支出（包括但不限于诉讼费、保全费、律师费、鉴定费等费用）。</w:t>
      </w:r>
    </w:p>
    <w:p w14:paraId="148D91F0">
      <w:pPr>
        <w:spacing w:after="156" w:afterLines="50" w:line="360" w:lineRule="auto"/>
        <w:ind w:firstLine="480" w:firstLineChars="200"/>
        <w:rPr>
          <w:rFonts w:ascii="Times New Roman" w:hAnsi="Times New Roman"/>
          <w:color w:val="auto"/>
        </w:rPr>
      </w:pPr>
      <w:r>
        <w:rPr>
          <w:rFonts w:ascii="Times New Roman" w:hAnsi="Times New Roman"/>
          <w:color w:val="auto"/>
        </w:rPr>
        <w:t>5</w:t>
      </w:r>
      <w:r>
        <w:rPr>
          <w:rFonts w:hint="eastAsia" w:ascii="Times New Roman" w:hAnsi="Times New Roman"/>
          <w:color w:val="auto"/>
        </w:rPr>
        <w:t>、乙方不得将本合同项目非法分包或转包给任何单位和个人，否则，甲方有权立即解除合同，不予支付剩余的服务费，并要求乙方赔偿相应的损失。</w:t>
      </w:r>
    </w:p>
    <w:p w14:paraId="3CC921C6">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知识产权及保密要求</w:t>
      </w:r>
    </w:p>
    <w:p w14:paraId="0E3BE384">
      <w:pPr>
        <w:spacing w:line="400" w:lineRule="exact"/>
        <w:rPr>
          <w:color w:val="auto"/>
          <w:szCs w:val="21"/>
        </w:rPr>
      </w:pPr>
      <w:r>
        <w:rPr>
          <w:rFonts w:hint="eastAsia" w:ascii="Times New Roman" w:hAnsi="Times New Roman"/>
          <w:color w:val="auto"/>
        </w:rPr>
        <w:t xml:space="preserve">    </w:t>
      </w:r>
      <w:r>
        <w:rPr>
          <w:rFonts w:ascii="Times New Roman" w:hAnsi="Times New Roman"/>
          <w:color w:val="auto"/>
        </w:rPr>
        <w:t>1</w:t>
      </w:r>
      <w:r>
        <w:rPr>
          <w:rFonts w:hint="eastAsia" w:ascii="Times New Roman" w:hAnsi="Times New Roman"/>
          <w:color w:val="auto"/>
        </w:rPr>
        <w:t>、</w:t>
      </w:r>
      <w:r>
        <w:rPr>
          <w:rFonts w:hint="eastAsia"/>
          <w:color w:val="auto"/>
          <w:szCs w:val="21"/>
        </w:rPr>
        <w:t>侵权责任承担：乙方保证向甲方提供的服务不侵害任何第三方的知识产权，否则，由乙方赔偿甲方因此遭受的经济损失（包括但不限于赔偿金、违约金、律师费、调查取证费、差旅费等）。</w:t>
      </w:r>
    </w:p>
    <w:p w14:paraId="51C0B66D">
      <w:pPr>
        <w:spacing w:line="400" w:lineRule="exact"/>
        <w:ind w:firstLine="480" w:firstLineChars="200"/>
        <w:rPr>
          <w:rFonts w:ascii="Times New Roman" w:hAnsi="Times New Roman"/>
          <w:color w:val="auto"/>
        </w:rPr>
      </w:pPr>
      <w:r>
        <w:rPr>
          <w:rFonts w:hint="eastAsia"/>
          <w:color w:val="auto"/>
          <w:szCs w:val="21"/>
        </w:rPr>
        <w:t>2、知识产权权属：乙方应保证所提供货物或服务的商标、专利等知识产权归乙方所有，对于其知识产权乙方所有的产品，乙方有义务向甲方提供乙方合法使用该知识产权的证明（比如代理授权书，商标、专利许可使用合同，或购销该产品时开具的发票）。</w:t>
      </w:r>
    </w:p>
    <w:p w14:paraId="0A7A33CB">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3、由甲方收集的、开发的、整理的、复制的、研究的和准备的与本合同项下工作有关的所有资料在提供给乙方时，均被视为保密的，不得泄漏给除甲方或其指定的代表之外的任何人、企业或公司，不管本合同因何种原因变更</w:t>
      </w:r>
      <w:r>
        <w:rPr>
          <w:rFonts w:ascii="Times New Roman" w:hAnsi="Times New Roman"/>
          <w:color w:val="auto"/>
        </w:rPr>
        <w:t>、</w:t>
      </w:r>
      <w:r>
        <w:rPr>
          <w:rFonts w:hint="eastAsia" w:ascii="Times New Roman" w:hAnsi="Times New Roman"/>
          <w:color w:val="auto"/>
        </w:rPr>
        <w:t>终止或解除，本条款一直约束乙方。</w:t>
      </w:r>
    </w:p>
    <w:p w14:paraId="6B0CB1EF">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4、乙方在履行合同过程中所获得或接触到的任何内部数据资料及上述保密信息，未经甲方同意，不得向第三方透露，否则视为违约，乙方应向甲方支付合同总价</w:t>
      </w:r>
      <w:r>
        <w:rPr>
          <w:rFonts w:ascii="Times New Roman" w:hAnsi="Times New Roman"/>
          <w:color w:val="auto"/>
        </w:rPr>
        <w:t>20%</w:t>
      </w:r>
      <w:r>
        <w:rPr>
          <w:rFonts w:hint="eastAsia" w:ascii="Times New Roman" w:hAnsi="Times New Roman"/>
          <w:color w:val="auto"/>
        </w:rPr>
        <w:t>的违约金，并承担由此引起的甲方的损失。</w:t>
      </w:r>
    </w:p>
    <w:p w14:paraId="4CD02F2B">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验收</w:t>
      </w:r>
    </w:p>
    <w:p w14:paraId="51934734">
      <w:pPr>
        <w:spacing w:line="360" w:lineRule="auto"/>
        <w:ind w:firstLine="480" w:firstLineChars="200"/>
        <w:rPr>
          <w:rFonts w:ascii="Times New Roman" w:hAnsi="Times New Roman"/>
          <w:b/>
          <w:bCs/>
          <w:color w:val="auto"/>
          <w:szCs w:val="21"/>
        </w:rPr>
      </w:pPr>
      <w:r>
        <w:rPr>
          <w:rFonts w:hint="eastAsia" w:ascii="Times New Roman" w:hAnsi="Times New Roman"/>
          <w:b/>
          <w:bCs/>
          <w:color w:val="auto"/>
          <w:szCs w:val="21"/>
        </w:rPr>
        <w:t>1、验</w:t>
      </w:r>
      <w:r>
        <w:rPr>
          <w:rFonts w:ascii="Times New Roman" w:hAnsi="Times New Roman"/>
          <w:b/>
          <w:bCs/>
          <w:color w:val="auto"/>
          <w:szCs w:val="21"/>
        </w:rPr>
        <w:t>收依据</w:t>
      </w:r>
    </w:p>
    <w:p w14:paraId="3DE2CE63">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（1）项目合同书</w:t>
      </w:r>
    </w:p>
    <w:p w14:paraId="6C3931ED">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w:t>
      </w:r>
      <w:r>
        <w:rPr>
          <w:rFonts w:ascii="Times New Roman" w:hAnsi="Times New Roman"/>
          <w:color w:val="auto"/>
          <w:szCs w:val="21"/>
        </w:rPr>
        <w:t>2</w:t>
      </w:r>
      <w:r>
        <w:rPr>
          <w:rFonts w:hint="eastAsia" w:ascii="Times New Roman" w:hAnsi="Times New Roman"/>
          <w:color w:val="auto"/>
          <w:szCs w:val="21"/>
        </w:rPr>
        <w:t>）项目交付成果</w:t>
      </w:r>
    </w:p>
    <w:p w14:paraId="7D05026D">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w:t>
      </w:r>
      <w:r>
        <w:rPr>
          <w:rFonts w:ascii="Times New Roman" w:hAnsi="Times New Roman"/>
          <w:color w:val="auto"/>
          <w:szCs w:val="21"/>
        </w:rPr>
        <w:t>3</w:t>
      </w:r>
      <w:r>
        <w:rPr>
          <w:rFonts w:hint="eastAsia" w:ascii="Times New Roman" w:hAnsi="Times New Roman"/>
          <w:color w:val="auto"/>
          <w:szCs w:val="21"/>
        </w:rPr>
        <w:t>）国家和行业相关标准和规范</w:t>
      </w:r>
    </w:p>
    <w:p w14:paraId="01FF55D4">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w:t>
      </w:r>
      <w:r>
        <w:rPr>
          <w:rFonts w:ascii="Times New Roman" w:hAnsi="Times New Roman"/>
          <w:color w:val="auto"/>
          <w:szCs w:val="21"/>
        </w:rPr>
        <w:t>4</w:t>
      </w:r>
      <w:r>
        <w:rPr>
          <w:rFonts w:hint="eastAsia" w:ascii="Times New Roman" w:hAnsi="Times New Roman"/>
          <w:color w:val="auto"/>
          <w:szCs w:val="21"/>
        </w:rPr>
        <w:t>）深圳</w:t>
      </w:r>
      <w:r>
        <w:rPr>
          <w:rFonts w:ascii="Times New Roman" w:hAnsi="Times New Roman"/>
          <w:color w:val="auto"/>
          <w:szCs w:val="21"/>
        </w:rPr>
        <w:t>市</w:t>
      </w:r>
      <w:r>
        <w:rPr>
          <w:rFonts w:hint="eastAsia" w:ascii="Times New Roman" w:hAnsi="Times New Roman"/>
          <w:color w:val="auto"/>
          <w:szCs w:val="21"/>
        </w:rPr>
        <w:t>相关政策、标准和规范</w:t>
      </w:r>
    </w:p>
    <w:p w14:paraId="369A0B8B">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除以上要求外，验收要求根据项目实际情况及相关规定进行。</w:t>
      </w:r>
    </w:p>
    <w:p w14:paraId="2DF9B734">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本项目经最终用户验收合格后，甲方再向乙方出具验收报告。</w:t>
      </w:r>
    </w:p>
    <w:p w14:paraId="2D63EB41">
      <w:pPr>
        <w:spacing w:line="360" w:lineRule="auto"/>
        <w:ind w:firstLine="480" w:firstLineChars="200"/>
        <w:rPr>
          <w:rFonts w:ascii="Times New Roman" w:hAnsi="Times New Roman"/>
          <w:b/>
          <w:bCs/>
          <w:color w:val="auto"/>
          <w:szCs w:val="21"/>
        </w:rPr>
      </w:pPr>
      <w:r>
        <w:rPr>
          <w:rFonts w:hint="eastAsia" w:ascii="Times New Roman" w:hAnsi="Times New Roman"/>
          <w:b/>
          <w:bCs/>
          <w:color w:val="auto"/>
          <w:szCs w:val="21"/>
        </w:rPr>
        <w:t>2、验</w:t>
      </w:r>
      <w:r>
        <w:rPr>
          <w:rFonts w:ascii="Times New Roman" w:hAnsi="Times New Roman"/>
          <w:b/>
          <w:bCs/>
          <w:color w:val="auto"/>
          <w:szCs w:val="21"/>
        </w:rPr>
        <w:t>收</w:t>
      </w:r>
      <w:r>
        <w:rPr>
          <w:rFonts w:hint="eastAsia" w:ascii="Times New Roman" w:hAnsi="Times New Roman"/>
          <w:b/>
          <w:bCs/>
          <w:color w:val="auto"/>
          <w:szCs w:val="21"/>
        </w:rPr>
        <w:t>程序</w:t>
      </w:r>
    </w:p>
    <w:p w14:paraId="708B8CDB">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项目验收准备</w:t>
      </w:r>
    </w:p>
    <w:p w14:paraId="763D4BAF">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按照本项目要</w:t>
      </w:r>
      <w:r>
        <w:rPr>
          <w:rFonts w:ascii="Times New Roman" w:hAnsi="Times New Roman"/>
          <w:color w:val="auto"/>
          <w:szCs w:val="21"/>
        </w:rPr>
        <w:t>求</w:t>
      </w:r>
      <w:r>
        <w:rPr>
          <w:rFonts w:hint="eastAsia" w:ascii="Times New Roman" w:hAnsi="Times New Roman"/>
          <w:color w:val="auto"/>
          <w:szCs w:val="21"/>
        </w:rPr>
        <w:t>，完成验收的前提条件：</w:t>
      </w:r>
    </w:p>
    <w:p w14:paraId="18DDB3EA">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1)</w:t>
      </w:r>
      <w:r>
        <w:rPr>
          <w:rFonts w:hint="eastAsia" w:ascii="Times New Roman" w:hAnsi="Times New Roman"/>
          <w:color w:val="auto"/>
          <w:szCs w:val="21"/>
        </w:rPr>
        <w:tab/>
      </w:r>
      <w:r>
        <w:rPr>
          <w:rFonts w:hint="eastAsia" w:ascii="Times New Roman" w:hAnsi="Times New Roman"/>
          <w:color w:val="auto"/>
          <w:szCs w:val="21"/>
        </w:rPr>
        <w:t>合同项目内容已全部实施完毕；</w:t>
      </w:r>
    </w:p>
    <w:p w14:paraId="5CFD770C">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2）</w:t>
      </w:r>
      <w:r>
        <w:rPr>
          <w:rFonts w:hint="eastAsia" w:ascii="Times New Roman" w:hAnsi="Times New Roman"/>
          <w:color w:val="auto"/>
        </w:rPr>
        <w:t>文档的编制需要满足甲方的归档要求</w:t>
      </w:r>
      <w:r>
        <w:rPr>
          <w:rFonts w:hint="eastAsia" w:ascii="Times New Roman" w:hAnsi="Times New Roman"/>
          <w:color w:val="auto"/>
          <w:szCs w:val="21"/>
        </w:rPr>
        <w:t>；</w:t>
      </w:r>
    </w:p>
    <w:p w14:paraId="773B194C">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3)</w:t>
      </w:r>
      <w:r>
        <w:rPr>
          <w:rFonts w:hint="eastAsia" w:ascii="Times New Roman" w:hAnsi="Times New Roman"/>
          <w:color w:val="auto"/>
          <w:szCs w:val="21"/>
        </w:rPr>
        <w:tab/>
      </w:r>
      <w:r>
        <w:rPr>
          <w:rFonts w:hint="eastAsia" w:ascii="Times New Roman" w:hAnsi="Times New Roman"/>
          <w:color w:val="auto"/>
          <w:szCs w:val="21"/>
        </w:rPr>
        <w:t>经过自检并已合格。</w:t>
      </w:r>
    </w:p>
    <w:p w14:paraId="156F648C">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（2）</w:t>
      </w:r>
      <w:r>
        <w:rPr>
          <w:rFonts w:ascii="Times New Roman" w:hAnsi="Times New Roman"/>
          <w:color w:val="auto"/>
          <w:szCs w:val="21"/>
        </w:rPr>
        <w:t>验收</w:t>
      </w:r>
      <w:r>
        <w:rPr>
          <w:rFonts w:hint="eastAsia" w:ascii="Times New Roman" w:hAnsi="Times New Roman"/>
          <w:color w:val="auto"/>
          <w:szCs w:val="21"/>
        </w:rPr>
        <w:t>常</w:t>
      </w:r>
      <w:r>
        <w:rPr>
          <w:rFonts w:ascii="Times New Roman" w:hAnsi="Times New Roman"/>
          <w:color w:val="auto"/>
          <w:szCs w:val="21"/>
        </w:rPr>
        <w:t>规流程</w:t>
      </w:r>
    </w:p>
    <w:p w14:paraId="4B632201">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1)</w:t>
      </w:r>
      <w:r>
        <w:rPr>
          <w:rFonts w:hint="eastAsia" w:ascii="Times New Roman" w:hAnsi="Times New Roman"/>
          <w:color w:val="auto"/>
          <w:szCs w:val="21"/>
        </w:rPr>
        <w:tab/>
      </w:r>
      <w:r>
        <w:rPr>
          <w:rFonts w:hint="eastAsia" w:ascii="Times New Roman" w:hAnsi="Times New Roman"/>
          <w:color w:val="auto"/>
          <w:szCs w:val="21"/>
        </w:rPr>
        <w:t>乙方验收申请与受理；</w:t>
      </w:r>
    </w:p>
    <w:p w14:paraId="722EB31E">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2)</w:t>
      </w:r>
      <w:r>
        <w:rPr>
          <w:rFonts w:hint="eastAsia" w:ascii="Times New Roman" w:hAnsi="Times New Roman"/>
          <w:color w:val="auto"/>
          <w:szCs w:val="21"/>
        </w:rPr>
        <w:tab/>
      </w:r>
      <w:r>
        <w:rPr>
          <w:rFonts w:hint="eastAsia" w:ascii="Times New Roman" w:hAnsi="Times New Roman"/>
          <w:color w:val="auto"/>
          <w:szCs w:val="21"/>
        </w:rPr>
        <w:t>验收方案的编制；</w:t>
      </w:r>
    </w:p>
    <w:p w14:paraId="1C8B19DA">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3)</w:t>
      </w:r>
      <w:r>
        <w:rPr>
          <w:rFonts w:hint="eastAsia" w:ascii="Times New Roman" w:hAnsi="Times New Roman"/>
          <w:color w:val="auto"/>
          <w:szCs w:val="21"/>
        </w:rPr>
        <w:tab/>
      </w:r>
      <w:r>
        <w:rPr>
          <w:rFonts w:hint="eastAsia" w:ascii="Times New Roman" w:hAnsi="Times New Roman"/>
          <w:color w:val="auto"/>
          <w:szCs w:val="21"/>
        </w:rPr>
        <w:t>验收文档的准备；</w:t>
      </w:r>
    </w:p>
    <w:p w14:paraId="10986D42">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4)</w:t>
      </w:r>
      <w:r>
        <w:rPr>
          <w:rFonts w:hint="eastAsia" w:ascii="Times New Roman" w:hAnsi="Times New Roman"/>
          <w:color w:val="auto"/>
          <w:szCs w:val="21"/>
        </w:rPr>
        <w:tab/>
      </w:r>
      <w:r>
        <w:rPr>
          <w:rFonts w:hint="eastAsia" w:ascii="Times New Roman" w:hAnsi="Times New Roman"/>
          <w:color w:val="auto"/>
          <w:szCs w:val="21"/>
        </w:rPr>
        <w:t>现场验收；</w:t>
      </w:r>
    </w:p>
    <w:p w14:paraId="2647F94C">
      <w:pPr>
        <w:spacing w:line="360" w:lineRule="auto"/>
        <w:ind w:firstLine="480" w:firstLineChars="200"/>
        <w:rPr>
          <w:rFonts w:ascii="Times New Roman" w:hAnsi="Times New Roman"/>
          <w:color w:val="auto"/>
          <w:szCs w:val="21"/>
        </w:rPr>
      </w:pPr>
      <w:r>
        <w:rPr>
          <w:rFonts w:hint="eastAsia" w:ascii="Times New Roman" w:hAnsi="Times New Roman"/>
          <w:color w:val="auto"/>
          <w:szCs w:val="21"/>
        </w:rPr>
        <w:t>5)</w:t>
      </w:r>
      <w:r>
        <w:rPr>
          <w:rFonts w:hint="eastAsia" w:ascii="Times New Roman" w:hAnsi="Times New Roman"/>
          <w:color w:val="auto"/>
          <w:szCs w:val="21"/>
        </w:rPr>
        <w:tab/>
      </w:r>
      <w:r>
        <w:rPr>
          <w:rFonts w:hint="eastAsia" w:ascii="Times New Roman" w:hAnsi="Times New Roman"/>
          <w:color w:val="auto"/>
          <w:szCs w:val="21"/>
        </w:rPr>
        <w:t>验收报告的出具。</w:t>
      </w:r>
    </w:p>
    <w:p w14:paraId="1248823C">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付款方式</w:t>
      </w:r>
    </w:p>
    <w:p w14:paraId="6376B836">
      <w:pPr>
        <w:spacing w:after="156" w:afterLines="50" w:line="360" w:lineRule="auto"/>
        <w:ind w:firstLine="480" w:firstLineChars="200"/>
        <w:jc w:val="both"/>
        <w:rPr>
          <w:rFonts w:ascii="Times New Roman" w:hAnsi="Times New Roman"/>
          <w:color w:val="auto"/>
        </w:rPr>
      </w:pPr>
      <w:r>
        <w:rPr>
          <w:rFonts w:hint="eastAsia" w:ascii="Times New Roman" w:hAnsi="Times New Roman"/>
          <w:color w:val="auto"/>
        </w:rPr>
        <w:t>1、合同签订后</w:t>
      </w:r>
      <w:r>
        <w:rPr>
          <w:rFonts w:hint="eastAsia" w:ascii="Times New Roman" w:hAnsi="Times New Roman"/>
          <w:color w:val="auto"/>
          <w:u w:val="single"/>
        </w:rPr>
        <w:t xml:space="preserve"> </w:t>
      </w:r>
      <w:r>
        <w:rPr>
          <w:rFonts w:ascii="Times New Roman" w:hAnsi="Times New Roman"/>
          <w:b/>
          <w:color w:val="auto"/>
          <w:u w:val="single"/>
        </w:rPr>
        <w:t>1</w:t>
      </w:r>
      <w:r>
        <w:rPr>
          <w:rFonts w:hint="eastAsia" w:ascii="Times New Roman" w:hAnsi="Times New Roman"/>
          <w:b/>
          <w:color w:val="auto"/>
          <w:u w:val="single"/>
        </w:rPr>
        <w:t xml:space="preserve">5 </w:t>
      </w:r>
      <w:r>
        <w:rPr>
          <w:rFonts w:hint="eastAsia" w:ascii="Times New Roman" w:hAnsi="Times New Roman"/>
          <w:color w:val="auto"/>
        </w:rPr>
        <w:t>个工作日内，甲方向乙方支付首款，即合同总额的</w:t>
      </w:r>
      <w:r>
        <w:rPr>
          <w:rFonts w:ascii="Times New Roman" w:hAnsi="Times New Roman"/>
          <w:b/>
          <w:color w:val="auto"/>
          <w:u w:val="single"/>
        </w:rPr>
        <w:t>50</w:t>
      </w:r>
      <w:r>
        <w:rPr>
          <w:rFonts w:hint="eastAsia" w:ascii="Times New Roman" w:hAnsi="Times New Roman"/>
          <w:b/>
          <w:color w:val="auto"/>
          <w:u w:val="single"/>
        </w:rPr>
        <w:t>%（大写：人民币玖万元整，小写：￥</w:t>
      </w:r>
      <w:r>
        <w:rPr>
          <w:rFonts w:ascii="Times New Roman" w:hAnsi="Times New Roman"/>
          <w:b/>
          <w:color w:val="auto"/>
          <w:u w:val="single"/>
        </w:rPr>
        <w:t>90,000</w:t>
      </w:r>
      <w:r>
        <w:rPr>
          <w:rFonts w:hint="eastAsia" w:ascii="Times New Roman" w:hAnsi="Times New Roman"/>
          <w:b/>
          <w:color w:val="auto"/>
          <w:u w:val="single"/>
        </w:rPr>
        <w:t>.00）</w:t>
      </w:r>
      <w:r>
        <w:rPr>
          <w:rFonts w:hint="eastAsia" w:ascii="Times New Roman" w:hAnsi="Times New Roman"/>
          <w:color w:val="auto"/>
          <w:u w:val="single"/>
        </w:rPr>
        <w:t xml:space="preserve"> </w:t>
      </w:r>
      <w:r>
        <w:rPr>
          <w:rFonts w:hint="eastAsia" w:ascii="Times New Roman" w:hAnsi="Times New Roman"/>
          <w:color w:val="auto"/>
        </w:rPr>
        <w:t>；按合同约定完成服务且验收合格后支付尾款，即合同总额的</w:t>
      </w:r>
      <w:r>
        <w:rPr>
          <w:rFonts w:ascii="Times New Roman" w:hAnsi="Times New Roman"/>
          <w:b/>
          <w:color w:val="auto"/>
          <w:u w:val="single"/>
        </w:rPr>
        <w:t>50</w:t>
      </w:r>
      <w:r>
        <w:rPr>
          <w:rFonts w:hint="eastAsia" w:ascii="Times New Roman" w:hAnsi="Times New Roman"/>
          <w:b/>
          <w:color w:val="auto"/>
          <w:u w:val="single"/>
        </w:rPr>
        <w:t>%（大写：人民币玖万元整，小写：￥</w:t>
      </w:r>
      <w:r>
        <w:rPr>
          <w:rFonts w:ascii="Times New Roman" w:hAnsi="Times New Roman"/>
          <w:b/>
          <w:color w:val="auto"/>
          <w:u w:val="single"/>
        </w:rPr>
        <w:t>90,000</w:t>
      </w:r>
      <w:r>
        <w:rPr>
          <w:rFonts w:hint="eastAsia" w:ascii="Times New Roman" w:hAnsi="Times New Roman"/>
          <w:b/>
          <w:color w:val="auto"/>
          <w:u w:val="single"/>
        </w:rPr>
        <w:t>.00）。</w:t>
      </w:r>
    </w:p>
    <w:p w14:paraId="60810E58">
      <w:pPr>
        <w:spacing w:after="156" w:afterLines="50" w:line="360" w:lineRule="auto"/>
        <w:ind w:firstLine="480" w:firstLineChars="200"/>
        <w:rPr>
          <w:rFonts w:ascii="Times New Roman" w:hAnsi="Times New Roman"/>
          <w:color w:val="auto"/>
        </w:rPr>
      </w:pPr>
      <w:r>
        <w:rPr>
          <w:color w:val="auto"/>
        </w:rPr>
        <w:t>2</w:t>
      </w:r>
      <w:r>
        <w:rPr>
          <w:rFonts w:hint="eastAsia"/>
          <w:color w:val="auto"/>
        </w:rPr>
        <w:t>、甲方付款前，乙方应当出具符合国家规定的全额6%税率的增值税专用发票；否则，甲方有权延迟付款。甲方按照相关规定启动付款程序，因受付款流程、审计、财政等相关政策、规定等客观因素影响导致甲方在约定时间内未能成功支付的，不属于付款违约。</w:t>
      </w:r>
    </w:p>
    <w:p w14:paraId="37C53A3C">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争议解决办法</w:t>
      </w:r>
    </w:p>
    <w:p w14:paraId="63EC6526">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执行本合同发生的争议，由甲乙双方协商解决。协商不成的，由甲方所在地人民法院管辖。</w:t>
      </w:r>
    </w:p>
    <w:p w14:paraId="734BBCC4">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风险责任</w:t>
      </w:r>
    </w:p>
    <w:p w14:paraId="329B609D">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、乙方应完全地按照本合同的要求完成本项目，出于自身财务、技术、人力等原因导致项目失败的，甲方有权解除本合同，乙方应退还甲方已支付的全部服务费，同时乙方还应承担因此给甲方造成的全部损失。</w:t>
      </w:r>
    </w:p>
    <w:p w14:paraId="6DED5874">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乙方应当保证本合同服务人员的合法用工，在服务过程中应对自身及乙方指派的服务人员的安全生产负责，并自行解决乙方指派的服务人员的用工关系和纠纷，若由乙方原因发生的各种事故和纠纷甲方不承担任何责任，甲方因此遭受损失的，有权向乙方追偿。</w:t>
      </w:r>
    </w:p>
    <w:p w14:paraId="5E214A0D">
      <w:pPr>
        <w:pStyle w:val="2"/>
        <w:numPr>
          <w:ilvl w:val="0"/>
          <w:numId w:val="1"/>
        </w:numPr>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反贿赂/反腐败承诺</w:t>
      </w:r>
    </w:p>
    <w:p w14:paraId="041CADBD">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1、在本合同履行完毕前，双方相互承诺“不以金钱、实物、消费以及其他任何方式贿赂对方的业务人员、高管人员等与各类项目履行相关的人员”。</w:t>
      </w:r>
    </w:p>
    <w:p w14:paraId="25EE606E">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2、在本合同履行过程中，如任一方发现对方业务员、高管人员等与合同履行相关的人员向己方索要第1条所述的任一好处，应予拒绝，并应在第一时间向对方通报。</w:t>
      </w:r>
    </w:p>
    <w:p w14:paraId="099D2603">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3、如任一方违反承诺约定，守约方有权视违约方的行为严重影响合同继续履行和损害守约方的合法权益，守约方有权单方面解除合同，要求违约方按合同总价的30%支付违约金。</w:t>
      </w:r>
    </w:p>
    <w:p w14:paraId="408DFA73">
      <w:pPr>
        <w:spacing w:line="400" w:lineRule="exact"/>
        <w:ind w:firstLine="480" w:firstLineChars="200"/>
        <w:rPr>
          <w:color w:val="auto"/>
        </w:rPr>
      </w:pPr>
    </w:p>
    <w:p w14:paraId="5E563E54">
      <w:pPr>
        <w:pStyle w:val="107"/>
        <w:spacing w:before="0" w:after="0" w:line="360" w:lineRule="auto"/>
        <w:rPr>
          <w:b/>
          <w:color w:val="auto"/>
          <w:szCs w:val="24"/>
        </w:rPr>
      </w:pPr>
      <w:r>
        <w:rPr>
          <w:rFonts w:hint="eastAsia"/>
          <w:b/>
          <w:color w:val="auto"/>
          <w:szCs w:val="24"/>
        </w:rPr>
        <w:t>第十七条</w:t>
      </w:r>
      <w:r>
        <w:rPr>
          <w:rFonts w:hint="eastAsia"/>
          <w:b/>
          <w:color w:val="auto"/>
          <w:sz w:val="28"/>
          <w:szCs w:val="28"/>
        </w:rPr>
        <w:t xml:space="preserve"> 计算机信息网络安全约定</w:t>
      </w:r>
    </w:p>
    <w:p w14:paraId="14BF0253">
      <w:pPr>
        <w:pStyle w:val="108"/>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乙方</w:t>
      </w:r>
      <w:r>
        <w:rPr>
          <w:rFonts w:hint="eastAsia" w:ascii="宋体" w:hAnsi="宋体" w:cs="宋体"/>
          <w:color w:val="auto"/>
          <w:kern w:val="0"/>
          <w:sz w:val="24"/>
        </w:rPr>
        <w:t>严禁从事下列危害计算机信息网络安全的活动：</w:t>
      </w:r>
    </w:p>
    <w:p w14:paraId="76FA725B">
      <w:pPr>
        <w:pStyle w:val="108"/>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1、未经甲方或最终用户允许，擅自使用最终用户现场网络及其相关资源。</w:t>
      </w:r>
    </w:p>
    <w:p w14:paraId="1E46479B">
      <w:pPr>
        <w:pStyle w:val="108"/>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2、未经甲方或最终用户允许，擅自更改、删除最终用户现场网络及其相关资源配置信息。</w:t>
      </w:r>
    </w:p>
    <w:p w14:paraId="3D968566">
      <w:pPr>
        <w:pStyle w:val="108"/>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3、未经甲方或最终用户允许，擅自使用最终用户现场网络及其相关资源，对他人计算机信息网络中存储、处理或者传输的数据和应用程序进行删除、修改或者增加等。</w:t>
      </w:r>
    </w:p>
    <w:p w14:paraId="4946A418">
      <w:pPr>
        <w:pStyle w:val="108"/>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4、利用最终用户现场网络及其相关资源，制作、传播计算机病毒等破坏性程序，从事与本合同项目无关事项。</w:t>
      </w:r>
    </w:p>
    <w:p w14:paraId="44EA46B3">
      <w:pPr>
        <w:rPr>
          <w:b/>
          <w:bCs/>
          <w:color w:val="auto"/>
        </w:rPr>
      </w:pPr>
      <w:r>
        <w:rPr>
          <w:rFonts w:hint="eastAsia"/>
          <w:color w:val="auto"/>
        </w:rPr>
        <w:t xml:space="preserve">    5、利用最终用户现场网络及其相关资源，从事其他危害计算机信息网络安全活动。</w:t>
      </w:r>
    </w:p>
    <w:p w14:paraId="51DEE8B1">
      <w:pPr>
        <w:pStyle w:val="2"/>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第十八条 违约责任</w:t>
      </w:r>
    </w:p>
    <w:p w14:paraId="06AB775E">
      <w:pPr>
        <w:spacing w:after="156" w:afterLines="50" w:line="360" w:lineRule="auto"/>
        <w:ind w:firstLine="480" w:firstLineChars="200"/>
        <w:jc w:val="both"/>
        <w:rPr>
          <w:rFonts w:ascii="Times New Roman" w:hAnsi="Times New Roman"/>
          <w:color w:val="auto"/>
        </w:rPr>
      </w:pPr>
      <w:r>
        <w:rPr>
          <w:rFonts w:ascii="Times New Roman" w:hAnsi="Times New Roman"/>
          <w:color w:val="auto"/>
        </w:rPr>
        <w:t>1</w:t>
      </w:r>
      <w:r>
        <w:rPr>
          <w:rFonts w:hint="eastAsia" w:ascii="Times New Roman" w:hAnsi="Times New Roman"/>
          <w:color w:val="auto"/>
        </w:rPr>
        <w:t>、因乙方原因，未能按规定时间完成有关工作的，每延误一天，甲方可在支付合同余款中扣除合同总价款的千分之一，若余款不足以扣款或者款项已经支付完毕，则乙方应向甲方支付上述同等数额的违约金。延误累计超过【</w:t>
      </w:r>
      <w:r>
        <w:rPr>
          <w:rFonts w:ascii="Times New Roman" w:hAnsi="Times New Roman"/>
          <w:color w:val="auto"/>
        </w:rPr>
        <w:t>60</w:t>
      </w:r>
      <w:r>
        <w:rPr>
          <w:rFonts w:hint="eastAsia" w:ascii="Times New Roman" w:hAnsi="Times New Roman"/>
          <w:color w:val="auto"/>
        </w:rPr>
        <w:t>】天，甲方有权解除合同，乙方应返还甲方已支付的全部服务费用，并向甲方支付相当于合同总价的</w:t>
      </w:r>
      <w:r>
        <w:rPr>
          <w:rFonts w:ascii="Times New Roman" w:hAnsi="Times New Roman"/>
          <w:color w:val="auto"/>
        </w:rPr>
        <w:t>10</w:t>
      </w:r>
      <w:r>
        <w:rPr>
          <w:rFonts w:hint="eastAsia" w:ascii="Times New Roman" w:hAnsi="Times New Roman"/>
          <w:color w:val="auto"/>
        </w:rPr>
        <w:t>%的违约金。</w:t>
      </w:r>
    </w:p>
    <w:p w14:paraId="1AC51369">
      <w:pPr>
        <w:spacing w:after="156" w:afterLines="50" w:line="360" w:lineRule="auto"/>
        <w:ind w:firstLine="480" w:firstLineChars="200"/>
        <w:jc w:val="both"/>
        <w:rPr>
          <w:rFonts w:ascii="Times New Roman" w:hAnsi="Times New Roman"/>
          <w:color w:val="auto"/>
        </w:rPr>
      </w:pPr>
      <w:r>
        <w:rPr>
          <w:rFonts w:ascii="Times New Roman" w:hAnsi="Times New Roman"/>
          <w:color w:val="auto"/>
        </w:rPr>
        <w:t>2</w:t>
      </w:r>
      <w:r>
        <w:rPr>
          <w:rFonts w:hint="eastAsia" w:ascii="Times New Roman" w:hAnsi="Times New Roman"/>
          <w:color w:val="auto"/>
        </w:rPr>
        <w:t>、经甲方检验发现服务成果尚未达到预定条件及目标的，乙方应进行持续改进，甲方给予乙方合理期限（最长不超过</w:t>
      </w:r>
      <w:r>
        <w:rPr>
          <w:rFonts w:ascii="Times New Roman" w:hAnsi="Times New Roman"/>
          <w:color w:val="auto"/>
        </w:rPr>
        <w:t>60</w:t>
      </w:r>
      <w:r>
        <w:rPr>
          <w:rFonts w:hint="eastAsia" w:ascii="Times New Roman" w:hAnsi="Times New Roman"/>
          <w:color w:val="auto"/>
        </w:rPr>
        <w:t>天）改进后，服务成果仍不符合本合同约定条件和目标的，甲方有权解除合同，同时乙方应当返还全部甲方已经支付的服务费用，并向甲方支付相当于合同总价的</w:t>
      </w:r>
      <w:r>
        <w:rPr>
          <w:rFonts w:ascii="Times New Roman" w:hAnsi="Times New Roman"/>
          <w:color w:val="auto"/>
        </w:rPr>
        <w:t>10</w:t>
      </w:r>
      <w:r>
        <w:rPr>
          <w:rFonts w:hint="eastAsia" w:ascii="Times New Roman" w:hAnsi="Times New Roman"/>
          <w:color w:val="auto"/>
        </w:rPr>
        <w:t>%的违约金。</w:t>
      </w:r>
    </w:p>
    <w:p w14:paraId="022DBF7D">
      <w:pPr>
        <w:spacing w:after="156" w:afterLines="50" w:line="360" w:lineRule="auto"/>
        <w:ind w:firstLine="480" w:firstLineChars="200"/>
        <w:jc w:val="both"/>
        <w:rPr>
          <w:rFonts w:ascii="Times New Roman" w:hAnsi="Times New Roman"/>
          <w:color w:val="auto"/>
        </w:rPr>
      </w:pPr>
      <w:r>
        <w:rPr>
          <w:rFonts w:ascii="Times New Roman" w:hAnsi="Times New Roman"/>
          <w:color w:val="auto"/>
        </w:rPr>
        <w:t>3</w:t>
      </w:r>
      <w:r>
        <w:rPr>
          <w:rFonts w:hint="eastAsia" w:ascii="Times New Roman" w:hAnsi="Times New Roman"/>
          <w:color w:val="auto"/>
        </w:rPr>
        <w:t>、如乙方提供的服务（一年）不符合质量要求及甲方要求，必须在甲方提出要求后</w:t>
      </w:r>
      <w:r>
        <w:rPr>
          <w:rFonts w:ascii="Times New Roman" w:hAnsi="Times New Roman"/>
          <w:color w:val="auto"/>
        </w:rPr>
        <w:t>7</w:t>
      </w:r>
      <w:r>
        <w:rPr>
          <w:rFonts w:hint="eastAsia" w:ascii="Times New Roman" w:hAnsi="Times New Roman"/>
          <w:color w:val="auto"/>
        </w:rPr>
        <w:t>天内无条件修改，其费用由乙方承担。否则，甲方有权终止合同，并要求乙方向甲方支付合同总价的1</w:t>
      </w:r>
      <w:r>
        <w:rPr>
          <w:rFonts w:ascii="Times New Roman" w:hAnsi="Times New Roman"/>
          <w:color w:val="auto"/>
        </w:rPr>
        <w:t>0</w:t>
      </w:r>
      <w:r>
        <w:rPr>
          <w:rFonts w:hint="eastAsia" w:ascii="Times New Roman" w:hAnsi="Times New Roman"/>
          <w:color w:val="auto"/>
        </w:rPr>
        <w:t>%作为违约金。</w:t>
      </w:r>
    </w:p>
    <w:p w14:paraId="456B7685">
      <w:pPr>
        <w:spacing w:after="156" w:afterLines="50" w:line="360" w:lineRule="auto"/>
        <w:ind w:firstLine="480" w:firstLineChars="200"/>
        <w:jc w:val="both"/>
        <w:rPr>
          <w:rFonts w:ascii="Times New Roman" w:hAnsi="Times New Roman"/>
          <w:color w:val="auto"/>
        </w:rPr>
      </w:pPr>
      <w:r>
        <w:rPr>
          <w:rFonts w:ascii="Times New Roman" w:hAnsi="Times New Roman"/>
          <w:color w:val="auto"/>
        </w:rPr>
        <w:t>4、因乙方怠于履行本合同项下的服务内容导致甲方需另行委托第三人履行的，由此产生的一切费用均由乙方承担，同时乙方应承担相当于</w:t>
      </w:r>
      <w:r>
        <w:rPr>
          <w:rFonts w:hint="eastAsia" w:ascii="Times New Roman" w:hAnsi="Times New Roman"/>
          <w:color w:val="auto"/>
        </w:rPr>
        <w:t>合同总价</w:t>
      </w:r>
      <w:r>
        <w:rPr>
          <w:rFonts w:ascii="Times New Roman" w:hAnsi="Times New Roman"/>
          <w:color w:val="auto"/>
        </w:rPr>
        <w:t>10%的违约金。</w:t>
      </w:r>
    </w:p>
    <w:p w14:paraId="19F5A931">
      <w:pPr>
        <w:spacing w:after="156" w:afterLines="50" w:line="360" w:lineRule="auto"/>
        <w:ind w:firstLine="480" w:firstLineChars="200"/>
        <w:jc w:val="both"/>
        <w:rPr>
          <w:rFonts w:ascii="Times New Roman" w:hAnsi="Times New Roman"/>
          <w:color w:val="auto"/>
        </w:rPr>
      </w:pPr>
      <w:r>
        <w:rPr>
          <w:rFonts w:ascii="Times New Roman" w:hAnsi="Times New Roman"/>
          <w:color w:val="auto"/>
        </w:rPr>
        <w:t>5、未经甲方书面同意，乙方不得将本合同项下全部或部分义务转让给任何第三人，否则甲方有权解除合同并要求乙方在返还所有已付服务费用的同时承担相当于</w:t>
      </w:r>
      <w:r>
        <w:rPr>
          <w:rFonts w:hint="eastAsia" w:ascii="Times New Roman" w:hAnsi="Times New Roman"/>
          <w:color w:val="auto"/>
        </w:rPr>
        <w:t>合同总价</w:t>
      </w:r>
      <w:r>
        <w:rPr>
          <w:rFonts w:ascii="Times New Roman" w:hAnsi="Times New Roman"/>
          <w:color w:val="auto"/>
        </w:rPr>
        <w:t>10%的违约金。</w:t>
      </w:r>
    </w:p>
    <w:p w14:paraId="0A62F95B">
      <w:pPr>
        <w:spacing w:after="156" w:afterLines="50" w:line="360" w:lineRule="auto"/>
        <w:ind w:firstLine="480" w:firstLineChars="200"/>
        <w:jc w:val="both"/>
        <w:rPr>
          <w:rFonts w:ascii="Times New Roman" w:hAnsi="Times New Roman"/>
          <w:color w:val="auto"/>
        </w:rPr>
      </w:pPr>
      <w:r>
        <w:rPr>
          <w:rFonts w:hint="eastAsia" w:ascii="Times New Roman" w:hAnsi="Times New Roman"/>
          <w:color w:val="auto"/>
        </w:rPr>
        <w:t>6、如因甲方正常使用乙方交付的系统构成对第三方权利的侵犯</w:t>
      </w:r>
      <w:r>
        <w:rPr>
          <w:rFonts w:ascii="Times New Roman" w:hAnsi="Times New Roman"/>
          <w:color w:val="auto"/>
        </w:rPr>
        <w:t>，</w:t>
      </w:r>
      <w:r>
        <w:rPr>
          <w:rFonts w:hint="eastAsia" w:ascii="Times New Roman" w:hAnsi="Times New Roman"/>
          <w:color w:val="auto"/>
        </w:rPr>
        <w:t>甲方有权解除合同并要求乙方承担</w:t>
      </w:r>
      <w:r>
        <w:rPr>
          <w:rFonts w:ascii="Times New Roman" w:hAnsi="Times New Roman"/>
          <w:color w:val="auto"/>
        </w:rPr>
        <w:t>当于</w:t>
      </w:r>
      <w:r>
        <w:rPr>
          <w:rFonts w:hint="eastAsia" w:ascii="Times New Roman" w:hAnsi="Times New Roman"/>
          <w:color w:val="auto"/>
        </w:rPr>
        <w:t>合同总价</w:t>
      </w:r>
      <w:r>
        <w:rPr>
          <w:rFonts w:ascii="Times New Roman" w:hAnsi="Times New Roman"/>
          <w:color w:val="auto"/>
        </w:rPr>
        <w:t>10%</w:t>
      </w:r>
      <w:r>
        <w:rPr>
          <w:rFonts w:hint="eastAsia" w:ascii="Times New Roman" w:hAnsi="Times New Roman"/>
          <w:color w:val="auto"/>
        </w:rPr>
        <w:t>的违约金</w:t>
      </w:r>
      <w:r>
        <w:rPr>
          <w:rFonts w:ascii="Times New Roman" w:hAnsi="Times New Roman"/>
          <w:color w:val="auto"/>
        </w:rPr>
        <w:t>，</w:t>
      </w:r>
      <w:r>
        <w:rPr>
          <w:rFonts w:hint="eastAsia" w:ascii="Times New Roman" w:hAnsi="Times New Roman"/>
          <w:color w:val="auto"/>
        </w:rPr>
        <w:t>同时应赔偿甲方因此所遭受的全部损失和费用</w:t>
      </w:r>
      <w:r>
        <w:rPr>
          <w:rFonts w:ascii="Times New Roman" w:hAnsi="Times New Roman"/>
          <w:color w:val="auto"/>
        </w:rPr>
        <w:t>。</w:t>
      </w:r>
    </w:p>
    <w:p w14:paraId="3C095B8B">
      <w:pPr>
        <w:spacing w:after="156" w:afterLines="50" w:line="360" w:lineRule="auto"/>
        <w:ind w:firstLine="480" w:firstLineChars="200"/>
        <w:jc w:val="both"/>
        <w:rPr>
          <w:rFonts w:ascii="Times New Roman" w:hAnsi="Times New Roman"/>
          <w:color w:val="auto"/>
        </w:rPr>
      </w:pPr>
      <w:r>
        <w:rPr>
          <w:rFonts w:ascii="Times New Roman" w:hAnsi="Times New Roman"/>
          <w:color w:val="auto"/>
        </w:rPr>
        <w:t>7、</w:t>
      </w:r>
      <w:r>
        <w:rPr>
          <w:rFonts w:hint="eastAsia" w:ascii="Times New Roman" w:hAnsi="Times New Roman"/>
          <w:color w:val="auto"/>
        </w:rPr>
        <w:t>乙方应按照信息化项目合作企业安全管理要求，严格执行项目实施参与人员信息备案、背景审查、保密协议签订、安全教育培训和考核等管理要求，若乙方未按要求做好安全管理工作而造成甲方损失的，乙方应当承担全部赔偿责任。</w:t>
      </w:r>
    </w:p>
    <w:p w14:paraId="37CDE3DF">
      <w:pPr>
        <w:pStyle w:val="2"/>
        <w:spacing w:before="312" w:beforeLines="100" w:after="0" w:line="360" w:lineRule="auto"/>
        <w:rPr>
          <w:rFonts w:hint="eastAsia" w:ascii="Times New Roman" w:hAnsi="Times New Roman"/>
          <w:color w:val="auto"/>
          <w:sz w:val="28"/>
          <w:szCs w:val="28"/>
        </w:rPr>
      </w:pPr>
      <w:r>
        <w:rPr>
          <w:rFonts w:hint="eastAsia" w:ascii="Times New Roman" w:hAnsi="Times New Roman"/>
          <w:color w:val="auto"/>
          <w:sz w:val="28"/>
          <w:szCs w:val="28"/>
        </w:rPr>
        <w:t>第十</w:t>
      </w:r>
      <w:r>
        <w:rPr>
          <w:rFonts w:hint="eastAsia" w:ascii="Times New Roman" w:hAnsi="Times New Roman"/>
          <w:color w:val="auto"/>
          <w:sz w:val="28"/>
          <w:szCs w:val="28"/>
          <w:lang w:val="en-US" w:eastAsia="zh-CN"/>
        </w:rPr>
        <w:t>九</w:t>
      </w:r>
      <w:r>
        <w:rPr>
          <w:rFonts w:hint="eastAsia" w:ascii="Times New Roman" w:hAnsi="Times New Roman"/>
          <w:color w:val="auto"/>
          <w:sz w:val="28"/>
          <w:szCs w:val="28"/>
        </w:rPr>
        <w:t>条</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保密协议</w:t>
      </w:r>
    </w:p>
    <w:p w14:paraId="6A5A2B6E">
      <w:pPr>
        <w:tabs>
          <w:tab w:val="left" w:pos="720"/>
        </w:tabs>
        <w:spacing w:line="500" w:lineRule="exact"/>
        <w:ind w:firstLine="720"/>
        <w:rPr>
          <w:color w:val="auto"/>
        </w:rPr>
      </w:pPr>
      <w:r>
        <w:rPr>
          <w:rFonts w:hint="eastAsia"/>
          <w:color w:val="auto"/>
        </w:rPr>
        <w:t>甲方有责任和权利要求乙方严格遵守国家保密法律、法规和相关规定，保守国家秘密和警务工作秘密。乙方应加强保密意识并严格遵守以下条款：</w:t>
      </w:r>
    </w:p>
    <w:p w14:paraId="155A2FFA">
      <w:pPr>
        <w:widowControl w:val="0"/>
        <w:numPr>
          <w:ilvl w:val="0"/>
          <w:numId w:val="3"/>
        </w:numPr>
        <w:tabs>
          <w:tab w:val="left" w:pos="720"/>
        </w:tabs>
        <w:spacing w:line="500" w:lineRule="exact"/>
        <w:jc w:val="both"/>
        <w:rPr>
          <w:color w:val="auto"/>
        </w:rPr>
      </w:pPr>
      <w:r>
        <w:rPr>
          <w:rFonts w:hint="eastAsia"/>
          <w:color w:val="auto"/>
        </w:rPr>
        <w:t>严格遵守公安机关保密管理工作相关法律法规，保守在工作中所涉及的秘密，保密有效时间与国家对各具体秘密事项的保密期限要求相一致。不该说的秘密不说，不该知悉的秘密不问，不该看的秘密不看。</w:t>
      </w:r>
    </w:p>
    <w:p w14:paraId="60711E59">
      <w:pPr>
        <w:widowControl w:val="0"/>
        <w:numPr>
          <w:ilvl w:val="0"/>
          <w:numId w:val="3"/>
        </w:numPr>
        <w:tabs>
          <w:tab w:val="left" w:pos="720"/>
        </w:tabs>
        <w:spacing w:line="500" w:lineRule="exact"/>
        <w:jc w:val="both"/>
        <w:rPr>
          <w:color w:val="auto"/>
        </w:rPr>
      </w:pPr>
      <w:r>
        <w:rPr>
          <w:rFonts w:hint="eastAsia"/>
          <w:color w:val="auto"/>
        </w:rPr>
        <w:t>不得擅自记录、复制、拍摄、摘抄、收藏在工作中涉及的秘密和敏感信息；严禁将公安机关内部会议、谈话内容泄露给无关人员；严禁将工作中涉及的相关项目技术方案及实施规划透露给无关人员。</w:t>
      </w:r>
    </w:p>
    <w:p w14:paraId="15AE6155">
      <w:pPr>
        <w:widowControl w:val="0"/>
        <w:numPr>
          <w:ilvl w:val="0"/>
          <w:numId w:val="3"/>
        </w:numPr>
        <w:tabs>
          <w:tab w:val="left" w:pos="720"/>
        </w:tabs>
        <w:spacing w:line="500" w:lineRule="exact"/>
        <w:jc w:val="both"/>
        <w:rPr>
          <w:color w:val="auto"/>
        </w:rPr>
      </w:pPr>
      <w:r>
        <w:rPr>
          <w:rFonts w:hint="eastAsia"/>
          <w:color w:val="auto"/>
        </w:rPr>
        <w:t>服从甲方的安排，依照有关法律、法规和合同规定工作，不得将工作过程中接触到的机关文件（包括内部发文、各类通知及会议记录等）的内容泄露给无关人员；不得翻阅与工作无关的文件和资料，不得从事其它与合同无关的工作。</w:t>
      </w:r>
    </w:p>
    <w:p w14:paraId="27E7C66C">
      <w:pPr>
        <w:widowControl w:val="0"/>
        <w:numPr>
          <w:ilvl w:val="0"/>
          <w:numId w:val="3"/>
        </w:numPr>
        <w:tabs>
          <w:tab w:val="left" w:pos="720"/>
        </w:tabs>
        <w:spacing w:line="500" w:lineRule="exact"/>
        <w:jc w:val="both"/>
        <w:rPr>
          <w:color w:val="auto"/>
        </w:rPr>
      </w:pPr>
      <w:r>
        <w:rPr>
          <w:rFonts w:hint="eastAsia"/>
          <w:color w:val="auto"/>
        </w:rPr>
        <w:t>如需接触公安信息网，应认真学习和遵守公安信息网使用相关规定，严禁“一机两用”。不得将从公安信息网上获得的警务工作相关信息透露给无关人员；严禁私自下载、拷贝计算机内的秘密和敏感信息；不得擅自携带记载工作内容的硬盘、软盘和打印资料外出；严禁将公安信息系统的程序、口令、密钥等泄露给无关人员。不得擅自携带记载工作内容的硬盘、软盘和打印资料外出。</w:t>
      </w:r>
    </w:p>
    <w:p w14:paraId="66C0DDAB">
      <w:pPr>
        <w:widowControl w:val="0"/>
        <w:numPr>
          <w:ilvl w:val="0"/>
          <w:numId w:val="3"/>
        </w:numPr>
        <w:tabs>
          <w:tab w:val="left" w:pos="720"/>
        </w:tabs>
        <w:spacing w:line="500" w:lineRule="exact"/>
        <w:jc w:val="both"/>
        <w:rPr>
          <w:color w:val="auto"/>
        </w:rPr>
      </w:pPr>
      <w:r>
        <w:rPr>
          <w:rFonts w:hint="eastAsia"/>
          <w:color w:val="auto"/>
        </w:rPr>
        <w:t>不得带领无关人员进入办公场所。</w:t>
      </w:r>
    </w:p>
    <w:p w14:paraId="7D431C65">
      <w:pPr>
        <w:widowControl w:val="0"/>
        <w:numPr>
          <w:ilvl w:val="0"/>
          <w:numId w:val="3"/>
        </w:numPr>
        <w:tabs>
          <w:tab w:val="left" w:pos="720"/>
        </w:tabs>
        <w:spacing w:line="500" w:lineRule="exact"/>
        <w:jc w:val="both"/>
        <w:rPr>
          <w:color w:val="auto"/>
        </w:rPr>
      </w:pPr>
      <w:r>
        <w:rPr>
          <w:rFonts w:hint="eastAsia"/>
          <w:color w:val="auto"/>
        </w:rPr>
        <w:t>严禁泄露在工作中接触到的公安机关科技研究、发明、装备器材及其技术资料等国家科学技术秘密和警务工作秘密；不得发表涉及工作中国家秘密和警务工作秘密的技术文档和论文，未经甲方同意，乙方不得使用工程项目案例进行演示或宣传。</w:t>
      </w:r>
    </w:p>
    <w:p w14:paraId="5FDE12FF">
      <w:pPr>
        <w:widowControl w:val="0"/>
        <w:numPr>
          <w:ilvl w:val="0"/>
          <w:numId w:val="3"/>
        </w:numPr>
        <w:tabs>
          <w:tab w:val="left" w:pos="720"/>
        </w:tabs>
        <w:spacing w:line="500" w:lineRule="exact"/>
        <w:jc w:val="both"/>
        <w:rPr>
          <w:color w:val="auto"/>
        </w:rPr>
      </w:pPr>
      <w:r>
        <w:rPr>
          <w:rFonts w:hint="eastAsia"/>
          <w:color w:val="auto"/>
        </w:rPr>
        <w:t>无论乙方今后完成本项目工作或因故中途退出，均不得泄露所知悉的国家秘密和警务工作秘密。</w:t>
      </w:r>
    </w:p>
    <w:p w14:paraId="42C1A609">
      <w:pPr>
        <w:widowControl w:val="0"/>
        <w:numPr>
          <w:ilvl w:val="0"/>
          <w:numId w:val="3"/>
        </w:numPr>
        <w:tabs>
          <w:tab w:val="left" w:pos="720"/>
        </w:tabs>
        <w:spacing w:line="500" w:lineRule="exact"/>
        <w:jc w:val="both"/>
        <w:rPr>
          <w:color w:val="auto"/>
        </w:rPr>
      </w:pPr>
      <w:r>
        <w:rPr>
          <w:rFonts w:hint="eastAsia"/>
          <w:color w:val="auto"/>
        </w:rPr>
        <w:t>如发生国家秘密和警务工作秘密泄露，乙方应立即向甲方报告，并积极协助甲方及有关保密部门进行查处。</w:t>
      </w:r>
    </w:p>
    <w:p w14:paraId="4CDE0FD6">
      <w:pPr>
        <w:widowControl w:val="0"/>
        <w:numPr>
          <w:ilvl w:val="0"/>
          <w:numId w:val="3"/>
        </w:numPr>
        <w:tabs>
          <w:tab w:val="left" w:pos="720"/>
        </w:tabs>
        <w:spacing w:line="500" w:lineRule="exact"/>
        <w:jc w:val="both"/>
        <w:rPr>
          <w:color w:val="auto"/>
        </w:rPr>
      </w:pPr>
      <w:r>
        <w:rPr>
          <w:rFonts w:hint="eastAsia"/>
          <w:color w:val="auto"/>
        </w:rPr>
        <w:t>乙方如未能遵守上述协议，有违反保密规定行为而造成泄密的，甲方可依据有关规定追究乙方的责任，拒付合同中的部分或全部尾款；构成犯罪的，将依法追究刑事责任。</w:t>
      </w:r>
    </w:p>
    <w:p w14:paraId="3373EC00">
      <w:pPr>
        <w:pStyle w:val="2"/>
        <w:spacing w:before="312" w:beforeLines="100" w:after="0" w:line="360" w:lineRule="auto"/>
        <w:rPr>
          <w:rFonts w:ascii="Times New Roman" w:hAnsi="Times New Roman"/>
          <w:color w:val="auto"/>
          <w:sz w:val="28"/>
          <w:szCs w:val="28"/>
        </w:rPr>
      </w:pPr>
      <w:r>
        <w:rPr>
          <w:rFonts w:hint="eastAsia" w:ascii="Times New Roman" w:hAnsi="Times New Roman"/>
          <w:color w:val="auto"/>
          <w:sz w:val="28"/>
          <w:szCs w:val="28"/>
        </w:rPr>
        <w:t>第</w:t>
      </w:r>
      <w:r>
        <w:rPr>
          <w:rFonts w:hint="eastAsia" w:ascii="Times New Roman" w:hAnsi="Times New Roman"/>
          <w:color w:val="auto"/>
          <w:sz w:val="28"/>
          <w:szCs w:val="28"/>
          <w:lang w:eastAsia="zh-CN"/>
        </w:rPr>
        <w:t>二十</w:t>
      </w:r>
      <w:r>
        <w:rPr>
          <w:rFonts w:hint="eastAsia" w:ascii="Times New Roman" w:hAnsi="Times New Roman"/>
          <w:color w:val="auto"/>
          <w:sz w:val="28"/>
          <w:szCs w:val="28"/>
        </w:rPr>
        <w:t>条 其他</w:t>
      </w:r>
    </w:p>
    <w:p w14:paraId="0EFCBD91">
      <w:pPr>
        <w:spacing w:after="156" w:afterLines="50" w:line="360" w:lineRule="auto"/>
        <w:ind w:firstLine="48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、本合同执行中共同签署的补充与修正文件均为本合同的组成部分。</w:t>
      </w:r>
    </w:p>
    <w:p w14:paraId="3D0A6EAE">
      <w:pPr>
        <w:spacing w:after="156" w:afterLines="50" w:line="360" w:lineRule="auto"/>
        <w:ind w:firstLine="480" w:firstLineChars="200"/>
        <w:rPr>
          <w:rFonts w:ascii="Times New Roman" w:hAnsi="Times New Roman"/>
          <w:color w:val="auto"/>
        </w:rPr>
      </w:pPr>
      <w:r>
        <w:rPr>
          <w:rFonts w:ascii="Times New Roman" w:hAnsi="Times New Roman"/>
          <w:color w:val="auto"/>
        </w:rPr>
        <w:t>2</w:t>
      </w:r>
      <w:r>
        <w:rPr>
          <w:rFonts w:hint="eastAsia" w:ascii="Times New Roman" w:hAnsi="Times New Roman"/>
          <w:color w:val="auto"/>
        </w:rPr>
        <w:t>、本合同一式</w:t>
      </w:r>
      <w:r>
        <w:rPr>
          <w:rFonts w:hint="eastAsia" w:ascii="Times New Roman" w:hAnsi="Times New Roman"/>
          <w:color w:val="auto"/>
          <w:u w:val="single"/>
        </w:rPr>
        <w:t xml:space="preserve"> </w:t>
      </w:r>
      <w:r>
        <w:rPr>
          <w:rFonts w:hint="eastAsia" w:ascii="Times New Roman" w:hAnsi="Times New Roman"/>
          <w:b/>
          <w:bCs/>
          <w:color w:val="auto"/>
          <w:u w:val="single"/>
        </w:rPr>
        <w:t xml:space="preserve">肆 </w:t>
      </w:r>
      <w:r>
        <w:rPr>
          <w:rFonts w:hint="eastAsia" w:ascii="Times New Roman" w:hAnsi="Times New Roman"/>
          <w:color w:val="auto"/>
        </w:rPr>
        <w:t>份，甲方执</w:t>
      </w:r>
      <w:r>
        <w:rPr>
          <w:rFonts w:hint="eastAsia" w:ascii="Times New Roman" w:hAnsi="Times New Roman"/>
          <w:color w:val="auto"/>
          <w:u w:val="single"/>
        </w:rPr>
        <w:t xml:space="preserve"> </w:t>
      </w:r>
      <w:r>
        <w:rPr>
          <w:rFonts w:hint="eastAsia" w:ascii="Times New Roman" w:hAnsi="Times New Roman"/>
          <w:b/>
          <w:bCs/>
          <w:color w:val="auto"/>
          <w:u w:val="single"/>
        </w:rPr>
        <w:t xml:space="preserve">贰 </w:t>
      </w:r>
      <w:r>
        <w:rPr>
          <w:rFonts w:hint="eastAsia" w:ascii="Times New Roman" w:hAnsi="Times New Roman"/>
          <w:color w:val="auto"/>
        </w:rPr>
        <w:t>份，乙方执</w:t>
      </w:r>
      <w:r>
        <w:rPr>
          <w:rFonts w:hint="eastAsia" w:ascii="Times New Roman" w:hAnsi="Times New Roman"/>
          <w:color w:val="auto"/>
          <w:u w:val="single"/>
        </w:rPr>
        <w:t xml:space="preserve"> </w:t>
      </w:r>
      <w:r>
        <w:rPr>
          <w:rFonts w:hint="eastAsia" w:ascii="Times New Roman" w:hAnsi="Times New Roman"/>
          <w:b/>
          <w:bCs/>
          <w:color w:val="auto"/>
          <w:u w:val="single"/>
        </w:rPr>
        <w:t xml:space="preserve">贰 </w:t>
      </w:r>
      <w:r>
        <w:rPr>
          <w:rFonts w:hint="eastAsia" w:ascii="Times New Roman" w:hAnsi="Times New Roman"/>
          <w:color w:val="auto"/>
        </w:rPr>
        <w:t>份，具有同等法律效力。本合同自双方法人代表或授权代表签字并盖章之日起生效。</w:t>
      </w:r>
    </w:p>
    <w:p w14:paraId="68C000DF">
      <w:pPr>
        <w:spacing w:line="720" w:lineRule="auto"/>
        <w:rPr>
          <w:rFonts w:ascii="Times New Roman" w:hAnsi="Times New Roman"/>
          <w:color w:val="auto"/>
        </w:rPr>
      </w:pPr>
      <w:r>
        <w:rPr>
          <w:rFonts w:ascii="Times New Roman" w:hAnsi="Times New Roman"/>
          <w:color w:val="auto"/>
        </w:rPr>
        <w:t>3</w:t>
      </w:r>
      <w:r>
        <w:rPr>
          <w:rFonts w:hint="eastAsia" w:ascii="Times New Roman" w:hAnsi="Times New Roman"/>
          <w:color w:val="auto"/>
        </w:rPr>
        <w:t>、本合同未尽事宜，双方友好协商，达成解决方案，经双方法人代表或授权代表签字并盖章后，可作为本合同的组成部分。</w:t>
      </w:r>
    </w:p>
    <w:p w14:paraId="2B08AC4F">
      <w:pPr>
        <w:spacing w:after="156" w:afterLines="50" w:line="360" w:lineRule="auto"/>
        <w:ind w:firstLine="480" w:firstLineChars="200"/>
        <w:rPr>
          <w:rFonts w:ascii="Times New Roman" w:hAnsi="Times New Roman"/>
          <w:color w:val="auto"/>
        </w:rPr>
      </w:pPr>
      <w:r>
        <w:rPr>
          <w:rFonts w:hint="eastAsia" w:ascii="Times New Roman" w:hAnsi="Times New Roman"/>
          <w:color w:val="auto"/>
        </w:rPr>
        <w:t>（以下无正文内容）</w:t>
      </w:r>
    </w:p>
    <w:p w14:paraId="2629DDDA">
      <w:pPr>
        <w:spacing w:after="156" w:afterLines="50" w:line="360" w:lineRule="auto"/>
        <w:ind w:firstLine="480" w:firstLineChars="200"/>
        <w:rPr>
          <w:rFonts w:ascii="Times New Roman" w:hAnsi="Times New Roman"/>
          <w:color w:val="auto"/>
        </w:rPr>
      </w:pPr>
    </w:p>
    <w:p w14:paraId="01F4FDF0">
      <w:pPr>
        <w:rPr>
          <w:rFonts w:ascii="Times New Roman" w:hAnsi="Times New Roman"/>
          <w:color w:val="auto"/>
        </w:rPr>
      </w:pPr>
      <w:r>
        <w:rPr>
          <w:rFonts w:ascii="Times New Roman" w:hAnsi="Times New Roman"/>
          <w:color w:val="auto"/>
        </w:rPr>
        <w:br w:type="page"/>
      </w:r>
    </w:p>
    <w:p w14:paraId="5A615090">
      <w:pPr>
        <w:rPr>
          <w:rFonts w:hint="eastAsia" w:ascii="Times New Roman" w:hAnsi="Times New Roman"/>
          <w:color w:val="auto"/>
        </w:rPr>
      </w:pPr>
    </w:p>
    <w:p w14:paraId="5D725AA2">
      <w:pPr>
        <w:tabs>
          <w:tab w:val="left" w:pos="4820"/>
          <w:tab w:val="left" w:pos="4962"/>
        </w:tabs>
        <w:spacing w:line="720" w:lineRule="auto"/>
        <w:rPr>
          <w:rFonts w:ascii="Times New Roman" w:hAnsi="Times New Roman"/>
          <w:color w:val="auto"/>
        </w:rPr>
      </w:pPr>
      <w:r>
        <w:rPr>
          <w:rFonts w:hint="eastAsia" w:ascii="Times New Roman" w:hAnsi="Times New Roman"/>
          <w:color w:val="auto"/>
        </w:rPr>
        <w:t>甲方：</w:t>
      </w:r>
      <w:r>
        <w:rPr>
          <w:rFonts w:ascii="Times New Roman" w:hAnsi="Times New Roman"/>
          <w:color w:val="auto"/>
        </w:rPr>
        <w:t>深圳市公安局出入境管理支队</w:t>
      </w:r>
      <w:r>
        <w:rPr>
          <w:rFonts w:hint="eastAsia" w:ascii="Times New Roman" w:hAnsi="Times New Roman"/>
          <w:color w:val="auto"/>
        </w:rPr>
        <w:t xml:space="preserve"> </w:t>
      </w:r>
      <w:r>
        <w:rPr>
          <w:rFonts w:ascii="Times New Roman" w:hAnsi="Times New Roman"/>
          <w:color w:val="auto"/>
        </w:rPr>
        <w:t xml:space="preserve"> </w:t>
      </w:r>
      <w:r>
        <w:rPr>
          <w:rFonts w:hint="eastAsia" w:ascii="Times New Roman" w:hAnsi="Times New Roman"/>
          <w:color w:val="auto"/>
        </w:rPr>
        <w:t xml:space="preserve"> </w:t>
      </w:r>
      <w:r>
        <w:rPr>
          <w:rFonts w:ascii="Times New Roman" w:hAnsi="Times New Roman"/>
          <w:color w:val="auto"/>
        </w:rPr>
        <w:t xml:space="preserve">     </w:t>
      </w:r>
      <w:r>
        <w:rPr>
          <w:rFonts w:hint="eastAsia" w:ascii="Times New Roman" w:hAnsi="Times New Roman"/>
          <w:color w:val="auto"/>
        </w:rPr>
        <w:t>乙方：</w:t>
      </w:r>
    </w:p>
    <w:p w14:paraId="45DF0D76">
      <w:pPr>
        <w:spacing w:line="720" w:lineRule="auto"/>
        <w:ind w:firstLine="840" w:firstLineChars="350"/>
        <w:rPr>
          <w:rFonts w:ascii="Times New Roman" w:hAnsi="Times New Roman"/>
          <w:color w:val="auto"/>
        </w:rPr>
      </w:pPr>
      <w:r>
        <w:rPr>
          <w:rFonts w:hint="eastAsia" w:ascii="Times New Roman" w:hAnsi="Times New Roman"/>
          <w:color w:val="auto"/>
        </w:rPr>
        <w:t>（签章）</w:t>
      </w:r>
      <w:r>
        <w:rPr>
          <w:rFonts w:ascii="Times New Roman" w:hAnsi="Times New Roman"/>
          <w:color w:val="auto"/>
        </w:rPr>
        <w:t xml:space="preserve">                                   </w:t>
      </w:r>
      <w:r>
        <w:rPr>
          <w:rFonts w:hint="eastAsia" w:ascii="Times New Roman" w:hAnsi="Times New Roman"/>
          <w:color w:val="auto"/>
        </w:rPr>
        <w:t>（签章）</w:t>
      </w:r>
    </w:p>
    <w:p w14:paraId="6EA497EC">
      <w:pPr>
        <w:spacing w:line="720" w:lineRule="auto"/>
        <w:jc w:val="both"/>
        <w:rPr>
          <w:rFonts w:ascii="Times New Roman" w:hAnsi="Times New Roman"/>
          <w:color w:val="auto"/>
        </w:rPr>
      </w:pPr>
      <w:r>
        <w:rPr>
          <w:rFonts w:hint="eastAsia" w:ascii="Times New Roman" w:hAnsi="Times New Roman"/>
          <w:color w:val="auto"/>
        </w:rPr>
        <w:t>地址：</w:t>
      </w:r>
      <w:r>
        <w:rPr>
          <w:rFonts w:ascii="Times New Roman" w:hAnsi="Times New Roman"/>
          <w:color w:val="auto"/>
        </w:rPr>
        <w:t>深圳市罗湖区解放路4018号</w:t>
      </w:r>
      <w:r>
        <w:rPr>
          <w:rFonts w:hint="eastAsia" w:ascii="Times New Roman" w:hAnsi="Times New Roman"/>
          <w:color w:val="auto"/>
        </w:rPr>
        <w:t xml:space="preserve"> </w:t>
      </w:r>
      <w:r>
        <w:rPr>
          <w:rFonts w:hint="eastAsia" w:ascii="Times New Roman" w:hAnsi="Times New Roman"/>
          <w:color w:val="auto"/>
          <w:lang w:val="en-US" w:eastAsia="zh-CN"/>
        </w:rPr>
        <w:t xml:space="preserve">      </w:t>
      </w:r>
      <w:r>
        <w:rPr>
          <w:rFonts w:ascii="Times New Roman" w:hAnsi="Times New Roman"/>
          <w:color w:val="auto"/>
        </w:rPr>
        <w:t xml:space="preserve">   </w:t>
      </w:r>
      <w:r>
        <w:rPr>
          <w:rFonts w:hint="eastAsia" w:ascii="Times New Roman" w:hAnsi="Times New Roman"/>
          <w:color w:val="auto"/>
        </w:rPr>
        <w:t>地址：</w:t>
      </w:r>
      <w:r>
        <w:rPr>
          <w:rFonts w:hint="eastAsia" w:ascii="Times New Roman" w:hAnsi="Times New Roman"/>
          <w:color w:val="auto"/>
          <w:lang w:val="en-US" w:eastAsia="zh-CN"/>
        </w:rPr>
        <w:t xml:space="preserve"> </w:t>
      </w:r>
    </w:p>
    <w:p w14:paraId="756285E0">
      <w:pPr>
        <w:spacing w:line="480" w:lineRule="auto"/>
        <w:rPr>
          <w:rFonts w:ascii="Times New Roman" w:hAnsi="Times New Roman"/>
          <w:color w:val="auto"/>
        </w:rPr>
      </w:pPr>
      <w:r>
        <w:rPr>
          <w:rFonts w:hint="eastAsia" w:ascii="Times New Roman" w:hAnsi="Times New Roman"/>
          <w:color w:val="auto"/>
        </w:rPr>
        <w:t xml:space="preserve">法人代表或授权代表（签字）： </w:t>
      </w:r>
      <w:r>
        <w:rPr>
          <w:rFonts w:ascii="Times New Roman" w:hAnsi="Times New Roman"/>
          <w:color w:val="auto"/>
        </w:rPr>
        <w:t xml:space="preserve">           </w:t>
      </w:r>
      <w:r>
        <w:rPr>
          <w:rFonts w:hint="eastAsia" w:ascii="Times New Roman" w:hAnsi="Times New Roman"/>
          <w:color w:val="auto"/>
        </w:rPr>
        <w:t>法人代表或授权代表（签字）：</w:t>
      </w:r>
    </w:p>
    <w:p w14:paraId="665ED2CA">
      <w:pPr>
        <w:spacing w:line="720" w:lineRule="auto"/>
        <w:jc w:val="center"/>
        <w:rPr>
          <w:rFonts w:ascii="Times New Roman" w:hAnsi="Times New Roman"/>
          <w:color w:val="auto"/>
        </w:rPr>
      </w:pPr>
      <w:r>
        <w:rPr>
          <w:rFonts w:hint="eastAsia" w:ascii="Times New Roman" w:hAnsi="Times New Roman"/>
          <w:color w:val="auto"/>
        </w:rPr>
        <w:t>开户行：</w:t>
      </w:r>
    </w:p>
    <w:p w14:paraId="6C74FA80">
      <w:pPr>
        <w:spacing w:line="720" w:lineRule="auto"/>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rPr>
        <w:t xml:space="preserve">               </w:t>
      </w:r>
      <w:r>
        <w:rPr>
          <w:rFonts w:ascii="Times New Roman" w:hAnsi="Times New Roman"/>
          <w:color w:val="auto"/>
        </w:rPr>
        <w:t xml:space="preserve">  </w:t>
      </w:r>
      <w:r>
        <w:rPr>
          <w:rFonts w:hint="eastAsia" w:ascii="Times New Roman" w:hAnsi="Times New Roman"/>
          <w:color w:val="auto"/>
        </w:rPr>
        <w:t xml:space="preserve">                银行账号：</w:t>
      </w:r>
    </w:p>
    <w:p w14:paraId="70043927">
      <w:pPr>
        <w:spacing w:line="720" w:lineRule="auto"/>
        <w:rPr>
          <w:rFonts w:ascii="Times New Roman" w:hAnsi="Times New Roman"/>
          <w:color w:val="auto"/>
        </w:rPr>
      </w:pPr>
    </w:p>
    <w:p w14:paraId="7E51E3A9">
      <w:pPr>
        <w:spacing w:line="720" w:lineRule="auto"/>
        <w:rPr>
          <w:rFonts w:ascii="Times New Roman" w:hAnsi="Times New Roman"/>
          <w:color w:val="auto"/>
        </w:rPr>
      </w:pPr>
      <w:r>
        <w:rPr>
          <w:rFonts w:hint="eastAsia" w:ascii="Times New Roman" w:hAnsi="Times New Roman"/>
          <w:color w:val="auto"/>
        </w:rPr>
        <w:t xml:space="preserve">日期： </w:t>
      </w:r>
      <w:r>
        <w:rPr>
          <w:rFonts w:ascii="Times New Roman" w:hAnsi="Times New Roman"/>
          <w:color w:val="auto"/>
        </w:rPr>
        <w:t xml:space="preserve">     </w:t>
      </w:r>
      <w:r>
        <w:rPr>
          <w:rFonts w:hint="eastAsia" w:ascii="Times New Roman" w:hAnsi="Times New Roman"/>
          <w:color w:val="auto"/>
        </w:rPr>
        <w:t xml:space="preserve">年 </w:t>
      </w:r>
      <w:r>
        <w:rPr>
          <w:rFonts w:ascii="Times New Roman" w:hAnsi="Times New Roman"/>
          <w:color w:val="auto"/>
        </w:rPr>
        <w:t xml:space="preserve">   </w:t>
      </w:r>
      <w:r>
        <w:rPr>
          <w:rFonts w:hint="eastAsia" w:ascii="Times New Roman" w:hAnsi="Times New Roman"/>
          <w:color w:val="auto"/>
        </w:rPr>
        <w:t xml:space="preserve">月 </w:t>
      </w:r>
      <w:r>
        <w:rPr>
          <w:rFonts w:ascii="Times New Roman" w:hAnsi="Times New Roman"/>
          <w:color w:val="auto"/>
        </w:rPr>
        <w:t xml:space="preserve">   </w:t>
      </w:r>
      <w:r>
        <w:rPr>
          <w:rFonts w:hint="eastAsia" w:ascii="Times New Roman" w:hAnsi="Times New Roman"/>
          <w:color w:val="auto"/>
        </w:rPr>
        <w:t xml:space="preserve">日 </w:t>
      </w:r>
      <w:r>
        <w:rPr>
          <w:rFonts w:ascii="Times New Roman" w:hAnsi="Times New Roman"/>
          <w:color w:val="auto"/>
        </w:rPr>
        <w:t xml:space="preserve">                </w:t>
      </w:r>
    </w:p>
    <w:p w14:paraId="69DB6D89">
      <w:pPr>
        <w:spacing w:line="720" w:lineRule="auto"/>
        <w:rPr>
          <w:rFonts w:ascii="Times New Roman" w:hAnsi="Times New Roman"/>
          <w:color w:val="auto"/>
        </w:rPr>
      </w:pPr>
    </w:p>
    <w:p w14:paraId="69CB620B">
      <w:pPr>
        <w:spacing w:line="720" w:lineRule="auto"/>
        <w:rPr>
          <w:rFonts w:ascii="Times New Roman" w:hAnsi="Times New Roman"/>
          <w:color w:val="auto"/>
        </w:rPr>
      </w:pPr>
    </w:p>
    <w:p w14:paraId="7BEBD002">
      <w:pPr>
        <w:spacing w:line="720" w:lineRule="auto"/>
        <w:rPr>
          <w:rFonts w:ascii="Times New Roman" w:hAnsi="Times New Roman"/>
          <w:color w:val="auto"/>
        </w:rPr>
      </w:pPr>
    </w:p>
    <w:sectPr>
      <w:footerReference r:id="rId3" w:type="default"/>
      <w:pgSz w:w="11906" w:h="16838"/>
      <w:pgMar w:top="1418" w:right="1418" w:bottom="1247"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9075">
    <w:pPr>
      <w:pStyle w:val="15"/>
      <w:jc w:val="center"/>
      <w:rPr>
        <w:b/>
        <w:sz w:val="21"/>
        <w:szCs w:val="21"/>
      </w:rPr>
    </w:pPr>
    <w:r>
      <w:rPr>
        <w:b/>
        <w:sz w:val="21"/>
        <w:szCs w:val="21"/>
      </w:rPr>
      <w:fldChar w:fldCharType="begin"/>
    </w:r>
    <w:r>
      <w:rPr>
        <w:b/>
        <w:sz w:val="21"/>
        <w:szCs w:val="21"/>
      </w:rPr>
      <w:instrText xml:space="preserve">PAGE   \* MERGEFORMAT</w:instrText>
    </w:r>
    <w:r>
      <w:rPr>
        <w:b/>
        <w:sz w:val="21"/>
        <w:szCs w:val="21"/>
      </w:rPr>
      <w:fldChar w:fldCharType="separate"/>
    </w:r>
    <w:r>
      <w:rPr>
        <w:b/>
        <w:sz w:val="21"/>
        <w:szCs w:val="21"/>
        <w:lang w:val="zh-CN"/>
      </w:rPr>
      <w:t>12</w:t>
    </w:r>
    <w:r>
      <w:rPr>
        <w:b/>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C4AC6"/>
    <w:multiLevelType w:val="multilevel"/>
    <w:tmpl w:val="372C4AC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1B57B4E"/>
    <w:multiLevelType w:val="multilevel"/>
    <w:tmpl w:val="41B57B4E"/>
    <w:lvl w:ilvl="0" w:tentative="0">
      <w:start w:val="1"/>
      <w:numFmt w:val="chineseCountingThousand"/>
      <w:lvlText w:val="第%1条"/>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843FA1"/>
    <w:multiLevelType w:val="multilevel"/>
    <w:tmpl w:val="6D843FA1"/>
    <w:lvl w:ilvl="0" w:tentative="0">
      <w:start w:val="1"/>
      <w:numFmt w:val="decimal"/>
      <w:lvlText w:val="%1、"/>
      <w:lvlJc w:val="left"/>
      <w:pPr>
        <w:tabs>
          <w:tab w:val="left" w:pos="1140"/>
        </w:tabs>
        <w:ind w:left="1140" w:hanging="360"/>
      </w:pPr>
      <w:rPr>
        <w:rFonts w:ascii="Times New Roman" w:hAnsi="Times New Roman" w:eastAsia="宋体" w:cs="Times New Roman"/>
      </w:rPr>
    </w:lvl>
    <w:lvl w:ilvl="1" w:tentative="0">
      <w:start w:val="1"/>
      <w:numFmt w:val="lowerLetter"/>
      <w:lvlText w:val="%2)"/>
      <w:lvlJc w:val="left"/>
      <w:pPr>
        <w:tabs>
          <w:tab w:val="left" w:pos="1620"/>
        </w:tabs>
        <w:ind w:left="1620" w:hanging="420"/>
      </w:pPr>
    </w:lvl>
    <w:lvl w:ilvl="2" w:tentative="0">
      <w:start w:val="1"/>
      <w:numFmt w:val="lowerRoman"/>
      <w:lvlText w:val="%3."/>
      <w:lvlJc w:val="right"/>
      <w:pPr>
        <w:tabs>
          <w:tab w:val="left" w:pos="2040"/>
        </w:tabs>
        <w:ind w:left="2040" w:hanging="420"/>
      </w:pPr>
    </w:lvl>
    <w:lvl w:ilvl="3" w:tentative="0">
      <w:start w:val="1"/>
      <w:numFmt w:val="decimal"/>
      <w:lvlText w:val="%4."/>
      <w:lvlJc w:val="left"/>
      <w:pPr>
        <w:tabs>
          <w:tab w:val="left" w:pos="2460"/>
        </w:tabs>
        <w:ind w:left="2460" w:hanging="420"/>
      </w:p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MjQ5YTQwZWEyZjg0OGVmMDA1MzA4MGQ4OTBjZmMifQ=="/>
  </w:docVars>
  <w:rsids>
    <w:rsidRoot w:val="000F3EE4"/>
    <w:rsid w:val="0003052B"/>
    <w:rsid w:val="000A27B3"/>
    <w:rsid w:val="000B0951"/>
    <w:rsid w:val="000B4511"/>
    <w:rsid w:val="000F3EE4"/>
    <w:rsid w:val="000F7FD2"/>
    <w:rsid w:val="00111A5E"/>
    <w:rsid w:val="001172C6"/>
    <w:rsid w:val="00132329"/>
    <w:rsid w:val="0016340A"/>
    <w:rsid w:val="001C2975"/>
    <w:rsid w:val="0020173E"/>
    <w:rsid w:val="00215DF6"/>
    <w:rsid w:val="002214B8"/>
    <w:rsid w:val="002322E0"/>
    <w:rsid w:val="00253671"/>
    <w:rsid w:val="00264111"/>
    <w:rsid w:val="00287B37"/>
    <w:rsid w:val="002B0673"/>
    <w:rsid w:val="002C0225"/>
    <w:rsid w:val="002C591B"/>
    <w:rsid w:val="002C706F"/>
    <w:rsid w:val="002E7124"/>
    <w:rsid w:val="002F22EC"/>
    <w:rsid w:val="00325161"/>
    <w:rsid w:val="003419D6"/>
    <w:rsid w:val="003448E7"/>
    <w:rsid w:val="0035646D"/>
    <w:rsid w:val="00366FD1"/>
    <w:rsid w:val="003736E8"/>
    <w:rsid w:val="003D7BDF"/>
    <w:rsid w:val="003E0286"/>
    <w:rsid w:val="003F1EAD"/>
    <w:rsid w:val="004162D7"/>
    <w:rsid w:val="004266A1"/>
    <w:rsid w:val="004266A4"/>
    <w:rsid w:val="004370F4"/>
    <w:rsid w:val="00451BEB"/>
    <w:rsid w:val="00455F84"/>
    <w:rsid w:val="00460CBA"/>
    <w:rsid w:val="00470CEA"/>
    <w:rsid w:val="00491B25"/>
    <w:rsid w:val="00533F9C"/>
    <w:rsid w:val="00545F01"/>
    <w:rsid w:val="00555064"/>
    <w:rsid w:val="005A06CD"/>
    <w:rsid w:val="005A4C5A"/>
    <w:rsid w:val="005A7F41"/>
    <w:rsid w:val="005C2298"/>
    <w:rsid w:val="006200C0"/>
    <w:rsid w:val="00656A89"/>
    <w:rsid w:val="00662989"/>
    <w:rsid w:val="00685193"/>
    <w:rsid w:val="006867E5"/>
    <w:rsid w:val="006A79E6"/>
    <w:rsid w:val="006A7A9A"/>
    <w:rsid w:val="006E0599"/>
    <w:rsid w:val="00744AAF"/>
    <w:rsid w:val="00751CAB"/>
    <w:rsid w:val="00756A25"/>
    <w:rsid w:val="0076579A"/>
    <w:rsid w:val="007970B7"/>
    <w:rsid w:val="007C454E"/>
    <w:rsid w:val="007D5FEC"/>
    <w:rsid w:val="007E0D5D"/>
    <w:rsid w:val="007E3150"/>
    <w:rsid w:val="007F3D91"/>
    <w:rsid w:val="007F5498"/>
    <w:rsid w:val="00843372"/>
    <w:rsid w:val="008443B7"/>
    <w:rsid w:val="00856CE4"/>
    <w:rsid w:val="00862E32"/>
    <w:rsid w:val="00897410"/>
    <w:rsid w:val="008E09B8"/>
    <w:rsid w:val="008F26A7"/>
    <w:rsid w:val="00913E5F"/>
    <w:rsid w:val="00920231"/>
    <w:rsid w:val="00920E4B"/>
    <w:rsid w:val="009302BD"/>
    <w:rsid w:val="00933858"/>
    <w:rsid w:val="009602AF"/>
    <w:rsid w:val="009A24A9"/>
    <w:rsid w:val="009E0C18"/>
    <w:rsid w:val="009E5F38"/>
    <w:rsid w:val="009F4485"/>
    <w:rsid w:val="009F7722"/>
    <w:rsid w:val="00A15D1E"/>
    <w:rsid w:val="00A204DD"/>
    <w:rsid w:val="00A25FAC"/>
    <w:rsid w:val="00A328CA"/>
    <w:rsid w:val="00A41AAE"/>
    <w:rsid w:val="00A53056"/>
    <w:rsid w:val="00A57B5A"/>
    <w:rsid w:val="00A624EB"/>
    <w:rsid w:val="00AD5E3C"/>
    <w:rsid w:val="00B078DB"/>
    <w:rsid w:val="00B10F90"/>
    <w:rsid w:val="00B216C5"/>
    <w:rsid w:val="00B30D20"/>
    <w:rsid w:val="00B37AA3"/>
    <w:rsid w:val="00B428ED"/>
    <w:rsid w:val="00B452AE"/>
    <w:rsid w:val="00B66E44"/>
    <w:rsid w:val="00B762A6"/>
    <w:rsid w:val="00BB5C42"/>
    <w:rsid w:val="00C17379"/>
    <w:rsid w:val="00C6723B"/>
    <w:rsid w:val="00C92E6A"/>
    <w:rsid w:val="00CA4629"/>
    <w:rsid w:val="00CB6E1F"/>
    <w:rsid w:val="00CC65A1"/>
    <w:rsid w:val="00CD09BA"/>
    <w:rsid w:val="00CD7214"/>
    <w:rsid w:val="00CE6C72"/>
    <w:rsid w:val="00CF69B5"/>
    <w:rsid w:val="00D05108"/>
    <w:rsid w:val="00D35AE2"/>
    <w:rsid w:val="00D4346C"/>
    <w:rsid w:val="00D85F2C"/>
    <w:rsid w:val="00D87204"/>
    <w:rsid w:val="00DA5A1B"/>
    <w:rsid w:val="00DC1AD4"/>
    <w:rsid w:val="00E90B9B"/>
    <w:rsid w:val="00EB0EFD"/>
    <w:rsid w:val="00EF42EA"/>
    <w:rsid w:val="00F37D76"/>
    <w:rsid w:val="00F671D9"/>
    <w:rsid w:val="00FB705F"/>
    <w:rsid w:val="00FC609C"/>
    <w:rsid w:val="00FF7B59"/>
    <w:rsid w:val="05C452F4"/>
    <w:rsid w:val="0A9F442C"/>
    <w:rsid w:val="0BB16368"/>
    <w:rsid w:val="0FD04DF1"/>
    <w:rsid w:val="1CAE30A8"/>
    <w:rsid w:val="25830E94"/>
    <w:rsid w:val="2A566533"/>
    <w:rsid w:val="2E486CDA"/>
    <w:rsid w:val="339B493B"/>
    <w:rsid w:val="43D1290A"/>
    <w:rsid w:val="484F02A2"/>
    <w:rsid w:val="48731564"/>
    <w:rsid w:val="545929E7"/>
    <w:rsid w:val="565C1837"/>
    <w:rsid w:val="56C715F4"/>
    <w:rsid w:val="66442670"/>
    <w:rsid w:val="68762D20"/>
    <w:rsid w:val="694924E9"/>
    <w:rsid w:val="6E2B704C"/>
    <w:rsid w:val="6EB4322C"/>
    <w:rsid w:val="73C80D84"/>
    <w:rsid w:val="7A1D6F94"/>
    <w:rsid w:val="7A3A1DF3"/>
    <w:rsid w:val="7B673C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8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6"/>
    <w:unhideWhenUsed/>
    <w:qFormat/>
    <w:uiPriority w:val="9"/>
    <w:pPr>
      <w:keepNext/>
      <w:keepLines/>
      <w:spacing w:before="260" w:after="260" w:line="415" w:lineRule="auto"/>
      <w:outlineLvl w:val="1"/>
    </w:pPr>
    <w:rPr>
      <w:rFonts w:ascii="Cambria" w:hAnsi="Cambria"/>
      <w:b/>
      <w:bCs/>
      <w:sz w:val="32"/>
      <w:szCs w:val="32"/>
    </w:rPr>
  </w:style>
  <w:style w:type="paragraph" w:styleId="4">
    <w:name w:val="heading 3"/>
    <w:basedOn w:val="1"/>
    <w:next w:val="1"/>
    <w:link w:val="88"/>
    <w:unhideWhenUsed/>
    <w:qFormat/>
    <w:uiPriority w:val="9"/>
    <w:pPr>
      <w:keepNext/>
      <w:keepLines/>
      <w:spacing w:before="260" w:after="260" w:line="415" w:lineRule="auto"/>
      <w:outlineLvl w:val="2"/>
    </w:pPr>
    <w:rPr>
      <w:b/>
      <w:bCs/>
      <w:sz w:val="32"/>
      <w:szCs w:val="32"/>
    </w:rPr>
  </w:style>
  <w:style w:type="paragraph" w:styleId="5">
    <w:name w:val="heading 4"/>
    <w:basedOn w:val="1"/>
    <w:next w:val="1"/>
    <w:link w:val="87"/>
    <w:unhideWhenUsed/>
    <w:qFormat/>
    <w:uiPriority w:val="9"/>
    <w:pPr>
      <w:keepNext/>
      <w:keepLines/>
      <w:spacing w:before="280" w:after="290" w:line="374" w:lineRule="auto"/>
      <w:outlineLvl w:val="3"/>
    </w:pPr>
    <w:rPr>
      <w:rFonts w:ascii="Cambria" w:hAnsi="Cambria"/>
      <w:b/>
      <w:bCs/>
      <w:sz w:val="28"/>
      <w:szCs w:val="28"/>
    </w:rPr>
  </w:style>
  <w:style w:type="paragraph" w:styleId="6">
    <w:name w:val="heading 5"/>
    <w:basedOn w:val="1"/>
    <w:next w:val="1"/>
    <w:link w:val="99"/>
    <w:unhideWhenUsed/>
    <w:qFormat/>
    <w:uiPriority w:val="0"/>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100"/>
    <w:unhideWhenUsed/>
    <w:qFormat/>
    <w:uiPriority w:val="9"/>
    <w:pPr>
      <w:keepNext/>
      <w:keepLines/>
      <w:spacing w:before="240" w:after="64" w:line="320" w:lineRule="auto"/>
      <w:outlineLvl w:val="5"/>
    </w:pPr>
    <w:rPr>
      <w:rFonts w:ascii="Cambria" w:hAnsi="Cambria" w:cs="黑体"/>
      <w:b/>
      <w:bCs/>
    </w:rPr>
  </w:style>
  <w:style w:type="paragraph" w:styleId="8">
    <w:name w:val="heading 7"/>
    <w:basedOn w:val="1"/>
    <w:next w:val="1"/>
    <w:link w:val="101"/>
    <w:unhideWhenUsed/>
    <w:qFormat/>
    <w:uiPriority w:val="9"/>
    <w:pPr>
      <w:keepNext/>
      <w:keepLines/>
      <w:spacing w:before="240" w:after="64" w:line="320" w:lineRule="auto"/>
      <w:outlineLvl w:val="6"/>
    </w:pPr>
    <w:rPr>
      <w:b/>
      <w:bCs/>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89"/>
    <w:semiHidden/>
    <w:unhideWhenUsed/>
    <w:qFormat/>
    <w:uiPriority w:val="0"/>
    <w:pPr>
      <w:ind w:firstLine="420"/>
    </w:pPr>
    <w:rPr>
      <w:rFonts w:cs="黑体"/>
    </w:rPr>
  </w:style>
  <w:style w:type="paragraph" w:styleId="10">
    <w:name w:val="Document Map"/>
    <w:basedOn w:val="1"/>
    <w:link w:val="92"/>
    <w:autoRedefine/>
    <w:semiHidden/>
    <w:unhideWhenUsed/>
    <w:qFormat/>
    <w:uiPriority w:val="99"/>
    <w:rPr>
      <w:sz w:val="18"/>
      <w:szCs w:val="18"/>
    </w:rPr>
  </w:style>
  <w:style w:type="paragraph" w:styleId="11">
    <w:name w:val="annotation text"/>
    <w:basedOn w:val="1"/>
    <w:link w:val="97"/>
    <w:autoRedefine/>
    <w:unhideWhenUsed/>
    <w:qFormat/>
    <w:uiPriority w:val="99"/>
  </w:style>
  <w:style w:type="paragraph" w:styleId="12">
    <w:name w:val="Body Text"/>
    <w:basedOn w:val="1"/>
    <w:link w:val="104"/>
    <w:autoRedefine/>
    <w:semiHidden/>
    <w:unhideWhenUsed/>
    <w:qFormat/>
    <w:uiPriority w:val="0"/>
    <w:pPr>
      <w:spacing w:after="120"/>
    </w:pPr>
  </w:style>
  <w:style w:type="paragraph" w:styleId="13">
    <w:name w:val="Plain Text"/>
    <w:basedOn w:val="1"/>
    <w:link w:val="106"/>
    <w:qFormat/>
    <w:uiPriority w:val="0"/>
    <w:pPr>
      <w:widowControl w:val="0"/>
      <w:adjustRightInd w:val="0"/>
      <w:spacing w:line="360" w:lineRule="atLeast"/>
      <w:jc w:val="both"/>
      <w:textAlignment w:val="baseline"/>
    </w:pPr>
    <w:rPr>
      <w:rFonts w:hAnsi="Courier New" w:cs="Times New Roman"/>
      <w:kern w:val="2"/>
      <w:sz w:val="21"/>
      <w:szCs w:val="20"/>
    </w:rPr>
  </w:style>
  <w:style w:type="paragraph" w:styleId="14">
    <w:name w:val="Balloon Text"/>
    <w:basedOn w:val="1"/>
    <w:link w:val="94"/>
    <w:autoRedefine/>
    <w:semiHidden/>
    <w:unhideWhenUsed/>
    <w:qFormat/>
    <w:uiPriority w:val="99"/>
    <w:rPr>
      <w:sz w:val="18"/>
      <w:szCs w:val="18"/>
    </w:rPr>
  </w:style>
  <w:style w:type="paragraph" w:styleId="15">
    <w:name w:val="footer"/>
    <w:basedOn w:val="1"/>
    <w:link w:val="91"/>
    <w:unhideWhenUsed/>
    <w:qFormat/>
    <w:uiPriority w:val="99"/>
    <w:pPr>
      <w:tabs>
        <w:tab w:val="center" w:pos="4153"/>
        <w:tab w:val="right" w:pos="8306"/>
      </w:tabs>
      <w:snapToGrid w:val="0"/>
    </w:pPr>
    <w:rPr>
      <w:sz w:val="18"/>
      <w:szCs w:val="18"/>
    </w:rPr>
  </w:style>
  <w:style w:type="paragraph" w:styleId="16">
    <w:name w:val="header"/>
    <w:basedOn w:val="1"/>
    <w:link w:val="9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autoRedefine/>
    <w:semiHidden/>
    <w:unhideWhenUsed/>
    <w:qFormat/>
    <w:uiPriority w:val="0"/>
    <w:pPr>
      <w:adjustRightInd w:val="0"/>
      <w:ind w:left="735"/>
      <w:textAlignment w:val="baseline"/>
    </w:pPr>
    <w:rPr>
      <w:rFonts w:ascii="楷体_GB2312" w:eastAsia="楷体_GB2312"/>
      <w:szCs w:val="20"/>
    </w:rPr>
  </w:style>
  <w:style w:type="paragraph" w:styleId="18">
    <w:name w:val="annotation subject"/>
    <w:basedOn w:val="11"/>
    <w:next w:val="11"/>
    <w:link w:val="98"/>
    <w:semiHidden/>
    <w:unhideWhenUsed/>
    <w:qFormat/>
    <w:uiPriority w:val="99"/>
    <w:rPr>
      <w:b/>
      <w:bCs/>
    </w:rPr>
  </w:style>
  <w:style w:type="paragraph" w:styleId="19">
    <w:name w:val="Body Text First Indent"/>
    <w:basedOn w:val="12"/>
    <w:link w:val="105"/>
    <w:autoRedefine/>
    <w:qFormat/>
    <w:uiPriority w:val="0"/>
    <w:pPr>
      <w:widowControl w:val="0"/>
      <w:adjustRightInd w:val="0"/>
      <w:ind w:firstLine="420" w:firstLineChars="100"/>
      <w:jc w:val="both"/>
      <w:textAlignment w:val="baseline"/>
    </w:pPr>
    <w:rPr>
      <w:rFonts w:ascii="Times New Roman" w:hAnsi="Times New Roman" w:cs="Times New Roman"/>
      <w:b/>
      <w:bCs/>
      <w:kern w:val="2"/>
      <w:sz w:val="21"/>
    </w:rPr>
  </w:style>
  <w:style w:type="character" w:styleId="22">
    <w:name w:val="page number"/>
    <w:basedOn w:val="21"/>
    <w:autoRedefine/>
    <w:semiHidden/>
    <w:unhideWhenUsed/>
    <w:qFormat/>
    <w:uiPriority w:val="0"/>
  </w:style>
  <w:style w:type="character" w:styleId="23">
    <w:name w:val="Hyperlink"/>
    <w:autoRedefine/>
    <w:unhideWhenUsed/>
    <w:qFormat/>
    <w:uiPriority w:val="99"/>
    <w:rPr>
      <w:color w:val="0000FF"/>
      <w:u w:val="single"/>
    </w:rPr>
  </w:style>
  <w:style w:type="character" w:styleId="24">
    <w:name w:val="annotation reference"/>
    <w:autoRedefine/>
    <w:semiHidden/>
    <w:unhideWhenUsed/>
    <w:qFormat/>
    <w:uiPriority w:val="99"/>
    <w:rPr>
      <w:sz w:val="21"/>
      <w:szCs w:val="21"/>
    </w:rPr>
  </w:style>
  <w:style w:type="paragraph" w:customStyle="1" w:styleId="25">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出段落1"/>
    <w:basedOn w:val="1"/>
    <w:autoRedefine/>
    <w:qFormat/>
    <w:uiPriority w:val="34"/>
    <w:pPr>
      <w:ind w:firstLine="420" w:firstLineChars="200"/>
    </w:pPr>
  </w:style>
  <w:style w:type="paragraph" w:customStyle="1" w:styleId="27">
    <w:name w:val="列出段落2"/>
    <w:basedOn w:val="1"/>
    <w:autoRedefine/>
    <w:qFormat/>
    <w:uiPriority w:val="34"/>
    <w:pPr>
      <w:ind w:firstLine="420" w:firstLineChars="200"/>
    </w:pPr>
    <w:rPr>
      <w:rFonts w:ascii="Times New Roman" w:hAnsi="Times New Roman"/>
    </w:rPr>
  </w:style>
  <w:style w:type="paragraph" w:customStyle="1" w:styleId="28">
    <w:name w:val="列出段落11"/>
    <w:basedOn w:val="1"/>
    <w:qFormat/>
    <w:uiPriority w:val="34"/>
    <w:pPr>
      <w:ind w:firstLine="420" w:firstLineChars="200"/>
    </w:pPr>
    <w:rPr>
      <w:rFonts w:cs="Calibri"/>
      <w:szCs w:val="21"/>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无间隔11"/>
    <w:autoRedefine/>
    <w:qFormat/>
    <w:uiPriority w:val="1"/>
    <w:pPr>
      <w:widowControl w:val="0"/>
      <w:jc w:val="both"/>
    </w:pPr>
    <w:rPr>
      <w:rFonts w:ascii="Times New Roman" w:hAnsi="Times New Roman" w:eastAsia="宋体" w:cs="Times New Roman"/>
      <w:szCs w:val="24"/>
      <w:lang w:val="en-US" w:eastAsia="zh-CN" w:bidi="ar-SA"/>
    </w:rPr>
  </w:style>
  <w:style w:type="paragraph" w:customStyle="1" w:styleId="31">
    <w:name w:val="列出段落21"/>
    <w:basedOn w:val="1"/>
    <w:autoRedefine/>
    <w:qFormat/>
    <w:uiPriority w:val="34"/>
    <w:pPr>
      <w:ind w:firstLine="420" w:firstLineChars="200"/>
    </w:pPr>
    <w:rPr>
      <w:rFonts w:ascii="Times New Roman" w:hAnsi="Times New Roman"/>
    </w:rPr>
  </w:style>
  <w:style w:type="paragraph" w:customStyle="1" w:styleId="32">
    <w:name w:val="font5"/>
    <w:basedOn w:val="1"/>
    <w:qFormat/>
    <w:uiPriority w:val="0"/>
    <w:pPr>
      <w:spacing w:before="100" w:beforeAutospacing="1" w:after="100" w:afterAutospacing="1"/>
    </w:pPr>
    <w:rPr>
      <w:color w:val="000000"/>
      <w:sz w:val="28"/>
      <w:szCs w:val="28"/>
    </w:rPr>
  </w:style>
  <w:style w:type="paragraph" w:customStyle="1" w:styleId="33">
    <w:name w:val="font6"/>
    <w:basedOn w:val="1"/>
    <w:qFormat/>
    <w:uiPriority w:val="0"/>
    <w:pPr>
      <w:spacing w:before="100" w:beforeAutospacing="1" w:after="100" w:afterAutospacing="1"/>
    </w:pPr>
    <w:rPr>
      <w:rFonts w:ascii="Times New Roman" w:hAnsi="Times New Roman"/>
      <w:color w:val="000000"/>
      <w:sz w:val="28"/>
      <w:szCs w:val="28"/>
    </w:rPr>
  </w:style>
  <w:style w:type="paragraph" w:customStyle="1" w:styleId="34">
    <w:name w:val="font7"/>
    <w:basedOn w:val="1"/>
    <w:qFormat/>
    <w:uiPriority w:val="0"/>
    <w:pPr>
      <w:spacing w:before="100" w:beforeAutospacing="1" w:after="100" w:afterAutospacing="1"/>
    </w:pPr>
    <w:rPr>
      <w:sz w:val="18"/>
      <w:szCs w:val="18"/>
    </w:rPr>
  </w:style>
  <w:style w:type="paragraph" w:customStyle="1" w:styleId="35">
    <w:name w:val="font8"/>
    <w:basedOn w:val="1"/>
    <w:autoRedefine/>
    <w:qFormat/>
    <w:uiPriority w:val="0"/>
    <w:pPr>
      <w:spacing w:before="100" w:beforeAutospacing="1" w:after="100" w:afterAutospacing="1"/>
    </w:pPr>
    <w:rPr>
      <w:b/>
      <w:bCs/>
      <w:color w:val="000000"/>
      <w:sz w:val="28"/>
      <w:szCs w:val="28"/>
    </w:rPr>
  </w:style>
  <w:style w:type="paragraph" w:customStyle="1" w:styleId="36">
    <w:name w:val="font9"/>
    <w:basedOn w:val="1"/>
    <w:autoRedefine/>
    <w:qFormat/>
    <w:uiPriority w:val="0"/>
    <w:pPr>
      <w:spacing w:before="100" w:beforeAutospacing="1" w:after="100" w:afterAutospacing="1"/>
    </w:pPr>
    <w:rPr>
      <w:rFonts w:ascii="Times New Roman" w:hAnsi="Times New Roman"/>
      <w:b/>
      <w:bCs/>
      <w:color w:val="000000"/>
      <w:sz w:val="28"/>
      <w:szCs w:val="28"/>
    </w:rPr>
  </w:style>
  <w:style w:type="paragraph" w:customStyle="1" w:styleId="37">
    <w:name w:val="font10"/>
    <w:basedOn w:val="1"/>
    <w:autoRedefine/>
    <w:qFormat/>
    <w:uiPriority w:val="0"/>
    <w:pPr>
      <w:spacing w:before="100" w:beforeAutospacing="1" w:after="100" w:afterAutospacing="1"/>
    </w:pPr>
    <w:rPr>
      <w:b/>
      <w:bCs/>
      <w:color w:val="000000"/>
      <w:sz w:val="36"/>
      <w:szCs w:val="36"/>
    </w:rPr>
  </w:style>
  <w:style w:type="paragraph" w:customStyle="1" w:styleId="38">
    <w:name w:val="font11"/>
    <w:basedOn w:val="1"/>
    <w:autoRedefine/>
    <w:qFormat/>
    <w:uiPriority w:val="0"/>
    <w:pPr>
      <w:spacing w:before="100" w:beforeAutospacing="1" w:after="100" w:afterAutospacing="1"/>
    </w:pPr>
    <w:rPr>
      <w:rFonts w:ascii="Times New Roman" w:hAnsi="Times New Roman"/>
      <w:b/>
      <w:bCs/>
      <w:color w:val="000000"/>
      <w:sz w:val="36"/>
      <w:szCs w:val="36"/>
    </w:rPr>
  </w:style>
  <w:style w:type="paragraph" w:customStyle="1" w:styleId="39">
    <w:name w:val="font12"/>
    <w:basedOn w:val="1"/>
    <w:autoRedefine/>
    <w:qFormat/>
    <w:uiPriority w:val="0"/>
    <w:pPr>
      <w:spacing w:before="100" w:beforeAutospacing="1" w:after="100" w:afterAutospacing="1"/>
    </w:pPr>
    <w:rPr>
      <w:rFonts w:ascii="Times New Roman" w:hAnsi="Times New Roman"/>
      <w:b/>
      <w:bCs/>
      <w:color w:val="000000"/>
      <w:sz w:val="36"/>
      <w:szCs w:val="36"/>
    </w:rPr>
  </w:style>
  <w:style w:type="paragraph" w:customStyle="1" w:styleId="40">
    <w:name w:val="font13"/>
    <w:basedOn w:val="1"/>
    <w:qFormat/>
    <w:uiPriority w:val="0"/>
    <w:pPr>
      <w:spacing w:before="100" w:beforeAutospacing="1" w:after="100" w:afterAutospacing="1"/>
    </w:pPr>
    <w:rPr>
      <w:b/>
      <w:bCs/>
      <w:color w:val="000000"/>
      <w:sz w:val="36"/>
      <w:szCs w:val="36"/>
    </w:rPr>
  </w:style>
  <w:style w:type="paragraph" w:customStyle="1" w:styleId="41">
    <w:name w:val="font14"/>
    <w:basedOn w:val="1"/>
    <w:qFormat/>
    <w:uiPriority w:val="0"/>
    <w:pPr>
      <w:spacing w:before="100" w:beforeAutospacing="1" w:after="100" w:afterAutospacing="1"/>
    </w:pPr>
    <w:rPr>
      <w:rFonts w:ascii="Times New Roman" w:hAnsi="Times New Roman"/>
      <w:b/>
      <w:bCs/>
      <w:color w:val="FF0000"/>
      <w:sz w:val="36"/>
      <w:szCs w:val="36"/>
    </w:rPr>
  </w:style>
  <w:style w:type="paragraph" w:customStyle="1" w:styleId="42">
    <w:name w:val="xl65"/>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sz w:val="28"/>
      <w:szCs w:val="28"/>
    </w:rPr>
  </w:style>
  <w:style w:type="paragraph" w:customStyle="1" w:styleId="43">
    <w:name w:val="xl66"/>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sz w:val="28"/>
      <w:szCs w:val="28"/>
    </w:rPr>
  </w:style>
  <w:style w:type="paragraph" w:customStyle="1" w:styleId="44">
    <w:name w:val="xl67"/>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sz w:val="28"/>
      <w:szCs w:val="28"/>
    </w:rPr>
  </w:style>
  <w:style w:type="paragraph" w:customStyle="1" w:styleId="45">
    <w:name w:val="xl68"/>
    <w:basedOn w:val="1"/>
    <w:qFormat/>
    <w:uiPriority w:val="0"/>
    <w:pPr>
      <w:pBdr>
        <w:bottom w:val="single" w:color="auto" w:sz="8" w:space="0"/>
        <w:right w:val="single" w:color="auto" w:sz="8" w:space="0"/>
      </w:pBdr>
      <w:spacing w:before="100" w:beforeAutospacing="1" w:after="100" w:afterAutospacing="1"/>
    </w:pPr>
    <w:rPr>
      <w:sz w:val="28"/>
      <w:szCs w:val="28"/>
    </w:rPr>
  </w:style>
  <w:style w:type="paragraph" w:customStyle="1" w:styleId="46">
    <w:name w:val="xl69"/>
    <w:basedOn w:val="1"/>
    <w:qFormat/>
    <w:uiPriority w:val="0"/>
    <w:pPr>
      <w:pBdr>
        <w:bottom w:val="single" w:color="auto" w:sz="8" w:space="0"/>
        <w:right w:val="single" w:color="auto" w:sz="8" w:space="0"/>
      </w:pBdr>
      <w:spacing w:before="100" w:beforeAutospacing="1" w:after="100" w:afterAutospacing="1"/>
    </w:pPr>
    <w:rPr>
      <w:rFonts w:ascii="Times New Roman" w:hAnsi="Times New Roman"/>
      <w:sz w:val="28"/>
      <w:szCs w:val="28"/>
    </w:rPr>
  </w:style>
  <w:style w:type="paragraph" w:customStyle="1" w:styleId="47">
    <w:name w:val="xl70"/>
    <w:basedOn w:val="1"/>
    <w:qFormat/>
    <w:uiPriority w:val="0"/>
    <w:pPr>
      <w:spacing w:before="100" w:beforeAutospacing="1" w:after="100" w:afterAutospacing="1"/>
    </w:pPr>
    <w:rPr>
      <w:rFonts w:ascii="Times New Roman" w:hAnsi="Times New Roman"/>
      <w:b/>
      <w:bCs/>
      <w:sz w:val="36"/>
      <w:szCs w:val="36"/>
    </w:rPr>
  </w:style>
  <w:style w:type="paragraph" w:customStyle="1" w:styleId="48">
    <w:name w:val="xl71"/>
    <w:basedOn w:val="1"/>
    <w:autoRedefine/>
    <w:qFormat/>
    <w:uiPriority w:val="0"/>
    <w:pPr>
      <w:pBdr>
        <w:bottom w:val="single" w:color="auto" w:sz="8" w:space="0"/>
        <w:right w:val="single" w:color="auto" w:sz="8" w:space="0"/>
      </w:pBdr>
      <w:spacing w:before="100" w:beforeAutospacing="1" w:after="100" w:afterAutospacing="1"/>
    </w:pPr>
    <w:rPr>
      <w:sz w:val="28"/>
      <w:szCs w:val="28"/>
    </w:rPr>
  </w:style>
  <w:style w:type="paragraph" w:customStyle="1" w:styleId="49">
    <w:name w:val="xl72"/>
    <w:basedOn w:val="1"/>
    <w:autoRedefine/>
    <w:qFormat/>
    <w:uiPriority w:val="0"/>
    <w:pPr>
      <w:pBdr>
        <w:bottom w:val="single" w:color="auto" w:sz="8" w:space="0"/>
        <w:right w:val="single" w:color="auto" w:sz="8" w:space="0"/>
      </w:pBdr>
      <w:spacing w:before="100" w:beforeAutospacing="1" w:after="100" w:afterAutospacing="1"/>
      <w:jc w:val="center"/>
    </w:pPr>
    <w:rPr>
      <w:rFonts w:ascii="Times New Roman" w:hAnsi="Times New Roman"/>
      <w:sz w:val="28"/>
      <w:szCs w:val="28"/>
    </w:rPr>
  </w:style>
  <w:style w:type="paragraph" w:customStyle="1" w:styleId="50">
    <w:name w:val="xl73"/>
    <w:basedOn w:val="1"/>
    <w:autoRedefine/>
    <w:qFormat/>
    <w:uiPriority w:val="0"/>
    <w:pPr>
      <w:pBdr>
        <w:bottom w:val="single" w:color="auto" w:sz="8" w:space="0"/>
        <w:right w:val="single" w:color="auto" w:sz="8" w:space="0"/>
      </w:pBdr>
      <w:spacing w:before="100" w:beforeAutospacing="1" w:after="100" w:afterAutospacing="1"/>
    </w:pPr>
    <w:rPr>
      <w:sz w:val="28"/>
      <w:szCs w:val="28"/>
    </w:rPr>
  </w:style>
  <w:style w:type="paragraph" w:customStyle="1" w:styleId="51">
    <w:name w:val="xl74"/>
    <w:basedOn w:val="1"/>
    <w:autoRedefine/>
    <w:qFormat/>
    <w:uiPriority w:val="0"/>
    <w:pPr>
      <w:pBdr>
        <w:bottom w:val="single" w:color="auto" w:sz="8" w:space="0"/>
        <w:right w:val="single" w:color="auto" w:sz="8" w:space="0"/>
      </w:pBdr>
      <w:spacing w:before="100" w:beforeAutospacing="1" w:after="100" w:afterAutospacing="1"/>
    </w:pPr>
    <w:rPr>
      <w:rFonts w:ascii="Times New Roman" w:hAnsi="Times New Roman"/>
      <w:sz w:val="28"/>
      <w:szCs w:val="28"/>
    </w:rPr>
  </w:style>
  <w:style w:type="paragraph" w:customStyle="1" w:styleId="52">
    <w:name w:val="xl7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color w:val="FF0000"/>
      <w:sz w:val="28"/>
      <w:szCs w:val="28"/>
    </w:rPr>
  </w:style>
  <w:style w:type="paragraph" w:customStyle="1" w:styleId="53">
    <w:name w:val="xl76"/>
    <w:basedOn w:val="1"/>
    <w:autoRedefine/>
    <w:qFormat/>
    <w:uiPriority w:val="0"/>
    <w:pPr>
      <w:pBdr>
        <w:bottom w:val="single" w:color="auto" w:sz="8" w:space="0"/>
        <w:right w:val="single" w:color="auto" w:sz="8" w:space="0"/>
      </w:pBdr>
      <w:spacing w:before="100" w:beforeAutospacing="1" w:after="100" w:afterAutospacing="1"/>
    </w:pPr>
    <w:rPr>
      <w:color w:val="FF0000"/>
      <w:sz w:val="28"/>
      <w:szCs w:val="28"/>
    </w:rPr>
  </w:style>
  <w:style w:type="paragraph" w:customStyle="1" w:styleId="54">
    <w:name w:val="xl77"/>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sz w:val="28"/>
      <w:szCs w:val="28"/>
    </w:rPr>
  </w:style>
  <w:style w:type="paragraph" w:customStyle="1" w:styleId="55">
    <w:name w:val="xl78"/>
    <w:basedOn w:val="1"/>
    <w:autoRedefine/>
    <w:qFormat/>
    <w:uiPriority w:val="0"/>
    <w:pPr>
      <w:pBdr>
        <w:top w:val="single" w:color="auto" w:sz="8" w:space="0"/>
        <w:bottom w:val="single" w:color="auto" w:sz="8" w:space="0"/>
        <w:right w:val="single" w:color="auto" w:sz="8" w:space="0"/>
      </w:pBdr>
      <w:spacing w:before="100" w:beforeAutospacing="1" w:after="100" w:afterAutospacing="1"/>
    </w:pPr>
    <w:rPr>
      <w:sz w:val="28"/>
      <w:szCs w:val="28"/>
    </w:rPr>
  </w:style>
  <w:style w:type="paragraph" w:customStyle="1" w:styleId="56">
    <w:name w:val="xl79"/>
    <w:basedOn w:val="1"/>
    <w:autoRedefine/>
    <w:qFormat/>
    <w:uiPriority w:val="0"/>
    <w:pPr>
      <w:pBdr>
        <w:bottom w:val="single" w:color="auto" w:sz="8" w:space="0"/>
        <w:right w:val="single" w:color="auto" w:sz="8" w:space="0"/>
      </w:pBdr>
      <w:spacing w:before="100" w:beforeAutospacing="1" w:after="100" w:afterAutospacing="1"/>
    </w:pPr>
    <w:rPr>
      <w:rFonts w:ascii="Times New Roman" w:hAnsi="Times New Roman"/>
      <w:b/>
      <w:bCs/>
      <w:sz w:val="28"/>
      <w:szCs w:val="28"/>
    </w:rPr>
  </w:style>
  <w:style w:type="paragraph" w:customStyle="1" w:styleId="57">
    <w:name w:val="xl80"/>
    <w:basedOn w:val="1"/>
    <w:autoRedefine/>
    <w:qFormat/>
    <w:uiPriority w:val="0"/>
    <w:pPr>
      <w:pBdr>
        <w:right w:val="single" w:color="auto" w:sz="8" w:space="0"/>
      </w:pBdr>
      <w:spacing w:before="100" w:beforeAutospacing="1" w:after="100" w:afterAutospacing="1"/>
    </w:pPr>
    <w:rPr>
      <w:color w:val="000000"/>
      <w:sz w:val="28"/>
      <w:szCs w:val="28"/>
    </w:rPr>
  </w:style>
  <w:style w:type="paragraph" w:customStyle="1" w:styleId="58">
    <w:name w:val="xl81"/>
    <w:basedOn w:val="1"/>
    <w:qFormat/>
    <w:uiPriority w:val="0"/>
    <w:pPr>
      <w:pBdr>
        <w:bottom w:val="single" w:color="auto" w:sz="8" w:space="0"/>
        <w:right w:val="single" w:color="auto" w:sz="8" w:space="0"/>
      </w:pBdr>
      <w:spacing w:before="100" w:beforeAutospacing="1" w:after="100" w:afterAutospacing="1"/>
    </w:pPr>
    <w:rPr>
      <w:color w:val="000000"/>
      <w:sz w:val="28"/>
      <w:szCs w:val="28"/>
    </w:rPr>
  </w:style>
  <w:style w:type="paragraph" w:customStyle="1" w:styleId="59">
    <w:name w:val="xl82"/>
    <w:basedOn w:val="1"/>
    <w:autoRedefine/>
    <w:qFormat/>
    <w:uiPriority w:val="0"/>
    <w:pPr>
      <w:pBdr>
        <w:bottom w:val="single" w:color="auto" w:sz="8" w:space="0"/>
        <w:right w:val="single" w:color="auto" w:sz="8" w:space="0"/>
      </w:pBdr>
      <w:spacing w:before="100" w:beforeAutospacing="1" w:after="100" w:afterAutospacing="1"/>
    </w:pPr>
    <w:rPr>
      <w:sz w:val="28"/>
      <w:szCs w:val="28"/>
    </w:rPr>
  </w:style>
  <w:style w:type="paragraph" w:customStyle="1" w:styleId="60">
    <w:name w:val="xl83"/>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sz w:val="28"/>
      <w:szCs w:val="28"/>
    </w:rPr>
  </w:style>
  <w:style w:type="paragraph" w:customStyle="1" w:styleId="61">
    <w:name w:val="xl84"/>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Times New Roman" w:hAnsi="Times New Roman"/>
      <w:color w:val="000000"/>
      <w:sz w:val="28"/>
      <w:szCs w:val="28"/>
    </w:rPr>
  </w:style>
  <w:style w:type="paragraph" w:customStyle="1" w:styleId="62">
    <w:name w:val="xl85"/>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color w:val="000000"/>
      <w:sz w:val="28"/>
      <w:szCs w:val="28"/>
    </w:rPr>
  </w:style>
  <w:style w:type="paragraph" w:customStyle="1" w:styleId="63">
    <w:name w:val="xl86"/>
    <w:basedOn w:val="1"/>
    <w:autoRedefine/>
    <w:qFormat/>
    <w:uiPriority w:val="0"/>
    <w:pPr>
      <w:pBdr>
        <w:bottom w:val="single" w:color="auto" w:sz="8" w:space="0"/>
      </w:pBdr>
      <w:spacing w:before="100" w:beforeAutospacing="1" w:after="100" w:afterAutospacing="1"/>
      <w:jc w:val="center"/>
    </w:pPr>
    <w:rPr>
      <w:rFonts w:ascii="Times New Roman" w:hAnsi="Times New Roman"/>
      <w:b/>
      <w:bCs/>
      <w:color w:val="000000"/>
      <w:sz w:val="36"/>
      <w:szCs w:val="36"/>
    </w:rPr>
  </w:style>
  <w:style w:type="paragraph" w:customStyle="1" w:styleId="64">
    <w:name w:val="xl87"/>
    <w:basedOn w:val="1"/>
    <w:autoRedefine/>
    <w:qFormat/>
    <w:uiPriority w:val="0"/>
    <w:pPr>
      <w:spacing w:before="100" w:beforeAutospacing="1" w:after="100" w:afterAutospacing="1"/>
      <w:jc w:val="center"/>
    </w:pPr>
    <w:rPr>
      <w:rFonts w:ascii="Times New Roman" w:hAnsi="Times New Roman"/>
      <w:b/>
      <w:bCs/>
      <w:color w:val="000000"/>
      <w:sz w:val="36"/>
      <w:szCs w:val="36"/>
    </w:rPr>
  </w:style>
  <w:style w:type="paragraph" w:customStyle="1" w:styleId="65">
    <w:name w:val="xl88"/>
    <w:basedOn w:val="1"/>
    <w:qFormat/>
    <w:uiPriority w:val="0"/>
    <w:pPr>
      <w:pBdr>
        <w:bottom w:val="single" w:color="auto" w:sz="8" w:space="0"/>
      </w:pBdr>
      <w:spacing w:before="100" w:beforeAutospacing="1" w:after="100" w:afterAutospacing="1"/>
    </w:pPr>
    <w:rPr>
      <w:b/>
      <w:bCs/>
      <w:sz w:val="28"/>
      <w:szCs w:val="28"/>
    </w:rPr>
  </w:style>
  <w:style w:type="paragraph" w:customStyle="1" w:styleId="66">
    <w:name w:val="xl89"/>
    <w:basedOn w:val="1"/>
    <w:qFormat/>
    <w:uiPriority w:val="0"/>
    <w:pPr>
      <w:pBdr>
        <w:bottom w:val="single" w:color="auto" w:sz="8" w:space="0"/>
      </w:pBdr>
      <w:spacing w:before="100" w:beforeAutospacing="1" w:after="100" w:afterAutospacing="1"/>
    </w:pPr>
    <w:rPr>
      <w:b/>
      <w:bCs/>
      <w:sz w:val="36"/>
      <w:szCs w:val="36"/>
    </w:rPr>
  </w:style>
  <w:style w:type="paragraph" w:customStyle="1" w:styleId="67">
    <w:name w:val="xl90"/>
    <w:basedOn w:val="1"/>
    <w:autoRedefine/>
    <w:qFormat/>
    <w:uiPriority w:val="0"/>
    <w:pPr>
      <w:pBdr>
        <w:top w:val="single" w:color="auto" w:sz="8" w:space="0"/>
        <w:bottom w:val="single" w:color="auto" w:sz="8" w:space="0"/>
      </w:pBdr>
      <w:spacing w:before="100" w:beforeAutospacing="1" w:after="100" w:afterAutospacing="1"/>
    </w:pPr>
    <w:rPr>
      <w:rFonts w:ascii="Times New Roman" w:hAnsi="Times New Roman"/>
      <w:b/>
      <w:bCs/>
      <w:sz w:val="28"/>
      <w:szCs w:val="28"/>
    </w:rPr>
  </w:style>
  <w:style w:type="paragraph" w:customStyle="1" w:styleId="68">
    <w:name w:val="xl91"/>
    <w:basedOn w:val="1"/>
    <w:autoRedefine/>
    <w:qFormat/>
    <w:uiPriority w:val="0"/>
    <w:pPr>
      <w:pBdr>
        <w:top w:val="single" w:color="auto" w:sz="8" w:space="0"/>
      </w:pBdr>
      <w:spacing w:before="100" w:beforeAutospacing="1" w:after="100" w:afterAutospacing="1"/>
      <w:jc w:val="center"/>
    </w:pPr>
    <w:rPr>
      <w:rFonts w:ascii="Times New Roman" w:hAnsi="Times New Roman"/>
      <w:b/>
      <w:bCs/>
      <w:color w:val="000000"/>
      <w:sz w:val="36"/>
      <w:szCs w:val="36"/>
    </w:rPr>
  </w:style>
  <w:style w:type="paragraph" w:customStyle="1" w:styleId="69">
    <w:name w:val="xl92"/>
    <w:basedOn w:val="1"/>
    <w:qFormat/>
    <w:uiPriority w:val="0"/>
    <w:pPr>
      <w:pBdr>
        <w:bottom w:val="single" w:color="auto" w:sz="8" w:space="0"/>
      </w:pBdr>
      <w:spacing w:before="100" w:beforeAutospacing="1" w:after="100" w:afterAutospacing="1"/>
    </w:pPr>
    <w:rPr>
      <w:rFonts w:ascii="Times New Roman" w:hAnsi="Times New Roman"/>
      <w:b/>
      <w:bCs/>
      <w:sz w:val="28"/>
      <w:szCs w:val="28"/>
    </w:rPr>
  </w:style>
  <w:style w:type="paragraph" w:customStyle="1" w:styleId="70">
    <w:name w:val="xl93"/>
    <w:basedOn w:val="1"/>
    <w:autoRedefine/>
    <w:qFormat/>
    <w:uiPriority w:val="0"/>
    <w:pPr>
      <w:pBdr>
        <w:top w:val="single" w:color="auto" w:sz="8" w:space="0"/>
      </w:pBdr>
      <w:spacing w:before="100" w:beforeAutospacing="1" w:after="100" w:afterAutospacing="1"/>
    </w:pPr>
    <w:rPr>
      <w:b/>
      <w:bCs/>
      <w:sz w:val="28"/>
      <w:szCs w:val="28"/>
    </w:rPr>
  </w:style>
  <w:style w:type="paragraph" w:customStyle="1" w:styleId="71">
    <w:name w:val="xl94"/>
    <w:basedOn w:val="1"/>
    <w:qFormat/>
    <w:uiPriority w:val="0"/>
    <w:pPr>
      <w:spacing w:before="100" w:beforeAutospacing="1" w:after="100" w:afterAutospacing="1"/>
    </w:pPr>
    <w:rPr>
      <w:rFonts w:ascii="Times New Roman" w:hAnsi="Times New Roman"/>
      <w:b/>
      <w:bCs/>
      <w:sz w:val="28"/>
      <w:szCs w:val="28"/>
    </w:rPr>
  </w:style>
  <w:style w:type="paragraph" w:customStyle="1" w:styleId="72">
    <w:name w:val="xl95"/>
    <w:basedOn w:val="1"/>
    <w:autoRedefine/>
    <w:qFormat/>
    <w:uiPriority w:val="0"/>
    <w:pPr>
      <w:spacing w:before="100" w:beforeAutospacing="1" w:after="100" w:afterAutospacing="1"/>
    </w:pPr>
    <w:rPr>
      <w:sz w:val="28"/>
      <w:szCs w:val="28"/>
    </w:rPr>
  </w:style>
  <w:style w:type="paragraph" w:customStyle="1" w:styleId="73">
    <w:name w:val="xl96"/>
    <w:basedOn w:val="1"/>
    <w:autoRedefine/>
    <w:qFormat/>
    <w:uiPriority w:val="0"/>
    <w:pPr>
      <w:pBdr>
        <w:top w:val="single" w:color="auto" w:sz="8" w:space="0"/>
      </w:pBdr>
      <w:spacing w:before="100" w:beforeAutospacing="1" w:after="100" w:afterAutospacing="1"/>
      <w:jc w:val="center"/>
    </w:pPr>
    <w:rPr>
      <w:b/>
      <w:bCs/>
      <w:color w:val="FF0000"/>
      <w:sz w:val="36"/>
      <w:szCs w:val="36"/>
    </w:rPr>
  </w:style>
  <w:style w:type="paragraph" w:customStyle="1" w:styleId="74">
    <w:name w:val="标书正文格式"/>
    <w:basedOn w:val="1"/>
    <w:link w:val="96"/>
    <w:qFormat/>
    <w:uiPriority w:val="0"/>
    <w:rPr>
      <w:rFonts w:ascii="Times New Roman" w:hAnsi="Times New Roman"/>
    </w:rPr>
  </w:style>
  <w:style w:type="paragraph" w:customStyle="1" w:styleId="75">
    <w:name w:val="列表段落1"/>
    <w:basedOn w:val="1"/>
    <w:autoRedefine/>
    <w:qFormat/>
    <w:uiPriority w:val="34"/>
    <w:pPr>
      <w:ind w:firstLine="420" w:firstLineChars="200"/>
    </w:pPr>
  </w:style>
  <w:style w:type="paragraph" w:customStyle="1" w:styleId="76">
    <w:name w:val="12-E3-正文"/>
    <w:basedOn w:val="1"/>
    <w:link w:val="102"/>
    <w:qFormat/>
    <w:uiPriority w:val="0"/>
    <w:pPr>
      <w:widowControl w:val="0"/>
      <w:adjustRightInd w:val="0"/>
      <w:snapToGrid w:val="0"/>
      <w:spacing w:line="360" w:lineRule="auto"/>
      <w:ind w:firstLine="420"/>
      <w:jc w:val="both"/>
    </w:pPr>
    <w:rPr>
      <w:rFonts w:ascii="Times New Roman" w:hAnsi="Times New Roman" w:cs="Times New Roman"/>
      <w:kern w:val="2"/>
    </w:rPr>
  </w:style>
  <w:style w:type="paragraph" w:customStyle="1" w:styleId="77">
    <w:name w:val="5"/>
    <w:basedOn w:val="1"/>
    <w:qFormat/>
    <w:uiPriority w:val="0"/>
    <w:pPr>
      <w:widowControl w:val="0"/>
      <w:autoSpaceDE w:val="0"/>
      <w:autoSpaceDN w:val="0"/>
      <w:adjustRightInd w:val="0"/>
      <w:spacing w:line="360" w:lineRule="atLeast"/>
      <w:textAlignment w:val="baseline"/>
    </w:pPr>
    <w:rPr>
      <w:rFonts w:hAnsi="Times New Roman" w:cs="Times New Roman"/>
      <w:b/>
      <w:bCs/>
      <w:sz w:val="18"/>
      <w:szCs w:val="18"/>
    </w:rPr>
  </w:style>
  <w:style w:type="paragraph" w:customStyle="1" w:styleId="78">
    <w:name w:val="4"/>
    <w:basedOn w:val="5"/>
    <w:link w:val="103"/>
    <w:autoRedefine/>
    <w:qFormat/>
    <w:uiPriority w:val="0"/>
    <w:pPr>
      <w:widowControl w:val="0"/>
      <w:spacing w:before="156" w:after="156" w:line="360" w:lineRule="auto"/>
      <w:ind w:left="851" w:hanging="851"/>
    </w:pPr>
    <w:rPr>
      <w:rFonts w:ascii="宋体" w:hAnsi="宋体" w:cs="Times New Roman"/>
      <w:color w:val="000000"/>
      <w:kern w:val="2"/>
    </w:rPr>
  </w:style>
  <w:style w:type="paragraph" w:customStyle="1" w:styleId="79">
    <w:name w:val="无间隔2"/>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0">
    <w:name w:val="Char Char10 Char Char"/>
    <w:basedOn w:val="1"/>
    <w:autoRedefine/>
    <w:qFormat/>
    <w:uiPriority w:val="0"/>
    <w:pPr>
      <w:adjustRightInd w:val="0"/>
      <w:spacing w:after="160" w:line="240" w:lineRule="exact"/>
      <w:textAlignment w:val="baseline"/>
    </w:pPr>
    <w:rPr>
      <w:rFonts w:ascii="Verdana" w:hAnsi="Verdana" w:eastAsia="仿宋_GB2312" w:cs="Times New Roman"/>
      <w:szCs w:val="20"/>
      <w:lang w:eastAsia="en-US"/>
    </w:rPr>
  </w:style>
  <w:style w:type="paragraph" w:customStyle="1" w:styleId="81">
    <w:name w:val="Char Char10 Char Char1"/>
    <w:basedOn w:val="1"/>
    <w:qFormat/>
    <w:uiPriority w:val="0"/>
    <w:pPr>
      <w:adjustRightInd w:val="0"/>
      <w:spacing w:after="160" w:line="240" w:lineRule="exact"/>
      <w:textAlignment w:val="baseline"/>
    </w:pPr>
    <w:rPr>
      <w:rFonts w:ascii="Verdana" w:hAnsi="Verdana" w:eastAsia="仿宋_GB2312" w:cs="Times New Roman"/>
      <w:szCs w:val="20"/>
      <w:lang w:eastAsia="en-US"/>
    </w:rPr>
  </w:style>
  <w:style w:type="paragraph" w:customStyle="1" w:styleId="82">
    <w:name w:val="正文-段落"/>
    <w:autoRedefine/>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83">
    <w:name w:val="Char Char10 Char Char2"/>
    <w:basedOn w:val="1"/>
    <w:qFormat/>
    <w:uiPriority w:val="0"/>
    <w:pPr>
      <w:adjustRightInd w:val="0"/>
      <w:spacing w:after="160" w:line="240" w:lineRule="exact"/>
      <w:textAlignment w:val="baseline"/>
    </w:pPr>
    <w:rPr>
      <w:rFonts w:ascii="Verdana" w:hAnsi="Verdana" w:eastAsia="仿宋_GB2312" w:cs="Times New Roman"/>
      <w:szCs w:val="20"/>
      <w:lang w:eastAsia="en-US"/>
    </w:rPr>
  </w:style>
  <w:style w:type="paragraph" w:customStyle="1" w:styleId="84">
    <w:name w:val="修订1"/>
    <w:hidden/>
    <w:semiHidden/>
    <w:uiPriority w:val="99"/>
    <w:rPr>
      <w:rFonts w:ascii="宋体" w:hAnsi="宋体" w:eastAsia="宋体" w:cs="宋体"/>
      <w:sz w:val="24"/>
      <w:szCs w:val="24"/>
      <w:lang w:val="en-US" w:eastAsia="zh-CN" w:bidi="ar-SA"/>
    </w:rPr>
  </w:style>
  <w:style w:type="character" w:customStyle="1" w:styleId="85">
    <w:name w:val="标题 1 字符"/>
    <w:link w:val="2"/>
    <w:qFormat/>
    <w:uiPriority w:val="9"/>
    <w:rPr>
      <w:rFonts w:ascii="Calibri" w:hAnsi="Calibri" w:eastAsia="宋体" w:cs="Times New Roman"/>
      <w:b/>
      <w:bCs/>
      <w:kern w:val="44"/>
      <w:sz w:val="44"/>
      <w:szCs w:val="44"/>
    </w:rPr>
  </w:style>
  <w:style w:type="character" w:customStyle="1" w:styleId="86">
    <w:name w:val="标题 2 字符"/>
    <w:link w:val="3"/>
    <w:qFormat/>
    <w:uiPriority w:val="9"/>
    <w:rPr>
      <w:rFonts w:ascii="Cambria" w:hAnsi="Cambria" w:eastAsia="宋体" w:cs="Times New Roman"/>
      <w:b/>
      <w:bCs/>
      <w:kern w:val="0"/>
      <w:sz w:val="32"/>
      <w:szCs w:val="32"/>
    </w:rPr>
  </w:style>
  <w:style w:type="character" w:customStyle="1" w:styleId="87">
    <w:name w:val="标题 4 字符"/>
    <w:link w:val="5"/>
    <w:qFormat/>
    <w:uiPriority w:val="9"/>
    <w:rPr>
      <w:rFonts w:ascii="Cambria" w:hAnsi="Cambria" w:eastAsia="宋体" w:cs="Times New Roman"/>
      <w:b/>
      <w:bCs/>
      <w:kern w:val="0"/>
      <w:sz w:val="28"/>
      <w:szCs w:val="28"/>
    </w:rPr>
  </w:style>
  <w:style w:type="character" w:customStyle="1" w:styleId="88">
    <w:name w:val="标题 3 字符"/>
    <w:link w:val="4"/>
    <w:qFormat/>
    <w:uiPriority w:val="9"/>
    <w:rPr>
      <w:rFonts w:ascii="Calibri" w:hAnsi="Calibri" w:eastAsia="宋体" w:cs="Times New Roman"/>
      <w:b/>
      <w:bCs/>
      <w:kern w:val="0"/>
      <w:sz w:val="32"/>
      <w:szCs w:val="32"/>
    </w:rPr>
  </w:style>
  <w:style w:type="character" w:customStyle="1" w:styleId="89">
    <w:name w:val="正文缩进 字符"/>
    <w:link w:val="9"/>
    <w:semiHidden/>
    <w:qFormat/>
    <w:locked/>
    <w:uiPriority w:val="0"/>
  </w:style>
  <w:style w:type="character" w:customStyle="1" w:styleId="90">
    <w:name w:val="页眉 字符"/>
    <w:link w:val="16"/>
    <w:autoRedefine/>
    <w:qFormat/>
    <w:uiPriority w:val="99"/>
    <w:rPr>
      <w:rFonts w:ascii="Calibri" w:hAnsi="Calibri" w:eastAsia="宋体" w:cs="Times New Roman"/>
      <w:sz w:val="18"/>
      <w:szCs w:val="18"/>
    </w:rPr>
  </w:style>
  <w:style w:type="character" w:customStyle="1" w:styleId="91">
    <w:name w:val="页脚 字符"/>
    <w:link w:val="15"/>
    <w:autoRedefine/>
    <w:qFormat/>
    <w:uiPriority w:val="99"/>
    <w:rPr>
      <w:rFonts w:ascii="Calibri" w:hAnsi="Calibri" w:eastAsia="宋体" w:cs="Times New Roman"/>
      <w:sz w:val="18"/>
      <w:szCs w:val="18"/>
    </w:rPr>
  </w:style>
  <w:style w:type="character" w:customStyle="1" w:styleId="92">
    <w:name w:val="文档结构图 字符"/>
    <w:link w:val="10"/>
    <w:semiHidden/>
    <w:qFormat/>
    <w:uiPriority w:val="99"/>
    <w:rPr>
      <w:rFonts w:ascii="宋体" w:hAnsi="Calibri" w:eastAsia="宋体" w:cs="Times New Roman"/>
      <w:kern w:val="0"/>
      <w:sz w:val="18"/>
      <w:szCs w:val="18"/>
    </w:rPr>
  </w:style>
  <w:style w:type="character" w:customStyle="1" w:styleId="93">
    <w:name w:val="文档结构图 Char1"/>
    <w:semiHidden/>
    <w:qFormat/>
    <w:uiPriority w:val="99"/>
    <w:rPr>
      <w:rFonts w:ascii="宋体" w:hAnsi="Calibri" w:eastAsia="宋体" w:cs="Times New Roman"/>
      <w:sz w:val="18"/>
      <w:szCs w:val="18"/>
    </w:rPr>
  </w:style>
  <w:style w:type="character" w:customStyle="1" w:styleId="94">
    <w:name w:val="批注框文本 字符"/>
    <w:link w:val="14"/>
    <w:autoRedefine/>
    <w:semiHidden/>
    <w:qFormat/>
    <w:uiPriority w:val="99"/>
    <w:rPr>
      <w:rFonts w:ascii="Calibri" w:hAnsi="Calibri" w:eastAsia="宋体" w:cs="Times New Roman"/>
      <w:kern w:val="0"/>
      <w:sz w:val="18"/>
      <w:szCs w:val="18"/>
    </w:rPr>
  </w:style>
  <w:style w:type="character" w:customStyle="1" w:styleId="95">
    <w:name w:val="批注框文本 Char1"/>
    <w:semiHidden/>
    <w:qFormat/>
    <w:uiPriority w:val="99"/>
    <w:rPr>
      <w:rFonts w:ascii="Calibri" w:hAnsi="Calibri" w:eastAsia="宋体" w:cs="Times New Roman"/>
      <w:sz w:val="18"/>
      <w:szCs w:val="18"/>
    </w:rPr>
  </w:style>
  <w:style w:type="character" w:customStyle="1" w:styleId="96">
    <w:name w:val="标书正文格式 Char"/>
    <w:link w:val="74"/>
    <w:qFormat/>
    <w:uiPriority w:val="0"/>
    <w:rPr>
      <w:rFonts w:ascii="Times New Roman" w:hAnsi="Times New Roman" w:eastAsia="宋体" w:cs="Times New Roman"/>
      <w:kern w:val="0"/>
      <w:sz w:val="24"/>
      <w:szCs w:val="24"/>
    </w:rPr>
  </w:style>
  <w:style w:type="character" w:customStyle="1" w:styleId="97">
    <w:name w:val="批注文字 字符"/>
    <w:link w:val="11"/>
    <w:autoRedefine/>
    <w:qFormat/>
    <w:uiPriority w:val="99"/>
    <w:rPr>
      <w:rFonts w:ascii="Calibri" w:hAnsi="Calibri" w:eastAsia="宋体" w:cs="Times New Roman"/>
    </w:rPr>
  </w:style>
  <w:style w:type="character" w:customStyle="1" w:styleId="98">
    <w:name w:val="批注主题 字符"/>
    <w:link w:val="18"/>
    <w:autoRedefine/>
    <w:semiHidden/>
    <w:qFormat/>
    <w:uiPriority w:val="99"/>
    <w:rPr>
      <w:rFonts w:ascii="Calibri" w:hAnsi="Calibri" w:eastAsia="宋体" w:cs="Times New Roman"/>
      <w:b/>
      <w:bCs/>
    </w:rPr>
  </w:style>
  <w:style w:type="character" w:customStyle="1" w:styleId="99">
    <w:name w:val="标题 5 字符"/>
    <w:link w:val="6"/>
    <w:qFormat/>
    <w:uiPriority w:val="0"/>
    <w:rPr>
      <w:rFonts w:ascii="Times New Roman" w:hAnsi="Times New Roman" w:eastAsia="宋体" w:cs="Times New Roman"/>
      <w:b/>
      <w:bCs/>
      <w:sz w:val="28"/>
      <w:szCs w:val="28"/>
    </w:rPr>
  </w:style>
  <w:style w:type="character" w:customStyle="1" w:styleId="100">
    <w:name w:val="标题 6 字符"/>
    <w:link w:val="7"/>
    <w:qFormat/>
    <w:uiPriority w:val="9"/>
    <w:rPr>
      <w:rFonts w:ascii="Cambria" w:hAnsi="Cambria" w:eastAsia="宋体" w:cs="黑体"/>
      <w:b/>
      <w:bCs/>
      <w:sz w:val="24"/>
      <w:szCs w:val="24"/>
    </w:rPr>
  </w:style>
  <w:style w:type="character" w:customStyle="1" w:styleId="101">
    <w:name w:val="标题 7 字符"/>
    <w:link w:val="8"/>
    <w:autoRedefine/>
    <w:qFormat/>
    <w:uiPriority w:val="9"/>
    <w:rPr>
      <w:rFonts w:ascii="Calibri" w:hAnsi="Calibri" w:eastAsia="宋体" w:cs="Times New Roman"/>
      <w:b/>
      <w:bCs/>
      <w:sz w:val="24"/>
      <w:szCs w:val="24"/>
    </w:rPr>
  </w:style>
  <w:style w:type="character" w:customStyle="1" w:styleId="102">
    <w:name w:val="12-E3-正文 Char Char"/>
    <w:link w:val="76"/>
    <w:qFormat/>
    <w:uiPriority w:val="0"/>
    <w:rPr>
      <w:kern w:val="2"/>
      <w:sz w:val="24"/>
      <w:szCs w:val="24"/>
    </w:rPr>
  </w:style>
  <w:style w:type="character" w:customStyle="1" w:styleId="103">
    <w:name w:val="4 Char"/>
    <w:link w:val="78"/>
    <w:autoRedefine/>
    <w:qFormat/>
    <w:uiPriority w:val="0"/>
    <w:rPr>
      <w:rFonts w:ascii="宋体" w:hAnsi="宋体"/>
      <w:b/>
      <w:bCs/>
      <w:color w:val="000000"/>
      <w:kern w:val="2"/>
      <w:sz w:val="28"/>
      <w:szCs w:val="28"/>
    </w:rPr>
  </w:style>
  <w:style w:type="character" w:customStyle="1" w:styleId="104">
    <w:name w:val="正文文本 字符"/>
    <w:basedOn w:val="21"/>
    <w:link w:val="12"/>
    <w:autoRedefine/>
    <w:semiHidden/>
    <w:qFormat/>
    <w:uiPriority w:val="0"/>
    <w:rPr>
      <w:rFonts w:ascii="宋体" w:hAnsi="宋体" w:cs="宋体"/>
      <w:sz w:val="24"/>
      <w:szCs w:val="24"/>
    </w:rPr>
  </w:style>
  <w:style w:type="character" w:customStyle="1" w:styleId="105">
    <w:name w:val="正文文本首行缩进 字符"/>
    <w:basedOn w:val="104"/>
    <w:link w:val="19"/>
    <w:qFormat/>
    <w:uiPriority w:val="0"/>
    <w:rPr>
      <w:rFonts w:ascii="宋体" w:hAnsi="宋体" w:cs="宋体"/>
      <w:b/>
      <w:bCs/>
      <w:kern w:val="2"/>
      <w:sz w:val="21"/>
      <w:szCs w:val="24"/>
      <w:lang w:val="en-US" w:eastAsia="zh-CN"/>
    </w:rPr>
  </w:style>
  <w:style w:type="character" w:customStyle="1" w:styleId="106">
    <w:name w:val="纯文本 字符"/>
    <w:basedOn w:val="21"/>
    <w:link w:val="13"/>
    <w:qFormat/>
    <w:uiPriority w:val="0"/>
    <w:rPr>
      <w:rFonts w:ascii="宋体" w:hAnsi="Courier New"/>
      <w:kern w:val="2"/>
      <w:sz w:val="21"/>
    </w:rPr>
  </w:style>
  <w:style w:type="paragraph" w:customStyle="1" w:styleId="107">
    <w:name w:val="样式 小四 加粗 黑色 段前: 7.8 磅 段后: 7.8 磅 行距: 多倍行距 1.25 字行"/>
    <w:basedOn w:val="1"/>
    <w:autoRedefine/>
    <w:qFormat/>
    <w:uiPriority w:val="0"/>
    <w:pPr>
      <w:adjustRightInd w:val="0"/>
      <w:snapToGrid w:val="0"/>
      <w:spacing w:before="156" w:after="50" w:line="300" w:lineRule="auto"/>
    </w:pPr>
    <w:rPr>
      <w:bCs/>
      <w:color w:val="000000"/>
      <w:szCs w:val="22"/>
    </w:rPr>
  </w:style>
  <w:style w:type="paragraph" w:customStyle="1" w:styleId="10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9">
    <w:name w:val="List Paragraph"/>
    <w:basedOn w:val="1"/>
    <w:link w:val="110"/>
    <w:autoRedefine/>
    <w:qFormat/>
    <w:uiPriority w:val="34"/>
    <w:pPr>
      <w:widowControl w:val="0"/>
      <w:spacing w:line="360" w:lineRule="auto"/>
      <w:ind w:firstLine="420" w:firstLineChars="200"/>
      <w:jc w:val="both"/>
    </w:pPr>
    <w:rPr>
      <w:rFonts w:ascii="Calibri" w:hAnsi="Calibri" w:cs="Arial"/>
      <w:kern w:val="2"/>
      <w:szCs w:val="22"/>
    </w:rPr>
  </w:style>
  <w:style w:type="character" w:customStyle="1" w:styleId="110">
    <w:name w:val="列表段落 字符"/>
    <w:link w:val="109"/>
    <w:autoRedefine/>
    <w:qFormat/>
    <w:uiPriority w:val="34"/>
    <w:rPr>
      <w:rFonts w:ascii="Calibri" w:hAnsi="Calibri" w:cs="Arial"/>
      <w:kern w:val="2"/>
      <w:sz w:val="24"/>
      <w:szCs w:val="22"/>
    </w:rPr>
  </w:style>
  <w:style w:type="paragraph" w:customStyle="1" w:styleId="111">
    <w:name w:val="正文（"/>
    <w:link w:val="112"/>
    <w:autoRedefine/>
    <w:qFormat/>
    <w:uiPriority w:val="0"/>
    <w:pPr>
      <w:spacing w:line="360" w:lineRule="auto"/>
      <w:ind w:left="1" w:firstLine="422"/>
    </w:pPr>
    <w:rPr>
      <w:rFonts w:ascii="宋体" w:hAnsi="宋体" w:eastAsia="宋体" w:cs="Times New Roman"/>
      <w:sz w:val="24"/>
      <w:szCs w:val="24"/>
      <w:lang w:val="en-US" w:eastAsia="zh-CN" w:bidi="ar-SA"/>
    </w:rPr>
  </w:style>
  <w:style w:type="character" w:customStyle="1" w:styleId="112">
    <w:name w:val="正文（ 字符"/>
    <w:link w:val="111"/>
    <w:autoRedefine/>
    <w:qFormat/>
    <w:uiPriority w:val="0"/>
    <w:rPr>
      <w:rFonts w:ascii="宋体" w:hAnsi="宋体"/>
      <w:sz w:val="24"/>
      <w:szCs w:val="24"/>
    </w:rPr>
  </w:style>
  <w:style w:type="paragraph" w:customStyle="1" w:styleId="113">
    <w:name w:val="360正文"/>
    <w:basedOn w:val="1"/>
    <w:link w:val="114"/>
    <w:autoRedefine/>
    <w:qFormat/>
    <w:uiPriority w:val="0"/>
    <w:pPr>
      <w:widowControl w:val="0"/>
      <w:spacing w:line="360" w:lineRule="auto"/>
      <w:ind w:firstLine="480" w:firstLineChars="200"/>
      <w:jc w:val="both"/>
    </w:pPr>
    <w:rPr>
      <w:rFonts w:ascii="微软雅黑" w:hAnsi="微软雅黑" w:eastAsia="微软雅黑" w:cs="Times New Roman"/>
      <w:kern w:val="2"/>
    </w:rPr>
  </w:style>
  <w:style w:type="character" w:customStyle="1" w:styleId="114">
    <w:name w:val="360正文 Char"/>
    <w:basedOn w:val="21"/>
    <w:link w:val="113"/>
    <w:autoRedefine/>
    <w:qFormat/>
    <w:uiPriority w:val="0"/>
    <w:rPr>
      <w:rFonts w:ascii="微软雅黑" w:hAnsi="微软雅黑" w:eastAsia="微软雅黑"/>
      <w:kern w:val="2"/>
      <w:sz w:val="24"/>
      <w:szCs w:val="24"/>
    </w:rPr>
  </w:style>
  <w:style w:type="paragraph" w:customStyle="1" w:styleId="115">
    <w:name w:val="修订2"/>
    <w:hidden/>
    <w:unhideWhenUsed/>
    <w:qFormat/>
    <w:uiPriority w:val="99"/>
    <w:rPr>
      <w:rFonts w:ascii="宋体" w:hAnsi="宋体" w:eastAsia="宋体" w:cs="宋体"/>
      <w:sz w:val="24"/>
      <w:szCs w:val="24"/>
      <w:lang w:val="en-US" w:eastAsia="zh-CN" w:bidi="ar-SA"/>
    </w:rPr>
  </w:style>
  <w:style w:type="paragraph" w:customStyle="1" w:styleId="116">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广州华资软件技术有限公司</Company>
  <Pages>16</Pages>
  <Words>7821</Words>
  <Characters>8260</Characters>
  <Lines>77</Lines>
  <Paragraphs>21</Paragraphs>
  <TotalTime>5</TotalTime>
  <ScaleCrop>false</ScaleCrop>
  <LinksUpToDate>false</LinksUpToDate>
  <CharactersWithSpaces>8529</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2024-07-22T08:08:00Z</dcterms:created>
  <dc:creator>linshen</dc:creator>
  <cp:lastModifiedBy>056156</cp:lastModifiedBy>
  <cp:lastPrinted>2020-08-21T13:38:00Z</cp:lastPrinted>
  <dcterms:modified xsi:type="dcterms:W3CDTF">2025-09-11T06:25:07Z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057745BBAACD4849AD4B9F9AB29F0B05_13</vt:lpwstr>
  </property>
  <property fmtid="{D5CDD505-2E9C-101B-9397-08002B2CF9AE}" pid="4" name="KSOTemplateDocerSaveRecord">
    <vt:lpwstr>eyJoZGlkIjoiMmFhYTdjM2M4NzhhMzFiNDVjZTA4NzEzMzgzNTg3NGYiLCJ1c2VySWQiOiIyNjc4MDY0NzkifQ==</vt:lpwstr>
  </property>
</Properties>
</file>