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spacing w:before="0" w:after="0" w:line="360" w:lineRule="auto"/>
        <w:ind w:firstLine="320"/>
        <w:jc w:val="center"/>
        <w:rPr>
          <w:b/>
          <w:bCs/>
          <w:color w:val="FF0000"/>
          <w:kern w:val="2"/>
          <w:sz w:val="32"/>
          <w:szCs w:val="32"/>
          <w:lang w:eastAsia="zh-CN"/>
        </w:rPr>
      </w:pPr>
      <w:r>
        <w:rPr>
          <w:rFonts w:hint="eastAsia"/>
          <w:b/>
          <w:bCs/>
          <w:color w:val="FF0000"/>
          <w:kern w:val="2"/>
          <w:sz w:val="32"/>
          <w:szCs w:val="32"/>
          <w:lang w:eastAsia="zh-CN"/>
        </w:rPr>
        <w:t>特别警示条款</w:t>
      </w:r>
    </w:p>
    <w:p>
      <w:pPr>
        <w:rPr>
          <w:lang w:eastAsia="zh-CN"/>
        </w:rPr>
      </w:pPr>
    </w:p>
    <w:p>
      <w:pPr>
        <w:spacing w:line="360" w:lineRule="auto"/>
        <w:rPr>
          <w:b/>
          <w:bCs/>
          <w:color w:val="FF0000"/>
          <w:kern w:val="2"/>
          <w:lang w:eastAsia="zh-CN"/>
        </w:rPr>
      </w:pPr>
      <w:r>
        <w:rPr>
          <w:rFonts w:hint="eastAsia"/>
          <w:b/>
          <w:bCs/>
          <w:color w:val="FF0000"/>
          <w:kern w:val="2"/>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p>
      <w:pPr>
        <w:spacing w:line="360" w:lineRule="auto"/>
        <w:rPr>
          <w:b/>
          <w:bCs/>
          <w:kern w:val="2"/>
          <w:lang w:eastAsia="zh-CN"/>
        </w:rPr>
      </w:pPr>
    </w:p>
    <w:tbl>
      <w:tblPr>
        <w:tblStyle w:val="TableGrid"/>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21"/>
        <w:gridCol w:w="8235"/>
      </w:tblGrid>
      <w:tr>
        <w:tblPrEx>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序号</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lang w:eastAsia="zh-CN"/>
              </w:rPr>
            </w:pPr>
            <w:r>
              <w:rPr>
                <w:rFonts w:hint="eastAsia"/>
                <w:b/>
                <w:bCs/>
                <w:color w:val="FF0000"/>
                <w:lang w:eastAsia="zh-CN"/>
              </w:rPr>
              <w:t>供应商参与投标禁止情形</w:t>
            </w:r>
          </w:p>
        </w:tc>
      </w:tr>
      <w:tr>
        <w:tblPrEx>
          <w:tblW w:w="5000" w:type="pct"/>
          <w:tblInd w:w="250" w:type="dxa"/>
          <w:tblLayout w:type="fixed"/>
          <w:tblCellMar>
            <w:top w:w="0" w:type="dxa"/>
            <w:left w:w="108" w:type="dxa"/>
            <w:bottom w:w="0" w:type="dxa"/>
            <w:right w:w="108" w:type="dxa"/>
          </w:tblCellMar>
        </w:tblPrEx>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1</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与其他投标供应商的法定代表人、主要经营负责人、投标授权代表人、项目负责人、主要技术人员为</w:t>
            </w:r>
            <w:r>
              <w:rPr>
                <w:rFonts w:hint="eastAsia"/>
                <w:b/>
                <w:bCs/>
                <w:color w:val="FF0000"/>
                <w:lang w:eastAsia="zh-CN"/>
              </w:rPr>
              <w:t>同一人、属同一单位或者在同一单位缴纳社会保险</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90"/>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2</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参与本项目政府采购活动时，与其他投标供应商存在单位负责人为</w:t>
            </w:r>
            <w:r>
              <w:rPr>
                <w:rFonts w:hint="eastAsia"/>
                <w:b/>
                <w:bCs/>
                <w:color w:val="FF0000"/>
                <w:lang w:eastAsia="zh-CN"/>
              </w:rPr>
              <w:t>同一人或直接控股、管理关系</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3</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与其他投标供应商的投标文件或部分投标文件</w:t>
            </w:r>
            <w:r>
              <w:rPr>
                <w:rFonts w:hint="eastAsia"/>
                <w:b/>
                <w:bCs/>
                <w:color w:val="FF0000"/>
                <w:lang w:eastAsia="zh-CN"/>
              </w:rPr>
              <w:t>相互混装或存在非正常一致</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1325"/>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4</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与其他投标供应商的投标文件由</w:t>
            </w:r>
            <w:r>
              <w:rPr>
                <w:rFonts w:hint="eastAsia"/>
                <w:b/>
                <w:bCs/>
                <w:color w:val="FF0000"/>
                <w:lang w:eastAsia="zh-CN"/>
              </w:rPr>
              <w:t>同一单位或者同一人编制</w:t>
            </w:r>
            <w:r>
              <w:rPr>
                <w:rFonts w:hint="eastAsia"/>
                <w:color w:val="FF0000"/>
                <w:lang w:eastAsia="zh-CN"/>
              </w:rPr>
              <w:t>，或者使用</w:t>
            </w:r>
            <w:r>
              <w:rPr>
                <w:rFonts w:hint="eastAsia"/>
                <w:b/>
                <w:bCs/>
                <w:color w:val="FF0000"/>
                <w:lang w:eastAsia="zh-CN"/>
              </w:rPr>
              <w:t>同一设备编制</w:t>
            </w:r>
            <w:r>
              <w:rPr>
                <w:rFonts w:hint="eastAsia"/>
                <w:color w:val="FF0000"/>
                <w:lang w:eastAsia="zh-CN"/>
              </w:rPr>
              <w:t>（“文件制作机器码”“文件创建标识码”一致）。</w:t>
            </w:r>
          </w:p>
        </w:tc>
      </w:tr>
      <w:tr>
        <w:tblPrEx>
          <w:tblW w:w="5000" w:type="pct"/>
          <w:tblInd w:w="250" w:type="dxa"/>
          <w:tblLayout w:type="fixed"/>
          <w:tblCellMar>
            <w:top w:w="0" w:type="dxa"/>
            <w:left w:w="108" w:type="dxa"/>
            <w:bottom w:w="0" w:type="dxa"/>
            <w:right w:w="108" w:type="dxa"/>
          </w:tblCellMar>
        </w:tblPrEx>
        <w:trPr>
          <w:trHeight w:val="985"/>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5</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提供</w:t>
            </w:r>
            <w:r>
              <w:rPr>
                <w:rFonts w:hint="eastAsia"/>
                <w:b/>
                <w:bCs/>
                <w:color w:val="FF0000"/>
                <w:lang w:eastAsia="zh-CN"/>
              </w:rPr>
              <w:t>未经出具机构核实</w:t>
            </w:r>
            <w:r>
              <w:rPr>
                <w:rFonts w:hint="eastAsia"/>
                <w:color w:val="FF0000"/>
                <w:lang w:eastAsia="zh-CN"/>
              </w:rPr>
              <w:t>的虚假的检验检测报告、业绩材料、社保缴纳证明、学历学位证书、职称认证证书等材料。</w:t>
            </w:r>
          </w:p>
        </w:tc>
      </w:tr>
      <w:tr>
        <w:tblPrEx>
          <w:tblW w:w="5000" w:type="pct"/>
          <w:tblInd w:w="250" w:type="dxa"/>
          <w:tblLayout w:type="fixed"/>
          <w:tblCellMar>
            <w:top w:w="0" w:type="dxa"/>
            <w:left w:w="108" w:type="dxa"/>
            <w:bottom w:w="0" w:type="dxa"/>
            <w:right w:w="108" w:type="dxa"/>
          </w:tblCellMar>
        </w:tblPrEx>
        <w:trPr>
          <w:trHeight w:val="588"/>
        </w:trPr>
        <w:tc>
          <w:tcPr>
            <w:tcW w:w="561" w:type="dxa"/>
            <w:tcBorders>
              <w:top w:val="single" w:sz="4" w:space="0" w:color="auto"/>
              <w:left w:val="single" w:sz="4" w:space="0" w:color="auto"/>
              <w:bottom w:val="single" w:sz="4" w:space="0" w:color="auto"/>
              <w:right w:val="single" w:sz="4" w:space="0" w:color="auto"/>
            </w:tcBorders>
            <w:vAlign w:val="center"/>
          </w:tcPr>
          <w:p>
            <w:pPr>
              <w:widowControl/>
              <w:rPr>
                <w:color w:val="FF0000"/>
              </w:rPr>
            </w:pPr>
            <w:r>
              <w:rPr>
                <w:rFonts w:hint="eastAsia"/>
                <w:color w:val="FF0000"/>
              </w:rPr>
              <w:t>6</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擅自将投标密钥或电子营业执照出借他人使用或未妥善保管。</w:t>
            </w:r>
          </w:p>
        </w:tc>
      </w:tr>
    </w:tbl>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spacing w:beforeAutospacing="1"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rPr>
          <w:rFonts w:eastAsia="黑体" w:hint="eastAsia"/>
        </w:rPr>
      </w:pPr>
    </w:p>
    <w:p>
      <w:pPr>
        <w:widowControl w:val="0"/>
        <w:tabs>
          <w:tab w:val="left" w:pos="2790"/>
        </w:tabs>
        <w:snapToGrid w:val="0"/>
        <w:jc w:val="both"/>
        <w:outlineLvl w:val="0"/>
        <w:rPr>
          <w:rFonts w:ascii="宋体" w:eastAsia="宋体" w:hAnsi="宋体" w:cs="宋体"/>
          <w:kern w:val="2"/>
          <w:sz w:val="32"/>
          <w:szCs w:val="32"/>
          <w:highlight w:val="yellow"/>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LHAZXDL-2025-00824</w:t>
      </w:r>
    </w:p>
    <w:p>
      <w:pPr>
        <w:widowControl w:val="0"/>
        <w:tabs>
          <w:tab w:val="left" w:pos="2790"/>
        </w:tabs>
        <w:snapToGrid w:val="0"/>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分布式操作系统应用开发实训平台采购</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spacing w:line="360" w:lineRule="auto"/>
        <w:jc w:val="both"/>
        <w:rPr>
          <w:rFonts w:ascii="Calibri" w:eastAsia="宋体" w:hAnsi="Calibri"/>
          <w:b/>
          <w:bCs/>
          <w:kern w:val="2"/>
          <w:szCs w:val="22"/>
          <w:lang w:eastAsia="zh-CN"/>
        </w:rPr>
      </w:pPr>
    </w:p>
    <w:p>
      <w:pPr>
        <w:widowControl w:val="0"/>
        <w:tabs>
          <w:tab w:val="left" w:pos="2790"/>
        </w:tabs>
        <w:snapToGrid w:val="0"/>
        <w:jc w:val="center"/>
        <w:outlineLvl w:val="0"/>
        <w:rPr>
          <w:rFonts w:ascii="黑体" w:eastAsia="黑体" w:hAnsi="黑体" w:hint="eastAsia"/>
          <w:kern w:val="2"/>
          <w:sz w:val="40"/>
          <w:szCs w:val="40"/>
          <w:lang w:eastAsia="zh-CN"/>
        </w:rPr>
      </w:pPr>
      <w:bookmarkStart w:id="0" w:name="OLE_LINK1"/>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hint="eastAsia"/>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hint="eastAsia"/>
          <w:kern w:val="2"/>
          <w:sz w:val="40"/>
          <w:szCs w:val="40"/>
          <w:lang w:eastAsia="zh-CN"/>
        </w:rPr>
      </w:pPr>
    </w:p>
    <w:p>
      <w:pPr>
        <w:widowControl w:val="0"/>
        <w:tabs>
          <w:tab w:val="left" w:pos="2790"/>
        </w:tabs>
        <w:snapToGrid w:val="0"/>
        <w:jc w:val="center"/>
        <w:outlineLvl w:val="0"/>
        <w:rPr>
          <w:rFonts w:ascii="黑体" w:eastAsia="黑体" w:hAnsi="黑体" w:hint="eastAsia"/>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jc w:val="center"/>
              <w:rPr>
                <w:rFonts w:ascii="宋体" w:eastAsia="宋体" w:hAnsi="宋体" w:hint="eastAsia"/>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jc w:val="center"/>
              <w:rPr>
                <w:rFonts w:ascii="宋体" w:eastAsia="宋体" w:hAnsi="宋体" w:hint="eastAsia"/>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1" w:name="_Hlk71832186"/>
            <w:r>
              <w:rPr>
                <w:rFonts w:ascii="宋体" w:eastAsia="宋体" w:hAnsi="宋体" w:cstheme="minorBidi" w:hint="eastAsia"/>
                <w:kern w:val="2"/>
                <w:sz w:val="21"/>
                <w:szCs w:val="21"/>
                <w:lang w:eastAsia="zh-CN"/>
              </w:rPr>
              <w:t>相应预算金额（或设定的预算金额下的最高限价）</w:t>
            </w:r>
            <w:bookmarkEnd w:id="1"/>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trHeight w:val="9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spacing w:line="360" w:lineRule="auto"/>
        <w:jc w:val="both"/>
        <w:rPr>
          <w:rFonts w:ascii="Calibri" w:eastAsia="宋体" w:hAnsi="Calibri"/>
          <w:b/>
          <w:bCs/>
          <w:kern w:val="2"/>
          <w:lang w:eastAsia="zh-CN"/>
        </w:rPr>
      </w:pPr>
    </w:p>
    <w:p>
      <w:pPr>
        <w:widowControl w:val="0"/>
        <w:spacing w:line="360" w:lineRule="auto"/>
        <w:jc w:val="both"/>
        <w:rPr>
          <w:rFonts w:ascii="Calibri" w:eastAsia="宋体" w:hAnsi="Calibri"/>
          <w:b/>
          <w:bCs/>
          <w:kern w:val="2"/>
          <w:lang w:eastAsia="zh-CN"/>
        </w:rPr>
      </w:pPr>
    </w:p>
    <w:p>
      <w:pPr>
        <w:widowControl w:val="0"/>
        <w:spacing w:line="360" w:lineRule="auto"/>
        <w:jc w:val="both"/>
        <w:rPr>
          <w:rFonts w:ascii="Calibri" w:eastAsia="宋体" w:hAnsi="Calibri"/>
          <w:b/>
          <w:bCs/>
          <w:kern w:val="2"/>
          <w:lang w:eastAsia="zh-CN"/>
        </w:rPr>
      </w:pPr>
    </w:p>
    <w:p>
      <w:pPr>
        <w:spacing w:before="100" w:beforeAutospacing="1" w:afterAutospacing="1"/>
        <w:jc w:val="center"/>
        <w:outlineLvl w:val="0"/>
        <w:rPr>
          <w:rFonts w:ascii="黑体" w:eastAsia="黑体" w:hAnsi="宋体" w:hint="eastAsia"/>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tblCellSpacing w:w="0" w:type="dxa"/>
        <w:tblInd w:w="0" w:type="dxa"/>
        <w:tblLayout w:type="fixed"/>
        <w:tblCellMar>
          <w:top w:w="45" w:type="dxa"/>
          <w:left w:w="45" w:type="dxa"/>
          <w:bottom w:w="45" w:type="dxa"/>
          <w:right w:w="45" w:type="dxa"/>
        </w:tblCellMar>
      </w:tblPr>
      <w:tblGrid>
        <w:gridCol w:w="8730"/>
      </w:tblGrid>
      <w:tr>
        <w:tblPrEx>
          <w:tblW w:w="5000" w:type="pct"/>
          <w:tblCellSpacing w:w="0" w:type="dxa"/>
          <w:tblInd w:w="0" w:type="dxa"/>
          <w:tblLayout w:type="fixed"/>
          <w:tblCellMar>
            <w:top w:w="45" w:type="dxa"/>
            <w:left w:w="45" w:type="dxa"/>
            <w:bottom w:w="45" w:type="dxa"/>
            <w:right w:w="45" w:type="dxa"/>
          </w:tblCellMar>
        </w:tblPrEx>
        <w:trPr>
          <w:tblCellSpacing w:w="0" w:type="dxa"/>
        </w:trPr>
        <w:tc>
          <w:tcPr>
            <w:tcW w:w="8730" w:type="dxa"/>
            <w:shd w:val="clear" w:color="auto" w:fill="auto"/>
            <w:vAlign w:val="center"/>
          </w:tcPr>
          <w:p>
            <w:pPr>
              <w:widowControl w:val="0"/>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tblCellSpacing w:w="0" w:type="dxa"/>
          <w:tblInd w:w="0" w:type="dxa"/>
          <w:tblLayout w:type="fixed"/>
          <w:tblCellMar>
            <w:top w:w="45" w:type="dxa"/>
            <w:left w:w="45" w:type="dxa"/>
            <w:bottom w:w="45" w:type="dxa"/>
            <w:right w:w="45" w:type="dxa"/>
          </w:tblCellMar>
        </w:tblPrEx>
        <w:trPr>
          <w:tblCellSpacing w:w="0" w:type="dxa"/>
        </w:trPr>
        <w:tc>
          <w:tcPr>
            <w:tcW w:w="8730" w:type="dxa"/>
            <w:shd w:val="clear" w:color="auto" w:fill="auto"/>
            <w:vAlign w:val="center"/>
          </w:tcPr>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综合评分法，是指投标文件满足采购文件全部实质性要求，且按照评审因素的量化指标评审得分最高的投标人为中标候选人的评审方法。提供相同品牌产品且通过资格审查、符合性审查的不同投标人参加同一合同项下投标的，按一家投标人计算，评审后得分最高的同品牌投标人获得中标人推荐资格；评审得分相同的，由采购人或者采购人委托评标委员会采取随机抽取方式确定，其他投标无效。</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价格分计算方法：</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采用低价优先法计算，即满足采购文件要求且投标价格最低的投标报价为评审基准价，其价格分为满分。其他投标人的价格分统一按照下列公式计算：</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投标报价得分=(评审基准价／投标报价)×100 </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评审总得分＝F1×A1＋F2×A2＋……＋Fn×An </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F1、F2……Fn分别为各项评审因素的得分；</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A1、A2、……An 分别为各项评审因素所占的权重(A1＋A2＋……＋An＝1)。</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评审过程中，不得去掉报价中的最高报价和最低报价。</w:t>
            </w:r>
          </w:p>
          <w:p>
            <w:pPr>
              <w:spacing w:before="100"/>
              <w:ind w:left="420"/>
              <w:rPr>
                <w:rFonts w:ascii="宋体" w:eastAsia="宋体" w:hAnsi="宋体" w:hint="eastAsia"/>
                <w:kern w:val="2"/>
                <w:lang w:eastAsia="zh-CN"/>
              </w:rPr>
            </w:pPr>
            <w:r>
              <w:rPr>
                <w:rFonts w:ascii="宋体" w:eastAsia="宋体" w:hAnsi="宋体" w:hint="eastAsia"/>
                <w:kern w:val="2"/>
                <w:sz w:val="21"/>
                <w:szCs w:val="21"/>
                <w:lang w:eastAsia="zh-CN"/>
              </w:rPr>
              <w:t>此方法适用于货物类、服务类、工程服务类项目。</w:t>
            </w:r>
          </w:p>
        </w:tc>
      </w:tr>
    </w:tbl>
    <w:p>
      <w:pPr>
        <w:widowControl w:val="0"/>
        <w:jc w:val="both"/>
        <w:rPr>
          <w:rFonts w:ascii="Calibri" w:eastAsia="宋体" w:hAnsi="Calibri"/>
          <w:kern w:val="2"/>
          <w:sz w:val="21"/>
          <w:szCs w:val="22"/>
          <w:lang w:eastAsia="zh-CN"/>
        </w:rPr>
      </w:pPr>
    </w:p>
    <w:bookmarkEnd w:id="0"/>
    <w:tbl>
      <w:tblPr>
        <w:tblStyle w:val="TableNormal"/>
        <w:tblpPr w:leftFromText="180" w:rightFromText="180" w:vertAnchor="text" w:tblpX="1" w:tblpY="1"/>
        <w:tblOverlap w:val="neve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06"/>
        <w:gridCol w:w="736"/>
        <w:gridCol w:w="14"/>
        <w:gridCol w:w="1164"/>
        <w:gridCol w:w="206"/>
        <w:gridCol w:w="1266"/>
        <w:gridCol w:w="506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0"/>
        </w:trPr>
        <w:tc>
          <w:tcPr>
            <w:tcW w:w="392"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3260" w:type="dxa"/>
            <w:gridSpan w:val="5"/>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评分项</w:t>
            </w:r>
          </w:p>
        </w:tc>
        <w:tc>
          <w:tcPr>
            <w:tcW w:w="4876"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权重</w:t>
            </w:r>
          </w:p>
        </w:tc>
      </w:tr>
      <w:tr>
        <w:tblPrEx>
          <w:tblW w:w="5000" w:type="pct"/>
          <w:tblInd w:w="0" w:type="dxa"/>
          <w:tblLayout w:type="fixed"/>
          <w:tblCellMar>
            <w:top w:w="0" w:type="dxa"/>
            <w:left w:w="108" w:type="dxa"/>
            <w:bottom w:w="0" w:type="dxa"/>
            <w:right w:w="108" w:type="dxa"/>
          </w:tblCellMar>
        </w:tblPrEx>
        <w:trPr>
          <w:trHeight w:val="326"/>
        </w:trPr>
        <w:tc>
          <w:tcPr>
            <w:tcW w:w="392"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1</w:t>
            </w:r>
          </w:p>
        </w:tc>
        <w:tc>
          <w:tcPr>
            <w:tcW w:w="3260" w:type="dxa"/>
            <w:gridSpan w:val="5"/>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价格</w:t>
            </w:r>
          </w:p>
        </w:tc>
        <w:tc>
          <w:tcPr>
            <w:tcW w:w="4876"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30%</w:t>
            </w:r>
          </w:p>
        </w:tc>
      </w:tr>
      <w:tr>
        <w:tblPrEx>
          <w:tblW w:w="5000" w:type="pct"/>
          <w:tblInd w:w="0" w:type="dxa"/>
          <w:tblLayout w:type="fixed"/>
          <w:tblCellMar>
            <w:top w:w="0" w:type="dxa"/>
            <w:left w:w="108" w:type="dxa"/>
            <w:bottom w:w="0" w:type="dxa"/>
            <w:right w:w="108" w:type="dxa"/>
          </w:tblCellMar>
        </w:tblPrEx>
        <w:trPr>
          <w:trHeight w:val="366"/>
        </w:trPr>
        <w:tc>
          <w:tcPr>
            <w:tcW w:w="392"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2</w:t>
            </w:r>
          </w:p>
        </w:tc>
        <w:tc>
          <w:tcPr>
            <w:tcW w:w="3260" w:type="dxa"/>
            <w:gridSpan w:val="5"/>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技术评分部分</w:t>
            </w:r>
          </w:p>
        </w:tc>
        <w:tc>
          <w:tcPr>
            <w:tcW w:w="4876"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55%</w:t>
            </w:r>
          </w:p>
        </w:tc>
      </w:tr>
      <w:tr>
        <w:tblPrEx>
          <w:tblW w:w="5000" w:type="pct"/>
          <w:tblInd w:w="0" w:type="dxa"/>
          <w:tblLayout w:type="fixed"/>
          <w:tblCellMar>
            <w:top w:w="0" w:type="dxa"/>
            <w:left w:w="108" w:type="dxa"/>
            <w:bottom w:w="0" w:type="dxa"/>
            <w:right w:w="108" w:type="dxa"/>
          </w:tblCellMar>
        </w:tblPrEx>
        <w:trPr>
          <w:trHeight w:val="339"/>
        </w:trPr>
        <w:tc>
          <w:tcPr>
            <w:tcW w:w="392" w:type="dxa"/>
            <w:vMerge w:val="restart"/>
            <w:noWrap w:val="0"/>
            <w:vAlign w:val="center"/>
          </w:tcPr>
          <w:p>
            <w:pPr>
              <w:spacing w:line="240" w:lineRule="exact"/>
              <w:jc w:val="center"/>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332" w:type="dxa"/>
            <w:gridSpan w:val="3"/>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219"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权重(%)</w:t>
            </w:r>
          </w:p>
        </w:tc>
        <w:tc>
          <w:tcPr>
            <w:tcW w:w="4876"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tblInd w:w="0" w:type="dxa"/>
          <w:tblLayout w:type="fixed"/>
          <w:tblCellMar>
            <w:top w:w="0" w:type="dxa"/>
            <w:left w:w="108" w:type="dxa"/>
            <w:bottom w:w="0" w:type="dxa"/>
            <w:right w:w="108" w:type="dxa"/>
          </w:tblCellMar>
        </w:tblPrEx>
        <w:trPr>
          <w:trHeight w:val="90"/>
        </w:trPr>
        <w:tc>
          <w:tcPr>
            <w:tcW w:w="392" w:type="dxa"/>
            <w:vMerge/>
            <w:noWrap w:val="0"/>
            <w:vAlign w:val="center"/>
          </w:tcPr>
          <w:p>
            <w:pPr>
              <w:keepNext/>
              <w:keepLines/>
              <w:spacing w:before="340" w:after="330" w:line="240" w:lineRule="exact"/>
              <w:jc w:val="center"/>
              <w:outlineLvl w:val="0"/>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1</w:t>
            </w:r>
          </w:p>
        </w:tc>
        <w:tc>
          <w:tcPr>
            <w:tcW w:w="1332" w:type="dxa"/>
            <w:gridSpan w:val="3"/>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技术规格偏离情况</w:t>
            </w:r>
          </w:p>
        </w:tc>
        <w:tc>
          <w:tcPr>
            <w:tcW w:w="121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27</w:t>
            </w:r>
          </w:p>
        </w:tc>
        <w:tc>
          <w:tcPr>
            <w:tcW w:w="4876" w:type="dxa"/>
            <w:noWrap w:val="0"/>
            <w:vAlign w:val="top"/>
          </w:tcPr>
          <w:p>
            <w:pPr>
              <w:spacing w:line="240" w:lineRule="exact"/>
              <w:rPr>
                <w:rFonts w:ascii="宋体" w:eastAsia="宋体" w:hAnsi="宋体" w:cs="宋体" w:hint="eastAsia"/>
                <w:sz w:val="21"/>
                <w:szCs w:val="21"/>
              </w:rPr>
            </w:pPr>
            <w:r>
              <w:rPr>
                <w:rFonts w:ascii="宋体" w:eastAsia="宋体" w:hAnsi="宋体" w:cs="宋体" w:hint="eastAsia"/>
                <w:sz w:val="21"/>
                <w:szCs w:val="21"/>
              </w:rPr>
              <w:t>评审小组根据《技术规格偏离表》（以下简称“偏离表”.响应情况进行打分，全部满足的得100分，一般参数负偏离一项扣0.52分，重点技术参数▲项负偏离一项扣8分。扣完为止。</w:t>
            </w:r>
          </w:p>
          <w:p>
            <w:pPr>
              <w:spacing w:line="240" w:lineRule="exact"/>
              <w:rPr>
                <w:rFonts w:ascii="宋体" w:eastAsia="宋体" w:hAnsi="宋体" w:cs="宋体" w:hint="eastAsia"/>
                <w:sz w:val="21"/>
                <w:szCs w:val="21"/>
              </w:rPr>
            </w:pPr>
            <w:r>
              <w:rPr>
                <w:rFonts w:ascii="宋体" w:eastAsia="宋体" w:hAnsi="宋体" w:cs="宋体" w:hint="eastAsia"/>
                <w:sz w:val="21"/>
                <w:szCs w:val="21"/>
              </w:rPr>
              <w:t>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r>
      <w:tr>
        <w:tblPrEx>
          <w:tblW w:w="5000" w:type="pct"/>
          <w:tblInd w:w="0" w:type="dxa"/>
          <w:tblLayout w:type="fixed"/>
          <w:tblCellMar>
            <w:top w:w="0" w:type="dxa"/>
            <w:left w:w="108" w:type="dxa"/>
            <w:bottom w:w="0" w:type="dxa"/>
            <w:right w:w="108" w:type="dxa"/>
          </w:tblCellMar>
        </w:tblPrEx>
        <w:trPr>
          <w:trHeight w:val="20"/>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2</w:t>
            </w:r>
          </w:p>
        </w:tc>
        <w:tc>
          <w:tcPr>
            <w:tcW w:w="1332" w:type="dxa"/>
            <w:gridSpan w:val="3"/>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现场演示</w:t>
            </w:r>
          </w:p>
        </w:tc>
        <w:tc>
          <w:tcPr>
            <w:tcW w:w="121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20</w:t>
            </w:r>
          </w:p>
        </w:tc>
        <w:tc>
          <w:tcPr>
            <w:tcW w:w="4876" w:type="dxa"/>
            <w:noWrap w:val="0"/>
            <w:vAlign w:val="top"/>
          </w:tcPr>
          <w:p>
            <w:pPr>
              <w:spacing w:line="240" w:lineRule="exact"/>
              <w:rPr>
                <w:rFonts w:ascii="宋体" w:eastAsia="宋体" w:hAnsi="宋体" w:cs="宋体" w:hint="eastAsia"/>
                <w:sz w:val="21"/>
                <w:szCs w:val="21"/>
              </w:rPr>
            </w:pPr>
            <w:r>
              <w:rPr>
                <w:rFonts w:ascii="宋体" w:eastAsia="宋体" w:hAnsi="宋体" w:cs="宋体" w:hint="eastAsia"/>
                <w:sz w:val="21"/>
                <w:szCs w:val="21"/>
              </w:rPr>
              <w:t>投标人需进行现场演示（共4个总分100分），根据下列功能逐条演示：</w:t>
            </w:r>
          </w:p>
          <w:p>
            <w:pPr>
              <w:spacing w:line="240" w:lineRule="exact"/>
              <w:rPr>
                <w:rFonts w:ascii="宋体" w:eastAsia="宋体" w:hAnsi="宋体" w:cs="宋体" w:hint="eastAsia"/>
                <w:sz w:val="21"/>
                <w:szCs w:val="21"/>
              </w:rPr>
            </w:pPr>
            <w:r>
              <w:rPr>
                <w:rFonts w:ascii="宋体" w:eastAsia="宋体" w:hAnsi="宋体" w:cs="宋体" w:hint="eastAsia"/>
                <w:sz w:val="21"/>
                <w:szCs w:val="21"/>
              </w:rPr>
              <w:t>1、演示分布式操作系统应用开发综合实践平台内嵌18寸或以上触摸屏，运行智能交通、物料搬运、洗衣液制作、快递分拣、智能洗衣机、水塔供水、隧道风机、智能广告彩灯、自动售货机、工位呼叫、垂直电梯、自动扶梯、LED数码管显示、自动送料小车、电机运行系统等15个或以上行业仿真场景界面的离线仿真效果。（演示满足要求得25分，不满足不得分）</w:t>
            </w:r>
          </w:p>
          <w:p>
            <w:pPr>
              <w:spacing w:line="240" w:lineRule="exact"/>
              <w:rPr>
                <w:rFonts w:ascii="宋体" w:eastAsia="宋体" w:hAnsi="宋体" w:cs="宋体" w:hint="eastAsia"/>
                <w:sz w:val="21"/>
                <w:szCs w:val="21"/>
              </w:rPr>
            </w:pPr>
            <w:r>
              <w:rPr>
                <w:rFonts w:ascii="宋体" w:eastAsia="宋体" w:hAnsi="宋体" w:cs="宋体" w:hint="eastAsia"/>
                <w:sz w:val="21"/>
                <w:szCs w:val="21"/>
              </w:rPr>
              <w:t>2、评分专家任意指定一个场景，当即演示通过实物插线实现对显示屏的虚拟仿真设备进行控制，触摸屏虚拟仿真场景状态变化，对应的实物指示灯会对应变化。（演示满足要求得25分，不满足不得分）</w:t>
            </w:r>
          </w:p>
          <w:p>
            <w:pPr>
              <w:spacing w:line="240" w:lineRule="exact"/>
              <w:rPr>
                <w:rFonts w:ascii="宋体" w:eastAsia="宋体" w:hAnsi="宋体" w:cs="宋体" w:hint="eastAsia"/>
                <w:sz w:val="21"/>
                <w:szCs w:val="21"/>
              </w:rPr>
            </w:pPr>
            <w:r>
              <w:rPr>
                <w:rFonts w:ascii="宋体" w:eastAsia="宋体" w:hAnsi="宋体" w:cs="宋体" w:hint="eastAsia"/>
                <w:sz w:val="21"/>
                <w:szCs w:val="21"/>
              </w:rPr>
              <w:t>3、演示将仿真开发控制板通过60针排线，连接虚实交互IO控制板，仿真开发控制板烧录智能交通控制案例代码，实现对智能交通仿真场景的控制效果；（演示满足要求得25分，不满足不得分）</w:t>
            </w:r>
          </w:p>
          <w:p>
            <w:pPr>
              <w:spacing w:line="240" w:lineRule="exact"/>
              <w:rPr>
                <w:rFonts w:ascii="宋体" w:eastAsia="宋体" w:hAnsi="宋体" w:cs="宋体" w:hint="eastAsia"/>
                <w:sz w:val="21"/>
                <w:szCs w:val="21"/>
              </w:rPr>
            </w:pPr>
            <w:r>
              <w:rPr>
                <w:rFonts w:ascii="宋体" w:eastAsia="宋体" w:hAnsi="宋体" w:cs="宋体" w:hint="eastAsia"/>
                <w:sz w:val="21"/>
                <w:szCs w:val="21"/>
              </w:rPr>
              <w:t>4、演示</w:t>
            </w:r>
            <w:r>
              <w:rPr>
                <w:rFonts w:ascii="宋体" w:eastAsia="宋体" w:hAnsi="宋体" w:cs="宋体" w:hint="eastAsia"/>
                <w:spacing w:val="-4"/>
                <w:sz w:val="21"/>
                <w:szCs w:val="21"/>
              </w:rPr>
              <w:t>分布式操作系统应用开发综合实践平台下方固定虚实交互IO控制板和不少于8个磁吸底座，演示磁吸底座通过顶针方式稳定连接</w:t>
            </w:r>
            <w:r>
              <w:rPr>
                <w:rFonts w:ascii="宋体" w:eastAsia="宋体" w:hAnsi="宋体" w:cs="宋体" w:hint="eastAsia"/>
                <w:sz w:val="21"/>
                <w:szCs w:val="21"/>
              </w:rPr>
              <w:t>南向仿真开发控制板的效果；（演示满足要求得25分，不满足不得分）</w:t>
            </w:r>
          </w:p>
          <w:p>
            <w:pPr>
              <w:spacing w:line="240" w:lineRule="exact"/>
              <w:rPr>
                <w:rFonts w:ascii="宋体" w:eastAsia="宋体" w:hAnsi="宋体" w:cs="宋体" w:hint="eastAsia"/>
                <w:sz w:val="21"/>
                <w:szCs w:val="21"/>
              </w:rPr>
            </w:pPr>
            <w:r>
              <w:rPr>
                <w:rFonts w:ascii="宋体" w:eastAsia="宋体" w:hAnsi="宋体" w:cs="宋体" w:hint="eastAsia"/>
                <w:sz w:val="21"/>
                <w:szCs w:val="21"/>
              </w:rPr>
              <w:t>注：评委根据功能演示情况与采购需求匹配程度，业务逻辑，完整性，关键点的把握程度进行评分，每家投标人总演示时间不超过15分钟。</w:t>
            </w:r>
          </w:p>
        </w:tc>
      </w:tr>
      <w:tr>
        <w:tblPrEx>
          <w:tblW w:w="5000" w:type="pct"/>
          <w:tblInd w:w="0" w:type="dxa"/>
          <w:tblLayout w:type="fixed"/>
          <w:tblCellMar>
            <w:top w:w="0" w:type="dxa"/>
            <w:left w:w="108" w:type="dxa"/>
            <w:bottom w:w="0" w:type="dxa"/>
            <w:right w:w="108" w:type="dxa"/>
          </w:tblCellMar>
        </w:tblPrEx>
        <w:trPr>
          <w:trHeight w:val="841"/>
        </w:trPr>
        <w:tc>
          <w:tcPr>
            <w:tcW w:w="392" w:type="dxa"/>
            <w:vMerge/>
            <w:noWrap w:val="0"/>
            <w:vAlign w:val="center"/>
          </w:tcPr>
          <w:p>
            <w:pPr>
              <w:spacing w:line="240" w:lineRule="exact"/>
              <w:jc w:val="center"/>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3</w:t>
            </w:r>
          </w:p>
        </w:tc>
        <w:tc>
          <w:tcPr>
            <w:tcW w:w="1332" w:type="dxa"/>
            <w:gridSpan w:val="3"/>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项目整体设计方案</w:t>
            </w:r>
          </w:p>
        </w:tc>
        <w:tc>
          <w:tcPr>
            <w:tcW w:w="121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4</w:t>
            </w:r>
          </w:p>
        </w:tc>
        <w:tc>
          <w:tcPr>
            <w:tcW w:w="4876" w:type="dxa"/>
            <w:noWrap w:val="0"/>
            <w:vAlign w:val="top"/>
          </w:tcPr>
          <w:p>
            <w:pPr>
              <w:spacing w:line="240" w:lineRule="exact"/>
              <w:rPr>
                <w:rFonts w:ascii="宋体" w:eastAsia="宋体" w:hAnsi="宋体" w:cs="宋体" w:hint="eastAsia"/>
                <w:b/>
                <w:bCs/>
                <w:sz w:val="21"/>
                <w:szCs w:val="21"/>
              </w:rPr>
            </w:pPr>
            <w:r>
              <w:rPr>
                <w:rFonts w:ascii="宋体" w:eastAsia="宋体" w:hAnsi="宋体" w:cs="宋体" w:hint="eastAsia"/>
                <w:b/>
                <w:bCs/>
                <w:sz w:val="21"/>
                <w:szCs w:val="21"/>
              </w:rPr>
              <w:t>（一）评审内容：</w:t>
            </w:r>
          </w:p>
          <w:p>
            <w:pPr>
              <w:spacing w:line="240" w:lineRule="exact"/>
              <w:rPr>
                <w:rFonts w:ascii="宋体" w:eastAsia="宋体" w:hAnsi="宋体" w:cs="宋体" w:hint="eastAsia"/>
                <w:sz w:val="21"/>
                <w:szCs w:val="21"/>
              </w:rPr>
            </w:pPr>
            <w:r>
              <w:rPr>
                <w:rFonts w:ascii="宋体" w:eastAsia="宋体" w:hAnsi="宋体" w:cs="宋体" w:hint="eastAsia"/>
                <w:sz w:val="21"/>
                <w:szCs w:val="21"/>
              </w:rPr>
              <w:t>投标人提供本项目的售后服务方案，方案中包含：</w:t>
            </w:r>
          </w:p>
          <w:p>
            <w:pPr>
              <w:spacing w:line="240" w:lineRule="exact"/>
              <w:rPr>
                <w:rFonts w:ascii="宋体" w:eastAsia="宋体" w:hAnsi="宋体" w:cs="宋体" w:hint="eastAsia"/>
                <w:sz w:val="21"/>
                <w:szCs w:val="21"/>
              </w:rPr>
            </w:pPr>
            <w:r>
              <w:rPr>
                <w:rFonts w:ascii="宋体" w:eastAsia="宋体" w:hAnsi="宋体" w:cs="宋体" w:hint="eastAsia"/>
                <w:sz w:val="21"/>
                <w:szCs w:val="21"/>
              </w:rPr>
              <w:t>1、服务内容；</w:t>
            </w:r>
          </w:p>
          <w:p>
            <w:pPr>
              <w:spacing w:line="240" w:lineRule="exact"/>
              <w:rPr>
                <w:rFonts w:ascii="宋体" w:eastAsia="宋体" w:hAnsi="宋体" w:cs="宋体" w:hint="eastAsia"/>
                <w:sz w:val="21"/>
                <w:szCs w:val="21"/>
              </w:rPr>
            </w:pPr>
            <w:r>
              <w:rPr>
                <w:rFonts w:ascii="宋体" w:eastAsia="宋体" w:hAnsi="宋体" w:cs="宋体" w:hint="eastAsia"/>
                <w:sz w:val="21"/>
                <w:szCs w:val="21"/>
              </w:rPr>
              <w:t>2、维修应急方案；</w:t>
            </w:r>
          </w:p>
          <w:p>
            <w:pPr>
              <w:spacing w:line="240" w:lineRule="exact"/>
              <w:rPr>
                <w:rFonts w:ascii="宋体" w:eastAsia="宋体" w:hAnsi="宋体" w:cs="宋体" w:hint="eastAsia"/>
                <w:sz w:val="21"/>
                <w:szCs w:val="21"/>
              </w:rPr>
            </w:pPr>
            <w:r>
              <w:rPr>
                <w:rFonts w:ascii="宋体" w:eastAsia="宋体" w:hAnsi="宋体" w:cs="宋体" w:hint="eastAsia"/>
                <w:sz w:val="21"/>
                <w:szCs w:val="21"/>
              </w:rPr>
              <w:t>3、培训计划；</w:t>
            </w:r>
          </w:p>
          <w:p>
            <w:pPr>
              <w:spacing w:line="240" w:lineRule="exact"/>
              <w:rPr>
                <w:rFonts w:ascii="宋体" w:eastAsia="宋体" w:hAnsi="宋体" w:cs="宋体" w:hint="eastAsia"/>
                <w:sz w:val="21"/>
                <w:szCs w:val="21"/>
              </w:rPr>
            </w:pPr>
            <w:r>
              <w:rPr>
                <w:rFonts w:ascii="宋体" w:eastAsia="宋体" w:hAnsi="宋体" w:cs="宋体" w:hint="eastAsia"/>
                <w:sz w:val="21"/>
                <w:szCs w:val="21"/>
              </w:rPr>
              <w:t>4、其他特色服务。</w:t>
            </w:r>
          </w:p>
          <w:p>
            <w:pPr>
              <w:spacing w:line="240" w:lineRule="exact"/>
              <w:rPr>
                <w:rFonts w:ascii="宋体" w:eastAsia="宋体" w:hAnsi="宋体" w:cs="宋体" w:hint="eastAsia"/>
                <w:b/>
                <w:bCs/>
                <w:sz w:val="21"/>
                <w:szCs w:val="21"/>
              </w:rPr>
            </w:pPr>
            <w:r>
              <w:rPr>
                <w:rFonts w:ascii="宋体" w:eastAsia="宋体" w:hAnsi="宋体" w:cs="宋体" w:hint="eastAsia"/>
                <w:b/>
                <w:bCs/>
                <w:sz w:val="21"/>
                <w:szCs w:val="21"/>
              </w:rPr>
              <w:t>（二）评审标准：</w:t>
            </w:r>
          </w:p>
          <w:p>
            <w:pPr>
              <w:spacing w:line="240" w:lineRule="exact"/>
              <w:rPr>
                <w:rFonts w:ascii="宋体" w:eastAsia="宋体" w:hAnsi="宋体" w:cs="宋体" w:hint="eastAsia"/>
                <w:sz w:val="21"/>
                <w:szCs w:val="21"/>
              </w:rPr>
            </w:pPr>
            <w:r>
              <w:rPr>
                <w:rFonts w:ascii="宋体" w:eastAsia="宋体" w:hAnsi="宋体" w:cs="宋体" w:hint="eastAsia"/>
                <w:sz w:val="21"/>
                <w:szCs w:val="21"/>
              </w:rPr>
              <w:t>方案中含有上述一个内容得10分，总计40分。在此基础上，对方案的合理性、可行性进行打分。</w:t>
            </w:r>
          </w:p>
          <w:p>
            <w:pPr>
              <w:spacing w:line="240" w:lineRule="exact"/>
              <w:rPr>
                <w:rFonts w:ascii="宋体" w:eastAsia="宋体" w:hAnsi="宋体" w:cs="宋体" w:hint="eastAsia"/>
                <w:sz w:val="21"/>
                <w:szCs w:val="21"/>
              </w:rPr>
            </w:pPr>
            <w:r>
              <w:rPr>
                <w:rFonts w:ascii="宋体" w:eastAsia="宋体" w:hAnsi="宋体" w:cs="宋体" w:hint="eastAsia"/>
                <w:sz w:val="21"/>
                <w:szCs w:val="21"/>
              </w:rPr>
              <w:t>1、售后服务方案非常详细，保障措施完善可行，加60分；</w:t>
            </w:r>
          </w:p>
          <w:p>
            <w:pPr>
              <w:spacing w:line="240" w:lineRule="exact"/>
              <w:rPr>
                <w:rFonts w:ascii="宋体" w:eastAsia="宋体" w:hAnsi="宋体" w:cs="宋体" w:hint="eastAsia"/>
                <w:sz w:val="21"/>
                <w:szCs w:val="21"/>
              </w:rPr>
            </w:pPr>
            <w:r>
              <w:rPr>
                <w:rFonts w:ascii="宋体" w:eastAsia="宋体" w:hAnsi="宋体" w:cs="宋体" w:hint="eastAsia"/>
                <w:sz w:val="21"/>
                <w:szCs w:val="21"/>
              </w:rPr>
              <w:t>2、售后服务方案比较具体，保障措施比较完善可行的加20分；</w:t>
            </w:r>
          </w:p>
          <w:p>
            <w:pPr>
              <w:spacing w:line="240" w:lineRule="exact"/>
              <w:rPr>
                <w:rFonts w:ascii="宋体" w:eastAsia="宋体" w:hAnsi="宋体" w:cs="宋体" w:hint="eastAsia"/>
                <w:sz w:val="21"/>
                <w:szCs w:val="21"/>
              </w:rPr>
            </w:pPr>
            <w:r>
              <w:rPr>
                <w:rFonts w:ascii="宋体" w:eastAsia="宋体" w:hAnsi="宋体" w:cs="宋体" w:hint="eastAsia"/>
                <w:sz w:val="21"/>
                <w:szCs w:val="21"/>
              </w:rPr>
              <w:t>3、未提供售后服务方案或售后服务方案不详细、可行性较差的得0分。</w:t>
            </w:r>
          </w:p>
          <w:p>
            <w:pPr>
              <w:spacing w:line="240" w:lineRule="exact"/>
              <w:rPr>
                <w:rFonts w:ascii="宋体" w:eastAsia="宋体" w:hAnsi="宋体" w:cs="宋体" w:hint="eastAsia"/>
                <w:sz w:val="21"/>
                <w:szCs w:val="21"/>
              </w:rPr>
            </w:pPr>
            <w:r>
              <w:rPr>
                <w:rFonts w:ascii="宋体" w:eastAsia="宋体" w:hAnsi="宋体" w:cs="宋体" w:hint="eastAsia"/>
                <w:sz w:val="21"/>
                <w:szCs w:val="21"/>
              </w:rPr>
              <w:t>注：未提供方案的得0分。</w:t>
            </w:r>
          </w:p>
        </w:tc>
      </w:tr>
      <w:tr>
        <w:tblPrEx>
          <w:tblW w:w="5000" w:type="pct"/>
          <w:tblInd w:w="0" w:type="dxa"/>
          <w:tblLayout w:type="fixed"/>
          <w:tblCellMar>
            <w:top w:w="0" w:type="dxa"/>
            <w:left w:w="108" w:type="dxa"/>
            <w:bottom w:w="0" w:type="dxa"/>
            <w:right w:w="108" w:type="dxa"/>
          </w:tblCellMar>
        </w:tblPrEx>
        <w:trPr>
          <w:trHeight w:val="281"/>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4</w:t>
            </w:r>
          </w:p>
        </w:tc>
        <w:tc>
          <w:tcPr>
            <w:tcW w:w="1332" w:type="dxa"/>
            <w:gridSpan w:val="3"/>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供货、安装指导及调试方案</w:t>
            </w:r>
          </w:p>
        </w:tc>
        <w:tc>
          <w:tcPr>
            <w:tcW w:w="121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4</w:t>
            </w:r>
          </w:p>
        </w:tc>
        <w:tc>
          <w:tcPr>
            <w:tcW w:w="4876" w:type="dxa"/>
            <w:noWrap w:val="0"/>
            <w:vAlign w:val="top"/>
          </w:tcPr>
          <w:p>
            <w:pPr>
              <w:spacing w:line="240" w:lineRule="exact"/>
              <w:rPr>
                <w:rFonts w:ascii="宋体" w:eastAsia="宋体" w:hAnsi="宋体" w:cs="宋体" w:hint="eastAsia"/>
                <w:b/>
                <w:bCs/>
                <w:sz w:val="21"/>
                <w:szCs w:val="21"/>
              </w:rPr>
            </w:pPr>
            <w:r>
              <w:rPr>
                <w:rFonts w:ascii="宋体" w:eastAsia="宋体" w:hAnsi="宋体" w:cs="宋体" w:hint="eastAsia"/>
                <w:b/>
                <w:bCs/>
                <w:sz w:val="21"/>
                <w:szCs w:val="21"/>
              </w:rPr>
              <w:t>（一）评审内容：</w:t>
            </w:r>
          </w:p>
          <w:p>
            <w:pPr>
              <w:spacing w:line="240" w:lineRule="exact"/>
              <w:rPr>
                <w:rFonts w:ascii="宋体" w:eastAsia="宋体" w:hAnsi="宋体" w:cs="宋体" w:hint="eastAsia"/>
                <w:sz w:val="21"/>
                <w:szCs w:val="21"/>
              </w:rPr>
            </w:pPr>
            <w:r>
              <w:rPr>
                <w:rFonts w:ascii="宋体" w:eastAsia="宋体" w:hAnsi="宋体" w:cs="宋体" w:hint="eastAsia"/>
                <w:sz w:val="21"/>
                <w:szCs w:val="21"/>
              </w:rPr>
              <w:t>投标人提供本项目的售后服务方案，方案中包含：</w:t>
            </w:r>
          </w:p>
          <w:p>
            <w:pPr>
              <w:spacing w:line="240" w:lineRule="exact"/>
              <w:rPr>
                <w:rFonts w:ascii="宋体" w:eastAsia="宋体" w:hAnsi="宋体" w:cs="宋体" w:hint="eastAsia"/>
                <w:sz w:val="21"/>
                <w:szCs w:val="21"/>
              </w:rPr>
            </w:pPr>
            <w:r>
              <w:rPr>
                <w:rFonts w:ascii="宋体" w:eastAsia="宋体" w:hAnsi="宋体" w:cs="宋体" w:hint="eastAsia"/>
                <w:sz w:val="21"/>
                <w:szCs w:val="21"/>
              </w:rPr>
              <w:t>1、供货计划；</w:t>
            </w:r>
          </w:p>
          <w:p>
            <w:pPr>
              <w:spacing w:line="240" w:lineRule="exact"/>
              <w:rPr>
                <w:rFonts w:ascii="宋体" w:eastAsia="宋体" w:hAnsi="宋体" w:cs="宋体" w:hint="eastAsia"/>
                <w:sz w:val="21"/>
                <w:szCs w:val="21"/>
              </w:rPr>
            </w:pPr>
            <w:r>
              <w:rPr>
                <w:rFonts w:ascii="宋体" w:eastAsia="宋体" w:hAnsi="宋体" w:cs="宋体" w:hint="eastAsia"/>
                <w:sz w:val="21"/>
                <w:szCs w:val="21"/>
              </w:rPr>
              <w:t>2、安装指导；</w:t>
            </w:r>
          </w:p>
          <w:p>
            <w:pPr>
              <w:spacing w:line="240" w:lineRule="exact"/>
              <w:rPr>
                <w:rFonts w:ascii="宋体" w:eastAsia="宋体" w:hAnsi="宋体" w:cs="宋体" w:hint="eastAsia"/>
                <w:sz w:val="21"/>
                <w:szCs w:val="21"/>
              </w:rPr>
            </w:pPr>
            <w:r>
              <w:rPr>
                <w:rFonts w:ascii="宋体" w:eastAsia="宋体" w:hAnsi="宋体" w:cs="宋体" w:hint="eastAsia"/>
                <w:sz w:val="21"/>
                <w:szCs w:val="21"/>
              </w:rPr>
              <w:t>3、调试方案；</w:t>
            </w:r>
          </w:p>
          <w:p>
            <w:pPr>
              <w:spacing w:line="240" w:lineRule="exact"/>
              <w:rPr>
                <w:rFonts w:ascii="宋体" w:eastAsia="宋体" w:hAnsi="宋体" w:cs="宋体" w:hint="eastAsia"/>
                <w:b/>
                <w:bCs/>
                <w:sz w:val="21"/>
                <w:szCs w:val="21"/>
              </w:rPr>
            </w:pPr>
            <w:r>
              <w:rPr>
                <w:rFonts w:ascii="宋体" w:eastAsia="宋体" w:hAnsi="宋体" w:cs="宋体" w:hint="eastAsia"/>
                <w:b/>
                <w:bCs/>
                <w:sz w:val="21"/>
                <w:szCs w:val="21"/>
              </w:rPr>
              <w:t>（二）评审标准：</w:t>
            </w:r>
          </w:p>
          <w:p>
            <w:pPr>
              <w:spacing w:line="240" w:lineRule="exact"/>
              <w:rPr>
                <w:rFonts w:ascii="宋体" w:eastAsia="宋体" w:hAnsi="宋体" w:cs="宋体" w:hint="eastAsia"/>
                <w:sz w:val="21"/>
                <w:szCs w:val="21"/>
              </w:rPr>
            </w:pPr>
            <w:r>
              <w:rPr>
                <w:rFonts w:ascii="宋体" w:eastAsia="宋体" w:hAnsi="宋体" w:cs="宋体" w:hint="eastAsia"/>
                <w:sz w:val="21"/>
                <w:szCs w:val="21"/>
              </w:rPr>
              <w:t>方案中含有上述一个内容得10分，总计30分。在此基础上，对方案的合理性、可行性进行打分。</w:t>
            </w:r>
          </w:p>
          <w:p>
            <w:pPr>
              <w:spacing w:line="240" w:lineRule="exact"/>
              <w:rPr>
                <w:rFonts w:ascii="宋体" w:eastAsia="宋体" w:hAnsi="宋体" w:cs="宋体" w:hint="eastAsia"/>
                <w:sz w:val="21"/>
                <w:szCs w:val="21"/>
              </w:rPr>
            </w:pPr>
            <w:r>
              <w:rPr>
                <w:rFonts w:ascii="宋体" w:eastAsia="宋体" w:hAnsi="宋体" w:cs="宋体" w:hint="eastAsia"/>
                <w:sz w:val="21"/>
                <w:szCs w:val="21"/>
              </w:rPr>
              <w:t>1、供货计划迅速，安装指导方案详尽，调试方案可行，有完善的保障措施，加70分；</w:t>
            </w:r>
          </w:p>
          <w:p>
            <w:pPr>
              <w:spacing w:line="240" w:lineRule="exact"/>
              <w:rPr>
                <w:rFonts w:ascii="宋体" w:eastAsia="宋体" w:hAnsi="宋体" w:cs="宋体" w:hint="eastAsia"/>
                <w:sz w:val="21"/>
                <w:szCs w:val="21"/>
              </w:rPr>
            </w:pPr>
            <w:r>
              <w:rPr>
                <w:rFonts w:ascii="宋体" w:eastAsia="宋体" w:hAnsi="宋体" w:cs="宋体" w:hint="eastAsia"/>
                <w:sz w:val="21"/>
                <w:szCs w:val="21"/>
              </w:rPr>
              <w:t>2、供货计划及时且有一定的合理性，安装指导方案有一定的详尽度，调试方案有一定的可行性，有一定的保障措施，加30分；</w:t>
            </w:r>
          </w:p>
          <w:p>
            <w:pPr>
              <w:rPr>
                <w:rFonts w:ascii="宋体" w:eastAsia="宋体" w:hAnsi="宋体" w:cs="宋体" w:hint="eastAsia"/>
                <w:sz w:val="21"/>
                <w:szCs w:val="21"/>
              </w:rPr>
            </w:pPr>
            <w:r>
              <w:rPr>
                <w:rFonts w:ascii="宋体" w:eastAsia="宋体" w:hAnsi="宋体" w:cs="宋体" w:hint="eastAsia"/>
                <w:sz w:val="21"/>
                <w:szCs w:val="21"/>
              </w:rPr>
              <w:t>3、供货计划拖沓且不合理，安装指导方案不详尽，调试方案不可行，无保障措施及其他情况，加10分。</w:t>
            </w:r>
          </w:p>
          <w:p>
            <w:pPr>
              <w:rPr>
                <w:rFonts w:ascii="宋体" w:eastAsia="宋体" w:hAnsi="宋体" w:cs="宋体" w:hint="eastAsia"/>
                <w:sz w:val="21"/>
                <w:szCs w:val="21"/>
              </w:rPr>
            </w:pPr>
            <w:r>
              <w:rPr>
                <w:rFonts w:ascii="宋体" w:eastAsia="宋体" w:hAnsi="宋体" w:cs="宋体" w:hint="eastAsia"/>
                <w:sz w:val="21"/>
                <w:szCs w:val="21"/>
              </w:rPr>
              <w:t>注：需提供安装指导、调试方案等证明材料，不提供得0分。</w:t>
            </w:r>
          </w:p>
        </w:tc>
      </w:tr>
      <w:tr>
        <w:tblPrEx>
          <w:tblW w:w="5000" w:type="pct"/>
          <w:tblInd w:w="0" w:type="dxa"/>
          <w:tblLayout w:type="fixed"/>
          <w:tblCellMar>
            <w:top w:w="0" w:type="dxa"/>
            <w:left w:w="108" w:type="dxa"/>
            <w:bottom w:w="0" w:type="dxa"/>
            <w:right w:w="108" w:type="dxa"/>
          </w:tblCellMar>
        </w:tblPrEx>
        <w:trPr>
          <w:trHeight w:val="20"/>
        </w:trPr>
        <w:tc>
          <w:tcPr>
            <w:tcW w:w="392"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w:t>
            </w:r>
          </w:p>
        </w:tc>
        <w:tc>
          <w:tcPr>
            <w:tcW w:w="3260" w:type="dxa"/>
            <w:gridSpan w:val="5"/>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商务评分部分</w:t>
            </w:r>
          </w:p>
        </w:tc>
        <w:tc>
          <w:tcPr>
            <w:tcW w:w="4876" w:type="dxa"/>
            <w:noWrap w:val="0"/>
            <w:vAlign w:val="top"/>
          </w:tcPr>
          <w:p>
            <w:pPr>
              <w:spacing w:line="240" w:lineRule="exact"/>
              <w:rPr>
                <w:rFonts w:ascii="宋体" w:eastAsia="宋体" w:hAnsi="宋体" w:cs="宋体" w:hint="eastAsia"/>
                <w:b/>
                <w:bCs/>
                <w:color w:val="0000FF"/>
                <w:sz w:val="21"/>
                <w:szCs w:val="21"/>
              </w:rPr>
            </w:pPr>
            <w:r>
              <w:rPr>
                <w:rFonts w:ascii="宋体" w:eastAsia="宋体" w:hAnsi="宋体" w:cs="宋体" w:hint="eastAsia"/>
                <w:b/>
                <w:bCs/>
                <w:color w:val="0000FF"/>
                <w:sz w:val="21"/>
                <w:szCs w:val="21"/>
              </w:rPr>
              <w:t>15%</w:t>
            </w:r>
          </w:p>
        </w:tc>
      </w:tr>
      <w:tr>
        <w:tblPrEx>
          <w:tblW w:w="5000" w:type="pct"/>
          <w:tblInd w:w="0" w:type="dxa"/>
          <w:tblLayout w:type="fixed"/>
          <w:tblCellMar>
            <w:top w:w="0" w:type="dxa"/>
            <w:left w:w="108" w:type="dxa"/>
            <w:bottom w:w="0" w:type="dxa"/>
            <w:right w:w="108" w:type="dxa"/>
          </w:tblCellMar>
        </w:tblPrEx>
        <w:trPr>
          <w:trHeight w:val="367"/>
        </w:trPr>
        <w:tc>
          <w:tcPr>
            <w:tcW w:w="392" w:type="dxa"/>
            <w:vMerge w:val="restart"/>
            <w:noWrap w:val="0"/>
            <w:vAlign w:val="center"/>
          </w:tcPr>
          <w:p>
            <w:pPr>
              <w:keepNext/>
              <w:keepLines/>
              <w:spacing w:before="340" w:after="330" w:line="240" w:lineRule="exact"/>
              <w:jc w:val="center"/>
              <w:outlineLvl w:val="0"/>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121"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417" w:type="dxa"/>
            <w:gridSpan w:val="2"/>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权重</w:t>
            </w:r>
          </w:p>
        </w:tc>
        <w:tc>
          <w:tcPr>
            <w:tcW w:w="4876" w:type="dxa"/>
            <w:noWrap w:val="0"/>
            <w:vAlign w:val="top"/>
          </w:tcPr>
          <w:p>
            <w:pPr>
              <w:spacing w:line="240" w:lineRule="exact"/>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tblInd w:w="0" w:type="dxa"/>
          <w:tblLayout w:type="fixed"/>
          <w:tblCellMar>
            <w:top w:w="0" w:type="dxa"/>
            <w:left w:w="108" w:type="dxa"/>
            <w:bottom w:w="0" w:type="dxa"/>
            <w:right w:w="108" w:type="dxa"/>
          </w:tblCellMar>
        </w:tblPrEx>
        <w:trPr>
          <w:trHeight w:val="20"/>
        </w:trPr>
        <w:tc>
          <w:tcPr>
            <w:tcW w:w="392" w:type="dxa"/>
            <w:vMerge/>
            <w:noWrap w:val="0"/>
            <w:vAlign w:val="center"/>
          </w:tcPr>
          <w:p>
            <w:pPr>
              <w:keepNext/>
              <w:keepLines/>
              <w:spacing w:before="340" w:after="330" w:line="240" w:lineRule="exact"/>
              <w:jc w:val="center"/>
              <w:outlineLvl w:val="0"/>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1</w:t>
            </w:r>
          </w:p>
        </w:tc>
        <w:tc>
          <w:tcPr>
            <w:tcW w:w="1121"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项目经理资质情况（仅限1人）</w:t>
            </w:r>
          </w:p>
        </w:tc>
        <w:tc>
          <w:tcPr>
            <w:tcW w:w="1417"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4</w:t>
            </w:r>
          </w:p>
        </w:tc>
        <w:tc>
          <w:tcPr>
            <w:tcW w:w="4876" w:type="dxa"/>
            <w:noWrap w:val="0"/>
            <w:vAlign w:val="top"/>
          </w:tcPr>
          <w:p>
            <w:pPr>
              <w:spacing w:line="240" w:lineRule="exact"/>
              <w:rPr>
                <w:rFonts w:ascii="宋体" w:eastAsia="宋体" w:hAnsi="宋体" w:cs="宋体" w:hint="eastAsia"/>
                <w:sz w:val="21"/>
                <w:szCs w:val="21"/>
              </w:rPr>
            </w:pPr>
            <w:r>
              <w:rPr>
                <w:rFonts w:ascii="宋体" w:eastAsia="宋体" w:hAnsi="宋体" w:cs="宋体" w:hint="eastAsia"/>
                <w:b/>
                <w:bCs/>
                <w:sz w:val="21"/>
                <w:szCs w:val="21"/>
              </w:rPr>
              <w:t>（一）评分内容：</w:t>
            </w:r>
            <w:r>
              <w:rPr>
                <w:rFonts w:ascii="宋体" w:eastAsia="宋体" w:hAnsi="宋体" w:cs="宋体" w:hint="eastAsia"/>
                <w:sz w:val="21"/>
                <w:szCs w:val="21"/>
              </w:rPr>
              <w:t>项目经理具有：</w:t>
            </w:r>
          </w:p>
          <w:p>
            <w:pPr>
              <w:spacing w:line="240" w:lineRule="exact"/>
              <w:rPr>
                <w:rFonts w:ascii="宋体" w:eastAsia="宋体" w:hAnsi="宋体" w:cs="宋体" w:hint="eastAsia"/>
                <w:sz w:val="21"/>
                <w:szCs w:val="21"/>
              </w:rPr>
            </w:pPr>
            <w:r>
              <w:rPr>
                <w:rFonts w:ascii="宋体" w:eastAsia="宋体" w:hAnsi="宋体" w:cs="宋体" w:hint="eastAsia"/>
                <w:sz w:val="21"/>
                <w:szCs w:val="21"/>
              </w:rPr>
              <w:t>1、计算机相关专业本科或以上学历得30分；</w:t>
            </w:r>
          </w:p>
          <w:p>
            <w:pPr>
              <w:spacing w:line="240" w:lineRule="exact"/>
              <w:rPr>
                <w:rFonts w:ascii="宋体" w:eastAsia="宋体" w:hAnsi="宋体" w:cs="宋体" w:hint="eastAsia"/>
                <w:sz w:val="21"/>
                <w:szCs w:val="21"/>
              </w:rPr>
            </w:pPr>
            <w:r>
              <w:rPr>
                <w:rFonts w:ascii="宋体" w:eastAsia="宋体" w:hAnsi="宋体" w:cs="宋体" w:hint="eastAsia"/>
                <w:sz w:val="21"/>
                <w:szCs w:val="21"/>
              </w:rPr>
              <w:t>2、省级（或以上）人力资源和社会保障厅颁布的通信技术中级（或以上）职称，提供得30分；</w:t>
            </w:r>
          </w:p>
          <w:p>
            <w:pPr>
              <w:spacing w:line="240" w:lineRule="exact"/>
              <w:rPr>
                <w:rFonts w:ascii="宋体" w:eastAsia="宋体" w:hAnsi="宋体" w:cs="宋体" w:hint="eastAsia"/>
                <w:sz w:val="21"/>
                <w:szCs w:val="21"/>
              </w:rPr>
            </w:pPr>
            <w:r>
              <w:rPr>
                <w:rFonts w:ascii="宋体" w:eastAsia="宋体" w:hAnsi="宋体" w:cs="宋体" w:hint="eastAsia"/>
                <w:sz w:val="21"/>
                <w:szCs w:val="21"/>
              </w:rPr>
              <w:t>3、具备物联网安装调试员职业技能等级证书二级或以上，提供得40分。</w:t>
            </w:r>
          </w:p>
          <w:p>
            <w:pPr>
              <w:spacing w:line="240" w:lineRule="exact"/>
              <w:rPr>
                <w:rFonts w:ascii="宋体" w:eastAsia="宋体" w:hAnsi="宋体" w:cs="宋体" w:hint="eastAsia"/>
                <w:b/>
                <w:bCs/>
                <w:sz w:val="21"/>
                <w:szCs w:val="21"/>
              </w:rPr>
            </w:pPr>
            <w:r>
              <w:rPr>
                <w:rFonts w:ascii="宋体" w:eastAsia="宋体" w:hAnsi="宋体" w:cs="宋体" w:hint="eastAsia"/>
                <w:b/>
                <w:bCs/>
                <w:sz w:val="21"/>
                <w:szCs w:val="21"/>
              </w:rPr>
              <w:t>（二）评分依据：</w:t>
            </w:r>
          </w:p>
          <w:p>
            <w:pPr>
              <w:spacing w:line="240" w:lineRule="exact"/>
              <w:rPr>
                <w:rFonts w:ascii="宋体" w:eastAsia="宋体" w:hAnsi="宋体" w:cs="宋体" w:hint="eastAsia"/>
                <w:sz w:val="21"/>
                <w:szCs w:val="21"/>
              </w:rPr>
            </w:pPr>
            <w:r>
              <w:rPr>
                <w:rFonts w:ascii="宋体" w:eastAsia="宋体" w:hAnsi="宋体" w:cs="宋体" w:hint="eastAsia"/>
                <w:sz w:val="21"/>
                <w:szCs w:val="21"/>
              </w:rPr>
              <w:t>1、提供学历证书（毕业证书）及学信网查询记录。对于较早颁发的学历证书，学信网无法查询的，要求提供其他佐证材料（如毕业院校、人社部门等颁发机构或监管机构等单位出具的证明）作为可以得分的依据等证明文件作为得分依据。海外留学人员（含港澳台）学历无法通过学信网站查询，允许提供“教育部留学服务中心出具的国外学历认证证书以及教育部留学服务中心官网查询截图；</w:t>
            </w:r>
          </w:p>
          <w:p>
            <w:pPr>
              <w:spacing w:line="240" w:lineRule="exact"/>
              <w:rPr>
                <w:rFonts w:ascii="宋体" w:eastAsia="宋体" w:hAnsi="宋体" w:cs="宋体" w:hint="eastAsia"/>
                <w:sz w:val="21"/>
                <w:szCs w:val="21"/>
              </w:rPr>
            </w:pPr>
            <w:r>
              <w:rPr>
                <w:rFonts w:ascii="宋体" w:eastAsia="宋体" w:hAnsi="宋体" w:cs="宋体" w:hint="eastAsia"/>
                <w:sz w:val="21"/>
                <w:szCs w:val="21"/>
              </w:rPr>
              <w:t>2、提供有效职称证书、资格证书；</w:t>
            </w:r>
          </w:p>
          <w:p>
            <w:pPr>
              <w:spacing w:line="240" w:lineRule="exact"/>
              <w:rPr>
                <w:rFonts w:ascii="宋体" w:eastAsia="宋体" w:hAnsi="宋体" w:cs="宋体" w:hint="eastAsia"/>
                <w:sz w:val="21"/>
                <w:szCs w:val="21"/>
              </w:rPr>
            </w:pPr>
            <w:r>
              <w:rPr>
                <w:rFonts w:ascii="宋体" w:eastAsia="宋体" w:hAnsi="宋体" w:cs="宋体" w:hint="eastAsia"/>
                <w:sz w:val="21"/>
                <w:szCs w:val="21"/>
              </w:rPr>
              <w:t>3、提供项目经理最近一个月的社会保险证明。（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w:t>
            </w:r>
          </w:p>
          <w:p>
            <w:pPr>
              <w:spacing w:line="240" w:lineRule="exact"/>
              <w:rPr>
                <w:rFonts w:ascii="宋体" w:eastAsia="宋体" w:hAnsi="宋体" w:cs="宋体" w:hint="eastAsia"/>
                <w:sz w:val="21"/>
                <w:szCs w:val="21"/>
              </w:rPr>
            </w:pPr>
            <w:r>
              <w:rPr>
                <w:rFonts w:ascii="宋体" w:eastAsia="宋体" w:hAnsi="宋体" w:cs="宋体" w:hint="eastAsia"/>
                <w:sz w:val="21"/>
                <w:szCs w:val="21"/>
              </w:rPr>
              <w:t>4、若由行业协会（学会）颁发的，还需提供该协会（学会）在中国社会组织政务服务平台查询正常的截图（https://chinanpo.mca.gov.cn/），原件备查；</w:t>
            </w:r>
          </w:p>
        </w:tc>
      </w:tr>
      <w:tr>
        <w:tblPrEx>
          <w:tblW w:w="5000" w:type="pct"/>
          <w:tblInd w:w="0" w:type="dxa"/>
          <w:tblLayout w:type="fixed"/>
          <w:tblCellMar>
            <w:top w:w="0" w:type="dxa"/>
            <w:left w:w="108" w:type="dxa"/>
            <w:bottom w:w="0" w:type="dxa"/>
            <w:right w:w="108" w:type="dxa"/>
          </w:tblCellMar>
        </w:tblPrEx>
        <w:trPr>
          <w:trHeight w:val="20"/>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2</w:t>
            </w:r>
          </w:p>
        </w:tc>
        <w:tc>
          <w:tcPr>
            <w:tcW w:w="1121"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同类项目业绩</w:t>
            </w:r>
          </w:p>
        </w:tc>
        <w:tc>
          <w:tcPr>
            <w:tcW w:w="1417"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3</w:t>
            </w:r>
          </w:p>
        </w:tc>
        <w:tc>
          <w:tcPr>
            <w:tcW w:w="4876" w:type="dxa"/>
            <w:noWrap w:val="0"/>
            <w:vAlign w:val="top"/>
          </w:tcPr>
          <w:p>
            <w:pPr>
              <w:spacing w:line="240" w:lineRule="exact"/>
              <w:rPr>
                <w:rFonts w:ascii="宋体" w:eastAsia="宋体" w:hAnsi="宋体" w:cs="宋体" w:hint="eastAsia"/>
                <w:b/>
                <w:bCs/>
                <w:sz w:val="21"/>
                <w:szCs w:val="21"/>
              </w:rPr>
            </w:pPr>
            <w:r>
              <w:rPr>
                <w:rFonts w:ascii="宋体" w:eastAsia="宋体" w:hAnsi="宋体" w:cs="宋体" w:hint="eastAsia"/>
                <w:b/>
                <w:bCs/>
                <w:sz w:val="21"/>
                <w:szCs w:val="21"/>
              </w:rPr>
              <w:t>（一）评分内容：</w:t>
            </w:r>
          </w:p>
          <w:p>
            <w:pPr>
              <w:spacing w:line="240" w:lineRule="exact"/>
              <w:rPr>
                <w:rFonts w:ascii="宋体" w:eastAsia="宋体" w:hAnsi="宋体" w:cs="宋体" w:hint="eastAsia"/>
                <w:sz w:val="21"/>
                <w:szCs w:val="21"/>
              </w:rPr>
            </w:pPr>
            <w:r>
              <w:rPr>
                <w:rFonts w:ascii="宋体" w:eastAsia="宋体" w:hAnsi="宋体" w:cs="宋体" w:hint="eastAsia"/>
                <w:sz w:val="21"/>
                <w:szCs w:val="21"/>
              </w:rPr>
              <w:t>投标人自2024年1月1日至本项目投标截止之日（具体以合同签订日期为准），具有物联网或智能产品项目经验,每提供1个同类经验的得34分，最高得100分。</w:t>
            </w:r>
          </w:p>
          <w:p>
            <w:pPr>
              <w:spacing w:line="240" w:lineRule="exact"/>
              <w:rPr>
                <w:rFonts w:ascii="宋体" w:eastAsia="宋体" w:hAnsi="宋体" w:cs="宋体" w:hint="eastAsia"/>
                <w:b/>
                <w:bCs/>
                <w:sz w:val="21"/>
                <w:szCs w:val="21"/>
              </w:rPr>
            </w:pPr>
            <w:r>
              <w:rPr>
                <w:rFonts w:ascii="宋体" w:eastAsia="宋体" w:hAnsi="宋体" w:cs="宋体" w:hint="eastAsia"/>
                <w:b/>
                <w:bCs/>
                <w:sz w:val="21"/>
                <w:szCs w:val="21"/>
              </w:rPr>
              <w:t>（二）评分依据：</w:t>
            </w:r>
          </w:p>
          <w:p>
            <w:pPr>
              <w:spacing w:line="240" w:lineRule="exact"/>
              <w:rPr>
                <w:rFonts w:ascii="宋体" w:eastAsia="宋体" w:hAnsi="宋体" w:cs="宋体" w:hint="eastAsia"/>
                <w:sz w:val="21"/>
                <w:szCs w:val="21"/>
              </w:rPr>
            </w:pPr>
            <w:r>
              <w:rPr>
                <w:rFonts w:ascii="宋体" w:eastAsia="宋体" w:hAnsi="宋体" w:cs="宋体" w:hint="eastAsia"/>
                <w:sz w:val="21"/>
                <w:szCs w:val="21"/>
              </w:rPr>
              <w:t>投标人须同时提供合同关键页（关键信息包括但不限于合同的项目名称、服务内容、合同签字盖章页）扫描件及有效验收报告，原件备查。一年一签的长期续签合同只计算一个业绩；</w:t>
            </w:r>
          </w:p>
          <w:p>
            <w:pPr>
              <w:spacing w:line="240" w:lineRule="exact"/>
              <w:rPr>
                <w:rFonts w:ascii="宋体" w:eastAsia="宋体" w:hAnsi="宋体" w:cs="宋体" w:hint="eastAsia"/>
                <w:sz w:val="21"/>
                <w:szCs w:val="21"/>
              </w:rPr>
            </w:pPr>
            <w:r>
              <w:rPr>
                <w:rFonts w:ascii="宋体" w:eastAsia="宋体" w:hAnsi="宋体" w:cs="宋体" w:hint="eastAsia"/>
                <w:sz w:val="21"/>
                <w:szCs w:val="21"/>
              </w:rPr>
              <w:t>注：以上业绩通过合同关键信息无法判断是否得分的，还须同时提供能证明得分的其它证明资料。</w:t>
            </w:r>
          </w:p>
        </w:tc>
      </w:tr>
      <w:tr>
        <w:tblPrEx>
          <w:tblW w:w="5000" w:type="pct"/>
          <w:tblInd w:w="0" w:type="dxa"/>
          <w:tblLayout w:type="fixed"/>
          <w:tblCellMar>
            <w:top w:w="0" w:type="dxa"/>
            <w:left w:w="108" w:type="dxa"/>
            <w:bottom w:w="0" w:type="dxa"/>
            <w:right w:w="108" w:type="dxa"/>
          </w:tblCellMar>
        </w:tblPrEx>
        <w:trPr>
          <w:trHeight w:val="20"/>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3</w:t>
            </w:r>
          </w:p>
        </w:tc>
        <w:tc>
          <w:tcPr>
            <w:tcW w:w="1121"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商务条款偏离情况</w:t>
            </w:r>
          </w:p>
        </w:tc>
        <w:tc>
          <w:tcPr>
            <w:tcW w:w="1417"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3</w:t>
            </w:r>
          </w:p>
        </w:tc>
        <w:tc>
          <w:tcPr>
            <w:tcW w:w="4876" w:type="dxa"/>
            <w:noWrap w:val="0"/>
            <w:vAlign w:val="top"/>
          </w:tcPr>
          <w:p>
            <w:pPr>
              <w:spacing w:line="240" w:lineRule="exact"/>
              <w:rPr>
                <w:rFonts w:ascii="宋体" w:eastAsia="宋体" w:hAnsi="宋体" w:cs="宋体" w:hint="eastAsia"/>
                <w:sz w:val="21"/>
                <w:szCs w:val="21"/>
              </w:rPr>
            </w:pPr>
            <w:r>
              <w:rPr>
                <w:rFonts w:ascii="宋体" w:eastAsia="宋体" w:hAnsi="宋体" w:cs="宋体" w:hint="eastAsia"/>
                <w:sz w:val="21"/>
                <w:szCs w:val="21"/>
              </w:rPr>
              <w:t>投标人应如实填写《商务条款偏离情况》，评审小组根据响应情况进行打分，商务条款全部满足要求的得100分，实质性条款除外，条款每负偏离一项扣10分，扣完为止。</w:t>
            </w:r>
          </w:p>
        </w:tc>
      </w:tr>
      <w:tr>
        <w:tblPrEx>
          <w:tblW w:w="5000" w:type="pct"/>
          <w:tblInd w:w="0" w:type="dxa"/>
          <w:tblLayout w:type="fixed"/>
          <w:tblCellMar>
            <w:top w:w="0" w:type="dxa"/>
            <w:left w:w="108" w:type="dxa"/>
            <w:bottom w:w="0" w:type="dxa"/>
            <w:right w:w="108" w:type="dxa"/>
          </w:tblCellMar>
        </w:tblPrEx>
        <w:trPr>
          <w:trHeight w:val="20"/>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4</w:t>
            </w:r>
          </w:p>
        </w:tc>
        <w:tc>
          <w:tcPr>
            <w:tcW w:w="1121"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lang w:bidi="ar"/>
              </w:rPr>
              <w:t>诚信承诺函</w:t>
            </w:r>
          </w:p>
        </w:tc>
        <w:tc>
          <w:tcPr>
            <w:tcW w:w="1417"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5</w:t>
            </w:r>
          </w:p>
        </w:tc>
        <w:tc>
          <w:tcPr>
            <w:tcW w:w="4876" w:type="dxa"/>
            <w:noWrap w:val="0"/>
            <w:vAlign w:val="top"/>
          </w:tcPr>
          <w:p>
            <w:pPr>
              <w:rPr>
                <w:rFonts w:ascii="宋体" w:eastAsia="宋体" w:hAnsi="宋体" w:cs="宋体" w:hint="eastAsia"/>
                <w:sz w:val="21"/>
                <w:szCs w:val="21"/>
              </w:rPr>
            </w:pPr>
            <w:r>
              <w:rPr>
                <w:rFonts w:ascii="宋体" w:eastAsia="宋体" w:hAnsi="宋体" w:cs="宋体" w:hint="eastAsia"/>
                <w:sz w:val="21"/>
                <w:szCs w:val="21"/>
              </w:rPr>
              <w:t>投标人承诺在参与龙华区教育局自行采购活动中未出现诚信或安全相关问题且不在相关主管部门处理措施实施期限内的本项得满分100分，否则不得分。须提供加盖投标人公章的《诚信承诺函》，按采购文件格式要求提供，不提供或提供的不符合要求或提供不清晰导致专家无法判断的均不得分。如被认定提供的陈述与事实不符受到行政处罚的，依法追究其责任。</w:t>
            </w:r>
          </w:p>
        </w:tc>
      </w:tr>
    </w:tbl>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25</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hint="eastAsia"/>
          <w:color w:val="FF0000"/>
          <w:kern w:val="2"/>
          <w:sz w:val="21"/>
          <w:szCs w:val="21"/>
          <w:lang w:eastAsia="zh-CN"/>
        </w:rPr>
      </w:pPr>
      <w:bookmarkStart w:id="2"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2"/>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rPr>
          <w:rFonts w:ascii="宋体" w:eastAsia="宋体" w:hAnsi="宋体" w:cs="宋体" w:hint="eastAsia"/>
          <w:color w:val="000000"/>
          <w:lang w:eastAsia="zh-CN"/>
        </w:rPr>
      </w:pPr>
    </w:p>
    <w:p>
      <w:pPr>
        <w:widowControl w:val="0"/>
        <w:snapToGrid w:val="0"/>
        <w:spacing w:line="360" w:lineRule="exact"/>
        <w:rPr>
          <w:rFonts w:ascii="宋体" w:eastAsia="宋体" w:hAnsi="宋体" w:cs="宋体" w:hint="eastAsia"/>
          <w:color w:val="000000"/>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第一章招标公告</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spacing w:line="360" w:lineRule="auto"/>
        <w:jc w:val="both"/>
        <w:rPr>
          <w:rFonts w:ascii="Calibri" w:eastAsia="宋体" w:hAnsi="Calibri"/>
          <w:b/>
          <w:kern w:val="2"/>
          <w:szCs w:val="22"/>
          <w:lang w:eastAsia="zh-CN"/>
        </w:rPr>
      </w:pP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第一章总则</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第二章招标文件</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第五章开标</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第六章评审要求</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spacing w:line="360" w:lineRule="auto"/>
        <w:ind w:firstLine="1050" w:firstLineChars="5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jc w:val="center"/>
        <w:rPr>
          <w:rFonts w:ascii="Arial" w:eastAsia="宋体" w:hAnsi="Arial"/>
          <w:b/>
          <w:bCs/>
          <w:kern w:val="44"/>
          <w:sz w:val="32"/>
          <w:szCs w:val="32"/>
          <w:lang w:eastAsia="zh-CN"/>
        </w:rPr>
      </w:pPr>
      <w:r>
        <w:rPr>
          <w:rFonts w:ascii="Calibri" w:eastAsia="宋体" w:hAnsi="Calibri" w:cstheme="minorBidi"/>
          <w:kern w:val="2"/>
          <w:sz w:val="21"/>
          <w:szCs w:val="22"/>
          <w:lang w:eastAsia="zh-CN"/>
        </w:rPr>
        <w:br w:type="page"/>
      </w:r>
      <w:r>
        <w:rPr>
          <w:rFonts w:ascii="Arial" w:eastAsia="宋体" w:hAnsi="Arial" w:hint="eastAsia"/>
          <w:b/>
          <w:bCs/>
          <w:kern w:val="44"/>
          <w:sz w:val="32"/>
          <w:szCs w:val="32"/>
          <w:lang w:eastAsia="zh-CN"/>
        </w:rPr>
        <w:t>第一册  专用条款</w:t>
      </w:r>
    </w:p>
    <w:p>
      <w:pPr>
        <w:keepNext/>
        <w:keepLines/>
        <w:widowControl w:val="0"/>
        <w:adjustRightInd w:val="0"/>
        <w:spacing w:before="260" w:after="260" w:line="36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申请人的资格要求：</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具有独立法人资格或具有独立承担民事责任的能力的其它组织（提供营业执照或事业单位法人证等法人证明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2、参与本项目投标前三年内，在经营活动中没有重大违法记录（由供应商在《龙华区教育局自行采购投标及履约承诺函》中作出声明）。</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3、参与本项目政府采购活动时不存在被有关部门禁止参与政府采购活动且在有效期内的情况（由供应商在《龙华区教育局自行采购投标及履约承诺函》中作出声明）。</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4、具备《中华人民共和国政府采购法》第二十二条第一款的条件（由供应商在《龙华区教育局自行采购投标及履约承诺函》中作出声明）。</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5、参与本项目政府采购活动时未被列入失信被执行人、重大税收违法失信主体、政府采购严重违法失信行为记录名单（由供应商在《龙华区教育局自行采购投标及履约承诺函》中作出承诺）。</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6、投标人不存在《深圳市财政局政府采购供应商信用信息管理办法》（深财规〔2023〕3 号）列明的严重违法失信行为（由供应商在《龙华区教育局自行采购投标及履约承诺函》中作出声明）。</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7、为采购项目提供整体设计、规范编制或者项目管理、监理、检测等服务的供应商，不得再参加该采购项目同一合同项下的其他采购活动。（由供应商在《龙华区教育局自行采购投标及履约承诺函》中作出承诺）。</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8、单位负责人为同一人或者存在直接控股、管理关系的不同供应商，不得参加同一合同项下的政府采购活动。（由供应商在《龙华区教育局自行采购投标及履约承诺函》中作出承诺）。</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9、本项目不属于专门面向中小微企业采购项目。</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10、本项目不接受联合体投标，不接受进口产品参与投标，不允许转包、分包。（由供应商在《龙华区教育局自行采购投标及履约承诺函》中作出承诺）。</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keepNext/>
        <w:keepLines/>
        <w:widowControl w:val="0"/>
        <w:spacing w:before="260" w:after="260" w:line="416" w:lineRule="auto"/>
        <w:jc w:val="center"/>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第二章</w:t>
      </w:r>
      <w:bookmarkStart w:id="3" w:name="_Hlk71926094"/>
      <w:r>
        <w:rPr>
          <w:rFonts w:ascii="宋体" w:eastAsia="宋体" w:hAnsi="宋体" w:hint="eastAsia"/>
          <w:b/>
          <w:bCs/>
          <w:sz w:val="28"/>
          <w:szCs w:val="28"/>
          <w:lang w:eastAsia="zh-CN"/>
        </w:rPr>
        <w:t xml:space="preserve">  对通用条款的补充内容及其他关键信息</w:t>
      </w:r>
      <w:bookmarkEnd w:id="3"/>
    </w:p>
    <w:p>
      <w:pPr>
        <w:keepNext/>
        <w:keepLines/>
        <w:widowControl w:val="0"/>
        <w:adjustRightInd w:val="0"/>
        <w:spacing w:before="120" w:beforeLines="50" w:after="120" w:afterLines="50"/>
        <w:jc w:val="center"/>
        <w:textAlignment w:val="baseline"/>
        <w:outlineLvl w:val="2"/>
        <w:rPr>
          <w:rFonts w:ascii="宋体" w:eastAsia="宋体" w:hAnsi="宋体" w:hint="eastAsia"/>
          <w:b/>
          <w:bCs/>
          <w:lang w:eastAsia="zh-CN"/>
        </w:rPr>
      </w:pPr>
      <w:bookmarkStart w:id="4" w:name="_Toc73518117"/>
      <w:bookmarkStart w:id="5" w:name="_Toc60560625"/>
      <w:bookmarkStart w:id="6" w:name="_Toc60631620"/>
      <w:bookmarkStart w:id="7" w:name="_Toc101074876"/>
      <w:bookmarkStart w:id="8" w:name="_Toc73517639"/>
      <w:bookmarkStart w:id="9" w:name="_Toc73521635"/>
      <w:bookmarkStart w:id="10" w:name="_Toc73521547"/>
      <w:bookmarkStart w:id="11" w:name="_Toc100052364"/>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深圳市龙华职业技术学校</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rPr>
                <w:rFonts w:ascii="宋体" w:eastAsia="宋体" w:hAnsi="宋体" w:hint="eastAsia"/>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hint="eastAsia"/>
                <w:kern w:val="2"/>
                <w:sz w:val="21"/>
                <w:szCs w:val="21"/>
                <w:lang w:eastAsia="zh-CN"/>
              </w:rPr>
            </w:pPr>
            <w:bookmarkStart w:id="12" w:name="_Hlk71664860"/>
            <w:r>
              <w:rPr>
                <w:rFonts w:ascii="宋体" w:eastAsia="宋体" w:hAnsi="宋体" w:cstheme="minorBidi" w:hint="eastAsia"/>
                <w:kern w:val="2"/>
                <w:sz w:val="21"/>
                <w:szCs w:val="21"/>
                <w:lang w:eastAsia="zh-CN"/>
              </w:rPr>
              <w:t>样品、现场演示、方案讲解</w:t>
            </w:r>
            <w:bookmarkEnd w:id="12"/>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不需要</w:t>
            </w:r>
          </w:p>
        </w:tc>
      </w:tr>
      <w:bookmarkEnd w:id="4"/>
      <w:bookmarkEnd w:id="5"/>
      <w:bookmarkEnd w:id="6"/>
      <w:bookmarkEnd w:id="7"/>
      <w:bookmarkEnd w:id="8"/>
      <w:bookmarkEnd w:id="9"/>
      <w:bookmarkEnd w:id="10"/>
      <w:bookmarkEnd w:id="11"/>
    </w:tbl>
    <w:p>
      <w:pPr>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hint="eastAsia"/>
          <w:b/>
          <w:bCs/>
          <w:lang w:eastAsia="zh-CN"/>
        </w:rPr>
      </w:pPr>
      <w:r>
        <w:rPr>
          <w:rFonts w:ascii="宋体" w:eastAsia="宋体" w:hAnsi="宋体" w:hint="eastAsia"/>
          <w:b/>
          <w:bCs/>
          <w:lang w:eastAsia="zh-CN"/>
        </w:rPr>
        <w:t>二、其他关键信息</w:t>
      </w: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jc w:val="both"/>
        <w:rPr>
          <w:rFonts w:ascii="黑体" w:eastAsia="黑体" w:hAnsi="宋体" w:hint="eastAsia"/>
          <w:bCs/>
          <w:kern w:val="2"/>
          <w:szCs w:val="22"/>
          <w:lang w:eastAsia="zh-CN"/>
        </w:rPr>
      </w:pPr>
      <w:r>
        <w:rPr>
          <w:rFonts w:ascii="黑体" w:eastAsia="黑体" w:hAnsi="宋体" w:cstheme="minorBidi" w:hint="eastAsia"/>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hint="eastAsia"/>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hint="eastAsia"/>
          <w:bCs/>
          <w:kern w:val="2"/>
          <w:sz w:val="21"/>
          <w:szCs w:val="21"/>
          <w:lang w:eastAsia="zh-CN"/>
        </w:rPr>
      </w:pP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（二）其他事项</w:t>
      </w: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1、关于享受优惠政策的主体、价格扣除比例及采购标的所属行业</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非专门面向中小企业采购的项目，应执行价格扣除比例：投标人提供的货物（以招标文件用户需求书“货物需求明细”的“货物名称”一栏为准）全部均由优惠主体制造的，对其投标总价给予10%的扣除，用扣除后的价格参与评审。满足多项优惠政策的企业，不重复享受多项价格扣除政策。政策调整后价格仅作为评审依据，不作为中标价格。</w:t>
      </w:r>
    </w:p>
    <w:p>
      <w:pPr>
        <w:widowControl w:val="0"/>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2"/>
          <w:lang w:eastAsia="zh-CN"/>
        </w:rPr>
        <w:t>（2）</w:t>
      </w:r>
      <w:r>
        <w:rPr>
          <w:rFonts w:ascii="宋体" w:eastAsia="宋体" w:hAnsi="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b/>
          <w:bCs/>
          <w:color w:val="FF0000"/>
          <w:kern w:val="2"/>
          <w:sz w:val="21"/>
          <w:szCs w:val="21"/>
          <w:lang w:eastAsia="zh-CN"/>
        </w:rPr>
        <w:t>《中小企业声明函》中相关企业所属行业应当与采购标的所属行业相一致。</w:t>
      </w:r>
      <w:r>
        <w:rPr>
          <w:rFonts w:ascii="Calibri" w:eastAsia="宋体" w:hAnsi="Calibri" w:cstheme="minorBidi" w:hint="eastAsia"/>
          <w:kern w:val="2"/>
          <w:sz w:val="21"/>
          <w:szCs w:val="21"/>
          <w:lang w:eastAsia="zh-CN"/>
        </w:rPr>
        <w:t>本项目采购标的（</w:t>
      </w:r>
      <w:r>
        <w:rPr>
          <w:rFonts w:eastAsia="宋体" w:hAnsi="Calibri" w:cstheme="minorBidi" w:hint="eastAsia"/>
          <w:kern w:val="2"/>
          <w:sz w:val="21"/>
          <w:szCs w:val="21"/>
          <w:lang w:eastAsia="zh-CN"/>
        </w:rPr>
        <w:t>服务需求</w:t>
      </w:r>
      <w:r>
        <w:rPr>
          <w:rFonts w:ascii="Calibri" w:eastAsia="宋体" w:hAnsi="Calibri" w:cstheme="minorBidi" w:hint="eastAsia"/>
          <w:kern w:val="2"/>
          <w:sz w:val="21"/>
          <w:szCs w:val="21"/>
          <w:lang w:eastAsia="zh-CN"/>
        </w:rPr>
        <w:t>）对应的中小企业划分标准所属行业为</w:t>
      </w:r>
      <w:r>
        <w:rPr>
          <w:rFonts w:ascii="Calibri" w:eastAsia="宋体" w:hAnsi="Calibri" w:cstheme="minorBidi" w:hint="eastAsia"/>
          <w:b/>
          <w:bCs/>
          <w:color w:val="FF0000"/>
          <w:kern w:val="2"/>
          <w:sz w:val="21"/>
          <w:szCs w:val="21"/>
          <w:u w:val="single"/>
          <w:lang w:eastAsia="zh-CN"/>
        </w:rPr>
        <w:t>工业</w:t>
      </w:r>
      <w:r>
        <w:rPr>
          <w:rFonts w:ascii="Calibri" w:eastAsia="宋体" w:hAnsi="Calibri" w:cstheme="minorBidi" w:hint="eastAsia"/>
          <w:kern w:val="2"/>
          <w:sz w:val="21"/>
          <w:szCs w:val="21"/>
          <w:lang w:eastAsia="zh-CN"/>
        </w:rPr>
        <w:t>。</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1"/>
          <w:lang w:eastAsia="zh-CN"/>
        </w:rPr>
        <w:t>（3）小型企业、微</w:t>
      </w:r>
      <w:r>
        <w:rPr>
          <w:rFonts w:ascii="Calibri" w:eastAsia="宋体" w:hAnsi="Calibri" w:cstheme="minorBidi" w:hint="eastAsia"/>
          <w:kern w:val="2"/>
          <w:sz w:val="21"/>
          <w:szCs w:val="22"/>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详见采购文件相应章节）。</w:t>
      </w:r>
    </w:p>
    <w:p>
      <w:pPr>
        <w:widowControl w:val="0"/>
        <w:tabs>
          <w:tab w:val="left" w:pos="720"/>
        </w:tabs>
        <w:ind w:firstLine="420" w:firstLineChars="200"/>
        <w:jc w:val="both"/>
        <w:rPr>
          <w:rFonts w:ascii="黑体" w:eastAsia="黑体" w:hAnsi="宋体" w:hint="eastAsia"/>
          <w:kern w:val="2"/>
          <w:szCs w:val="22"/>
          <w:lang w:eastAsia="zh-CN"/>
        </w:rPr>
      </w:pPr>
      <w:r>
        <w:rPr>
          <w:rFonts w:ascii="Calibri" w:eastAsia="宋体" w:hAnsi="Calibri" w:cstheme="minorBidi" w:hint="eastAsia"/>
          <w:kern w:val="2"/>
          <w:sz w:val="21"/>
          <w:szCs w:val="22"/>
          <w:lang w:eastAsia="zh-CN"/>
        </w:rPr>
        <w:t>（5）享受价格扣除获得政府采购合同的，小微企业不得将合同分包给大中型企业。</w:t>
      </w:r>
    </w:p>
    <w:p>
      <w:pPr>
        <w:widowControl w:val="0"/>
        <w:spacing w:line="360" w:lineRule="auto"/>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2.关于政府采购订单融资政策</w:t>
      </w:r>
    </w:p>
    <w:p>
      <w:pPr>
        <w:widowControl w:val="0"/>
        <w:ind w:firstLine="420" w:firstLineChars="200"/>
        <w:jc w:val="both"/>
        <w:rPr>
          <w:rFonts w:ascii="宋体" w:eastAsia="宋体" w:hAnsi="宋体" w:hint="eastAsia"/>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jc w:val="both"/>
        <w:rPr>
          <w:rFonts w:ascii="黑体" w:eastAsia="黑体" w:hAnsi="宋体" w:hint="eastAsia"/>
          <w:kern w:val="2"/>
          <w:szCs w:val="22"/>
          <w:lang w:eastAsia="zh-CN"/>
        </w:rPr>
      </w:pPr>
    </w:p>
    <w:p>
      <w:pPr>
        <w:widowControl w:val="0"/>
        <w:tabs>
          <w:tab w:val="left" w:pos="720"/>
        </w:tabs>
        <w:jc w:val="both"/>
        <w:rPr>
          <w:rFonts w:ascii="宋体" w:eastAsia="宋体" w:hAnsi="宋体" w:hint="eastAsia"/>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ind w:firstLine="42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theme="minorBidi" w:hint="eastAsia"/>
          <w:b/>
          <w:bCs/>
          <w:kern w:val="2"/>
          <w:sz w:val="21"/>
          <w:szCs w:val="21"/>
          <w:u w:val="single"/>
          <w:lang w:eastAsia="zh-CN"/>
        </w:rPr>
        <w:t>货物采购</w:t>
      </w:r>
      <w:r>
        <w:rPr>
          <w:rFonts w:ascii="宋体" w:eastAsia="宋体" w:hAnsi="宋体" w:cstheme="minorBidi" w:hint="eastAsia"/>
          <w:kern w:val="2"/>
          <w:sz w:val="21"/>
          <w:szCs w:val="21"/>
          <w:lang w:eastAsia="zh-CN"/>
        </w:rPr>
        <w:t>：</w:t>
      </w:r>
    </w:p>
    <w:p>
      <w:pPr>
        <w:ind w:firstLine="42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（1）代理服务费以《中标（成交）通知书》确定的中标（成交）金额作为计算基数，按差额定率累进法计算。</w:t>
      </w:r>
    </w:p>
    <w:p>
      <w:pPr>
        <w:wordWrap w:val="0"/>
        <w:autoSpaceDE w:val="0"/>
        <w:autoSpaceDN w:val="0"/>
        <w:spacing w:line="400" w:lineRule="exact"/>
        <w:ind w:right="808" w:firstLine="420" w:firstLineChars="200"/>
        <w:jc w:val="both"/>
        <w:rPr>
          <w:rFonts w:eastAsia="宋体"/>
          <w:lang w:eastAsia="zh-CN"/>
        </w:rPr>
      </w:pPr>
      <w:r>
        <w:rPr>
          <w:rFonts w:eastAsia="宋体" w:hint="eastAsia"/>
          <w:kern w:val="2"/>
          <w:sz w:val="21"/>
          <w:lang w:eastAsia="zh-CN"/>
        </w:rPr>
        <w:t>（2）</w:t>
      </w:r>
      <w:r>
        <w:rPr>
          <w:rFonts w:eastAsia="宋体" w:hint="eastAsia"/>
          <w:lang w:eastAsia="zh-CN"/>
        </w:rPr>
        <w:t>招标代理服务费</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服费务类率型</w:t>
            </w:r>
          </w:p>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万元（含）-500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0.8%</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 万元（含）-1000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0.8%</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0.45%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1000 万元（含）-5000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5000 万元（含）-1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0.1%</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 亿元（含）-5 亿</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color w:val="333333"/>
                <w:kern w:val="2"/>
                <w:sz w:val="21"/>
                <w:szCs w:val="21"/>
                <w:lang w:eastAsia="zh-CN"/>
              </w:rPr>
              <w:t>5 亿元（含）-10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 亿元（含）-50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 亿元（含）-100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亿元（含）以</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r>
    </w:tbl>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（1）按本表费率计算的收费为招标代理服务的收费基准价格。</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（2）招标代理服务收费按差额定率累进法计算。</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例如：某服务招标代理业务中标金额为600万元，计算招标代理服务收费额如下：</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100万元×1.5%=1.5万元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（500-100）万元×0.8%=3.2万元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（600-500）万元×0.45%=0.45万元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合计收费=1.5+3.2+0.45=5.15万元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备注：最低收费不低于人民币7000元。代理服务费用超过7000元，则按国家计费规定收取代理服务费。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收款单位：深圳市千里招标代理有限公司</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开户银行：中国平安银行深圳创业路支行</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帐号：（人民币）15000094959311（用于支付标书费和中标服务费）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中标人须在中标公告公示期结束后，领取《中标通知书》前，向招标（采购）代理机构缴纳招标代理服务费。</w:t>
      </w:r>
    </w:p>
    <w:p>
      <w:pPr>
        <w:spacing w:line="360" w:lineRule="auto"/>
        <w:ind w:firstLine="42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招标代理服务费以转账、银行汇票形式交付。</w:t>
      </w:r>
    </w:p>
    <w:p>
      <w:pPr>
        <w:rPr>
          <w:rFonts w:ascii="宋体" w:eastAsia="黑体" w:hAnsi="宋体" w:hint="eastAsia"/>
          <w:bCs/>
          <w:kern w:val="44"/>
          <w:sz w:val="28"/>
          <w:szCs w:val="44"/>
          <w:lang w:eastAsia="zh-CN"/>
        </w:rPr>
      </w:pPr>
      <w:r>
        <w:rPr>
          <w:rFonts w:ascii="宋体" w:eastAsia="黑体" w:hAnsi="宋体"/>
          <w:bCs/>
          <w:kern w:val="44"/>
          <w:sz w:val="28"/>
          <w:szCs w:val="44"/>
          <w:lang w:eastAsia="zh-CN"/>
        </w:rPr>
        <w:br w:type="page"/>
      </w: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第三章  用户需求书</w:t>
      </w:r>
    </w:p>
    <w:p>
      <w:pPr>
        <w:keepNext/>
        <w:keepLines/>
        <w:widowControl w:val="0"/>
        <w:tabs>
          <w:tab w:val="left" w:pos="1680"/>
        </w:tabs>
        <w:spacing w:before="260" w:after="60" w:afterLines="25"/>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一、项目基本信息</w:t>
      </w:r>
    </w:p>
    <w:p>
      <w:pPr>
        <w:spacing w:before="60" w:beforeLines="25" w:after="60" w:afterLines="25"/>
        <w:ind w:firstLine="393" w:firstLineChars="187"/>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项目背景:中等职业教育作为培养技能型人才的核心阵地，需紧跟产业发展趋势，主动对接分布式操作系统生态产业链对技术技能人才的需求。当前，多数中职学校尚未系统开设分布式操作系统应用开发相关课程，缺乏配套的实训环境，导致学生难以掌握分布式操作系统南向（设备开发）与北向（应用开发）的实操技能。为填补这一空白，学校计划建设“分布式操作系统应用开发综合实践实训室”，通过配置专业实训设备、构建理实一体化教学环境，培养符合产业需求的分布式操作系统开发技能型人才。</w:t>
      </w:r>
    </w:p>
    <w:p>
      <w:pPr>
        <w:spacing w:before="60" w:beforeLines="25" w:after="60" w:afterLines="25"/>
        <w:ind w:firstLine="393" w:firstLineChars="187"/>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货物用途、功能说明:以实训室为载体，学校可开发“分布式操作系统应用开发基础”、“物联网设备分布式操作系统化改造”等核心课程，构建“课程内容对接岗位标准、实训项目对接企业案例”的课程体系，推动现代通信技术应用、网络信息安全等专业向“自主操作系统应用”方向升级，增强专业适配产业的能力。</w:t>
      </w:r>
    </w:p>
    <w:tbl>
      <w:tblPr>
        <w:tblStyle w:val="TableNormal"/>
        <w:tblW w:w="5000" w:type="pct"/>
        <w:tblInd w:w="0" w:type="dxa"/>
        <w:tblLayout w:type="fixed"/>
        <w:tblCellMar>
          <w:top w:w="15" w:type="dxa"/>
          <w:left w:w="15" w:type="dxa"/>
          <w:bottom w:w="15" w:type="dxa"/>
          <w:right w:w="15" w:type="dxa"/>
        </w:tblCellMar>
      </w:tblPr>
      <w:tblGrid>
        <w:gridCol w:w="576"/>
        <w:gridCol w:w="2672"/>
        <w:gridCol w:w="3734"/>
        <w:gridCol w:w="1688"/>
      </w:tblGrid>
      <w:tr>
        <w:tblPrEx>
          <w:tblW w:w="5000" w:type="pct"/>
          <w:tblInd w:w="0" w:type="dxa"/>
          <w:tblLayout w:type="fixed"/>
          <w:tblCellMar>
            <w:top w:w="15" w:type="dxa"/>
            <w:left w:w="15" w:type="dxa"/>
            <w:bottom w:w="15" w:type="dxa"/>
            <w:right w:w="15" w:type="dxa"/>
          </w:tblCellMar>
        </w:tblPrEx>
        <w:trPr>
          <w:trHeight w:val="552"/>
        </w:trPr>
        <w:tc>
          <w:tcPr>
            <w:tcW w:w="576" w:type="dxa"/>
            <w:tcBorders>
              <w:top w:val="single" w:sz="4" w:space="0" w:color="000000"/>
              <w:left w:val="single" w:sz="4" w:space="0" w:color="000000"/>
              <w:bottom w:val="single" w:sz="4" w:space="0" w:color="000000"/>
              <w:right w:val="single" w:sz="4" w:space="0" w:color="auto"/>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序号</w:t>
            </w:r>
          </w:p>
        </w:tc>
        <w:tc>
          <w:tcPr>
            <w:tcW w:w="2672" w:type="dxa"/>
            <w:tcBorders>
              <w:top w:val="single" w:sz="4" w:space="0" w:color="000000"/>
              <w:left w:val="single" w:sz="4" w:space="0" w:color="auto"/>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项目编号</w:t>
            </w:r>
          </w:p>
        </w:tc>
        <w:tc>
          <w:tcPr>
            <w:tcW w:w="3734"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项目名称</w:t>
            </w:r>
          </w:p>
        </w:tc>
        <w:tc>
          <w:tcPr>
            <w:tcW w:w="16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宋体" w:eastAsia="宋体" w:hAnsi="宋体" w:cstheme="minorBidi" w:hint="eastAsia"/>
                <w:b/>
                <w:kern w:val="2"/>
                <w:sz w:val="21"/>
                <w:szCs w:val="21"/>
                <w:lang w:eastAsia="zh-CN"/>
              </w:rPr>
              <w:t>财政预算限额（元）</w:t>
            </w:r>
          </w:p>
        </w:tc>
      </w:tr>
      <w:tr>
        <w:tblPrEx>
          <w:tblW w:w="5000" w:type="pct"/>
          <w:tblInd w:w="0" w:type="dxa"/>
          <w:tblLayout w:type="fixed"/>
          <w:tblCellMar>
            <w:top w:w="15" w:type="dxa"/>
            <w:left w:w="15" w:type="dxa"/>
            <w:bottom w:w="15" w:type="dxa"/>
            <w:right w:w="15" w:type="dxa"/>
          </w:tblCellMar>
        </w:tblPrEx>
        <w:trPr>
          <w:trHeight w:val="485"/>
        </w:trPr>
        <w:tc>
          <w:tcPr>
            <w:tcW w:w="576" w:type="dxa"/>
            <w:tcBorders>
              <w:top w:val="single" w:sz="4" w:space="0" w:color="000000"/>
              <w:left w:val="single" w:sz="4" w:space="0" w:color="000000"/>
              <w:bottom w:val="single" w:sz="4" w:space="0" w:color="000000"/>
              <w:right w:val="single" w:sz="4" w:space="0" w:color="auto"/>
            </w:tcBorders>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p>
        </w:tc>
        <w:tc>
          <w:tcPr>
            <w:tcW w:w="2672" w:type="dxa"/>
            <w:tcBorders>
              <w:top w:val="single" w:sz="4" w:space="0" w:color="000000"/>
              <w:left w:val="single" w:sz="4" w:space="0" w:color="auto"/>
              <w:bottom w:val="single" w:sz="4" w:space="0" w:color="000000"/>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LHAZXDL-2025-00824</w:t>
            </w:r>
          </w:p>
        </w:tc>
        <w:tc>
          <w:tcPr>
            <w:tcW w:w="3734"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分布式操作系统应用开发实训平台采购</w:t>
            </w:r>
          </w:p>
        </w:tc>
        <w:tc>
          <w:tcPr>
            <w:tcW w:w="1688"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974800.00</w:t>
            </w:r>
          </w:p>
        </w:tc>
      </w:tr>
    </w:tbl>
    <w:p>
      <w:pPr>
        <w:keepNext/>
        <w:keepLines/>
        <w:widowControl w:val="0"/>
        <w:numPr>
          <w:ilvl w:val="0"/>
          <w:numId w:val="1"/>
        </w:numPr>
        <w:tabs>
          <w:tab w:val="left" w:pos="1680"/>
        </w:tabs>
        <w:spacing w:before="260" w:after="60" w:afterLines="25"/>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货物需求明细</w:t>
      </w:r>
      <w:bookmarkStart w:id="13" w:name="_Toc128884461"/>
    </w:p>
    <w:tbl>
      <w:tblPr>
        <w:tblStyle w:val="TableNormal"/>
        <w:tblpPr w:leftFromText="180" w:rightFromText="180" w:vertAnchor="text" w:horzAnchor="page" w:tblpX="1800" w:tblpY="450"/>
        <w:tblOverlap w:val="neve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8"/>
        <w:gridCol w:w="1847"/>
        <w:gridCol w:w="736"/>
        <w:gridCol w:w="753"/>
        <w:gridCol w:w="912"/>
        <w:gridCol w:w="1356"/>
        <w:gridCol w:w="1128"/>
        <w:gridCol w:w="140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66"/>
        </w:trPr>
        <w:tc>
          <w:tcPr>
            <w:tcW w:w="708"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序号</w:t>
            </w:r>
          </w:p>
        </w:tc>
        <w:tc>
          <w:tcPr>
            <w:tcW w:w="1824"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货物名称</w:t>
            </w:r>
          </w:p>
        </w:tc>
        <w:tc>
          <w:tcPr>
            <w:tcW w:w="727"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数量</w:t>
            </w:r>
          </w:p>
        </w:tc>
        <w:tc>
          <w:tcPr>
            <w:tcW w:w="744"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单位</w:t>
            </w:r>
          </w:p>
        </w:tc>
        <w:tc>
          <w:tcPr>
            <w:tcW w:w="2240" w:type="dxa"/>
            <w:gridSpan w:val="2"/>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单价限额（元.</w:t>
            </w:r>
          </w:p>
        </w:tc>
        <w:tc>
          <w:tcPr>
            <w:tcW w:w="1114" w:type="dxa"/>
            <w:vMerge w:val="restart"/>
            <w:noWrap w:val="0"/>
            <w:vAlign w:val="center"/>
          </w:tcPr>
          <w:p>
            <w:pPr>
              <w:jc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rPr>
              <w:t>备注</w:t>
            </w:r>
          </w:p>
        </w:tc>
        <w:tc>
          <w:tcPr>
            <w:tcW w:w="1389" w:type="dxa"/>
            <w:vMerge w:val="restart"/>
            <w:noWrap w:val="0"/>
            <w:vAlign w:val="center"/>
          </w:tcPr>
          <w:p>
            <w:pPr>
              <w:jc w:val="center"/>
              <w:rPr>
                <w:rFonts w:ascii="宋体" w:eastAsia="宋体" w:hAnsi="宋体" w:cs="宋体" w:hint="eastAsia"/>
                <w:b/>
                <w:bCs/>
                <w:color w:val="FF0000"/>
                <w:sz w:val="21"/>
                <w:szCs w:val="21"/>
                <w:lang w:eastAsia="zh-CN"/>
              </w:rPr>
            </w:pPr>
            <w:r>
              <w:rPr>
                <w:rFonts w:ascii="宋体" w:eastAsia="宋体" w:hAnsi="宋体" w:cs="宋体" w:hint="eastAsia"/>
                <w:b/>
                <w:bCs/>
                <w:color w:val="FF0000"/>
                <w:sz w:val="21"/>
                <w:szCs w:val="21"/>
              </w:rPr>
              <w:t>财政预算限额（元</w:t>
            </w:r>
            <w:r>
              <w:rPr>
                <w:rFonts w:ascii="宋体" w:eastAsia="宋体" w:hAnsi="宋体" w:cs="宋体" w:hint="eastAsia"/>
                <w:b/>
                <w:bCs/>
                <w:color w:val="FF0000"/>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566"/>
        </w:trPr>
        <w:tc>
          <w:tcPr>
            <w:tcW w:w="708" w:type="dxa"/>
            <w:vMerge/>
            <w:noWrap w:val="0"/>
            <w:vAlign w:val="center"/>
          </w:tcPr>
          <w:p>
            <w:pPr>
              <w:jc w:val="center"/>
              <w:rPr>
                <w:rFonts w:ascii="宋体" w:eastAsia="宋体" w:hAnsi="宋体" w:cs="宋体" w:hint="eastAsia"/>
                <w:bCs/>
                <w:sz w:val="21"/>
                <w:szCs w:val="21"/>
              </w:rPr>
            </w:pPr>
          </w:p>
        </w:tc>
        <w:tc>
          <w:tcPr>
            <w:tcW w:w="1824" w:type="dxa"/>
            <w:vMerge/>
            <w:noWrap w:val="0"/>
            <w:vAlign w:val="center"/>
          </w:tcPr>
          <w:p>
            <w:pPr>
              <w:jc w:val="center"/>
              <w:rPr>
                <w:rFonts w:ascii="宋体" w:eastAsia="宋体" w:hAnsi="宋体" w:cs="宋体" w:hint="eastAsia"/>
                <w:bCs/>
                <w:sz w:val="21"/>
                <w:szCs w:val="21"/>
              </w:rPr>
            </w:pPr>
          </w:p>
        </w:tc>
        <w:tc>
          <w:tcPr>
            <w:tcW w:w="727" w:type="dxa"/>
            <w:vMerge/>
            <w:noWrap w:val="0"/>
            <w:vAlign w:val="center"/>
          </w:tcPr>
          <w:p>
            <w:pPr>
              <w:jc w:val="center"/>
              <w:rPr>
                <w:rFonts w:ascii="宋体" w:eastAsia="宋体" w:hAnsi="宋体" w:cs="宋体" w:hint="eastAsia"/>
                <w:bCs/>
                <w:sz w:val="21"/>
                <w:szCs w:val="21"/>
              </w:rPr>
            </w:pPr>
          </w:p>
        </w:tc>
        <w:tc>
          <w:tcPr>
            <w:tcW w:w="744" w:type="dxa"/>
            <w:vMerge/>
            <w:noWrap w:val="0"/>
            <w:vAlign w:val="center"/>
          </w:tcPr>
          <w:p>
            <w:pPr>
              <w:jc w:val="center"/>
              <w:rPr>
                <w:rFonts w:ascii="宋体" w:eastAsia="宋体" w:hAnsi="宋体" w:cs="宋体" w:hint="eastAsia"/>
                <w:bCs/>
                <w:sz w:val="21"/>
                <w:szCs w:val="21"/>
              </w:rPr>
            </w:pPr>
          </w:p>
        </w:tc>
        <w:tc>
          <w:tcPr>
            <w:tcW w:w="901"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单价</w:t>
            </w:r>
          </w:p>
        </w:tc>
        <w:tc>
          <w:tcPr>
            <w:tcW w:w="1339"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单项总额（单价乘以数量.</w:t>
            </w:r>
          </w:p>
        </w:tc>
        <w:tc>
          <w:tcPr>
            <w:tcW w:w="1114" w:type="dxa"/>
            <w:vMerge/>
            <w:noWrap w:val="0"/>
            <w:vAlign w:val="center"/>
          </w:tcPr>
          <w:p>
            <w:pPr>
              <w:jc w:val="center"/>
              <w:rPr>
                <w:rFonts w:ascii="宋体" w:eastAsia="宋体" w:hAnsi="宋体" w:cs="宋体" w:hint="eastAsia"/>
                <w:b/>
                <w:bCs/>
                <w:color w:val="FF0000"/>
                <w:sz w:val="21"/>
                <w:szCs w:val="21"/>
              </w:rPr>
            </w:pPr>
          </w:p>
        </w:tc>
        <w:tc>
          <w:tcPr>
            <w:tcW w:w="1389" w:type="dxa"/>
            <w:vMerge/>
            <w:noWrap w:val="0"/>
            <w:vAlign w:val="center"/>
          </w:tcPr>
          <w:p>
            <w:pPr>
              <w:jc w:val="center"/>
              <w:rPr>
                <w:rFonts w:ascii="宋体" w:eastAsia="宋体" w:hAnsi="宋体" w:cs="宋体" w:hint="eastAsia"/>
                <w:b/>
                <w:bCs/>
                <w:color w:val="FF0000"/>
                <w:sz w:val="21"/>
                <w:szCs w:val="21"/>
              </w:rPr>
            </w:pPr>
          </w:p>
        </w:tc>
      </w:tr>
      <w:tr>
        <w:tblPrEx>
          <w:tblW w:w="5000" w:type="pct"/>
          <w:tblInd w:w="0" w:type="dxa"/>
          <w:tblLayout w:type="fixed"/>
          <w:tblCellMar>
            <w:top w:w="0" w:type="dxa"/>
            <w:left w:w="108" w:type="dxa"/>
            <w:bottom w:w="0" w:type="dxa"/>
            <w:right w:w="108" w:type="dxa"/>
          </w:tblCellMar>
        </w:tblPrEx>
        <w:trPr>
          <w:trHeight w:val="332"/>
        </w:trPr>
        <w:tc>
          <w:tcPr>
            <w:tcW w:w="708"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1</w:t>
            </w:r>
          </w:p>
        </w:tc>
        <w:tc>
          <w:tcPr>
            <w:tcW w:w="1824"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分布式操作系统应用开发综合实践平台</w:t>
            </w:r>
          </w:p>
        </w:tc>
        <w:tc>
          <w:tcPr>
            <w:tcW w:w="727"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41</w:t>
            </w:r>
          </w:p>
        </w:tc>
        <w:tc>
          <w:tcPr>
            <w:tcW w:w="744"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套</w:t>
            </w:r>
          </w:p>
        </w:tc>
        <w:tc>
          <w:tcPr>
            <w:tcW w:w="901"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22800</w:t>
            </w:r>
          </w:p>
        </w:tc>
        <w:tc>
          <w:tcPr>
            <w:tcW w:w="1339"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934800</w:t>
            </w:r>
          </w:p>
        </w:tc>
        <w:tc>
          <w:tcPr>
            <w:tcW w:w="1114" w:type="dxa"/>
            <w:noWrap w:val="0"/>
            <w:vAlign w:val="center"/>
          </w:tcPr>
          <w:p>
            <w:pPr>
              <w:jc w:val="center"/>
              <w:rPr>
                <w:rFonts w:ascii="宋体" w:eastAsia="宋体" w:hAnsi="宋体" w:cs="宋体" w:hint="eastAsia"/>
                <w:b/>
                <w:bCs/>
                <w:color w:val="FF0000"/>
                <w:sz w:val="21"/>
                <w:szCs w:val="21"/>
              </w:rPr>
            </w:pPr>
            <w:r>
              <w:rPr>
                <w:rFonts w:ascii="宋体" w:eastAsia="宋体" w:hAnsi="宋体" w:cs="宋体" w:hint="eastAsia"/>
                <w:sz w:val="21"/>
                <w:szCs w:val="21"/>
              </w:rPr>
              <w:t>拒绝进口</w:t>
            </w:r>
          </w:p>
        </w:tc>
        <w:tc>
          <w:tcPr>
            <w:tcW w:w="1389"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974800.00</w:t>
            </w:r>
          </w:p>
        </w:tc>
      </w:tr>
      <w:tr>
        <w:tblPrEx>
          <w:tblW w:w="5000" w:type="pct"/>
          <w:tblInd w:w="0" w:type="dxa"/>
          <w:tblLayout w:type="fixed"/>
          <w:tblCellMar>
            <w:top w:w="0" w:type="dxa"/>
            <w:left w:w="108" w:type="dxa"/>
            <w:bottom w:w="0" w:type="dxa"/>
            <w:right w:w="108" w:type="dxa"/>
          </w:tblCellMar>
        </w:tblPrEx>
        <w:trPr>
          <w:trHeight w:val="332"/>
        </w:trPr>
        <w:tc>
          <w:tcPr>
            <w:tcW w:w="708"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2</w:t>
            </w:r>
          </w:p>
        </w:tc>
        <w:tc>
          <w:tcPr>
            <w:tcW w:w="1824"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分布式操作系统应用开发课程资源</w:t>
            </w:r>
          </w:p>
        </w:tc>
        <w:tc>
          <w:tcPr>
            <w:tcW w:w="727"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1</w:t>
            </w:r>
          </w:p>
        </w:tc>
        <w:tc>
          <w:tcPr>
            <w:tcW w:w="744"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套</w:t>
            </w:r>
          </w:p>
        </w:tc>
        <w:tc>
          <w:tcPr>
            <w:tcW w:w="901"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40000</w:t>
            </w:r>
          </w:p>
        </w:tc>
        <w:tc>
          <w:tcPr>
            <w:tcW w:w="1339"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40000</w:t>
            </w:r>
          </w:p>
        </w:tc>
        <w:tc>
          <w:tcPr>
            <w:tcW w:w="1114"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拒绝进口</w:t>
            </w:r>
          </w:p>
        </w:tc>
        <w:tc>
          <w:tcPr>
            <w:tcW w:w="1389" w:type="dxa"/>
            <w:vMerge/>
            <w:noWrap w:val="0"/>
            <w:vAlign w:val="center"/>
          </w:tcPr>
          <w:p>
            <w:pPr>
              <w:jc w:val="center"/>
              <w:rPr>
                <w:rFonts w:ascii="宋体" w:eastAsia="宋体" w:hAnsi="宋体" w:cs="宋体" w:hint="eastAsia"/>
                <w:bCs/>
                <w:sz w:val="21"/>
                <w:szCs w:val="21"/>
              </w:rPr>
            </w:pPr>
          </w:p>
        </w:tc>
      </w:tr>
    </w:tbl>
    <w:p>
      <w:pPr>
        <w:spacing w:before="60" w:beforeLines="25" w:after="60" w:afterLines="25"/>
        <w:ind w:left="418" w:firstLine="8156" w:leftChars="174" w:firstLineChars="3884"/>
        <w:rPr>
          <w:rFonts w:ascii="宋体" w:eastAsia="宋体" w:hAnsi="宋体" w:cs="宋体" w:hint="eastAsia"/>
          <w:sz w:val="21"/>
          <w:szCs w:val="21"/>
          <w:lang w:bidi="ar"/>
        </w:rPr>
      </w:pPr>
      <w:r>
        <w:rPr>
          <w:rFonts w:ascii="宋体" w:eastAsia="宋体" w:hAnsi="宋体" w:cs="宋体" w:hint="eastAsia"/>
          <w:sz w:val="21"/>
          <w:szCs w:val="21"/>
          <w:lang w:eastAsia="zh-CN" w:bidi="ar"/>
        </w:rPr>
        <w:t xml:space="preserve"> </w:t>
      </w:r>
      <w:r>
        <w:rPr>
          <w:rFonts w:ascii="宋体" w:eastAsia="宋体" w:hAnsi="宋体" w:cs="宋体" w:hint="eastAsia"/>
          <w:sz w:val="21"/>
          <w:szCs w:val="21"/>
          <w:lang w:bidi="ar"/>
        </w:rPr>
        <w:t>1、本项目总预算为974800.00元。投标总价不得超过项目总预算限额，分项报价不得超过相应单价限额。</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2、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 xml:space="preserve">3、核心产品： </w:t>
      </w:r>
      <w:r>
        <w:rPr>
          <w:rFonts w:ascii="宋体" w:eastAsia="宋体" w:hAnsi="宋体" w:cs="宋体" w:hint="eastAsia"/>
          <w:b/>
          <w:bCs/>
          <w:sz w:val="21"/>
          <w:szCs w:val="21"/>
          <w:u w:val="single"/>
          <w:lang w:bidi="ar"/>
        </w:rPr>
        <w:t>分布式操作系统应用开发综合实践平台</w:t>
      </w:r>
    </w:p>
    <w:p>
      <w:pPr>
        <w:keepNext/>
        <w:keepLines/>
        <w:widowControl w:val="0"/>
        <w:spacing w:before="260" w:after="260"/>
        <w:ind w:firstLine="480"/>
        <w:jc w:val="center"/>
        <w:outlineLvl w:val="2"/>
        <w:rPr>
          <w:rFonts w:ascii="宋体" w:eastAsia="宋体" w:hAnsi="宋体" w:hint="eastAsia"/>
          <w:b/>
          <w:bCs/>
          <w:kern w:val="2"/>
          <w:sz w:val="28"/>
          <w:szCs w:val="32"/>
          <w:lang w:eastAsia="zh-CN"/>
        </w:rPr>
      </w:pPr>
      <w:r>
        <w:rPr>
          <w:rFonts w:ascii="宋体" w:eastAsia="宋体" w:hAnsi="宋体" w:cstheme="minorBidi" w:hint="eastAsia"/>
          <w:b/>
          <w:bCs/>
          <w:kern w:val="2"/>
          <w:sz w:val="28"/>
          <w:szCs w:val="32"/>
          <w:lang w:eastAsia="zh-CN"/>
        </w:rPr>
        <w:t>三、实质性条款</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44"/>
        <w:gridCol w:w="8112"/>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4"/>
        </w:trPr>
        <w:tc>
          <w:tcPr>
            <w:tcW w:w="744" w:type="dxa"/>
            <w:vAlign w:val="center"/>
          </w:tcPr>
          <w:p>
            <w:pPr>
              <w:widowControl w:val="0"/>
              <w:jc w:val="center"/>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序号</w:t>
            </w:r>
          </w:p>
        </w:tc>
        <w:tc>
          <w:tcPr>
            <w:tcW w:w="8112" w:type="dxa"/>
            <w:vAlign w:val="center"/>
          </w:tcPr>
          <w:p>
            <w:pPr>
              <w:widowControl w:val="0"/>
              <w:jc w:val="center"/>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实质性条款具体内容</w:t>
            </w:r>
          </w:p>
        </w:tc>
      </w:tr>
      <w:tr>
        <w:tblPrEx>
          <w:tblW w:w="5000" w:type="pct"/>
          <w:tblInd w:w="0" w:type="dxa"/>
          <w:tblLayout w:type="fixed"/>
          <w:tblCellMar>
            <w:top w:w="0" w:type="dxa"/>
            <w:left w:w="108" w:type="dxa"/>
            <w:bottom w:w="0" w:type="dxa"/>
            <w:right w:w="108" w:type="dxa"/>
          </w:tblCellMar>
        </w:tblPrEx>
        <w:tc>
          <w:tcPr>
            <w:tcW w:w="744" w:type="dxa"/>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p>
        </w:tc>
        <w:tc>
          <w:tcPr>
            <w:tcW w:w="8112" w:type="dxa"/>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本项目招标文件中所有带★号条款内容</w:t>
            </w:r>
          </w:p>
        </w:tc>
      </w:tr>
      <w:bookmarkEnd w:id="13"/>
    </w:tbl>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widowControl w:val="0"/>
        <w:jc w:val="both"/>
        <w:rPr>
          <w:rFonts w:ascii="Calibri" w:eastAsia="宋体" w:hAnsi="Calibri"/>
          <w:b/>
          <w:color w:val="FF0000"/>
          <w:kern w:val="2"/>
          <w:sz w:val="21"/>
          <w:szCs w:val="22"/>
          <w:lang w:eastAsia="zh-CN"/>
        </w:rPr>
      </w:pPr>
    </w:p>
    <w:p>
      <w:pPr>
        <w:keepNext/>
        <w:keepLines/>
        <w:widowControl w:val="0"/>
        <w:spacing w:before="260" w:after="260"/>
        <w:jc w:val="center"/>
        <w:outlineLvl w:val="2"/>
        <w:rPr>
          <w:rFonts w:ascii="宋体" w:eastAsia="宋体" w:hAnsi="宋体" w:hint="eastAsia"/>
          <w:b/>
          <w:bCs/>
          <w:kern w:val="2"/>
          <w:sz w:val="28"/>
          <w:szCs w:val="32"/>
          <w:lang w:eastAsia="zh-CN"/>
        </w:rPr>
      </w:pPr>
      <w:r>
        <w:rPr>
          <w:rFonts w:ascii="宋体" w:eastAsia="宋体" w:hAnsi="宋体" w:cstheme="minorBidi" w:hint="eastAsia"/>
          <w:b/>
          <w:bCs/>
          <w:kern w:val="2"/>
          <w:sz w:val="28"/>
          <w:szCs w:val="32"/>
          <w:lang w:eastAsia="zh-CN"/>
        </w:rPr>
        <w:t>四、商务条款要求</w:t>
      </w:r>
    </w:p>
    <w:p>
      <w:pPr>
        <w:widowControl w:val="0"/>
        <w:ind w:firstLine="420" w:firstLineChars="200"/>
        <w:jc w:val="both"/>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说明：带★号条款为不可偏离条款，不作为评分准则中的评分内容，如未响应或出现负偏离的，将作投标无效处理；带“</w:t>
      </w:r>
      <w:r>
        <w:rPr>
          <w:rFonts w:ascii="Calibri" w:eastAsia="宋体" w:hAnsi="Calibri" w:cstheme="minorBidi"/>
          <w:kern w:val="2"/>
          <w:sz w:val="21"/>
          <w:szCs w:val="22"/>
          <w:lang w:eastAsia="zh-CN"/>
        </w:rPr>
        <w:t>▲</w:t>
      </w:r>
      <w:r>
        <w:rPr>
          <w:rFonts w:ascii="Calibri" w:eastAsia="宋体" w:hAnsi="Calibri" w:cstheme="minorBidi" w:hint="eastAsia"/>
          <w:b/>
          <w:kern w:val="2"/>
          <w:sz w:val="21"/>
          <w:szCs w:val="21"/>
          <w:lang w:eastAsia="zh-CN"/>
        </w:rPr>
        <w:t>”指标项为重要参数，负偏离时依相关评分准则内容作重点扣分处理。</w:t>
      </w:r>
    </w:p>
    <w:tbl>
      <w:tblPr>
        <w:tblStyle w:val="TableNormal"/>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329"/>
        <w:gridCol w:w="1709"/>
        <w:gridCol w:w="5818"/>
      </w:tblGrid>
      <w:tr>
        <w:tblPrEx>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序号</w:t>
            </w:r>
          </w:p>
        </w:tc>
        <w:tc>
          <w:tcPr>
            <w:tcW w:w="162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目录</w:t>
            </w:r>
          </w:p>
        </w:tc>
        <w:tc>
          <w:tcPr>
            <w:tcW w:w="5516"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采购商务需求</w:t>
            </w:r>
          </w:p>
        </w:tc>
      </w:tr>
      <w:tr>
        <w:tblPrEx>
          <w:tblW w:w="5000" w:type="pct"/>
          <w:tblInd w:w="108" w:type="dxa"/>
          <w:tblLayout w:type="fixed"/>
          <w:tblCellMar>
            <w:top w:w="0" w:type="dxa"/>
            <w:left w:w="108" w:type="dxa"/>
            <w:bottom w:w="0" w:type="dxa"/>
            <w:right w:w="108" w:type="dxa"/>
          </w:tblCellMar>
        </w:tblPrEx>
        <w:trPr>
          <w:trHeight w:val="280"/>
        </w:trPr>
        <w:tc>
          <w:tcPr>
            <w:tcW w:w="8396"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（一.免费保修期内售后服务要求</w:t>
            </w:r>
          </w:p>
        </w:tc>
      </w:tr>
      <w:tr>
        <w:tblPrEx>
          <w:tblW w:w="5000" w:type="pct"/>
          <w:tblInd w:w="108" w:type="dxa"/>
          <w:tblLayout w:type="fixed"/>
          <w:tblCellMar>
            <w:top w:w="0" w:type="dxa"/>
            <w:left w:w="108" w:type="dxa"/>
            <w:bottom w:w="0" w:type="dxa"/>
            <w:right w:w="108" w:type="dxa"/>
          </w:tblCellMar>
        </w:tblPrEx>
        <w:trPr>
          <w:trHeight w:val="150"/>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noWrap w:val="0"/>
            <w:vAlign w:val="center"/>
          </w:tcPr>
          <w:p>
            <w:pPr>
              <w:rPr>
                <w:rFonts w:ascii="宋体" w:eastAsia="宋体" w:hAnsi="宋体" w:cs="宋体" w:hint="eastAsia"/>
                <w:sz w:val="21"/>
                <w:szCs w:val="21"/>
              </w:rPr>
            </w:pPr>
            <w:r>
              <w:rPr>
                <w:rFonts w:ascii="宋体" w:eastAsia="宋体" w:hAnsi="宋体" w:cs="宋体" w:hint="eastAsia"/>
                <w:sz w:val="21"/>
                <w:szCs w:val="21"/>
              </w:rPr>
              <w:t>免费保修期</w:t>
            </w:r>
          </w:p>
        </w:tc>
        <w:tc>
          <w:tcPr>
            <w:tcW w:w="5516" w:type="dxa"/>
            <w:noWrap w:val="0"/>
            <w:vAlign w:val="top"/>
          </w:tcPr>
          <w:p>
            <w:pPr>
              <w:rPr>
                <w:rFonts w:ascii="宋体" w:eastAsia="宋体" w:hAnsi="宋体" w:cs="宋体" w:hint="eastAsia"/>
                <w:b/>
                <w:sz w:val="21"/>
                <w:szCs w:val="21"/>
              </w:rPr>
            </w:pPr>
            <w:r>
              <w:rPr>
                <w:rFonts w:ascii="宋体" w:eastAsia="宋体" w:hAnsi="宋体" w:cs="宋体" w:hint="eastAsia"/>
                <w:sz w:val="21"/>
                <w:szCs w:val="21"/>
              </w:rPr>
              <w:t>★</w:t>
            </w:r>
            <w:r>
              <w:rPr>
                <w:rFonts w:ascii="宋体" w:eastAsia="宋体" w:hAnsi="宋体" w:cs="宋体" w:hint="eastAsia"/>
                <w:bCs/>
                <w:sz w:val="21"/>
                <w:szCs w:val="21"/>
              </w:rPr>
              <w:t>货物免费保修期至少</w:t>
            </w:r>
            <w:r>
              <w:rPr>
                <w:rFonts w:ascii="宋体" w:eastAsia="宋体" w:hAnsi="宋体" w:cs="宋体" w:hint="eastAsia"/>
                <w:bCs/>
                <w:sz w:val="21"/>
                <w:szCs w:val="21"/>
                <w:u w:val="single"/>
              </w:rPr>
              <w:t xml:space="preserve"> 1 </w:t>
            </w:r>
            <w:r>
              <w:rPr>
                <w:rFonts w:ascii="宋体" w:eastAsia="宋体" w:hAnsi="宋体" w:cs="宋体" w:hint="eastAsia"/>
                <w:bCs/>
                <w:sz w:val="21"/>
                <w:szCs w:val="21"/>
              </w:rPr>
              <w:t>年，时间自最终验收合格并交付使用之日起计算。</w:t>
            </w:r>
          </w:p>
        </w:tc>
      </w:tr>
      <w:tr>
        <w:tblPrEx>
          <w:tblW w:w="5000" w:type="pct"/>
          <w:tblInd w:w="108" w:type="dxa"/>
          <w:tblLayout w:type="fixed"/>
          <w:tblCellMar>
            <w:top w:w="0" w:type="dxa"/>
            <w:left w:w="108" w:type="dxa"/>
            <w:bottom w:w="0" w:type="dxa"/>
            <w:right w:w="108" w:type="dxa"/>
          </w:tblCellMar>
        </w:tblPrEx>
        <w:trPr>
          <w:trHeight w:val="320"/>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620" w:type="dxa"/>
            <w:noWrap w:val="0"/>
            <w:vAlign w:val="top"/>
          </w:tcPr>
          <w:p>
            <w:pPr>
              <w:rPr>
                <w:rFonts w:ascii="宋体" w:eastAsia="宋体" w:hAnsi="宋体" w:cs="宋体" w:hint="eastAsia"/>
                <w:sz w:val="21"/>
                <w:szCs w:val="21"/>
              </w:rPr>
            </w:pPr>
            <w:r>
              <w:rPr>
                <w:rFonts w:ascii="宋体" w:eastAsia="宋体" w:hAnsi="宋体" w:cs="宋体" w:hint="eastAsia"/>
                <w:sz w:val="21"/>
                <w:szCs w:val="21"/>
              </w:rPr>
              <w:t>维修响应及故障解决时间</w:t>
            </w:r>
          </w:p>
        </w:tc>
        <w:tc>
          <w:tcPr>
            <w:tcW w:w="5516"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投标人承诺中标后，在保修期内，一旦发生质量问题，投标人保证在接到通知24小时内赶到现场进行修理或更换。</w:t>
            </w:r>
          </w:p>
        </w:tc>
      </w:tr>
      <w:tr>
        <w:tblPrEx>
          <w:tblW w:w="5000" w:type="pct"/>
          <w:tblInd w:w="108" w:type="dxa"/>
          <w:tblLayout w:type="fixed"/>
          <w:tblCellMar>
            <w:top w:w="0" w:type="dxa"/>
            <w:left w:w="108" w:type="dxa"/>
            <w:bottom w:w="0" w:type="dxa"/>
            <w:right w:w="108" w:type="dxa"/>
          </w:tblCellMar>
        </w:tblPrEx>
        <w:trPr>
          <w:trHeight w:val="523"/>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3</w:t>
            </w:r>
          </w:p>
        </w:tc>
        <w:tc>
          <w:tcPr>
            <w:tcW w:w="1620" w:type="dxa"/>
            <w:noWrap w:val="0"/>
            <w:vAlign w:val="center"/>
          </w:tcPr>
          <w:p>
            <w:pPr>
              <w:rPr>
                <w:rFonts w:ascii="宋体" w:eastAsia="宋体" w:hAnsi="宋体" w:cs="宋体" w:hint="eastAsia"/>
                <w:b/>
                <w:sz w:val="21"/>
                <w:szCs w:val="21"/>
              </w:rPr>
            </w:pPr>
            <w:r>
              <w:rPr>
                <w:rFonts w:ascii="宋体" w:eastAsia="宋体" w:hAnsi="宋体" w:cs="宋体" w:hint="eastAsia"/>
                <w:sz w:val="21"/>
                <w:szCs w:val="21"/>
              </w:rPr>
              <w:t>其他</w:t>
            </w:r>
          </w:p>
        </w:tc>
        <w:tc>
          <w:tcPr>
            <w:tcW w:w="5516" w:type="dxa"/>
            <w:noWrap w:val="0"/>
            <w:vAlign w:val="center"/>
          </w:tcPr>
          <w:p>
            <w:pPr>
              <w:rPr>
                <w:rFonts w:ascii="宋体" w:eastAsia="宋体" w:hAnsi="宋体" w:cs="宋体" w:hint="eastAsia"/>
                <w:b/>
                <w:sz w:val="21"/>
                <w:szCs w:val="21"/>
              </w:rPr>
            </w:pPr>
            <w:r>
              <w:rPr>
                <w:rFonts w:ascii="宋体" w:eastAsia="宋体" w:hAnsi="宋体" w:cs="宋体" w:hint="eastAsia"/>
                <w:bCs/>
                <w:sz w:val="21"/>
                <w:szCs w:val="21"/>
              </w:rPr>
              <w:t>投标人中标后，应按其投标文件中的承诺，进行其他售后服务工作。</w:t>
            </w:r>
          </w:p>
        </w:tc>
      </w:tr>
      <w:tr>
        <w:tblPrEx>
          <w:tblW w:w="5000" w:type="pct"/>
          <w:tblInd w:w="108" w:type="dxa"/>
          <w:tblLayout w:type="fixed"/>
          <w:tblCellMar>
            <w:top w:w="0" w:type="dxa"/>
            <w:left w:w="108" w:type="dxa"/>
            <w:bottom w:w="0" w:type="dxa"/>
            <w:right w:w="108" w:type="dxa"/>
          </w:tblCellMar>
        </w:tblPrEx>
        <w:trPr>
          <w:trHeight w:val="280"/>
        </w:trPr>
        <w:tc>
          <w:tcPr>
            <w:tcW w:w="8396"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（二.免费保修期外售后服务要求</w:t>
            </w:r>
          </w:p>
        </w:tc>
      </w:tr>
      <w:tr>
        <w:tblPrEx>
          <w:tblW w:w="5000" w:type="pct"/>
          <w:tblInd w:w="108" w:type="dxa"/>
          <w:tblLayout w:type="fixed"/>
          <w:tblCellMar>
            <w:top w:w="0" w:type="dxa"/>
            <w:left w:w="108" w:type="dxa"/>
            <w:bottom w:w="0" w:type="dxa"/>
            <w:right w:w="108" w:type="dxa"/>
          </w:tblCellMar>
        </w:tblPrEx>
        <w:trPr>
          <w:trHeight w:val="350"/>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noWrap w:val="0"/>
            <w:vAlign w:val="top"/>
          </w:tcPr>
          <w:p>
            <w:pPr>
              <w:rPr>
                <w:rFonts w:ascii="宋体" w:eastAsia="宋体" w:hAnsi="宋体" w:cs="宋体" w:hint="eastAsia"/>
                <w:b/>
                <w:sz w:val="21"/>
                <w:szCs w:val="21"/>
              </w:rPr>
            </w:pPr>
            <w:r>
              <w:rPr>
                <w:rFonts w:ascii="宋体" w:eastAsia="宋体" w:hAnsi="宋体" w:cs="宋体" w:hint="eastAsia"/>
                <w:b/>
                <w:bCs/>
                <w:sz w:val="21"/>
                <w:szCs w:val="21"/>
              </w:rPr>
              <w:t>服务延续保障</w:t>
            </w:r>
          </w:p>
        </w:tc>
        <w:tc>
          <w:tcPr>
            <w:tcW w:w="5516"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要求投标人在保修期届满后，提供不低于保修期内标准的长期稳定售后服务，并保证联系方式长期有效、不中断</w:t>
            </w:r>
          </w:p>
        </w:tc>
      </w:tr>
      <w:tr>
        <w:tblPrEx>
          <w:tblW w:w="5000" w:type="pct"/>
          <w:tblInd w:w="108" w:type="dxa"/>
          <w:tblLayout w:type="fixed"/>
          <w:tblCellMar>
            <w:top w:w="0" w:type="dxa"/>
            <w:left w:w="108" w:type="dxa"/>
            <w:bottom w:w="0" w:type="dxa"/>
            <w:right w:w="108" w:type="dxa"/>
          </w:tblCellMar>
        </w:tblPrEx>
        <w:trPr>
          <w:trHeight w:val="350"/>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620" w:type="dxa"/>
            <w:noWrap w:val="0"/>
            <w:vAlign w:val="top"/>
          </w:tcPr>
          <w:p>
            <w:pPr>
              <w:rPr>
                <w:rFonts w:ascii="宋体" w:eastAsia="宋体" w:hAnsi="宋体" w:cs="宋体" w:hint="eastAsia"/>
                <w:b/>
                <w:sz w:val="21"/>
                <w:szCs w:val="21"/>
              </w:rPr>
            </w:pPr>
            <w:r>
              <w:rPr>
                <w:rFonts w:ascii="宋体" w:eastAsia="宋体" w:hAnsi="宋体" w:cs="宋体" w:hint="eastAsia"/>
                <w:b/>
                <w:bCs/>
                <w:sz w:val="21"/>
                <w:szCs w:val="21"/>
              </w:rPr>
              <w:t>维修响应及故障解决时间</w:t>
            </w:r>
          </w:p>
        </w:tc>
        <w:tc>
          <w:tcPr>
            <w:tcW w:w="5516"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投标人需24小时内响应，同城48小时、异地72小时内到场。</w:t>
            </w:r>
          </w:p>
        </w:tc>
      </w:tr>
      <w:tr>
        <w:tblPrEx>
          <w:tblW w:w="5000" w:type="pct"/>
          <w:tblInd w:w="108" w:type="dxa"/>
          <w:tblLayout w:type="fixed"/>
          <w:tblCellMar>
            <w:top w:w="0" w:type="dxa"/>
            <w:left w:w="108" w:type="dxa"/>
            <w:bottom w:w="0" w:type="dxa"/>
            <w:right w:w="108" w:type="dxa"/>
          </w:tblCellMar>
        </w:tblPrEx>
        <w:trPr>
          <w:trHeight w:val="350"/>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3</w:t>
            </w:r>
          </w:p>
        </w:tc>
        <w:tc>
          <w:tcPr>
            <w:tcW w:w="1620" w:type="dxa"/>
            <w:noWrap w:val="0"/>
            <w:vAlign w:val="top"/>
          </w:tcPr>
          <w:p>
            <w:pPr>
              <w:rPr>
                <w:rFonts w:ascii="宋体" w:eastAsia="宋体" w:hAnsi="宋体" w:cs="宋体" w:hint="eastAsia"/>
                <w:b/>
                <w:sz w:val="21"/>
                <w:szCs w:val="21"/>
              </w:rPr>
            </w:pPr>
            <w:r>
              <w:rPr>
                <w:rFonts w:ascii="宋体" w:eastAsia="宋体" w:hAnsi="宋体" w:cs="宋体" w:hint="eastAsia"/>
                <w:b/>
                <w:bCs/>
                <w:sz w:val="21"/>
                <w:szCs w:val="21"/>
              </w:rPr>
              <w:t>零部件供应保障</w:t>
            </w:r>
          </w:p>
        </w:tc>
        <w:tc>
          <w:tcPr>
            <w:tcW w:w="5516"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规定投标人需在保修期外持续付费提供至少3年原厂合格零部件</w:t>
            </w:r>
          </w:p>
        </w:tc>
      </w:tr>
      <w:tr>
        <w:tblPrEx>
          <w:tblW w:w="5000" w:type="pct"/>
          <w:tblInd w:w="108" w:type="dxa"/>
          <w:tblLayout w:type="fixed"/>
          <w:tblCellMar>
            <w:top w:w="0" w:type="dxa"/>
            <w:left w:w="108" w:type="dxa"/>
            <w:bottom w:w="0" w:type="dxa"/>
            <w:right w:w="108" w:type="dxa"/>
          </w:tblCellMar>
        </w:tblPrEx>
        <w:trPr>
          <w:trHeight w:val="350"/>
        </w:trPr>
        <w:tc>
          <w:tcPr>
            <w:tcW w:w="8396"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（三.其他商务要求</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vMerge w:val="restart"/>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关于交货</w:t>
            </w:r>
          </w:p>
        </w:tc>
        <w:tc>
          <w:tcPr>
            <w:tcW w:w="5516"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1.1</w:t>
            </w:r>
            <w:r>
              <w:rPr>
                <w:rFonts w:ascii="宋体" w:eastAsia="宋体" w:hAnsi="宋体" w:cs="宋体" w:hint="eastAsia"/>
                <w:sz w:val="21"/>
                <w:szCs w:val="21"/>
              </w:rPr>
              <w:t>★</w:t>
            </w:r>
            <w:r>
              <w:rPr>
                <w:rFonts w:ascii="宋体" w:eastAsia="宋体" w:hAnsi="宋体" w:cs="宋体" w:hint="eastAsia"/>
                <w:bCs/>
                <w:sz w:val="21"/>
                <w:szCs w:val="21"/>
              </w:rPr>
              <w:t>签订合同后</w:t>
            </w:r>
            <w:r>
              <w:rPr>
                <w:rFonts w:ascii="宋体" w:eastAsia="宋体" w:hAnsi="宋体" w:cs="宋体" w:hint="eastAsia"/>
                <w:bCs/>
                <w:sz w:val="21"/>
                <w:szCs w:val="21"/>
                <w:u w:val="single"/>
              </w:rPr>
              <w:t xml:space="preserve"> 30 </w:t>
            </w:r>
            <w:r>
              <w:rPr>
                <w:rFonts w:ascii="宋体" w:eastAsia="宋体" w:hAnsi="宋体" w:cs="宋体" w:hint="eastAsia"/>
                <w:bCs/>
                <w:sz w:val="21"/>
                <w:szCs w:val="21"/>
              </w:rPr>
              <w:t>天（日历日.内。</w:t>
            </w:r>
          </w:p>
        </w:tc>
      </w:tr>
      <w:tr>
        <w:tblPrEx>
          <w:tblW w:w="5000" w:type="pct"/>
          <w:tblInd w:w="108" w:type="dxa"/>
          <w:tblLayout w:type="fixed"/>
          <w:tblCellMar>
            <w:top w:w="0" w:type="dxa"/>
            <w:left w:w="108" w:type="dxa"/>
            <w:bottom w:w="0" w:type="dxa"/>
            <w:right w:w="108" w:type="dxa"/>
          </w:tblCellMar>
        </w:tblPrEx>
        <w:trPr>
          <w:trHeight w:val="451"/>
        </w:trPr>
        <w:tc>
          <w:tcPr>
            <w:tcW w:w="1260" w:type="dxa"/>
            <w:vMerge/>
            <w:noWrap w:val="0"/>
            <w:vAlign w:val="center"/>
          </w:tcPr>
          <w:p>
            <w:pPr>
              <w:jc w:val="center"/>
              <w:rPr>
                <w:rFonts w:ascii="宋体" w:eastAsia="宋体" w:hAnsi="宋体" w:cs="宋体" w:hint="eastAsia"/>
                <w:b/>
                <w:sz w:val="21"/>
                <w:szCs w:val="21"/>
              </w:rPr>
            </w:pPr>
          </w:p>
        </w:tc>
        <w:tc>
          <w:tcPr>
            <w:tcW w:w="1620" w:type="dxa"/>
            <w:vMerge/>
            <w:noWrap w:val="0"/>
            <w:vAlign w:val="center"/>
          </w:tcPr>
          <w:p>
            <w:pPr>
              <w:jc w:val="center"/>
              <w:rPr>
                <w:rFonts w:ascii="宋体" w:eastAsia="宋体" w:hAnsi="宋体" w:cs="宋体" w:hint="eastAsia"/>
                <w:sz w:val="21"/>
                <w:szCs w:val="21"/>
              </w:rPr>
            </w:pPr>
          </w:p>
        </w:tc>
        <w:tc>
          <w:tcPr>
            <w:tcW w:w="5516"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1.2投标人中标后，必须承担设备运输、安装调试、验收检测和提供设备操作说明书、图纸等其他类似的义务。</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620" w:type="dxa"/>
            <w:vMerge w:val="restart"/>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关于验收</w:t>
            </w:r>
          </w:p>
        </w:tc>
        <w:tc>
          <w:tcPr>
            <w:tcW w:w="551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2.1投标人中标后，其货物经过双方检验认可后，签署验收报告，产品保修期自验收合格之日起算，由投标人提供产品保修文件。</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
                <w:sz w:val="21"/>
                <w:szCs w:val="21"/>
              </w:rPr>
            </w:pPr>
          </w:p>
        </w:tc>
        <w:tc>
          <w:tcPr>
            <w:tcW w:w="1620" w:type="dxa"/>
            <w:vMerge/>
            <w:noWrap w:val="0"/>
            <w:vAlign w:val="top"/>
          </w:tcPr>
          <w:p>
            <w:pPr>
              <w:rPr>
                <w:rFonts w:ascii="宋体" w:eastAsia="宋体" w:hAnsi="宋体" w:cs="宋体" w:hint="eastAsia"/>
                <w:b/>
                <w:sz w:val="21"/>
                <w:szCs w:val="21"/>
              </w:rPr>
            </w:pPr>
          </w:p>
        </w:tc>
        <w:tc>
          <w:tcPr>
            <w:tcW w:w="551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2.2投标人中标后，当满足以下条件时，采购人才向投标人签发货物验收报告：</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a、投标人已按照合同规定提供了全部产品及完整的技术资料。</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b、货物符合采购文件技术规格书的要求，性能满足要求。</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c、货物具备产品合格证。</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3</w:t>
            </w:r>
          </w:p>
        </w:tc>
        <w:tc>
          <w:tcPr>
            <w:tcW w:w="1620"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违约责任</w:t>
            </w:r>
          </w:p>
        </w:tc>
        <w:tc>
          <w:tcPr>
            <w:tcW w:w="551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sz w:val="21"/>
                <w:szCs w:val="21"/>
              </w:rPr>
              <w:t>3.1如</w:t>
            </w:r>
            <w:r>
              <w:rPr>
                <w:rFonts w:ascii="宋体" w:eastAsia="宋体" w:hAnsi="宋体" w:cs="宋体" w:hint="eastAsia"/>
                <w:bCs/>
                <w:sz w:val="21"/>
                <w:szCs w:val="21"/>
              </w:rPr>
              <w:t>投标人中标后</w:t>
            </w:r>
            <w:r>
              <w:rPr>
                <w:rFonts w:ascii="宋体" w:eastAsia="宋体" w:hAnsi="宋体" w:cs="宋体" w:hint="eastAsia"/>
                <w:sz w:val="21"/>
                <w:szCs w:val="21"/>
              </w:rPr>
              <w:t>未按照投标文件中承诺的时间交货或提供服务，</w:t>
            </w:r>
            <w:r>
              <w:rPr>
                <w:rFonts w:ascii="宋体" w:eastAsia="宋体" w:hAnsi="宋体" w:cs="宋体" w:hint="eastAsia"/>
                <w:bCs/>
                <w:sz w:val="21"/>
                <w:szCs w:val="21"/>
              </w:rPr>
              <w:t>投标人</w:t>
            </w:r>
            <w:r>
              <w:rPr>
                <w:rFonts w:ascii="宋体" w:eastAsia="宋体" w:hAnsi="宋体" w:cs="宋体" w:hint="eastAsia"/>
                <w:sz w:val="21"/>
                <w:szCs w:val="21"/>
              </w:rPr>
              <w:t>应承担延期交货和延期服务的违约责任，并赔偿采购人因此造成的实际经济损失，采购人有权终止合同。</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center"/>
          </w:tcPr>
          <w:p>
            <w:pPr>
              <w:jc w:val="center"/>
              <w:rPr>
                <w:rFonts w:ascii="宋体" w:eastAsia="宋体" w:hAnsi="宋体" w:cs="宋体" w:hint="eastAsia"/>
                <w:bCs/>
                <w:sz w:val="21"/>
                <w:szCs w:val="21"/>
              </w:rPr>
            </w:pPr>
          </w:p>
        </w:tc>
        <w:tc>
          <w:tcPr>
            <w:tcW w:w="551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 xml:space="preserve">3.2投标人中标后所交设备的品种、型号、规格、质量、功能、技术参数等方面不能实质性满足采购文件要求的，采购人有权拒绝收货，投标人向采购人偿付项目采购金额【10】% （10%以上20%以下.的违约金并采取更换、补足等补救措施，致使逾期交付的，还应承担逾期交付的违约责任。 </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center"/>
          </w:tcPr>
          <w:p>
            <w:pPr>
              <w:jc w:val="center"/>
              <w:rPr>
                <w:rFonts w:ascii="宋体" w:eastAsia="宋体" w:hAnsi="宋体" w:cs="宋体" w:hint="eastAsia"/>
                <w:bCs/>
                <w:sz w:val="21"/>
                <w:szCs w:val="21"/>
              </w:rPr>
            </w:pPr>
          </w:p>
        </w:tc>
        <w:tc>
          <w:tcPr>
            <w:tcW w:w="551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3.3投标人中标后不能交付设备的，投标人向采购人偿付项目采购金额【10】%（10%以上20%以下.的违约金。</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top"/>
          </w:tcPr>
          <w:p>
            <w:pPr>
              <w:rPr>
                <w:rFonts w:ascii="宋体" w:eastAsia="宋体" w:hAnsi="宋体" w:cs="宋体" w:hint="eastAsia"/>
                <w:bCs/>
                <w:sz w:val="21"/>
                <w:szCs w:val="21"/>
              </w:rPr>
            </w:pPr>
          </w:p>
        </w:tc>
        <w:tc>
          <w:tcPr>
            <w:tcW w:w="551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3.4投标人中标后逾期交付货物的，每逾期1天，投标人向采购人偿付项目采购金额的【1】‰（1‰以上5‰以下.的违约金。如投标人逾期交货达</w:t>
            </w:r>
            <w:r>
              <w:rPr>
                <w:rFonts w:ascii="宋体" w:eastAsia="宋体" w:hAnsi="宋体" w:cs="宋体" w:hint="eastAsia"/>
                <w:bCs/>
                <w:sz w:val="21"/>
                <w:szCs w:val="21"/>
                <w:u w:val="single"/>
              </w:rPr>
              <w:t xml:space="preserve">  30 </w:t>
            </w:r>
            <w:r>
              <w:rPr>
                <w:rFonts w:ascii="宋体" w:eastAsia="宋体" w:hAnsi="宋体" w:cs="宋体" w:hint="eastAsia"/>
                <w:bCs/>
                <w:sz w:val="21"/>
                <w:szCs w:val="21"/>
              </w:rPr>
              <w:t>天，采购人有权解除合同。</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top"/>
          </w:tcPr>
          <w:p>
            <w:pPr>
              <w:rPr>
                <w:rFonts w:ascii="宋体" w:eastAsia="宋体" w:hAnsi="宋体" w:cs="宋体" w:hint="eastAsia"/>
                <w:bCs/>
                <w:sz w:val="21"/>
                <w:szCs w:val="21"/>
              </w:rPr>
            </w:pPr>
          </w:p>
        </w:tc>
        <w:tc>
          <w:tcPr>
            <w:tcW w:w="5516"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3.5投标人中标后，在其承诺的或国家规定的质量保证期内（取两者中最长的期限.，如经投标人两次维修或更换，货物仍不能达到采购文件要求及投标文件承诺的质量标准，采购人有权退货，投标人应退回全部货款并赔偿采购人因此遭受的损失。</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top"/>
          </w:tcPr>
          <w:p>
            <w:pPr>
              <w:rPr>
                <w:rFonts w:ascii="宋体" w:eastAsia="宋体" w:hAnsi="宋体" w:cs="宋体" w:hint="eastAsia"/>
                <w:bCs/>
                <w:sz w:val="21"/>
                <w:szCs w:val="21"/>
              </w:rPr>
            </w:pPr>
          </w:p>
        </w:tc>
        <w:tc>
          <w:tcPr>
            <w:tcW w:w="5516"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3.6投标人中标后在承担上述一项或多项违约责任后，仍应继续履行合同规定的义务（采购人解除合同的除外.。采购人未能及时追究投标人的任何一项违约责任并不表明采购人放弃追究投标人该项或其他违约责任。</w:t>
            </w:r>
          </w:p>
        </w:tc>
      </w:tr>
      <w:tr>
        <w:tblPrEx>
          <w:tblW w:w="5000" w:type="pct"/>
          <w:tblInd w:w="108" w:type="dxa"/>
          <w:tblLayout w:type="fixed"/>
          <w:tblCellMar>
            <w:top w:w="0" w:type="dxa"/>
            <w:left w:w="108" w:type="dxa"/>
            <w:bottom w:w="0" w:type="dxa"/>
            <w:right w:w="108" w:type="dxa"/>
          </w:tblCellMar>
        </w:tblPrEx>
        <w:trPr>
          <w:trHeight w:val="350"/>
        </w:trPr>
        <w:tc>
          <w:tcPr>
            <w:tcW w:w="1260"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4</w:t>
            </w:r>
          </w:p>
        </w:tc>
        <w:tc>
          <w:tcPr>
            <w:tcW w:w="1620"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其他</w:t>
            </w:r>
          </w:p>
        </w:tc>
        <w:tc>
          <w:tcPr>
            <w:tcW w:w="5516"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投标人中标后应按其投标文件中的承诺，进行其他售后服务工作。</w:t>
            </w:r>
          </w:p>
        </w:tc>
      </w:tr>
    </w:tbl>
    <w:p>
      <w:pPr>
        <w:widowControl w:val="0"/>
        <w:ind w:firstLine="420" w:firstLineChars="200"/>
        <w:jc w:val="both"/>
        <w:rPr>
          <w:rFonts w:ascii="Calibri" w:eastAsia="宋体" w:hAnsi="Calibri"/>
          <w:b/>
          <w:kern w:val="2"/>
          <w:sz w:val="21"/>
          <w:szCs w:val="21"/>
          <w:lang w:eastAsia="zh-CN"/>
        </w:rPr>
      </w:pPr>
    </w:p>
    <w:p>
      <w:pPr>
        <w:keepNext/>
        <w:keepLines/>
        <w:widowControl w:val="0"/>
        <w:tabs>
          <w:tab w:val="left" w:pos="1680"/>
        </w:tabs>
        <w:spacing w:before="260" w:after="60"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五、技术要求</w:t>
      </w:r>
    </w:p>
    <w:p>
      <w:pPr>
        <w:widowControl w:val="0"/>
        <w:jc w:val="both"/>
        <w:rPr>
          <w:rFonts w:ascii="Calibri" w:eastAsia="宋体" w:hAnsi="Calibri"/>
          <w:b/>
          <w:color w:val="000000"/>
          <w:kern w:val="2"/>
          <w:sz w:val="21"/>
          <w:szCs w:val="21"/>
          <w:lang w:eastAsia="zh-CN"/>
        </w:rPr>
      </w:pPr>
      <w:r>
        <w:rPr>
          <w:rFonts w:ascii="Calibri" w:eastAsia="宋体" w:hAnsi="Calibri" w:cstheme="minorBidi" w:hint="eastAsia"/>
          <w:b/>
          <w:color w:val="000000"/>
          <w:kern w:val="2"/>
          <w:sz w:val="21"/>
          <w:szCs w:val="21"/>
          <w:lang w:eastAsia="zh-CN"/>
        </w:rPr>
        <w:t>说明：</w:t>
      </w:r>
    </w:p>
    <w:p>
      <w:pPr>
        <w:widowControl w:val="0"/>
        <w:ind w:firstLine="420" w:firstLineChars="20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w:t>
      </w:r>
      <w:r>
        <w:rPr>
          <w:rFonts w:ascii="宋体" w:eastAsia="宋体" w:hAnsi="宋体" w:cs="宋体" w:hint="eastAsia"/>
          <w:bCs/>
          <w:kern w:val="2"/>
          <w:sz w:val="21"/>
          <w:szCs w:val="22"/>
          <w:lang w:eastAsia="zh-CN"/>
        </w:rPr>
        <w:t>评分时，以每一划分框为一项扣分项。</w:t>
      </w:r>
    </w:p>
    <w:p>
      <w:pPr>
        <w:widowControl w:val="0"/>
        <w:spacing w:line="360" w:lineRule="auto"/>
        <w:ind w:firstLine="420" w:firstLineChars="200"/>
        <w:jc w:val="both"/>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tbl>
      <w:tblPr>
        <w:tblStyle w:val="TableNormal"/>
        <w:tblpPr w:leftFromText="180" w:rightFromText="180" w:vertAnchor="text" w:horzAnchor="page" w:tblpX="2069" w:tblpY="410"/>
        <w:tblOverlap w:val="neve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28"/>
        <w:gridCol w:w="1018"/>
        <w:gridCol w:w="7110"/>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710" w:type="dxa"/>
            <w:noWrap w:val="0"/>
            <w:vAlign w:val="center"/>
          </w:tcPr>
          <w:p>
            <w:pPr>
              <w:widowControl/>
              <w:kinsoku w:val="0"/>
              <w:autoSpaceDE w:val="0"/>
              <w:autoSpaceDN w:val="0"/>
              <w:adjustRightInd w:val="0"/>
              <w:snapToGrid w:val="0"/>
              <w:spacing w:after="160" w:line="278" w:lineRule="auto"/>
              <w:jc w:val="center"/>
              <w:textAlignment w:val="baseline"/>
              <w:rPr>
                <w:rFonts w:ascii="宋体" w:eastAsia="宋体" w:hAnsi="宋体" w:cs="宋体" w:hint="eastAsia"/>
                <w:b/>
                <w:bCs/>
                <w:snapToGrid w:val="0"/>
                <w:color w:val="000000"/>
                <w:position w:val="1"/>
                <w:sz w:val="21"/>
                <w:szCs w:val="21"/>
                <w:lang w:eastAsia="zh-CN"/>
              </w:rPr>
            </w:pPr>
            <w:r>
              <w:rPr>
                <w:rFonts w:ascii="宋体" w:eastAsia="宋体" w:hAnsi="宋体" w:cs="宋体" w:hint="eastAsia"/>
                <w:b/>
                <w:bCs/>
                <w:snapToGrid w:val="0"/>
                <w:color w:val="000000"/>
                <w:position w:val="1"/>
                <w:sz w:val="21"/>
                <w:szCs w:val="21"/>
                <w:lang w:eastAsia="zh-CN"/>
              </w:rPr>
              <w:t>序号</w:t>
            </w:r>
          </w:p>
        </w:tc>
        <w:tc>
          <w:tcPr>
            <w:tcW w:w="992" w:type="dxa"/>
            <w:noWrap w:val="0"/>
            <w:vAlign w:val="center"/>
          </w:tcPr>
          <w:p>
            <w:pPr>
              <w:spacing w:line="360" w:lineRule="auto"/>
              <w:rPr>
                <w:rFonts w:ascii="宋体" w:eastAsia="宋体" w:hAnsi="宋体" w:cs="宋体" w:hint="eastAsia"/>
                <w:b/>
                <w:bCs/>
                <w:spacing w:val="-4"/>
                <w:sz w:val="21"/>
                <w:szCs w:val="21"/>
              </w:rPr>
            </w:pPr>
            <w:r>
              <w:rPr>
                <w:rFonts w:ascii="宋体" w:eastAsia="宋体" w:hAnsi="宋体" w:cs="宋体" w:hint="eastAsia"/>
                <w:b/>
                <w:bCs/>
                <w:spacing w:val="-4"/>
                <w:sz w:val="21"/>
                <w:szCs w:val="21"/>
              </w:rPr>
              <w:t>设备名称</w:t>
            </w:r>
          </w:p>
        </w:tc>
        <w:tc>
          <w:tcPr>
            <w:tcW w:w="6932" w:type="dxa"/>
            <w:noWrap w:val="0"/>
            <w:vAlign w:val="top"/>
          </w:tcPr>
          <w:p>
            <w:pPr>
              <w:spacing w:line="360" w:lineRule="auto"/>
              <w:jc w:val="center"/>
              <w:rPr>
                <w:rFonts w:ascii="宋体" w:eastAsia="宋体" w:hAnsi="宋体" w:cs="宋体" w:hint="eastAsia"/>
                <w:b/>
                <w:bCs/>
                <w:spacing w:val="-4"/>
                <w:sz w:val="21"/>
                <w:szCs w:val="21"/>
              </w:rPr>
            </w:pPr>
            <w:r>
              <w:rPr>
                <w:rFonts w:ascii="宋体" w:eastAsia="宋体" w:hAnsi="宋体" w:cs="宋体" w:hint="eastAsia"/>
                <w:b/>
                <w:bCs/>
                <w:spacing w:val="-4"/>
                <w:sz w:val="21"/>
                <w:szCs w:val="21"/>
              </w:rPr>
              <w:t>参数</w:t>
            </w:r>
          </w:p>
        </w:tc>
      </w:tr>
      <w:tr>
        <w:tblPrEx>
          <w:tblW w:w="5000" w:type="pct"/>
          <w:tblInd w:w="0" w:type="dxa"/>
          <w:tblLayout w:type="fixed"/>
          <w:tblCellMar>
            <w:top w:w="0" w:type="dxa"/>
            <w:left w:w="108" w:type="dxa"/>
            <w:bottom w:w="0" w:type="dxa"/>
            <w:right w:w="108" w:type="dxa"/>
          </w:tblCellMar>
        </w:tblPrEx>
        <w:trPr>
          <w:trHeight w:val="155"/>
        </w:trPr>
        <w:tc>
          <w:tcPr>
            <w:tcW w:w="710" w:type="dxa"/>
            <w:vMerge w:val="restart"/>
            <w:noWrap w:val="0"/>
            <w:vAlign w:val="center"/>
          </w:tcPr>
          <w:p>
            <w:pPr>
              <w:widowControl/>
              <w:kinsoku w:val="0"/>
              <w:autoSpaceDE w:val="0"/>
              <w:autoSpaceDN w:val="0"/>
              <w:adjustRightInd w:val="0"/>
              <w:snapToGrid w:val="0"/>
              <w:spacing w:after="160" w:line="278" w:lineRule="auto"/>
              <w:jc w:val="center"/>
              <w:textAlignment w:val="baseline"/>
              <w:rPr>
                <w:rFonts w:ascii="宋体" w:eastAsia="宋体" w:hAnsi="宋体" w:cs="宋体" w:hint="eastAsia"/>
                <w:b/>
                <w:bCs/>
                <w:snapToGrid w:val="0"/>
                <w:color w:val="000000"/>
                <w:position w:val="1"/>
                <w:sz w:val="21"/>
                <w:szCs w:val="21"/>
                <w:lang w:eastAsia="zh-CN"/>
              </w:rPr>
            </w:pPr>
            <w:r>
              <w:rPr>
                <w:rFonts w:ascii="宋体" w:eastAsia="宋体" w:hAnsi="宋体" w:cs="宋体" w:hint="eastAsia"/>
                <w:b/>
                <w:bCs/>
                <w:snapToGrid w:val="0"/>
                <w:color w:val="000000"/>
                <w:position w:val="1"/>
                <w:sz w:val="21"/>
                <w:szCs w:val="21"/>
                <w:lang w:eastAsia="zh-CN"/>
              </w:rPr>
              <w:t>1</w:t>
            </w:r>
          </w:p>
        </w:tc>
        <w:tc>
          <w:tcPr>
            <w:tcW w:w="992" w:type="dxa"/>
            <w:vMerge w:val="restart"/>
            <w:noWrap w:val="0"/>
            <w:vAlign w:val="center"/>
          </w:tcPr>
          <w:p>
            <w:pPr>
              <w:widowControl/>
              <w:spacing w:line="360" w:lineRule="auto"/>
              <w:rPr>
                <w:rFonts w:ascii="宋体" w:eastAsia="宋体" w:hAnsi="宋体" w:cs="宋体" w:hint="eastAsia"/>
                <w:b/>
                <w:bCs/>
                <w:sz w:val="21"/>
                <w:szCs w:val="21"/>
              </w:rPr>
            </w:pPr>
            <w:r>
              <w:rPr>
                <w:rFonts w:ascii="宋体" w:eastAsia="宋体" w:hAnsi="宋体" w:cs="宋体" w:hint="eastAsia"/>
                <w:b/>
                <w:bCs/>
                <w:spacing w:val="-4"/>
                <w:sz w:val="21"/>
                <w:szCs w:val="21"/>
              </w:rPr>
              <w:t>分布式操作系统应用开发综合实践平台</w:t>
            </w: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分布式操作系统应用开发综合实践平台采用虚拟仿真与实物交互的设计，内置18寸或以上触摸屏，可以在触摸屏上模拟出多个分布式操作系统行业应用场景。每个场景对应的虚拟设备在实践平台内均有对应的实物连接端子，端子通过外接各类开发板，连接对应IO实现硬件设备对虚拟仿真场景的状态采集和虚拟设备控制，使学生可以在实践平台内，接触到各类典型分布式操作系统场景的应用开发需求，并可以身临其境地做各种行业应用开发。</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sz w:val="21"/>
                <w:szCs w:val="21"/>
              </w:rPr>
            </w:pPr>
          </w:p>
        </w:tc>
        <w:tc>
          <w:tcPr>
            <w:tcW w:w="992" w:type="dxa"/>
            <w:vMerge/>
            <w:noWrap w:val="0"/>
            <w:vAlign w:val="center"/>
          </w:tcPr>
          <w:p>
            <w:pPr>
              <w:ind w:firstLine="420"/>
              <w:rPr>
                <w:rFonts w:ascii="宋体" w:eastAsia="宋体" w:hAnsi="宋体" w:cs="宋体" w:hint="eastAsia"/>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一、实践平台主体</w:t>
            </w:r>
          </w:p>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1.1、供电电压：AC220v；</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1.2、尺寸：不小于550x380x180mm</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1.3、▲采用翻盖式的设计，上方固定安装18寸或以上仿真触摸屏，下方固定虚实交互IO控制板和不少于8个磁吸底座，每个磁吸底座至少包含10路顶针，可以作为磁吸的IO顶针，可以吸仿真开发控制板模块，下方并内嵌≥7寸分布式操作系统触摸屏，可以开发分布式操作系统应用实现对各个仿真场景的控制；</w:t>
            </w:r>
            <w:r>
              <w:rPr>
                <w:rFonts w:ascii="宋体" w:eastAsia="宋体" w:hAnsi="宋体" w:cs="宋体" w:hint="eastAsia"/>
                <w:b/>
                <w:color w:val="000000"/>
                <w:sz w:val="21"/>
                <w:szCs w:val="21"/>
              </w:rPr>
              <w:t>（投标时提供设备实物图）</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二、虚实交互IO控制板</w:t>
            </w:r>
          </w:p>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2.1、支持2x30pin排针接口不少于60个引脚，可以支持≥56个引脚或以上的IO模拟；</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2.2、▲支持</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26路IO采集和</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30路IO输出，可以满足各个仿真场景的IO需求，每路仿真IO均自带光耦隔离，支持源型接法和漏型接法，可以兼容各种控制板，各路IO支持3.3v、5v、12v、24v等各种电平连接；</w:t>
            </w:r>
            <w:r>
              <w:rPr>
                <w:rFonts w:ascii="宋体" w:eastAsia="宋体" w:hAnsi="宋体" w:cs="宋体" w:hint="eastAsia"/>
                <w:b/>
                <w:color w:val="000000"/>
                <w:sz w:val="21"/>
                <w:szCs w:val="21"/>
              </w:rPr>
              <w:t>（投标时提供产品实物照片佐证）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2.3、▲每路IO均带有排线针脚、纯铜香蕉座和LED指示灯，可以清楚地了解到仿真场景的IO状态，当仿真状态变化，面板上可以看到对应的指示灯变化，可通过杜邦线和香蕉线手动联线测试控制效果；</w:t>
            </w:r>
            <w:r>
              <w:rPr>
                <w:rFonts w:ascii="宋体" w:eastAsia="宋体" w:hAnsi="宋体" w:cs="宋体" w:hint="eastAsia"/>
                <w:b/>
                <w:color w:val="000000"/>
                <w:sz w:val="21"/>
                <w:szCs w:val="21"/>
              </w:rPr>
              <w:t>（投标时提供产品实物照片佐证）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2.4、为保障设备的稳定性，LED采用内嵌式设计，外加亚克力面板；快速高效实现IO状态交互，当IO状态变化对应的仿真界面同步变化时间需&lt;10ms，以满足各类仿真场景的快速同步响应需求;</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三、仿真触摸屏</w:t>
            </w:r>
          </w:p>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3.1、屏幕尺寸：18英寸或以上；</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3.2、分辨率：不小于1920x1080；</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3.3、触摸方式：电容式触摸；</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3.4、处理器：四核≥64位处理器主频≥1.8Ghz；</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3.5、存储空间：</w:t>
            </w:r>
            <w:r>
              <w:rPr>
                <w:rFonts w:ascii="宋体" w:eastAsia="宋体" w:hAnsi="宋体" w:cs="宋体" w:hint="eastAsia"/>
                <w:b/>
                <w:bCs/>
                <w:color w:val="000000"/>
                <w:sz w:val="21"/>
                <w:szCs w:val="21"/>
              </w:rPr>
              <w:t>≥</w:t>
            </w:r>
            <w:r>
              <w:rPr>
                <w:rFonts w:ascii="宋体" w:eastAsia="宋体" w:hAnsi="宋体" w:cs="宋体" w:hint="eastAsia"/>
                <w:bCs/>
                <w:color w:val="000000"/>
                <w:sz w:val="21"/>
                <w:szCs w:val="21"/>
              </w:rPr>
              <w:t>32GB；</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3.6、内存：</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2GB；</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3.7、内嵌入离线运行多场景行业仿真系统，并通过连接虚实交互IO控制器，实现虚实仿真交互的重要角色；</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3.8、支持</w:t>
            </w:r>
            <w:r>
              <w:rPr>
                <w:rFonts w:ascii="宋体" w:eastAsia="宋体" w:hAnsi="宋体" w:cs="宋体" w:hint="eastAsia"/>
                <w:b/>
                <w:bCs/>
                <w:color w:val="000000"/>
                <w:sz w:val="21"/>
                <w:szCs w:val="21"/>
              </w:rPr>
              <w:t>≥</w:t>
            </w:r>
            <w:r>
              <w:rPr>
                <w:rFonts w:ascii="宋体" w:eastAsia="宋体" w:hAnsi="宋体" w:cs="宋体" w:hint="eastAsia"/>
                <w:bCs/>
                <w:color w:val="000000"/>
                <w:sz w:val="21"/>
                <w:szCs w:val="21"/>
              </w:rPr>
              <w:t>15种智能交互控制场景，包括智能交通、物料搬运、洗衣液制作、快递分拣、智能洗衣机、水塔供水、隧道风机、智能广告彩灯、自动售货机、工位呼叫、垂直电梯、自动扶梯、LED数码管显示、自动送料小车、电机运行系统控制。</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四、分布式操作系统控制板</w:t>
            </w:r>
          </w:p>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4.1、CPU：四核</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64位Cortex-A55处理器，主频最高1.8GHZ</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4.2、GPU：Mali-G521-Core-2EE</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4.3、支持openGLES1.1/2.0/3.2，0penCL2.0，Vulkan1.1</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4.4、内嵌高性能2D加速硬件</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4.5、NPU：神经网络加速引擎，处理性能高达1个TOPS</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4.6、支持INT8/INT16/FP16/BFP16MAC混合操作</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4.7、支持深度学习框架TensorFlow，TF-lite，Pytorch，Caffe，ONNX，MXNet，Keras，Darknet等模型</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4.8、VPU：</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4.8.1、支持</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4K60fpsH.264/H.265/VP9视频解码</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4.8.2、支持</w:t>
            </w:r>
            <w:r>
              <w:rPr>
                <w:rFonts w:ascii="宋体" w:eastAsia="宋体" w:hAnsi="宋体" w:cs="宋体" w:hint="eastAsia"/>
                <w:b/>
                <w:bCs/>
                <w:color w:val="000000"/>
                <w:sz w:val="21"/>
                <w:szCs w:val="21"/>
              </w:rPr>
              <w:t>≥</w:t>
            </w:r>
            <w:r>
              <w:rPr>
                <w:rFonts w:ascii="宋体" w:eastAsia="宋体" w:hAnsi="宋体" w:cs="宋体" w:hint="eastAsia"/>
                <w:bCs/>
                <w:color w:val="000000"/>
                <w:sz w:val="21"/>
                <w:szCs w:val="21"/>
              </w:rPr>
              <w:t>1080P100fpsH.264/H.265视频编码</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4.8.3、支持8MISP</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4.8.4、内存+存储(Ram+Rom)：</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4.8.5、内存+存储为LPDDR4/LPDDR4X+EMMC组合</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4.9、显示接口：</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4.9.1、支持双屏同显</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4.9.2、1xHDMI2.0，支持≥4K@60fps输出</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4.9.3、1xMIPI_DSI_TX，支持</w:t>
            </w:r>
            <w:r>
              <w:rPr>
                <w:rFonts w:ascii="宋体" w:eastAsia="宋体" w:hAnsi="宋体" w:cs="宋体" w:hint="eastAsia"/>
                <w:b/>
                <w:bCs/>
                <w:color w:val="000000"/>
                <w:sz w:val="21"/>
                <w:szCs w:val="21"/>
              </w:rPr>
              <w:t>≥</w:t>
            </w:r>
            <w:r>
              <w:rPr>
                <w:rFonts w:ascii="宋体" w:eastAsia="宋体" w:hAnsi="宋体" w:cs="宋体" w:hint="eastAsia"/>
                <w:bCs/>
                <w:color w:val="000000"/>
                <w:sz w:val="21"/>
                <w:szCs w:val="21"/>
              </w:rPr>
              <w:t>1920*1080@60fps输出</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4.10、摄像头:1xHDMI2MIPICS摄像头接口，支持单4-Lane13MSensor</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4.11、音频接口:</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4.11.1、1xHDMI音频输出</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4.11.2、1x耳机MIC音频输入</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4.11.2、1x耳机音频输出</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4.12、扩展接口</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4.12.1、1xUSB3.0HOST(标准TYPE-A母座)</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4.12.2、3xUSB2.0HOST(标准TYPE-A母座)</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4.12.3、1xUSB2.0device(标准TYPE-C母座)</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4.12.4、1xDebug_UART(UART2)</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4.12.5、1xSPI、1xI2C、3xUART、1xTP座(12C)</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五、分布式操作系统触摸屏</w:t>
            </w:r>
          </w:p>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5.1、显示尺寸：</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7寸MIPI屏含TP总成(</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800x1280)</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5.2、触摸方式：电容式触摸；</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5.3、可以运行各种应用，并支持分布式操作系统开发实验；</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六、仿真开发控制板4个</w:t>
            </w:r>
          </w:p>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6.1、主控芯片：Hi3861V100</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6.2、CPU主频：160MHz</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6.3、WIFI制式：IEEE802.11b/g/n</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6.4、存储信息：SRAM352KB、ROM288KB2MFlash</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6.5、▲支持IO扩展，支持</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56路扩展IO输出，采用排座方式设计，方便多IO的批量连接测试（配套60p排线一根）</w:t>
            </w:r>
            <w:r>
              <w:rPr>
                <w:rFonts w:ascii="宋体" w:eastAsia="宋体" w:hAnsi="宋体" w:cs="宋体" w:hint="eastAsia"/>
                <w:b/>
                <w:color w:val="000000"/>
                <w:sz w:val="21"/>
                <w:szCs w:val="21"/>
              </w:rPr>
              <w:t>（投标时提供仿真开发控制板实物图，可以看清</w:t>
            </w:r>
            <w:r>
              <w:rPr>
                <w:rFonts w:ascii="宋体" w:eastAsia="宋体" w:hAnsi="宋体" w:cs="宋体" w:hint="eastAsia"/>
                <w:b/>
                <w:color w:val="000000"/>
                <w:sz w:val="21"/>
                <w:szCs w:val="21"/>
                <w:lang w:val="en"/>
              </w:rPr>
              <w:t>≥</w:t>
            </w:r>
            <w:r>
              <w:rPr>
                <w:rFonts w:ascii="宋体" w:eastAsia="宋体" w:hAnsi="宋体" w:cs="宋体" w:hint="eastAsia"/>
                <w:b/>
                <w:color w:val="000000"/>
                <w:sz w:val="21"/>
                <w:szCs w:val="21"/>
              </w:rPr>
              <w:t>60路扩展IO输出效果）</w:t>
            </w:r>
            <w:r>
              <w:rPr>
                <w:rFonts w:ascii="宋体" w:eastAsia="宋体" w:hAnsi="宋体" w:cs="宋体" w:hint="eastAsia"/>
                <w:bCs/>
                <w:color w:val="000000"/>
                <w:sz w:val="21"/>
                <w:szCs w:val="21"/>
              </w:rPr>
              <w:t>；</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七、分布式操作系统多场景行业仿真系统</w:t>
            </w:r>
          </w:p>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7.1、任务1智能交通系统仿真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7.1.1、采用3D仿真某十字路口红绿灯及数码管倒计时场景，包含东西向和南北向红绿灯，控制虚实交互IO控制器端口IO实现对仿真平台的控制。支持红绿黄灯的切换控制和倒计时数码管的驱动控制。可进行交通灯多种逻辑的编程控制。车辆行人依信号通行，支持三种工作模式：</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7.1.2、在线自动模式：由实物控制板控制仿真页面，有启动、停止等按钮，信号可传递到STM32开发板，可以通STM32开发板编写代码可以仿真页面红绿灯状态变化；</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7.1.3、在线手动模式：硬件控动画，含各方向红黄绿及人行道灯手动按钮；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7.1.4、离线仿真模式：启动后3D画面自动按东西通行</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30S→黄灯闪5S→南北通行</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30S循环，可暂停、停止复位。</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7.2、任务2物料搬运系统仿真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7.2.1、用仿3D的界面实现物料搬运系统仿真，包含伸缩气缸、升降气缸、和夹爪气缸，可以实现物料的搬运，由控制虚实交互IO控制板端口IO实现对仿真页面的控制，气缸的前后限位和夹爪有传感器。</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7.2.2、在线自动模式：任务场景中的动画由实物控制板编程仿真，当前模式功能按钮操作区有回原点、单步、单周期、连续运行、启动、停止等操作按钮；对应的按钮信号可以发送给信号交互模块。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7.2.3、在线手动模式：任务场景中的动画由硬件仿真，当前模式功能按钮操作区有机械手上升手动、机械手下降手动、机械手左移手动、机械手右移手动、机械手夹紧、机械手松开等手动按钮。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7.2.4、离线仿真模式：按下启动可以实现机械手将工件从左边上料接料座搬到右边的入库接料座；按下暂停按钮时，运行暂时停止，再次按下启动按钮时，机械手可以机械前面的运行；按下停止按钮，机械手停止运行，恢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7.3、任务3 洗衣液制作装置仿真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7.3.1、洗衣液制作装置是一种常见的行业应用场景，系统采用3D仿真把母料、香精等加入水中搅拌制作而成的液体混合装置，混合装置有上限位（液位3)、中限位（液位2)、下限位（液位1)限位传感器和底部限位传感器，底部限位传感器被液体淹没时为ON，水(A液)、母料(B液)、香精(C液）流入阀门与混合液流出阀门由电磁阀YV3、YV2、YV1、YV4仿真，搅匀电动机，每路限位传感器和电磁阀均有对应的硬件IO口对应。</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7.3.2、初始状态：装置投入运行时，水、母料、香精等流入阀门关闭，混合液流出阀门打开，液面低于底部限位传感器后，容器放空，流出阀门关闭。</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7.3.3、在线自动模式：任务场景中的动画编程仿真，当前模式功能按钮操作区有启动，停止等操作按钮；对应的按钮信号可以发送给开发板或者信号交互模块。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7.3.4、在线手动模式：任务场景中的动画由硬件仿真，当前模式功能按钮操作区有液体A阀门手动按钮，液体B阀门手动按钮，成品液阀门手动按钮，液体加热手动按钮，搅拌电机手动按钮。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7.3.5、离线仿真模式：按下启动按钮可以完成以下的操作，水液体A阀门打开，水流入容器，下限位开关为ON时，关闭水液体A阀门，打开母料液体B阀门；中限位开关为ON时，关闭母料液体B阀门，打开香精液体C阀门；上限位开关为ON时，关闭香精液体C阀门，搅匀电动机开始搅拌。搅匀电动机工作，同时加热混合液体，</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10s后停止，成品液阀门打开，开始放出混合液体。当液面下降到底限位开关OFF时，容器放空，混合液阀门关闭，开始下一周期。按下暂停，保持当前状态暂时停止运行，再次按下启动继续运行，按下停止，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7.4、任务4快递分拣系统仿真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7.4.1、快递分拣系统通过类3D界面仿真入站安检扫码单元和物料传送输送带和4个地区的分拣位，快递包裹经过扫码区域时，扫码器识别到包裹上面的条形码，由硬件控制板编程程序仿真，将包裹输送到对应的分拣位进行快递物料分拣。4个分拣位分别为：北京100000、上海200000、广州510000、深圳518000；每个分拣位由摆轮分拣机构进行分拣；每个分拣位前端有一个物料检测传感器，用于检测物料到达。</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7.4.2、在线自动模式：任务场景中的动画由开发编程仿真，当前模式功能按钮操作区有启动、停止等操作按钮，同时有北京包裹、上海包裹、广州包裹、深圳包裹等操作按钮；对应的按钮信号可以发送给开发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7.4.3、在线手动模式：任务场景中的动画由硬件仿真，当前模式功能按钮操作区有北京摆轮手动按钮，上海摆轮手动按钮，广州摆轮手动按钮，深圳摆轮手动按钮，主输送带运行手动按钮。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7.4.4、离线仿真模式：当前模式功能按钮操作区有启动、暂停、停止和北京包裹、上海包裹、广州包裹、深圳包裹；其仿真时进行以下操作，按下启动按钮并按下北京、上海、广州、深圳包裹得任意一个按钮，包裹可以输送到对应包裹分拣位进行分拣；按下暂停，保持当前状态暂时停止运行，再次按下启动继续运行，按下停止，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7.5、任务5 智能自动洗衣机仿真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7.5.1、系统通过类3D画面虚拟仿真一个滚筒式洗衣机，用户可以进行操作洗衣机的洗涤和脱水仿真程序编写；可以通过模式切换旋钮进行切换洗涤模式和脱水模式，设有启动、暂停和停止按钮，可以点击按钮操作，洗衣机的数码管可以显示洗涤和脱水的分钟倒计时。</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7.5.2、洗涤过程：波轮正转</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10s，停</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2s，再反转</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5秒，停</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2s，重复以上的操作。</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7.5.3、脱水过程：波轮正转加速，直至完成脱水时间。</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7.5.4、在线自动模式：任务场景中的动画由开发板编程仿真，当前模式功能按钮操作区有洗涤/脱水旋钮，启动，暂停，停止，电源等操作按钮；对应的按钮信号可以发送给开发板或者信号交互模块。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7.5.5、在线手动模式：任务场景中的动画由硬件仿真，当前模式功能按钮操作区有进水阀手动，排水阀手动，波轮手动。</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7.5.6、离线仿真模式：按下启动按钮可以运行洗衣机进水，洗涤，脱水，排水的过程；按下暂停，洗衣机暂时停止运行，按下停止，洗衣机停止运行复位到初始状态。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7.6、任务6 水塔供水水泵仿真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7.6.1、通过类3D画面仿真某小区水塔供水场景，主要由用户水塔，水塔高/低水位检测传感器，水塔进水阀，水塔排水阀，水泵，水池，水池高/低水位浮球开关，水池进水阀等组成。抽水过程中有相应的动画。</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7.6.2、初始时水池和水塔都是空的没有水，水池水满后，水泵开始抽水，水塔水满后停止抽水。其水泵和阀门的开关由开发板进行编程仿真。</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7.6.3、水池高/低水位浮球状态为off，此时水池进水阀打开，水位上升，淹没水池低水位浮球，状态变为on，水位持续上升，上升到水池高水位浮球，状态变为on，水池进水阀关闭，此时水塔进水阀打开，打开后2s，水泵开始抽水，水塔低水位传感器为on，水塔水位持续上升，上升到水塔高水位位置，状态变为ON，即为水塔水满。打开水塔排水阀，水塔水位下降，当水塔或者水池的低水位为off时系统自动按照上述流程进行供水。</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7.6.4、在线自动模式：任务场景中的动画由开发板编程仿真，当前模式功能按钮操作区有启动，停止等操作按钮；对应的按钮信号可以发送给开发板或者信号交互模块。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7.6.5、在线手动模式：任务场景中的动画由硬件仿真，当前模式功能按钮操作区有水池进水阀手动按钮，水塔进水阀手动按钮，水泵运行手动按钮，水塔排水阀手动按钮。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7.6.6、离线仿真模式：按下启动按钮可以运行水池进水，水池水满，水泵抽水，水塔进水，水塔排水等一系列的过程；按下暂停，水塔供水系统暂时停止运行，再次按下启动继续运行；按下停止，水塔供水系统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7.7、任务7 隧道自动风机仿真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7.7.1、仿真模拟某高速隧道有</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4台隧道式轴流风机，分为</w:t>
            </w:r>
            <w:r>
              <w:rPr>
                <w:rFonts w:ascii="宋体" w:eastAsia="宋体" w:hAnsi="宋体" w:cs="宋体" w:hint="eastAsia"/>
                <w:b/>
                <w:bCs/>
                <w:color w:val="000000"/>
                <w:sz w:val="21"/>
                <w:szCs w:val="21"/>
              </w:rPr>
              <w:t>≥</w:t>
            </w:r>
            <w:r>
              <w:rPr>
                <w:rFonts w:ascii="宋体" w:eastAsia="宋体" w:hAnsi="宋体" w:cs="宋体" w:hint="eastAsia"/>
                <w:bCs/>
                <w:color w:val="000000"/>
                <w:sz w:val="21"/>
                <w:szCs w:val="21"/>
              </w:rPr>
              <w:t>2组，每组各2台，由开发板进行编程仿真，通过程序仿真</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2组风机轮流工作。风机运行时对应的风机出入口由气流流动，风扇叶片转动。</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7.7.2、在线自动模式：任务场景中的动画由开发板编程仿真，当前模式功能按钮操作区有启动，停止等操作按钮；对应的按钮信号可以发送给开发板或者信号交互模块。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7.7.3、在线手动模式：任务场景中的动画由硬件仿真，当前模式功能按钮操作区有风机1手动按钮，风机2手动按钮，风机3手动按钮，风机4手动按钮。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7.7.4、离线仿真模式：按下启动按钮可以运行风机1和风机2，此时风机3和风机4待机，运行10秒后切换为风机3和风机4运行，此时风机1和风机2待机；按下暂停，风机保持当前状态暂时停止运行，再次点击开始继续运行，按下停止，风机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7.8、任务8 智能广告彩灯仿真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7.8.1、广告彩灯仿真某城市的景区的灯光表演，广告彩灯共有</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25个不同颜色的灯组合而成，由开发板进行编程仿真灯光的亮与不亮，通过程序仿真，可以实现灯光展示出不一样的效果，如闪烁，显示形状等组合。</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7.8.2、在线自动模式：任务场景中的动画由开发板编程控制，当前模式功能按钮操作区有启动，停止等操作按钮；对应的按钮信号可以发送给开发板或者信号交互模块。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7.8.3、在线手动模式：任务场景中的动画由硬件仿真，当前模式功能按钮操作区有A1-A4手动按钮，B1-B4手动按钮，C1-C4手动按钮，D1-D4手动按钮，E1-E4手动按钮，F1-F5手动按钮。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7.8.4、离线仿真模式：按下启动按钮可以运行A1-A4-B1-B4-C1-C4-D1-D4-E1-E4-F1-F5依此亮起，然后再以流水灯的方式运行一遍，同时只能有4个灯亮的过程；按下暂停，灯保持当前状态暂时停止运行，按下停止，彩灯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7.9、任务9 自动商品售货机仿真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7.9.1、自动商品售货机仿真4种商品，分别为咖啡4元/瓶、汽水5元/瓶、果汁5元/瓶、零食8元/袋。商品售货机由开发板控制。该自动售货机采用开发板作为核心仿真器，通过传感器和执行器实现商品的自动售卖。用户可以通过按钮选择所需商品，并通过投入1元、5元和10元三种纸币，投币后在金额界面可以显示累计金额，选择商品后完成购买。开发板根据用户的选择和支付情况，仿真相应的弹簧机械结构完成商品的出货。</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7.9.2、在线自动模式：任务场景中的动画由开发板编程仿真，当前模式功能按钮操作区有汽水、果汁、咖啡、零食、确定键、取消，1元，5元，10元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7.9.3、在线手动模式：任务场景中的动画由硬件仿真，当前模式功能按钮操作区有汽水弹簧手动、果汁弹簧手动、咖啡弹簧手动、零食弹簧手动。</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7.9.4、离线仿真模式：当前模式功能按钮操作区有汽水、果汁、咖啡、零食、确定键、取消，1元，5元，10元等操作按钮，先投纸币，达到金额要求后可以选择商品，按商品选择按键一下数量为1，按2下为2，按下取消键可以重新选择商品和数量，一次只能采购一种商品；投入金额后才能选择商品，并且只能选择商品金额小于投入金额的商品，采购商品后，再次按下取消键将余额退回。</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7.10、任务10 工位呼叫系统仿真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7.10.1、生产工位呼叫系统由8个生产工位和送料小车以及装料料斗组成，小车可以在8个生产工位之间移动，每个工位上有呼车按钮和呼车指示灯以及限位开关。</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7.10.2、在线自动模式：任务场景中的动画由开发板编程仿真，当前模式功能按钮操作区有启动、停止等操作按钮，同时有工位1呼车、工位2呼车、工位3呼车、工位4呼车、工位5呼车、工位6呼车、工位7呼车、工位8呼车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7.10.3、在线手动模式：任务场景中的动画由硬件仿真，当前模式功能按钮操作区有车左行手动按钮，车右行手动按钮，车装料手动按钮。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7.10.4、离线仿真模式：当前模式功能按钮操作区有启动、暂停、停止；按下启动后按下任意工位的呼车按钮，小车到达对应工位处；按下暂停，保持当前状态暂时停止运行，再次按下启动继续运行，按下停止，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7.11、任务11 垂直电梯系统仿真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7.11.1、垂直电梯是由三相异步电动机仿真升降的，共有4层电梯，每层电梯上面都有楼层限位传感器、楼层呼机按键等。</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7.11.2、在线自动模式：任务场景中的动画由开发板编程仿真，当前模式功能按钮操作区有L1上行按键、L2上行按键、L2下行按键、L3上行按键、L3下行按键、L4下行按键、电梯开门按键、电梯关门按键、L1内呼、L2内呼、L3内呼、L4内呼、停止、报警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7.11.3、在线手动模式：任务场景中的动画由硬件仿真，当前模式功能按钮操作区有电梯上行、电梯下行、电梯开门、电梯关门等按钮。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7.11.4、离线仿真模式：当前模式功能按钮操作区有启动、暂停、停止；按下启动后，根据场景按下对应的电梯按键，电梯执行对应的动作；按下暂停，保持当前状态暂时停止运行，再次按下启动继续运行，按下停止，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7.12、任务12自动扶梯系统仿真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7.12.1、自动扶梯由三相异步电动机进行仿真，自动扶梯包含启动按钮，停止按钮，急停按钮，扶梯正转，扶梯反转，下层红外检测，上层红外检测等，扶梯的仿真是由开发板进行仿真，即扶梯的速度视有无人进行能耗调节，有人时（红外检测触发）扶梯安装正常满负荷运行，无人时扶梯以20%速度的节能运行，系统有电梯运行指示灯（通行绿灯箭头）和停止指示灯（禁止红色-）。</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7.12.2、在线自动模式：任务场景中的动画由开发板编程仿真，当前模式功能按钮操作区有启动、停止等操作按钮，同时有上行下行按键等，对应的按钮信号可以发送给开发板或者信号交互模块。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7.12.3、在线手动模式：任务场景中的动画由硬件仿真，当前模式功能按钮操作区有扶梯上行手动按钮，扶梯下行按钮。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7.12.4、离线仿真模式：当前模式功能按钮操作区有启动、暂停、停止；按下启动后，扶梯先上行运行，人随电梯上下，人到达二层后，5S后电梯下行，人随电梯下行；按下暂停，保持当前状态暂时停止运行，再次按下启动继续运行，按下停止，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7.13、任务13 LED数码管显示仿真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7.13.1、通过程序仿真，可以实现数码管显示出对应的数字。系统由4个7段数码管和小数点组成，秒（A1-G1）,十秒（A2-G2）,小数点（H），分（A3-G3）,十分（A4-G4），系统设有启动按钮，停止按钮。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7.13.2、在线自动模式：任务场景中的动画由开发板编程仿真，当前模式功能按钮操作区有启动，停止等操作按钮；对应的按钮信号可以发送给开发板或者信号交互模块。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7.13.3、在线手动模式：任务场景中的动画由硬件仿真，当前模式功能按钮操作区有A1-G1手动按钮，A2-G2手动按钮，H手动按钮，A3-G3手动按钮，A4-G4手动按钮。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7.13.4、离线仿真模式：按下启动按钮可以运行1:30的倒计时，按下暂停，灯保持当前状态暂时停止运行，再次按下启动继续运行倒计时；按下停止，数码管停止运行复位到初始状态。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7.14、任务14自动送料小车仿真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7.14.1、自动送料小车仿真主要由下料料斗，上级传送带，中级传送带，下级传送带，运货车组成，由开发板进行仿真，运行灯和停止灯，传送带送料装车的过程中运行指示灯亮，当传送带都停止运行或者电机出现过载故障时停止指示灯亮，在车底下装有地磅用于检测车装料的重量，重量信息显示在显示屏上面；料斗上安装有物料检测传感器，用于检测物料的是否充足，料斗进出料都各由一个电动阀仿真，电机具有过流显示，当电机正常运行时，显示电流3A，当电流大于5A时，电机过载灯亮起；</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7.14.2、在线自动模式：任务场景中的动画由开发板编程仿真，当前模式功能按钮操作区有启动、停止等操作按钮，同时有M1电机过载、M2电机过载、M3电机过载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7.14.3、在线手动模式：任务场景中的动画由硬件仿真，当前模式功能按钮操作区有上级电机M1手动、中级电机M2手动、下级电机M3手动、料斗进料阀手动、料斗出料阀手动。</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7.14.4、离线仿真模式：当前模式功能按钮操作区有启动、暂停、停止；按下启动按钮进料阀打开，下料到料斗，沙石的高度达到料斗上限限位，同时传送带按照M3→M2→M1的顺序启动，出料阀打开，沙石落到传送带上输送到车里，车的重量随沙石递增，车装满后，传送带按照M1→M2→M3的顺序停止运行；按下暂停，保持当前状态暂时停止运行，再次按下启动继续运行，按下停止，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7.15、任务15电机运行系统仿真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7.15.1、仿真一台三相异步电动机、1个三相断路器、1个三相保护熔断器、4个交流接触器和2个热继电器组成，电机的运行由开发板进行控制。</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7.15.2、在线自动模式：任务场景中的动画由开发板编程控制，当前模式功能按钮操作区有启动、停止等操作按钮，同时有电机正转、电机反转和电机停止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7.15.3、在线手动模式：任务场景中的动画由硬件仿真，当前模式功能按钮操作区有正转接触器KM1手动按钮、反转接触器KM2手动按钮、△形接触器KM3手动按钮、Y形接触器KM4手动按钮。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7.15.4、离线仿真模式：当前模式功能按钮操作区有离线模拟启动、暂停、停止按钮，同时有电机正转、电机反转和电机停止按钮，按下启动并按下电机正转，电机先以Y形的方式启动，2S后切换为△形方式一直运行，按下电机停止，电机停止运行，电机停止后，按下电机反转，电机先以Y形的方式启动，2S后切换为△形方式一直运行；按下暂停，保持当前状态暂时停止运行，再次按下启动继续运行，按下停止，停止运行复位到初始状态。</w:t>
            </w:r>
          </w:p>
        </w:tc>
      </w:tr>
      <w:tr>
        <w:tblPrEx>
          <w:tblW w:w="5000" w:type="pct"/>
          <w:tblInd w:w="0" w:type="dxa"/>
          <w:tblLayout w:type="fixed"/>
          <w:tblCellMar>
            <w:top w:w="0" w:type="dxa"/>
            <w:left w:w="108" w:type="dxa"/>
            <w:bottom w:w="0" w:type="dxa"/>
            <w:right w:w="108" w:type="dxa"/>
          </w:tblCellMar>
        </w:tblPrEx>
        <w:trPr>
          <w:trHeight w:val="104"/>
        </w:trPr>
        <w:tc>
          <w:tcPr>
            <w:tcW w:w="710" w:type="dxa"/>
            <w:vMerge w:val="restart"/>
            <w:noWrap w:val="0"/>
            <w:vAlign w:val="center"/>
          </w:tcPr>
          <w:p>
            <w:pPr>
              <w:widowControl/>
              <w:kinsoku w:val="0"/>
              <w:autoSpaceDE w:val="0"/>
              <w:autoSpaceDN w:val="0"/>
              <w:adjustRightInd w:val="0"/>
              <w:snapToGrid w:val="0"/>
              <w:spacing w:after="160" w:line="278" w:lineRule="auto"/>
              <w:jc w:val="center"/>
              <w:textAlignment w:val="baseline"/>
              <w:rPr>
                <w:rFonts w:ascii="宋体" w:eastAsia="宋体" w:hAnsi="宋体" w:cs="宋体" w:hint="eastAsia"/>
                <w:snapToGrid w:val="0"/>
                <w:color w:val="000000"/>
                <w:position w:val="1"/>
                <w:sz w:val="21"/>
                <w:szCs w:val="21"/>
                <w:lang w:eastAsia="zh-CN"/>
              </w:rPr>
            </w:pPr>
            <w:r>
              <w:rPr>
                <w:rFonts w:ascii="宋体" w:eastAsia="宋体" w:hAnsi="宋体" w:cs="宋体" w:hint="eastAsia"/>
                <w:snapToGrid w:val="0"/>
                <w:color w:val="000000"/>
                <w:position w:val="1"/>
                <w:sz w:val="21"/>
                <w:szCs w:val="21"/>
                <w:lang w:eastAsia="zh-CN"/>
              </w:rPr>
              <w:t>2</w:t>
            </w:r>
          </w:p>
        </w:tc>
        <w:tc>
          <w:tcPr>
            <w:tcW w:w="992" w:type="dxa"/>
            <w:vMerge w:val="restart"/>
            <w:noWrap w:val="0"/>
            <w:vAlign w:val="center"/>
          </w:tcPr>
          <w:p>
            <w:pPr>
              <w:rPr>
                <w:rFonts w:ascii="宋体" w:eastAsia="宋体" w:hAnsi="宋体" w:cs="宋体" w:hint="eastAsia"/>
                <w:b/>
                <w:spacing w:val="-4"/>
                <w:sz w:val="21"/>
                <w:szCs w:val="21"/>
              </w:rPr>
            </w:pPr>
            <w:r>
              <w:rPr>
                <w:rFonts w:ascii="宋体" w:eastAsia="宋体" w:hAnsi="宋体" w:cs="宋体" w:hint="eastAsia"/>
                <w:b/>
                <w:color w:val="000000"/>
                <w:sz w:val="21"/>
                <w:szCs w:val="21"/>
              </w:rPr>
              <w:t>分布式操作系统应用开发课程资源</w:t>
            </w: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一、分布式操作系统应用开发课程资源（北向）要求</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1.1、统基础模块：需包含HarmonyOS系统简介、分层架构（内核层/系统服务层/框架层/应用层）、应用类型（元服务/传统App）及应用包组成（.app/.hap/.hsp）等核心概念。</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sz w:val="21"/>
                <w:szCs w:val="21"/>
              </w:rPr>
            </w:pPr>
          </w:p>
        </w:tc>
        <w:tc>
          <w:tcPr>
            <w:tcW w:w="992" w:type="dxa"/>
            <w:vMerge/>
            <w:noWrap w:val="0"/>
            <w:vAlign w:val="center"/>
          </w:tcPr>
          <w:p>
            <w:pPr>
              <w:ind w:firstLine="420"/>
              <w:rPr>
                <w:rFonts w:ascii="宋体" w:eastAsia="宋体" w:hAnsi="宋体" w:cs="宋体" w:hint="eastAsia"/>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1.2、开发语言模块：需涵盖ArkTS语言基础，包括基本数据类型、变量声明、接口、函数、类、泛型、空安全、模块与JSON操作，以及ArkTS与TypeScript/JavaScript的差异适配。</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1.3、UI开发模块：需包含ArkUI框架应用，涵盖语法结构、状态变量、自定义构建函数、渲染控制、组件生命周期，以及线性/层叠/相对布局、列表组件、页面路由等核心能力。</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1.4、核心组件模块：需详解UIAbility组件，包括Stage模型、生命周期回调、启动模式（singleton/multiton/specified）、组件间交互及EventHub数据通信。</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1.5、网络与存储模块：需覆盖Web组件用法、HTTP网络访问、WebSocket通信、axios库应用，以及应用沙箱、数据持久化（文件存储/Preferences/KV-Store/关系数据库）技术。</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1.6、多媒体模块：需包含音频（AVPlayer/AudioRenderer/SoundPool）、视频（AVPlayer/Video组件）、相机、图片处理（解码/编码/变换）及媒体文件管理能力。</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1.7、特色开发模块：需涵盖元服务开发（服务卡片、分包配置、生命周期）、多线程开发（线程模型、同步/数据传输）、跨设备流转（服务互通/应用接续/媒体播控）及多端部署适配。</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1.8、实战与工具模块：需包含DevEco Studio调试技巧（断点调试、UI布局调试、日志查看、性能监测）、信息流App实战开发，以及应用签名、AGC平台上架全流程。</w:t>
            </w:r>
          </w:p>
          <w:p>
            <w:pPr>
              <w:spacing w:line="360" w:lineRule="auto"/>
              <w:rPr>
                <w:rFonts w:ascii="宋体" w:eastAsia="宋体" w:hAnsi="宋体" w:cs="宋体" w:hint="eastAsia"/>
                <w:b/>
                <w:bCs/>
                <w:color w:val="000000"/>
                <w:sz w:val="21"/>
                <w:szCs w:val="21"/>
                <w:lang w:eastAsia="zh-CN"/>
              </w:rPr>
            </w:pPr>
            <w:r>
              <w:rPr>
                <w:rFonts w:ascii="宋体" w:eastAsia="宋体" w:hAnsi="宋体" w:cs="宋体" w:hint="eastAsia"/>
                <w:b/>
                <w:color w:val="000000"/>
                <w:sz w:val="21"/>
                <w:szCs w:val="21"/>
              </w:rPr>
              <w:t>▲投标时提供满足以上要求的</w:t>
            </w:r>
            <w:r>
              <w:rPr>
                <w:rFonts w:ascii="宋体" w:eastAsia="宋体" w:hAnsi="宋体" w:cs="宋体" w:hint="eastAsia"/>
                <w:b/>
                <w:color w:val="000000"/>
                <w:sz w:val="21"/>
                <w:szCs w:val="21"/>
                <w:lang w:eastAsia="zh-CN"/>
              </w:rPr>
              <w:t>文</w:t>
            </w:r>
            <w:r>
              <w:rPr>
                <w:rFonts w:ascii="宋体" w:eastAsia="宋体" w:hAnsi="宋体" w:cs="宋体" w:hint="eastAsia"/>
                <w:b/>
                <w:color w:val="000000"/>
                <w:sz w:val="21"/>
                <w:szCs w:val="21"/>
              </w:rPr>
              <w:t>档</w:t>
            </w:r>
            <w:r>
              <w:rPr>
                <w:rFonts w:ascii="宋体" w:eastAsia="宋体" w:hAnsi="宋体" w:cs="宋体" w:hint="eastAsia"/>
                <w:b/>
                <w:color w:val="000000"/>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二、分布式操作系统应用开发课程资源（南向）要求</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2.1、开发环境搭建模块：需包含 OpenHarmony 环境（Visual Studio Code 安装、DevEco Device Tool 插件部署、SDK 下载配置、工程编译与代码烧录）、MQTT 环境（Mosquitto 消息代理安装、MQTT.fx 工具使用）及微信小程序开发环境（账号申请、工具安装、项目创建）。</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2.2、内核实验模块：需涵盖任务实验、定时器实验、事件实验、互斥锁实验、互斥型 / 同步型 / 计数型信号量实验、消息队列实验，明确各实验的目的、要求、原理、步骤及现象验证。</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2.3、基础硬件交互模块：需包含 I2C 总线驱动实验，具体为三合一传感器（AP3216C）驱动开发和 NFC 标签读写实验，涉及硬件接口配置、数据采集与解析。</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2.4、物联网通信模块：需覆盖 Wi-Fi 相关实验（AP 模式建网、STA 模式连网、UDP/TCP 通信、MQTT 协议通信、NFC 配网），包含网络初始化、数据传输、协议适配等核心内容。</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2.5、仿真前端通信模块：需实现基于 MQTT 协议的硬件与前端双向通信，涵盖输入状态上报、输出控制指令下发、心跳包维持长连接等逻辑，配套智慧交通等仿真场景案例。</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2.6、问题排查模块：需包含常见开发问题解决方案，如第三方库移植报错、BUILD.gn 文件配置错误、I2C 接口调用异常、设备烧录连接失败、MQTT 通信故障等。</w:t>
            </w:r>
          </w:p>
          <w:p>
            <w:pPr>
              <w:ind w:firstLine="420"/>
              <w:rPr>
                <w:rFonts w:ascii="宋体" w:eastAsia="宋体" w:hAnsi="宋体" w:cs="宋体" w:hint="eastAsia"/>
                <w:bCs/>
                <w:color w:val="000000"/>
                <w:sz w:val="21"/>
                <w:szCs w:val="21"/>
              </w:rPr>
            </w:pPr>
            <w:r>
              <w:rPr>
                <w:rFonts w:ascii="宋体" w:eastAsia="宋体" w:hAnsi="宋体" w:cs="宋体" w:hint="eastAsia"/>
                <w:b/>
                <w:color w:val="000000"/>
                <w:sz w:val="21"/>
                <w:szCs w:val="21"/>
              </w:rPr>
              <w:t>▲投标时提供实验指导书电子档，要求包含：OpenHarmony 环境搭建（安装Visual Studio Code、安装DevEco Device Tool、启动DevEco Device Tool、SDK下载）、MQTT 环境搭建、微信小程序开发环境、HarmonyOS实验（任务实验、定时器实验、事件实验、互斥锁实验、互斥型信号量实验、同步型信号量实验、计数型信号量实验、消息队列实验、基础实验）、HarmonyOS仿真控制实验等内容，要求文档详细介绍以上内容。</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三、资源形式要求</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3.1、主资源形式：PPT课件和pdf文档，按章节划分内容，每章节需包含核心知识点讲解、案例代码、示意图（架构图/流程图/效果演示图）。</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3.2、配套资源要求：需隐含可延伸的实战案例素材（如待办列表元服务、信息流App完整代码框架）、API调用示例、工具配置步骤说明。</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3.3、部分重点操作提供教学视频，包括应用开发环境搭建、硬件平台编译环境搭建、DevEco Studio开发环境搭建、编译与调试过程等，重要实验步骤的，提供教学视频。学生和教师可以对着视频，自主完成基础实验的过程实践。</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3.4、需附带完整实验源码（含驱动代码、应用代码、配置文件）、工具安装包（VS Code、DevEco Device Tool、MQTT 工具、串口调试工具等）、芯片手册及案例说明书。</w:t>
            </w:r>
          </w:p>
        </w:tc>
      </w:tr>
    </w:tbl>
    <w:p>
      <w:pPr>
        <w:widowControl w:val="0"/>
        <w:jc w:val="both"/>
        <w:rPr>
          <w:rFonts w:ascii="Calibri" w:eastAsia="宋体" w:hAnsi="Calibri"/>
          <w:bCs/>
          <w:kern w:val="2"/>
          <w:sz w:val="21"/>
          <w:szCs w:val="21"/>
          <w:lang w:eastAsia="zh-CN"/>
        </w:rPr>
      </w:pPr>
    </w:p>
    <w:p>
      <w:pPr>
        <w:numPr>
          <w:ilvl w:val="0"/>
          <w:numId w:val="0"/>
        </w:numPr>
        <w:spacing w:line="360" w:lineRule="auto"/>
        <w:ind w:left="0" w:firstLine="0"/>
        <w:rPr>
          <w:rFonts w:hint="eastAsia"/>
          <w:b/>
          <w:bCs/>
          <w:lang w:eastAsia="zh-CN"/>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六、付款方式（具体以合同签订为准）</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1、合同签订后  10 个工作日内，采购人向中标供应商支付合同总价【70】%的款项；</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2、全部货物送到采购人指定地点、完成安装并验收合格后  5 个工作日内，采购人向中标供应商支付合同总价【30】%的款项；</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3、因财政资金拨款未到位而导致甲方未在约定期限内支付合同费用的，中标供应商不得要求采购人承担逾期付款的违约责任。每次付款前，中标供应商应需先提供相应额度的正规发票给采购人，以便办理支付手续。</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七、投标报价要求</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1、本项目服务费采用包干制，应包括服务成本、法定税费和利润。由投标人根据采购文件所提供的资料自行测算投标报价；一经中标，投标报价总价作为中标单位与采购单位签定的合同金额，合同期限内不做调整；</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审委员会应将其作为无效投标处理。若评审小组对是否须由投标人作出报价合理性说明，以及书面说明是否采纳等判断不一致的，按照“少数服从多数”的原则确定评审小组的意见。</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3、投标人的投标报价不得超过财政预算限额，如设投标最高限价的，报价不得超过最高限价；</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4、投标人的投标报价，应是本项目采购范围和采购文件及合同条款上所列的各项内容中所述的全部，不得以任何理由予以重复，并以投标人在中提出的综合单价或总价为依据；</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6、除非社会代理机构通过修改采购文件予以更正，否则，投标人应毫无例外地按采购文件所列的清单中项目和数量填报综合单价和合价。投标人未填综合单价或合价的项目，视作该项费用已包括在其它有价款的综合单价或合价内；</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7、投标人应先到项目地点踏勘以充分了解项目的位置、情况、道路及任何其它足以影响投标报价的情况，任何因忽视或误解项目情况而导致的索赔或服务期限延长申请将不获批准；</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8、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八、注意事项</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1、中标供应商不得将项目非法分包或转包给任何单位和个人。否则，采购单位有权即刻终止合同，并要求中标供应商赔偿相应损失。</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2、投标人使用的标准必须是国际公认或国家、或地方政府颁布的同等或更高的标准，如投标人使用的标准低于上述标准,评审委员会将有权不予接受，投标人必须列表将明显的差异详细说明。</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3、供应商须在质疑期内一次性提出针对同一采购程序环节的质疑。</w:t>
      </w:r>
    </w:p>
    <w:p>
      <w:pPr>
        <w:spacing w:before="60" w:beforeLines="25" w:after="60" w:afterLines="25"/>
        <w:ind w:firstLine="393" w:firstLineChars="187"/>
        <w:rPr>
          <w:rFonts w:ascii="宋体" w:eastAsia="宋体" w:hAnsi="宋体" w:cs="宋体" w:hint="eastAsia"/>
          <w:sz w:val="21"/>
          <w:szCs w:val="21"/>
          <w:lang w:eastAsia="zh-CN" w:bidi="ar"/>
        </w:rPr>
      </w:pPr>
      <w:r>
        <w:rPr>
          <w:rFonts w:ascii="宋体" w:eastAsia="宋体" w:hAnsi="宋体" w:cs="宋体" w:hint="eastAsia"/>
          <w:sz w:val="21"/>
          <w:szCs w:val="21"/>
          <w:lang w:bidi="ar"/>
        </w:rPr>
        <w:t>4、本项目按照深圳市龙华区教育局的相关采购规定执行，招标文件未明确的事项，参照政府采购有关法律法规执行。</w:t>
      </w: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九、现场演示要求</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（一）总体要求：</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演示供应商签到时间：投标供应商授权委托人需在本项目开标当天2025年</w:t>
      </w:r>
      <w:r>
        <w:rPr>
          <w:rFonts w:ascii="宋体" w:eastAsia="宋体" w:hAnsi="宋体" w:cs="宋体" w:hint="eastAsia"/>
          <w:sz w:val="21"/>
          <w:szCs w:val="21"/>
          <w:lang w:eastAsia="zh-CN" w:bidi="ar"/>
        </w:rPr>
        <w:t>12</w:t>
      </w:r>
      <w:r>
        <w:rPr>
          <w:rFonts w:ascii="宋体" w:eastAsia="宋体" w:hAnsi="宋体" w:cs="宋体" w:hint="eastAsia"/>
          <w:sz w:val="21"/>
          <w:szCs w:val="21"/>
          <w:lang w:bidi="ar"/>
        </w:rPr>
        <w:t>月</w:t>
      </w:r>
      <w:r>
        <w:rPr>
          <w:rFonts w:ascii="宋体" w:eastAsia="宋体" w:hAnsi="宋体" w:cs="宋体" w:hint="eastAsia"/>
          <w:sz w:val="21"/>
          <w:szCs w:val="21"/>
          <w:lang w:eastAsia="zh-CN" w:bidi="ar"/>
        </w:rPr>
        <w:t>16</w:t>
      </w:r>
      <w:r>
        <w:rPr>
          <w:rFonts w:ascii="宋体" w:eastAsia="宋体" w:hAnsi="宋体" w:cs="宋体" w:hint="eastAsia"/>
          <w:sz w:val="21"/>
          <w:szCs w:val="21"/>
          <w:lang w:bidi="ar"/>
        </w:rPr>
        <w:t>日</w:t>
      </w:r>
      <w:r>
        <w:rPr>
          <w:rFonts w:ascii="宋体" w:eastAsia="宋体" w:hAnsi="宋体" w:cs="宋体" w:hint="eastAsia"/>
          <w:sz w:val="21"/>
          <w:szCs w:val="21"/>
          <w:lang w:eastAsia="zh-CN" w:bidi="ar"/>
        </w:rPr>
        <w:t>9</w:t>
      </w:r>
      <w:r>
        <w:rPr>
          <w:rFonts w:ascii="宋体" w:eastAsia="宋体" w:hAnsi="宋体" w:cs="宋体" w:hint="eastAsia"/>
          <w:sz w:val="21"/>
          <w:szCs w:val="21"/>
          <w:lang w:bidi="ar"/>
        </w:rPr>
        <w:t>点</w:t>
      </w:r>
      <w:r>
        <w:rPr>
          <w:rFonts w:ascii="宋体" w:eastAsia="宋体" w:hAnsi="宋体" w:cs="宋体" w:hint="eastAsia"/>
          <w:sz w:val="21"/>
          <w:szCs w:val="21"/>
          <w:lang w:eastAsia="zh-CN" w:bidi="ar"/>
        </w:rPr>
        <w:t>30</w:t>
      </w:r>
      <w:r>
        <w:rPr>
          <w:rFonts w:ascii="宋体" w:eastAsia="宋体" w:hAnsi="宋体" w:cs="宋体" w:hint="eastAsia"/>
          <w:sz w:val="21"/>
          <w:szCs w:val="21"/>
          <w:lang w:bidi="ar"/>
        </w:rPr>
        <w:t>分（北京时间）前。</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签到地点：深圳市千里招标代理有限公司（地址：深圳市龙华区和平路21号振华时代广场8层802 ），按现场工作人员指引填写《现场演示签到表》。</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演示设备：</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深圳市千里招标代理有限公司仅提供演示场地、电源接口。</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演示电脑和电源线、U 盘等存储设备、投影转换接头等及其它能完成演示操作的设备（具体以自身实际需要为准）由投标供应商授权委托人自行携带，因设备无法演示的由供应商自行负责，由于场地有限，建议不携带过大设备。</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演示时间、人员要求：每个投标供应商现场演示时间不超过15分钟（期间评委可能会进行提问，并有权酌情延长时间）。现场演示人员不得超过2人。</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（二）具体程序：</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 xml:space="preserve">1、投标供应商需在现场演示签到截止时间前，携带法定代表人证明书（加盖公章）、法定代表人（负责人）授权委托书（加盖公章）和授权委托人身份证原件（港澳台居民可提供来往通行证；非中国国籍管辖范围人员，可提供公安部门认可的身份证明材料），到达深圳市龙华区和平路21号振华时代广场8层802，按工作人员指引进行签到。 </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特别注意事项：（1）资料提供不齐全的，不予签到；（2）招标公告规定的截止时间后，不再受理签到；（3）未进行签到的人员，不能参与现场演示；</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2、签到截止时间后正式进行现场演示。现场演示正式开始前将进行身份核对；核对内容为现场演示人员提供的“法定代表人证明书（加盖公章）、法定代表人（负责人）授权委托书（加盖公章）、授权委托人身份证原件”。资料不齐全的人员，不得参与现场演示。</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（三）其它现场演示规则：</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A.参加本次现场演示的各投标供应商，均认为本次现场演示的程序和环境能够满足现场演示基本条件，并对本现场演示方案要求内的各项规定不做事后异议，且能够严格遵守相关规定。</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B.现场演示在评审中进行。现场演示原则上按签到顺序依次进行（经评委同意，可以酌情进行调整）。一个供应商一次性现场演示完毕。一个供应商在进行现场演示时，其他供应商不得进入现场。现场演示期间，评委可视情况对讲解人员进行提问。</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C.投标人对本次现场演示条件的不确定性疑虑应在开始前做书面表达，若所有疑虑不能完全消除，并认为现场演示结果仍会产生误判，则可以退出现场演示。</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D.由于现场演示时间有限，投标人同意承担其现场演示结果不确定性的风险，即同意专家以方案讲解情况的判定结论。</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E.本次现场演示的结果，仅对本项目评审委员会（谈判小组）负责，无义务向其余各方出具方案讲解结果。</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F.风险及费用说明：各项费用由供应商自理、风险自负。</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（四）演示内容：</w:t>
      </w:r>
    </w:p>
    <w:p>
      <w:pPr>
        <w:spacing w:before="60" w:beforeLines="25" w:after="60" w:afterLines="25"/>
        <w:ind w:firstLine="393" w:firstLineChars="187"/>
        <w:rPr>
          <w:rFonts w:ascii="宋体" w:eastAsia="宋体" w:hAnsi="宋体" w:cs="宋体" w:hint="eastAsia"/>
          <w:sz w:val="21"/>
          <w:szCs w:val="21"/>
          <w:lang w:eastAsia="zh-CN" w:bidi="ar"/>
        </w:rPr>
      </w:pPr>
      <w:r>
        <w:rPr>
          <w:rFonts w:ascii="宋体" w:eastAsia="宋体" w:hAnsi="宋体" w:cs="宋体" w:hint="eastAsia"/>
          <w:sz w:val="21"/>
          <w:szCs w:val="21"/>
          <w:lang w:bidi="ar"/>
        </w:rPr>
        <w:t>按照评标信息中的现场演示内容要求执行。</w:t>
      </w:r>
    </w:p>
    <w:p>
      <w:pPr>
        <w:spacing w:before="60" w:beforeLines="25" w:after="60" w:afterLines="25"/>
        <w:ind w:firstLine="393" w:firstLineChars="187"/>
        <w:rPr>
          <w:rFonts w:ascii="宋体" w:hAnsi="宋体" w:cs="宋体" w:hint="eastAsia"/>
          <w:sz w:val="21"/>
          <w:szCs w:val="21"/>
          <w:lang w:eastAsia="zh-CN" w:bidi="ar"/>
        </w:rPr>
      </w:pPr>
    </w:p>
    <w:p>
      <w:pPr>
        <w:widowControl w:val="0"/>
        <w:spacing w:after="120"/>
        <w:ind w:left="480" w:firstLine="420" w:leftChars="200" w:firstLineChars="200"/>
        <w:jc w:val="both"/>
        <w:rPr>
          <w:rFonts w:ascii="Calibri" w:eastAsia="宋体" w:hAnsi="Calibri"/>
          <w:kern w:val="2"/>
          <w:sz w:val="21"/>
          <w:szCs w:val="22"/>
          <w:lang w:eastAsia="zh-CN"/>
        </w:rPr>
      </w:pPr>
    </w:p>
    <w:p>
      <w:pPr>
        <w:keepNext/>
        <w:keepLines/>
        <w:widowControl w:val="0"/>
        <w:adjustRightInd w:val="0"/>
        <w:spacing w:line="320" w:lineRule="atLeast"/>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4" w:name="_Hlk72257167"/>
    </w:p>
    <w:bookmarkEnd w:id="14"/>
    <w:p>
      <w:pPr>
        <w:spacing w:line="320" w:lineRule="atLeast"/>
        <w:outlineLvl w:val="2"/>
        <w:rPr>
          <w:rFonts w:ascii="宋体" w:eastAsia="黑体" w:hAnsi="宋体" w:hint="eastAsia"/>
          <w:bCs/>
          <w:kern w:val="44"/>
          <w:lang w:eastAsia="zh-CN"/>
        </w:rPr>
      </w:pPr>
      <w:r>
        <w:rPr>
          <w:rFonts w:ascii="宋体" w:eastAsia="黑体" w:hAnsi="宋体" w:hint="eastAsia"/>
          <w:bCs/>
          <w:kern w:val="44"/>
          <w:lang w:eastAsia="zh-CN"/>
        </w:rPr>
        <w:t>投标文件组成：</w:t>
      </w:r>
    </w:p>
    <w:p>
      <w:pPr>
        <w:ind w:firstLine="960" w:firstLineChars="400"/>
        <w:rPr>
          <w:lang w:eastAsia="zh-CN"/>
        </w:rPr>
      </w:pPr>
      <w:bookmarkStart w:id="15" w:name="_Hlk194503600"/>
      <w:bookmarkStart w:id="16" w:name="_Hlk72257771"/>
      <w:r>
        <w:rPr>
          <w:rFonts w:hint="eastAsia"/>
          <w:lang w:eastAsia="zh-CN"/>
        </w:rPr>
        <w:t>（</w:t>
      </w:r>
      <w:bookmarkStart w:id="17" w:name="_Hlk194504074"/>
      <w:r>
        <w:rPr>
          <w:rFonts w:hint="eastAsia"/>
          <w:lang w:eastAsia="zh-CN"/>
        </w:rPr>
        <w:t>1）投标函</w:t>
      </w:r>
    </w:p>
    <w:p>
      <w:pPr>
        <w:ind w:firstLine="960" w:firstLineChars="400"/>
        <w:rPr>
          <w:lang w:eastAsia="zh-CN"/>
        </w:rPr>
      </w:pPr>
      <w:r>
        <w:rPr>
          <w:rFonts w:hint="eastAsia"/>
          <w:lang w:eastAsia="zh-CN"/>
        </w:rPr>
        <w:t>（2）龙华区教育局自行采购投标及履约承诺函</w:t>
      </w:r>
    </w:p>
    <w:p>
      <w:pPr>
        <w:ind w:firstLine="960" w:firstLineChars="400"/>
        <w:rPr>
          <w:lang w:eastAsia="zh-CN"/>
        </w:rPr>
      </w:pPr>
      <w:r>
        <w:rPr>
          <w:rFonts w:hint="eastAsia"/>
          <w:lang w:eastAsia="zh-CN"/>
        </w:rPr>
        <w:t>（3）投标人情况及资格证明文件</w:t>
      </w:r>
    </w:p>
    <w:p>
      <w:pPr>
        <w:ind w:firstLine="960" w:firstLineChars="400"/>
        <w:rPr>
          <w:lang w:eastAsia="zh-CN"/>
        </w:rPr>
      </w:pPr>
      <w:r>
        <w:rPr>
          <w:rFonts w:hint="eastAsia"/>
          <w:lang w:eastAsia="zh-CN"/>
        </w:rPr>
        <w:t>（</w:t>
      </w:r>
      <w:r>
        <w:rPr>
          <w:rFonts w:eastAsia="宋体" w:hint="eastAsia"/>
          <w:lang w:eastAsia="zh-CN"/>
        </w:rPr>
        <w:t>4</w:t>
      </w:r>
      <w:r>
        <w:rPr>
          <w:rFonts w:hint="eastAsia"/>
          <w:lang w:eastAsia="zh-CN"/>
        </w:rPr>
        <w:t>）分项报价清单</w:t>
      </w:r>
    </w:p>
    <w:p>
      <w:pPr>
        <w:ind w:firstLine="960" w:firstLineChars="400"/>
        <w:rPr>
          <w:lang w:eastAsia="zh-CN"/>
        </w:rPr>
      </w:pPr>
      <w:r>
        <w:rPr>
          <w:rFonts w:hint="eastAsia"/>
          <w:lang w:eastAsia="zh-CN"/>
        </w:rPr>
        <w:t>（</w:t>
      </w:r>
      <w:r>
        <w:rPr>
          <w:rFonts w:eastAsia="宋体" w:hint="eastAsia"/>
          <w:lang w:eastAsia="zh-CN"/>
        </w:rPr>
        <w:t>5</w:t>
      </w:r>
      <w:r>
        <w:rPr>
          <w:rFonts w:hint="eastAsia"/>
          <w:lang w:eastAsia="zh-CN"/>
        </w:rPr>
        <w:t>）股东构成审查表</w:t>
      </w:r>
    </w:p>
    <w:p>
      <w:pPr>
        <w:ind w:firstLine="960" w:firstLineChars="400"/>
        <w:rPr>
          <w:rFonts w:hint="eastAsia"/>
          <w:lang w:eastAsia="zh-CN"/>
        </w:rPr>
      </w:pPr>
      <w:r>
        <w:rPr>
          <w:rFonts w:hint="eastAsia"/>
          <w:lang w:eastAsia="zh-CN"/>
        </w:rPr>
        <w:t>（</w:t>
      </w:r>
      <w:r>
        <w:rPr>
          <w:rFonts w:eastAsia="宋体" w:hint="eastAsia"/>
          <w:lang w:eastAsia="zh-CN"/>
        </w:rPr>
        <w:t>6</w:t>
      </w:r>
      <w:r>
        <w:rPr>
          <w:rFonts w:hint="eastAsia"/>
          <w:lang w:eastAsia="zh-CN"/>
        </w:rPr>
        <w:t>）法定代表人（负责人）证明书</w:t>
      </w:r>
    </w:p>
    <w:p>
      <w:pPr>
        <w:ind w:firstLine="960" w:firstLineChars="400"/>
        <w:rPr>
          <w:rFonts w:hint="eastAsia"/>
          <w:lang w:eastAsia="zh-CN"/>
        </w:rPr>
      </w:pPr>
      <w:r>
        <w:rPr>
          <w:rFonts w:hint="eastAsia"/>
          <w:lang w:eastAsia="zh-CN"/>
        </w:rPr>
        <w:t>（7）供应商基本情况表</w:t>
      </w:r>
    </w:p>
    <w:p>
      <w:pPr>
        <w:ind w:firstLine="960" w:firstLineChars="400"/>
        <w:rPr>
          <w:lang w:eastAsia="zh-CN"/>
        </w:rPr>
      </w:pPr>
      <w:r>
        <w:rPr>
          <w:rFonts w:hint="eastAsia"/>
          <w:lang w:eastAsia="zh-CN"/>
        </w:rPr>
        <w:t>（</w:t>
      </w:r>
      <w:r>
        <w:rPr>
          <w:rFonts w:eastAsia="宋体" w:hint="eastAsia"/>
          <w:lang w:eastAsia="zh-CN"/>
        </w:rPr>
        <w:t>8</w:t>
      </w:r>
      <w:r>
        <w:rPr>
          <w:rFonts w:hint="eastAsia"/>
          <w:lang w:eastAsia="zh-CN"/>
        </w:rPr>
        <w:t>）投标文件签署授权委托书</w:t>
      </w:r>
    </w:p>
    <w:p>
      <w:pPr>
        <w:ind w:firstLine="960" w:firstLineChars="400"/>
        <w:rPr>
          <w:lang w:eastAsia="zh-CN"/>
        </w:rPr>
      </w:pPr>
      <w:r>
        <w:rPr>
          <w:rFonts w:hint="eastAsia"/>
          <w:lang w:eastAsia="zh-CN"/>
        </w:rPr>
        <w:t>（</w:t>
      </w:r>
      <w:r>
        <w:rPr>
          <w:rFonts w:eastAsia="宋体" w:hint="eastAsia"/>
          <w:lang w:eastAsia="zh-CN"/>
        </w:rPr>
        <w:t>9</w:t>
      </w:r>
      <w:r>
        <w:rPr>
          <w:rFonts w:hint="eastAsia"/>
          <w:lang w:eastAsia="zh-CN"/>
        </w:rPr>
        <w:t>）实质性条款响应情况表</w:t>
      </w:r>
    </w:p>
    <w:p>
      <w:pPr>
        <w:ind w:firstLine="960" w:firstLineChars="400"/>
        <w:rPr>
          <w:lang w:eastAsia="zh-CN"/>
        </w:rPr>
      </w:pPr>
      <w:r>
        <w:rPr>
          <w:rFonts w:hint="eastAsia"/>
          <w:lang w:eastAsia="zh-CN"/>
        </w:rPr>
        <w:t>（</w:t>
      </w:r>
      <w:r>
        <w:rPr>
          <w:rFonts w:eastAsia="宋体" w:hint="eastAsia"/>
          <w:lang w:eastAsia="zh-CN"/>
        </w:rPr>
        <w:t>10</w:t>
      </w:r>
      <w:r>
        <w:rPr>
          <w:rFonts w:hint="eastAsia"/>
          <w:lang w:eastAsia="zh-CN"/>
        </w:rPr>
        <w:t>）技术要求偏离表</w:t>
      </w:r>
    </w:p>
    <w:p>
      <w:pPr>
        <w:ind w:firstLine="960" w:firstLineChars="400"/>
        <w:rPr>
          <w:lang w:eastAsia="zh-CN"/>
        </w:rPr>
      </w:pPr>
      <w:r>
        <w:rPr>
          <w:rFonts w:hint="eastAsia"/>
          <w:lang w:eastAsia="zh-CN"/>
        </w:rPr>
        <w:t>（</w:t>
      </w:r>
      <w:r>
        <w:rPr>
          <w:rFonts w:eastAsia="宋体" w:hint="eastAsia"/>
          <w:lang w:eastAsia="zh-CN"/>
        </w:rPr>
        <w:t>11</w:t>
      </w:r>
      <w:r>
        <w:rPr>
          <w:rFonts w:hint="eastAsia"/>
          <w:lang w:eastAsia="zh-CN"/>
        </w:rPr>
        <w:t>）商务要求偏离表</w:t>
      </w:r>
    </w:p>
    <w:p>
      <w:pPr>
        <w:ind w:firstLine="960" w:firstLineChars="400"/>
        <w:rPr>
          <w:lang w:eastAsia="zh-CN"/>
        </w:rPr>
      </w:pPr>
      <w:r>
        <w:rPr>
          <w:rFonts w:hint="eastAsia"/>
          <w:lang w:eastAsia="zh-CN"/>
        </w:rPr>
        <w:t>（</w:t>
      </w:r>
      <w:r>
        <w:rPr>
          <w:rFonts w:eastAsia="宋体" w:hint="eastAsia"/>
          <w:lang w:eastAsia="zh-CN"/>
        </w:rPr>
        <w:t>12</w:t>
      </w:r>
      <w:r>
        <w:rPr>
          <w:rFonts w:hint="eastAsia"/>
          <w:lang w:eastAsia="zh-CN"/>
        </w:rPr>
        <w:t>）现场演示</w:t>
      </w:r>
    </w:p>
    <w:p>
      <w:pPr>
        <w:ind w:firstLine="960" w:firstLineChars="400"/>
        <w:rPr>
          <w:lang w:eastAsia="zh-CN"/>
        </w:rPr>
      </w:pPr>
      <w:r>
        <w:rPr>
          <w:rFonts w:hint="eastAsia"/>
          <w:lang w:eastAsia="zh-CN"/>
        </w:rPr>
        <w:t>（</w:t>
      </w:r>
      <w:r>
        <w:rPr>
          <w:rFonts w:eastAsia="宋体" w:hint="eastAsia"/>
          <w:lang w:eastAsia="zh-CN"/>
        </w:rPr>
        <w:t>13</w:t>
      </w:r>
      <w:r>
        <w:rPr>
          <w:rFonts w:hint="eastAsia"/>
          <w:lang w:eastAsia="zh-CN"/>
        </w:rPr>
        <w:t>）项目整体设计方案</w:t>
      </w:r>
    </w:p>
    <w:p>
      <w:pPr>
        <w:ind w:firstLine="960" w:firstLineChars="400"/>
        <w:rPr>
          <w:rFonts w:hint="eastAsia"/>
          <w:lang w:eastAsia="zh-CN"/>
        </w:rPr>
      </w:pPr>
      <w:r>
        <w:rPr>
          <w:rFonts w:hint="eastAsia"/>
          <w:lang w:eastAsia="zh-CN"/>
        </w:rPr>
        <w:t>（14）供货、安装指导及调试方案</w:t>
      </w:r>
    </w:p>
    <w:p>
      <w:pPr>
        <w:ind w:firstLine="960" w:firstLineChars="400"/>
        <w:rPr>
          <w:rFonts w:hint="eastAsia"/>
          <w:lang w:eastAsia="zh-CN"/>
        </w:rPr>
      </w:pPr>
      <w:r>
        <w:rPr>
          <w:rFonts w:hint="eastAsia"/>
          <w:lang w:eastAsia="zh-CN"/>
        </w:rPr>
        <w:t>（</w:t>
      </w:r>
      <w:r>
        <w:rPr>
          <w:rFonts w:hint="eastAsia"/>
          <w:lang w:eastAsia="zh-CN"/>
        </w:rPr>
        <w:t>15</w:t>
      </w:r>
      <w:r>
        <w:rPr>
          <w:rFonts w:hint="eastAsia"/>
          <w:lang w:eastAsia="zh-CN"/>
        </w:rPr>
        <w:t>）</w:t>
      </w:r>
      <w:r>
        <w:rPr>
          <w:rFonts w:ascii="宋体" w:hAnsi="宋体" w:cs="宋体" w:hint="eastAsia"/>
          <w:szCs w:val="21"/>
        </w:rPr>
        <w:t>项目经理资质情况（仅限1人）</w:t>
      </w:r>
    </w:p>
    <w:p>
      <w:pPr>
        <w:ind w:firstLine="960" w:firstLineChars="400"/>
        <w:rPr>
          <w:rFonts w:ascii="宋体" w:hAnsi="宋体" w:cs="宋体" w:hint="eastAsia"/>
          <w:szCs w:val="21"/>
        </w:rPr>
      </w:pPr>
      <w:r>
        <w:rPr>
          <w:rFonts w:hint="eastAsia"/>
          <w:lang w:eastAsia="zh-CN"/>
        </w:rPr>
        <w:t>（</w:t>
      </w:r>
      <w:r>
        <w:rPr>
          <w:rFonts w:hint="eastAsia"/>
          <w:lang w:eastAsia="zh-CN"/>
        </w:rPr>
        <w:t>16</w:t>
      </w:r>
      <w:r>
        <w:rPr>
          <w:rFonts w:hint="eastAsia"/>
          <w:lang w:eastAsia="zh-CN"/>
        </w:rPr>
        <w:t>）</w:t>
      </w:r>
      <w:r>
        <w:rPr>
          <w:rFonts w:ascii="宋体" w:hAnsi="宋体" w:cs="宋体" w:hint="eastAsia"/>
          <w:szCs w:val="21"/>
        </w:rPr>
        <w:t>同类项目业绩</w:t>
      </w:r>
      <w:bookmarkStart w:id="18" w:name="_GoBack"/>
      <w:bookmarkEnd w:id="18"/>
    </w:p>
    <w:p>
      <w:pPr>
        <w:ind w:firstLine="960" w:firstLineChars="400"/>
        <w:rPr>
          <w:rFonts w:ascii="宋体" w:hAnsi="宋体" w:cs="宋体"/>
          <w:lang w:eastAsia="zh-CN"/>
        </w:rPr>
      </w:pPr>
      <w:r>
        <w:rPr>
          <w:rFonts w:hint="eastAsia"/>
          <w:lang w:eastAsia="zh-CN"/>
        </w:rPr>
        <w:t>（</w:t>
      </w:r>
      <w:r>
        <w:rPr>
          <w:rFonts w:eastAsia="宋体" w:hint="eastAsia"/>
          <w:lang w:eastAsia="zh-CN"/>
        </w:rPr>
        <w:t>17</w:t>
      </w:r>
      <w:r>
        <w:rPr>
          <w:rFonts w:hint="eastAsia"/>
          <w:lang w:eastAsia="zh-CN"/>
        </w:rPr>
        <w:t>）诚信承诺函</w:t>
      </w:r>
    </w:p>
    <w:p>
      <w:pPr>
        <w:ind w:firstLine="960" w:firstLineChars="400"/>
        <w:rPr>
          <w:lang w:eastAsia="zh-CN"/>
        </w:rPr>
      </w:pPr>
      <w:r>
        <w:rPr>
          <w:rFonts w:hint="eastAsia"/>
          <w:lang w:eastAsia="zh-CN"/>
        </w:rPr>
        <w:t>（1</w:t>
      </w:r>
      <w:r>
        <w:rPr>
          <w:rFonts w:hint="eastAsia"/>
          <w:lang w:eastAsia="zh-CN"/>
        </w:rPr>
        <w:t>8</w:t>
      </w:r>
      <w:r>
        <w:rPr>
          <w:rFonts w:hint="eastAsia"/>
          <w:lang w:eastAsia="zh-CN"/>
        </w:rPr>
        <w:t>）投标人认为需要加以说明的其他内容</w:t>
      </w:r>
    </w:p>
    <w:bookmarkEnd w:id="15"/>
    <w:bookmarkEnd w:id="17"/>
    <w:p>
      <w:pPr>
        <w:widowControl w:val="0"/>
        <w:spacing w:line="320" w:lineRule="atLeast"/>
        <w:jc w:val="both"/>
        <w:rPr>
          <w:rFonts w:ascii="宋体" w:eastAsia="宋体" w:hAnsi="宋体" w:hint="eastAsia"/>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hint="eastAsia"/>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hint="eastAsia"/>
          <w:bCs/>
          <w:kern w:val="44"/>
          <w:sz w:val="32"/>
          <w:szCs w:val="32"/>
          <w:lang w:eastAsia="zh-CN"/>
        </w:rPr>
      </w:pPr>
      <w:bookmarkStart w:id="19" w:name="_Hlk72263559"/>
      <w:r>
        <w:rPr>
          <w:rFonts w:ascii="宋体" w:eastAsia="宋体" w:hAnsi="宋体" w:cstheme="minorBidi" w:hint="eastAsia"/>
          <w:b/>
          <w:kern w:val="2"/>
          <w:lang w:eastAsia="zh-CN"/>
        </w:rPr>
        <w:t>2.关于填写“开标一览表”的说明：“开标一览表”中除“投标总价”外，其他信息不作评审依据。</w:t>
      </w:r>
      <w:bookmarkEnd w:id="16"/>
      <w:bookmarkEnd w:id="19"/>
      <w:r>
        <w:rPr>
          <w:rFonts w:ascii="宋体" w:eastAsia="黑体" w:hAnsi="宋体"/>
          <w:bCs/>
          <w:kern w:val="44"/>
          <w:sz w:val="32"/>
          <w:szCs w:val="32"/>
          <w:lang w:eastAsia="zh-CN"/>
        </w:rPr>
        <w:br w:type="page"/>
      </w:r>
    </w:p>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hint="eastAsia"/>
          <w:kern w:val="2"/>
          <w:sz w:val="21"/>
          <w:szCs w:val="21"/>
          <w:lang w:eastAsia="zh-CN"/>
        </w:rPr>
      </w:pPr>
      <w:bookmarkStart w:id="20"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hint="eastAsia"/>
          <w:kern w:val="2"/>
          <w:sz w:val="21"/>
          <w:szCs w:val="21"/>
          <w:lang w:eastAsia="zh-CN"/>
        </w:rPr>
      </w:pPr>
      <w:bookmarkStart w:id="21" w:name="_Hlk73818812"/>
      <w:r>
        <w:rPr>
          <w:rFonts w:ascii="Calibri" w:eastAsia="宋体" w:hAnsi="Calibri" w:cstheme="minorBidi" w:hint="eastAsia"/>
          <w:kern w:val="2"/>
          <w:sz w:val="21"/>
          <w:szCs w:val="21"/>
          <w:lang w:eastAsia="zh-CN"/>
        </w:rPr>
        <w:t>1、根据已收到贵单位的项目编号为LHAZXDL-2025-00824的</w:t>
      </w:r>
      <w:r>
        <w:rPr>
          <w:rFonts w:ascii="Calibri" w:eastAsia="宋体" w:hAnsi="Calibri" w:cstheme="minorBidi" w:hint="eastAsia"/>
          <w:kern w:val="2"/>
          <w:sz w:val="21"/>
          <w:szCs w:val="21"/>
          <w:u w:val="thick"/>
          <w:lang w:eastAsia="zh-CN"/>
        </w:rPr>
        <w:t>分布式操作系统应用开发实训平台采购</w:t>
      </w:r>
      <w:r>
        <w:rPr>
          <w:rFonts w:ascii="Calibri" w:eastAsia="宋体" w:hAnsi="Calibri" w:cstheme="minorBidi"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2" w:name="_Hlk72263588"/>
      <w:r>
        <w:rPr>
          <w:rFonts w:ascii="Calibri" w:eastAsia="宋体" w:hAnsi="Calibri" w:cstheme="minorBidi" w:hint="eastAsia"/>
          <w:kern w:val="2"/>
          <w:sz w:val="21"/>
          <w:szCs w:val="21"/>
          <w:lang w:eastAsia="zh-CN"/>
        </w:rPr>
        <w:t>愿意按照招标文件要求承包上述项目并修补其任何缺陷。</w:t>
      </w:r>
      <w:bookmarkEnd w:id="22"/>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3"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3"/>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spacing w:line="360" w:lineRule="auto"/>
        <w:ind w:left="480" w:left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21"/>
    </w:p>
    <w:p>
      <w:pPr>
        <w:widowControl w:val="0"/>
        <w:spacing w:line="360" w:lineRule="auto"/>
        <w:ind w:left="480" w:left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bookmarkEnd w:id="20"/>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二、龙华区教育局自行采购投标及履约承诺函</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致：</w:t>
      </w:r>
      <w:r>
        <w:rPr>
          <w:rFonts w:ascii="宋体" w:eastAsia="宋体" w:hAnsi="宋体" w:cs="宋体" w:hint="eastAsia"/>
          <w:kern w:val="2"/>
          <w:sz w:val="21"/>
          <w:szCs w:val="21"/>
          <w:u w:val="single"/>
          <w:lang w:eastAsia="zh-CN"/>
        </w:rPr>
        <w:t>深圳市千里招标代理有限公司</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我单位承诺：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1.我单位本招标项目所提供的货物或服务未侵犯知识产权。</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2.我单位参与本项目投标前三年内，在经营活动中没有重大违法记录。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3.我单位参与本项目政府采购活动时不存在被有关部门禁止参与政府采购活动且在有效期内的情况。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4.我单位具备《中华人民共和国政府采购法》第二十二条第一款规定的六项条件。</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5.我单位未被列入失信被执行人、重大税收违法案件当事人名单（税收违法黑名单）、政府采购严重违法失信行为记录名单。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mac地址与其他投标人相同的情形。</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theme="minorBidi" w:hint="eastAsia"/>
          <w:kern w:val="2"/>
          <w:sz w:val="21"/>
          <w:szCs w:val="21"/>
          <w:lang w:eastAsia="zh-CN"/>
        </w:rPr>
        <w:t>我单位承诺参与本项目非联合体投标，不选用进口产品参与投标，中标后项目不转包，未经采购人同意不进行分包。</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我单位保证，若所投货物涉及《财政部生态环境部关于印发节能产品政府采购品目清单的通知》（财库〔2019〕19号）列明的政府采购强制产品，则所投该产品符合节能产品的认证要求，则所投该产品符合节能产品的认证要求。若所投产品包括数据中心相关设备的，应满足财政部《绿色数据中心政府采购需求标准（试行）》（财办库〔2023〕7号）要求。</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12.我单位承诺，为采购项目提供整体设计、规范编制或者项目管理、监理、检测等服务的供应商，不再参加该采购项目同一合同项下的其他采购活动。</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13.我单位承诺，符合《中华人民共和国政府采购法实施条例》第十八条第一款规定，不存在我单位与其他供应商的负责人为同一人或者存在直接控股、管理关系的情况。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14.所投标（响应）的货物、工程或服务，不存在侵犯知识产权的情况；已知悉并同意中标（成交）结果信息公示（公开）的内容。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15.本单位（公司）不存在《深圳市财政局政府采购供应商信用信息管理办法》（深财规</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2023〕3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16.我单位自愿遵照龙华区教育系统自行采购的有关管理制度和规定，并自愿接受龙华区教育局和财政部门的有关监督。</w:t>
      </w:r>
    </w:p>
    <w:p>
      <w:pPr>
        <w:widowControl w:val="0"/>
        <w:ind w:firstLine="645"/>
        <w:jc w:val="both"/>
        <w:rPr>
          <w:rFonts w:ascii="宋体" w:eastAsia="宋体" w:hAnsi="宋体" w:cs="宋体" w:hint="eastAsia"/>
          <w:kern w:val="2"/>
          <w:sz w:val="21"/>
          <w:szCs w:val="21"/>
          <w:lang w:eastAsia="zh-CN"/>
        </w:rPr>
      </w:pPr>
      <w:r>
        <w:rPr>
          <w:rFonts w:ascii="宋体" w:eastAsia="宋体" w:hAnsi="宋体" w:cstheme="minorBidi" w:hint="eastAsia"/>
          <w:color w:val="FF0000"/>
          <w:sz w:val="21"/>
          <w:szCs w:val="22"/>
          <w:lang w:eastAsia="zh-CN"/>
        </w:rPr>
        <w:t>17.如果我单位中标，将依照本项目招标文件要求，在接到深圳市千里招标代理有限公司通知（包括但不限于电话、短信通知）后3个工作日内，缴纳招标代理服务费。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pPr>
        <w:widowControl w:val="0"/>
        <w:spacing w:line="560" w:lineRule="exact"/>
        <w:jc w:val="both"/>
        <w:rPr>
          <w:rFonts w:ascii="宋体" w:eastAsia="宋体" w:hAnsi="宋体" w:cs="宋体" w:hint="eastAsia"/>
          <w:kern w:val="2"/>
          <w:sz w:val="18"/>
          <w:szCs w:val="18"/>
          <w:lang w:eastAsia="zh-CN"/>
        </w:rPr>
      </w:pPr>
    </w:p>
    <w:p>
      <w:pPr>
        <w:widowControl w:val="0"/>
        <w:spacing w:before="60" w:beforeLines="25" w:after="60" w:afterLines="25"/>
        <w:jc w:val="right"/>
        <w:rPr>
          <w:rFonts w:ascii="Calibri" w:eastAsia="宋体" w:hAnsi="Calibri"/>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hint="eastAsia"/>
          <w:b/>
          <w:bCs/>
          <w:color w:val="FF0000"/>
          <w:kern w:val="2"/>
          <w:sz w:val="21"/>
          <w:szCs w:val="21"/>
          <w:lang w:eastAsia="zh-CN"/>
        </w:rPr>
      </w:pPr>
    </w:p>
    <w:p>
      <w:pPr>
        <w:widowControl w:val="0"/>
        <w:jc w:val="right"/>
        <w:rPr>
          <w:rFonts w:ascii="宋体" w:eastAsia="宋体" w:hAnsi="宋体" w:hint="eastAsia"/>
          <w:color w:val="FF0000"/>
          <w:kern w:val="2"/>
          <w:sz w:val="21"/>
          <w:szCs w:val="21"/>
          <w:lang w:eastAsia="zh-CN"/>
        </w:rPr>
      </w:pPr>
      <w:r>
        <w:rPr>
          <w:rFonts w:ascii="宋体" w:eastAsia="宋体" w:hAnsi="宋体" w:cs="宋体" w:hint="eastAsia"/>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hint="eastAsia"/>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hint="eastAsia"/>
          <w:bCs/>
          <w:szCs w:val="32"/>
          <w:lang w:eastAsia="zh-CN"/>
        </w:rPr>
      </w:pPr>
      <w:bookmarkStart w:id="24"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hint="eastAsia"/>
          <w:bCs/>
          <w:szCs w:val="32"/>
          <w:lang w:eastAsia="zh-CN"/>
        </w:rPr>
      </w:pPr>
      <w:bookmarkStart w:id="25" w:name="_Hlk72257908"/>
      <w:r>
        <w:rPr>
          <w:rFonts w:ascii="黑体" w:eastAsia="黑体" w:hAnsi="宋体" w:cstheme="minorBidi" w:hint="eastAsia"/>
          <w:bCs/>
          <w:szCs w:val="32"/>
          <w:lang w:eastAsia="zh-CN"/>
        </w:rPr>
        <w:t>（二）中小企业声明函、残疾人福利性单位声明函及监狱企业声明函</w:t>
      </w:r>
    </w:p>
    <w:bookmarkEnd w:id="24"/>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2"/>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hint="eastAsia"/>
          <w:kern w:val="2"/>
          <w:sz w:val="21"/>
          <w:szCs w:val="21"/>
          <w:lang w:eastAsia="zh-CN"/>
        </w:rPr>
      </w:pPr>
      <w:bookmarkStart w:id="26"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eastAsia="宋体"/>
          <w:kern w:val="2"/>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6"/>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bookmarkStart w:id="27" w:name="_Hlk73562331"/>
      <w:bookmarkStart w:id="28"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7"/>
    </w:p>
    <w:bookmarkEnd w:id="28"/>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采购人</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i/>
          <w:i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5"/>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jc w:val="both"/>
        <w:rPr>
          <w:rFonts w:ascii="宋体" w:eastAsia="宋体" w:hAnsi="宋体" w:hint="eastAsia"/>
          <w:kern w:val="2"/>
          <w:sz w:val="21"/>
          <w:szCs w:val="21"/>
          <w:lang w:eastAsia="zh-CN"/>
        </w:rPr>
      </w:pPr>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四、分项报价清单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4"/>
        <w:gridCol w:w="760"/>
        <w:gridCol w:w="760"/>
        <w:gridCol w:w="760"/>
        <w:gridCol w:w="760"/>
        <w:gridCol w:w="760"/>
        <w:gridCol w:w="760"/>
        <w:gridCol w:w="760"/>
        <w:gridCol w:w="836"/>
        <w:gridCol w:w="836"/>
        <w:gridCol w:w="99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5"/>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序号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货物名称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品牌</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规格/型号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制造商名称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原产地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数量</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单位</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单价(元)</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合价(元)</w:t>
            </w:r>
          </w:p>
        </w:tc>
        <w:tc>
          <w:tcPr>
            <w:tcW w:w="55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预算金额（元）</w:t>
            </w:r>
          </w:p>
        </w:tc>
      </w:tr>
      <w:tr>
        <w:tblPrEx>
          <w:tblW w:w="5000" w:type="pct"/>
          <w:jc w:val="center"/>
          <w:tblLayout w:type="fixed"/>
          <w:tblCellMar>
            <w:top w:w="0" w:type="dxa"/>
            <w:left w:w="108" w:type="dxa"/>
            <w:bottom w:w="0" w:type="dxa"/>
            <w:right w:w="108" w:type="dxa"/>
          </w:tblCellMar>
        </w:tblPrEx>
        <w:trPr>
          <w:trHeight w:val="9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restart"/>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0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32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2639" w:type="pct"/>
            <w:gridSpan w:val="6"/>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投标总价（以上各项之和；币种：人民币；单位：元）</w:t>
            </w:r>
          </w:p>
        </w:tc>
        <w:tc>
          <w:tcPr>
            <w:tcW w:w="2361" w:type="pct"/>
            <w:gridSpan w:val="5"/>
            <w:vAlign w:val="center"/>
          </w:tcPr>
          <w:p>
            <w:pPr>
              <w:widowControl w:val="0"/>
              <w:jc w:val="both"/>
              <w:rPr>
                <w:rFonts w:ascii="Calibri" w:eastAsia="宋体" w:hAnsi="Calibri"/>
                <w:kern w:val="2"/>
                <w:sz w:val="21"/>
                <w:szCs w:val="21"/>
                <w:lang w:eastAsia="zh-CN"/>
              </w:rPr>
            </w:pPr>
          </w:p>
        </w:tc>
      </w:tr>
    </w:tbl>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填写说明：</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1.本表可根据实际需要增加相关内容，但原有的格式内容不得删减；</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4.“原产地”是指该货物的实际生产加工地，而非品牌所在地。</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6.以上分项报价表的投标总价应当与开标一览表的投标总价一致。</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ind w:left="480" w:firstLine="420" w:leftChars="200" w:firstLineChars="200"/>
        <w:jc w:val="both"/>
        <w:rPr>
          <w:rFonts w:eastAsia="宋体"/>
          <w:kern w:val="2"/>
          <w:sz w:val="21"/>
          <w:lang w:eastAsia="zh-CN"/>
        </w:rPr>
      </w:pPr>
    </w:p>
    <w:p>
      <w:pPr>
        <w:widowControl w:val="0"/>
        <w:spacing w:after="120"/>
        <w:jc w:val="both"/>
        <w:rPr>
          <w:rFonts w:eastAsia="宋体"/>
          <w:kern w:val="2"/>
          <w:sz w:val="21"/>
          <w:lang w:eastAsia="zh-CN"/>
        </w:rPr>
      </w:pPr>
    </w:p>
    <w:p>
      <w:pPr>
        <w:widowControl w:val="0"/>
        <w:spacing w:after="12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（二）核心产品品牌</w:t>
      </w: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ind w:firstLine="480" w:firstLineChars="200"/>
        <w:jc w:val="both"/>
        <w:rPr>
          <w:rFonts w:ascii="宋体" w:eastAsia="宋体" w:hAnsi="宋体" w:hint="eastAsia"/>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ordWrap w:val="0"/>
        <w:autoSpaceDE w:val="0"/>
        <w:autoSpaceDN w:val="0"/>
        <w:spacing w:line="400" w:lineRule="exact"/>
        <w:ind w:right="808" w:firstLine="420" w:firstLineChars="200"/>
        <w:jc w:val="both"/>
        <w:rPr>
          <w:rFonts w:ascii="Arial" w:eastAsia="宋体" w:hAnsi="Arial"/>
          <w:b/>
          <w:kern w:val="2"/>
          <w:sz w:val="21"/>
          <w:lang w:eastAsia="zh-CN"/>
        </w:rPr>
      </w:pPr>
      <w:r>
        <w:rPr>
          <w:rFonts w:eastAsia="宋体" w:hint="eastAsia"/>
          <w:kern w:val="2"/>
          <w:sz w:val="21"/>
          <w:lang w:eastAsia="zh-CN"/>
        </w:rPr>
        <w:t>备注：单一产品采购项目，核心产品即为该单一产品。</w:t>
      </w:r>
    </w:p>
    <w:p>
      <w:pPr>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（三）可选配件报价清单（非项目需求要求的必备配件，此部分不包括在总报价内）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（四）供应商认为需要涉及的其他内容报价清单</w:t>
      </w: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keepNext/>
        <w:keepLines/>
        <w:spacing w:before="260" w:after="260"/>
        <w:jc w:val="center"/>
        <w:outlineLvl w:val="2"/>
        <w:rPr>
          <w:rFonts w:ascii="黑体" w:eastAsia="黑体" w:hAnsi="宋体" w:hint="eastAsia"/>
          <w:b/>
          <w:kern w:val="2"/>
          <w:sz w:val="30"/>
          <w:szCs w:val="30"/>
          <w:lang w:eastAsia="zh-CN"/>
        </w:rPr>
      </w:pPr>
      <w:r>
        <w:rPr>
          <w:rFonts w:ascii="黑体" w:eastAsia="黑体" w:hAnsi="宋体" w:hint="eastAsia"/>
          <w:b/>
          <w:kern w:val="2"/>
          <w:sz w:val="30"/>
          <w:szCs w:val="30"/>
          <w:lang w:eastAsia="zh-CN"/>
        </w:rPr>
        <w:t>五、股东构成审查表</w:t>
      </w:r>
    </w:p>
    <w:p>
      <w:pPr>
        <w:keepNext/>
        <w:keepLines/>
        <w:widowControl w:val="0"/>
        <w:numPr>
          <w:ilvl w:val="0"/>
          <w:numId w:val="3"/>
        </w:numPr>
        <w:spacing w:line="360" w:lineRule="auto"/>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spacing w:line="360" w:lineRule="auto"/>
        <w:jc w:val="both"/>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4" w:history="1">
        <w:r>
          <w:rPr>
            <w:rFonts w:ascii="宋体" w:eastAsia="宋体" w:hAnsi="宋体" w:cs="宋体" w:hint="eastAsia"/>
            <w:color w:val="0000FF"/>
            <w:kern w:val="2"/>
            <w:sz w:val="21"/>
            <w:szCs w:val="22"/>
            <w:u w:val="single"/>
            <w:lang w:eastAsia="zh-CN"/>
          </w:rPr>
          <w:t>https://amr.sz.gov.cn/outer/entSelect/gs.html”。</w:t>
        </w:r>
      </w:hyperlink>
    </w:p>
    <w:p>
      <w:pPr>
        <w:spacing w:line="360" w:lineRule="auto"/>
        <w:ind w:firstLine="480" w:firstLineChars="200"/>
        <w:rPr>
          <w:rFonts w:ascii="宋体" w:eastAsia="宋体" w:hAnsi="宋体" w:hint="eastAsia"/>
          <w:bCs/>
          <w:kern w:val="2"/>
          <w:sz w:val="21"/>
          <w:szCs w:val="21"/>
          <w:lang w:eastAsia="zh-CN"/>
        </w:rPr>
      </w:pPr>
      <w:r>
        <w:rPr>
          <w:rFonts w:ascii="宋体" w:eastAsia="宋体" w:hAnsi="宋体"/>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rPr>
          <w:rFonts w:ascii="Calibri" w:eastAsia="宋体" w:hAnsi="Calibri"/>
          <w:kern w:val="2"/>
          <w:sz w:val="21"/>
          <w:szCs w:val="22"/>
          <w:lang w:eastAsia="zh-CN"/>
        </w:rPr>
      </w:pPr>
      <w:r>
        <w:rPr>
          <w:rFonts w:ascii="宋体" w:eastAsia="宋体" w:hAnsi="宋体"/>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rPr>
          <w:rFonts w:ascii="宋体" w:eastAsia="宋体" w:hAnsi="宋体" w:cs="宋体" w:hint="eastAsia"/>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spacing w:line="360" w:lineRule="auto"/>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jc w:val="both"/>
        <w:rPr>
          <w:rFonts w:ascii="宋体" w:eastAsia="宋体" w:hAnsi="宋体" w:cs="宋体" w:hint="eastAsia"/>
          <w:kern w:val="2"/>
          <w:sz w:val="21"/>
          <w:szCs w:val="22"/>
          <w:lang w:eastAsia="zh-CN"/>
        </w:rPr>
      </w:pPr>
    </w:p>
    <w:p>
      <w:pPr>
        <w:keepNext/>
        <w:keepLines/>
        <w:widowControl w:val="0"/>
        <w:spacing w:line="360" w:lineRule="auto"/>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autoSpaceDE w:val="0"/>
        <w:autoSpaceDN w:val="0"/>
        <w:adjustRightInd w:val="0"/>
        <w:snapToGrid w:val="0"/>
        <w:spacing w:line="360" w:lineRule="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autoSpaceDE w:val="0"/>
        <w:autoSpaceDN w:val="0"/>
        <w:adjustRightInd w:val="0"/>
        <w:snapToGrid w:val="0"/>
        <w:spacing w:line="360" w:lineRule="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spacing w:line="360" w:lineRule="auto"/>
        <w:rPr>
          <w:rFonts w:hint="eastAsia"/>
          <w:b/>
          <w:bCs/>
          <w:lang w:eastAsia="zh-CN"/>
        </w:rPr>
      </w:pPr>
    </w:p>
    <w:p>
      <w:pPr>
        <w:spacing w:line="360" w:lineRule="auto"/>
        <w:rPr>
          <w:rFonts w:hint="eastAsia"/>
          <w:b/>
          <w:bCs/>
          <w:lang w:eastAsia="zh-CN"/>
        </w:rPr>
      </w:pPr>
    </w:p>
    <w:p>
      <w:pPr>
        <w:spacing w:line="360" w:lineRule="auto"/>
        <w:rPr>
          <w:rFonts w:hint="eastAsia"/>
          <w:b/>
          <w:bCs/>
          <w:lang w:eastAsia="zh-CN"/>
        </w:rPr>
      </w:pPr>
    </w:p>
    <w:p>
      <w:pPr>
        <w:spacing w:line="360" w:lineRule="auto"/>
        <w:rPr>
          <w:rFonts w:hint="eastAsia"/>
          <w:b/>
          <w:bCs/>
          <w:lang w:eastAsia="zh-CN"/>
        </w:rPr>
      </w:pPr>
    </w:p>
    <w:p>
      <w:pPr>
        <w:spacing w:line="360" w:lineRule="auto"/>
        <w:rPr>
          <w:rFonts w:hint="eastAsia"/>
          <w:b/>
          <w:bCs/>
          <w:lang w:eastAsia="zh-CN"/>
        </w:rPr>
      </w:pPr>
    </w:p>
    <w:p>
      <w:pPr>
        <w:widowControl w:val="0"/>
        <w:spacing w:after="60" w:afterLines="25" w:line="300" w:lineRule="auto"/>
        <w:jc w:val="left"/>
        <w:rPr>
          <w:rFonts w:ascii="Arial" w:eastAsia="宋体" w:hAnsi="Arial"/>
          <w:b/>
          <w:kern w:val="2"/>
          <w:sz w:val="21"/>
          <w:szCs w:val="22"/>
          <w:lang w:eastAsia="zh-CN"/>
        </w:rPr>
      </w:pPr>
    </w:p>
    <w:p>
      <w:pPr>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六、</w:t>
      </w:r>
      <w:bookmarkStart w:id="29" w:name="_Hlk72092499"/>
      <w:r>
        <w:rPr>
          <w:rFonts w:ascii="黑体" w:eastAsia="黑体" w:hAnsi="宋体" w:cstheme="minorBidi" w:hint="eastAsia"/>
          <w:b/>
          <w:kern w:val="2"/>
          <w:sz w:val="30"/>
          <w:szCs w:val="30"/>
          <w:lang w:eastAsia="zh-CN"/>
        </w:rPr>
        <w:t>法定代表人（负责人）证明书</w:t>
      </w:r>
      <w:bookmarkEnd w:id="29"/>
    </w:p>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（姓名），现任我单位职务，为法定代表人（负责人），身份证件号为：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说明：1、法定代表人为投标人（企业事业单位、国家机关、社会团体）的主要行政负责人。</w:t>
      </w:r>
    </w:p>
    <w:p>
      <w:pPr>
        <w:widowControl w:val="0"/>
        <w:numPr>
          <w:ilvl w:val="0"/>
          <w:numId w:val="4"/>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4"/>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本项目投标授权代表为法定代表人（负责人）的，无需提供《投标文件签署授权委托书》。</w:t>
      </w:r>
    </w:p>
    <w:p>
      <w:pPr>
        <w:widowControl w:val="0"/>
        <w:numPr>
          <w:ilvl w:val="0"/>
          <w:numId w:val="4"/>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p>
      <w:pPr>
        <w:widowControl w:val="0"/>
        <w:spacing w:line="360" w:lineRule="auto"/>
        <w:jc w:val="both"/>
        <w:rPr>
          <w:rFonts w:ascii="Calibri" w:eastAsia="宋体" w:hAnsi="Calibri"/>
          <w:kern w:val="2"/>
          <w:sz w:val="21"/>
          <w:szCs w:val="21"/>
          <w:lang w:eastAsia="zh-CN"/>
        </w:rPr>
      </w:pPr>
      <w:r>
        <w:rPr>
          <w:rFonts w:hint="eastAsia"/>
          <w:b/>
          <w:color w:val="FF0000"/>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68"/>
        </w:trPr>
        <w:tc>
          <w:tcPr>
            <w:tcW w:w="4529"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53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keepNext/>
        <w:keepLines/>
        <w:spacing w:before="120" w:after="120"/>
        <w:jc w:val="center"/>
        <w:outlineLvl w:val="2"/>
        <w:rPr>
          <w:rFonts w:ascii="黑体" w:eastAsia="黑体" w:hAnsi="宋体" w:hint="eastAsia"/>
          <w:bCs/>
          <w:kern w:val="2"/>
          <w:szCs w:val="32"/>
        </w:rPr>
      </w:pPr>
      <w:r>
        <w:rPr>
          <w:rFonts w:ascii="黑体" w:eastAsia="黑体" w:hAnsi="宋体" w:hint="eastAsia"/>
          <w:bCs/>
          <w:kern w:val="2"/>
          <w:szCs w:val="32"/>
          <w:lang w:eastAsia="zh-CN"/>
        </w:rPr>
        <w:t>七、</w:t>
      </w:r>
      <w:r>
        <w:rPr>
          <w:rFonts w:ascii="黑体" w:eastAsia="黑体" w:hAnsi="宋体" w:hint="eastAsia"/>
          <w:bCs/>
          <w:kern w:val="2"/>
          <w:szCs w:val="32"/>
        </w:rPr>
        <w:t>供应商基本情况表</w:t>
      </w:r>
    </w:p>
    <w:tbl>
      <w:tblPr>
        <w:tblStyle w:val="TableNormal"/>
        <w:tblW w:w="5000" w:type="pct"/>
        <w:tblInd w:w="0" w:type="dxa"/>
        <w:tblLayout w:type="fixed"/>
        <w:tblCellMar>
          <w:top w:w="0" w:type="dxa"/>
          <w:left w:w="108" w:type="dxa"/>
          <w:bottom w:w="0" w:type="dxa"/>
          <w:right w:w="108" w:type="dxa"/>
        </w:tblCellMar>
      </w:tblPr>
      <w:tblGrid>
        <w:gridCol w:w="730"/>
        <w:gridCol w:w="669"/>
        <w:gridCol w:w="1590"/>
        <w:gridCol w:w="939"/>
        <w:gridCol w:w="783"/>
        <w:gridCol w:w="1188"/>
        <w:gridCol w:w="1486"/>
        <w:gridCol w:w="1471"/>
      </w:tblGrid>
      <w:tr>
        <w:tblPrEx>
          <w:tblW w:w="5000" w:type="pct"/>
          <w:tblInd w:w="0" w:type="dxa"/>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投标（响应）供应商</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项目名称及编号</w:t>
            </w:r>
          </w:p>
        </w:tc>
        <w:tc>
          <w:tcPr>
            <w:tcW w:w="2985"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投标（响应）供应商相关人员情况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职务</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姓名</w:t>
            </w: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身份证号码</w:t>
            </w: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劳动合同</w:t>
            </w:r>
          </w:p>
          <w:p>
            <w:pPr>
              <w:spacing w:line="360" w:lineRule="auto"/>
              <w:rPr>
                <w:b/>
                <w:bCs/>
                <w:kern w:val="2"/>
              </w:rPr>
            </w:pPr>
            <w:r>
              <w:rPr>
                <w:b/>
                <w:bCs/>
                <w:kern w:val="2"/>
              </w:rPr>
              <w:t>关系单位</w:t>
            </w: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缴纳社会</w:t>
            </w:r>
          </w:p>
          <w:p>
            <w:pPr>
              <w:spacing w:line="360" w:lineRule="auto"/>
              <w:rPr>
                <w:b/>
                <w:bCs/>
                <w:kern w:val="2"/>
              </w:rPr>
            </w:pPr>
            <w:r>
              <w:rPr>
                <w:b/>
                <w:bCs/>
                <w:kern w:val="2"/>
              </w:rPr>
              <w:t>保险单位</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法定代表人/单位负责人/主要经营负责人</w:t>
            </w:r>
          </w:p>
        </w:tc>
        <w:tc>
          <w:tcPr>
            <w:tcW w:w="947"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500"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485"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项目投标授权代表人</w:t>
            </w:r>
          </w:p>
        </w:tc>
        <w:tc>
          <w:tcPr>
            <w:tcW w:w="947"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3</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项目负责人</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4</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主要技术人员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5</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投标文件编制人员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说明：同一职务有多人担任（如主要技术人员），应分行填写。</w:t>
            </w:r>
          </w:p>
        </w:tc>
      </w:tr>
      <w:tr>
        <w:tblPrEx>
          <w:tblW w:w="5000" w:type="pct"/>
          <w:tblInd w:w="0" w:type="dxa"/>
          <w:tblLayout w:type="fixed"/>
          <w:tblCellMar>
            <w:top w:w="0" w:type="dxa"/>
            <w:left w:w="108" w:type="dxa"/>
            <w:bottom w:w="0" w:type="dxa"/>
            <w:right w:w="108" w:type="dxa"/>
          </w:tblCellMar>
        </w:tblPrEx>
        <w:trPr>
          <w:trHeight w:val="539"/>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投标（响应）供应商关联关系情况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关联关系类型</w:t>
            </w:r>
          </w:p>
        </w:tc>
        <w:tc>
          <w:tcPr>
            <w:tcW w:w="1738"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关联主体名称</w:t>
            </w:r>
          </w:p>
        </w:tc>
        <w:tc>
          <w:tcPr>
            <w:tcW w:w="4185" w:type="dxa"/>
            <w:gridSpan w:val="3"/>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备注</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控股股东</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tblInd w:w="0" w:type="dxa"/>
          <w:tblLayout w:type="fixed"/>
          <w:tblCellMar>
            <w:top w:w="0" w:type="dxa"/>
            <w:left w:w="108" w:type="dxa"/>
            <w:bottom w:w="0" w:type="dxa"/>
            <w:right w:w="108" w:type="dxa"/>
          </w:tblCellMar>
        </w:tblPrEx>
        <w:trPr>
          <w:trHeight w:val="789"/>
        </w:trPr>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管理关系</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指对投标（响应）供应商不具有出资持股关系，但对其存在管理关系的主体。</w:t>
            </w:r>
          </w:p>
        </w:tc>
      </w:tr>
      <w:tr>
        <w:tblPrEx>
          <w:tblW w:w="5000" w:type="pct"/>
          <w:tblInd w:w="0" w:type="dxa"/>
          <w:tblLayout w:type="fixed"/>
          <w:tblCellMar>
            <w:top w:w="0" w:type="dxa"/>
            <w:left w:w="108" w:type="dxa"/>
            <w:bottom w:w="0" w:type="dxa"/>
            <w:right w:w="108" w:type="dxa"/>
          </w:tblCellMar>
        </w:tblPrEx>
        <w:trPr>
          <w:trHeight w:val="455"/>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说明：同一关联关系类型有多个主体的，应分行填写。</w:t>
            </w:r>
          </w:p>
        </w:tc>
      </w:tr>
    </w:tbl>
    <w:p>
      <w:pPr>
        <w:widowControl w:val="0"/>
        <w:spacing w:line="360" w:lineRule="auto"/>
        <w:ind w:firstLine="420" w:firstLineChars="200"/>
        <w:jc w:val="both"/>
        <w:rPr>
          <w:rFonts w:ascii="宋体" w:eastAsia="宋体" w:hAnsi="宋体" w:hint="eastAsia"/>
          <w:kern w:val="2"/>
          <w:sz w:val="21"/>
          <w:szCs w:val="21"/>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jc w:val="both"/>
        <w:rPr>
          <w:rFonts w:ascii="Calibri" w:eastAsia="宋体" w:hAnsi="Calibri"/>
          <w:kern w:val="2"/>
          <w:szCs w:val="22"/>
          <w:lang w:eastAsia="zh-CN"/>
        </w:rPr>
      </w:pPr>
    </w:p>
    <w:p>
      <w:pPr>
        <w:widowControl w:val="0"/>
        <w:spacing w:after="120"/>
        <w:jc w:val="both"/>
        <w:rPr>
          <w:rFonts w:ascii="Calibri" w:eastAsia="宋体" w:hAnsi="Calibri"/>
          <w:kern w:val="2"/>
          <w:szCs w:val="22"/>
          <w:lang w:eastAsia="zh-CN"/>
        </w:rPr>
      </w:pPr>
    </w:p>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八、投标文件签署授权委托书</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kern w:val="2"/>
          <w:sz w:val="21"/>
          <w:szCs w:val="21"/>
          <w:lang w:eastAsia="zh-CN"/>
        </w:rPr>
      </w:pP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身份证件号：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月</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附：1、请提供代理人身份证扫描件（正反两面）；港澳台居民可提供来往通行证扫描件；非中国国籍管辖范围人员，可提供公安部门认可的身份证明材料扫描件。</w:t>
      </w:r>
    </w:p>
    <w:p>
      <w:pPr>
        <w:ind w:firstLine="420" w:firstLineChars="200"/>
        <w:rPr>
          <w:rFonts w:ascii="宋体" w:eastAsia="宋体" w:hAnsi="宋体" w:cs="Arial" w:hint="eastAsia"/>
          <w:b/>
          <w:bCs/>
          <w:sz w:val="21"/>
          <w:szCs w:val="21"/>
          <w:lang w:eastAsia="zh-CN"/>
        </w:rPr>
      </w:pPr>
      <w:r>
        <w:rPr>
          <w:rFonts w:hint="eastAsia"/>
          <w:sz w:val="21"/>
          <w:szCs w:val="21"/>
          <w:lang w:eastAsia="zh-CN"/>
        </w:rPr>
        <w:t>2、</w:t>
      </w:r>
      <w:r>
        <w:rPr>
          <w:rFonts w:ascii="宋体" w:eastAsia="宋体" w:hAnsi="宋体" w:cs="Arial" w:hint="eastAsia"/>
          <w:b/>
          <w:bCs/>
          <w:sz w:val="21"/>
          <w:szCs w:val="21"/>
          <w:lang w:eastAsia="zh-CN"/>
        </w:rPr>
        <w:t>投标时提供项目投标授权代表人近三个月（含开标当月）中的任意一个月的社会保险证明。</w:t>
      </w:r>
    </w:p>
    <w:p>
      <w:pPr>
        <w:ind w:firstLine="420" w:firstLineChars="200"/>
        <w:rPr>
          <w:rFonts w:ascii="宋体" w:eastAsia="宋体" w:hAnsi="宋体" w:cs="Arial" w:hint="eastAsia"/>
          <w:bCs/>
          <w:sz w:val="21"/>
          <w:szCs w:val="21"/>
          <w:lang w:eastAsia="zh-CN"/>
        </w:rPr>
      </w:pPr>
      <w:r>
        <w:rPr>
          <w:rFonts w:ascii="宋体" w:eastAsia="宋体" w:hAnsi="宋体" w:cs="Arial" w:hint="eastAsia"/>
          <w:bCs/>
          <w:sz w:val="21"/>
          <w:szCs w:val="21"/>
          <w:lang w:eastAsia="zh-CN"/>
        </w:rPr>
        <w:t>注：</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（1）</w:t>
      </w:r>
      <w:r>
        <w:rPr>
          <w:rFonts w:ascii="宋体" w:eastAsia="宋体" w:hAnsi="宋体" w:cs="Arial" w:hint="eastAsia"/>
          <w:bCs/>
          <w:sz w:val="21"/>
          <w:szCs w:val="21"/>
          <w:lang w:eastAsia="zh-CN"/>
        </w:rPr>
        <w:t>投标人应如实提供上述人员的社会保险证明，如上述人员的社会保险未由投标人缴纳，亦须提供相应单位为其缴纳的社会保险证明。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（2）</w:t>
      </w:r>
      <w:r>
        <w:rPr>
          <w:rFonts w:ascii="宋体" w:eastAsia="宋体" w:hAnsi="宋体" w:cs="Arial" w:hint="eastAsia"/>
          <w:bCs/>
          <w:sz w:val="21"/>
          <w:szCs w:val="21"/>
          <w:lang w:eastAsia="zh-CN"/>
        </w:rPr>
        <w:t>投标人为新成立企业且成立时间不足一个月可提供加盖投标人公章的情况说明或者证明材料亦视为符合。</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（3）</w:t>
      </w:r>
      <w:r>
        <w:rPr>
          <w:rFonts w:ascii="宋体" w:eastAsia="宋体" w:hAnsi="宋体" w:cs="Arial" w:hint="eastAsia"/>
          <w:bCs/>
          <w:sz w:val="21"/>
          <w:szCs w:val="21"/>
          <w:lang w:eastAsia="zh-CN"/>
        </w:rPr>
        <w:t>若为退休人员，提供退休证明。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（4）</w:t>
      </w:r>
      <w:r>
        <w:rPr>
          <w:rFonts w:ascii="宋体" w:eastAsia="宋体" w:hAnsi="宋体" w:cs="Arial" w:hint="eastAsia"/>
          <w:bCs/>
          <w:sz w:val="21"/>
          <w:szCs w:val="21"/>
          <w:lang w:eastAsia="zh-CN"/>
        </w:rPr>
        <w:t>如依法不需要缴纳社会保险的，应提供相应文件证明。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（5）</w:t>
      </w:r>
      <w:r>
        <w:rPr>
          <w:rFonts w:ascii="宋体" w:eastAsia="宋体" w:hAnsi="宋体" w:cs="Arial" w:hint="eastAsia"/>
          <w:bCs/>
          <w:sz w:val="21"/>
          <w:szCs w:val="21"/>
          <w:lang w:eastAsia="zh-CN"/>
        </w:rPr>
        <w:t>若因为社保部门或税务部门原因无法提供的，需提供劳动合同及社保部门或税务部门官方通知证明（或官网公告截图）。</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（6）</w:t>
      </w:r>
      <w:r>
        <w:rPr>
          <w:rFonts w:ascii="宋体" w:eastAsia="宋体" w:hAnsi="宋体" w:cs="Arial" w:hint="eastAsia"/>
          <w:bCs/>
          <w:sz w:val="21"/>
          <w:szCs w:val="21"/>
          <w:lang w:eastAsia="zh-CN"/>
        </w:rPr>
        <w:t>如本项目未安排项目投标授权代表人的，无需提供投标授权代表人的社保。</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18"/>
        </w:trPr>
        <w:tc>
          <w:tcPr>
            <w:tcW w:w="4269"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270"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tabs>
          <w:tab w:val="left" w:pos="651"/>
        </w:tabs>
        <w:snapToGrid w:val="0"/>
        <w:jc w:val="center"/>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jc w:val="center"/>
        <w:rPr>
          <w:rFonts w:ascii="黑体" w:eastAsia="黑体" w:hAnsi="Calibri"/>
          <w:b/>
          <w:kern w:val="2"/>
          <w:sz w:val="30"/>
          <w:szCs w:val="22"/>
          <w:lang w:eastAsia="zh-CN"/>
        </w:rPr>
      </w:pPr>
      <w:r>
        <w:rPr>
          <w:rFonts w:ascii="黑体" w:eastAsia="黑体" w:hAnsi="Calibri" w:cstheme="minorBidi" w:hint="eastAsia"/>
          <w:b/>
          <w:kern w:val="2"/>
          <w:sz w:val="30"/>
          <w:szCs w:val="22"/>
          <w:lang w:eastAsia="zh-CN"/>
        </w:rPr>
        <w:t>九、</w:t>
      </w:r>
      <w:bookmarkStart w:id="30" w:name="_Hlk72092634"/>
      <w:r>
        <w:rPr>
          <w:rFonts w:ascii="黑体" w:eastAsia="黑体" w:hAnsi="Calibri" w:cstheme="minorBidi" w:hint="eastAsia"/>
          <w:b/>
          <w:kern w:val="2"/>
          <w:sz w:val="30"/>
          <w:szCs w:val="22"/>
          <w:lang w:eastAsia="zh-CN"/>
        </w:rPr>
        <w:t>实质性条款响应情况表</w:t>
      </w:r>
      <w:bookmarkEnd w:id="30"/>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hint="eastAsia"/>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hint="eastAsia"/>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hint="eastAsia"/>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hint="eastAsia"/>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hint="eastAsia"/>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hint="eastAsia"/>
                <w:b/>
                <w:color w:val="FF0000"/>
                <w:sz w:val="21"/>
                <w:szCs w:val="21"/>
                <w:lang w:eastAsia="zh-CN"/>
              </w:rPr>
            </w:pPr>
          </w:p>
        </w:tc>
      </w:tr>
    </w:tbl>
    <w:p>
      <w:pPr>
        <w:widowControl w:val="0"/>
        <w:snapToGrid w:val="0"/>
        <w:jc w:val="both"/>
        <w:rPr>
          <w:rFonts w:ascii="宋体" w:eastAsia="宋体" w:hAnsi="宋体" w:hint="eastAsia"/>
          <w:kern w:val="2"/>
          <w:lang w:eastAsia="zh-CN"/>
        </w:rPr>
      </w:pPr>
    </w:p>
    <w:p>
      <w:pPr>
        <w:widowControl w:val="0"/>
        <w:snapToGrid w:val="0"/>
        <w:jc w:val="both"/>
        <w:rPr>
          <w:rFonts w:ascii="宋体" w:eastAsia="宋体" w:hAnsi="宋体" w:hint="eastAsia"/>
          <w:b/>
          <w:kern w:val="2"/>
          <w:lang w:eastAsia="zh-CN"/>
        </w:rPr>
      </w:pPr>
      <w:r>
        <w:rPr>
          <w:rFonts w:ascii="宋体" w:eastAsia="宋体" w:hAnsi="宋体" w:hint="eastAsia"/>
          <w:b/>
          <w:kern w:val="2"/>
          <w:lang w:eastAsia="zh-CN"/>
        </w:rPr>
        <w:t>填写说明：</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1、上表所列各项均为不可负偏离条款。</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2、“投标文件响应”一栏应当详细填写投标人自身响应情况，而不能不合理照搬照抄招标文件实质性条款具体内容。</w:t>
      </w:r>
      <w:r>
        <w:rPr>
          <w:rFonts w:ascii="宋体" w:eastAsia="宋体" w:hAnsi="宋体" w:cs="宋体" w:hint="eastAsia"/>
          <w:b/>
          <w:bCs/>
          <w:kern w:val="2"/>
          <w:lang w:eastAsia="zh-CN"/>
        </w:rPr>
        <w:t>如完全满足实质性条款具体内容可填写“完全响应”，除招标文件另有注明外，不强制要求逐条列出响应。</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3、“偏离情况”一栏应填写</w:t>
      </w:r>
      <w:r>
        <w:rPr>
          <w:rFonts w:ascii="宋体" w:eastAsia="宋体" w:hAnsi="宋体" w:cs="宋体" w:hint="eastAsia"/>
          <w:kern w:val="2"/>
          <w:lang w:eastAsia="zh-CN"/>
        </w:rPr>
        <w:t>“</w:t>
      </w:r>
      <w:r>
        <w:rPr>
          <w:rFonts w:ascii="宋体" w:eastAsia="宋体" w:hAnsi="宋体" w:cs="宋体" w:hint="eastAsia"/>
          <w:b/>
          <w:bCs/>
          <w:kern w:val="2"/>
          <w:lang w:eastAsia="zh-CN"/>
        </w:rPr>
        <w:t>正偏离</w:t>
      </w:r>
      <w:r>
        <w:rPr>
          <w:rFonts w:ascii="宋体" w:eastAsia="宋体" w:hAnsi="宋体" w:cs="宋体" w:hint="eastAsia"/>
          <w:kern w:val="2"/>
          <w:lang w:eastAsia="zh-CN"/>
        </w:rPr>
        <w:t>”或“</w:t>
      </w:r>
      <w:r>
        <w:rPr>
          <w:rFonts w:ascii="宋体" w:eastAsia="宋体" w:hAnsi="宋体" w:cs="宋体" w:hint="eastAsia"/>
          <w:b/>
          <w:bCs/>
          <w:kern w:val="2"/>
          <w:lang w:eastAsia="zh-CN"/>
        </w:rPr>
        <w:t>负偏离</w:t>
      </w:r>
      <w:r>
        <w:rPr>
          <w:rFonts w:ascii="宋体" w:eastAsia="宋体" w:hAnsi="宋体" w:cs="宋体" w:hint="eastAsia"/>
          <w:kern w:val="2"/>
          <w:lang w:eastAsia="zh-CN"/>
        </w:rPr>
        <w:t>”或“</w:t>
      </w:r>
      <w:r>
        <w:rPr>
          <w:rFonts w:ascii="宋体" w:eastAsia="宋体" w:hAnsi="宋体" w:cs="宋体" w:hint="eastAsia"/>
          <w:b/>
          <w:bCs/>
          <w:kern w:val="2"/>
          <w:lang w:eastAsia="zh-CN"/>
        </w:rPr>
        <w:t>无偏离</w:t>
      </w:r>
      <w:r>
        <w:rPr>
          <w:rFonts w:ascii="宋体" w:eastAsia="宋体" w:hAnsi="宋体" w:cs="宋体" w:hint="eastAsia"/>
          <w:kern w:val="2"/>
          <w:lang w:eastAsia="zh-CN"/>
        </w:rPr>
        <w:t>”</w:t>
      </w:r>
      <w:r>
        <w:rPr>
          <w:rFonts w:ascii="宋体" w:eastAsia="宋体" w:hAnsi="宋体" w:cs="宋体" w:hint="eastAsia"/>
          <w:bCs/>
          <w:kern w:val="2"/>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4、评审委员会有权对投标响应情况作出判断。</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5、实质性响应条款“投标响应情况”与投标文件其它内容冲突的，以实质性响应条款“投标响应情况”为准。</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十、技术要求偏离表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36"/>
          <w:jc w:val="center"/>
        </w:trPr>
        <w:tc>
          <w:tcPr>
            <w:tcW w:w="77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序号</w:t>
            </w:r>
          </w:p>
        </w:tc>
        <w:tc>
          <w:tcPr>
            <w:tcW w:w="126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货物名称</w:t>
            </w:r>
          </w:p>
        </w:tc>
        <w:tc>
          <w:tcPr>
            <w:tcW w:w="3028"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招标技术要求</w:t>
            </w:r>
          </w:p>
        </w:tc>
        <w:tc>
          <w:tcPr>
            <w:tcW w:w="28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投标技术响应</w:t>
            </w:r>
          </w:p>
        </w:tc>
        <w:tc>
          <w:tcPr>
            <w:tcW w:w="1210"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偏离情况</w:t>
            </w:r>
          </w:p>
        </w:tc>
        <w:tc>
          <w:tcPr>
            <w:tcW w:w="87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ign w:val="center"/>
          </w:tcPr>
          <w:p>
            <w:pPr>
              <w:widowControl w:val="0"/>
              <w:jc w:val="both"/>
              <w:rPr>
                <w:rFonts w:ascii="Calibri" w:eastAsia="宋体" w:hAnsi="Calibri"/>
                <w:kern w:val="2"/>
                <w:sz w:val="21"/>
                <w:szCs w:val="22"/>
                <w:lang w:eastAsia="zh-CN"/>
              </w:rPr>
            </w:pPr>
          </w:p>
        </w:tc>
        <w:tc>
          <w:tcPr>
            <w:tcW w:w="1266" w:type="dxa"/>
            <w:vMerge/>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十一、商务要求偏离表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2"/>
        <w:gridCol w:w="1456"/>
        <w:gridCol w:w="2484"/>
        <w:gridCol w:w="2404"/>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9"/>
          <w:jc w:val="center"/>
        </w:trPr>
        <w:tc>
          <w:tcPr>
            <w:tcW w:w="681"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573"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700"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采购</w:t>
            </w:r>
            <w:r>
              <w:rPr>
                <w:rFonts w:ascii="Calibri" w:eastAsia="宋体" w:hAnsi="Calibri" w:cstheme="minorBidi" w:hint="eastAsia"/>
                <w:kern w:val="2"/>
                <w:sz w:val="21"/>
                <w:szCs w:val="22"/>
                <w:lang w:eastAsia="zh-CN"/>
              </w:rPr>
              <w:t>商务要求</w:t>
            </w:r>
          </w:p>
        </w:tc>
        <w:tc>
          <w:tcPr>
            <w:tcW w:w="261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26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74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（一）免费保修期内售后服务要求</w:t>
            </w: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700" w:type="dxa"/>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（二）其他商务要求</w:t>
            </w: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1、商务要求偏离表的序号、目录、招标商务要求等栏目对应“用户需求书”中的“商务要求”章节相关内容。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2、“投标商务响应”一栏必须一一对照“采购商务要求”，详细填写自身响应情况，而不能不合理照搬照抄招标文件的商务要求，以体现具体响应情况。</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“投标商务响应”对比“采购商务要求”存在响应不全（包括未响应整项招标商务要求或者未响应一项招标商务要求的部分内容），均视为“负偏离”。</w:t>
      </w:r>
    </w:p>
    <w:p>
      <w:pPr>
        <w:numPr>
          <w:ilvl w:val="0"/>
          <w:numId w:val="4"/>
        </w:num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带★号条款为不可偏离条款，如未响应或出现负偏离的，将作投标无效处理。</w:t>
      </w: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十二、现场演示</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十三、项目整体设计方案</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十四、供货、安装指导及调试方案</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十五、项目经理资质情况（仅限1人）</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十六、同类项目业绩</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十七、诚信承诺函</w:t>
      </w:r>
    </w:p>
    <w:p>
      <w:pPr>
        <w:spacing w:line="360" w:lineRule="auto"/>
        <w:rPr>
          <w:rFonts w:ascii="宋体" w:eastAsia="宋体" w:hAnsi="宋体" w:hint="eastAsia"/>
          <w:b/>
          <w:szCs w:val="21"/>
          <w:lang w:eastAsia="zh-CN"/>
        </w:rPr>
      </w:pPr>
      <w:r>
        <w:rPr>
          <w:rFonts w:ascii="宋体" w:eastAsia="宋体" w:hAnsi="宋体" w:hint="eastAsia"/>
          <w:b/>
          <w:szCs w:val="21"/>
          <w:lang w:eastAsia="zh-CN"/>
        </w:rPr>
        <w:t>致：深圳市千里招标代理有限公司</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我公司承诺近三年内在采购招标投标活动中，不存在以下情形：</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（一）被纪检监察部门立案调查，违法违规事实成立的；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（二）未按本条例规定签订、履行采购合同，造成严重后果的；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（三）隐瞒真实情况，提供虚假资料的；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（四）以非法手段排斥其他供应商参与竞争的；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（五）与其他采购参加人串通投标的；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（六）在采购活动中应当回避而未回避的；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（七）恶意投诉的；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（八）向采购项目相关人行贿或者提供其他不当利益的；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（九）阻碍、抗拒主管部门监督检查的；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（十）履约检查不合格或者评价为差的；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（十一）重大违法犯罪记录和被财政等政府主管部门处以禁止参与政府采购活动的情况；</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（十二）主管部门认定的其他情形。</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特此承诺。</w:t>
      </w:r>
    </w:p>
    <w:p>
      <w:pPr>
        <w:spacing w:line="360" w:lineRule="auto"/>
        <w:jc w:val="both"/>
        <w:rPr>
          <w:rFonts w:ascii="宋体" w:eastAsia="宋体" w:hAnsi="宋体" w:hint="eastAsia"/>
          <w:szCs w:val="21"/>
          <w:lang w:eastAsia="zh-CN"/>
        </w:rPr>
      </w:pPr>
    </w:p>
    <w:p>
      <w:pPr>
        <w:spacing w:line="360" w:lineRule="auto"/>
        <w:rPr>
          <w:rFonts w:ascii="宋体" w:eastAsia="宋体" w:hAnsi="宋体" w:hint="eastAsia"/>
          <w:szCs w:val="21"/>
          <w:lang w:eastAsia="zh-CN"/>
        </w:rPr>
      </w:pPr>
    </w:p>
    <w:p>
      <w:pPr>
        <w:spacing w:line="360" w:lineRule="auto"/>
        <w:ind w:firstLine="3600" w:firstLineChars="1500"/>
        <w:rPr>
          <w:rFonts w:ascii="宋体" w:eastAsia="宋体" w:hAnsi="宋体" w:hint="eastAsia"/>
          <w:szCs w:val="21"/>
          <w:lang w:eastAsia="zh-CN"/>
        </w:rPr>
      </w:pPr>
      <w:r>
        <w:rPr>
          <w:rFonts w:ascii="宋体" w:eastAsia="宋体" w:hAnsi="宋体" w:hint="eastAsia"/>
          <w:szCs w:val="21"/>
          <w:lang w:eastAsia="zh-CN"/>
        </w:rPr>
        <w:t>投标单位：</w:t>
      </w:r>
    </w:p>
    <w:p>
      <w:pPr>
        <w:spacing w:line="360" w:lineRule="auto"/>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r>
        <w:rPr>
          <w:rFonts w:ascii="宋体" w:eastAsia="宋体" w:hAnsi="宋体" w:hint="eastAsia"/>
          <w:szCs w:val="21"/>
          <w:lang w:eastAsia="zh-CN"/>
        </w:rPr>
        <w:t>日期：</w:t>
      </w:r>
      <w:r>
        <w:rPr>
          <w:rFonts w:ascii="宋体" w:eastAsia="宋体" w:hAnsi="宋体" w:hint="eastAsia"/>
          <w:szCs w:val="21"/>
          <w:u w:val="single"/>
          <w:lang w:eastAsia="zh-CN"/>
        </w:rPr>
        <w:t xml:space="preserve">     </w:t>
      </w:r>
      <w:r>
        <w:rPr>
          <w:rFonts w:ascii="宋体" w:eastAsia="宋体" w:hAnsi="宋体" w:hint="eastAsia"/>
          <w:szCs w:val="21"/>
          <w:lang w:eastAsia="zh-CN"/>
        </w:rPr>
        <w:t>年</w:t>
      </w:r>
      <w:r>
        <w:rPr>
          <w:rFonts w:ascii="宋体" w:eastAsia="宋体" w:hAnsi="宋体" w:hint="eastAsia"/>
          <w:szCs w:val="21"/>
          <w:u w:val="single"/>
          <w:lang w:eastAsia="zh-CN"/>
        </w:rPr>
        <w:t xml:space="preserve">     </w:t>
      </w:r>
      <w:r>
        <w:rPr>
          <w:rFonts w:ascii="宋体" w:eastAsia="宋体" w:hAnsi="宋体" w:hint="eastAsia"/>
          <w:szCs w:val="21"/>
          <w:lang w:eastAsia="zh-CN"/>
        </w:rPr>
        <w:t>月</w:t>
      </w:r>
      <w:r>
        <w:rPr>
          <w:rFonts w:ascii="宋体" w:eastAsia="宋体" w:hAnsi="宋体" w:hint="eastAsia"/>
          <w:szCs w:val="21"/>
          <w:u w:val="single"/>
          <w:lang w:eastAsia="zh-CN"/>
        </w:rPr>
        <w:t xml:space="preserve">     </w:t>
      </w:r>
      <w:r>
        <w:rPr>
          <w:rFonts w:ascii="宋体" w:eastAsia="宋体" w:hAnsi="宋体" w:hint="eastAsia"/>
          <w:szCs w:val="21"/>
          <w:lang w:eastAsia="zh-CN"/>
        </w:rPr>
        <w:t>日</w:t>
      </w: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rPr>
          <w:rFonts w:ascii="黑体" w:eastAsia="黑体" w:hAnsi="宋体" w:hint="eastAsia"/>
          <w:kern w:val="2"/>
          <w:szCs w:val="20"/>
          <w:highlight w:val="yellow"/>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十八、</w:t>
      </w:r>
      <w:bookmarkStart w:id="31" w:name="_Hlk72062872"/>
      <w:r>
        <w:rPr>
          <w:rFonts w:ascii="黑体" w:eastAsia="黑体" w:hAnsi="宋体" w:cstheme="minorBidi" w:hint="eastAsia"/>
          <w:b/>
          <w:bCs/>
          <w:kern w:val="2"/>
          <w:sz w:val="30"/>
          <w:szCs w:val="30"/>
          <w:lang w:eastAsia="zh-CN"/>
        </w:rPr>
        <w:t>投标人认为需要加以说明的其他内容</w:t>
      </w:r>
      <w:bookmarkEnd w:id="31"/>
    </w:p>
    <w:p>
      <w:pPr>
        <w:jc w:val="center"/>
        <w:rPr>
          <w:rFonts w:ascii="黑体" w:eastAsia="黑体" w:hAnsi="宋体" w:hint="eastAsia"/>
          <w:szCs w:val="20"/>
          <w:lang w:eastAsia="zh-CN"/>
        </w:rPr>
      </w:pPr>
      <w:r>
        <w:rPr>
          <w:rFonts w:ascii="黑体" w:eastAsia="黑体" w:hAnsi="宋体" w:cstheme="minorBidi" w:hint="eastAsia"/>
          <w:szCs w:val="20"/>
          <w:lang w:eastAsia="zh-CN"/>
        </w:rPr>
        <w:t>（一）政府采购违法行为风险知悉确认书</w:t>
      </w:r>
    </w:p>
    <w:p>
      <w:pPr>
        <w:jc w:val="center"/>
        <w:rPr>
          <w:rFonts w:ascii="黑体" w:eastAsia="黑体" w:hAnsi="宋体" w:hint="eastAsia"/>
          <w:szCs w:val="20"/>
          <w:lang w:eastAsia="zh-CN"/>
        </w:rPr>
      </w:pPr>
    </w:p>
    <w:p>
      <w:pPr>
        <w:spacing w:after="120" w:afterLines="50" w:line="360" w:lineRule="exact"/>
        <w:ind w:firstLine="480" w:firstLineChars="200"/>
        <w:rPr>
          <w:rFonts w:ascii="宋体" w:eastAsia="宋体" w:hAnsi="宋体" w:cs="宋体" w:hint="eastAsia"/>
          <w:b/>
          <w:bCs/>
          <w:lang w:eastAsia="zh-CN"/>
        </w:rPr>
      </w:pPr>
      <w:r>
        <w:rPr>
          <w:rFonts w:ascii="宋体" w:eastAsia="宋体" w:hAnsi="宋体" w:cs="宋体" w:hint="eastAsia"/>
          <w:b/>
          <w:bCs/>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9"/>
        <w:gridCol w:w="81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tcPr>
          <w:p>
            <w:pPr>
              <w:spacing w:line="400" w:lineRule="exact"/>
              <w:jc w:val="center"/>
              <w:rPr>
                <w:rFonts w:ascii="宋体" w:hAnsi="宋体" w:cs="宋体" w:hint="eastAsia"/>
              </w:rPr>
            </w:pPr>
            <w:r>
              <w:rPr>
                <w:rFonts w:ascii="宋体" w:hAnsi="宋体" w:cs="宋体" w:hint="eastAsia"/>
              </w:rPr>
              <w:t>序号</w:t>
            </w:r>
          </w:p>
        </w:tc>
        <w:tc>
          <w:tcPr>
            <w:tcW w:w="7811" w:type="dxa"/>
          </w:tcPr>
          <w:p>
            <w:pPr>
              <w:spacing w:line="400" w:lineRule="exact"/>
              <w:jc w:val="center"/>
              <w:rPr>
                <w:rFonts w:ascii="宋体" w:hAnsi="宋体" w:cs="宋体" w:hint="eastAsia"/>
                <w:lang w:eastAsia="zh-CN"/>
              </w:rPr>
            </w:pPr>
            <w:r>
              <w:rPr>
                <w:rFonts w:ascii="宋体" w:hAnsi="宋体" w:cs="宋体" w:hint="eastAsia"/>
                <w:b/>
                <w:bCs/>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1</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与其他投标供应商的法定代表人、主要经营负责人、投标授权代表人、项目负责人、主要技术人员为</w:t>
            </w:r>
            <w:r>
              <w:rPr>
                <w:rFonts w:ascii="宋体" w:hAnsi="宋体" w:cs="宋体" w:hint="eastAsia"/>
                <w:b/>
                <w:bCs/>
                <w:lang w:eastAsia="zh-CN"/>
              </w:rPr>
              <w:t>同一人、属同一单位或者在同一单位缴纳社会保险</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hint="eastAsia"/>
              </w:rPr>
            </w:pPr>
            <w:r>
              <w:rPr>
                <w:rFonts w:ascii="宋体" w:hAnsi="宋体" w:cs="宋体" w:hint="eastAsia"/>
              </w:rPr>
              <w:t>2</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参与本项目政府采购活动时，与其他投标供应商存在单位负责人为</w:t>
            </w:r>
            <w:r>
              <w:rPr>
                <w:rFonts w:ascii="宋体" w:hAnsi="宋体" w:cs="宋体" w:hint="eastAsia"/>
                <w:b/>
                <w:bCs/>
                <w:lang w:eastAsia="zh-CN"/>
              </w:rPr>
              <w:t>同一人或直接控股、管理关系</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3</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与其他投标供应商的投标文件或部分投标文件</w:t>
            </w:r>
            <w:r>
              <w:rPr>
                <w:rFonts w:ascii="宋体" w:hAnsi="宋体" w:cs="宋体" w:hint="eastAsia"/>
                <w:b/>
                <w:bCs/>
                <w:lang w:eastAsia="zh-CN"/>
              </w:rPr>
              <w:t>相互混装或存在非正常一致</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4</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与其他投标供应商的投标文件由</w:t>
            </w:r>
            <w:r>
              <w:rPr>
                <w:rFonts w:ascii="宋体" w:hAnsi="宋体" w:cs="宋体" w:hint="eastAsia"/>
                <w:b/>
                <w:bCs/>
                <w:lang w:eastAsia="zh-CN"/>
              </w:rPr>
              <w:t>同一单位或者同一人编制</w:t>
            </w:r>
            <w:r>
              <w:rPr>
                <w:rFonts w:ascii="宋体" w:hAnsi="宋体" w:cs="宋体" w:hint="eastAsia"/>
                <w:lang w:eastAsia="zh-CN"/>
              </w:rPr>
              <w:t>，或者使用</w:t>
            </w:r>
            <w:r>
              <w:rPr>
                <w:rFonts w:ascii="宋体" w:hAnsi="宋体" w:cs="宋体" w:hint="eastAsia"/>
                <w:b/>
                <w:bCs/>
                <w:lang w:eastAsia="zh-CN"/>
              </w:rPr>
              <w:t>同一设备编制</w:t>
            </w:r>
            <w:r>
              <w:rPr>
                <w:rFonts w:ascii="宋体" w:hAnsi="宋体" w:cs="宋体" w:hint="eastAsia"/>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hint="eastAsia"/>
              </w:rPr>
            </w:pPr>
            <w:r>
              <w:rPr>
                <w:rFonts w:ascii="宋体" w:hAnsi="宋体" w:cs="宋体" w:hint="eastAsia"/>
              </w:rPr>
              <w:t>5</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提供</w:t>
            </w:r>
            <w:r>
              <w:rPr>
                <w:rFonts w:ascii="宋体" w:hAnsi="宋体" w:cs="宋体" w:hint="eastAsia"/>
                <w:b/>
                <w:bCs/>
                <w:lang w:eastAsia="zh-CN"/>
              </w:rPr>
              <w:t>未经出具机构核实</w:t>
            </w:r>
            <w:r>
              <w:rPr>
                <w:rFonts w:ascii="宋体" w:hAnsi="宋体" w:cs="宋体" w:hint="eastAsia"/>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6</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擅自将投标密钥或电子营业执照出借他人使用或未妥善保管。</w:t>
            </w:r>
          </w:p>
        </w:tc>
      </w:tr>
    </w:tbl>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b/>
          <w:bCs/>
          <w:kern w:val="2"/>
          <w:lang w:eastAsia="zh-CN"/>
        </w:rPr>
        <w:t>一、本公司已充分知悉“隐瞒真实情况，提供虚假资料”的法定情形，相关情形包括但不限于</w:t>
      </w:r>
      <w:r>
        <w:rPr>
          <w:rFonts w:ascii="宋体" w:eastAsia="宋体" w:hAnsi="宋体" w:cs="仿宋_GB2312" w:hint="eastAsia"/>
          <w:kern w:val="2"/>
          <w:lang w:eastAsia="zh-CN"/>
        </w:rPr>
        <w:t>：</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（一）通过转让或者租借等方式从其他单位获取资格或者资质证书投标的。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（二）由其他单位或者其他单位负责人在投标供应商编制的投标文件上加盖印章或者签字的。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（三）项目负责人或者主要技术人员不是本单位人员的。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（四）投标保证金不是从投标供应商基本账户转出的。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（五）其他隐瞒真实情况、提供虚假资料的行为。</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b/>
          <w:bCs/>
          <w:kern w:val="2"/>
          <w:lang w:eastAsia="zh-CN"/>
        </w:rPr>
        <w:t>二、本公司已充分知悉“与其他采购参加人串通投标”的法定情形，相关情形包括但不限于：</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（一）投标供应商之间相互约定给予未中标的供应商利益补偿。</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（二）不同投标供应商的法定代表人、主要经营负责人、项目投标授权代表人、项目负责人、主要技术人员为同一人、属同一单位或者在同一单位缴纳社会保险。</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（三）不同投标供应商的投标文件由同一单位或者同一人编制，或者由同一人分阶段参与编制的。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（四）不同投标供应商的投标文件或部分投标文件相互混装。</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（五）不同投标供应商的投标文件内容存在非正常一致。</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（六）由同一单位工作人员为两家以上（含两家）供应商进行同一项投标活动的。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（七）不同投标人的投标报价呈规律性差异。</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（八）不同投标人的投标保证金从同一单位或者个人的账户转出。</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（九）主管部门依照法律、法规认定的其他情形。</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b/>
          <w:bCs/>
          <w:kern w:val="2"/>
          <w:lang w:eastAsia="zh-CN"/>
        </w:rPr>
        <w:t>三、本公司已充分知悉下列情形所对应的法律风险，并在投标前已对相关风险事项进行排查。</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kern w:val="2"/>
          <w:lang w:eastAsia="zh-CN"/>
        </w:rPr>
        <w:t>（一）对于</w:t>
      </w:r>
      <w:r>
        <w:rPr>
          <w:rFonts w:ascii="宋体" w:eastAsia="宋体" w:hAnsi="宋体" w:hint="eastAsia"/>
          <w:kern w:val="2"/>
          <w:lang w:eastAsia="zh-CN"/>
        </w:rPr>
        <w:t>从</w:t>
      </w:r>
      <w:r>
        <w:rPr>
          <w:rFonts w:ascii="宋体" w:eastAsia="宋体" w:hAnsi="宋体" w:cs="仿宋_GB2312" w:hint="eastAsia"/>
          <w:kern w:val="2"/>
          <w:lang w:eastAsia="zh-CN"/>
        </w:rPr>
        <w:t>其他主体</w:t>
      </w:r>
      <w:r>
        <w:rPr>
          <w:rFonts w:ascii="宋体" w:eastAsia="宋体" w:hAnsi="宋体" w:hint="eastAsia"/>
          <w:kern w:val="2"/>
          <w:lang w:eastAsia="zh-CN"/>
        </w:rPr>
        <w:t>获取</w:t>
      </w:r>
      <w:r>
        <w:rPr>
          <w:rFonts w:ascii="宋体" w:eastAsia="宋体" w:hAnsi="宋体" w:cs="仿宋_GB2312" w:hint="eastAsia"/>
          <w:kern w:val="2"/>
          <w:lang w:eastAsia="zh-CN"/>
        </w:rPr>
        <w:t>的投标资料，供应商应审慎核查，确保投标资料的真实性。</w:t>
      </w:r>
      <w:r>
        <w:rPr>
          <w:rFonts w:ascii="宋体" w:eastAsia="宋体" w:hAnsi="宋体" w:cs="仿宋_GB2312" w:hint="eastAsia"/>
          <w:b/>
          <w:bCs/>
          <w:kern w:val="2"/>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（三）对于涉及安全生产、特种作业、抢险救灾、防疫等政府采购项目，供应商实施提供虚假资料、串通投标等违法行为的，主管部门将依法从严处理。</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（四）供应商应严格规范项目授权代表、员工参与招标投标的行为，加强对投标文件的审核。项目授权代表、员工</w:t>
      </w:r>
      <w:r>
        <w:rPr>
          <w:rFonts w:ascii="宋体" w:eastAsia="宋体" w:hAnsi="宋体" w:hint="eastAsia"/>
          <w:kern w:val="2"/>
          <w:lang w:eastAsia="zh-CN"/>
        </w:rPr>
        <w:t>编制、上传</w:t>
      </w:r>
      <w:r>
        <w:rPr>
          <w:rFonts w:ascii="宋体" w:eastAsia="宋体" w:hAnsi="宋体" w:cs="仿宋_GB2312" w:hint="eastAsia"/>
          <w:kern w:val="2"/>
          <w:lang w:eastAsia="zh-CN"/>
        </w:rPr>
        <w:t>投标文件</w:t>
      </w:r>
      <w:r>
        <w:rPr>
          <w:rFonts w:ascii="宋体" w:eastAsia="宋体" w:hAnsi="宋体" w:hint="eastAsia"/>
          <w:kern w:val="2"/>
          <w:lang w:eastAsia="zh-CN"/>
        </w:rPr>
        <w:t>等行为</w:t>
      </w:r>
      <w:r>
        <w:rPr>
          <w:rFonts w:ascii="宋体" w:eastAsia="宋体" w:hAnsi="宋体" w:cs="仿宋_GB2312" w:hint="eastAsia"/>
          <w:kern w:val="2"/>
          <w:lang w:eastAsia="zh-CN"/>
        </w:rPr>
        <w:t>违反政府采购法律法规或招标文件要求的，投标供应商应当依法承担相应法律责任。</w:t>
      </w:r>
    </w:p>
    <w:p>
      <w:pPr>
        <w:widowControl w:val="0"/>
        <w:spacing w:line="579" w:lineRule="exact"/>
        <w:ind w:firstLine="480" w:firstLineChars="200"/>
        <w:rPr>
          <w:rFonts w:ascii="宋体" w:eastAsia="宋体" w:hAnsi="宋体" w:cs="仿宋_GB2312" w:hint="eastAsia"/>
          <w:kern w:val="2"/>
          <w:lang w:eastAsia="zh-CN"/>
        </w:rPr>
      </w:pPr>
      <w:r>
        <w:rPr>
          <w:rFonts w:ascii="宋体" w:eastAsia="宋体" w:hAnsi="宋体" w:cs="仿宋_GB2312" w:hint="eastAsia"/>
          <w:kern w:val="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（六）单位负责人为同一人或者存在直接控股、管理关系的不同供应商，不得参加同一合同项下的政府采购活动。相关情形</w:t>
      </w:r>
      <w:r>
        <w:rPr>
          <w:rFonts w:ascii="宋体" w:eastAsia="宋体" w:hAnsi="宋体" w:hint="eastAsia"/>
          <w:kern w:val="2"/>
          <w:lang w:eastAsia="zh-CN"/>
        </w:rPr>
        <w:t>如</w:t>
      </w:r>
      <w:r>
        <w:rPr>
          <w:rFonts w:ascii="宋体" w:eastAsia="宋体" w:hAnsi="宋体" w:cs="仿宋_GB2312" w:hint="eastAsia"/>
          <w:kern w:val="2"/>
          <w:lang w:eastAsia="zh-CN"/>
        </w:rPr>
        <w:t>查实，依法作投标无效处理；涉嫌串通投标等违法行为的，主管部门将依法调查处理。</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b/>
          <w:bCs/>
          <w:kern w:val="2"/>
          <w:lang w:eastAsia="zh-CN"/>
        </w:rPr>
        <w:t>四、本公司已充分知悉政府采购违法、违规行为的法律后果。</w:t>
      </w:r>
      <w:r>
        <w:rPr>
          <w:rFonts w:ascii="宋体" w:eastAsia="宋体" w:hAnsi="宋体" w:cs="仿宋_GB2312" w:hint="eastAsia"/>
          <w:kern w:val="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line="579" w:lineRule="exact"/>
        <w:ind w:firstLine="480" w:firstLineChars="200"/>
        <w:jc w:val="both"/>
        <w:rPr>
          <w:rFonts w:ascii="宋体" w:eastAsia="宋体" w:hAnsi="宋体" w:cs="仿宋_GB2312" w:hint="eastAsia"/>
          <w:color w:val="FF0000"/>
          <w:kern w:val="2"/>
          <w:lang w:eastAsia="zh-CN"/>
        </w:rPr>
      </w:pPr>
      <w:r>
        <w:rPr>
          <w:rFonts w:ascii="宋体" w:eastAsia="宋体" w:hAnsi="宋体" w:cs="仿宋_GB2312" w:hint="eastAsia"/>
          <w:color w:val="FF0000"/>
          <w:kern w:val="2"/>
          <w:lang w:eastAsia="zh-CN"/>
        </w:rPr>
        <w:t>我司已阅读并确认：“本公司已仔细阅读《政府采购违法行为风险知悉确认书》，充分知悉违法行为的法律后果，并承诺将严谨、诚信、依法依规参与政府采购活动”。</w:t>
      </w:r>
    </w:p>
    <w:p>
      <w:pPr>
        <w:widowControl w:val="0"/>
        <w:spacing w:line="579" w:lineRule="exact"/>
        <w:jc w:val="both"/>
        <w:rPr>
          <w:rFonts w:ascii="宋体" w:eastAsia="宋体" w:hAnsi="宋体" w:cs="仿宋_GB2312" w:hint="eastAsia"/>
          <w:kern w:val="2"/>
          <w:u w:val="single"/>
          <w:lang w:eastAsia="zh-CN"/>
        </w:rPr>
      </w:pPr>
    </w:p>
    <w:p>
      <w:pPr>
        <w:widowControl w:val="0"/>
        <w:spacing w:line="560" w:lineRule="exact"/>
        <w:jc w:val="both"/>
        <w:rPr>
          <w:rFonts w:ascii="宋体" w:eastAsia="宋体" w:hAnsi="宋体" w:cs="宋体" w:hint="eastAsia"/>
          <w:kern w:val="2"/>
          <w:sz w:val="18"/>
          <w:szCs w:val="18"/>
          <w:lang w:eastAsia="zh-CN"/>
        </w:rPr>
      </w:pPr>
    </w:p>
    <w:p>
      <w:pPr>
        <w:widowControl w:val="0"/>
        <w:spacing w:before="60" w:beforeLines="25" w:after="60" w:afterLines="25"/>
        <w:jc w:val="right"/>
        <w:rPr>
          <w:rFonts w:ascii="Calibri" w:eastAsia="宋体" w:hAnsi="Calibri"/>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360" w:lineRule="auto"/>
        <w:ind w:firstLine="494" w:firstLineChars="206"/>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r>
        <w:rPr>
          <w:rFonts w:ascii="宋体" w:eastAsia="宋体" w:hAnsi="宋体" w:cs="仿宋_GB2312" w:hint="eastAsia"/>
          <w:kern w:val="2"/>
          <w:lang w:eastAsia="zh-CN"/>
        </w:rPr>
        <w:t>注：根据《深圳市财政局关于采购文件增加风险告知有关事项的通知》（深财购〔2022〕22号），该风险知悉确认书用于对供应商违法行为的警示，不作为供应商资格性审查及符合性审查条件。</w:t>
      </w: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jc w:val="center"/>
        <w:rPr>
          <w:rFonts w:ascii="黑体" w:eastAsia="黑体" w:hAnsi="宋体" w:hint="eastAsia"/>
          <w:szCs w:val="20"/>
          <w:lang w:eastAsia="zh-CN"/>
        </w:rPr>
      </w:pPr>
      <w:r>
        <w:rPr>
          <w:rFonts w:ascii="黑体" w:eastAsia="黑体" w:hAnsi="宋体" w:cstheme="minorBidi" w:hint="eastAsia"/>
          <w:szCs w:val="20"/>
          <w:lang w:eastAsia="zh-CN"/>
        </w:rPr>
        <w:t>（二）投标人认为需要加以说明的其他内容（格式自定）</w:t>
      </w: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napToGrid w:val="0"/>
        <w:jc w:val="left"/>
        <w:rPr>
          <w:rFonts w:ascii="Arial" w:eastAsia="宋体" w:hAnsi="Arial"/>
          <w:b/>
          <w:bCs/>
          <w:kern w:val="2"/>
          <w:sz w:val="18"/>
          <w:lang w:eastAsia="zh-CN"/>
        </w:rPr>
      </w:pPr>
    </w:p>
    <w:p>
      <w:pPr>
        <w:snapToGrid w:val="0"/>
        <w:jc w:val="left"/>
        <w:rPr>
          <w:rFonts w:ascii="Arial" w:eastAsia="宋体" w:hAnsi="Arial"/>
          <w:b/>
          <w:bCs/>
          <w:kern w:val="2"/>
          <w:sz w:val="18"/>
          <w:lang w:eastAsia="zh-CN"/>
        </w:rPr>
      </w:pPr>
    </w:p>
    <w:p>
      <w:pPr>
        <w:snapToGrid w:val="0"/>
        <w:jc w:val="left"/>
        <w:rPr>
          <w:rFonts w:ascii="Arial" w:eastAsia="宋体" w:hAnsi="Arial"/>
          <w:b/>
          <w:bCs/>
          <w:kern w:val="2"/>
          <w:sz w:val="18"/>
          <w:lang w:eastAsia="zh-CN"/>
        </w:rPr>
      </w:pPr>
    </w:p>
    <w:p>
      <w:pPr>
        <w:snapToGrid w:val="0"/>
        <w:jc w:val="left"/>
        <w:rPr>
          <w:rFonts w:ascii="Arial" w:eastAsia="宋体" w:hAnsi="Arial"/>
          <w:b/>
          <w:bCs/>
          <w:kern w:val="2"/>
          <w:sz w:val="18"/>
          <w:lang w:eastAsia="zh-CN"/>
        </w:rPr>
      </w:pPr>
    </w:p>
    <w:p>
      <w:pPr>
        <w:snapToGrid w:val="0"/>
        <w:jc w:val="left"/>
        <w:rPr>
          <w:rFonts w:ascii="Arial" w:eastAsia="宋体" w:hAnsi="Arial"/>
          <w:b/>
          <w:bCs/>
          <w:kern w:val="2"/>
          <w:sz w:val="18"/>
          <w:lang w:eastAsia="zh-CN"/>
        </w:rPr>
      </w:pPr>
    </w:p>
    <w:p>
      <w:pPr>
        <w:spacing w:line="360" w:lineRule="auto"/>
        <w:rPr>
          <w:rFonts w:ascii="Arial" w:eastAsia="宋体" w:hAnsi="Arial"/>
          <w:b/>
          <w:bCs/>
          <w:kern w:val="2"/>
          <w:lang w:eastAsia="zh-CN"/>
        </w:rPr>
      </w:pP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第五章  合同条款及格式</w:t>
      </w:r>
    </w:p>
    <w:p>
      <w:pPr>
        <w:jc w:val="center"/>
        <w:rPr>
          <w:rFonts w:ascii="宋体" w:eastAsia="宋体" w:hAnsi="宋体" w:cs="宋体" w:hint="eastAsia"/>
          <w:b/>
          <w:sz w:val="21"/>
          <w:szCs w:val="21"/>
        </w:rPr>
      </w:pPr>
      <w:r>
        <w:rPr>
          <w:rFonts w:ascii="宋体" w:eastAsia="宋体" w:hAnsi="宋体" w:cs="宋体" w:hint="eastAsia"/>
          <w:b/>
          <w:sz w:val="21"/>
          <w:szCs w:val="21"/>
        </w:rPr>
        <w:t>有专业类别的格式合同范本请选择相应的合同</w:t>
      </w:r>
    </w:p>
    <w:p>
      <w:pPr>
        <w:jc w:val="center"/>
        <w:rPr>
          <w:rFonts w:ascii="宋体" w:eastAsia="宋体" w:hAnsi="宋体" w:cs="宋体" w:hint="eastAsia"/>
          <w:b/>
          <w:sz w:val="21"/>
          <w:szCs w:val="21"/>
        </w:rPr>
      </w:pPr>
      <w:r>
        <w:rPr>
          <w:rFonts w:ascii="宋体" w:eastAsia="宋体" w:hAnsi="宋体" w:cs="宋体" w:hint="eastAsia"/>
          <w:b/>
          <w:sz w:val="21"/>
          <w:szCs w:val="21"/>
        </w:rPr>
        <w:t>（仅供参考，采购单位需填写项目关键信息和违约责任条款）</w:t>
      </w:r>
    </w:p>
    <w:p>
      <w:pPr>
        <w:jc w:val="left"/>
        <w:rPr>
          <w:rFonts w:ascii="宋体" w:eastAsia="宋体" w:hAnsi="宋体" w:cs="宋体" w:hint="eastAsia"/>
          <w:sz w:val="21"/>
          <w:szCs w:val="21"/>
        </w:rPr>
      </w:pPr>
      <w:r>
        <w:rPr>
          <w:rFonts w:ascii="宋体" w:eastAsia="宋体" w:hAnsi="宋体" w:cs="宋体" w:hint="eastAsia"/>
          <w:sz w:val="21"/>
          <w:szCs w:val="21"/>
        </w:rPr>
        <w:t>采购人：</w:t>
      </w:r>
      <w:r>
        <w:rPr>
          <w:rFonts w:ascii="宋体" w:eastAsia="宋体" w:hAnsi="宋体" w:cs="宋体" w:hint="eastAsia"/>
          <w:sz w:val="21"/>
          <w:szCs w:val="21"/>
          <w:u w:val="single"/>
        </w:rPr>
        <w:t xml:space="preserve">           </w:t>
      </w:r>
    </w:p>
    <w:p>
      <w:pPr>
        <w:jc w:val="left"/>
        <w:rPr>
          <w:rFonts w:ascii="宋体" w:eastAsia="宋体" w:hAnsi="宋体" w:cs="宋体" w:hint="eastAsia"/>
          <w:sz w:val="21"/>
          <w:szCs w:val="21"/>
        </w:rPr>
      </w:pPr>
      <w:r>
        <w:rPr>
          <w:rFonts w:ascii="宋体" w:eastAsia="宋体" w:hAnsi="宋体" w:cs="宋体" w:hint="eastAsia"/>
          <w:sz w:val="21"/>
          <w:szCs w:val="21"/>
        </w:rPr>
        <w:t>供应商：</w:t>
      </w:r>
      <w:r>
        <w:rPr>
          <w:rFonts w:ascii="宋体" w:eastAsia="宋体" w:hAnsi="宋体" w:cs="宋体" w:hint="eastAsia"/>
          <w:sz w:val="21"/>
          <w:szCs w:val="21"/>
          <w:u w:val="single"/>
        </w:rPr>
        <w:t xml:space="preserve">           </w:t>
      </w:r>
    </w:p>
    <w:p>
      <w:pPr>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根据深圳市****</w:t>
      </w:r>
      <w:r>
        <w:rPr>
          <w:rFonts w:ascii="宋体" w:eastAsia="宋体" w:hAnsi="宋体" w:cs="宋体" w:hint="eastAsia"/>
          <w:sz w:val="21"/>
          <w:szCs w:val="21"/>
          <w:u w:val="single"/>
        </w:rPr>
        <w:t xml:space="preserve">        </w:t>
      </w:r>
      <w:r>
        <w:rPr>
          <w:rFonts w:ascii="宋体" w:eastAsia="宋体" w:hAnsi="宋体" w:cs="宋体" w:hint="eastAsia"/>
          <w:sz w:val="21"/>
          <w:szCs w:val="21"/>
        </w:rPr>
        <w:t>号采购项目的投标结果，由</w:t>
      </w:r>
      <w:r>
        <w:rPr>
          <w:rFonts w:ascii="宋体" w:eastAsia="宋体" w:hAnsi="宋体" w:cs="宋体" w:hint="eastAsia"/>
          <w:sz w:val="21"/>
          <w:szCs w:val="21"/>
          <w:u w:val="single"/>
        </w:rPr>
        <w:t xml:space="preserve">       </w:t>
      </w:r>
      <w:r>
        <w:rPr>
          <w:rFonts w:ascii="宋体" w:eastAsia="宋体" w:hAnsi="宋体" w:cs="宋体" w:hint="eastAsia"/>
          <w:sz w:val="21"/>
          <w:szCs w:val="21"/>
        </w:rPr>
        <w:t>单位为中标方。按照有关规定，经深圳市</w:t>
      </w:r>
      <w:r>
        <w:rPr>
          <w:rFonts w:ascii="宋体" w:eastAsia="宋体" w:hAnsi="宋体" w:cs="宋体" w:hint="eastAsia"/>
          <w:sz w:val="21"/>
          <w:szCs w:val="21"/>
          <w:u w:val="single"/>
        </w:rPr>
        <w:t xml:space="preserve">           </w:t>
      </w:r>
      <w:r>
        <w:rPr>
          <w:rFonts w:ascii="宋体" w:eastAsia="宋体" w:hAnsi="宋体" w:cs="宋体" w:hint="eastAsia"/>
          <w:sz w:val="21"/>
          <w:szCs w:val="21"/>
        </w:rPr>
        <w:t>（以下简称甲方）和</w:t>
      </w:r>
      <w:r>
        <w:rPr>
          <w:rFonts w:ascii="宋体" w:eastAsia="宋体" w:hAnsi="宋体" w:cs="宋体" w:hint="eastAsia"/>
          <w:sz w:val="21"/>
          <w:szCs w:val="21"/>
          <w:u w:val="single"/>
        </w:rPr>
        <w:t xml:space="preserve">           </w:t>
      </w:r>
      <w:r>
        <w:rPr>
          <w:rFonts w:ascii="宋体" w:eastAsia="宋体" w:hAnsi="宋体" w:cs="宋体" w:hint="eastAsia"/>
          <w:sz w:val="21"/>
          <w:szCs w:val="21"/>
        </w:rPr>
        <w:t>单位（以下简称乙方）协商，达成以下合同条款：</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第一条  合同标的</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乙方根据甲方需求提供下列货物：</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货物名称、规格及数量详见</w:t>
      </w:r>
      <w:r>
        <w:rPr>
          <w:rFonts w:ascii="宋体" w:eastAsia="宋体" w:hAnsi="宋体" w:cs="宋体" w:hint="eastAsia"/>
          <w:b/>
          <w:sz w:val="21"/>
          <w:szCs w:val="21"/>
          <w:u w:val="single"/>
        </w:rPr>
        <w:t xml:space="preserve">                  </w:t>
      </w:r>
      <w:r>
        <w:rPr>
          <w:rFonts w:ascii="宋体" w:eastAsia="宋体" w:hAnsi="宋体" w:cs="宋体" w:hint="eastAsia"/>
          <w:sz w:val="21"/>
          <w:szCs w:val="21"/>
        </w:rPr>
        <w:t>。</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第二条  合同价款</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本合同项下总价款为</w:t>
      </w:r>
      <w:r>
        <w:rPr>
          <w:rFonts w:ascii="宋体" w:eastAsia="宋体" w:hAnsi="宋体" w:cs="宋体" w:hint="eastAsia"/>
          <w:sz w:val="21"/>
          <w:szCs w:val="21"/>
          <w:u w:val="single"/>
        </w:rPr>
        <w:t xml:space="preserve">              </w:t>
      </w:r>
      <w:r>
        <w:rPr>
          <w:rFonts w:ascii="宋体" w:eastAsia="宋体" w:hAnsi="宋体" w:cs="宋体" w:hint="eastAsia"/>
          <w:sz w:val="21"/>
          <w:szCs w:val="21"/>
        </w:rPr>
        <w:t>（大写）人民币，分项价款详见</w:t>
      </w:r>
      <w:r>
        <w:rPr>
          <w:rFonts w:ascii="宋体" w:eastAsia="宋体" w:hAnsi="宋体" w:cs="宋体" w:hint="eastAsia"/>
          <w:b/>
          <w:sz w:val="21"/>
          <w:szCs w:val="21"/>
          <w:u w:val="single"/>
        </w:rPr>
        <w:t xml:space="preserve">          </w:t>
      </w:r>
      <w:r>
        <w:rPr>
          <w:rFonts w:ascii="宋体" w:eastAsia="宋体" w:hAnsi="宋体" w:cs="宋体" w:hint="eastAsia"/>
          <w:sz w:val="21"/>
          <w:szCs w:val="21"/>
        </w:rPr>
        <w:t>。本合同总价款已包括乙方为履行本合同义务所发生的一切费用，系固定不变价格，且不随通货膨胀的影响而波动。</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第三条  权利保证</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第四条  质量保证</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1、乙方所提供的货物的技术规格符合采购文件规定的技术规格，货物符合中华人民共和国的设计和制造生产标准或行业标准。</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2、乙方应保证货物是全新、未使用过的原装合格正品（包括零部件），并完全符合甲方要求的质量、规格和性能的要求。如货物安装或配置了软件的，乙方保证相关软件均为正版软件。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3、乙方保证交货时一并提供货物的质量合格凭证或文件。</w:t>
      </w:r>
    </w:p>
    <w:p>
      <w:pPr>
        <w:spacing w:line="360" w:lineRule="auto"/>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第五条  交货和验收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1、乙方应按照本合同或招投标文件规定的时间和方式向甲方交付货物，交货地点由甲方指定。因交货产生的费用由乙方自行承担。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2、乙方交付的货物应当完全符合招投标文件所规定的货物、数量、质量和规格要求。乙方提供的货物不符合招投标文件和合同规定的，甲方有权拒收货物，由此引起的风险，由乙方承担。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4、甲方应当在到货后的</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个工作日内对货物进行验收；需要乙方对货物或系统进行安装调试的，甲方应在货物安装调试完毕后的</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个工作日内进行质量验收。</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第六条  保修及其他服务</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1、乙方应按照国家有关法律法规规章和“三包”规定和采购文件的要求及乙方在投标文件的相关承诺提供保修及其他服务。</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第七条  履约保证金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1、乙方应在签订本合同之日，向甲方或甲方指定的机构提交履约保证金_________元。</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2、如乙方未能履行合同规定的义务，甲方有权从履约保证金中取得补偿。</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3、甲方在乙方履行完毕本合同项下全部义务后______天内无息退还乙方。</w:t>
      </w:r>
    </w:p>
    <w:p>
      <w:pPr>
        <w:spacing w:line="360" w:lineRule="auto"/>
        <w:ind w:firstLine="560"/>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第八条   付款方式</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按照招标文件规定的付款方式进行支付。</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第九条    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１、甲方无正当理由拒收货物、拒付货物款的，由甲方向乙方偿付合同总价的【】%违约金。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２、甲方未按合同规定的期限向乙方支付货款的，每逾期1天甲方向乙方偿付欠款总额的【】‰滞纳金，但累计滞纳金总额不超过欠款总额的【】% 。</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３、乙方逾期交付货物的，每逾期1天，乙方向甲方偿付逾期交货部分货款总额的【】‰的滞纳金。如乙方逾期交货达</w:t>
      </w:r>
      <w:r>
        <w:rPr>
          <w:rFonts w:ascii="宋体" w:eastAsia="宋体" w:hAnsi="宋体" w:cs="宋体" w:hint="eastAsia"/>
          <w:sz w:val="21"/>
          <w:szCs w:val="21"/>
          <w:u w:val="single"/>
        </w:rPr>
        <w:t xml:space="preserve">    </w:t>
      </w:r>
      <w:r>
        <w:rPr>
          <w:rFonts w:ascii="宋体" w:eastAsia="宋体" w:hAnsi="宋体" w:cs="宋体" w:hint="eastAsia"/>
          <w:sz w:val="21"/>
          <w:szCs w:val="21"/>
        </w:rPr>
        <w:t>天，甲方有权解除合同，履约保证金不予退回，同时乙方应向甲方支付合同总价【】％的违约金。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4、乙方所交付的货物品种、型号、规格不符合合同规定的，甲方有权拒收。甲方拒收的，乙方应向甲方支付货款总额【】%的违约金。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5、在乙方承诺的或国家规定的质量保证期内（取两者中最长的期限），如经乙方两次维修或更换，货物仍不能达到合同约定的质量标准，甲方有权退货，乙方应退回全部货款并赔偿甲方因此遭受的损失。</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6、乙方未履行本合同项下的其他义务或违反其在投标文件中的相关承诺的，应按合同总价款的【】%向甲方承担违约责任。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第十条    合同的变更和终止</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除《中华人民共和国政府采购法》第４９条、第５０条第二款规定的情形外，本合同一经签订，甲乙双方不得擅自变更、中止或终止合同。</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第十一条   争议的解决</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1、因货物的质量问题发生争议的，应当邀请国家认可的质量检测机构对货物质量进行鉴定。货物符合标准的，鉴定费由甲方承担；货物不符合质量标准的，鉴定费由乙方承担。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2、因履行本合同引起的或与本合同有关的争议，甲、乙双方应首先通过友好协商解决，如果协商不能解决争议，则向甲方所在地有管辖权的人民法院提起诉讼；</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第十二条   合同生效及其他</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1、下列文件均为本合同的重要组成部分：</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（1）本项目的采购文件、答疑及补充通知；</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（2）本项目中标的投标文件；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（3）本合同执行中共同签署的补充与修正文件。</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 xml:space="preserve">   </w:t>
      </w:r>
      <w:r>
        <w:rPr>
          <w:rFonts w:ascii="宋体" w:eastAsia="宋体" w:hAnsi="宋体" w:cs="宋体" w:hint="eastAsia"/>
          <w:bCs/>
          <w:sz w:val="21"/>
          <w:szCs w:val="21"/>
        </w:rPr>
        <w:t xml:space="preserve"> 以上文件互为补充，如果出现内容冲突的情况，为准的优先顺序为（2）、（1）、（3）。</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2、本合同一式___份，甲、乙方双方各执份，具有同等法律效力。本合同自双方法人代表签字（盖章）认可之日起生效。</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3、本合同未尽事宜，双方友好协商，达成解决方案，经双方签字后，可作为本合同的有效附件。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本合同未尽事宜，双方友好协商，达成解决方案，经双方签字后，可作为本合同的有效附件。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甲方（采购人）：   （盖章）       乙方（供应商）：    （盖章）</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 xml:space="preserve">法定代表人：                     法定代表人： </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委托代理人：                     委托代理人：</w:t>
      </w:r>
    </w:p>
    <w:p>
      <w:pPr>
        <w:ind w:firstLine="525" w:firstLineChars="250"/>
        <w:rPr>
          <w:rFonts w:ascii="宋体" w:eastAsia="宋体" w:hAnsi="宋体" w:cs="宋体" w:hint="eastAsia"/>
          <w:sz w:val="21"/>
          <w:szCs w:val="21"/>
        </w:rPr>
      </w:pPr>
      <w:r>
        <w:rPr>
          <w:rFonts w:ascii="宋体" w:eastAsia="宋体" w:hAnsi="宋体" w:cs="宋体" w:hint="eastAsia"/>
          <w:sz w:val="21"/>
          <w:szCs w:val="21"/>
        </w:rPr>
        <w:t>日期：   年     月    日         日期：   年     月    日</w:t>
      </w:r>
    </w:p>
    <w:p>
      <w:pPr>
        <w:jc w:val="center"/>
        <w:rPr>
          <w:rFonts w:ascii="宋体" w:eastAsia="宋体" w:hAnsi="宋体" w:hint="eastAsia"/>
          <w:b/>
          <w:kern w:val="2"/>
          <w:sz w:val="21"/>
          <w:szCs w:val="21"/>
          <w:lang w:eastAsia="zh-CN"/>
        </w:rPr>
      </w:pPr>
      <w:r>
        <w:rPr>
          <w:rFonts w:ascii="宋体" w:eastAsia="宋体" w:hAnsi="宋体" w:hint="eastAsia"/>
          <w:b/>
          <w:kern w:val="2"/>
          <w:sz w:val="21"/>
          <w:szCs w:val="21"/>
          <w:lang w:eastAsia="zh-CN"/>
        </w:rPr>
        <w:t>注：本合同样本仅供参考，具体条款内容由采购单位和中标单位协商确定。</w:t>
      </w: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spacing w:line="360" w:lineRule="auto"/>
        <w:rPr>
          <w:rFonts w:ascii="宋体" w:eastAsia="宋体" w:hAnsi="宋体" w:hint="eastAsia"/>
          <w:b/>
          <w:bCs/>
          <w:kern w:val="2"/>
          <w:sz w:val="21"/>
          <w:szCs w:val="21"/>
          <w:lang w:eastAsia="zh-CN"/>
        </w:rPr>
      </w:pPr>
    </w:p>
    <w:p>
      <w:pPr>
        <w:spacing w:line="360" w:lineRule="auto"/>
        <w:rPr>
          <w:rFonts w:ascii="宋体" w:eastAsia="宋体" w:hAnsi="宋体" w:hint="eastAsia"/>
          <w:b/>
          <w:bCs/>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2" w:name="_Toc1312"/>
      <w:r>
        <w:rPr>
          <w:rFonts w:ascii="Arial" w:eastAsia="宋体" w:hAnsi="Arial" w:hint="eastAsia"/>
          <w:b/>
          <w:kern w:val="2"/>
          <w:sz w:val="32"/>
          <w:lang w:eastAsia="zh-CN"/>
        </w:rPr>
        <w:t>第一章  总则</w:t>
      </w:r>
      <w:bookmarkEnd w:id="32"/>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5．投标人参加政府采购的条件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6．政策导向</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7.本项目若涉及采购货物，则合格的货物及相应服务应满足以下要求：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8．投标费用</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9．踏勘现场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10．标前会议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3" w:name="_Toc696"/>
      <w:r>
        <w:rPr>
          <w:rFonts w:ascii="Arial" w:eastAsia="宋体" w:hAnsi="Arial" w:hint="eastAsia"/>
          <w:b/>
          <w:kern w:val="2"/>
          <w:sz w:val="32"/>
          <w:lang w:eastAsia="zh-CN"/>
        </w:rPr>
        <w:t>第二章</w:t>
      </w:r>
      <w:bookmarkStart w:id="34" w:name="_Toc4237"/>
      <w:bookmarkStart w:id="35" w:name="_Toc16272"/>
      <w:bookmarkStart w:id="36" w:name="_Toc25500"/>
      <w:r>
        <w:rPr>
          <w:rFonts w:ascii="Arial" w:eastAsia="宋体" w:hAnsi="Arial" w:hint="eastAsia"/>
          <w:b/>
          <w:kern w:val="2"/>
          <w:sz w:val="32"/>
          <w:lang w:eastAsia="zh-CN"/>
        </w:rPr>
        <w:t xml:space="preserve">  招标文件</w:t>
      </w:r>
      <w:bookmarkEnd w:id="33"/>
      <w:bookmarkEnd w:id="34"/>
      <w:bookmarkEnd w:id="35"/>
      <w:bookmarkEnd w:id="36"/>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7" w:name="_Hlk72399819"/>
      <w:r>
        <w:rPr>
          <w:rFonts w:eastAsia="宋体" w:hint="eastAsia"/>
          <w:kern w:val="2"/>
          <w:sz w:val="21"/>
          <w:lang w:eastAsia="zh-CN"/>
        </w:rPr>
        <w:t>招标文件的编制与组成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hint="eastAsia"/>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第十一章  质疑处理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7"/>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8" w:name="_Toc17279"/>
      <w:bookmarkStart w:id="39" w:name="_Toc18814"/>
      <w:bookmarkStart w:id="40" w:name="_Toc13741"/>
      <w:bookmarkStart w:id="41" w:name="_Toc31413"/>
      <w:r>
        <w:rPr>
          <w:rFonts w:ascii="Arial" w:eastAsia="宋体" w:hAnsi="Arial" w:hint="eastAsia"/>
          <w:b/>
          <w:kern w:val="2"/>
          <w:sz w:val="32"/>
          <w:lang w:eastAsia="zh-CN"/>
        </w:rPr>
        <w:t>第三章  投标文件的编制</w:t>
      </w:r>
      <w:bookmarkEnd w:id="38"/>
      <w:bookmarkEnd w:id="39"/>
      <w:bookmarkEnd w:id="40"/>
      <w:bookmarkEnd w:id="41"/>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42" w:name="_Hlk72400236"/>
      <w:r>
        <w:rPr>
          <w:rFonts w:eastAsia="宋体" w:hint="eastAsia"/>
          <w:kern w:val="2"/>
          <w:sz w:val="21"/>
          <w:lang w:eastAsia="zh-CN"/>
        </w:rPr>
        <w:t>投标文件的语言及度量单位</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42"/>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3" w:name="_Hlk72401567"/>
      <w:r>
        <w:rPr>
          <w:rFonts w:eastAsia="宋体" w:hint="eastAsia"/>
          <w:kern w:val="2"/>
          <w:sz w:val="21"/>
          <w:lang w:eastAsia="zh-CN"/>
        </w:rPr>
        <w:t>投标文件的组成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3"/>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4" w:name="_Hlk72401735"/>
      <w:r>
        <w:rPr>
          <w:rFonts w:eastAsia="宋体" w:hint="eastAsia"/>
          <w:kern w:val="2"/>
          <w:sz w:val="21"/>
          <w:lang w:eastAsia="zh-CN"/>
        </w:rPr>
        <w:t>证明投标文件投标技术方案的合格性和符合招标文件规定的文件要求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4"/>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5" w:name="_Hlk72402034"/>
      <w:r>
        <w:rPr>
          <w:rFonts w:eastAsia="宋体" w:hint="eastAsia"/>
          <w:kern w:val="2"/>
          <w:sz w:val="21"/>
          <w:lang w:eastAsia="zh-CN"/>
        </w:rPr>
        <w:t>投标文件其他证明文件的要求</w:t>
      </w:r>
    </w:p>
    <w:p>
      <w:pPr>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6"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6"/>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5"/>
    <w:p>
      <w:pPr>
        <w:wordWrap w:val="0"/>
        <w:autoSpaceDE w:val="0"/>
        <w:autoSpaceDN w:val="0"/>
        <w:spacing w:line="400" w:lineRule="exact"/>
        <w:ind w:right="808" w:firstLine="420" w:firstLineChars="200"/>
        <w:jc w:val="both"/>
        <w:rPr>
          <w:rFonts w:eastAsia="宋体"/>
          <w:kern w:val="2"/>
          <w:sz w:val="21"/>
          <w:lang w:eastAsia="zh-CN"/>
        </w:rPr>
      </w:pPr>
      <w:bookmarkStart w:id="47"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47"/>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21．</w:t>
      </w:r>
      <w:bookmarkStart w:id="48" w:name="_Hlk72402325"/>
      <w:r>
        <w:rPr>
          <w:rFonts w:eastAsia="宋体" w:hint="eastAsia"/>
          <w:kern w:val="2"/>
          <w:sz w:val="21"/>
          <w:lang w:eastAsia="zh-CN"/>
        </w:rPr>
        <w:t>关于投标保证金</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8"/>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9"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49"/>
    </w:p>
    <w:p>
      <w:pPr>
        <w:wordWrap w:val="0"/>
        <w:autoSpaceDE w:val="0"/>
        <w:autoSpaceDN w:val="0"/>
        <w:spacing w:line="360" w:lineRule="auto"/>
        <w:ind w:right="808" w:firstLine="480" w:firstLineChars="200"/>
        <w:jc w:val="both"/>
        <w:rPr>
          <w:rFonts w:eastAsia="宋体"/>
          <w:b/>
          <w:kern w:val="2"/>
          <w:lang w:eastAsia="zh-CN"/>
        </w:rPr>
      </w:pPr>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0" w:name="_Toc18062"/>
      <w:bookmarkStart w:id="51" w:name="_Toc21427"/>
      <w:bookmarkStart w:id="52" w:name="_Toc28552"/>
      <w:bookmarkStart w:id="53" w:name="_Toc26761"/>
      <w:r>
        <w:rPr>
          <w:rFonts w:ascii="Arial" w:eastAsia="宋体" w:hAnsi="Arial" w:hint="eastAsia"/>
          <w:b/>
          <w:kern w:val="2"/>
          <w:sz w:val="32"/>
          <w:lang w:eastAsia="zh-CN"/>
        </w:rPr>
        <w:t>第四章</w:t>
      </w:r>
      <w:bookmarkStart w:id="54" w:name="_Toc30105"/>
      <w:r>
        <w:rPr>
          <w:rFonts w:ascii="Arial" w:eastAsia="宋体" w:hAnsi="Arial" w:hint="eastAsia"/>
          <w:b/>
          <w:kern w:val="2"/>
          <w:sz w:val="32"/>
          <w:lang w:eastAsia="zh-CN"/>
        </w:rPr>
        <w:t xml:space="preserve">  投标文件的</w:t>
      </w:r>
      <w:bookmarkEnd w:id="50"/>
      <w:r>
        <w:rPr>
          <w:rFonts w:ascii="Arial" w:eastAsia="宋体" w:hAnsi="Arial" w:hint="eastAsia"/>
          <w:b/>
          <w:kern w:val="2"/>
          <w:sz w:val="32"/>
          <w:lang w:eastAsia="zh-CN"/>
        </w:rPr>
        <w:t>递交</w:t>
      </w:r>
      <w:bookmarkEnd w:id="51"/>
      <w:bookmarkEnd w:id="52"/>
      <w:bookmarkEnd w:id="53"/>
      <w:bookmarkEnd w:id="54"/>
    </w:p>
    <w:p>
      <w:pPr>
        <w:wordWrap w:val="0"/>
        <w:autoSpaceDE w:val="0"/>
        <w:autoSpaceDN w:val="0"/>
        <w:spacing w:line="400" w:lineRule="exact"/>
        <w:ind w:right="808" w:firstLine="420" w:firstLineChars="200"/>
        <w:jc w:val="both"/>
        <w:rPr>
          <w:rFonts w:eastAsia="宋体"/>
          <w:kern w:val="2"/>
          <w:sz w:val="21"/>
          <w:lang w:eastAsia="zh-CN"/>
        </w:rPr>
      </w:pPr>
      <w:bookmarkStart w:id="55" w:name="_Hlk72405459"/>
      <w:r>
        <w:rPr>
          <w:rFonts w:eastAsia="宋体" w:hint="eastAsia"/>
          <w:kern w:val="2"/>
          <w:sz w:val="21"/>
          <w:lang w:eastAsia="zh-CN"/>
        </w:rPr>
        <w:t>24．投标文件的保密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5"/>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ordWrap w:val="0"/>
        <w:autoSpaceDE w:val="0"/>
        <w:autoSpaceDN w:val="0"/>
        <w:spacing w:line="400" w:lineRule="exact"/>
        <w:ind w:right="808" w:firstLine="420" w:firstLineChars="200"/>
        <w:jc w:val="both"/>
        <w:rPr>
          <w:rFonts w:eastAsia="宋体"/>
          <w:kern w:val="2"/>
          <w:sz w:val="21"/>
          <w:lang w:eastAsia="zh-CN"/>
        </w:rPr>
      </w:pPr>
      <w:bookmarkStart w:id="56"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6"/>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7" w:name="第五章1"/>
      <w:bookmarkEnd w:id="57"/>
      <w:bookmarkStart w:id="58" w:name="_Toc73518144"/>
      <w:bookmarkStart w:id="59" w:name="_Toc1658"/>
      <w:bookmarkStart w:id="60" w:name="_Toc2041"/>
      <w:bookmarkStart w:id="61" w:name="_Toc14713"/>
      <w:bookmarkStart w:id="62" w:name="_Toc100052391"/>
      <w:bookmarkStart w:id="63" w:name="_Toc101074881"/>
      <w:bookmarkStart w:id="64" w:name="_Toc13806"/>
      <w:bookmarkStart w:id="65" w:name="_Toc73517666"/>
      <w:r>
        <w:rPr>
          <w:rFonts w:ascii="Arial" w:eastAsia="宋体" w:hAnsi="Arial" w:hint="eastAsia"/>
          <w:b/>
          <w:kern w:val="2"/>
          <w:sz w:val="32"/>
          <w:lang w:eastAsia="zh-CN"/>
        </w:rPr>
        <w:t>第五章</w:t>
      </w:r>
      <w:bookmarkStart w:id="66" w:name="_Toc4434"/>
      <w:r>
        <w:rPr>
          <w:rFonts w:ascii="Arial" w:eastAsia="宋体" w:hAnsi="Arial" w:hint="eastAsia"/>
          <w:b/>
          <w:kern w:val="2"/>
          <w:sz w:val="32"/>
          <w:lang w:eastAsia="zh-CN"/>
        </w:rPr>
        <w:t xml:space="preserve">  开标</w:t>
      </w:r>
      <w:bookmarkEnd w:id="58"/>
      <w:bookmarkEnd w:id="59"/>
      <w:bookmarkEnd w:id="60"/>
      <w:bookmarkEnd w:id="61"/>
      <w:bookmarkEnd w:id="62"/>
      <w:bookmarkEnd w:id="63"/>
      <w:bookmarkEnd w:id="64"/>
      <w:bookmarkEnd w:id="65"/>
      <w:bookmarkEnd w:id="66"/>
    </w:p>
    <w:p>
      <w:pPr>
        <w:wordWrap w:val="0"/>
        <w:autoSpaceDE w:val="0"/>
        <w:autoSpaceDN w:val="0"/>
        <w:spacing w:line="400" w:lineRule="exact"/>
        <w:ind w:right="808" w:firstLine="420" w:firstLineChars="200"/>
        <w:jc w:val="both"/>
        <w:rPr>
          <w:rFonts w:eastAsia="宋体"/>
          <w:kern w:val="2"/>
          <w:sz w:val="21"/>
          <w:lang w:eastAsia="zh-CN"/>
        </w:rPr>
      </w:pPr>
      <w:bookmarkStart w:id="67" w:name="_Toc73518146"/>
      <w:bookmarkStart w:id="68" w:name="_Toc73517668"/>
      <w:bookmarkStart w:id="69" w:name="_Toc100052393"/>
      <w:bookmarkStart w:id="70" w:name="_Toc101074882"/>
      <w:r>
        <w:rPr>
          <w:rFonts w:eastAsia="宋体" w:hint="eastAsia"/>
          <w:kern w:val="2"/>
          <w:sz w:val="21"/>
          <w:lang w:eastAsia="zh-CN"/>
        </w:rPr>
        <w:t>28．开标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ordWrap w:val="0"/>
        <w:autoSpaceDE w:val="0"/>
        <w:autoSpaceDN w:val="0"/>
        <w:spacing w:line="360" w:lineRule="auto"/>
        <w:ind w:right="808" w:firstLine="480" w:firstLineChars="200"/>
        <w:jc w:val="both"/>
        <w:rPr>
          <w:rFonts w:eastAsia="宋体"/>
          <w:b/>
          <w:kern w:val="2"/>
          <w:lang w:eastAsia="zh-CN"/>
        </w:rPr>
      </w:pPr>
    </w:p>
    <w:bookmarkEnd w:id="67"/>
    <w:bookmarkEnd w:id="68"/>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1" w:name="第六章1"/>
      <w:bookmarkEnd w:id="71"/>
      <w:bookmarkStart w:id="72" w:name="_Toc20179"/>
      <w:bookmarkStart w:id="73" w:name="_Toc7319"/>
      <w:bookmarkStart w:id="74" w:name="_Toc27869"/>
      <w:bookmarkStart w:id="75" w:name="_Toc29197"/>
      <w:r>
        <w:rPr>
          <w:rFonts w:ascii="Arial" w:eastAsia="宋体" w:hAnsi="Arial" w:hint="eastAsia"/>
          <w:b/>
          <w:kern w:val="2"/>
          <w:sz w:val="32"/>
          <w:lang w:eastAsia="zh-CN"/>
        </w:rPr>
        <w:t>第六章</w:t>
      </w:r>
      <w:bookmarkStart w:id="76" w:name="_Toc29225"/>
      <w:r>
        <w:rPr>
          <w:rFonts w:ascii="Arial" w:eastAsia="宋体" w:hAnsi="Arial" w:hint="eastAsia"/>
          <w:b/>
          <w:kern w:val="2"/>
          <w:sz w:val="32"/>
          <w:lang w:eastAsia="zh-CN"/>
        </w:rPr>
        <w:t xml:space="preserve">  评审要求</w:t>
      </w:r>
      <w:bookmarkEnd w:id="69"/>
      <w:bookmarkEnd w:id="70"/>
      <w:bookmarkEnd w:id="72"/>
      <w:bookmarkEnd w:id="73"/>
      <w:bookmarkEnd w:id="74"/>
      <w:bookmarkEnd w:id="75"/>
      <w:bookmarkEnd w:id="76"/>
    </w:p>
    <w:p>
      <w:pPr>
        <w:wordWrap w:val="0"/>
        <w:autoSpaceDE w:val="0"/>
        <w:autoSpaceDN w:val="0"/>
        <w:spacing w:line="400" w:lineRule="exact"/>
        <w:ind w:right="808" w:firstLine="420" w:firstLineChars="200"/>
        <w:jc w:val="both"/>
        <w:rPr>
          <w:rFonts w:eastAsia="宋体"/>
          <w:kern w:val="2"/>
          <w:sz w:val="21"/>
          <w:lang w:eastAsia="zh-CN"/>
        </w:rPr>
      </w:pPr>
      <w:bookmarkStart w:id="77" w:name="第七章1"/>
      <w:bookmarkEnd w:id="77"/>
      <w:bookmarkStart w:id="78" w:name="_Toc100052397"/>
      <w:bookmarkStart w:id="79" w:name="_Toc101074883"/>
      <w:bookmarkStart w:id="80" w:name="_Toc1296"/>
      <w:bookmarkStart w:id="81" w:name="_Toc20125"/>
      <w:bookmarkStart w:id="82" w:name="_Toc19125"/>
      <w:r>
        <w:rPr>
          <w:rFonts w:eastAsia="宋体" w:hint="eastAsia"/>
          <w:kern w:val="2"/>
          <w:sz w:val="21"/>
          <w:lang w:eastAsia="zh-CN"/>
        </w:rPr>
        <w:t>29．评审委员会组成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ordWrap w:val="0"/>
        <w:autoSpaceDE w:val="0"/>
        <w:autoSpaceDN w:val="0"/>
        <w:spacing w:line="400" w:lineRule="exact"/>
        <w:ind w:right="808" w:firstLine="420" w:firstLineChars="200"/>
        <w:jc w:val="both"/>
        <w:rPr>
          <w:rFonts w:eastAsia="宋体"/>
          <w:kern w:val="2"/>
          <w:sz w:val="21"/>
          <w:lang w:eastAsia="zh-CN"/>
        </w:rPr>
      </w:pPr>
      <w:bookmarkStart w:id="83"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3"/>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4" w:name="_Toc18761"/>
      <w:r>
        <w:rPr>
          <w:rFonts w:ascii="Arial" w:eastAsia="宋体" w:hAnsi="Arial" w:hint="eastAsia"/>
          <w:b/>
          <w:kern w:val="2"/>
          <w:sz w:val="32"/>
          <w:lang w:eastAsia="zh-CN"/>
        </w:rPr>
        <w:t>第七章</w:t>
      </w:r>
      <w:bookmarkStart w:id="85" w:name="_Toc26636"/>
      <w:r>
        <w:rPr>
          <w:rFonts w:ascii="Arial" w:eastAsia="宋体" w:hAnsi="Arial" w:hint="eastAsia"/>
          <w:b/>
          <w:kern w:val="2"/>
          <w:sz w:val="32"/>
          <w:lang w:eastAsia="zh-CN"/>
        </w:rPr>
        <w:t xml:space="preserve">  评审程序</w:t>
      </w:r>
      <w:bookmarkStart w:id="86" w:name="_Toc73517671"/>
      <w:bookmarkStart w:id="87" w:name="_Toc73518149"/>
      <w:r>
        <w:rPr>
          <w:rFonts w:ascii="Arial" w:eastAsia="宋体" w:hAnsi="Arial" w:hint="eastAsia"/>
          <w:b/>
          <w:kern w:val="2"/>
          <w:sz w:val="32"/>
          <w:lang w:eastAsia="zh-CN"/>
        </w:rPr>
        <w:t>及评审方法</w:t>
      </w:r>
      <w:bookmarkEnd w:id="78"/>
      <w:bookmarkEnd w:id="79"/>
      <w:bookmarkEnd w:id="80"/>
      <w:bookmarkEnd w:id="81"/>
      <w:bookmarkEnd w:id="82"/>
      <w:bookmarkEnd w:id="84"/>
      <w:bookmarkEnd w:id="85"/>
    </w:p>
    <w:bookmarkEnd w:id="86"/>
    <w:bookmarkEnd w:id="87"/>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ordWrap w:val="0"/>
        <w:autoSpaceDE w:val="0"/>
        <w:autoSpaceDN w:val="0"/>
        <w:spacing w:line="400" w:lineRule="exact"/>
        <w:ind w:right="808" w:firstLine="420" w:firstLineChars="200"/>
        <w:jc w:val="both"/>
        <w:rPr>
          <w:rFonts w:eastAsia="宋体"/>
          <w:kern w:val="2"/>
          <w:sz w:val="21"/>
          <w:lang w:eastAsia="zh-CN"/>
        </w:rPr>
      </w:pPr>
      <w:bookmarkStart w:id="88"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8"/>
    </w:p>
    <w:p>
      <w:pPr>
        <w:wordWrap w:val="0"/>
        <w:autoSpaceDE w:val="0"/>
        <w:autoSpaceDN w:val="0"/>
        <w:spacing w:line="400" w:lineRule="exact"/>
        <w:ind w:right="808"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ordWrap w:val="0"/>
        <w:autoSpaceDE w:val="0"/>
        <w:autoSpaceDN w:val="0"/>
        <w:spacing w:line="400" w:lineRule="exact"/>
        <w:ind w:right="808" w:firstLine="420" w:firstLineChars="200"/>
        <w:jc w:val="both"/>
        <w:rPr>
          <w:rFonts w:eastAsia="宋体"/>
          <w:kern w:val="2"/>
          <w:sz w:val="21"/>
          <w:lang w:eastAsia="zh-CN"/>
        </w:rPr>
      </w:pPr>
      <w:bookmarkStart w:id="89" w:name="_Toc73518151"/>
      <w:bookmarkStart w:id="90" w:name="_Toc73521669"/>
      <w:bookmarkStart w:id="91" w:name="_Toc100052400"/>
      <w:bookmarkStart w:id="92" w:name="_Toc73517673"/>
      <w:bookmarkStart w:id="93" w:name="_Toc73521581"/>
      <w:r>
        <w:rPr>
          <w:rFonts w:eastAsia="宋体" w:hint="eastAsia"/>
          <w:kern w:val="2"/>
          <w:sz w:val="21"/>
          <w:lang w:eastAsia="zh-CN"/>
        </w:rPr>
        <w:t>34．错误的修正</w:t>
      </w:r>
      <w:bookmarkEnd w:id="89"/>
      <w:bookmarkEnd w:id="90"/>
      <w:bookmarkEnd w:id="91"/>
      <w:bookmarkEnd w:id="92"/>
      <w:bookmarkEnd w:id="93"/>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ordWrap w:val="0"/>
        <w:autoSpaceDE w:val="0"/>
        <w:autoSpaceDN w:val="0"/>
        <w:spacing w:line="400" w:lineRule="exact"/>
        <w:ind w:right="808" w:firstLine="420" w:firstLineChars="200"/>
        <w:jc w:val="both"/>
        <w:rPr>
          <w:rFonts w:eastAsia="宋体"/>
          <w:kern w:val="2"/>
          <w:sz w:val="21"/>
          <w:lang w:eastAsia="zh-CN"/>
        </w:rPr>
      </w:pPr>
      <w:bookmarkStart w:id="94" w:name="_Hlk72438142"/>
      <w:r>
        <w:rPr>
          <w:rFonts w:eastAsia="宋体" w:hint="eastAsia"/>
          <w:kern w:val="2"/>
          <w:sz w:val="21"/>
          <w:lang w:eastAsia="zh-CN"/>
        </w:rPr>
        <w:t>37.1.1最低价法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4"/>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5" w:name="第八章1"/>
      <w:bookmarkEnd w:id="95"/>
      <w:bookmarkStart w:id="96" w:name="_Toc1513"/>
      <w:bookmarkStart w:id="97" w:name="_Toc26094"/>
      <w:bookmarkStart w:id="98" w:name="_Toc13341"/>
      <w:bookmarkStart w:id="99" w:name="_Toc30568"/>
      <w:r>
        <w:rPr>
          <w:rFonts w:ascii="Arial" w:eastAsia="宋体" w:hAnsi="Arial" w:hint="eastAsia"/>
          <w:b/>
          <w:kern w:val="2"/>
          <w:sz w:val="32"/>
          <w:lang w:eastAsia="zh-CN"/>
        </w:rPr>
        <w:t>第八章</w:t>
      </w:r>
      <w:bookmarkStart w:id="100" w:name="_Toc24537"/>
      <w:r>
        <w:rPr>
          <w:rFonts w:ascii="Arial" w:eastAsia="宋体" w:hAnsi="Arial" w:hint="eastAsia"/>
          <w:b/>
          <w:kern w:val="2"/>
          <w:sz w:val="32"/>
          <w:lang w:eastAsia="zh-CN"/>
        </w:rPr>
        <w:t xml:space="preserve">  定标及公示</w:t>
      </w:r>
      <w:bookmarkEnd w:id="96"/>
      <w:bookmarkEnd w:id="97"/>
      <w:bookmarkEnd w:id="98"/>
      <w:bookmarkEnd w:id="99"/>
      <w:bookmarkEnd w:id="100"/>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ordWrap w:val="0"/>
        <w:autoSpaceDE w:val="0"/>
        <w:autoSpaceDN w:val="0"/>
        <w:spacing w:line="400" w:lineRule="exact"/>
        <w:ind w:right="808" w:firstLine="420" w:firstLineChars="200"/>
        <w:jc w:val="both"/>
        <w:rPr>
          <w:rFonts w:eastAsia="宋体"/>
          <w:kern w:val="2"/>
          <w:sz w:val="21"/>
          <w:lang w:eastAsia="zh-CN"/>
        </w:rPr>
      </w:pPr>
      <w:bookmarkStart w:id="101" w:name="_Hlk73782795"/>
      <w:r>
        <w:rPr>
          <w:rFonts w:eastAsia="宋体" w:hint="eastAsia"/>
          <w:kern w:val="2"/>
          <w:sz w:val="21"/>
          <w:lang w:eastAsia="zh-CN"/>
        </w:rPr>
        <w:t>38.1非评定分离项目定标方法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102"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3"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102"/>
      <w:bookmarkEnd w:id="103"/>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101"/>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4"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4"/>
      <w:bookmarkStart w:id="105"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05"/>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6"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6"/>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ordWrap w:val="0"/>
        <w:autoSpaceDE w:val="0"/>
        <w:autoSpaceDN w:val="0"/>
        <w:spacing w:line="400" w:lineRule="exact"/>
        <w:ind w:right="808" w:firstLine="420" w:firstLineChars="200"/>
        <w:jc w:val="both"/>
        <w:rPr>
          <w:rFonts w:eastAsia="宋体"/>
          <w:kern w:val="2"/>
          <w:sz w:val="21"/>
          <w:lang w:eastAsia="zh-CN"/>
        </w:rPr>
      </w:pPr>
      <w:bookmarkStart w:id="107" w:name="_Hlk71407340"/>
      <w:r>
        <w:rPr>
          <w:rFonts w:eastAsia="宋体" w:hint="eastAsia"/>
          <w:kern w:val="2"/>
          <w:sz w:val="21"/>
          <w:lang w:eastAsia="zh-CN"/>
        </w:rPr>
        <w:t>41.3因质疑投诉或其它原因导致项目结果变更或采购终止的，采购代理机构有权吊销中标通知书。</w:t>
      </w:r>
    </w:p>
    <w:bookmarkEnd w:id="107"/>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8" w:name="第九章1"/>
      <w:bookmarkEnd w:id="108"/>
      <w:bookmarkStart w:id="109" w:name="_Toc11736"/>
      <w:bookmarkStart w:id="110" w:name="_Toc24474"/>
      <w:bookmarkStart w:id="111" w:name="_Toc17412"/>
      <w:bookmarkStart w:id="112" w:name="_Toc25733"/>
      <w:bookmarkStart w:id="113" w:name="_Toc20277"/>
      <w:bookmarkStart w:id="114" w:name="_Toc101074884"/>
      <w:bookmarkStart w:id="115" w:name="_Toc73517678"/>
      <w:bookmarkStart w:id="116" w:name="_Toc100052407"/>
      <w:r>
        <w:rPr>
          <w:rFonts w:ascii="Arial" w:eastAsia="宋体" w:hAnsi="Arial" w:hint="eastAsia"/>
          <w:b/>
          <w:kern w:val="2"/>
          <w:sz w:val="32"/>
          <w:lang w:eastAsia="zh-CN"/>
        </w:rPr>
        <w:t>第九章  公开采购失败的后续处理</w:t>
      </w:r>
      <w:bookmarkEnd w:id="109"/>
      <w:bookmarkEnd w:id="110"/>
      <w:bookmarkEnd w:id="111"/>
      <w:bookmarkEnd w:id="112"/>
      <w:bookmarkEnd w:id="113"/>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ordWrap w:val="0"/>
        <w:autoSpaceDE w:val="0"/>
        <w:autoSpaceDN w:val="0"/>
        <w:spacing w:line="360" w:lineRule="auto"/>
        <w:ind w:right="808" w:firstLine="480" w:firstLineChars="200"/>
        <w:jc w:val="both"/>
        <w:rPr>
          <w:rFonts w:eastAsia="宋体"/>
          <w:b/>
          <w:kern w:val="2"/>
          <w:lang w:eastAsia="zh-CN"/>
        </w:rPr>
      </w:pPr>
    </w:p>
    <w:bookmarkEnd w:id="114"/>
    <w:bookmarkEnd w:id="115"/>
    <w:bookmarkEnd w:id="116"/>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7" w:name="第十章1"/>
      <w:bookmarkEnd w:id="117"/>
      <w:bookmarkStart w:id="118" w:name="_Toc26432"/>
      <w:bookmarkStart w:id="119" w:name="_Toc9122"/>
      <w:bookmarkStart w:id="120" w:name="_Toc13677"/>
      <w:bookmarkStart w:id="121" w:name="_Toc26814"/>
      <w:bookmarkStart w:id="122" w:name="_Toc27904"/>
      <w:r>
        <w:rPr>
          <w:rFonts w:ascii="Arial" w:eastAsia="宋体" w:hAnsi="Arial" w:hint="eastAsia"/>
          <w:b/>
          <w:kern w:val="2"/>
          <w:sz w:val="32"/>
          <w:lang w:eastAsia="zh-CN"/>
        </w:rPr>
        <w:t>第十章  合同的授予与备案</w:t>
      </w:r>
      <w:bookmarkEnd w:id="118"/>
      <w:bookmarkEnd w:id="119"/>
      <w:bookmarkEnd w:id="120"/>
      <w:bookmarkEnd w:id="121"/>
      <w:bookmarkEnd w:id="122"/>
    </w:p>
    <w:p>
      <w:pPr>
        <w:wordWrap w:val="0"/>
        <w:autoSpaceDE w:val="0"/>
        <w:autoSpaceDN w:val="0"/>
        <w:spacing w:line="400" w:lineRule="exact"/>
        <w:ind w:right="808" w:firstLine="420" w:firstLineChars="200"/>
        <w:jc w:val="both"/>
        <w:rPr>
          <w:rFonts w:eastAsia="宋体"/>
          <w:kern w:val="2"/>
          <w:sz w:val="21"/>
          <w:lang w:eastAsia="zh-CN"/>
        </w:rPr>
      </w:pPr>
      <w:bookmarkStart w:id="123" w:name="_33._合同授予标准"/>
      <w:bookmarkEnd w:id="123"/>
      <w:bookmarkStart w:id="124" w:name="_Toc73521586"/>
      <w:bookmarkStart w:id="125" w:name="_Toc73518157"/>
      <w:bookmarkStart w:id="126" w:name="_Toc73517679"/>
      <w:bookmarkStart w:id="127" w:name="_Toc100052408"/>
      <w:bookmarkStart w:id="128" w:name="_Toc73521674"/>
      <w:bookmarkStart w:id="129" w:name="_Hlk72439088"/>
      <w:r>
        <w:rPr>
          <w:rFonts w:eastAsia="宋体" w:hint="eastAsia"/>
          <w:kern w:val="2"/>
          <w:sz w:val="21"/>
          <w:lang w:eastAsia="zh-CN"/>
        </w:rPr>
        <w:t>43．合同授予标准</w:t>
      </w:r>
      <w:bookmarkEnd w:id="124"/>
      <w:bookmarkEnd w:id="125"/>
      <w:bookmarkEnd w:id="126"/>
      <w:bookmarkEnd w:id="127"/>
      <w:bookmarkEnd w:id="128"/>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ordWrap w:val="0"/>
        <w:autoSpaceDE w:val="0"/>
        <w:autoSpaceDN w:val="0"/>
        <w:spacing w:line="400" w:lineRule="exact"/>
        <w:ind w:right="808" w:firstLine="420" w:firstLineChars="200"/>
        <w:jc w:val="both"/>
        <w:rPr>
          <w:rFonts w:eastAsia="宋体"/>
          <w:kern w:val="2"/>
          <w:sz w:val="21"/>
          <w:lang w:eastAsia="zh-CN"/>
        </w:rPr>
      </w:pPr>
      <w:bookmarkStart w:id="130" w:name="_Toc73521587"/>
      <w:bookmarkStart w:id="131" w:name="_Toc73521675"/>
      <w:bookmarkStart w:id="132" w:name="_Toc73517680"/>
      <w:bookmarkStart w:id="133" w:name="_Toc100052409"/>
      <w:bookmarkStart w:id="134" w:name="_Toc73518158"/>
      <w:r>
        <w:rPr>
          <w:rFonts w:eastAsia="宋体" w:hint="eastAsia"/>
          <w:kern w:val="2"/>
          <w:sz w:val="21"/>
          <w:lang w:eastAsia="zh-CN"/>
        </w:rPr>
        <w:t>44．</w:t>
      </w:r>
      <w:bookmarkEnd w:id="130"/>
      <w:bookmarkEnd w:id="131"/>
      <w:bookmarkEnd w:id="132"/>
      <w:bookmarkEnd w:id="133"/>
      <w:bookmarkEnd w:id="134"/>
      <w:r>
        <w:rPr>
          <w:rFonts w:eastAsia="宋体" w:hint="eastAsia"/>
          <w:kern w:val="2"/>
          <w:sz w:val="21"/>
          <w:lang w:eastAsia="zh-CN"/>
        </w:rPr>
        <w:t>接受和拒绝任何或所有投标的权力</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ordWrap w:val="0"/>
        <w:autoSpaceDE w:val="0"/>
        <w:autoSpaceDN w:val="0"/>
        <w:spacing w:line="400" w:lineRule="exact"/>
        <w:ind w:right="808" w:firstLine="420" w:firstLineChars="200"/>
        <w:jc w:val="both"/>
        <w:rPr>
          <w:rFonts w:eastAsia="宋体"/>
          <w:kern w:val="2"/>
          <w:sz w:val="21"/>
          <w:lang w:eastAsia="zh-CN"/>
        </w:rPr>
      </w:pPr>
      <w:bookmarkStart w:id="135" w:name="_Toc73518160"/>
      <w:bookmarkStart w:id="136" w:name="_Toc73521589"/>
      <w:bookmarkStart w:id="137" w:name="_Toc73521677"/>
      <w:bookmarkStart w:id="138" w:name="_Toc73517682"/>
      <w:bookmarkStart w:id="139" w:name="_Toc100052410"/>
      <w:r>
        <w:rPr>
          <w:rFonts w:eastAsia="宋体" w:hint="eastAsia"/>
          <w:kern w:val="2"/>
          <w:sz w:val="21"/>
          <w:lang w:eastAsia="zh-CN"/>
        </w:rPr>
        <w:t>45．合同的签订</w:t>
      </w:r>
      <w:bookmarkEnd w:id="135"/>
      <w:bookmarkEnd w:id="136"/>
      <w:bookmarkEnd w:id="137"/>
      <w:bookmarkEnd w:id="138"/>
      <w:bookmarkEnd w:id="139"/>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ordWrap w:val="0"/>
        <w:autoSpaceDE w:val="0"/>
        <w:autoSpaceDN w:val="0"/>
        <w:spacing w:line="400" w:lineRule="exact"/>
        <w:ind w:right="808" w:firstLine="420" w:firstLineChars="200"/>
        <w:jc w:val="both"/>
        <w:rPr>
          <w:rFonts w:eastAsia="宋体"/>
          <w:kern w:val="2"/>
          <w:sz w:val="21"/>
          <w:lang w:eastAsia="zh-CN"/>
        </w:rPr>
      </w:pPr>
      <w:bookmarkStart w:id="140" w:name="_Toc73521590"/>
      <w:bookmarkStart w:id="141" w:name="_Toc73521678"/>
      <w:bookmarkStart w:id="142" w:name="_Toc100052411"/>
      <w:bookmarkStart w:id="143" w:name="_Toc73517683"/>
      <w:bookmarkStart w:id="144" w:name="_Toc73518161"/>
      <w:r>
        <w:rPr>
          <w:rFonts w:eastAsia="宋体" w:hint="eastAsia"/>
          <w:kern w:val="2"/>
          <w:sz w:val="21"/>
          <w:lang w:eastAsia="zh-CN"/>
        </w:rPr>
        <w:t>46．履约担保</w:t>
      </w:r>
      <w:bookmarkEnd w:id="140"/>
      <w:bookmarkEnd w:id="141"/>
      <w:bookmarkEnd w:id="142"/>
      <w:bookmarkEnd w:id="143"/>
      <w:bookmarkEnd w:id="144"/>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5" w:name="_Hlk72440769"/>
      <w:r>
        <w:rPr>
          <w:rFonts w:eastAsia="宋体" w:hint="eastAsia"/>
          <w:kern w:val="2"/>
          <w:sz w:val="21"/>
          <w:lang w:eastAsia="zh-CN"/>
        </w:rPr>
        <w:t>采购代理机构或采购人不予退还其交纳的谈判保证金，情节严重的，并由主管部门</w:t>
      </w:r>
      <w:bookmarkEnd w:id="145"/>
      <w:r>
        <w:rPr>
          <w:rFonts w:eastAsia="宋体" w:hint="eastAsia"/>
          <w:kern w:val="2"/>
          <w:sz w:val="21"/>
          <w:lang w:eastAsia="zh-CN"/>
        </w:rPr>
        <w:t>记入供应商诚信档案，予以通报：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9"/>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6" w:name="_Toc19433"/>
      <w:r>
        <w:rPr>
          <w:rFonts w:ascii="Arial" w:eastAsia="宋体" w:hAnsi="Arial" w:hint="eastAsia"/>
          <w:b/>
          <w:kern w:val="2"/>
          <w:sz w:val="32"/>
          <w:lang w:eastAsia="zh-CN"/>
        </w:rPr>
        <w:t>第十一章  质疑处理</w:t>
      </w:r>
      <w:bookmarkEnd w:id="146"/>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47" w:name="_Hlk75374941"/>
      <w:r>
        <w:rPr>
          <w:rFonts w:eastAsia="宋体" w:hint="eastAsia"/>
          <w:kern w:val="2"/>
          <w:sz w:val="21"/>
          <w:lang w:eastAsia="zh-CN"/>
        </w:rPr>
        <w:t>以联合体形式参与的，质疑应当由组成联合体的所有成员共同提出</w:t>
      </w:r>
      <w:bookmarkEnd w:id="147"/>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地址：深圳市千里招标代理有限公司（地址：深圳市龙华区和平路21号振华时代广场8层802）。</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ordWrap w:val="0"/>
        <w:autoSpaceDE w:val="0"/>
        <w:autoSpaceDN w:val="0"/>
        <w:spacing w:line="400" w:lineRule="exact"/>
        <w:ind w:right="808" w:firstLine="420" w:firstLineChars="200"/>
        <w:jc w:val="both"/>
        <w:rPr>
          <w:rFonts w:ascii="仿宋" w:eastAsia="仿宋" w:hAnsi="仿宋" w:hint="eastAsia"/>
          <w:kern w:val="2"/>
          <w:sz w:val="28"/>
          <w:szCs w:val="28"/>
          <w:lang w:eastAsia="zh-CN"/>
        </w:rPr>
      </w:pPr>
      <w:r>
        <w:rPr>
          <w:rFonts w:eastAsia="宋体" w:hint="eastAsia"/>
          <w:kern w:val="2"/>
          <w:sz w:val="21"/>
          <w:lang w:eastAsia="zh-CN"/>
        </w:rPr>
        <w:t>52.6.2供应商提交的质疑材料不符合质疑条件的，视情况处理：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ordWrap w:val="0"/>
        <w:autoSpaceDE w:val="0"/>
        <w:autoSpaceDN w:val="0"/>
        <w:spacing w:line="400" w:lineRule="exact"/>
        <w:ind w:right="808" w:firstLine="420" w:firstLineChars="200"/>
        <w:jc w:val="both"/>
        <w:rPr>
          <w:rFonts w:ascii="微软雅黑" w:eastAsia="微软雅黑" w:hAnsi="微软雅黑" w:cs="微软雅黑" w:hint="eastAsia"/>
          <w:color w:val="333333"/>
          <w:lang w:val="en" w:eastAsia="zh-CN"/>
        </w:rPr>
        <w:sectPr>
          <w:headerReference w:type="default" r:id="rId9"/>
          <w:footerReference w:type="default" r:id="rId10"/>
          <w:pgSz w:w="12240" w:h="1584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仿宋" w:eastAsia="仿宋" w:hAnsi="仿宋" w:cs="仿宋"/>
          <w:b/>
          <w:bCs/>
          <w:color w:val="000000"/>
          <w:sz w:val="48"/>
          <w:szCs w:val="48"/>
          <w:lang w:val="en" w:eastAsia="en"/>
        </w:rPr>
      </w:pPr>
      <w:r>
        <w:rPr>
          <w:rFonts w:ascii="仿宋" w:eastAsia="仿宋" w:hAnsi="仿宋" w:cs="仿宋"/>
          <w:b/>
          <w:bCs/>
          <w:color w:val="000000"/>
          <w:sz w:val="48"/>
          <w:szCs w:val="48"/>
          <w:lang w:val="en" w:eastAsia="en"/>
        </w:rPr>
        <w:t>投标文件格式</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微软雅黑" w:eastAsia="微软雅黑" w:hAnsi="微软雅黑" w:cs="微软雅黑"/>
          <w:color w:val="333333"/>
          <w:lang w:val="en" w:eastAsia="en"/>
        </w:rPr>
        <w:sectPr>
          <w:pgMar w:top="1440" w:right="1800" w:bottom="1440" w:left="1800" w:header="708" w:footer="708" w:gutter="0"/>
          <w:cols w:num="1"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仿宋" w:eastAsia="仿宋" w:hAnsi="仿宋" w:cs="仿宋"/>
          <w:b/>
          <w:bCs/>
          <w:color w:val="000000"/>
          <w:sz w:val="48"/>
          <w:szCs w:val="48"/>
          <w:lang w:val="en" w:eastAsia="en"/>
        </w:rPr>
      </w:pPr>
      <w:r>
        <w:rPr>
          <w:rFonts w:ascii="仿宋" w:eastAsia="仿宋" w:hAnsi="仿宋" w:cs="仿宋"/>
          <w:b/>
          <w:bCs/>
          <w:color w:val="000000"/>
          <w:sz w:val="48"/>
          <w:szCs w:val="48"/>
          <w:lang w:val="en" w:eastAsia="en"/>
        </w:rPr>
        <w:t>投标文件格式</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微软雅黑" w:eastAsia="微软雅黑" w:hAnsi="微软雅黑" w:cs="微软雅黑"/>
          <w:color w:val="333333"/>
          <w:lang w:val="en" w:eastAsia="en"/>
        </w:rPr>
        <w:sectPr>
          <w:pgMar w:top="1440" w:right="1800" w:bottom="1440" w:left="1800" w:header="708" w:footer="708" w:gutter="0"/>
          <w:cols w:num="1"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分布式操作系统应用开发实训平台采购-A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现场演示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项目整体设计方案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供货、安装指导及调试方案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项目经理资质情况（仅限1人）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LHAZXDL-2025-00824-001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分布式操作系统应用开发实训平台采购-A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ascii="FangSong" w:eastAsia="FangSong" w:hAnsi="FangSong" w:cs="FangSong"/>
                <w:color w:val="666666"/>
                <w:lang w:val="en" w:eastAsia="en"/>
              </w:rPr>
              <w:br/>
            </w: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10、本项目不接受联合体投标，不接受进口产品参与投标，不允许转包、分包。（由供应商在《龙华区教育局自行采购投标及履约承诺函》中作出承诺）。：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10、本项目不接受联合体投标，不接受进口产品参与投标，不允许转包、分包。（由供应商在《龙华区教育局自行采购投标及履约承诺函》中作出承诺）。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w:t>
            </w:r>
            <w:r>
              <w:rPr>
                <w:rFonts w:ascii="FangSong" w:eastAsia="FangSong" w:hAnsi="FangSong" w:cs="FangSong"/>
                <w:color w:val="666666"/>
                <w:lang w:val="en" w:eastAsia="en"/>
              </w:rPr>
              <w:br/>
            </w:r>
            <w:r>
              <w:rPr>
                <w:rFonts w:ascii="FangSong" w:eastAsia="FangSong" w:hAnsi="FangSong" w:cs="FangSong"/>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评审小组根据《技术规格偏离表》（以下简称“偏离表”.响应情况进行打分，全部满足的得100分，一般参数负偏离一项扣0.52分，重点技术参数▲项负偏离一项扣8分。扣完为止。 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27</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现场演示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投标人需进行现场演示（共4个总分100分），根据下列功能逐条演示： 1、演示分布式操作系统应用开发综合实践平台内嵌18寸或以上触摸屏，运行智能交通、物料搬运、洗衣液制作、快递分拣、智能洗衣机、水塔供水、隧道风机、智能广告彩灯、自动售货机、工位呼叫、垂直电梯、自动扶梯、LED数码管显示、自动送料小车、电机运行系统等15个或以上行业仿真场景界面的离线仿真效果。（演示满足要求得25分，不满足不得分） 2、评分专家任意指定一个场景，当即演示通过实物插线实现对显示屏的虚拟仿真设备进行控制，触摸屏虚拟仿真场景状态变化，对应的实物指示灯会对应变化。（演示满足要求得25分，不满足不得分） 3、演示将仿真开发控制板通过60针排线，连接虚实交互IO控制板，仿真开发控制板烧录智能交通控制案例代码，实现对智能交通仿真场景的控制效果；（演示满足要求得25分，不满足不得分） 4、演示分布式操作系统应用开发综合实践平台下方固定虚实交互IO控制板和不少于8个磁吸底座，演示磁吸底座通过顶针方式稳定连接南向仿真开发控制板的效果；（演示满足要求得25分，不满足不得分） 注：评委根据功能演示情况与采购需求匹配程度，业务逻辑，完整性，关键点的把握程度进行评分，每家投标人总演示时间不超过15分钟。</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项目整体设计方案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投标人提供本项目的售后服务方案，方案中包含： 1、服务内容； 2、维修应急方案； 3、培训计划； 4、其他特色服务。 （二）评审标准： 方案中含有上述一个内容得10分，总计40分。在此基础上，对方案的合理性、可行性进行打分。 1、售后服务方案非常详细，保障措施完善可行，加60分； 2、售后服务方案比较具体，保障措施比较完善可行的加20分； 3、未提供售后服务方案或售后服务方案不详细、可行性较差的得0分。 注：未提供方案的得0分。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供货、安装指导及调试方案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投标人提供本项目的售后服务方案，方案中包含： 1、供货计划； 2、安装指导； 3、调试方案； （二）评审标准： 方案中含有上述一个内容得10分，总计30分。在此基础上，对方案的合理性、可行性进行打分。 1、供货计划迅速，安装指导方案详尽，调试方案可行，有完善的保障措施，加70分； 2、供货计划及时且有一定的合理性，安装指导方案有一定的详尽度，调试方案有一定的可行性，有一定的保障措施，加30分； 3、供货计划拖沓且不合理，安装指导方案不详尽，调试方案不可行，无保障措施及其他情况，加10分。 注：需提供安装指导、调试方案等证明材料，不提供得0分。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项目经理资质情况（仅限1人）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（一）评分内容：项目经理具有： 1、计算机相关专业本科或以上学历得30分； 2、省级（或以上）人力资源和社会保障厅颁布的通信技术中级（或以上）职称，提供得30分； 3、具备物联网安装调试员职业技能等级证书二级或以上，提供得40分。 （二）评分依据： 1、提供学历证书（毕业证书）及学信网查询记录。对于较早颁发的学历证书，学信网无法查询的，要求提供其他佐证材料（如毕业院校、人社部门等颁发机构或监管机构等单位出具的证明）作为可以得分的依据等证明文件作为得分依据。海外留学人员（含港澳台）学历无法通过学信网站查询，允许提供“教育部留学服务中心出具的国外学历认证证书以及教育部留学服务中心官网查询截图； 2、提供有效职称证书、资格证书； 3、提供项目经理最近一个月的社会保险证明。（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 4、若由行业协会（学会）颁发的，还需提供该协会（学会）在中国社会组织政务服务平台查询正常的截图（httpschinanpo.mca.gov.cn），原件备查；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投标人自2024年1月1日至本项目投标截止之日（具体以合同签订日期为准），具有物联网或智能产品项目经验,每提供1个同类经验的得34分，最高得100分。 （二）评分依据： 投标人须同时提供合同关键页（关键信息包括但不限于合同的项目名称、服务内容、合同签字盖章页）扫描件及有效验收报告，原件备查。一年一签的长期续签合同只计算一个业绩； 注：以上业绩通过合同关键信息无法判断是否得分的，还须同时提供能证明得分的其它证明资料。</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投标人应如实填写《商务条款偏离情况》，评审小组根据响应情况进行打分，商务条款全部满足要求的得100分，实质性条款除外，条款每负偏离一项扣10分，扣完为止。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诚信承诺函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承诺在参与龙华区教育局自行采购活动中未出现诚信或安全相关问题且不在相关主管部门处理措施实施期限内的本项得满分100分，否则不得分。须提供加盖投标人公章的《诚信承诺函》，按采购文件格式要求提供，不提供或提供的不符合要求或提供不清晰导致专家无法判断的均不得分。如被认定提供的陈述与事实不符受到行政处罚的，依法追究其责任。</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09221C"/>
    <w:multiLevelType w:val="singleLevel"/>
    <w:tmpl w:val="B609221C"/>
    <w:lvl w:ilvl="0">
      <w:start w:val="1"/>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C1037350"/>
    <w:multiLevelType w:val="singleLevel"/>
    <w:tmpl w:val="C1037350"/>
    <w:lvl w:ilvl="0">
      <w:start w:val="2"/>
      <w:numFmt w:val="chineseCounting"/>
      <w:suff w:val="nothing"/>
      <w:lvlText w:val="%1、"/>
      <w:lvlJc w:val="left"/>
      <w:rPr>
        <w:rFonts w:hint="eastAsia"/>
      </w:rPr>
    </w:lvl>
  </w:abstractNum>
  <w:abstractNum w:abstractNumId="3">
    <w:nsid w:val="721CBBE0"/>
    <w:multiLevelType w:val="singleLevel"/>
    <w:tmpl w:val="721CBBE0"/>
    <w:lvl w:ilvl="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a"/>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a">
    <w:name w:val="页眉 字符"/>
    <w:basedOn w:val="DefaultParagraphFont"/>
    <w:link w:val="Header"/>
    <w:uiPriority w:val="99"/>
    <w:qFormat/>
    <w:rPr>
      <w:rFonts w:eastAsia="宋体"/>
      <w:sz w:val="18"/>
      <w:szCs w:val="18"/>
    </w:rPr>
  </w:style>
  <w:style w:type="paragraph" w:styleId="Footer">
    <w:name w:val="footer"/>
    <w:basedOn w:val="Normal"/>
    <w:link w:val="a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a0">
    <w:name w:val="页脚 字符"/>
    <w:basedOn w:val="DefaultParagraphFont"/>
    <w:link w:val="Footer"/>
    <w:uiPriority w:val="99"/>
    <w:qFormat/>
    <w:rPr>
      <w:rFonts w:eastAsia="宋体"/>
      <w:sz w:val="18"/>
      <w:szCs w:val="18"/>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qFormat/>
  </w:style>
  <w:style w:type="paragraph" w:customStyle="1" w:styleId="TableText">
    <w:name w:val="Table Text"/>
    <w:basedOn w:val="Normal"/>
    <w:semiHidden/>
    <w:qFormat/>
    <w:pPr>
      <w:kinsoku w:val="0"/>
      <w:autoSpaceDE w:val="0"/>
      <w:autoSpaceDN w:val="0"/>
      <w:adjustRightInd w:val="0"/>
      <w:snapToGrid w:val="0"/>
      <w:spacing w:after="160" w:line="278" w:lineRule="auto"/>
      <w:textAlignment w:val="baseline"/>
    </w:pPr>
    <w:rPr>
      <w:rFonts w:ascii="仿宋" w:eastAsia="仿宋" w:hAnsi="仿宋" w:cs="仿宋"/>
      <w:snapToGrid w:val="0"/>
      <w:color w:val="000000"/>
      <w:sz w:val="20"/>
      <w:szCs w:val="20"/>
    </w:rPr>
  </w:style>
  <w:style w:type="paragraph" w:styleId="BodyText">
    <w:name w:val="Body Text"/>
    <w:basedOn w:val="Normal"/>
    <w:qFormat/>
    <w:pPr>
      <w:spacing w:line="360" w:lineRule="auto"/>
    </w:pPr>
    <w:rPr>
      <w:b/>
      <w:bCs/>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