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AB75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cs="宋体"/>
          <w:b/>
          <w:bCs/>
          <w:color w:val="auto"/>
          <w:sz w:val="28"/>
          <w:szCs w:val="28"/>
          <w:highlight w:val="none"/>
          <w:u w:val="none"/>
          <w:lang w:val="en-US" w:eastAsia="zh-CN"/>
        </w:rPr>
      </w:pPr>
      <w:r>
        <w:rPr>
          <w:rFonts w:hint="eastAsia" w:ascii="宋体" w:hAnsi="宋体" w:cs="宋体"/>
          <w:b/>
          <w:bCs/>
          <w:color w:val="auto"/>
          <w:sz w:val="28"/>
          <w:szCs w:val="28"/>
          <w:highlight w:val="none"/>
          <w:u w:val="none"/>
          <w:lang w:val="en-US" w:eastAsia="zh-CN"/>
        </w:rPr>
        <w:t>前海管理局局属企业薪酬体系评估咨询项目（二次）招标公告</w:t>
      </w:r>
    </w:p>
    <w:p w14:paraId="5F741451">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sz w:val="24"/>
          <w:highlight w:val="none"/>
        </w:rPr>
      </w:pPr>
      <w:r>
        <w:rPr>
          <w:rFonts w:hint="eastAsia" w:ascii="宋体" w:hAnsi="宋体" w:cs="宋体"/>
          <w:color w:val="auto"/>
          <w:sz w:val="24"/>
          <w:highlight w:val="none"/>
          <w:u w:val="single"/>
          <w:lang w:val="en-US" w:eastAsia="zh-CN"/>
        </w:rPr>
        <w:t>前海管理局局属企业薪酬体系评估咨询项目（二次）</w:t>
      </w:r>
      <w:r>
        <w:rPr>
          <w:rFonts w:hint="eastAsia" w:ascii="宋体" w:hAnsi="宋体" w:cs="宋体"/>
          <w:color w:val="auto"/>
          <w:sz w:val="24"/>
          <w:highlight w:val="none"/>
        </w:rPr>
        <w:t>（招标编号：QH</w:t>
      </w:r>
      <w:r>
        <w:rPr>
          <w:rFonts w:hint="eastAsia" w:ascii="宋体" w:hAnsi="宋体" w:cs="宋体"/>
          <w:color w:val="auto"/>
          <w:sz w:val="24"/>
          <w:highlight w:val="none"/>
          <w:lang w:val="en-US"/>
        </w:rPr>
        <w:t>20</w:t>
      </w:r>
      <w:r>
        <w:rPr>
          <w:rFonts w:hint="eastAsia" w:ascii="宋体" w:hAnsi="宋体" w:cs="宋体"/>
          <w:color w:val="auto"/>
          <w:sz w:val="24"/>
          <w:highlight w:val="none"/>
        </w:rPr>
        <w:t>250</w:t>
      </w:r>
      <w:r>
        <w:rPr>
          <w:rFonts w:hint="eastAsia" w:ascii="宋体" w:hAnsi="宋体" w:cs="宋体"/>
          <w:color w:val="auto"/>
          <w:sz w:val="24"/>
          <w:highlight w:val="none"/>
          <w:lang w:val="en-US"/>
        </w:rPr>
        <w:t>2</w:t>
      </w:r>
      <w:r>
        <w:rPr>
          <w:rFonts w:hint="eastAsia" w:ascii="宋体" w:hAnsi="宋体" w:cs="宋体"/>
          <w:color w:val="auto"/>
          <w:sz w:val="24"/>
          <w:highlight w:val="none"/>
        </w:rPr>
        <w:t>3）采用公开征集供应商简易招标方式采购，欢迎符合投标</w:t>
      </w:r>
      <w:r>
        <w:rPr>
          <w:rFonts w:ascii="宋体" w:hAnsi="宋体" w:cs="宋体"/>
          <w:color w:val="auto"/>
          <w:kern w:val="0"/>
          <w:sz w:val="24"/>
          <w:szCs w:val="20"/>
          <w:highlight w:val="none"/>
        </w:rPr>
        <w:t>单位</w:t>
      </w:r>
      <w:r>
        <w:rPr>
          <w:rFonts w:hint="eastAsia" w:ascii="宋体" w:hAnsi="宋体" w:cs="宋体"/>
          <w:color w:val="auto"/>
          <w:sz w:val="24"/>
          <w:highlight w:val="none"/>
        </w:rPr>
        <w:t>资格要求的专业供应商积极参加投标。</w:t>
      </w:r>
    </w:p>
    <w:tbl>
      <w:tblPr>
        <w:tblStyle w:val="2"/>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14:paraId="5BCD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14:paraId="12222F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highlight w:val="none"/>
              </w:rPr>
            </w:pPr>
            <w:r>
              <w:rPr>
                <w:rFonts w:hint="eastAsia" w:ascii="宋体" w:hAnsi="宋体" w:cs="宋体"/>
                <w:color w:val="auto"/>
                <w:sz w:val="24"/>
                <w:highlight w:val="none"/>
              </w:rPr>
              <w:t>招标文件编号</w:t>
            </w:r>
          </w:p>
        </w:tc>
        <w:tc>
          <w:tcPr>
            <w:tcW w:w="7015" w:type="dxa"/>
            <w:vAlign w:val="center"/>
          </w:tcPr>
          <w:p w14:paraId="13D422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QH2025023</w:t>
            </w:r>
          </w:p>
        </w:tc>
      </w:tr>
      <w:tr w14:paraId="6D55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14:paraId="27F391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招标项目名称</w:t>
            </w:r>
          </w:p>
        </w:tc>
        <w:tc>
          <w:tcPr>
            <w:tcW w:w="7015" w:type="dxa"/>
            <w:vAlign w:val="center"/>
          </w:tcPr>
          <w:p w14:paraId="213826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前海管理局局属企业薪酬体系评估咨询项目（二次）</w:t>
            </w:r>
          </w:p>
        </w:tc>
      </w:tr>
      <w:tr w14:paraId="01F5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14:paraId="2929AF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标的内容</w:t>
            </w:r>
          </w:p>
        </w:tc>
        <w:tc>
          <w:tcPr>
            <w:tcW w:w="7015" w:type="dxa"/>
            <w:vAlign w:val="center"/>
          </w:tcPr>
          <w:p w14:paraId="0D3D78F0">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highlight w:val="none"/>
              </w:rPr>
            </w:pPr>
            <w:r>
              <w:rPr>
                <w:rFonts w:hint="eastAsia" w:hAnsi="宋体" w:cs="宋体"/>
                <w:b w:val="0"/>
                <w:bCs w:val="0"/>
                <w:color w:val="auto"/>
                <w:sz w:val="24"/>
                <w:highlight w:val="none"/>
                <w:lang w:val="en-US" w:eastAsia="zh-CN"/>
              </w:rPr>
              <w:t>对深圳市前海产业发展集团有限公司（以下简称前海产发集团）、前海科技创新集团有限公司（以下简称前海科创集团）两家局属企业薪酬管理</w:t>
            </w:r>
            <w:r>
              <w:rPr>
                <w:rFonts w:hint="eastAsia" w:ascii="宋体" w:hAnsi="宋体" w:eastAsia="宋体" w:cs="宋体"/>
                <w:color w:val="auto"/>
                <w:sz w:val="24"/>
                <w:highlight w:val="none"/>
                <w:lang w:val="en-US" w:eastAsia="zh-CN"/>
              </w:rPr>
              <w:t>以及</w:t>
            </w:r>
            <w:r>
              <w:rPr>
                <w:rFonts w:hint="eastAsia" w:hAnsi="宋体" w:cs="宋体"/>
                <w:b w:val="0"/>
                <w:bCs w:val="0"/>
                <w:color w:val="auto"/>
                <w:sz w:val="24"/>
                <w:highlight w:val="none"/>
                <w:lang w:val="en-US" w:eastAsia="zh-CN"/>
              </w:rPr>
              <w:t>前海管理局薪酬监管体系进行现状分析与诊断，并提出优化建议，具体内容详见需求文件。</w:t>
            </w:r>
          </w:p>
        </w:tc>
      </w:tr>
      <w:tr w14:paraId="0645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14:paraId="08E0D3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项目预算</w:t>
            </w:r>
          </w:p>
        </w:tc>
        <w:tc>
          <w:tcPr>
            <w:tcW w:w="7015" w:type="dxa"/>
            <w:vAlign w:val="center"/>
          </w:tcPr>
          <w:p w14:paraId="6EA1A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color w:val="auto"/>
                <w:sz w:val="24"/>
                <w:highlight w:val="none"/>
              </w:rPr>
            </w:pPr>
            <w:r>
              <w:rPr>
                <w:rFonts w:hint="eastAsia" w:ascii="宋体" w:hAnsi="宋体" w:cs="宋体"/>
                <w:color w:val="auto"/>
                <w:sz w:val="24"/>
                <w:highlight w:val="none"/>
                <w:lang w:val="en-US" w:eastAsia="zh-CN"/>
              </w:rPr>
              <w:t>396</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000</w:t>
            </w:r>
            <w:r>
              <w:rPr>
                <w:rFonts w:hint="eastAsia" w:ascii="宋体" w:hAnsi="宋体" w:cs="宋体"/>
                <w:color w:val="auto"/>
                <w:sz w:val="24"/>
                <w:highlight w:val="none"/>
              </w:rPr>
              <w:t>.00（人民币</w:t>
            </w:r>
            <w:r>
              <w:rPr>
                <w:rFonts w:hint="eastAsia" w:ascii="宋体" w:hAnsi="宋体" w:cs="宋体"/>
                <w:color w:val="auto"/>
                <w:sz w:val="24"/>
                <w:highlight w:val="none"/>
                <w:lang w:eastAsia="zh-CN"/>
              </w:rPr>
              <w:t>叁拾玖</w:t>
            </w:r>
            <w:r>
              <w:rPr>
                <w:rFonts w:hint="eastAsia" w:ascii="宋体" w:hAnsi="宋体" w:cs="宋体"/>
                <w:color w:val="auto"/>
                <w:sz w:val="24"/>
                <w:highlight w:val="none"/>
                <w:lang w:val="en-US" w:eastAsia="zh-CN"/>
              </w:rPr>
              <w:t>万陆千元整</w:t>
            </w:r>
            <w:r>
              <w:rPr>
                <w:rFonts w:hint="eastAsia" w:ascii="宋体" w:hAnsi="宋体" w:cs="宋体"/>
                <w:color w:val="auto"/>
                <w:sz w:val="24"/>
                <w:highlight w:val="none"/>
              </w:rPr>
              <w:t>）</w:t>
            </w:r>
          </w:p>
        </w:tc>
      </w:tr>
      <w:tr w14:paraId="7A3E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14:paraId="036364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标书获得办法</w:t>
            </w:r>
          </w:p>
        </w:tc>
        <w:tc>
          <w:tcPr>
            <w:tcW w:w="7015" w:type="dxa"/>
            <w:vAlign w:val="center"/>
          </w:tcPr>
          <w:p w14:paraId="7CE055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招标文件为电子版，投标人可在前海管理局官网（信息公开-招标公告栏目）(http://qh.sz.gov.cn/)免费下载。</w:t>
            </w:r>
          </w:p>
        </w:tc>
      </w:tr>
      <w:tr w14:paraId="2292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14:paraId="03E375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4"/>
                <w:highlight w:val="none"/>
                <w:lang w:bidi="ar"/>
              </w:rPr>
            </w:pPr>
            <w:r>
              <w:rPr>
                <w:rFonts w:hint="eastAsia" w:ascii="宋体" w:hAnsi="宋体" w:cs="宋体"/>
                <w:color w:val="auto"/>
                <w:kern w:val="2"/>
                <w:sz w:val="24"/>
                <w:highlight w:val="none"/>
                <w:lang w:bidi="ar"/>
              </w:rPr>
              <w:t>报名方式</w:t>
            </w:r>
          </w:p>
        </w:tc>
        <w:tc>
          <w:tcPr>
            <w:tcW w:w="7015" w:type="dxa"/>
            <w:vAlign w:val="center"/>
          </w:tcPr>
          <w:p w14:paraId="4585B1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b w:val="0"/>
                <w:color w:val="auto"/>
                <w:kern w:val="0"/>
                <w:sz w:val="24"/>
                <w:highlight w:val="none"/>
                <w:lang w:bidi="ar"/>
              </w:rPr>
            </w:pPr>
            <w:r>
              <w:rPr>
                <w:rFonts w:hint="eastAsia" w:ascii="宋体" w:hAnsi="宋体" w:cs="宋体"/>
                <w:color w:val="auto"/>
                <w:kern w:val="0"/>
                <w:sz w:val="24"/>
                <w:highlight w:val="none"/>
                <w:lang w:bidi="ar"/>
              </w:rPr>
              <w:t>将投标文件（一式五份，正本1份，副本4份，附电子版，电子版是以光盘、U盘或硬盘等移动存储介质提交的加盖公章的PDF电子投标文件）密封并在</w:t>
            </w:r>
            <w:r>
              <w:rPr>
                <w:rFonts w:hint="eastAsia" w:ascii="宋体" w:hAnsi="宋体" w:cs="宋体"/>
                <w:b w:val="0"/>
                <w:color w:val="auto"/>
                <w:kern w:val="0"/>
                <w:sz w:val="24"/>
                <w:highlight w:val="none"/>
                <w:lang w:bidi="ar"/>
              </w:rPr>
              <w:t>202</w:t>
            </w:r>
            <w:r>
              <w:rPr>
                <w:rFonts w:hint="eastAsia" w:ascii="宋体" w:hAnsi="宋体" w:cs="宋体"/>
                <w:b w:val="0"/>
                <w:color w:val="auto"/>
                <w:kern w:val="0"/>
                <w:sz w:val="24"/>
                <w:highlight w:val="none"/>
                <w:lang w:val="en-US" w:eastAsia="zh-CN" w:bidi="ar"/>
              </w:rPr>
              <w:t>5</w:t>
            </w:r>
            <w:r>
              <w:rPr>
                <w:rFonts w:hint="eastAsia" w:ascii="宋体" w:hAnsi="宋体" w:cs="宋体"/>
                <w:b w:val="0"/>
                <w:color w:val="auto"/>
                <w:kern w:val="0"/>
                <w:sz w:val="24"/>
                <w:highlight w:val="none"/>
                <w:lang w:bidi="ar"/>
              </w:rPr>
              <w:t>年</w:t>
            </w:r>
            <w:r>
              <w:rPr>
                <w:rFonts w:hint="eastAsia" w:ascii="宋体" w:hAnsi="宋体" w:cs="宋体"/>
                <w:b w:val="0"/>
                <w:color w:val="auto"/>
                <w:kern w:val="0"/>
                <w:sz w:val="24"/>
                <w:highlight w:val="none"/>
                <w:lang w:val="en-US" w:eastAsia="zh-CN" w:bidi="ar"/>
              </w:rPr>
              <w:t>6</w:t>
            </w:r>
            <w:r>
              <w:rPr>
                <w:rFonts w:hint="eastAsia" w:ascii="宋体" w:hAnsi="宋体" w:cs="宋体"/>
                <w:b w:val="0"/>
                <w:color w:val="auto"/>
                <w:kern w:val="0"/>
                <w:sz w:val="24"/>
                <w:highlight w:val="none"/>
                <w:lang w:bidi="ar"/>
              </w:rPr>
              <w:t>月</w:t>
            </w:r>
            <w:r>
              <w:rPr>
                <w:rFonts w:hint="eastAsia" w:ascii="宋体" w:hAnsi="宋体" w:cs="宋体"/>
                <w:b w:val="0"/>
                <w:color w:val="auto"/>
                <w:kern w:val="0"/>
                <w:sz w:val="24"/>
                <w:highlight w:val="none"/>
                <w:lang w:val="en-US" w:eastAsia="zh-CN" w:bidi="ar"/>
              </w:rPr>
              <w:t>19</w:t>
            </w:r>
            <w:r>
              <w:rPr>
                <w:rFonts w:hint="eastAsia" w:ascii="宋体" w:hAnsi="宋体" w:cs="宋体"/>
                <w:b w:val="0"/>
                <w:color w:val="auto"/>
                <w:kern w:val="0"/>
                <w:sz w:val="24"/>
                <w:highlight w:val="none"/>
                <w:lang w:bidi="ar"/>
              </w:rPr>
              <w:t>日</w:t>
            </w:r>
            <w:r>
              <w:rPr>
                <w:rFonts w:hint="eastAsia" w:ascii="宋体" w:hAnsi="宋体" w:cs="宋体"/>
                <w:b w:val="0"/>
                <w:color w:val="auto"/>
                <w:kern w:val="0"/>
                <w:sz w:val="24"/>
                <w:highlight w:val="none"/>
                <w:lang w:val="en-US" w:eastAsia="zh-CN" w:bidi="ar"/>
              </w:rPr>
              <w:t>下</w:t>
            </w:r>
            <w:r>
              <w:rPr>
                <w:rFonts w:hint="eastAsia" w:ascii="宋体" w:hAnsi="宋体" w:cs="宋体"/>
                <w:b w:val="0"/>
                <w:color w:val="auto"/>
                <w:kern w:val="0"/>
                <w:sz w:val="24"/>
                <w:highlight w:val="none"/>
                <w:lang w:bidi="ar"/>
              </w:rPr>
              <w:t>午</w:t>
            </w:r>
            <w:r>
              <w:rPr>
                <w:rFonts w:hint="eastAsia" w:ascii="宋体" w:hAnsi="宋体" w:cs="宋体"/>
                <w:b w:val="0"/>
                <w:color w:val="auto"/>
                <w:kern w:val="0"/>
                <w:sz w:val="24"/>
                <w:highlight w:val="none"/>
                <w:lang w:val="en-US" w:eastAsia="zh-CN" w:bidi="ar"/>
              </w:rPr>
              <w:t>18</w:t>
            </w:r>
            <w:r>
              <w:rPr>
                <w:rFonts w:hint="eastAsia" w:ascii="宋体" w:hAnsi="宋体" w:cs="宋体"/>
                <w:b w:val="0"/>
                <w:color w:val="auto"/>
                <w:kern w:val="0"/>
                <w:sz w:val="24"/>
                <w:highlight w:val="none"/>
                <w:lang w:bidi="ar"/>
              </w:rPr>
              <w:t>:00时（北京时间）前送达（</w:t>
            </w:r>
            <w:r>
              <w:rPr>
                <w:rFonts w:hint="eastAsia" w:ascii="宋体" w:hAnsi="宋体" w:cs="宋体"/>
                <w:b w:val="0"/>
                <w:color w:val="auto"/>
                <w:kern w:val="0"/>
                <w:sz w:val="24"/>
                <w:highlight w:val="none"/>
                <w:lang w:val="en-US" w:eastAsia="zh-CN" w:bidi="ar"/>
              </w:rPr>
              <w:t>邮寄或</w:t>
            </w:r>
            <w:r>
              <w:rPr>
                <w:rFonts w:hint="eastAsia" w:ascii="宋体" w:hAnsi="宋体" w:cs="宋体"/>
                <w:b w:val="0"/>
                <w:color w:val="auto"/>
                <w:kern w:val="0"/>
                <w:sz w:val="24"/>
                <w:highlight w:val="none"/>
                <w:lang w:bidi="ar"/>
              </w:rPr>
              <w:t>现场递交）</w:t>
            </w:r>
            <w:r>
              <w:rPr>
                <w:rFonts w:hint="eastAsia" w:ascii="宋体" w:hAnsi="宋体" w:cs="宋体"/>
                <w:color w:val="auto"/>
                <w:kern w:val="0"/>
                <w:sz w:val="24"/>
                <w:highlight w:val="none"/>
                <w:lang w:bidi="ar"/>
              </w:rPr>
              <w:t>至</w:t>
            </w:r>
            <w:r>
              <w:rPr>
                <w:rFonts w:hint="eastAsia" w:ascii="宋体" w:hAnsi="宋体" w:cs="宋体"/>
                <w:b w:val="0"/>
                <w:color w:val="auto"/>
                <w:kern w:val="0"/>
                <w:sz w:val="24"/>
                <w:highlight w:val="none"/>
                <w:lang w:bidi="ar"/>
              </w:rPr>
              <w:t>深圳市前海深港现代服务业合作区桂湾五路123号前海大厦T1栋</w:t>
            </w:r>
            <w:r>
              <w:rPr>
                <w:rFonts w:hint="eastAsia" w:ascii="宋体" w:hAnsi="宋体" w:cs="宋体"/>
                <w:color w:val="auto"/>
                <w:sz w:val="24"/>
                <w:highlight w:val="none"/>
                <w:lang w:val="en-US" w:eastAsia="zh-CN"/>
              </w:rPr>
              <w:t>2512</w:t>
            </w:r>
            <w:r>
              <w:rPr>
                <w:rFonts w:hint="eastAsia" w:ascii="宋体" w:hAnsi="宋体" w:cs="宋体"/>
                <w:b w:val="0"/>
                <w:color w:val="auto"/>
                <w:kern w:val="0"/>
                <w:sz w:val="24"/>
                <w:highlight w:val="none"/>
                <w:lang w:bidi="ar"/>
              </w:rPr>
              <w:t>室。</w:t>
            </w:r>
          </w:p>
          <w:p w14:paraId="75B4A5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联系人：</w:t>
            </w:r>
            <w:r>
              <w:rPr>
                <w:rFonts w:hint="eastAsia" w:ascii="宋体" w:hAnsi="宋体" w:cs="宋体"/>
                <w:color w:val="auto"/>
                <w:kern w:val="0"/>
                <w:sz w:val="24"/>
                <w:highlight w:val="none"/>
                <w:lang w:eastAsia="zh-CN" w:bidi="ar"/>
              </w:rPr>
              <w:t>丁女士</w:t>
            </w:r>
            <w:r>
              <w:rPr>
                <w:rFonts w:hint="eastAsia" w:ascii="宋体" w:hAnsi="宋体" w:cs="宋体"/>
                <w:color w:val="auto"/>
                <w:kern w:val="0"/>
                <w:sz w:val="24"/>
                <w:highlight w:val="none"/>
                <w:lang w:val="en-US" w:eastAsia="zh-CN" w:bidi="ar"/>
              </w:rPr>
              <w:t xml:space="preserve">     </w:t>
            </w:r>
            <w:r>
              <w:rPr>
                <w:rFonts w:hint="eastAsia" w:ascii="宋体" w:hAnsi="宋体" w:cs="宋体"/>
                <w:color w:val="auto"/>
                <w:kern w:val="0"/>
                <w:sz w:val="24"/>
                <w:highlight w:val="none"/>
                <w:lang w:bidi="ar"/>
              </w:rPr>
              <w:t>联系电话：</w:t>
            </w:r>
            <w:r>
              <w:rPr>
                <w:rFonts w:hint="eastAsia" w:ascii="宋体" w:hAnsi="宋体" w:cs="宋体"/>
                <w:color w:val="auto"/>
                <w:kern w:val="0"/>
                <w:sz w:val="24"/>
                <w:highlight w:val="none"/>
                <w:lang w:val="en-US" w:eastAsia="zh-CN" w:bidi="ar"/>
              </w:rPr>
              <w:t>18823700207</w:t>
            </w:r>
            <w:r>
              <w:rPr>
                <w:rFonts w:hint="eastAsia" w:ascii="宋体" w:hAnsi="宋体" w:cs="宋体"/>
                <w:color w:val="auto"/>
                <w:kern w:val="0"/>
                <w:sz w:val="24"/>
                <w:highlight w:val="none"/>
                <w:lang w:val="en-US" w:eastAsia="zh-CN"/>
              </w:rPr>
              <w:t xml:space="preserve">   </w:t>
            </w:r>
          </w:p>
        </w:tc>
      </w:tr>
      <w:tr w14:paraId="2332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14:paraId="39E4DC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投标人资格要求</w:t>
            </w:r>
          </w:p>
        </w:tc>
        <w:tc>
          <w:tcPr>
            <w:tcW w:w="7015" w:type="dxa"/>
            <w:vAlign w:val="center"/>
          </w:tcPr>
          <w:p w14:paraId="2C49FF1F">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b w:val="0"/>
                <w:bCs w:val="0"/>
                <w:color w:val="auto"/>
                <w:kern w:val="0"/>
                <w:sz w:val="24"/>
                <w:highlight w:val="none"/>
                <w:lang w:val="en-US" w:eastAsia="zh-CN"/>
              </w:rPr>
              <w:t>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auto"/>
                <w:kern w:val="0"/>
                <w:sz w:val="24"/>
                <w:highlight w:val="none"/>
                <w:lang w:val="en-US" w:eastAsia="zh-CN"/>
              </w:rPr>
              <w:t>以上证明材料均需提供加盖投标人章的复印件或扫描件，原件备查。</w:t>
            </w:r>
          </w:p>
          <w:p w14:paraId="2768E1DC">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highlight w:val="none"/>
              </w:rPr>
              <w:t>参与政府采购项目投标的供应商近三年内（投标人成立不足三年的可从成立之日起算）无行贿犯罪记录</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14:paraId="0FACD669">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（3）</w:t>
            </w:r>
            <w:r>
              <w:rPr>
                <w:rFonts w:hint="eastAsia" w:ascii="宋体" w:hAnsi="宋体" w:cs="宋体"/>
                <w:color w:val="auto"/>
                <w:kern w:val="0"/>
                <w:sz w:val="24"/>
                <w:highlight w:val="none"/>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14:paraId="5A2A79E0">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不存在《深圳市财政局政府采购供应商信用信息管理办法》（深财规〔2023〕3号）列明的严重违法失信行为</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具备《中华人民共和国政府采购法》第二十二条第一款的条件</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14:paraId="2F97FB08">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highlight w:val="none"/>
                <w:lang w:eastAsia="zh-CN"/>
              </w:rPr>
              <w:t>。</w:t>
            </w:r>
            <w:r>
              <w:rPr>
                <w:rFonts w:hint="eastAsia" w:ascii="宋体" w:hAnsi="宋体" w:cs="宋体"/>
                <w:kern w:val="0"/>
                <w:sz w:val="24"/>
                <w:lang w:val="en-US" w:eastAsia="zh-CN"/>
              </w:rPr>
              <w:t>与不同供应商的法定代表人、投标授权代表人、项目负责人（如有）不存在为同一人或在同一单位缴纳社会保险的情形。</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并加盖投标人公章</w:t>
            </w:r>
            <w:r>
              <w:rPr>
                <w:rFonts w:hint="default" w:ascii="宋体" w:hAnsi="宋体" w:cs="宋体"/>
                <w:b/>
                <w:bCs/>
                <w:kern w:val="0"/>
                <w:sz w:val="24"/>
                <w:highlight w:val="none"/>
              </w:rPr>
              <w:t>）</w:t>
            </w:r>
            <w:r>
              <w:rPr>
                <w:rFonts w:hint="default" w:ascii="宋体" w:hAnsi="宋体" w:cs="宋体"/>
                <w:kern w:val="0"/>
                <w:sz w:val="24"/>
                <w:highlight w:val="none"/>
                <w:lang w:val="en-US" w:eastAsia="zh-CN"/>
              </w:rPr>
              <w:t>；</w:t>
            </w:r>
          </w:p>
          <w:p w14:paraId="5ED867D4">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未被列入失信被执行人、重大税收违法案件当事人名单、政府采购严重违法失信行为记录名单</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14:paraId="039ED7A4">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77379C1E">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8</w:t>
            </w:r>
            <w:r>
              <w:rPr>
                <w:rFonts w:hint="default"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highlight w:val="none"/>
              </w:rPr>
              <w:t>本项目</w:t>
            </w:r>
            <w:r>
              <w:rPr>
                <w:rFonts w:hint="eastAsia" w:ascii="宋体" w:hAnsi="宋体" w:cs="宋体"/>
                <w:color w:val="auto"/>
                <w:kern w:val="0"/>
                <w:sz w:val="24"/>
                <w:highlight w:val="none"/>
                <w:lang w:val="en-US" w:eastAsia="zh-CN"/>
              </w:rPr>
              <w:t>不</w:t>
            </w:r>
            <w:r>
              <w:rPr>
                <w:rFonts w:hint="eastAsia" w:ascii="宋体" w:hAnsi="宋体" w:cs="宋体"/>
                <w:color w:val="auto"/>
                <w:kern w:val="0"/>
                <w:sz w:val="24"/>
                <w:highlight w:val="none"/>
              </w:rPr>
              <w:t>接受联合体投标</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不允许转包、分包。</w:t>
            </w:r>
          </w:p>
          <w:p w14:paraId="1F8830BF">
            <w:pPr>
              <w:keepNext w:val="0"/>
              <w:keepLines w:val="0"/>
              <w:suppressLineNumbers w:val="0"/>
              <w:spacing w:before="0" w:beforeAutospacing="0" w:after="0" w:afterAutospacing="0" w:line="360" w:lineRule="auto"/>
              <w:ind w:left="0" w:right="0"/>
              <w:rPr>
                <w:rFonts w:hint="default"/>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本项目不专门面向中小企</w:t>
            </w:r>
            <w:r>
              <w:rPr>
                <w:rFonts w:hint="eastAsia" w:ascii="宋体" w:hAnsi="宋体" w:eastAsia="宋体" w:cs="宋体"/>
                <w:color w:val="auto"/>
                <w:kern w:val="0"/>
                <w:sz w:val="24"/>
                <w:highlight w:val="none"/>
                <w:lang w:val="en-US" w:eastAsia="zh-CN"/>
              </w:rPr>
              <w:t>业采购。</w:t>
            </w:r>
          </w:p>
        </w:tc>
      </w:tr>
      <w:tr w14:paraId="490E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14:paraId="0C6D9A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报价要求</w:t>
            </w:r>
          </w:p>
        </w:tc>
        <w:tc>
          <w:tcPr>
            <w:tcW w:w="7015" w:type="dxa"/>
            <w:vAlign w:val="center"/>
          </w:tcPr>
          <w:p w14:paraId="53512855">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本次投标为总价包干，投标报价总价作为中标人与采购人签定的合同金额。项目预算控制</w:t>
            </w:r>
            <w:r>
              <w:rPr>
                <w:rFonts w:hint="eastAsia" w:ascii="宋体" w:hAnsi="宋体" w:cs="宋体"/>
                <w:b/>
                <w:bCs/>
                <w:color w:val="auto"/>
                <w:sz w:val="24"/>
                <w:highlight w:val="none"/>
                <w:lang w:val="en-US" w:eastAsia="zh-CN"/>
              </w:rPr>
              <w:t>39.6</w:t>
            </w:r>
            <w:r>
              <w:rPr>
                <w:rFonts w:hint="eastAsia" w:ascii="宋体" w:hAnsi="宋体" w:cs="宋体"/>
                <w:b/>
                <w:bCs/>
                <w:color w:val="auto"/>
                <w:sz w:val="24"/>
                <w:highlight w:val="none"/>
                <w:lang w:eastAsia="zh-CN"/>
              </w:rPr>
              <w:t>万元</w:t>
            </w:r>
            <w:r>
              <w:rPr>
                <w:rFonts w:hint="eastAsia" w:ascii="宋体" w:hAnsi="宋体" w:cs="宋体"/>
                <w:color w:val="auto"/>
                <w:sz w:val="24"/>
                <w:highlight w:val="none"/>
                <w:lang w:eastAsia="zh-CN"/>
              </w:rPr>
              <w:t>以内</w:t>
            </w:r>
            <w:r>
              <w:rPr>
                <w:rFonts w:hint="eastAsia" w:ascii="宋体" w:hAnsi="宋体" w:cs="宋体"/>
                <w:color w:val="auto"/>
                <w:sz w:val="24"/>
                <w:highlight w:val="none"/>
              </w:rPr>
              <w:t>，投标人的报价不可高于</w:t>
            </w:r>
            <w:r>
              <w:rPr>
                <w:rFonts w:hint="eastAsia" w:ascii="宋体" w:hAnsi="宋体" w:cs="宋体"/>
                <w:color w:val="auto"/>
                <w:kern w:val="0"/>
                <w:sz w:val="24"/>
                <w:highlight w:val="none"/>
              </w:rPr>
              <w:t>预算（限价），否则投标人的投标文件视同无效。项目服务费</w:t>
            </w:r>
            <w:r>
              <w:rPr>
                <w:rFonts w:hint="eastAsia" w:ascii="宋体" w:hAnsi="宋体" w:cs="宋体"/>
                <w:color w:val="auto"/>
                <w:kern w:val="0"/>
                <w:sz w:val="24"/>
                <w:highlight w:val="none"/>
                <w:lang w:eastAsia="zh-CN"/>
              </w:rPr>
              <w:t>包括但不限于培训费、场地费用、宣传费、资料费、税金、人员费用、差旅费、后续服务等所有费用</w:t>
            </w:r>
            <w:r>
              <w:rPr>
                <w:rFonts w:hint="eastAsia" w:ascii="宋体" w:hAnsi="宋体" w:cs="宋体"/>
                <w:color w:val="auto"/>
                <w:kern w:val="0"/>
                <w:sz w:val="24"/>
                <w:highlight w:val="none"/>
              </w:rPr>
              <w:t>，并提供合同要求的有关成果材料，以及其它相关服务的全部费用</w:t>
            </w:r>
            <w:r>
              <w:rPr>
                <w:rFonts w:hint="eastAsia" w:ascii="宋体" w:hAnsi="宋体" w:cs="宋体"/>
                <w:color w:val="auto"/>
                <w:sz w:val="24"/>
                <w:highlight w:val="none"/>
              </w:rPr>
              <w:t>。</w:t>
            </w:r>
          </w:p>
          <w:p w14:paraId="706E92F1">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投标人应根据本企业的成本自行决定报价；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204C38F">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投标人的投标报价，应是本项目招标范围和招标文件及合同条款上所列的各项内容中所述的全部，不得以任何理由予以重复，并以投标人在投标文件中提出的综合单价或总价为依据。</w:t>
            </w:r>
          </w:p>
          <w:p w14:paraId="08441359">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投标人应充分了解项目的位置、情况、道路及任何其他足以影响投标报价的情况，任何因忽视或误解项目情况而导致的索赔或服务期限延长申请将不获批准。</w:t>
            </w:r>
          </w:p>
          <w:p w14:paraId="5E49C927">
            <w:pPr>
              <w:keepNext w:val="0"/>
              <w:keepLines w:val="0"/>
              <w:numPr>
                <w:ilvl w:val="0"/>
                <w:numId w:val="1"/>
              </w:numPr>
              <w:suppressLineNumbers w:val="0"/>
              <w:spacing w:before="0" w:beforeAutospacing="0" w:after="0" w:afterAutospacing="0" w:line="360" w:lineRule="auto"/>
              <w:ind w:left="0" w:right="0"/>
              <w:rPr>
                <w:rFonts w:hint="default" w:ascii="宋体" w:hAnsi="宋体" w:eastAsia="宋体" w:cs="宋体"/>
                <w:color w:val="auto"/>
                <w:kern w:val="0"/>
                <w:sz w:val="24"/>
                <w:szCs w:val="20"/>
                <w:highlight w:val="none"/>
                <w:lang w:val="en-US" w:eastAsia="zh-CN"/>
              </w:rPr>
            </w:pPr>
            <w:r>
              <w:rPr>
                <w:rFonts w:hint="eastAsia" w:ascii="宋体" w:hAnsi="宋体" w:cs="宋体"/>
                <w:color w:val="auto"/>
                <w:sz w:val="24"/>
                <w:highlight w:val="none"/>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14:paraId="4CD0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14:paraId="60291A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联系方式</w:t>
            </w:r>
          </w:p>
        </w:tc>
        <w:tc>
          <w:tcPr>
            <w:tcW w:w="7015" w:type="dxa"/>
            <w:vAlign w:val="center"/>
          </w:tcPr>
          <w:p w14:paraId="4EAE9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采购人信息：</w:t>
            </w:r>
          </w:p>
          <w:p w14:paraId="4635DA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名      称：深圳市前海深港现代服务业合作区管理局</w:t>
            </w:r>
          </w:p>
          <w:p w14:paraId="76CE30D6">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联  系  人：</w:t>
            </w:r>
            <w:r>
              <w:rPr>
                <w:rFonts w:hint="eastAsia" w:ascii="宋体" w:hAnsi="宋体" w:cs="宋体"/>
                <w:color w:val="auto"/>
                <w:kern w:val="0"/>
                <w:sz w:val="24"/>
                <w:szCs w:val="24"/>
                <w:highlight w:val="none"/>
                <w:lang w:eastAsia="zh-CN" w:bidi="ar"/>
              </w:rPr>
              <w:t>丁女士</w:t>
            </w:r>
          </w:p>
          <w:p w14:paraId="0DE5E3DE">
            <w:pPr>
              <w:keepNext w:val="0"/>
              <w:keepLines w:val="0"/>
              <w:suppressLineNumbers w:val="0"/>
              <w:spacing w:before="0" w:beforeAutospacing="0" w:after="0" w:afterAutospacing="0" w:line="360" w:lineRule="auto"/>
              <w:ind w:left="0" w:right="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val="en-US" w:eastAsia="zh-CN" w:bidi="ar"/>
              </w:rPr>
              <w:t>18823700307</w:t>
            </w:r>
          </w:p>
          <w:p w14:paraId="7C6D6A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采购代理机构信息：</w:t>
            </w:r>
          </w:p>
          <w:p w14:paraId="1F8E0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名      称：深圳交易咨询集团有限公司</w:t>
            </w:r>
          </w:p>
          <w:p w14:paraId="055DF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地      址：深圳市南山区沙河西路 3157 号南山智谷产业园 A 座21楼</w:t>
            </w:r>
          </w:p>
          <w:p w14:paraId="23880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曹茜</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郭金龙</w:t>
            </w:r>
          </w:p>
          <w:p w14:paraId="607C80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电      话：18599127733、15118037034</w:t>
            </w:r>
          </w:p>
        </w:tc>
      </w:tr>
    </w:tbl>
    <w:p w14:paraId="7E00D9AE">
      <w:pPr>
        <w:adjustRightInd w:val="0"/>
        <w:snapToGrid w:val="0"/>
        <w:spacing w:line="360" w:lineRule="auto"/>
        <w:ind w:firstLine="480" w:firstLineChars="200"/>
        <w:jc w:val="right"/>
        <w:rPr>
          <w:rFonts w:hint="eastAsia" w:ascii="宋体" w:hAnsi="宋体" w:cs="宋体"/>
          <w:color w:val="auto"/>
          <w:sz w:val="24"/>
          <w:highlight w:val="none"/>
        </w:rPr>
      </w:pPr>
    </w:p>
    <w:p w14:paraId="4DB64842">
      <w:pPr>
        <w:adjustRightInd w:val="0"/>
        <w:snapToGrid w:val="0"/>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深圳交易咨询集团有限公司</w:t>
      </w:r>
    </w:p>
    <w:p w14:paraId="562D129F">
      <w:pPr>
        <w:jc w:val="right"/>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13</w:t>
      </w:r>
      <w:bookmarkStart w:id="0" w:name="_GoBack"/>
      <w:bookmarkEnd w:id="0"/>
      <w:r>
        <w:rPr>
          <w:rFonts w:hint="eastAsia" w:ascii="宋体" w:hAnsi="宋体" w:cs="宋体"/>
          <w:color w:val="auto"/>
          <w:sz w:val="24"/>
          <w:highlight w:val="none"/>
        </w:rPr>
        <w:t>日</w:t>
      </w:r>
    </w:p>
    <w:sectPr>
      <w:type w:val="continuous"/>
      <w:pgSz w:w="11906" w:h="16838"/>
      <w:pgMar w:top="1440" w:right="1800" w:bottom="1440" w:left="1800" w:header="0" w:footer="0" w:gutter="0"/>
      <w:cols w:space="425"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657F5"/>
    <w:multiLevelType w:val="singleLevel"/>
    <w:tmpl w:val="A77657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gutterAtTop/>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0028B"/>
    <w:rsid w:val="5E80028B"/>
    <w:rsid w:val="794B2913"/>
    <w:rsid w:val="7ED61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2273</Words>
  <Characters>2389</Characters>
  <Lines>0</Lines>
  <Paragraphs>0</Paragraphs>
  <TotalTime>0</TotalTime>
  <ScaleCrop>false</ScaleCrop>
  <LinksUpToDate>false</LinksUpToDate>
  <CharactersWithSpaces>2439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2025-06-10T08:53:00Z</dcterms:created>
  <dc:creator>深咨建议</dc:creator>
  <cp:lastModifiedBy>深咨建议</cp:lastModifiedBy>
  <dcterms:modified xsi:type="dcterms:W3CDTF">2025-06-13T06:10:41Z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64059C4A55F74DF5962B036880BC1638_11</vt:lpwstr>
  </property>
  <property fmtid="{D5CDD505-2E9C-101B-9397-08002B2CF9AE}" pid="4" name="KSOTemplateDocerSaveRecord">
    <vt:lpwstr>eyJoZGlkIjoiMWViNjU1YjYxMmE1ZjA1ZGI4YzZiMWU4ZDg3Zjk4MWMiLCJ1c2VySWQiOiIxNDg2ODI2MzgyIn0=</vt:lpwstr>
  </property>
</Properties>
</file>