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 xml:space="preserve">  </w:t>
      </w:r>
    </w:p>
    <w:p>
      <w:pPr>
        <w:jc w:val="center"/>
        <w:rPr>
          <w:rFonts w:ascii="宋体" w:hAnsi="宋体" w:cs="宋体"/>
          <w:b/>
          <w:sz w:val="72"/>
          <w:szCs w:val="72"/>
          <w:highlight w:val="none"/>
        </w:rPr>
      </w:pPr>
    </w:p>
    <w:p>
      <w:pPr>
        <w:jc w:val="center"/>
        <w:rPr>
          <w:rFonts w:ascii="宋体" w:hAnsi="宋体" w:cs="宋体"/>
          <w:b/>
          <w:sz w:val="72"/>
          <w:szCs w:val="72"/>
          <w:highlight w:val="none"/>
        </w:rPr>
      </w:pPr>
      <w:r>
        <w:rPr>
          <w:rFonts w:hint="eastAsia" w:ascii="宋体" w:hAnsi="宋体" w:cs="宋体"/>
          <w:b/>
          <w:sz w:val="72"/>
          <w:szCs w:val="72"/>
          <w:highlight w:val="none"/>
        </w:rPr>
        <w:t>简易招标文件</w:t>
      </w:r>
    </w:p>
    <w:p>
      <w:pPr>
        <w:jc w:val="center"/>
        <w:rPr>
          <w:rFonts w:ascii="宋体" w:hAnsi="宋体" w:cs="宋体"/>
          <w:highlight w:val="none"/>
        </w:rPr>
      </w:pPr>
    </w:p>
    <w:p>
      <w:pPr>
        <w:rPr>
          <w:rFonts w:ascii="宋体" w:hAnsi="宋体" w:cs="宋体"/>
          <w:highlight w:val="none"/>
        </w:rPr>
      </w:pPr>
    </w:p>
    <w:p>
      <w:pPr>
        <w:pStyle w:val="30"/>
        <w:ind w:firstLine="420"/>
        <w:rPr>
          <w:rFonts w:ascii="宋体" w:hAnsi="宋体" w:cs="宋体"/>
          <w:highlight w:val="none"/>
        </w:rPr>
      </w:pPr>
    </w:p>
    <w:p>
      <w:pPr>
        <w:pStyle w:val="30"/>
        <w:ind w:firstLine="420"/>
        <w:rPr>
          <w:rFonts w:ascii="宋体" w:hAnsi="宋体" w:cs="宋体"/>
          <w:highlight w:val="none"/>
        </w:rPr>
      </w:pPr>
    </w:p>
    <w:p>
      <w:pPr>
        <w:rPr>
          <w:rFonts w:ascii="宋体" w:hAnsi="宋体" w:cs="宋体"/>
          <w:b/>
          <w:sz w:val="44"/>
          <w:highlight w:val="none"/>
        </w:rPr>
      </w:pPr>
    </w:p>
    <w:p>
      <w:pPr>
        <w:ind w:right="-319" w:rightChars="-152"/>
        <w:rPr>
          <w:rFonts w:hint="default" w:ascii="宋体" w:hAnsi="宋体" w:eastAsia="宋体" w:cs="宋体"/>
          <w:b/>
          <w:sz w:val="36"/>
          <w:szCs w:val="36"/>
          <w:highlight w:val="none"/>
          <w:lang w:val="en-US" w:eastAsia="zh-CN"/>
        </w:rPr>
      </w:pPr>
      <w:r>
        <w:rPr>
          <w:rFonts w:hint="eastAsia" w:ascii="宋体" w:hAnsi="宋体" w:cs="宋体"/>
          <w:b/>
          <w:sz w:val="36"/>
          <w:szCs w:val="36"/>
          <w:highlight w:val="none"/>
        </w:rPr>
        <w:t>招标编号：</w:t>
      </w:r>
      <w:r>
        <w:rPr>
          <w:rFonts w:hint="eastAsia" w:ascii="宋体" w:hAnsi="宋体" w:cs="宋体"/>
          <w:b/>
          <w:sz w:val="36"/>
          <w:szCs w:val="36"/>
          <w:highlight w:val="none"/>
          <w:lang w:val="en-US" w:eastAsia="zh-CN"/>
        </w:rPr>
        <w:t>QH2025093</w:t>
      </w:r>
    </w:p>
    <w:p>
      <w:pPr>
        <w:ind w:firstLine="723" w:firstLineChars="200"/>
        <w:rPr>
          <w:rFonts w:ascii="宋体" w:hAnsi="宋体" w:cs="宋体"/>
          <w:b/>
          <w:sz w:val="36"/>
          <w:szCs w:val="36"/>
          <w:highlight w:val="none"/>
        </w:rPr>
      </w:pPr>
    </w:p>
    <w:p>
      <w:pPr>
        <w:ind w:firstLine="723" w:firstLineChars="200"/>
        <w:rPr>
          <w:rFonts w:ascii="宋体" w:hAnsi="宋体" w:cs="宋体"/>
          <w:b/>
          <w:sz w:val="36"/>
          <w:szCs w:val="36"/>
          <w:highlight w:val="none"/>
        </w:rPr>
      </w:pPr>
    </w:p>
    <w:p>
      <w:pPr>
        <w:pStyle w:val="30"/>
        <w:ind w:firstLine="420"/>
        <w:rPr>
          <w:rFonts w:ascii="宋体" w:hAnsi="宋体" w:cs="宋体"/>
          <w:highlight w:val="none"/>
        </w:rPr>
      </w:pPr>
    </w:p>
    <w:p>
      <w:pPr>
        <w:pStyle w:val="30"/>
        <w:ind w:firstLine="420"/>
        <w:rPr>
          <w:rFonts w:ascii="宋体" w:hAnsi="宋体" w:cs="宋体"/>
          <w:highlight w:val="none"/>
        </w:rPr>
      </w:pPr>
    </w:p>
    <w:p>
      <w:pPr>
        <w:ind w:right="-319" w:rightChars="-152"/>
        <w:rPr>
          <w:rFonts w:hint="eastAsia" w:ascii="宋体" w:hAnsi="宋体" w:eastAsia="宋体" w:cs="宋体"/>
          <w:b/>
          <w:sz w:val="36"/>
          <w:szCs w:val="36"/>
          <w:highlight w:val="none"/>
          <w:lang w:eastAsia="zh-CN"/>
        </w:rPr>
      </w:pPr>
      <w:r>
        <w:rPr>
          <w:rFonts w:hint="eastAsia" w:ascii="宋体" w:hAnsi="宋体" w:cs="宋体"/>
          <w:b/>
          <w:sz w:val="36"/>
          <w:szCs w:val="36"/>
          <w:highlight w:val="none"/>
        </w:rPr>
        <w:t>招标项目：前海-香港跨境交通服务提升专项研究</w:t>
      </w:r>
    </w:p>
    <w:p>
      <w:pPr>
        <w:ind w:firstLine="3264" w:firstLineChars="739"/>
        <w:rPr>
          <w:rFonts w:ascii="宋体" w:hAnsi="宋体" w:cs="宋体"/>
          <w:b/>
          <w:sz w:val="44"/>
          <w:highlight w:val="none"/>
        </w:rPr>
      </w:pPr>
    </w:p>
    <w:p>
      <w:pPr>
        <w:pStyle w:val="30"/>
        <w:ind w:firstLine="0" w:firstLineChars="0"/>
        <w:rPr>
          <w:rFonts w:ascii="宋体" w:hAnsi="宋体" w:cs="宋体"/>
          <w:highlight w:val="none"/>
        </w:rPr>
      </w:pPr>
    </w:p>
    <w:p>
      <w:pPr>
        <w:rPr>
          <w:rFonts w:ascii="宋体" w:hAnsi="宋体" w:cs="宋体"/>
          <w:b/>
          <w:sz w:val="44"/>
          <w:highlight w:val="none"/>
        </w:rPr>
      </w:pPr>
    </w:p>
    <w:p>
      <w:pPr>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深圳市前海深港现代服务业合作区管理局</w:t>
      </w:r>
    </w:p>
    <w:p>
      <w:pPr>
        <w:jc w:val="center"/>
        <w:rPr>
          <w:rFonts w:ascii="宋体" w:hAnsi="宋体" w:cs="宋体"/>
          <w:b/>
          <w:bCs/>
          <w:sz w:val="36"/>
          <w:szCs w:val="36"/>
          <w:highlight w:val="none"/>
        </w:rPr>
      </w:pPr>
      <w:r>
        <w:rPr>
          <w:rFonts w:hint="eastAsia" w:ascii="宋体" w:hAnsi="宋体" w:cs="宋体"/>
          <w:b/>
          <w:bCs/>
          <w:sz w:val="36"/>
          <w:szCs w:val="36"/>
          <w:highlight w:val="none"/>
        </w:rPr>
        <w:t>202</w:t>
      </w:r>
      <w:r>
        <w:rPr>
          <w:rFonts w:hint="eastAsia" w:ascii="宋体" w:hAnsi="宋体" w:cs="宋体"/>
          <w:b/>
          <w:bCs/>
          <w:sz w:val="36"/>
          <w:szCs w:val="36"/>
          <w:highlight w:val="none"/>
          <w:lang w:val="en-US" w:eastAsia="zh-CN"/>
        </w:rPr>
        <w:t>5</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8</w:t>
      </w:r>
      <w:r>
        <w:rPr>
          <w:rFonts w:hint="eastAsia" w:ascii="宋体" w:hAnsi="宋体" w:cs="宋体"/>
          <w:b/>
          <w:bCs/>
          <w:sz w:val="36"/>
          <w:szCs w:val="36"/>
          <w:highlight w:val="none"/>
        </w:rPr>
        <w:t>月</w:t>
      </w:r>
    </w:p>
    <w:p>
      <w:pPr>
        <w:autoSpaceDE w:val="0"/>
        <w:autoSpaceDN w:val="0"/>
        <w:adjustRightInd w:val="0"/>
        <w:spacing w:line="240" w:lineRule="auto"/>
        <w:jc w:val="center"/>
        <w:rPr>
          <w:rFonts w:ascii="宋体" w:hAnsi="宋体" w:cs="宋体"/>
          <w:b/>
          <w:bCs/>
          <w:color w:val="auto"/>
          <w:kern w:val="0"/>
          <w:sz w:val="36"/>
          <w:szCs w:val="36"/>
        </w:rPr>
      </w:pPr>
      <w:bookmarkStart w:id="0" w:name="_Toc12932"/>
      <w:r>
        <w:rPr>
          <w:rFonts w:ascii="宋体" w:hAnsi="宋体"/>
          <w:b/>
          <w:bCs/>
          <w:sz w:val="32"/>
          <w:szCs w:val="40"/>
          <w:highlight w:val="none"/>
          <w:u w:val="single"/>
        </w:rPr>
        <w:br w:type="page"/>
      </w:r>
      <w:r>
        <w:rPr>
          <w:rFonts w:hint="eastAsia" w:ascii="宋体" w:hAnsi="宋体" w:cs="宋体"/>
          <w:b/>
          <w:bCs/>
          <w:color w:val="auto"/>
          <w:kern w:val="0"/>
          <w:sz w:val="36"/>
          <w:szCs w:val="36"/>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rPr>
      </w:pPr>
      <w:r>
        <w:rPr>
          <w:rFonts w:hint="eastAsia" w:ascii="宋体" w:hAnsi="宋体" w:eastAsia="宋体" w:cs="宋体"/>
          <w:color w:val="auto"/>
          <w:sz w:val="24"/>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lang w:eastAsia="zh-CN"/>
        </w:rPr>
        <w:t>、</w:t>
      </w:r>
      <w:r>
        <w:rPr>
          <w:rFonts w:hint="eastAsia" w:ascii="宋体" w:hAnsi="宋体" w:eastAsia="宋体" w:cs="宋体"/>
          <w:color w:val="auto"/>
          <w:sz w:val="24"/>
        </w:rPr>
        <w:t>罚款、取消参与政府采购资格、吊销营业执照等处罚</w:t>
      </w:r>
      <w:r>
        <w:rPr>
          <w:rFonts w:hint="eastAsia" w:ascii="宋体" w:hAnsi="宋体" w:eastAsia="宋体" w:cs="宋体"/>
          <w:color w:val="auto"/>
          <w:sz w:val="24"/>
          <w:lang w:eastAsia="zh-CN"/>
        </w:rPr>
        <w:t>；</w:t>
      </w:r>
      <w:r>
        <w:rPr>
          <w:rFonts w:hint="eastAsia" w:ascii="宋体" w:hAnsi="宋体" w:eastAsia="宋体" w:cs="宋体"/>
          <w:color w:val="auto"/>
          <w:sz w:val="24"/>
        </w:rPr>
        <w:t>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rPr>
      </w:pPr>
      <w:r>
        <w:rPr>
          <w:rStyle w:val="24"/>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8"/>
        <w:shd w:val="clear" w:color="auto"/>
        <w:spacing w:before="0" w:beforeAutospacing="0" w:after="0" w:afterAutospacing="0" w:line="240" w:lineRule="auto"/>
        <w:ind w:firstLine="480" w:firstLineChars="200"/>
        <w:rPr>
          <w:color w:val="auto"/>
        </w:rPr>
      </w:pPr>
      <w:bookmarkStart w:id="1" w:name="_Toc2750"/>
      <w:r>
        <w:rPr>
          <w:rFonts w:hint="eastAsia"/>
          <w:color w:val="auto"/>
        </w:rPr>
        <w:t>（一）在采购活动中应当回避而未回避的；</w:t>
      </w:r>
      <w:bookmarkEnd w:id="1"/>
    </w:p>
    <w:p>
      <w:pPr>
        <w:pStyle w:val="18"/>
        <w:shd w:val="clear" w:color="auto"/>
        <w:spacing w:before="0" w:beforeAutospacing="0" w:after="0" w:afterAutospacing="0" w:line="240" w:lineRule="auto"/>
        <w:ind w:firstLine="480" w:firstLineChars="200"/>
        <w:rPr>
          <w:color w:val="auto"/>
        </w:rPr>
      </w:pPr>
      <w:r>
        <w:rPr>
          <w:rFonts w:hint="eastAsia"/>
          <w:color w:val="auto"/>
        </w:rPr>
        <w:t>（二）未按照本条例规定签订、履行采购合同，造成严重后果的；</w:t>
      </w:r>
    </w:p>
    <w:p>
      <w:pPr>
        <w:pStyle w:val="18"/>
        <w:shd w:val="clear" w:color="auto"/>
        <w:spacing w:before="0" w:beforeAutospacing="0" w:after="0" w:afterAutospacing="0" w:line="240" w:lineRule="auto"/>
        <w:ind w:firstLine="480" w:firstLineChars="200"/>
        <w:rPr>
          <w:color w:val="auto"/>
        </w:rPr>
      </w:pPr>
      <w:r>
        <w:rPr>
          <w:rFonts w:hint="eastAsia"/>
          <w:color w:val="auto"/>
        </w:rPr>
        <w:t>（三）隐瞒真实情况，提供虚假资料的；</w:t>
      </w:r>
    </w:p>
    <w:p>
      <w:pPr>
        <w:pStyle w:val="18"/>
        <w:shd w:val="clear" w:color="auto"/>
        <w:spacing w:before="0" w:beforeAutospacing="0" w:after="0" w:afterAutospacing="0" w:line="240" w:lineRule="auto"/>
        <w:ind w:firstLine="480" w:firstLineChars="200"/>
        <w:rPr>
          <w:color w:val="auto"/>
        </w:rPr>
      </w:pPr>
      <w:r>
        <w:rPr>
          <w:rFonts w:hint="eastAsia"/>
          <w:color w:val="auto"/>
        </w:rPr>
        <w:t>（四）以非法手段排斥其他供应商参与竞争的；</w:t>
      </w:r>
    </w:p>
    <w:p>
      <w:pPr>
        <w:pStyle w:val="18"/>
        <w:shd w:val="clear" w:color="auto"/>
        <w:spacing w:before="0" w:beforeAutospacing="0" w:after="0" w:afterAutospacing="0" w:line="240" w:lineRule="auto"/>
        <w:ind w:firstLine="480" w:firstLineChars="200"/>
        <w:rPr>
          <w:color w:val="auto"/>
        </w:rPr>
      </w:pPr>
      <w:r>
        <w:rPr>
          <w:rFonts w:hint="eastAsia"/>
          <w:color w:val="auto"/>
        </w:rPr>
        <w:t>（五）与其他采购参加人串通投标的；</w:t>
      </w:r>
    </w:p>
    <w:p>
      <w:pPr>
        <w:pStyle w:val="18"/>
        <w:shd w:val="clear" w:color="auto"/>
        <w:spacing w:before="0" w:beforeAutospacing="0" w:after="0" w:afterAutospacing="0" w:line="240" w:lineRule="auto"/>
        <w:ind w:firstLine="480" w:firstLineChars="200"/>
        <w:rPr>
          <w:color w:val="auto"/>
        </w:rPr>
      </w:pPr>
      <w:r>
        <w:rPr>
          <w:rFonts w:hint="eastAsia"/>
          <w:color w:val="auto"/>
        </w:rPr>
        <w:t>（六）恶意投诉的；</w:t>
      </w:r>
    </w:p>
    <w:p>
      <w:pPr>
        <w:pStyle w:val="18"/>
        <w:shd w:val="clear" w:color="auto"/>
        <w:spacing w:before="0" w:beforeAutospacing="0" w:after="0" w:afterAutospacing="0" w:line="240" w:lineRule="auto"/>
        <w:ind w:firstLine="480" w:firstLineChars="200"/>
        <w:rPr>
          <w:color w:val="auto"/>
        </w:rPr>
      </w:pPr>
      <w:r>
        <w:rPr>
          <w:rFonts w:hint="eastAsia"/>
          <w:color w:val="auto"/>
        </w:rPr>
        <w:t>（七）向采购项目相关人行贿或者提供其他不当利益的；</w:t>
      </w:r>
    </w:p>
    <w:p>
      <w:pPr>
        <w:pStyle w:val="18"/>
        <w:shd w:val="clear" w:color="auto"/>
        <w:spacing w:before="0" w:beforeAutospacing="0" w:after="0" w:afterAutospacing="0" w:line="240" w:lineRule="auto"/>
        <w:ind w:firstLine="480" w:firstLineChars="200"/>
        <w:rPr>
          <w:color w:val="auto"/>
        </w:rPr>
      </w:pPr>
      <w:r>
        <w:rPr>
          <w:rFonts w:hint="eastAsia"/>
          <w:color w:val="auto"/>
        </w:rPr>
        <w:t>（八）阻碍、抗拒主管部门监督检查的；</w:t>
      </w:r>
    </w:p>
    <w:p>
      <w:pPr>
        <w:pStyle w:val="18"/>
        <w:shd w:val="clear" w:color="auto"/>
        <w:spacing w:before="0" w:beforeAutospacing="0" w:after="0" w:afterAutospacing="0" w:line="240" w:lineRule="auto"/>
        <w:ind w:firstLine="480" w:firstLineChars="200"/>
        <w:rPr>
          <w:color w:val="auto"/>
        </w:rPr>
      </w:pPr>
      <w:r>
        <w:rPr>
          <w:rFonts w:hint="eastAsia"/>
          <w:color w:val="auto"/>
        </w:rPr>
        <w:t>（九）其他违反本条例规定的行为。</w:t>
      </w:r>
    </w:p>
    <w:p>
      <w:pPr>
        <w:shd w:val="clear"/>
        <w:autoSpaceDE w:val="0"/>
        <w:autoSpaceDN w:val="0"/>
        <w:adjustRightInd w:val="0"/>
        <w:spacing w:line="240" w:lineRule="auto"/>
        <w:ind w:firstLine="360" w:firstLineChars="150"/>
        <w:jc w:val="left"/>
        <w:rPr>
          <w:rFonts w:ascii="宋体" w:hAnsi="宋体" w:cs="宋体"/>
          <w:color w:val="auto"/>
          <w:kern w:val="0"/>
          <w:sz w:val="24"/>
        </w:rPr>
      </w:pPr>
    </w:p>
    <w:p>
      <w:pPr>
        <w:shd w:val="clea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rPr>
      </w:pPr>
      <w:bookmarkStart w:id="2" w:name="_Toc6281"/>
      <w:r>
        <w:rPr>
          <w:rFonts w:hint="eastAsia" w:ascii="宋体" w:hAnsi="宋体" w:cs="宋体"/>
          <w:color w:val="auto"/>
          <w:sz w:val="24"/>
        </w:rPr>
        <w:t>（一）投标供应商之间相互约定给予未中标的供应商利益补偿；</w:t>
      </w:r>
      <w:bookmarkEnd w:id="2"/>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240" w:lineRule="auto"/>
        <w:ind w:firstLine="480" w:firstLineChars="200"/>
        <w:rPr>
          <w:rFonts w:ascii="宋体" w:hAnsi="宋体" w:cs="宋体"/>
          <w:color w:val="auto"/>
          <w:sz w:val="24"/>
        </w:rPr>
      </w:pPr>
      <w:bookmarkStart w:id="3" w:name="_Toc31089"/>
      <w:r>
        <w:rPr>
          <w:rFonts w:hint="eastAsia" w:ascii="宋体" w:hAnsi="宋体" w:cs="宋体"/>
          <w:color w:val="auto"/>
          <w:sz w:val="24"/>
        </w:rPr>
        <w:t>（七）主管部门依照法律、法规认定的其他情形。</w:t>
      </w:r>
      <w:bookmarkEnd w:id="3"/>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（四）投标保证金不是从投标供应商基本账户转出的；</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（五）其他隐瞒真实情况、提供虚假资料的行为。</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240" w:lineRule="auto"/>
        <w:ind w:firstLine="482" w:firstLineChars="200"/>
        <w:jc w:val="left"/>
        <w:rPr>
          <w:rFonts w:ascii="宋体" w:hAnsi="宋体" w:cs="宋体"/>
          <w:color w:val="auto"/>
          <w:sz w:val="24"/>
        </w:rPr>
      </w:pPr>
      <w:bookmarkStart w:id="4"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rPr>
      </w:pPr>
      <w:bookmarkStart w:id="5"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lang w:eastAsia="zh-CN"/>
        </w:rPr>
      </w:pPr>
    </w:p>
    <w:p>
      <w:pPr>
        <w:autoSpaceDE w:val="0"/>
        <w:autoSpaceDN w:val="0"/>
        <w:adjustRightInd w:val="0"/>
        <w:spacing w:line="240" w:lineRule="auto"/>
        <w:jc w:val="center"/>
        <w:rPr>
          <w:rFonts w:hint="eastAsia" w:ascii="宋体" w:hAnsi="宋体" w:cs="宋体"/>
          <w:b/>
          <w:color w:val="auto"/>
          <w:kern w:val="0"/>
          <w:sz w:val="24"/>
          <w:lang w:eastAsia="zh-CN"/>
        </w:rPr>
      </w:pPr>
      <w:r>
        <w:rPr>
          <w:rFonts w:hint="eastAsia" w:ascii="宋体" w:hAnsi="宋体" w:cs="宋体"/>
          <w:b/>
          <w:color w:val="auto"/>
          <w:kern w:val="0"/>
          <w:sz w:val="24"/>
          <w:lang w:eastAsia="zh-CN"/>
        </w:rPr>
        <w:t>《</w:t>
      </w:r>
      <w:r>
        <w:rPr>
          <w:rFonts w:hint="eastAsia" w:ascii="宋体" w:hAnsi="宋体" w:cs="宋体"/>
          <w:b/>
          <w:color w:val="auto"/>
          <w:kern w:val="0"/>
          <w:sz w:val="24"/>
        </w:rPr>
        <w:t>关于在相关自由贸易试验区和自由贸易港开展推动解决政府采购异常低价问题试点工作的通知</w:t>
      </w:r>
      <w:r>
        <w:rPr>
          <w:rFonts w:hint="eastAsia" w:ascii="宋体" w:hAnsi="宋体" w:cs="宋体"/>
          <w:b/>
          <w:color w:val="auto"/>
          <w:kern w:val="0"/>
          <w:sz w:val="24"/>
          <w:lang w:eastAsia="zh-CN"/>
        </w:rPr>
        <w:t>》</w:t>
      </w:r>
    </w:p>
    <w:p>
      <w:pPr>
        <w:autoSpaceDE w:val="0"/>
        <w:autoSpaceDN w:val="0"/>
        <w:adjustRightInd w:val="0"/>
        <w:spacing w:line="240" w:lineRule="auto"/>
        <w:jc w:val="left"/>
        <w:rPr>
          <w:rFonts w:hint="eastAsia" w:ascii="宋体" w:hAnsi="宋体" w:cs="宋体"/>
          <w:b/>
          <w:color w:val="auto"/>
          <w:kern w:val="0"/>
          <w:sz w:val="24"/>
          <w:lang w:eastAsia="zh-CN"/>
        </w:rPr>
      </w:pPr>
      <w:r>
        <w:rPr>
          <w:rFonts w:hint="eastAsia" w:ascii="宋体" w:hAnsi="宋体" w:cs="宋体"/>
          <w:b/>
          <w:color w:val="auto"/>
          <w:kern w:val="0"/>
          <w:sz w:val="24"/>
        </w:rPr>
        <w:t>强化政府采购异常低价审查</w:t>
      </w:r>
      <w:r>
        <w:rPr>
          <w:rFonts w:hint="eastAsia" w:ascii="宋体" w:hAnsi="宋体" w:cs="宋体"/>
          <w:b/>
          <w:color w:val="auto"/>
          <w:kern w:val="0"/>
          <w:sz w:val="24"/>
          <w:lang w:eastAsia="zh-CN"/>
        </w:rPr>
        <w:t>：</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highlight w:val="none"/>
        </w:rPr>
      </w:pPr>
      <w:r>
        <w:rPr>
          <w:rFonts w:ascii="宋体" w:hAnsi="宋体"/>
          <w:b/>
          <w:bCs/>
          <w:sz w:val="32"/>
          <w:szCs w:val="40"/>
          <w:highlight w:val="none"/>
          <w:u w:val="single"/>
        </w:rPr>
        <w:br w:type="page"/>
      </w:r>
      <w:bookmarkStart w:id="6" w:name="_Toc30761"/>
      <w:r>
        <w:rPr>
          <w:rFonts w:ascii="宋体" w:hAnsi="宋体"/>
          <w:b/>
          <w:bCs/>
          <w:sz w:val="32"/>
          <w:szCs w:val="40"/>
          <w:highlight w:val="none"/>
        </w:rPr>
        <w:t>目录</w:t>
      </w:r>
      <w:bookmarkEnd w:id="0"/>
      <w:bookmarkEnd w:id="6"/>
    </w:p>
    <w:p>
      <w:pPr>
        <w:pStyle w:val="15"/>
        <w:tabs>
          <w:tab w:val="right" w:leader="dot" w:pos="8306"/>
        </w:tabs>
        <w:spacing w:line="480" w:lineRule="auto"/>
        <w:rPr>
          <w:b/>
          <w:bCs/>
          <w:sz w:val="24"/>
          <w:szCs w:val="32"/>
          <w:highlight w:val="none"/>
        </w:rPr>
      </w:pPr>
    </w:p>
    <w:p>
      <w:pPr>
        <w:pStyle w:val="15"/>
        <w:tabs>
          <w:tab w:val="right" w:leader="dot" w:pos="8306"/>
        </w:tabs>
        <w:spacing w:line="360" w:lineRule="auto"/>
        <w:rPr>
          <w:rFonts w:hint="eastAsia" w:ascii="宋体" w:hAnsi="宋体" w:eastAsia="宋体" w:cs="宋体"/>
          <w:b/>
          <w:bCs/>
          <w:sz w:val="24"/>
          <w:highlight w:val="none"/>
          <w:lang w:eastAsia="zh-CN"/>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"_Toc28255" </w:instrText>
      </w:r>
      <w:r>
        <w:rPr>
          <w:highlight w:val="none"/>
        </w:rPr>
        <w:fldChar w:fldCharType="separate"/>
      </w:r>
      <w:r>
        <w:rPr>
          <w:rFonts w:hint="eastAsia" w:ascii="宋体" w:hAnsi="宋体" w:cs="宋体"/>
          <w:b/>
          <w:bCs/>
          <w:sz w:val="24"/>
          <w:highlight w:val="none"/>
        </w:rPr>
        <w:t>第一章 招标邀请书（招标公告）</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w:t>
      </w:r>
    </w:p>
    <w:p>
      <w:pPr>
        <w:pStyle w:val="15"/>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"_Toc16734" </w:instrText>
      </w:r>
      <w:r>
        <w:rPr>
          <w:highlight w:val="none"/>
        </w:rPr>
        <w:fldChar w:fldCharType="separate"/>
      </w:r>
      <w:r>
        <w:rPr>
          <w:rFonts w:hint="eastAsia" w:ascii="宋体" w:hAnsi="宋体" w:cs="宋体"/>
          <w:b/>
          <w:bCs/>
          <w:sz w:val="24"/>
          <w:highlight w:val="none"/>
        </w:rPr>
        <w:t>第二章 投标须知</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_Toc16734 \h </w:instrText>
      </w:r>
      <w:r>
        <w:rPr>
          <w:rFonts w:hint="eastAsia" w:ascii="宋体" w:hAnsi="宋体" w:cs="宋体"/>
          <w:b/>
          <w:bCs/>
          <w:sz w:val="24"/>
          <w:highlight w:val="none"/>
        </w:rPr>
        <w:fldChar w:fldCharType="separate"/>
      </w:r>
      <w:r>
        <w:rPr>
          <w:rFonts w:hint="eastAsia" w:ascii="宋体" w:hAnsi="宋体" w:cs="宋体"/>
          <w:b/>
          <w:bCs/>
          <w:sz w:val="24"/>
          <w:highlight w:val="none"/>
        </w:rPr>
        <w:t>9</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"_Toc18857" </w:instrText>
      </w:r>
      <w:r>
        <w:rPr>
          <w:highlight w:val="none"/>
        </w:rPr>
        <w:fldChar w:fldCharType="separate"/>
      </w:r>
      <w:r>
        <w:rPr>
          <w:rFonts w:hint="eastAsia" w:ascii="宋体" w:hAnsi="宋体" w:cs="宋体"/>
          <w:b/>
          <w:bCs/>
          <w:sz w:val="24"/>
          <w:highlight w:val="none"/>
        </w:rPr>
        <w:t>第三章 评标程序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_Toc18857 \h </w:instrText>
      </w:r>
      <w:r>
        <w:rPr>
          <w:rFonts w:hint="eastAsia" w:ascii="宋体" w:hAnsi="宋体" w:cs="宋体"/>
          <w:b/>
          <w:bCs/>
          <w:sz w:val="24"/>
          <w:highlight w:val="none"/>
        </w:rPr>
        <w:fldChar w:fldCharType="separate"/>
      </w:r>
      <w:r>
        <w:rPr>
          <w:rFonts w:hint="eastAsia" w:ascii="宋体" w:hAnsi="宋体" w:cs="宋体"/>
          <w:b/>
          <w:bCs/>
          <w:sz w:val="24"/>
          <w:highlight w:val="none"/>
        </w:rPr>
        <w:t>12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"_Toc1635" </w:instrText>
      </w:r>
      <w:r>
        <w:rPr>
          <w:highlight w:val="none"/>
        </w:rPr>
        <w:fldChar w:fldCharType="separate"/>
      </w:r>
      <w:r>
        <w:rPr>
          <w:rFonts w:hint="eastAsia" w:ascii="宋体" w:hAnsi="宋体" w:cs="宋体"/>
          <w:b/>
          <w:bCs/>
          <w:sz w:val="24"/>
          <w:highlight w:val="none"/>
        </w:rPr>
        <w:t>第四章 合同格式及合同条款</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_Toc1635 \h </w:instrText>
      </w:r>
      <w:r>
        <w:rPr>
          <w:rFonts w:hint="eastAsia" w:ascii="宋体" w:hAnsi="宋体" w:cs="宋体"/>
          <w:b/>
          <w:bCs/>
          <w:sz w:val="24"/>
          <w:highlight w:val="none"/>
        </w:rPr>
        <w:fldChar w:fldCharType="separate"/>
      </w:r>
      <w:r>
        <w:rPr>
          <w:rFonts w:hint="eastAsia" w:ascii="宋体" w:hAnsi="宋体" w:cs="宋体"/>
          <w:b/>
          <w:bCs/>
          <w:sz w:val="24"/>
          <w:highlight w:val="none"/>
        </w:rPr>
        <w:t>14</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"_Toc793" </w:instrText>
      </w:r>
      <w:r>
        <w:rPr>
          <w:highlight w:val="none"/>
        </w:rPr>
        <w:fldChar w:fldCharType="separate"/>
      </w:r>
      <w:r>
        <w:rPr>
          <w:rFonts w:hint="eastAsia" w:ascii="宋体" w:hAnsi="宋体" w:cs="宋体"/>
          <w:b/>
          <w:bCs/>
          <w:sz w:val="24"/>
          <w:highlight w:val="none"/>
        </w:rPr>
        <w:t>第五章 用户需求书</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_Toc793 \h </w:instrText>
      </w:r>
      <w:r>
        <w:rPr>
          <w:rFonts w:hint="eastAsia" w:ascii="宋体" w:hAnsi="宋体" w:cs="宋体"/>
          <w:b/>
          <w:bCs/>
          <w:sz w:val="24"/>
          <w:highlight w:val="none"/>
        </w:rPr>
        <w:fldChar w:fldCharType="separate"/>
      </w:r>
      <w:r>
        <w:rPr>
          <w:rFonts w:hint="eastAsia" w:ascii="宋体" w:hAnsi="宋体" w:cs="宋体"/>
          <w:b/>
          <w:bCs/>
          <w:sz w:val="24"/>
          <w:highlight w:val="none"/>
        </w:rPr>
        <w:t>26</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"_Toc6457" </w:instrText>
      </w:r>
      <w:r>
        <w:rPr>
          <w:highlight w:val="none"/>
        </w:rPr>
        <w:fldChar w:fldCharType="separate"/>
      </w:r>
      <w:r>
        <w:rPr>
          <w:rFonts w:hint="eastAsia" w:ascii="宋体" w:hAnsi="宋体" w:cs="宋体"/>
          <w:b/>
          <w:bCs/>
          <w:sz w:val="24"/>
          <w:highlight w:val="none"/>
        </w:rPr>
        <w:t>第六章 投标文件初审及招标项目评分表</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_Toc6457 \h </w:instrText>
      </w:r>
      <w:r>
        <w:rPr>
          <w:rFonts w:hint="eastAsia" w:ascii="宋体" w:hAnsi="宋体" w:cs="宋体"/>
          <w:b/>
          <w:bCs/>
          <w:sz w:val="24"/>
          <w:highlight w:val="none"/>
        </w:rPr>
        <w:fldChar w:fldCharType="separate"/>
      </w:r>
      <w:r>
        <w:rPr>
          <w:rFonts w:hint="eastAsia" w:ascii="宋体" w:hAnsi="宋体" w:cs="宋体"/>
          <w:b/>
          <w:bCs/>
          <w:sz w:val="24"/>
          <w:highlight w:val="none"/>
        </w:rPr>
        <w:t>32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"_Toc834" </w:instrText>
      </w:r>
      <w:r>
        <w:rPr>
          <w:highlight w:val="none"/>
        </w:rPr>
        <w:fldChar w:fldCharType="separate"/>
      </w:r>
      <w:r>
        <w:rPr>
          <w:rFonts w:hint="eastAsia" w:ascii="宋体" w:hAnsi="宋体" w:cs="宋体"/>
          <w:b/>
          <w:bCs/>
          <w:sz w:val="24"/>
          <w:highlight w:val="none"/>
        </w:rPr>
        <w:t>第七章 附件（投标文件格式）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_Toc834 \h </w:instrText>
      </w:r>
      <w:r>
        <w:rPr>
          <w:rFonts w:hint="eastAsia" w:ascii="宋体" w:hAnsi="宋体" w:cs="宋体"/>
          <w:b/>
          <w:bCs/>
          <w:sz w:val="24"/>
          <w:highlight w:val="none"/>
        </w:rPr>
        <w:fldChar w:fldCharType="separate"/>
      </w:r>
      <w:r>
        <w:rPr>
          <w:rFonts w:hint="eastAsia" w:ascii="宋体" w:hAnsi="宋体" w:cs="宋体"/>
          <w:b/>
          <w:bCs/>
          <w:sz w:val="24"/>
          <w:highlight w:val="none"/>
        </w:rPr>
        <w:t>37</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hint="default" w:ascii="宋体" w:hAnsi="宋体" w:eastAsia="宋体" w:cs="宋体"/>
          <w:b/>
          <w:bCs/>
          <w:sz w:val="24"/>
          <w:highlight w:val="none"/>
          <w:lang w:val="en-US" w:eastAsia="zh-CN"/>
        </w:rPr>
      </w:pPr>
      <w:r>
        <w:rPr>
          <w:highlight w:val="none"/>
        </w:rPr>
        <w:fldChar w:fldCharType="begin"/>
      </w:r>
      <w:r>
        <w:rPr>
          <w:highlight w:val="none"/>
        </w:rPr>
        <w:instrText xml:space="preserve"> HYPERLINK \l "_Toc3166" </w:instrText>
      </w:r>
      <w:r>
        <w:rPr>
          <w:highlight w:val="none"/>
        </w:rPr>
        <w:fldChar w:fldCharType="separate"/>
      </w:r>
      <w:r>
        <w:rPr>
          <w:rFonts w:hint="eastAsia" w:ascii="宋体" w:hAnsi="宋体" w:cs="宋体"/>
          <w:b/>
          <w:bCs/>
          <w:sz w:val="24"/>
          <w:highlight w:val="none"/>
        </w:rPr>
        <w:t>附件：相关政策</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57</w:t>
      </w:r>
    </w:p>
    <w:p>
      <w:pPr>
        <w:spacing w:line="360" w:lineRule="auto"/>
        <w:rPr>
          <w:highlight w:val="none"/>
        </w:rPr>
      </w:pPr>
      <w:r>
        <w:rPr>
          <w:rFonts w:hint="eastAsia" w:ascii="宋体" w:hAnsi="宋体" w:cs="宋体"/>
          <w:b/>
          <w:bCs/>
          <w:sz w:val="24"/>
          <w:highlight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sz w:val="24"/>
          <w:highlight w:val="none"/>
        </w:rPr>
      </w:pPr>
      <w:r>
        <w:rPr>
          <w:rFonts w:ascii="宋体"/>
          <w:b/>
          <w:bCs/>
          <w:sz w:val="32"/>
          <w:szCs w:val="28"/>
          <w:highlight w:val="none"/>
        </w:rPr>
        <w:br w:type="page"/>
      </w:r>
      <w:r>
        <w:rPr>
          <w:rFonts w:hint="eastAsia" w:ascii="宋体"/>
          <w:b/>
          <w:bCs/>
          <w:sz w:val="32"/>
          <w:szCs w:val="28"/>
          <w:highlight w:val="none"/>
        </w:rPr>
        <w:t xml:space="preserve"> </w:t>
      </w:r>
      <w:bookmarkStart w:id="7" w:name="_Toc28255"/>
      <w:r>
        <w:rPr>
          <w:rFonts w:hint="eastAsia" w:ascii="宋体" w:hAnsi="宋体" w:cs="宋体"/>
          <w:b/>
          <w:bCs/>
          <w:sz w:val="24"/>
          <w:highlight w:val="none"/>
        </w:rPr>
        <w:t>招标公告</w:t>
      </w:r>
      <w:bookmarkEnd w:id="7"/>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rPr>
        <w:t>深圳交易咨询集团有限公司（以下简称采购代理机构）受深圳市前海深港现代服务业合作区管理局委托就</w:t>
      </w:r>
      <w:r>
        <w:rPr>
          <w:rFonts w:hint="default" w:ascii="宋体" w:hAnsi="宋体" w:cs="宋体"/>
          <w:sz w:val="24"/>
          <w:lang w:val="en-US"/>
        </w:rPr>
        <w:t xml:space="preserve"> </w:t>
      </w:r>
      <w:r>
        <w:rPr>
          <w:rFonts w:hint="eastAsia" w:ascii="宋体" w:hAnsi="宋体" w:cs="宋体"/>
          <w:sz w:val="24"/>
          <w:highlight w:val="none"/>
          <w:u w:val="single"/>
          <w:lang w:val="en-US" w:eastAsia="zh-CN"/>
        </w:rPr>
        <w:t>前海-香港跨境交通服务提升专项研究</w:t>
      </w:r>
      <w:r>
        <w:rPr>
          <w:rFonts w:hint="default" w:ascii="宋体" w:hAnsi="宋体" w:cs="宋体"/>
          <w:sz w:val="24"/>
          <w:highlight w:val="none"/>
          <w:u w:val="single"/>
          <w:lang w:val="en-US" w:eastAsia="zh-CN"/>
        </w:rPr>
        <w:t xml:space="preserve"> </w:t>
      </w:r>
      <w:r>
        <w:rPr>
          <w:rFonts w:hint="eastAsia" w:ascii="宋体" w:hAnsi="宋体" w:cs="宋体"/>
          <w:sz w:val="24"/>
          <w:highlight w:val="none"/>
        </w:rPr>
        <w:t>（招标编号：</w:t>
      </w:r>
      <w:r>
        <w:rPr>
          <w:rFonts w:hint="eastAsia" w:ascii="宋体" w:hAnsi="宋体" w:cs="宋体"/>
          <w:color w:val="auto"/>
          <w:sz w:val="24"/>
          <w:highlight w:val="none"/>
          <w:lang w:eastAsia="zh-CN"/>
        </w:rPr>
        <w:t>QH2025093</w:t>
      </w:r>
      <w:r>
        <w:rPr>
          <w:rFonts w:hint="eastAsia" w:ascii="宋体" w:hAnsi="宋体" w:cs="宋体"/>
          <w:sz w:val="24"/>
          <w:highlight w:val="none"/>
        </w:rPr>
        <w:t>）采用公开征集供应商简易招标方式采购，欢迎符合投标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highlight w:val="none"/>
              </w:rPr>
            </w:pPr>
            <w:r>
              <w:rPr>
                <w:rFonts w:hint="eastAsia" w:ascii="宋体" w:hAnsi="宋体" w:cs="宋体"/>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val="en-US" w:eastAsia="zh-CN"/>
              </w:rPr>
            </w:pPr>
            <w:r>
              <w:rPr>
                <w:rFonts w:hint="eastAsia" w:ascii="宋体" w:hAnsi="宋体" w:cs="宋体"/>
                <w:color w:val="auto"/>
                <w:sz w:val="24"/>
                <w:highlight w:val="none"/>
                <w:lang w:eastAsia="zh-CN"/>
              </w:rPr>
              <w:t>QH2025093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前海-香港跨境交通服务提升专项研究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标的内容</w:t>
            </w:r>
          </w:p>
        </w:tc>
        <w:tc>
          <w:tcPr>
            <w:tcW w:w="701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rPr>
            </w:pPr>
            <w:r>
              <w:rPr>
                <w:rFonts w:hint="eastAsia" w:ascii="宋体" w:hAnsi="宋体" w:cs="宋体"/>
                <w:sz w:val="24"/>
                <w:highlight w:val="none"/>
              </w:rPr>
              <w:t>全面收集并分析前海与香港间的各类交通出行方式、现状跨境基础设施使用情况，摸清主要出行口岸的运营现状；开展港人出行问卷调查，精准掌握其跨境需求特征及关注的热点、难点问题。系统梳理前海至香港交通互联的现存问题并深入剖析成因。研究提出陆路、水运交通提升及蛇口邮轮母港综合交通服务提升方案，形成近、中、远期行动计划。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sz w:val="24"/>
                <w:highlight w:val="none"/>
              </w:rPr>
            </w:pPr>
            <w:r>
              <w:rPr>
                <w:rFonts w:hint="eastAsia" w:ascii="宋体" w:hAnsi="宋体" w:cs="宋体"/>
                <w:sz w:val="24"/>
                <w:highlight w:val="none"/>
                <w:lang w:val="en-US" w:eastAsia="zh-CN"/>
              </w:rPr>
              <w:t>980</w:t>
            </w:r>
            <w:r>
              <w:rPr>
                <w:rFonts w:hint="eastAsia" w:ascii="宋体" w:hAnsi="宋体" w:cs="宋体"/>
                <w:sz w:val="24"/>
                <w:highlight w:val="none"/>
              </w:rPr>
              <w:t>,</w:t>
            </w:r>
            <w:r>
              <w:rPr>
                <w:rFonts w:hint="eastAsia" w:ascii="宋体" w:hAnsi="宋体" w:cs="宋体"/>
                <w:sz w:val="24"/>
                <w:highlight w:val="none"/>
                <w:lang w:val="en-US" w:eastAsia="zh-CN"/>
              </w:rPr>
              <w:t>000</w:t>
            </w:r>
            <w:r>
              <w:rPr>
                <w:rFonts w:hint="eastAsia" w:ascii="宋体" w:hAnsi="宋体" w:cs="宋体"/>
                <w:sz w:val="24"/>
                <w:highlight w:val="none"/>
              </w:rPr>
              <w:t>.00（人民币</w:t>
            </w:r>
            <w:r>
              <w:rPr>
                <w:rFonts w:hint="eastAsia" w:ascii="宋体" w:hAnsi="宋体" w:cs="宋体"/>
                <w:sz w:val="24"/>
                <w:highlight w:val="none"/>
                <w:lang w:val="en-US" w:eastAsia="zh-CN"/>
              </w:rPr>
              <w:t>玖拾捌万元整</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kern w:val="0"/>
                <w:sz w:val="24"/>
                <w:highlight w:val="none"/>
                <w:lang w:bidi="ar"/>
              </w:rPr>
            </w:pPr>
            <w:r>
              <w:rPr>
                <w:rFonts w:hint="eastAsia" w:ascii="宋体" w:hAnsi="宋体" w:cs="宋体"/>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kern w:val="0"/>
                <w:sz w:val="24"/>
                <w:highlight w:val="none"/>
                <w:lang w:val="en-US" w:eastAsia="zh-CN"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kern w:val="0"/>
                <w:sz w:val="24"/>
                <w:highlight w:val="none"/>
                <w:lang w:bidi="ar"/>
              </w:rPr>
              <w:t>202</w:t>
            </w:r>
            <w:r>
              <w:rPr>
                <w:rFonts w:hint="eastAsia" w:ascii="宋体" w:hAnsi="宋体" w:cs="宋体"/>
                <w:b w:val="0"/>
                <w:kern w:val="0"/>
                <w:sz w:val="24"/>
                <w:highlight w:val="none"/>
                <w:lang w:val="en-US" w:eastAsia="zh-CN" w:bidi="ar"/>
              </w:rPr>
              <w:t>5</w:t>
            </w:r>
            <w:r>
              <w:rPr>
                <w:rFonts w:hint="eastAsia" w:ascii="宋体" w:hAnsi="宋体" w:cs="宋体"/>
                <w:b w:val="0"/>
                <w:kern w:val="0"/>
                <w:sz w:val="24"/>
                <w:highlight w:val="none"/>
                <w:lang w:bidi="ar"/>
              </w:rPr>
              <w:t>年</w:t>
            </w:r>
            <w:r>
              <w:rPr>
                <w:rFonts w:hint="eastAsia" w:ascii="宋体" w:hAnsi="宋体" w:cs="宋体"/>
                <w:b w:val="0"/>
                <w:kern w:val="0"/>
                <w:sz w:val="24"/>
                <w:highlight w:val="none"/>
                <w:lang w:val="en-US" w:eastAsia="zh-CN" w:bidi="ar"/>
              </w:rPr>
              <w:t>8</w:t>
            </w:r>
            <w:r>
              <w:rPr>
                <w:rFonts w:hint="eastAsia" w:ascii="宋体" w:hAnsi="宋体" w:cs="宋体"/>
                <w:b w:val="0"/>
                <w:kern w:val="0"/>
                <w:sz w:val="24"/>
                <w:highlight w:val="none"/>
                <w:lang w:bidi="ar"/>
              </w:rPr>
              <w:t>月</w:t>
            </w:r>
            <w:r>
              <w:rPr>
                <w:rFonts w:hint="eastAsia" w:ascii="宋体" w:hAnsi="宋体" w:cs="宋体"/>
                <w:b w:val="0"/>
                <w:kern w:val="0"/>
                <w:sz w:val="24"/>
                <w:highlight w:val="none"/>
                <w:lang w:val="en-US" w:eastAsia="zh-CN" w:bidi="ar"/>
              </w:rPr>
              <w:t>12</w:t>
            </w:r>
            <w:r>
              <w:rPr>
                <w:rFonts w:hint="eastAsia" w:ascii="宋体" w:hAnsi="宋体" w:cs="宋体"/>
                <w:b w:val="0"/>
                <w:kern w:val="0"/>
                <w:sz w:val="24"/>
                <w:highlight w:val="none"/>
                <w:lang w:bidi="ar"/>
              </w:rPr>
              <w:t>日</w:t>
            </w:r>
            <w:r>
              <w:rPr>
                <w:rFonts w:hint="eastAsia" w:ascii="宋体" w:hAnsi="宋体" w:cs="宋体"/>
                <w:b w:val="0"/>
                <w:kern w:val="0"/>
                <w:sz w:val="24"/>
                <w:highlight w:val="none"/>
                <w:lang w:val="en-US" w:eastAsia="zh-CN" w:bidi="ar"/>
              </w:rPr>
              <w:t>上</w:t>
            </w:r>
            <w:r>
              <w:rPr>
                <w:rFonts w:hint="eastAsia" w:ascii="宋体" w:hAnsi="宋体" w:cs="宋体"/>
                <w:b w:val="0"/>
                <w:kern w:val="0"/>
                <w:sz w:val="24"/>
                <w:highlight w:val="none"/>
                <w:lang w:bidi="ar"/>
              </w:rPr>
              <w:t>午</w:t>
            </w:r>
            <w:r>
              <w:rPr>
                <w:rFonts w:hint="eastAsia" w:ascii="宋体" w:hAnsi="宋体" w:cs="宋体"/>
                <w:b w:val="0"/>
                <w:kern w:val="0"/>
                <w:sz w:val="24"/>
                <w:highlight w:val="none"/>
                <w:lang w:val="en-US" w:eastAsia="zh-CN" w:bidi="ar"/>
              </w:rPr>
              <w:t>10</w:t>
            </w:r>
            <w:r>
              <w:rPr>
                <w:rFonts w:hint="eastAsia" w:ascii="宋体" w:hAnsi="宋体" w:cs="宋体"/>
                <w:b w:val="0"/>
                <w:kern w:val="0"/>
                <w:sz w:val="24"/>
                <w:highlight w:val="none"/>
                <w:lang w:bidi="ar"/>
              </w:rPr>
              <w:t>:00时（北京时间）前送达（现场递交</w:t>
            </w:r>
            <w:r>
              <w:rPr>
                <w:rFonts w:hint="eastAsia" w:ascii="宋体" w:hAnsi="宋体" w:cs="宋体"/>
                <w:b w:val="0"/>
                <w:kern w:val="0"/>
                <w:sz w:val="24"/>
                <w:highlight w:val="none"/>
                <w:lang w:val="en-US" w:eastAsia="zh-CN" w:bidi="ar"/>
              </w:rPr>
              <w:t>或邮寄</w:t>
            </w:r>
            <w:r>
              <w:rPr>
                <w:rFonts w:hint="eastAsia" w:ascii="宋体" w:hAnsi="宋体" w:cs="宋体"/>
                <w:b w:val="0"/>
                <w:kern w:val="0"/>
                <w:sz w:val="24"/>
                <w:highlight w:val="none"/>
                <w:lang w:bidi="ar"/>
              </w:rPr>
              <w:t>）</w:t>
            </w:r>
            <w:r>
              <w:rPr>
                <w:rFonts w:hint="eastAsia" w:ascii="宋体" w:hAnsi="宋体" w:cs="宋体"/>
                <w:kern w:val="0"/>
                <w:sz w:val="24"/>
                <w:highlight w:val="none"/>
                <w:lang w:bidi="ar"/>
              </w:rPr>
              <w:t>至</w:t>
            </w:r>
            <w:r>
              <w:rPr>
                <w:rFonts w:hint="eastAsia" w:ascii="宋体" w:hAnsi="宋体" w:cs="宋体"/>
                <w:b w:val="0"/>
                <w:kern w:val="0"/>
                <w:sz w:val="24"/>
                <w:highlight w:val="none"/>
                <w:lang w:bidi="ar"/>
              </w:rPr>
              <w:t>深圳市前海深港现代服务业合作区桂湾五路123号前海大厦T1栋</w:t>
            </w:r>
            <w:r>
              <w:rPr>
                <w:rFonts w:hint="eastAsia" w:ascii="宋体" w:hAnsi="宋体" w:cs="宋体"/>
                <w:sz w:val="24"/>
                <w:highlight w:val="none"/>
                <w:lang w:val="en-US" w:eastAsia="zh-CN"/>
              </w:rPr>
              <w:t>2402</w:t>
            </w:r>
            <w:r>
              <w:rPr>
                <w:rFonts w:hint="eastAsia" w:ascii="宋体" w:hAnsi="宋体" w:cs="宋体"/>
                <w:b w:val="0"/>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kern w:val="0"/>
                <w:sz w:val="24"/>
                <w:highlight w:val="none"/>
                <w:lang w:bidi="ar"/>
              </w:rPr>
            </w:pPr>
            <w:r>
              <w:rPr>
                <w:rFonts w:hint="eastAsia" w:ascii="宋体" w:hAnsi="宋体" w:cs="宋体"/>
                <w:kern w:val="0"/>
                <w:sz w:val="24"/>
                <w:highlight w:val="none"/>
                <w:lang w:bidi="ar"/>
              </w:rPr>
              <w:t>联系人：</w:t>
            </w:r>
            <w:r>
              <w:rPr>
                <w:rFonts w:hint="eastAsia" w:ascii="宋体" w:hAnsi="宋体" w:cs="宋体"/>
                <w:kern w:val="0"/>
                <w:sz w:val="24"/>
                <w:highlight w:val="none"/>
                <w:lang w:val="en-US" w:eastAsia="zh-CN" w:bidi="ar"/>
              </w:rPr>
              <w:t>莫工</w:t>
            </w:r>
            <w:r>
              <w:rPr>
                <w:rFonts w:hint="default" w:ascii="宋体" w:hAnsi="宋体" w:cs="宋体"/>
                <w:kern w:val="0"/>
                <w:sz w:val="24"/>
                <w:highlight w:val="none"/>
                <w:lang w:val="en-US" w:eastAsia="zh-CN" w:bidi="ar"/>
              </w:rPr>
              <w:t xml:space="preserve">   </w:t>
            </w:r>
            <w:r>
              <w:rPr>
                <w:rFonts w:hint="eastAsia" w:ascii="宋体" w:hAnsi="宋体" w:cs="宋体"/>
                <w:kern w:val="0"/>
                <w:sz w:val="24"/>
                <w:highlight w:val="none"/>
                <w:lang w:val="en-US" w:eastAsia="zh-CN" w:bidi="ar"/>
              </w:rPr>
              <w:t xml:space="preserve">      </w:t>
            </w:r>
            <w:r>
              <w:rPr>
                <w:rFonts w:hint="eastAsia" w:ascii="宋体" w:hAnsi="宋体" w:cs="宋体"/>
                <w:kern w:val="0"/>
                <w:sz w:val="24"/>
                <w:highlight w:val="none"/>
                <w:lang w:bidi="ar"/>
              </w:rPr>
              <w:t>联系电话</w:t>
            </w:r>
            <w:r>
              <w:rPr>
                <w:rFonts w:hint="eastAsia" w:ascii="宋体" w:hAnsi="宋体" w:cs="宋体"/>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0755-</w:t>
            </w:r>
            <w:r>
              <w:rPr>
                <w:rFonts w:hint="default" w:ascii="宋体" w:hAnsi="宋体" w:cs="宋体"/>
                <w:color w:val="000000" w:themeColor="text1"/>
                <w:kern w:val="0"/>
                <w:sz w:val="24"/>
                <w:highlight w:val="none"/>
                <w:lang w:val="en-US"/>
                <w14:textFill>
                  <w14:solidFill>
                    <w14:schemeClr w14:val="tx1"/>
                  </w14:solidFill>
                </w14:textFill>
              </w:rPr>
              <w:t>8810520</w:t>
            </w:r>
            <w:r>
              <w:rPr>
                <w:rFonts w:hint="eastAsia" w:ascii="宋体" w:hAnsi="宋体" w:cs="宋体"/>
                <w:color w:val="000000" w:themeColor="text1"/>
                <w:kern w:val="0"/>
                <w:sz w:val="24"/>
                <w:highlight w:val="none"/>
                <w:lang w:val="en-US" w:eastAsia="zh-CN"/>
                <w14:textFill>
                  <w14:solidFill>
                    <w14:schemeClr w14:val="tx1"/>
                  </w14:solidFill>
                </w14:textFill>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b w:val="0"/>
                <w:bCs w:val="0"/>
                <w:color w:val="000000" w:themeColor="text1"/>
                <w:kern w:val="0"/>
                <w:sz w:val="24"/>
                <w:lang w:val="en-US" w:eastAsia="zh-CN"/>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lang w:val="en-US" w:eastAsia="zh-CN"/>
                <w14:textFill>
                  <w14:solidFill>
                    <w14:schemeClr w14:val="tx1"/>
                  </w14:solidFill>
                </w14:textFill>
              </w:rPr>
              <w:t>以上证明材料均需提供加盖投标人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章的复印件或扫描件，原件备查。</w:t>
            </w: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并提供《供应商基本信息表》加盖投标人公章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w:t>
            </w:r>
            <w:r>
              <w:rPr>
                <w:rFonts w:hint="eastAsia" w:ascii="宋体" w:hAnsi="宋体" w:cs="宋体"/>
                <w:color w:val="000000" w:themeColor="text1"/>
                <w:kern w:val="0"/>
                <w:sz w:val="24"/>
                <w:lang w:val="en-US" w:eastAsia="zh-CN"/>
                <w14:textFill>
                  <w14:solidFill>
                    <w14:schemeClr w14:val="tx1"/>
                  </w14:solidFill>
                </w14:textFill>
              </w:rPr>
              <w:t>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w:t>
            </w:r>
            <w:r>
              <w:rPr>
                <w:rFonts w:hint="eastAsia" w:ascii="宋体" w:hAnsi="宋体" w:cs="宋体"/>
                <w:color w:val="000000" w:themeColor="text1"/>
                <w:kern w:val="0"/>
                <w:sz w:val="24"/>
                <w:lang w:val="en-US" w:eastAsia="zh-CN"/>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不允许转包、分包。</w:t>
            </w:r>
          </w:p>
          <w:p>
            <w:pPr>
              <w:keepNext w:val="0"/>
              <w:keepLines w:val="0"/>
              <w:numPr>
                <w:ilvl w:val="0"/>
                <w:numId w:val="0"/>
              </w:numPr>
              <w:suppressLineNumbers w:val="0"/>
              <w:spacing w:before="0" w:beforeAutospacing="0" w:after="0" w:afterAutospacing="0" w:line="360" w:lineRule="auto"/>
              <w:ind w:left="0" w:right="0"/>
              <w:rPr>
                <w:rFonts w:hint="default" w:eastAsia="宋体"/>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w:t>
            </w:r>
            <w:r>
              <w:rPr>
                <w:rFonts w:hint="eastAsia" w:ascii="宋体" w:hAnsi="宋体" w:cs="宋体"/>
                <w:color w:val="auto"/>
                <w:kern w:val="0"/>
                <w:sz w:val="24"/>
                <w:highlight w:val="none"/>
                <w:u w:val="singl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w:t>
            </w:r>
            <w:r>
              <w:rPr>
                <w:rFonts w:hint="eastAsia" w:ascii="宋体" w:hAnsi="宋体" w:cs="宋体"/>
                <w:color w:val="000000" w:themeColor="text1"/>
                <w:sz w:val="24"/>
                <w:highlight w:val="none"/>
                <w14:textFill>
                  <w14:solidFill>
                    <w14:schemeClr w14:val="tx1"/>
                  </w14:solidFill>
                </w14:textFill>
              </w:rPr>
              <w:t>目预算控制</w:t>
            </w:r>
            <w:r>
              <w:rPr>
                <w:rFonts w:hint="eastAsia" w:ascii="宋体" w:hAnsi="宋体" w:cs="宋体"/>
                <w:color w:val="000000" w:themeColor="text1"/>
                <w:sz w:val="24"/>
                <w:highlight w:val="none"/>
                <w:lang w:val="en-US" w:eastAsia="zh-CN"/>
                <w14:textFill>
                  <w14:solidFill>
                    <w14:schemeClr w14:val="tx1"/>
                  </w14:solidFill>
                </w14:textFill>
              </w:rPr>
              <w:t>98</w:t>
            </w:r>
            <w:r>
              <w:rPr>
                <w:rFonts w:hint="eastAsia" w:ascii="宋体" w:hAnsi="宋体" w:cs="宋体"/>
                <w:color w:val="000000" w:themeColor="text1"/>
                <w:sz w:val="24"/>
                <w:highlight w:val="none"/>
                <w:lang w:eastAsia="zh-CN"/>
                <w14:textFill>
                  <w14:solidFill>
                    <w14:schemeClr w14:val="tx1"/>
                  </w14:solidFill>
                </w14:textFill>
              </w:rPr>
              <w:t>万元以内</w:t>
            </w:r>
            <w:r>
              <w:rPr>
                <w:rFonts w:hint="eastAsia" w:ascii="宋体" w:hAnsi="宋体" w:cs="宋体"/>
                <w:color w:val="000000" w:themeColor="text1"/>
                <w:sz w:val="24"/>
                <w:highlight w:val="none"/>
                <w14:textFill>
                  <w14:solidFill>
                    <w14:schemeClr w14:val="tx1"/>
                  </w14:solidFill>
                </w14:textFill>
              </w:rPr>
              <w:t>，投标人的报价不可高于</w:t>
            </w:r>
            <w:r>
              <w:rPr>
                <w:rFonts w:hint="eastAsia" w:ascii="宋体" w:hAnsi="宋体" w:cs="宋体"/>
                <w:color w:val="000000" w:themeColor="text1"/>
                <w:kern w:val="0"/>
                <w:sz w:val="24"/>
                <w:highlight w:val="none"/>
                <w14:textFill>
                  <w14:solidFill>
                    <w14:schemeClr w14:val="tx1"/>
                  </w14:solidFill>
                </w14:textFill>
              </w:rPr>
              <w:t>预算（限价），否则投标人的投标文件视同</w:t>
            </w:r>
            <w:r>
              <w:rPr>
                <w:rFonts w:hint="eastAsia" w:ascii="宋体" w:hAnsi="宋体" w:cs="宋体"/>
                <w:color w:val="000000" w:themeColor="text1"/>
                <w:kern w:val="0"/>
                <w:sz w:val="24"/>
                <w14:textFill>
                  <w14:solidFill>
                    <w14:schemeClr w14:val="tx1"/>
                  </w14:solidFill>
                </w14:textFill>
              </w:rPr>
              <w:t>无效。项目服务费</w:t>
            </w:r>
            <w:r>
              <w:rPr>
                <w:rFonts w:hint="eastAsia" w:ascii="宋体" w:hAnsi="宋体" w:cs="宋体"/>
                <w:color w:val="000000" w:themeColor="text1"/>
                <w:kern w:val="0"/>
                <w:sz w:val="24"/>
                <w:lang w:eastAsia="zh-CN"/>
                <w14:textFill>
                  <w14:solidFill>
                    <w14:schemeClr w14:val="tx1"/>
                  </w14:solidFill>
                </w14:textFill>
              </w:rPr>
              <w:t>包含但不限于：人员费用及成果制作费、专家咨询费/评审费、车辆使用费、办公场所租赁费、差旅费、管理费、税费等</w:t>
            </w:r>
            <w:r>
              <w:rPr>
                <w:rFonts w:hint="eastAsia" w:ascii="宋体" w:hAnsi="宋体" w:cs="宋体"/>
                <w:color w:val="000000" w:themeColor="text1"/>
                <w:kern w:val="0"/>
                <w:sz w:val="24"/>
                <w14:textFill>
                  <w14:solidFill>
                    <w14:schemeClr w14:val="tx1"/>
                  </w14:solidFill>
                </w14:textFill>
              </w:rPr>
              <w:t>，并提供合同要求的有关成果材料，以及其它相关服务的全部费用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莫工</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0"/>
                <w:sz w:val="24"/>
                <w:highlight w:val="yellow"/>
                <w:lang w:val="en-US" w:eastAsia="zh-CN"/>
                <w14:textFill>
                  <w14:solidFill>
                    <w14:schemeClr w14:val="tx1"/>
                  </w14:solidFill>
                </w14:textFill>
              </w:rPr>
            </w:pPr>
            <w:r>
              <w:rPr>
                <w:rFonts w:hint="eastAsia" w:ascii="宋体" w:hAnsi="宋体" w:cs="宋体"/>
                <w:color w:val="auto"/>
                <w:kern w:val="0"/>
                <w:sz w:val="24"/>
                <w:highlight w:val="none"/>
              </w:rPr>
              <w:t>电      话：0755-</w:t>
            </w:r>
            <w:r>
              <w:rPr>
                <w:rFonts w:hint="default" w:ascii="宋体" w:hAnsi="宋体" w:cs="宋体"/>
                <w:color w:val="auto"/>
                <w:kern w:val="0"/>
                <w:sz w:val="24"/>
                <w:highlight w:val="none"/>
                <w:lang w:val="en-US"/>
              </w:rPr>
              <w:t>8810520</w:t>
            </w:r>
            <w:r>
              <w:rPr>
                <w:rFonts w:hint="eastAsia" w:ascii="宋体" w:hAnsi="宋体" w:cs="宋体"/>
                <w:color w:val="auto"/>
                <w:kern w:val="0"/>
                <w:sz w:val="24"/>
                <w:highlight w:val="none"/>
                <w:lang w:val="en-US" w:eastAsia="zh-CN"/>
              </w:rPr>
              <w:t>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称：深圳交易咨询集团有限公司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曹茜</w:t>
            </w:r>
            <w:r>
              <w:rPr>
                <w:rFonts w:hint="eastAsia" w:ascii="宋体" w:hAnsi="宋体" w:cs="宋体"/>
                <w:kern w:val="0"/>
                <w:sz w:val="24"/>
                <w:highlight w:val="none"/>
              </w:rPr>
              <w:t>、</w:t>
            </w:r>
            <w:r>
              <w:rPr>
                <w:rFonts w:hint="eastAsia" w:ascii="宋体" w:hAnsi="宋体" w:cs="宋体"/>
                <w:kern w:val="0"/>
                <w:sz w:val="24"/>
                <w:highlight w:val="none"/>
                <w:lang w:val="en-US" w:eastAsia="zh-CN"/>
              </w:rPr>
              <w:t>郭金龙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电      话：18599127733、15118037034</w:t>
            </w:r>
          </w:p>
        </w:tc>
      </w:tr>
    </w:tbl>
    <w:p>
      <w:pPr>
        <w:adjustRightInd w:val="0"/>
        <w:snapToGrid w:val="0"/>
        <w:spacing w:line="360" w:lineRule="auto"/>
        <w:ind w:firstLine="480" w:firstLineChars="200"/>
        <w:jc w:val="right"/>
        <w:rPr>
          <w:rFonts w:hint="eastAsia" w:ascii="宋体" w:hAnsi="宋体" w:cs="宋体"/>
          <w:sz w:val="24"/>
          <w:highlight w:val="none"/>
        </w:rPr>
      </w:pP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深圳交易咨询集团有限公司</w:t>
      </w: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6</w:t>
      </w:r>
      <w:r>
        <w:rPr>
          <w:rFonts w:hint="eastAsia" w:ascii="宋体" w:hAnsi="宋体" w:cs="宋体"/>
          <w:sz w:val="24"/>
          <w:highlight w:val="none"/>
        </w:rPr>
        <w:t>日</w:t>
      </w: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bookmarkStart w:id="8" w:name="_Toc16734"/>
      <w:r>
        <w:rPr>
          <w:rFonts w:hint="eastAsia" w:ascii="宋体" w:hAnsi="宋体" w:cs="宋体"/>
          <w:b/>
          <w:bCs/>
          <w:sz w:val="24"/>
          <w:highlight w:val="none"/>
        </w:rPr>
        <w:t>投标须知</w:t>
      </w:r>
      <w:bookmarkEnd w:id="8"/>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1、本项目是深圳市前海深港现代服务业合作区管理局的</w:t>
      </w:r>
      <w:r>
        <w:rPr>
          <w:rFonts w:hint="eastAsia" w:ascii="宋体" w:hAnsi="宋体" w:cs="宋体"/>
          <w:sz w:val="24"/>
          <w:highlight w:val="none"/>
          <w:lang w:eastAsia="zh-CN"/>
        </w:rPr>
        <w:t>前海—香港水运、陆路提升及蛇口邮轮母港综合交通服务提升专项研究项目</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sz w:val="24"/>
          <w:highlight w:val="none"/>
          <w:lang w:val="en-US" w:eastAsia="zh-CN"/>
        </w:rPr>
        <w:t>深圳交易咨询集团</w:t>
      </w:r>
      <w:r>
        <w:rPr>
          <w:rFonts w:hint="eastAsia" w:ascii="宋体" w:hAnsi="宋体" w:cs="宋体"/>
          <w:sz w:val="24"/>
          <w:highlight w:val="none"/>
        </w:rPr>
        <w:t>有限公司受深圳市前海深港现代服务业合作区管理局委托</w:t>
      </w:r>
      <w:r>
        <w:rPr>
          <w:rFonts w:hint="eastAsia" w:ascii="宋体" w:hAnsi="宋体" w:cs="宋体"/>
          <w:sz w:val="24"/>
          <w:highlight w:val="none"/>
          <w:lang w:eastAsia="zh-CN"/>
        </w:rPr>
        <w:t>以简易招标方式</w:t>
      </w:r>
      <w:r>
        <w:rPr>
          <w:rFonts w:hint="eastAsia" w:ascii="宋体" w:hAnsi="宋体" w:cs="宋体"/>
          <w:sz w:val="24"/>
          <w:highlight w:val="none"/>
        </w:rPr>
        <w:t>组织采购。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a.有效投标人为2家的，可在2家有效投标人中取得分最高者为中标供应商；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3、本项目根据项目的实际情况，公开征集符合投标</w:t>
      </w:r>
      <w:r>
        <w:rPr>
          <w:rFonts w:ascii="宋体" w:hAnsi="宋体" w:cs="宋体"/>
          <w:sz w:val="24"/>
          <w:highlight w:val="none"/>
        </w:rPr>
        <w:t>单位</w:t>
      </w:r>
      <w:r>
        <w:rPr>
          <w:rFonts w:hint="eastAsia" w:ascii="宋体" w:hAnsi="宋体" w:cs="宋体"/>
          <w:sz w:val="24"/>
          <w:highlight w:val="none"/>
        </w:rPr>
        <w:t>资格的供应商。请各供应商根据本文件的要求，准备</w:t>
      </w:r>
      <w:r>
        <w:rPr>
          <w:rFonts w:hint="eastAsia" w:ascii="宋体" w:hAnsi="宋体" w:cs="宋体"/>
          <w:b/>
          <w:bCs/>
          <w:sz w:val="24"/>
          <w:highlight w:val="none"/>
        </w:rPr>
        <w:t>5套（1套正本，4套副本，附电子版，电子版是以光盘、U盘或硬盘等移动存储介质提交的加盖公章的PDF电子投标文件）</w:t>
      </w:r>
      <w:r>
        <w:rPr>
          <w:rFonts w:hint="eastAsia" w:ascii="宋体" w:hAnsi="宋体" w:cs="宋体"/>
          <w:sz w:val="24"/>
          <w:highlight w:val="none"/>
        </w:rPr>
        <w:t>完备的资料进行投标，副本可以是正本的复印件。</w:t>
      </w:r>
    </w:p>
    <w:p>
      <w:pPr>
        <w:spacing w:line="360" w:lineRule="auto"/>
        <w:ind w:firstLine="482" w:firstLineChars="200"/>
        <w:rPr>
          <w:highlight w:val="none"/>
        </w:rPr>
      </w:pPr>
      <w:r>
        <w:rPr>
          <w:rFonts w:hint="eastAsia" w:ascii="宋体" w:hAnsi="宋体" w:cs="宋体"/>
          <w:b/>
          <w:bCs/>
          <w:color w:val="FF0000"/>
          <w:sz w:val="24"/>
          <w:highlight w:val="none"/>
        </w:rPr>
        <w:t>注：投标文件需根据目录内容编写页码，正本不得活页装订。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5、响应文件要包括如下内容：</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价格部分；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商务部分；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技术部分。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6、项目的报价要求。</w:t>
      </w:r>
      <w:r>
        <w:rPr>
          <w:rFonts w:hint="eastAsia" w:ascii="宋体" w:hAnsi="宋体" w:cs="宋体"/>
          <w:kern w:val="0"/>
          <w:sz w:val="24"/>
          <w:szCs w:val="20"/>
          <w:highlight w:val="none"/>
        </w:rPr>
        <w:t>本次投标为总价包干，投标报价包括了投标人完成本招标项目而发生的全部费用</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含税</w:t>
      </w:r>
      <w:r>
        <w:rPr>
          <w:rFonts w:hint="eastAsia" w:ascii="宋体" w:hAnsi="宋体" w:cs="宋体"/>
          <w:kern w:val="0"/>
          <w:sz w:val="24"/>
          <w:szCs w:val="20"/>
          <w:highlight w:val="none"/>
          <w:lang w:eastAsia="zh-CN"/>
        </w:rPr>
        <w:t>）。</w:t>
      </w:r>
      <w:r>
        <w:rPr>
          <w:rFonts w:hint="eastAsia" w:ascii="宋体" w:hAnsi="宋体" w:cs="宋体"/>
          <w:sz w:val="24"/>
          <w:highlight w:val="none"/>
        </w:rPr>
        <w:t>一经中标，投标报价总价作为中标单位与采购人</w:t>
      </w:r>
      <w:r>
        <w:rPr>
          <w:rFonts w:hint="eastAsia" w:ascii="宋体" w:hAnsi="宋体" w:cs="宋体"/>
          <w:sz w:val="24"/>
          <w:highlight w:val="none"/>
          <w:lang w:eastAsia="zh-CN"/>
        </w:rPr>
        <w:t>签订</w:t>
      </w:r>
      <w:r>
        <w:rPr>
          <w:rFonts w:hint="eastAsia" w:ascii="宋体" w:hAnsi="宋体" w:cs="宋体"/>
          <w:sz w:val="24"/>
          <w:highlight w:val="none"/>
        </w:rPr>
        <w:t>的合同金额，合同期限内不做调整。</w:t>
      </w:r>
    </w:p>
    <w:p>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7、</w:t>
      </w:r>
      <w:r>
        <w:rPr>
          <w:rFonts w:hint="eastAsia" w:ascii="宋体" w:hAnsi="宋体" w:cs="宋体"/>
          <w:bCs/>
          <w:sz w:val="24"/>
          <w:highlight w:val="none"/>
        </w:rPr>
        <w:t>采购</w:t>
      </w:r>
      <w:r>
        <w:rPr>
          <w:rFonts w:ascii="宋体" w:hAnsi="宋体" w:cs="宋体"/>
          <w:sz w:val="24"/>
          <w:highlight w:val="none"/>
        </w:rPr>
        <w:t>单位</w:t>
      </w:r>
      <w:r>
        <w:rPr>
          <w:rFonts w:hint="eastAsia" w:ascii="宋体" w:hAnsi="宋体" w:cs="宋体"/>
          <w:bCs/>
          <w:sz w:val="24"/>
          <w:highlight w:val="none"/>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8、如采购</w:t>
      </w:r>
      <w:r>
        <w:rPr>
          <w:rFonts w:ascii="宋体" w:hAnsi="宋体" w:cs="宋体"/>
          <w:sz w:val="24"/>
          <w:highlight w:val="none"/>
        </w:rPr>
        <w:t>单位</w:t>
      </w:r>
      <w:r>
        <w:rPr>
          <w:rFonts w:hint="eastAsia" w:ascii="宋体" w:hAnsi="宋体" w:cs="宋体"/>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9、采购</w:t>
      </w:r>
      <w:r>
        <w:rPr>
          <w:rFonts w:ascii="宋体" w:hAnsi="宋体" w:cs="宋体"/>
          <w:sz w:val="24"/>
          <w:highlight w:val="none"/>
        </w:rPr>
        <w:t>单位</w:t>
      </w:r>
      <w:r>
        <w:rPr>
          <w:rFonts w:hint="eastAsia" w:ascii="宋体" w:hAnsi="宋体" w:cs="宋体"/>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10、本次采购凡涉及知识产权问题，由项目供应商负责。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11、采购</w:t>
      </w:r>
      <w:r>
        <w:rPr>
          <w:rFonts w:ascii="宋体" w:hAnsi="宋体" w:cs="宋体"/>
          <w:sz w:val="24"/>
          <w:highlight w:val="none"/>
        </w:rPr>
        <w:t>单位</w:t>
      </w:r>
      <w:r>
        <w:rPr>
          <w:rFonts w:hint="eastAsia" w:ascii="宋体" w:hAnsi="宋体" w:cs="宋体"/>
          <w:sz w:val="24"/>
          <w:highlight w:val="none"/>
        </w:rPr>
        <w:t>将组成评审委员会，评审工作由评审委员会独立负责。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12、供应商应在规定的时间内现场递交</w:t>
      </w:r>
      <w:r>
        <w:rPr>
          <w:rFonts w:hint="eastAsia" w:ascii="宋体" w:hAnsi="宋体" w:cs="宋体"/>
          <w:sz w:val="24"/>
          <w:highlight w:val="none"/>
          <w:lang w:val="en-US" w:eastAsia="zh-CN"/>
        </w:rPr>
        <w:t>或邮寄</w:t>
      </w:r>
      <w:r>
        <w:rPr>
          <w:rFonts w:hint="eastAsia" w:ascii="宋体" w:hAnsi="宋体" w:cs="宋体"/>
          <w:sz w:val="24"/>
          <w:highlight w:val="none"/>
        </w:rPr>
        <w:t>投标文件。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13、采用综合评分法的情况：评审委员会将分别对供应商递交的投标文件进行评审。</w:t>
      </w:r>
    </w:p>
    <w:p>
      <w:pPr>
        <w:pStyle w:val="30"/>
        <w:numPr>
          <w:ilvl w:val="1"/>
          <w:numId w:val="5"/>
        </w:numPr>
        <w:snapToGrid w:val="0"/>
        <w:spacing w:line="360" w:lineRule="auto"/>
        <w:ind w:firstLineChars="0"/>
        <w:rPr>
          <w:rFonts w:ascii="宋体" w:hAnsi="宋体" w:cs="宋体"/>
          <w:sz w:val="24"/>
          <w:highlight w:val="none"/>
        </w:rPr>
      </w:pPr>
      <w:r>
        <w:rPr>
          <w:rFonts w:hint="eastAsia" w:ascii="宋体" w:hAnsi="宋体" w:cs="宋体"/>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highlight w:val="none"/>
        </w:rPr>
        <w:t>第一</w:t>
      </w:r>
      <w:r>
        <w:rPr>
          <w:rFonts w:hint="eastAsia" w:ascii="宋体" w:hAnsi="宋体" w:cs="宋体"/>
          <w:kern w:val="2"/>
          <w:sz w:val="24"/>
          <w:szCs w:val="24"/>
          <w:highlight w:val="none"/>
        </w:rPr>
        <w:t>中标候选人；</w:t>
      </w:r>
    </w:p>
    <w:p>
      <w:pPr>
        <w:pStyle w:val="30"/>
        <w:numPr>
          <w:ilvl w:val="1"/>
          <w:numId w:val="5"/>
        </w:numPr>
        <w:snapToGrid w:val="0"/>
        <w:spacing w:line="360" w:lineRule="auto"/>
        <w:ind w:firstLineChars="0"/>
        <w:rPr>
          <w:rFonts w:ascii="宋体" w:hAnsi="宋体" w:cs="宋体"/>
          <w:sz w:val="24"/>
          <w:highlight w:val="none"/>
        </w:rPr>
      </w:pPr>
      <w:r>
        <w:rPr>
          <w:rFonts w:hint="eastAsia" w:ascii="宋体" w:hAnsi="宋体" w:cs="宋体"/>
          <w:sz w:val="24"/>
          <w:highlight w:val="none"/>
        </w:rPr>
        <w:t>如果二个及以上供应商的综合评分相同时，取投标价格低者为第一中标候选人；</w:t>
      </w:r>
    </w:p>
    <w:p>
      <w:pPr>
        <w:numPr>
          <w:ilvl w:val="1"/>
          <w:numId w:val="5"/>
        </w:numPr>
        <w:snapToGrid w:val="0"/>
        <w:spacing w:line="360" w:lineRule="auto"/>
        <w:rPr>
          <w:rFonts w:ascii="宋体" w:hAnsi="宋体" w:cs="宋体"/>
          <w:sz w:val="24"/>
          <w:highlight w:val="none"/>
        </w:rPr>
      </w:pPr>
      <w:r>
        <w:rPr>
          <w:rFonts w:hint="eastAsia" w:ascii="宋体" w:hAnsi="宋体" w:cs="宋体"/>
          <w:sz w:val="24"/>
          <w:highlight w:val="none"/>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14、采用谈判的情况：如参与投标且符合招标文件要求的供应商仅有1家</w:t>
      </w:r>
      <w:r>
        <w:rPr>
          <w:rFonts w:hint="eastAsia" w:ascii="宋体" w:hAnsi="宋体" w:cs="宋体"/>
          <w:sz w:val="24"/>
          <w:highlight w:val="none"/>
          <w:lang w:eastAsia="zh-CN"/>
        </w:rPr>
        <w:t>，</w:t>
      </w:r>
      <w:r>
        <w:rPr>
          <w:rFonts w:hint="eastAsia" w:ascii="宋体" w:hAnsi="宋体" w:cs="宋体"/>
          <w:sz w:val="24"/>
          <w:highlight w:val="none"/>
        </w:rPr>
        <w:t>评审委员会将与投标供应商进行谈判。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供应商在谈判时由项目负责人与评审委员会进行谈判；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原则上成交价不超过最初报价的95%。</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15、供应商不得将本项目转包给其他人。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16、所有的评审/谈判内容都必须保密。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17、招标代理服务收费：</w:t>
      </w:r>
    </w:p>
    <w:p>
      <w:pPr>
        <w:snapToGrid w:val="0"/>
        <w:spacing w:line="360" w:lineRule="auto"/>
        <w:jc w:val="left"/>
        <w:rPr>
          <w:rFonts w:ascii="宋体" w:hAnsi="宋体" w:cs="宋体"/>
          <w:sz w:val="24"/>
          <w:highlight w:val="none"/>
        </w:rPr>
      </w:pPr>
      <w:r>
        <w:rPr>
          <w:rFonts w:hint="eastAsia" w:ascii="宋体" w:hAnsi="宋体" w:cs="宋体"/>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highlight w:val="none"/>
        </w:rPr>
      </w:pPr>
    </w:p>
    <w:p>
      <w:pPr>
        <w:adjustRightInd w:val="0"/>
        <w:snapToGrid w:val="0"/>
        <w:spacing w:line="360" w:lineRule="auto"/>
        <w:ind w:right="26"/>
        <w:jc w:val="left"/>
        <w:rPr>
          <w:rFonts w:ascii="宋体" w:hAnsi="宋体" w:cs="宋体"/>
          <w:sz w:val="24"/>
          <w:highlight w:val="none"/>
        </w:rPr>
      </w:pPr>
      <w:r>
        <w:rPr>
          <w:rFonts w:hint="eastAsia" w:ascii="宋体" w:hAnsi="宋体" w:cs="宋体"/>
          <w:sz w:val="24"/>
          <w:highlight w:val="none"/>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r>
    </w:tbl>
    <w:p>
      <w:pPr>
        <w:numPr>
          <w:ilvl w:val="-1"/>
          <w:numId w:val="0"/>
        </w:numPr>
        <w:spacing w:line="240" w:lineRule="auto"/>
        <w:jc w:val="left"/>
        <w:outlineLvl w:val="9"/>
        <w:rPr>
          <w:rFonts w:ascii="宋体" w:hAnsi="宋体" w:cs="宋体"/>
          <w:b/>
          <w:bCs/>
          <w:sz w:val="24"/>
          <w:highlight w:val="none"/>
        </w:rPr>
      </w:pPr>
      <w:r>
        <w:rPr>
          <w:rFonts w:hint="eastAsia" w:ascii="宋体" w:hAnsi="宋体" w:cs="宋体"/>
          <w:b/>
          <w:bCs/>
          <w:sz w:val="24"/>
          <w:highlight w:val="none"/>
        </w:rPr>
        <w:br w:type="page"/>
      </w: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9" w:name="_Toc18857"/>
      <w:r>
        <w:rPr>
          <w:rFonts w:hint="eastAsia" w:ascii="宋体" w:hAnsi="宋体" w:cs="宋体"/>
          <w:b/>
          <w:bCs/>
          <w:sz w:val="24"/>
          <w:highlight w:val="none"/>
        </w:rPr>
        <w:t>评标程序</w:t>
      </w:r>
      <w:bookmarkEnd w:id="9"/>
    </w:p>
    <w:p>
      <w:pPr>
        <w:numPr>
          <w:ilvl w:val="0"/>
          <w:numId w:val="7"/>
        </w:numPr>
        <w:spacing w:line="360" w:lineRule="auto"/>
        <w:ind w:firstLine="480" w:firstLineChars="200"/>
        <w:rPr>
          <w:rFonts w:ascii="宋体" w:hAnsi="宋体" w:cs="宋体"/>
          <w:sz w:val="24"/>
          <w:highlight w:val="none"/>
        </w:rPr>
      </w:pPr>
      <w:r>
        <w:rPr>
          <w:rFonts w:hint="eastAsia" w:ascii="宋体" w:hAnsi="宋体" w:cs="宋体"/>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二、参加会议人员：项目负责代表、评审委员会成员、监督部门代表</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三、会议主持人：</w:t>
      </w:r>
      <w:r>
        <w:rPr>
          <w:rFonts w:hint="eastAsia" w:ascii="宋体" w:hAnsi="宋体" w:cs="宋体"/>
          <w:kern w:val="2"/>
          <w:sz w:val="24"/>
          <w:highlight w:val="none"/>
        </w:rPr>
        <w:t>开标评标会议由招标代理机构主持</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四、投标截止时间：202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w:t>
      </w:r>
      <w:r>
        <w:rPr>
          <w:rFonts w:hint="eastAsia" w:ascii="宋体" w:hAnsi="宋体" w:cs="宋体"/>
          <w:sz w:val="24"/>
          <w:highlight w:val="none"/>
          <w:lang w:val="en-US" w:eastAsia="zh-CN"/>
        </w:rPr>
        <w:t>10</w:t>
      </w:r>
      <w:r>
        <w:rPr>
          <w:rFonts w:hint="eastAsia" w:ascii="宋体" w:hAnsi="宋体" w:cs="宋体"/>
          <w:sz w:val="24"/>
          <w:highlight w:val="none"/>
        </w:rPr>
        <w:t>:00时（北京时间）。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午1</w:t>
      </w:r>
      <w:r>
        <w:rPr>
          <w:rFonts w:hint="eastAsia" w:ascii="宋体" w:hAnsi="宋体" w:cs="宋体"/>
          <w:sz w:val="24"/>
          <w:highlight w:val="none"/>
          <w:lang w:val="en-US" w:eastAsia="zh-CN"/>
        </w:rPr>
        <w:t>0</w:t>
      </w:r>
      <w:r>
        <w:rPr>
          <w:rFonts w:hint="eastAsia" w:ascii="宋体" w:hAnsi="宋体" w:cs="宋体"/>
          <w:sz w:val="24"/>
          <w:highlight w:val="none"/>
        </w:rPr>
        <w:t>:00时（北京时间）前送达（现场递交</w:t>
      </w:r>
      <w:r>
        <w:rPr>
          <w:rFonts w:hint="eastAsia" w:ascii="宋体" w:hAnsi="宋体" w:cs="宋体"/>
          <w:sz w:val="24"/>
          <w:highlight w:val="none"/>
          <w:lang w:val="en-US" w:eastAsia="zh-CN"/>
        </w:rPr>
        <w:t>或邮寄至</w:t>
      </w:r>
      <w:r>
        <w:rPr>
          <w:rFonts w:hint="eastAsia" w:ascii="宋体" w:hAnsi="宋体" w:cs="宋体"/>
          <w:sz w:val="24"/>
          <w:highlight w:val="none"/>
        </w:rPr>
        <w:t>前海大厦T1栋</w:t>
      </w:r>
      <w:r>
        <w:rPr>
          <w:rFonts w:hint="eastAsia" w:ascii="宋体" w:hAnsi="宋体" w:cs="宋体"/>
          <w:sz w:val="24"/>
          <w:highlight w:val="none"/>
          <w:lang w:val="en-US" w:eastAsia="zh-CN"/>
        </w:rPr>
        <w:t>2402</w:t>
      </w:r>
      <w:r>
        <w:rPr>
          <w:rFonts w:hint="eastAsia" w:ascii="宋体" w:hAnsi="宋体" w:cs="宋体"/>
          <w:sz w:val="24"/>
          <w:highlight w:val="none"/>
        </w:rPr>
        <w:t>室）。截标后不再接收任何投标文件。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六、开标：招标代理机构组织开标会。投标</w:t>
      </w:r>
      <w:r>
        <w:rPr>
          <w:rFonts w:ascii="宋体" w:hAnsi="宋体" w:cs="宋体"/>
          <w:sz w:val="24"/>
          <w:highlight w:val="none"/>
        </w:rPr>
        <w:t>单位</w:t>
      </w:r>
      <w:r>
        <w:rPr>
          <w:rFonts w:hint="eastAsia" w:ascii="宋体" w:hAnsi="宋体" w:cs="宋体"/>
          <w:sz w:val="24"/>
          <w:highlight w:val="none"/>
          <w:lang w:val="en-US" w:eastAsia="zh-CN"/>
        </w:rPr>
        <w:t>如需</w:t>
      </w:r>
      <w:r>
        <w:rPr>
          <w:rFonts w:hint="eastAsia" w:ascii="宋体" w:hAnsi="宋体" w:cs="宋体"/>
          <w:sz w:val="24"/>
          <w:highlight w:val="none"/>
        </w:rPr>
        <w:t>委派代表参加，参加开标的代表应签名报到以证明出席。开标时，招标代理机构将当众宣读投标</w:t>
      </w:r>
      <w:r>
        <w:rPr>
          <w:rFonts w:ascii="宋体" w:hAnsi="宋体" w:cs="宋体"/>
          <w:sz w:val="24"/>
          <w:highlight w:val="none"/>
        </w:rPr>
        <w:t>单位</w:t>
      </w:r>
      <w:r>
        <w:rPr>
          <w:rFonts w:hint="eastAsia" w:ascii="宋体" w:hAnsi="宋体" w:cs="宋体"/>
          <w:sz w:val="24"/>
          <w:highlight w:val="none"/>
        </w:rPr>
        <w:t>名称、开标一览表（以招标文件规定的开标一览表内容为准）并做开标记录。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八、评审委员会审查供应商的投标文件，工作人员记录审查的情况。</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九、评审委员会按以下工作程序进行：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3、根据参与投标且符合招标文件要求的供应商数量情况，确定本项目的评审方法。</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4、采用综合评分法的情况：评审委员会将分别对供应商递交的投标文件进行评审。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4.2如果二个及以上供应商的综合评分相同时，取投标价格低者为第一中标候选人。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4.3如果二个及以上供应商的综合评分相同，且投标价格也相同时，取技术部分得分高者为第一中标候选人。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5、采用谈判的情况：如参与投标且符合招标文件要求的供应商仅有一家，评审委员会将与投标供应商进行谈判。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5.1供应商在谈判时由项目负责人与评审委员会进行谈判；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5.2原则上成交价不超过最初报价的95%。</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6、评审委员会按照本项目招标文件中规定的评标方法确定中标供应商。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十、根据本次采购的结果，10个工作日内与中标供应商签订合同。</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widowControl/>
        <w:jc w:val="left"/>
        <w:rPr>
          <w:rFonts w:ascii="宋体" w:hAnsi="宋体" w:cs="宋体"/>
          <w:sz w:val="24"/>
          <w:highlight w:val="none"/>
        </w:rPr>
      </w:pPr>
      <w:r>
        <w:rPr>
          <w:rFonts w:ascii="宋体" w:hAnsi="宋体" w:cs="宋体"/>
          <w:sz w:val="24"/>
          <w:highlight w:val="none"/>
        </w:rPr>
        <w:br w:type="page"/>
      </w:r>
    </w:p>
    <w:p>
      <w:pPr>
        <w:spacing w:line="360" w:lineRule="auto"/>
        <w:rPr>
          <w:rFonts w:ascii="宋体" w:hAnsi="宋体" w:cs="宋体"/>
          <w:sz w:val="24"/>
          <w:highlight w:val="none"/>
        </w:r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10" w:name="_Toc1635"/>
      <w:r>
        <w:rPr>
          <w:rFonts w:hint="eastAsia" w:ascii="宋体" w:hAnsi="宋体" w:cs="宋体"/>
          <w:b/>
          <w:bCs/>
          <w:sz w:val="24"/>
          <w:highlight w:val="none"/>
        </w:rPr>
        <w:t>合同格式及合同条款</w:t>
      </w:r>
      <w:bookmarkEnd w:id="10"/>
    </w:p>
    <w:p>
      <w:pPr>
        <w:spacing w:line="360" w:lineRule="auto"/>
        <w:ind w:firstLine="470" w:firstLineChars="196"/>
        <w:jc w:val="center"/>
        <w:rPr>
          <w:rFonts w:ascii="宋体" w:hAnsi="宋体" w:cs="宋体"/>
          <w:sz w:val="24"/>
          <w:highlight w:val="none"/>
        </w:rPr>
      </w:pPr>
      <w:bookmarkStart w:id="11" w:name="_Toc73521592"/>
      <w:bookmarkStart w:id="12" w:name="_Toc100052414"/>
      <w:bookmarkStart w:id="13" w:name="_Toc73518163"/>
      <w:bookmarkStart w:id="14" w:name="_Toc101074886"/>
      <w:bookmarkStart w:id="15" w:name="_Toc84303603"/>
      <w:bookmarkStart w:id="16" w:name="_Toc73517685"/>
      <w:bookmarkStart w:id="17" w:name="_Toc73521680"/>
    </w:p>
    <w:bookmarkEnd w:id="11"/>
    <w:bookmarkEnd w:id="12"/>
    <w:bookmarkEnd w:id="13"/>
    <w:bookmarkEnd w:id="14"/>
    <w:bookmarkEnd w:id="15"/>
    <w:bookmarkEnd w:id="16"/>
    <w:bookmarkEnd w:id="17"/>
    <w:p>
      <w:pPr>
        <w:pStyle w:val="30"/>
        <w:spacing w:line="360" w:lineRule="auto"/>
        <w:ind w:right="1470"/>
        <w:jc w:val="left"/>
        <w:rPr>
          <w:rFonts w:ascii="宋体" w:hAnsi="宋体" w:cs="宋体"/>
          <w:b/>
          <w:color w:val="auto"/>
          <w:sz w:val="24"/>
          <w:szCs w:val="24"/>
        </w:rPr>
      </w:pPr>
      <w:r>
        <w:rPr>
          <w:rFonts w:hint="eastAsia" w:ascii="宋体" w:hAnsi="宋体" w:cs="宋体"/>
          <w:b/>
          <w:color w:val="auto"/>
          <w:sz w:val="24"/>
          <w:szCs w:val="24"/>
        </w:rPr>
        <w:t xml:space="preserve">合同编号：            </w:t>
      </w:r>
    </w:p>
    <w:p>
      <w:pPr>
        <w:pStyle w:val="30"/>
        <w:spacing w:line="360" w:lineRule="auto"/>
        <w:ind w:left="0" w:leftChars="0" w:right="1470" w:firstLine="482" w:firstLineChars="200"/>
        <w:jc w:val="both"/>
        <w:rPr>
          <w:rFonts w:ascii="宋体" w:hAnsi="宋体" w:cs="宋体"/>
          <w:b/>
          <w:color w:val="auto"/>
          <w:sz w:val="24"/>
          <w:szCs w:val="24"/>
        </w:rPr>
      </w:pPr>
      <w:r>
        <w:rPr>
          <w:rFonts w:hint="eastAsia" w:ascii="宋体" w:hAnsi="宋体" w:cs="宋体"/>
          <w:b/>
          <w:color w:val="auto"/>
          <w:sz w:val="24"/>
          <w:szCs w:val="24"/>
        </w:rPr>
        <w:t xml:space="preserve">           </w:t>
      </w:r>
    </w:p>
    <w:p>
      <w:pPr>
        <w:pStyle w:val="30"/>
        <w:spacing w:line="360" w:lineRule="auto"/>
        <w:ind w:left="1470" w:right="1470" w:firstLine="482"/>
        <w:jc w:val="center"/>
        <w:rPr>
          <w:rFonts w:ascii="宋体" w:hAnsi="宋体" w:cs="宋体"/>
          <w:b/>
          <w:color w:val="auto"/>
          <w:sz w:val="24"/>
          <w:szCs w:val="24"/>
        </w:rPr>
      </w:pPr>
    </w:p>
    <w:p>
      <w:pPr>
        <w:pStyle w:val="30"/>
        <w:spacing w:line="360" w:lineRule="auto"/>
        <w:ind w:left="1470" w:right="1470" w:firstLine="482"/>
        <w:rPr>
          <w:rFonts w:ascii="宋体" w:hAnsi="宋体" w:cs="宋体"/>
          <w:b/>
          <w:color w:val="auto"/>
          <w:sz w:val="24"/>
          <w:szCs w:val="24"/>
        </w:rPr>
      </w:pPr>
      <w:r>
        <w:rPr>
          <w:rFonts w:hint="eastAsia" w:ascii="宋体" w:hAnsi="宋体" w:cs="宋体"/>
          <w:b/>
          <w:color w:val="auto"/>
          <w:sz w:val="24"/>
          <w:szCs w:val="24"/>
        </w:rPr>
        <w:t xml:space="preserve"> </w:t>
      </w:r>
    </w:p>
    <w:p>
      <w:pPr>
        <w:pStyle w:val="30"/>
        <w:spacing w:line="360" w:lineRule="auto"/>
        <w:ind w:left="1470" w:right="1470" w:firstLine="482"/>
        <w:rPr>
          <w:rFonts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outlineLvl w:val="1"/>
        <w:rPr>
          <w:rFonts w:ascii="宋体" w:hAnsi="宋体" w:cs="宋体"/>
          <w:b/>
          <w:color w:val="auto"/>
          <w:sz w:val="44"/>
          <w:szCs w:val="44"/>
        </w:rPr>
      </w:pPr>
      <w:r>
        <w:rPr>
          <w:rFonts w:hint="eastAsia" w:ascii="宋体" w:hAnsi="宋体" w:cs="宋体"/>
          <w:b/>
          <w:color w:val="auto"/>
          <w:sz w:val="44"/>
          <w:szCs w:val="44"/>
          <w:lang w:eastAsia="zh-CN"/>
        </w:rPr>
        <w:t>前海-香港跨境交通服务提升专项研究</w:t>
      </w:r>
      <w:r>
        <w:rPr>
          <w:rFonts w:hint="eastAsia" w:ascii="宋体" w:hAnsi="宋体" w:cs="宋体"/>
          <w:b/>
          <w:color w:val="auto"/>
          <w:sz w:val="44"/>
          <w:szCs w:val="44"/>
        </w:rPr>
        <w:t>合同</w:t>
      </w:r>
    </w:p>
    <w:p>
      <w:pPr>
        <w:spacing w:line="360" w:lineRule="auto"/>
        <w:rPr>
          <w:rFonts w:ascii="宋体" w:hAnsi="宋体" w:cs="宋体"/>
          <w:color w:val="auto"/>
          <w:sz w:val="24"/>
        </w:rPr>
      </w:pPr>
      <w:r>
        <w:rPr>
          <w:rFonts w:hint="eastAsia" w:ascii="宋体" w:hAnsi="宋体" w:cs="宋体"/>
          <w:color w:val="auto"/>
          <w:sz w:val="24"/>
        </w:rPr>
        <w:t xml:space="preserve"> </w:t>
      </w:r>
    </w:p>
    <w:p>
      <w:pPr>
        <w:pStyle w:val="30"/>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pStyle w:val="30"/>
        <w:spacing w:line="360" w:lineRule="auto"/>
        <w:ind w:left="1470" w:right="1470" w:firstLine="480"/>
        <w:rPr>
          <w:rFonts w:hint="eastAsia" w:ascii="宋体" w:hAnsi="宋体" w:cs="宋体"/>
          <w:color w:val="auto"/>
          <w:sz w:val="24"/>
          <w:szCs w:val="24"/>
        </w:rPr>
      </w:pPr>
    </w:p>
    <w:p>
      <w:pPr>
        <w:pStyle w:val="30"/>
        <w:spacing w:line="360" w:lineRule="auto"/>
        <w:ind w:left="1470" w:right="1470" w:firstLine="480"/>
        <w:rPr>
          <w:rFonts w:hint="eastAsia" w:ascii="宋体" w:hAnsi="宋体" w:cs="宋体"/>
          <w:color w:val="auto"/>
          <w:sz w:val="24"/>
          <w:szCs w:val="24"/>
        </w:rPr>
      </w:pPr>
    </w:p>
    <w:p>
      <w:pPr>
        <w:pStyle w:val="30"/>
        <w:spacing w:line="360" w:lineRule="auto"/>
        <w:ind w:left="1470" w:right="1470" w:firstLine="480"/>
        <w:rPr>
          <w:rFonts w:hint="eastAsia" w:ascii="宋体" w:hAnsi="宋体" w:cs="宋体"/>
          <w:color w:val="auto"/>
          <w:sz w:val="24"/>
          <w:szCs w:val="24"/>
        </w:rPr>
      </w:pPr>
    </w:p>
    <w:p>
      <w:pPr>
        <w:pStyle w:val="30"/>
        <w:spacing w:line="360" w:lineRule="auto"/>
        <w:ind w:left="1470" w:right="1470" w:firstLine="480"/>
        <w:rPr>
          <w:rFonts w:hint="eastAsia" w:ascii="宋体" w:hAnsi="宋体" w:cs="宋体"/>
          <w:color w:val="auto"/>
          <w:sz w:val="24"/>
          <w:szCs w:val="24"/>
        </w:rPr>
      </w:pPr>
    </w:p>
    <w:p>
      <w:pPr>
        <w:pStyle w:val="30"/>
        <w:spacing w:line="360" w:lineRule="auto"/>
        <w:ind w:left="1470" w:right="1470" w:firstLine="480"/>
        <w:rPr>
          <w:rFonts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ascii="宋体" w:hAnsi="宋体" w:cs="宋体"/>
          <w:b/>
          <w:color w:val="auto"/>
          <w:sz w:val="24"/>
        </w:rPr>
      </w:pPr>
      <w:r>
        <w:rPr>
          <w:rFonts w:hint="eastAsia" w:ascii="宋体" w:hAnsi="宋体" w:cs="宋体"/>
          <w:b/>
          <w:color w:val="auto"/>
          <w:sz w:val="24"/>
        </w:rPr>
        <w:t xml:space="preserve">  </w:t>
      </w:r>
    </w:p>
    <w:p>
      <w:pPr>
        <w:spacing w:line="360" w:lineRule="auto"/>
        <w:outlineLvl w:val="1"/>
        <w:rPr>
          <w:rFonts w:ascii="宋体" w:hAnsi="宋体" w:cs="宋体"/>
          <w:color w:val="auto"/>
          <w:sz w:val="30"/>
          <w:szCs w:val="30"/>
          <w:u w:val="single"/>
        </w:rPr>
      </w:pPr>
      <w:r>
        <w:rPr>
          <w:rFonts w:hint="eastAsia" w:ascii="宋体" w:hAnsi="宋体" w:cs="宋体"/>
          <w:color w:val="auto"/>
          <w:sz w:val="30"/>
          <w:szCs w:val="30"/>
          <w:lang w:val="en-US" w:eastAsia="zh-CN"/>
        </w:rPr>
        <w:t>甲方</w:t>
      </w:r>
      <w:r>
        <w:rPr>
          <w:rFonts w:hint="eastAsia" w:ascii="宋体" w:hAnsi="宋体" w:cs="宋体"/>
          <w:color w:val="auto"/>
          <w:sz w:val="30"/>
          <w:szCs w:val="30"/>
        </w:rPr>
        <w:t>（</w:t>
      </w:r>
      <w:r>
        <w:rPr>
          <w:rFonts w:hint="eastAsia" w:ascii="宋体" w:hAnsi="宋体" w:cs="宋体"/>
          <w:color w:val="auto"/>
          <w:sz w:val="30"/>
          <w:szCs w:val="30"/>
          <w:lang w:val="en-US" w:eastAsia="zh-CN"/>
        </w:rPr>
        <w:t>采购单位</w:t>
      </w:r>
      <w:r>
        <w:rPr>
          <w:rFonts w:hint="eastAsia" w:ascii="宋体" w:hAnsi="宋体" w:cs="宋体"/>
          <w:color w:val="auto"/>
          <w:sz w:val="30"/>
          <w:szCs w:val="30"/>
        </w:rPr>
        <w:t>）：</w:t>
      </w:r>
      <w:r>
        <w:rPr>
          <w:rFonts w:hint="eastAsia" w:ascii="宋体" w:hAnsi="宋体" w:cs="宋体"/>
          <w:color w:val="auto"/>
          <w:sz w:val="30"/>
          <w:szCs w:val="30"/>
          <w:u w:val="single"/>
        </w:rPr>
        <w:t xml:space="preserve">深圳市前海深港现代服务业合作区管理局  </w:t>
      </w:r>
    </w:p>
    <w:p>
      <w:pPr>
        <w:spacing w:line="360" w:lineRule="auto"/>
        <w:outlineLvl w:val="1"/>
        <w:rPr>
          <w:rFonts w:ascii="宋体" w:hAnsi="宋体" w:cs="宋体"/>
          <w:color w:val="auto"/>
          <w:sz w:val="30"/>
          <w:szCs w:val="30"/>
          <w:u w:val="single"/>
        </w:rPr>
      </w:pPr>
      <w:r>
        <w:rPr>
          <w:rFonts w:hint="eastAsia" w:ascii="宋体" w:hAnsi="宋体" w:cs="宋体"/>
          <w:color w:val="auto"/>
          <w:sz w:val="30"/>
          <w:szCs w:val="30"/>
          <w:lang w:val="en-US" w:eastAsia="zh-CN"/>
        </w:rPr>
        <w:t>乙</w:t>
      </w:r>
      <w:r>
        <w:rPr>
          <w:rFonts w:hint="eastAsia" w:ascii="宋体" w:hAnsi="宋体" w:cs="宋体"/>
          <w:color w:val="auto"/>
          <w:sz w:val="30"/>
          <w:szCs w:val="30"/>
        </w:rPr>
        <w:t>方（</w:t>
      </w:r>
      <w:r>
        <w:rPr>
          <w:rFonts w:hint="eastAsia" w:ascii="宋体" w:hAnsi="宋体" w:cs="宋体"/>
          <w:color w:val="auto"/>
          <w:sz w:val="30"/>
          <w:szCs w:val="30"/>
          <w:lang w:val="en-US" w:eastAsia="zh-CN"/>
        </w:rPr>
        <w:t>服务单位</w:t>
      </w:r>
      <w:r>
        <w:rPr>
          <w:rFonts w:hint="eastAsia" w:ascii="宋体" w:hAnsi="宋体" w:cs="宋体"/>
          <w:color w:val="auto"/>
          <w:sz w:val="30"/>
          <w:szCs w:val="30"/>
        </w:rPr>
        <w:t>）：</w:t>
      </w:r>
      <w:r>
        <w:rPr>
          <w:rFonts w:hint="eastAsia" w:ascii="宋体" w:hAnsi="宋体" w:cs="宋体"/>
          <w:color w:val="auto"/>
          <w:sz w:val="30"/>
          <w:szCs w:val="30"/>
          <w:u w:val="single"/>
        </w:rPr>
        <w:t xml:space="preserve">                                        </w:t>
      </w:r>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 xml:space="preserve"> </w:t>
      </w:r>
    </w:p>
    <w:p>
      <w:pPr>
        <w:spacing w:line="360" w:lineRule="auto"/>
        <w:jc w:val="center"/>
        <w:rPr>
          <w:rFonts w:ascii="宋体" w:hAnsi="宋体" w:cs="宋体"/>
          <w:color w:val="auto"/>
          <w:sz w:val="24"/>
        </w:rPr>
      </w:pPr>
    </w:p>
    <w:p>
      <w:pPr>
        <w:spacing w:line="360" w:lineRule="auto"/>
        <w:jc w:val="center"/>
        <w:outlineLvl w:val="1"/>
        <w:rPr>
          <w:rFonts w:ascii="宋体" w:hAnsi="宋体" w:cs="宋体"/>
          <w:color w:val="auto"/>
          <w:sz w:val="30"/>
          <w:szCs w:val="30"/>
        </w:rPr>
      </w:pPr>
      <w:r>
        <w:rPr>
          <w:rFonts w:hint="eastAsia" w:ascii="宋体" w:hAnsi="宋体" w:cs="宋体"/>
          <w:color w:val="auto"/>
          <w:sz w:val="30"/>
          <w:szCs w:val="30"/>
          <w:lang w:val="en-US" w:eastAsia="zh-CN"/>
        </w:rPr>
        <w:t>合同日期：</w:t>
      </w:r>
      <w:r>
        <w:rPr>
          <w:rFonts w:hint="eastAsia" w:ascii="宋体" w:hAnsi="宋体" w:cs="宋体"/>
          <w:color w:val="auto"/>
          <w:sz w:val="30"/>
          <w:szCs w:val="30"/>
        </w:rPr>
        <w:t>二〇二</w:t>
      </w:r>
      <w:r>
        <w:rPr>
          <w:rFonts w:hint="eastAsia" w:ascii="宋体" w:hAnsi="宋体" w:cs="宋体"/>
          <w:color w:val="auto"/>
          <w:sz w:val="30"/>
          <w:szCs w:val="30"/>
          <w:lang w:val="en-US" w:eastAsia="zh-CN"/>
        </w:rPr>
        <w:t>五</w:t>
      </w:r>
      <w:r>
        <w:rPr>
          <w:rFonts w:hint="eastAsia" w:ascii="宋体" w:hAnsi="宋体" w:cs="宋体"/>
          <w:color w:val="auto"/>
          <w:sz w:val="30"/>
          <w:szCs w:val="30"/>
        </w:rPr>
        <w:t>年  月</w:t>
      </w:r>
    </w:p>
    <w:p>
      <w:pPr>
        <w:spacing w:line="360" w:lineRule="auto"/>
        <w:rPr>
          <w:rFonts w:hint="eastAsia" w:ascii="仿宋_GB2312" w:hAnsi="仿宋_GB2312" w:eastAsia="仿宋_GB2312" w:cs="仿宋_GB2312"/>
          <w:b w:val="0"/>
          <w:bCs w:val="0"/>
          <w:color w:val="auto"/>
          <w:sz w:val="24"/>
          <w:u w:val="none"/>
        </w:rPr>
      </w:pPr>
      <w:r>
        <w:rPr>
          <w:rFonts w:hint="eastAsia" w:ascii="宋体" w:hAnsi="宋体" w:cs="宋体"/>
          <w:b/>
          <w:bCs/>
          <w:color w:val="auto"/>
          <w:sz w:val="24"/>
        </w:rPr>
        <w:br w:type="page"/>
      </w:r>
      <w:r>
        <w:rPr>
          <w:rFonts w:hint="eastAsia" w:ascii="仿宋_GB2312" w:hAnsi="仿宋_GB2312" w:eastAsia="仿宋_GB2312" w:cs="仿宋_GB2312"/>
          <w:b w:val="0"/>
          <w:bCs w:val="0"/>
          <w:color w:val="auto"/>
          <w:sz w:val="24"/>
        </w:rPr>
        <w:t>甲方</w:t>
      </w:r>
      <w:r>
        <w:rPr>
          <w:rFonts w:hint="eastAsia" w:ascii="仿宋_GB2312" w:hAnsi="仿宋_GB2312" w:eastAsia="仿宋_GB2312" w:cs="仿宋_GB2312"/>
          <w:b w:val="0"/>
          <w:bCs w:val="0"/>
          <w:color w:val="auto"/>
          <w:sz w:val="24"/>
          <w:u w:val="none"/>
        </w:rPr>
        <w:t>： 深圳市前海深港现代服务业合作区管理局</w:t>
      </w:r>
    </w:p>
    <w:p>
      <w:pPr>
        <w:spacing w:line="360" w:lineRule="auto"/>
        <w:rPr>
          <w:rFonts w:hint="eastAsia" w:ascii="仿宋_GB2312" w:hAnsi="仿宋_GB2312" w:eastAsia="仿宋_GB2312" w:cs="仿宋_GB2312"/>
          <w:b w:val="0"/>
          <w:bCs w:val="0"/>
          <w:color w:val="auto"/>
          <w:sz w:val="24"/>
          <w:u w:val="none"/>
        </w:rPr>
      </w:pPr>
      <w:r>
        <w:rPr>
          <w:rFonts w:hint="eastAsia" w:ascii="仿宋_GB2312" w:hAnsi="仿宋_GB2312" w:eastAsia="仿宋_GB2312" w:cs="仿宋_GB2312"/>
          <w:b w:val="0"/>
          <w:bCs w:val="0"/>
          <w:color w:val="auto"/>
          <w:sz w:val="24"/>
          <w:u w:val="none"/>
        </w:rPr>
        <w:t>地址： 深圳市</w:t>
      </w:r>
      <w:r>
        <w:rPr>
          <w:rFonts w:hint="eastAsia" w:ascii="仿宋_GB2312" w:hAnsi="仿宋_GB2312" w:eastAsia="仿宋_GB2312" w:cs="仿宋_GB2312"/>
          <w:b w:val="0"/>
          <w:bCs w:val="0"/>
          <w:color w:val="auto"/>
          <w:sz w:val="24"/>
          <w:u w:val="none"/>
          <w:lang w:val="en-US" w:eastAsia="zh-CN"/>
        </w:rPr>
        <w:t>南山区南山街道</w:t>
      </w:r>
      <w:r>
        <w:rPr>
          <w:rFonts w:hint="eastAsia" w:ascii="仿宋_GB2312" w:hAnsi="仿宋_GB2312" w:eastAsia="仿宋_GB2312" w:cs="仿宋_GB2312"/>
          <w:b w:val="0"/>
          <w:bCs w:val="0"/>
          <w:color w:val="auto"/>
          <w:sz w:val="24"/>
          <w:u w:val="none"/>
        </w:rPr>
        <w:t>桂湾五路123号前海大厦T1栋</w:t>
      </w:r>
    </w:p>
    <w:p>
      <w:pPr>
        <w:spacing w:line="360" w:lineRule="auto"/>
        <w:rPr>
          <w:rFonts w:hint="eastAsia" w:ascii="仿宋_GB2312" w:hAnsi="仿宋_GB2312" w:eastAsia="仿宋_GB2312" w:cs="仿宋_GB2312"/>
          <w:b w:val="0"/>
          <w:bCs w:val="0"/>
          <w:color w:val="auto"/>
          <w:sz w:val="24"/>
          <w:u w:val="none"/>
          <w:lang w:val="en-US" w:eastAsia="zh-CN"/>
        </w:rPr>
      </w:pPr>
      <w:r>
        <w:rPr>
          <w:rFonts w:hint="eastAsia" w:ascii="仿宋_GB2312" w:hAnsi="仿宋_GB2312" w:eastAsia="仿宋_GB2312" w:cs="仿宋_GB2312"/>
          <w:b w:val="0"/>
          <w:bCs w:val="0"/>
          <w:color w:val="auto"/>
          <w:sz w:val="24"/>
          <w:u w:val="none"/>
        </w:rPr>
        <w:t xml:space="preserve">法定代表人： </w:t>
      </w:r>
      <w:r>
        <w:rPr>
          <w:rFonts w:hint="eastAsia" w:ascii="仿宋_GB2312" w:hAnsi="仿宋_GB2312" w:eastAsia="仿宋_GB2312" w:cs="仿宋_GB2312"/>
          <w:b w:val="0"/>
          <w:bCs w:val="0"/>
          <w:color w:val="auto"/>
          <w:sz w:val="24"/>
          <w:u w:val="none"/>
          <w:lang w:val="en-US" w:eastAsia="zh-CN"/>
        </w:rPr>
        <w:t>王守睿</w:t>
      </w:r>
    </w:p>
    <w:p>
      <w:pPr>
        <w:spacing w:line="360" w:lineRule="auto"/>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 xml:space="preserve"> </w:t>
      </w:r>
    </w:p>
    <w:p>
      <w:pPr>
        <w:spacing w:line="360" w:lineRule="auto"/>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乙方：</w:t>
      </w:r>
    </w:p>
    <w:p>
      <w:pPr>
        <w:spacing w:line="360" w:lineRule="auto"/>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地址：</w:t>
      </w:r>
    </w:p>
    <w:p>
      <w:pPr>
        <w:spacing w:line="360" w:lineRule="auto"/>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法定代表人：</w:t>
      </w:r>
    </w:p>
    <w:p>
      <w:pPr>
        <w:keepNext w:val="0"/>
        <w:keepLines w:val="0"/>
        <w:pageBreakBefore w:val="0"/>
        <w:kinsoku/>
        <w:wordWrap/>
        <w:topLinePunct w:val="0"/>
        <w:bidi w:val="0"/>
        <w:adjustRightInd w:val="0"/>
        <w:snapToGrid w:val="0"/>
        <w:spacing w:line="360" w:lineRule="auto"/>
        <w:ind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p>
    <w:p>
      <w:pPr>
        <w:keepNext w:val="0"/>
        <w:keepLines w:val="0"/>
        <w:pageBreakBefore w:val="0"/>
        <w:kinsoku/>
        <w:wordWrap/>
        <w:topLinePunct w:val="0"/>
        <w:bidi w:val="0"/>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根据《中华人民共和国民法典》等法律、法规的相关规定和编号</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招标项目的中标结果，甲、乙双方经友好协商，就甲方委托乙方承担</w:t>
      </w:r>
      <w:r>
        <w:rPr>
          <w:rFonts w:hint="eastAsia" w:ascii="仿宋_GB2312" w:hAnsi="仿宋_GB2312" w:eastAsia="仿宋_GB2312" w:cs="仿宋_GB2312"/>
          <w:sz w:val="24"/>
          <w:highlight w:val="none"/>
          <w:lang w:eastAsia="zh-CN"/>
        </w:rPr>
        <w:t>前海-香港跨境交通服务提升专项研究</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rPr>
        <w:t>，达成以下合同条款：</w:t>
      </w:r>
    </w:p>
    <w:p>
      <w:pPr>
        <w:keepNext w:val="0"/>
        <w:keepLines w:val="0"/>
        <w:pageBreakBefore w:val="0"/>
        <w:kinsoku/>
        <w:wordWrap/>
        <w:topLinePunct w:val="0"/>
        <w:bidi w:val="0"/>
        <w:adjustRightInd w:val="0"/>
        <w:snapToGrid w:val="0"/>
        <w:spacing w:line="360" w:lineRule="auto"/>
        <w:ind w:firstLine="482" w:firstLineChars="200"/>
        <w:outlineLvl w:val="1"/>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 xml:space="preserve">第一条  </w:t>
      </w:r>
      <w:r>
        <w:rPr>
          <w:rFonts w:hint="eastAsia" w:ascii="仿宋_GB2312" w:hAnsi="仿宋_GB2312" w:eastAsia="仿宋_GB2312" w:cs="仿宋_GB2312"/>
          <w:b/>
          <w:bCs/>
          <w:sz w:val="24"/>
          <w:highlight w:val="none"/>
          <w:lang w:val="en-US" w:eastAsia="zh-CN"/>
        </w:rPr>
        <w:t>服务</w:t>
      </w:r>
      <w:r>
        <w:rPr>
          <w:rFonts w:hint="eastAsia" w:ascii="仿宋_GB2312" w:hAnsi="仿宋_GB2312" w:eastAsia="仿宋_GB2312" w:cs="仿宋_GB2312"/>
          <w:b/>
          <w:bCs/>
          <w:sz w:val="24"/>
          <w:highlight w:val="none"/>
        </w:rPr>
        <w:t>内容</w:t>
      </w:r>
    </w:p>
    <w:p>
      <w:pPr>
        <w:keepNext w:val="0"/>
        <w:keepLines w:val="0"/>
        <w:pageBreakBefore w:val="0"/>
        <w:kinsoku/>
        <w:wordWrap/>
        <w:topLinePunct w:val="0"/>
        <w:bidi w:val="0"/>
        <w:adjustRightInd w:val="0"/>
        <w:snapToGrid w:val="0"/>
        <w:spacing w:line="360" w:lineRule="auto"/>
        <w:ind w:firstLine="480" w:firstLineChars="200"/>
        <w:outlineLvl w:val="2"/>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sz w:val="24"/>
          <w:szCs w:val="32"/>
          <w:highlight w:val="none"/>
          <w:lang w:val="en-US" w:eastAsia="zh-CN"/>
        </w:rPr>
        <w:t>1.</w:t>
      </w:r>
      <w:r>
        <w:rPr>
          <w:rFonts w:hint="eastAsia" w:ascii="仿宋_GB2312" w:hAnsi="仿宋_GB2312" w:eastAsia="仿宋_GB2312" w:cs="仿宋_GB2312"/>
          <w:b w:val="0"/>
          <w:bCs/>
          <w:color w:val="auto"/>
          <w:sz w:val="24"/>
          <w:szCs w:val="32"/>
          <w:highlight w:val="none"/>
        </w:rPr>
        <w:t>研究范围和规划年限</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pacing w:val="6"/>
          <w:kern w:val="0"/>
          <w:sz w:val="24"/>
          <w:szCs w:val="24"/>
          <w:highlight w:val="none"/>
          <w:lang w:val="en-US" w:eastAsia="zh-CN"/>
          <w14:textFill>
            <w14:solidFill>
              <w14:schemeClr w14:val="tx1"/>
            </w14:solidFill>
          </w14:textFill>
        </w:rPr>
        <w:t>1.1</w:t>
      </w:r>
      <w:r>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t>研究范围</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t>前海三湾片区及蛇口片区28.2平方公里</w:t>
      </w:r>
      <w:r>
        <w:rPr>
          <w:rFonts w:hint="eastAsia" w:ascii="仿宋_GB2312" w:hAnsi="仿宋_GB2312" w:eastAsia="仿宋_GB2312" w:cs="仿宋_GB2312"/>
          <w:b w:val="0"/>
          <w:bCs/>
          <w:color w:val="000000" w:themeColor="text1"/>
          <w:spacing w:val="6"/>
          <w:kern w:val="0"/>
          <w:sz w:val="24"/>
          <w:szCs w:val="24"/>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t>蛇口邮轮母港综合交通服务提升研究核心范围取约0.11平方公里（艺海路-沁海路-邮轮母港-海运路-乐海路围合范围），拓展研究范围取约0.33平方公里（望海路-太子湾大道-邮轮母港-沁海路围合范围）。</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pacing w:val="6"/>
          <w:kern w:val="0"/>
          <w:sz w:val="24"/>
          <w:szCs w:val="24"/>
          <w:highlight w:val="none"/>
          <w:lang w:val="en-US" w:eastAsia="zh-CN"/>
          <w14:textFill>
            <w14:solidFill>
              <w14:schemeClr w14:val="tx1"/>
            </w14:solidFill>
          </w14:textFill>
        </w:rPr>
        <w:t>1.2</w:t>
      </w:r>
      <w:r>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t>规划年限</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pacing w:val="6"/>
          <w:kern w:val="0"/>
          <w:sz w:val="24"/>
          <w:szCs w:val="24"/>
          <w:highlight w:val="none"/>
          <w14:textFill>
            <w14:solidFill>
              <w14:schemeClr w14:val="tx1"/>
            </w14:solidFill>
          </w14:textFill>
        </w:rPr>
        <w:t>本项目规划年限为近期2025年，远期2035年。</w:t>
      </w:r>
    </w:p>
    <w:p>
      <w:pPr>
        <w:keepNext w:val="0"/>
        <w:keepLines w:val="0"/>
        <w:pageBreakBefore w:val="0"/>
        <w:kinsoku/>
        <w:wordWrap/>
        <w:topLinePunct w:val="0"/>
        <w:bidi w:val="0"/>
        <w:adjustRightInd w:val="0"/>
        <w:snapToGrid w:val="0"/>
        <w:spacing w:line="360" w:lineRule="auto"/>
        <w:ind w:firstLine="480" w:firstLineChars="200"/>
        <w:outlineLvl w:val="2"/>
        <w:rPr>
          <w:rFonts w:hint="eastAsia" w:ascii="仿宋_GB2312" w:hAnsi="仿宋_GB2312" w:eastAsia="仿宋_GB2312" w:cs="仿宋_GB2312"/>
          <w:b w:val="0"/>
          <w:bCs/>
          <w:color w:val="auto"/>
          <w:sz w:val="24"/>
          <w:szCs w:val="32"/>
          <w:highlight w:val="none"/>
        </w:rPr>
      </w:pPr>
      <w:r>
        <w:rPr>
          <w:rFonts w:hint="eastAsia" w:ascii="仿宋_GB2312" w:hAnsi="仿宋_GB2312" w:eastAsia="仿宋_GB2312" w:cs="仿宋_GB2312"/>
          <w:b w:val="0"/>
          <w:bCs/>
          <w:color w:val="auto"/>
          <w:sz w:val="24"/>
          <w:szCs w:val="32"/>
          <w:highlight w:val="none"/>
          <w:lang w:val="en-US" w:eastAsia="zh-CN"/>
        </w:rPr>
        <w:t>2.</w:t>
      </w:r>
      <w:r>
        <w:rPr>
          <w:rFonts w:hint="eastAsia" w:ascii="仿宋_GB2312" w:hAnsi="仿宋_GB2312" w:eastAsia="仿宋_GB2312" w:cs="仿宋_GB2312"/>
          <w:b w:val="0"/>
          <w:bCs/>
          <w:color w:val="auto"/>
          <w:sz w:val="24"/>
          <w:szCs w:val="32"/>
          <w:highlight w:val="none"/>
        </w:rPr>
        <w:t>工作内容</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前海至香港交通需求分析与跨境要素梳理</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全面收集并系统分析前海与香港间的各类交通出行方式、现状跨境基础设施使用情况，深度摸清主要出行口岸的运营现状；通过开展港人出行问卷调查，精准掌握其跨境需求特征及关注的热点、难点问题。基于上述需求分析与现状梳理成果，系统梳理前海至香港交通互联的现存问题并深入剖析成因。</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前海与香港跨境交通方式提升研究</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6"/>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t>陆路交通提升：针对蛇口邮轮母港等重点跨境设施与三湾片区的交通衔接提出优化方案；结合港人需求和通关政策，提出点到点陆路衔接提质方案。</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6"/>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t>水运交通提升：针对水运码头开行运营提出优化方案，包括但不限于运行班次、营运时段、通关流程等。</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6"/>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t>蛇口邮轮母港综合交通服务提升：结合港人跨境需求，针对性提出蛇口邮轮母港综合交通服务提升方案，提升蛇口邮轮母港通关、换乘、接驳交通便利化。</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实施计划梳理</w:t>
      </w:r>
    </w:p>
    <w:p>
      <w:pPr>
        <w:keepNext w:val="0"/>
        <w:keepLines w:val="0"/>
        <w:pageBreakBefore w:val="0"/>
        <w:widowControl/>
        <w:kinsoku/>
        <w:wordWrap/>
        <w:topLinePunct w:val="0"/>
        <w:bidi w:val="0"/>
        <w:adjustRightInd w:val="0"/>
        <w:snapToGrid w:val="0"/>
        <w:spacing w:line="360" w:lineRule="auto"/>
        <w:ind w:firstLine="504" w:firstLineChars="200"/>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t>依据研究内容，系统梳理形成具体推进措施，构建任务项目库，按近、中、远期划分阶段性行动计划，明确各建设项目的实施时序。</w:t>
      </w:r>
    </w:p>
    <w:p>
      <w:pPr>
        <w:pStyle w:val="30"/>
        <w:keepNext w:val="0"/>
        <w:keepLines w:val="0"/>
        <w:pageBreakBefore w:val="0"/>
        <w:kinsoku/>
        <w:wordWrap/>
        <w:topLinePunct w:val="0"/>
        <w:bidi w:val="0"/>
        <w:adjustRightInd w:val="0"/>
        <w:snapToGrid w:val="0"/>
        <w:spacing w:line="360" w:lineRule="auto"/>
        <w:ind w:firstLine="482"/>
        <w:outlineLvl w:val="1"/>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sz w:val="24"/>
          <w:szCs w:val="24"/>
          <w:highlight w:val="none"/>
          <w:lang w:val="en-US" w:eastAsia="zh-CN"/>
        </w:rPr>
        <w:t xml:space="preserve">第二条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服务期限</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及</w:t>
      </w: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地点</w:t>
      </w:r>
    </w:p>
    <w:p>
      <w:pPr>
        <w:pStyle w:val="30"/>
        <w:keepNext w:val="0"/>
        <w:keepLines w:val="0"/>
        <w:pageBreakBefore w:val="0"/>
        <w:kinsoku/>
        <w:wordWrap/>
        <w:topLinePunct w:val="0"/>
        <w:bidi w:val="0"/>
        <w:adjustRightInd w:val="0"/>
        <w:snapToGrid w:val="0"/>
        <w:spacing w:line="360" w:lineRule="auto"/>
        <w:ind w:firstLine="482"/>
        <w:outlineLvl w:val="2"/>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1.服务期限</w:t>
      </w:r>
    </w:p>
    <w:p>
      <w:pPr>
        <w:pStyle w:val="30"/>
        <w:keepNext w:val="0"/>
        <w:keepLines w:val="0"/>
        <w:pageBreakBefore w:val="0"/>
        <w:kinsoku/>
        <w:wordWrap/>
        <w:topLinePunct w:val="0"/>
        <w:bidi w:val="0"/>
        <w:adjustRightInd w:val="0"/>
        <w:snapToGrid w:val="0"/>
        <w:spacing w:line="360" w:lineRule="auto"/>
        <w:ind w:firstLine="482"/>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自合同签订之日起</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个月内完成项目</w:t>
      </w:r>
      <w:r>
        <w:rPr>
          <w:rFonts w:hint="eastAsia" w:ascii="仿宋_GB2312" w:hAnsi="仿宋_GB2312" w:eastAsia="仿宋_GB2312" w:cs="仿宋_GB2312"/>
          <w:sz w:val="24"/>
          <w:highlight w:val="none"/>
          <w:lang w:val="en-US" w:eastAsia="zh-CN"/>
        </w:rPr>
        <w:t>全部</w:t>
      </w:r>
      <w:r>
        <w:rPr>
          <w:rFonts w:hint="eastAsia" w:ascii="仿宋_GB2312" w:hAnsi="仿宋_GB2312" w:eastAsia="仿宋_GB2312" w:cs="仿宋_GB2312"/>
          <w:sz w:val="24"/>
          <w:highlight w:val="none"/>
        </w:rPr>
        <w:t>工作内容并提交最终成果</w:t>
      </w:r>
      <w:r>
        <w:rPr>
          <w:rFonts w:hint="eastAsia" w:ascii="仿宋_GB2312" w:hAnsi="仿宋_GB2312" w:eastAsia="仿宋_GB2312" w:cs="仿宋_GB2312"/>
          <w:sz w:val="24"/>
          <w:highlight w:val="none"/>
          <w:lang w:val="en-US" w:eastAsia="zh-CN"/>
        </w:rPr>
        <w:t>。</w:t>
      </w:r>
    </w:p>
    <w:p>
      <w:pPr>
        <w:keepNext w:val="0"/>
        <w:keepLines w:val="0"/>
        <w:pageBreakBefore w:val="0"/>
        <w:kinsoku/>
        <w:wordWrap/>
        <w:topLinePunct w:val="0"/>
        <w:bidi w:val="0"/>
        <w:adjustRightInd w:val="0"/>
        <w:snapToGrid w:val="0"/>
        <w:spacing w:line="360" w:lineRule="auto"/>
        <w:ind w:firstLine="504"/>
        <w:outlineLvl w:val="2"/>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t>2.服务地点</w:t>
      </w:r>
    </w:p>
    <w:p>
      <w:pPr>
        <w:keepNext w:val="0"/>
        <w:keepLines w:val="0"/>
        <w:pageBreakBefore w:val="0"/>
        <w:kinsoku/>
        <w:wordWrap/>
        <w:topLinePunct w:val="0"/>
        <w:bidi w:val="0"/>
        <w:adjustRightInd w:val="0"/>
        <w:snapToGrid w:val="0"/>
        <w:spacing w:line="360" w:lineRule="auto"/>
        <w:ind w:firstLine="504"/>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pPr>
      <w:r>
        <w:rPr>
          <w:rFonts w:hint="eastAsia" w:ascii="仿宋_GB2312" w:hAnsi="仿宋_GB2312" w:eastAsia="仿宋_GB2312" w:cs="仿宋_GB2312"/>
          <w:kern w:val="0"/>
          <w:sz w:val="24"/>
          <w:szCs w:val="20"/>
          <w:highlight w:val="none"/>
          <w:lang w:val="en-US" w:eastAsia="zh-CN" w:bidi="ar-SA"/>
        </w:rPr>
        <w:t>深圳市前海深港现代服务业合作区</w:t>
      </w:r>
      <w:r>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t>。</w:t>
      </w:r>
    </w:p>
    <w:p>
      <w:pPr>
        <w:keepNext w:val="0"/>
        <w:keepLines w:val="0"/>
        <w:pageBreakBefore w:val="0"/>
        <w:kinsoku/>
        <w:wordWrap/>
        <w:topLinePunct w:val="0"/>
        <w:bidi w:val="0"/>
        <w:adjustRightInd w:val="0"/>
        <w:snapToGrid w:val="0"/>
        <w:spacing w:line="360" w:lineRule="auto"/>
        <w:ind w:firstLine="482" w:firstLineChars="200"/>
        <w:outlineLvl w:val="1"/>
        <w:rPr>
          <w:rFonts w:hint="eastAsia" w:ascii="仿宋_GB2312" w:hAnsi="仿宋_GB2312" w:eastAsia="仿宋_GB2312" w:cs="仿宋_GB2312"/>
          <w:b/>
          <w:color w:val="auto"/>
          <w:sz w:val="24"/>
          <w:szCs w:val="32"/>
          <w:highlight w:val="none"/>
          <w:lang w:val="en-US" w:eastAsia="zh-CN"/>
        </w:rPr>
      </w:pPr>
      <w:r>
        <w:rPr>
          <w:rFonts w:hint="eastAsia" w:ascii="仿宋_GB2312" w:hAnsi="仿宋_GB2312" w:eastAsia="仿宋_GB2312" w:cs="仿宋_GB2312"/>
          <w:b/>
          <w:color w:val="auto"/>
          <w:sz w:val="24"/>
          <w:szCs w:val="32"/>
          <w:highlight w:val="none"/>
          <w:lang w:val="en-US" w:eastAsia="zh-CN"/>
        </w:rPr>
        <w:t>第三条 工作计划及成果要求</w:t>
      </w:r>
    </w:p>
    <w:p>
      <w:pPr>
        <w:keepNext w:val="0"/>
        <w:keepLines w:val="0"/>
        <w:pageBreakBefore w:val="0"/>
        <w:kinsoku/>
        <w:wordWrap/>
        <w:topLinePunct w:val="0"/>
        <w:bidi w:val="0"/>
        <w:adjustRightInd w:val="0"/>
        <w:snapToGrid w:val="0"/>
        <w:spacing w:line="360" w:lineRule="auto"/>
        <w:ind w:firstLine="504"/>
        <w:outlineLvl w:val="2"/>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t>1.工作计划</w:t>
      </w:r>
    </w:p>
    <w:p>
      <w:pPr>
        <w:keepNext w:val="0"/>
        <w:keepLines w:val="0"/>
        <w:pageBreakBefore w:val="0"/>
        <w:kinsoku/>
        <w:wordWrap/>
        <w:topLinePunct w:val="0"/>
        <w:bidi w:val="0"/>
        <w:adjustRightInd w:val="0"/>
        <w:snapToGrid w:val="0"/>
        <w:spacing w:line="360" w:lineRule="auto"/>
        <w:ind w:firstLine="504"/>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14:textFill>
            <w14:solidFill>
              <w14:schemeClr w14:val="tx1"/>
            </w14:solidFill>
          </w14:textFill>
        </w:rPr>
        <w:t>本项目服务从合同签订之日开始，各阶段具体工作进度将根据甲方实际需要进行安排。</w:t>
      </w:r>
    </w:p>
    <w:p>
      <w:pPr>
        <w:keepNext w:val="0"/>
        <w:keepLines w:val="0"/>
        <w:pageBreakBefore w:val="0"/>
        <w:kinsoku/>
        <w:wordWrap/>
        <w:topLinePunct w:val="0"/>
        <w:bidi w:val="0"/>
        <w:adjustRightInd w:val="0"/>
        <w:snapToGrid w:val="0"/>
        <w:spacing w:line="360" w:lineRule="auto"/>
        <w:ind w:firstLine="504" w:firstLineChars="0"/>
        <w:outlineLvl w:val="2"/>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2.成果要求</w:t>
      </w:r>
    </w:p>
    <w:p>
      <w:pPr>
        <w:keepNext w:val="0"/>
        <w:keepLines w:val="0"/>
        <w:pageBreakBefore w:val="0"/>
        <w:kinsoku/>
        <w:wordWrap/>
        <w:topLinePunct w:val="0"/>
        <w:bidi w:val="0"/>
        <w:adjustRightInd w:val="0"/>
        <w:snapToGrid w:val="0"/>
        <w:spacing w:line="360" w:lineRule="auto"/>
        <w:ind w:firstLine="504" w:firstLineChars="0"/>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规划图纸数量：8套</w:t>
      </w:r>
      <w:r>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t>；</w:t>
      </w:r>
    </w:p>
    <w:p>
      <w:pPr>
        <w:keepNext w:val="0"/>
        <w:keepLines w:val="0"/>
        <w:pageBreakBefore w:val="0"/>
        <w:kinsoku/>
        <w:wordWrap/>
        <w:topLinePunct w:val="0"/>
        <w:bidi w:val="0"/>
        <w:adjustRightInd w:val="0"/>
        <w:snapToGrid w:val="0"/>
        <w:spacing w:line="360" w:lineRule="auto"/>
        <w:ind w:firstLine="504" w:firstLineChars="0"/>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研究报告（及专题报告：如有）数量：8套</w:t>
      </w:r>
      <w:r>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t>；</w:t>
      </w:r>
    </w:p>
    <w:p>
      <w:pPr>
        <w:keepNext w:val="0"/>
        <w:keepLines w:val="0"/>
        <w:pageBreakBefore w:val="0"/>
        <w:kinsoku/>
        <w:wordWrap/>
        <w:topLinePunct w:val="0"/>
        <w:bidi w:val="0"/>
        <w:adjustRightInd w:val="0"/>
        <w:snapToGrid w:val="0"/>
        <w:spacing w:line="360" w:lineRule="auto"/>
        <w:ind w:firstLine="504" w:firstLineChars="0"/>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以上文件的电子档案格式要求：WORD、DWG、JPG、PDF</w:t>
      </w:r>
      <w:r>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t>；</w:t>
      </w:r>
    </w:p>
    <w:p>
      <w:pPr>
        <w:keepNext w:val="0"/>
        <w:keepLines w:val="0"/>
        <w:pageBreakBefore w:val="0"/>
        <w:kinsoku/>
        <w:wordWrap/>
        <w:topLinePunct w:val="0"/>
        <w:bidi w:val="0"/>
        <w:adjustRightInd w:val="0"/>
        <w:snapToGrid w:val="0"/>
        <w:spacing w:line="360" w:lineRule="auto"/>
        <w:ind w:firstLine="504" w:firstLineChars="0"/>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汇报演示系统格式要求：PPT</w:t>
      </w:r>
      <w:r>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t>；</w:t>
      </w:r>
    </w:p>
    <w:p>
      <w:pPr>
        <w:keepNext w:val="0"/>
        <w:keepLines w:val="0"/>
        <w:pageBreakBefore w:val="0"/>
        <w:kinsoku/>
        <w:wordWrap/>
        <w:topLinePunct w:val="0"/>
        <w:bidi w:val="0"/>
        <w:adjustRightInd w:val="0"/>
        <w:snapToGrid w:val="0"/>
        <w:spacing w:line="360" w:lineRule="auto"/>
        <w:ind w:firstLine="504" w:firstLineChars="0"/>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2.</w:t>
      </w:r>
      <w:r>
        <w:rPr>
          <w:rFonts w:hint="eastAsia" w:ascii="仿宋_GB2312" w:hAnsi="仿宋_GB2312" w:eastAsia="仿宋_GB2312" w:cs="仿宋_GB2312"/>
          <w:color w:val="000000" w:themeColor="text1"/>
          <w:spacing w:val="6"/>
          <w:kern w:val="0"/>
          <w:sz w:val="24"/>
          <w:szCs w:val="24"/>
          <w:highlight w:val="none"/>
          <w:lang w:val="en-US" w:eastAsia="zh-CN"/>
          <w14:textFill>
            <w14:solidFill>
              <w14:schemeClr w14:val="tx1"/>
            </w14:solidFill>
          </w14:textFill>
        </w:rPr>
        <w:t>5成果其它要求：</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必要时</w:t>
      </w:r>
      <w:r>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可以对最终成果的构成进行调整。</w:t>
      </w:r>
      <w:r>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如需</w:t>
      </w:r>
      <w:r>
        <w:rPr>
          <w:rFonts w:hint="eastAsia" w:ascii="仿宋_GB2312" w:hAnsi="仿宋_GB2312" w:eastAsia="仿宋_GB2312" w:cs="仿宋_GB2312"/>
          <w:color w:val="000000" w:themeColor="text1"/>
          <w:spacing w:val="6"/>
          <w:kern w:val="0"/>
          <w:sz w:val="24"/>
          <w:szCs w:val="24"/>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pacing w:val="6"/>
          <w:kern w:val="0"/>
          <w:sz w:val="24"/>
          <w:szCs w:val="24"/>
          <w:highlight w:val="none"/>
          <w14:textFill>
            <w14:solidFill>
              <w14:schemeClr w14:val="tx1"/>
            </w14:solidFill>
          </w14:textFill>
        </w:rPr>
        <w:t>增加交付成果文本的数量，应由双方协商解决。</w:t>
      </w:r>
    </w:p>
    <w:p>
      <w:pPr>
        <w:keepNext w:val="0"/>
        <w:keepLines w:val="0"/>
        <w:pageBreakBefore w:val="0"/>
        <w:kinsoku/>
        <w:wordWrap/>
        <w:topLinePunct w:val="0"/>
        <w:bidi w:val="0"/>
        <w:adjustRightInd w:val="0"/>
        <w:snapToGrid w:val="0"/>
        <w:spacing w:line="360" w:lineRule="auto"/>
        <w:ind w:firstLine="482" w:firstLineChars="200"/>
        <w:outlineLvl w:val="1"/>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第四条 人员要求</w:t>
      </w:r>
    </w:p>
    <w:p>
      <w:pPr>
        <w:keepNext w:val="0"/>
        <w:keepLines w:val="0"/>
        <w:pageBreakBefore w:val="0"/>
        <w:kinsoku/>
        <w:wordWrap/>
        <w:topLinePunct w:val="0"/>
        <w:bidi w:val="0"/>
        <w:adjustRightInd w:val="0"/>
        <w:snapToGrid w:val="0"/>
        <w:spacing w:line="360" w:lineRule="auto"/>
        <w:ind w:firstLine="480" w:firstLineChars="200"/>
        <w:rPr>
          <w:rFonts w:hint="eastAsia"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lang w:val="en-US" w:eastAsia="zh-CN"/>
        </w:rPr>
        <w:t>1.乙方项目团队应具有完善的人员组织管理体系，具有国家和有关部门规定的相应资质。</w:t>
      </w:r>
    </w:p>
    <w:p>
      <w:pPr>
        <w:keepNext w:val="0"/>
        <w:keepLines w:val="0"/>
        <w:pageBreakBefore w:val="0"/>
        <w:kinsoku/>
        <w:wordWrap/>
        <w:topLinePunct w:val="0"/>
        <w:bidi w:val="0"/>
        <w:adjustRightInd w:val="0"/>
        <w:snapToGrid w:val="0"/>
        <w:spacing w:line="360" w:lineRule="auto"/>
        <w:ind w:firstLine="480" w:firstLineChars="200"/>
        <w:rPr>
          <w:rFonts w:hint="eastAsia"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lang w:val="en-US" w:eastAsia="zh-CN"/>
        </w:rPr>
        <w:t>2.乙方参加本项目的人员必须与投标文件一致，名单详见附件。乙方应保证本合同的主要核心成员在项目实施期间全程参与项目实质性工作。</w:t>
      </w:r>
    </w:p>
    <w:p>
      <w:pPr>
        <w:keepNext w:val="0"/>
        <w:keepLines w:val="0"/>
        <w:pageBreakBefore w:val="0"/>
        <w:kinsoku/>
        <w:wordWrap/>
        <w:topLinePunct w:val="0"/>
        <w:bidi w:val="0"/>
        <w:adjustRightInd w:val="0"/>
        <w:snapToGrid w:val="0"/>
        <w:spacing w:line="360" w:lineRule="auto"/>
        <w:ind w:firstLine="480" w:firstLineChars="200"/>
        <w:rPr>
          <w:rFonts w:hint="eastAsia"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lang w:val="en-US" w:eastAsia="zh-CN"/>
        </w:rPr>
        <w:t>3.项目负责人应根据实际工作需要，按照甲方工作安排，前往汇报项目成果。</w:t>
      </w:r>
    </w:p>
    <w:p>
      <w:pPr>
        <w:tabs>
          <w:tab w:val="left" w:pos="1000"/>
        </w:tabs>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rPr>
        <w:t>第五条 进度要求</w:t>
      </w:r>
      <w:r>
        <w:rPr>
          <w:rFonts w:hint="eastAsia" w:ascii="仿宋_GB2312" w:hAnsi="仿宋_GB2312" w:eastAsia="仿宋_GB2312" w:cs="仿宋_GB2312"/>
          <w:b/>
          <w:bCs/>
          <w:kern w:val="0"/>
          <w:sz w:val="24"/>
          <w:lang w:val="en-US" w:eastAsia="zh-CN"/>
        </w:rPr>
        <w:t>及验收方式</w:t>
      </w:r>
    </w:p>
    <w:p>
      <w:pPr>
        <w:tabs>
          <w:tab w:val="left" w:pos="1000"/>
        </w:tabs>
        <w:wordWrap w:val="0"/>
        <w:overflowPunct w:val="0"/>
        <w:autoSpaceDE w:val="0"/>
        <w:autoSpaceDN w:val="0"/>
        <w:adjustRightInd w:val="0"/>
        <w:spacing w:line="360" w:lineRule="auto"/>
        <w:ind w:firstLine="480" w:firstLineChars="200"/>
        <w:outlineLvl w:val="2"/>
        <w:rPr>
          <w:rFonts w:hint="eastAsia" w:ascii="仿宋_GB2312" w:hAnsi="仿宋_GB2312" w:eastAsia="仿宋_GB2312" w:cs="仿宋_GB2312"/>
          <w:bCs w:val="0"/>
          <w:kern w:val="0"/>
          <w:sz w:val="24"/>
          <w:lang w:val="en-US" w:eastAsia="zh-CN"/>
        </w:rPr>
      </w:pPr>
      <w:r>
        <w:rPr>
          <w:rFonts w:hint="eastAsia" w:ascii="仿宋_GB2312" w:hAnsi="仿宋_GB2312" w:eastAsia="仿宋_GB2312" w:cs="仿宋_GB2312"/>
          <w:bCs w:val="0"/>
          <w:kern w:val="0"/>
          <w:sz w:val="24"/>
          <w:lang w:eastAsia="zh-CN"/>
        </w:rPr>
        <w:t>（</w:t>
      </w:r>
      <w:r>
        <w:rPr>
          <w:rFonts w:hint="eastAsia" w:ascii="仿宋_GB2312" w:hAnsi="仿宋_GB2312" w:eastAsia="仿宋_GB2312" w:cs="仿宋_GB2312"/>
          <w:bCs w:val="0"/>
          <w:kern w:val="0"/>
          <w:sz w:val="24"/>
          <w:lang w:val="en-US" w:eastAsia="zh-CN"/>
        </w:rPr>
        <w:t>一</w:t>
      </w:r>
      <w:r>
        <w:rPr>
          <w:rFonts w:hint="eastAsia" w:ascii="仿宋_GB2312" w:hAnsi="仿宋_GB2312" w:eastAsia="仿宋_GB2312" w:cs="仿宋_GB2312"/>
          <w:bCs w:val="0"/>
          <w:kern w:val="0"/>
          <w:sz w:val="24"/>
          <w:lang w:eastAsia="zh-CN"/>
        </w:rPr>
        <w:t>）</w:t>
      </w:r>
      <w:r>
        <w:rPr>
          <w:rFonts w:hint="eastAsia" w:ascii="仿宋_GB2312" w:hAnsi="仿宋_GB2312" w:eastAsia="仿宋_GB2312" w:cs="仿宋_GB2312"/>
          <w:bCs w:val="0"/>
          <w:kern w:val="0"/>
          <w:sz w:val="24"/>
          <w:lang w:val="en-US" w:eastAsia="zh-CN"/>
        </w:rPr>
        <w:t>进度要求</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bCs w:val="0"/>
          <w:kern w:val="0"/>
          <w:sz w:val="24"/>
          <w:lang w:eastAsia="zh-CN"/>
        </w:rPr>
      </w:pPr>
      <w:r>
        <w:rPr>
          <w:rFonts w:hint="eastAsia" w:ascii="仿宋_GB2312" w:hAnsi="仿宋_GB2312" w:eastAsia="仿宋_GB2312" w:cs="仿宋_GB2312"/>
          <w:bCs w:val="0"/>
          <w:kern w:val="0"/>
          <w:sz w:val="24"/>
          <w:lang w:eastAsia="zh-CN"/>
        </w:rPr>
        <w:t>自合同签订之日起6个月内完成全部项目工作内容并提交最终成果。各阶段具体工作进度将根据</w:t>
      </w:r>
      <w:r>
        <w:rPr>
          <w:rFonts w:hint="eastAsia" w:ascii="仿宋_GB2312" w:hAnsi="仿宋_GB2312" w:eastAsia="仿宋_GB2312" w:cs="仿宋_GB2312"/>
          <w:bCs w:val="0"/>
          <w:kern w:val="0"/>
          <w:sz w:val="24"/>
          <w:lang w:val="en-US" w:eastAsia="zh-CN"/>
        </w:rPr>
        <w:t>甲</w:t>
      </w:r>
      <w:r>
        <w:rPr>
          <w:rFonts w:hint="eastAsia" w:ascii="仿宋_GB2312" w:hAnsi="仿宋_GB2312" w:eastAsia="仿宋_GB2312" w:cs="仿宋_GB2312"/>
          <w:bCs w:val="0"/>
          <w:kern w:val="0"/>
          <w:sz w:val="24"/>
          <w:lang w:eastAsia="zh-CN"/>
        </w:rPr>
        <w:t>方实际需要进行安排。</w:t>
      </w:r>
    </w:p>
    <w:p>
      <w:pPr>
        <w:tabs>
          <w:tab w:val="left" w:pos="1000"/>
        </w:tabs>
        <w:wordWrap w:val="0"/>
        <w:overflowPunct w:val="0"/>
        <w:autoSpaceDE w:val="0"/>
        <w:autoSpaceDN w:val="0"/>
        <w:adjustRightInd w:val="0"/>
        <w:spacing w:line="360" w:lineRule="auto"/>
        <w:ind w:firstLine="480" w:firstLineChars="200"/>
        <w:outlineLvl w:val="2"/>
        <w:rPr>
          <w:rFonts w:hint="eastAsia" w:ascii="仿宋_GB2312" w:hAnsi="仿宋_GB2312" w:eastAsia="仿宋_GB2312" w:cs="仿宋_GB2312"/>
          <w:bCs w:val="0"/>
          <w:kern w:val="0"/>
          <w:sz w:val="24"/>
          <w:lang w:val="en-US" w:eastAsia="zh-CN"/>
        </w:rPr>
      </w:pPr>
      <w:r>
        <w:rPr>
          <w:rFonts w:hint="eastAsia" w:ascii="仿宋_GB2312" w:hAnsi="仿宋_GB2312" w:eastAsia="仿宋_GB2312" w:cs="仿宋_GB2312"/>
          <w:bCs w:val="0"/>
          <w:kern w:val="0"/>
          <w:sz w:val="24"/>
          <w:lang w:val="en-US" w:eastAsia="zh-CN"/>
        </w:rPr>
        <w:t>（二）验收方式</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bCs w:val="0"/>
          <w:kern w:val="0"/>
          <w:sz w:val="24"/>
          <w:lang w:val="en-US" w:eastAsia="zh-CN"/>
        </w:rPr>
        <w:t>甲方验收通过。</w:t>
      </w:r>
    </w:p>
    <w:p>
      <w:pPr>
        <w:tabs>
          <w:tab w:val="left" w:pos="1000"/>
        </w:tabs>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w:t>
      </w:r>
      <w:r>
        <w:rPr>
          <w:rFonts w:hint="eastAsia" w:ascii="仿宋_GB2312" w:hAnsi="仿宋_GB2312" w:eastAsia="仿宋_GB2312" w:cs="仿宋_GB2312"/>
          <w:b/>
          <w:bCs/>
          <w:kern w:val="0"/>
          <w:sz w:val="24"/>
          <w:lang w:val="en-US" w:eastAsia="zh-CN"/>
        </w:rPr>
        <w:t>六</w:t>
      </w:r>
      <w:r>
        <w:rPr>
          <w:rFonts w:hint="eastAsia" w:ascii="仿宋_GB2312" w:hAnsi="仿宋_GB2312" w:eastAsia="仿宋_GB2312" w:cs="仿宋_GB2312"/>
          <w:b/>
          <w:bCs/>
          <w:kern w:val="0"/>
          <w:sz w:val="24"/>
        </w:rPr>
        <w:t>条 成果权属与知识产权</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1.本项目全部阶段性成果和最终成果的所有权、知识产权以及与之相关的所有权利归甲方所有。</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2.双方确定，甲方有权利用乙方按照本合同约定提供的成果，进行后续改进。由此产生的具有实质性或创造性技术进步特征的新的技术成果及其权利归属，全部由甲方享有。具体相关利益的分配办法如下：甲方 100%。</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乙方所提交的全部阶段性成果和最终成果文件及任何数据、资料、软件等不得侵犯任何第三方的知识产权或其他权利，由于该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责任所产生的诉讼费用、合理的律师费用、鉴定评估费用、调查费用、和解金额或生效法律文书中规定的赔偿金额。</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5.乙方完成本合同项目的研究开发人员享有在有关成果文件上写明成果完成者的权利和与甲方共同获得有关荣誉证书、奖励的权利。</w:t>
      </w:r>
    </w:p>
    <w:p>
      <w:pPr>
        <w:tabs>
          <w:tab w:val="left" w:pos="1000"/>
        </w:tabs>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w:t>
      </w:r>
      <w:r>
        <w:rPr>
          <w:rFonts w:hint="eastAsia" w:ascii="仿宋_GB2312" w:hAnsi="仿宋_GB2312" w:eastAsia="仿宋_GB2312" w:cs="仿宋_GB2312"/>
          <w:b/>
          <w:bCs/>
          <w:kern w:val="0"/>
          <w:sz w:val="24"/>
          <w:lang w:val="en-US" w:eastAsia="zh-CN"/>
        </w:rPr>
        <w:t>七</w:t>
      </w:r>
      <w:r>
        <w:rPr>
          <w:rFonts w:hint="eastAsia" w:ascii="仿宋_GB2312" w:hAnsi="仿宋_GB2312" w:eastAsia="仿宋_GB2312" w:cs="仿宋_GB2312"/>
          <w:b/>
          <w:bCs/>
          <w:kern w:val="0"/>
          <w:sz w:val="24"/>
        </w:rPr>
        <w:t>条 甲方的权利与义务</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1.甲方有权向乙方询问项目工作进展及相关情况，并要求乙方在指定时间内做出答复。</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2.甲方有权对乙方提供的最终成果送审稿等相关文件进行审核并提出修改意见。</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3.如甲方确认乙方工作人员未按照本合同要求履行职责，甲方有权要求乙方限期更换人员， 直至终止合同并要求乙方承担相应赔偿责任。</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4.甲方对乙方在委托权限范围内完成委托事项有指导、监督权利。</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5.如乙方所提供的最终成果报告不符合本合同的要求，甲方有权要求乙方重新执行相应的工作服务，由此产生的全部费用由乙方自行承担，同时，甲方的付款时间相应顺延。</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6.甲方有权要求乙方全面履行合同。甲方不接受部分履行，如本合同项下部分成果文件未能按时交付则视为整体延误。</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7.甲方要求乙方比本合同约定时间提前交付成果时，须征得乙方同意。因此而增加工作量， 经协商确认，甲方应向乙方支付必要的费用。</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8.甲方应将项目所需相关档案资料、信息数据等移交给乙方，并要求乙方签收甲方提供的材料清单。</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9.甲方应按照本合同的约定向乙方支付服务费用。</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10.甲方指定项目负责人： </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姓名：莫工</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联系方式：88105207 </w:t>
      </w:r>
    </w:p>
    <w:p>
      <w:pPr>
        <w:tabs>
          <w:tab w:val="left" w:pos="1631"/>
        </w:tabs>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w:t>
      </w:r>
      <w:r>
        <w:rPr>
          <w:rFonts w:hint="eastAsia" w:ascii="仿宋_GB2312" w:hAnsi="仿宋_GB2312" w:eastAsia="仿宋_GB2312" w:cs="仿宋_GB2312"/>
          <w:b/>
          <w:bCs/>
          <w:kern w:val="0"/>
          <w:sz w:val="24"/>
          <w:lang w:val="en-US" w:eastAsia="zh-CN"/>
        </w:rPr>
        <w:t>八</w:t>
      </w:r>
      <w:r>
        <w:rPr>
          <w:rFonts w:hint="eastAsia" w:ascii="仿宋_GB2312" w:hAnsi="仿宋_GB2312" w:eastAsia="仿宋_GB2312" w:cs="仿宋_GB2312"/>
          <w:b/>
          <w:bCs/>
          <w:kern w:val="0"/>
          <w:sz w:val="24"/>
        </w:rPr>
        <w:t>条 乙方的权利与义务</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为保证项目成果的质量，乙方在合同履行期间，应按照本项目工作内容要求组织专业的项目团队，团队成员要求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2.乙方应按国家、省及深圳的有关法律法规、设计标准、技术规范以及本合同约定的工作内容、工作进度等要求提供服务，并对其提交的工作成果负责。</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3.乙方应接受甲方对工作进展的询问、监督和指导，严格按本合同约定的内容、标准和期限完成项目工作，并向甲方提交项目成果。项目工作完成后，乙方应按照甲方要求将完成本项目的工作总结和相关台</w:t>
      </w:r>
      <w:r>
        <w:rPr>
          <w:rFonts w:hint="eastAsia" w:ascii="仿宋_GB2312" w:hAnsi="仿宋_GB2312" w:eastAsia="仿宋_GB2312" w:cs="仿宋_GB2312"/>
          <w:kern w:val="0"/>
          <w:sz w:val="24"/>
          <w:lang w:val="en-US" w:eastAsia="zh-CN"/>
        </w:rPr>
        <w:t>账</w:t>
      </w:r>
      <w:r>
        <w:rPr>
          <w:rFonts w:hint="eastAsia" w:ascii="仿宋_GB2312" w:hAnsi="仿宋_GB2312" w:eastAsia="仿宋_GB2312" w:cs="仿宋_GB2312"/>
          <w:kern w:val="0"/>
          <w:sz w:val="24"/>
        </w:rPr>
        <w:t>资料交给甲方。</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4.乙方有维护甲方声誉的义务，乙方不能以甲方名义从事与本项目无关的任何事务，否则甲方有权追究其相关责任。</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5.乙方应采取必要措施配合专家评审会及甲方验收人员的工作</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对于评审验收过程中发现的问题，乙方应在发现问题之日起3天内进行改正，以符合甲方的需要。</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6.乙方应独立完成本项目。未经甲方书面在先同意，乙方不得向任何第三方全部或部分转让本项目。</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7.本合同期满或提前解除、终止后，乙方应将甲方的档案资料、信息数据等交还甲方，并应销毁或删除所有备份。</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9.乙方在完成本项目过程中，不得损害其他任何第三方的知识产权等合法权益，否则由此造成的相关责任应当由乙方自行承担，与甲方无关。</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10.针对甲方就乙方提交的成果、工作报告等相关文件提出的修改意见，乙方应当在甲方指定的修改时间内完成修改。</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11.乙方指定的项目负责人： </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姓名</w:t>
      </w:r>
      <w:r>
        <w:rPr>
          <w:rFonts w:hint="eastAsia" w:ascii="仿宋_GB2312" w:hAnsi="仿宋_GB2312" w:eastAsia="仿宋_GB2312" w:cs="仿宋_GB2312"/>
          <w:kern w:val="0"/>
          <w:sz w:val="24"/>
          <w:lang w:eastAsia="zh-CN"/>
        </w:rPr>
        <w:t>：</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联系方式：</w:t>
      </w:r>
    </w:p>
    <w:p>
      <w:pPr>
        <w:tabs>
          <w:tab w:val="left" w:pos="1631"/>
        </w:tabs>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w:t>
      </w:r>
      <w:r>
        <w:rPr>
          <w:rFonts w:hint="eastAsia" w:ascii="仿宋_GB2312" w:hAnsi="仿宋_GB2312" w:eastAsia="仿宋_GB2312" w:cs="仿宋_GB2312"/>
          <w:b/>
          <w:bCs/>
          <w:kern w:val="0"/>
          <w:sz w:val="24"/>
          <w:lang w:val="en-US" w:eastAsia="zh-CN"/>
        </w:rPr>
        <w:t>九</w:t>
      </w:r>
      <w:r>
        <w:rPr>
          <w:rFonts w:hint="eastAsia" w:ascii="仿宋_GB2312" w:hAnsi="仿宋_GB2312" w:eastAsia="仿宋_GB2312" w:cs="仿宋_GB2312"/>
          <w:b/>
          <w:bCs/>
          <w:kern w:val="0"/>
          <w:sz w:val="24"/>
        </w:rPr>
        <w:t>条 合同价款及支付方式</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1.合同价款：合同总价为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rPr>
        <w:t>，应包括项目研究、成果报告编制、法定税费和企业的利润等为完成本项目服务所发生的全部相关费用。本合同总价包括但不限于：人员费用及成果制作费、专家咨询费/评审费、车辆使用费、办公场所租赁费、差旅费、管理费、税费等。合同总价包括乙方履行本合同义务所发生的一切费用和支出和以各种方式寄送技术资料到甲方办公室所发生的费用。</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2.费用支付</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合同款由甲方分</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期支付至乙方指定银行账户。</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（1）第1期费用：合同签订后</w:t>
      </w:r>
      <w:r>
        <w:rPr>
          <w:rFonts w:hint="eastAsia" w:ascii="仿宋_GB2312" w:hAnsi="仿宋_GB2312" w:eastAsia="仿宋_GB2312" w:cs="仿宋_GB2312"/>
          <w:kern w:val="0"/>
          <w:sz w:val="24"/>
          <w:lang w:val="en-US" w:eastAsia="zh-CN"/>
        </w:rPr>
        <w:t>15</w:t>
      </w:r>
      <w:r>
        <w:rPr>
          <w:rFonts w:hint="eastAsia" w:ascii="仿宋_GB2312" w:hAnsi="仿宋_GB2312" w:eastAsia="仿宋_GB2312" w:cs="仿宋_GB2312"/>
          <w:kern w:val="0"/>
          <w:sz w:val="24"/>
        </w:rPr>
        <w:t>个工作日内，乙方向甲方提出付款申请，甲方向乙方支付合同费用的</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0%，即</w:t>
      </w:r>
      <w:r>
        <w:rPr>
          <w:rFonts w:hint="eastAsia" w:ascii="仿宋_GB2312" w:hAnsi="仿宋_GB2312" w:eastAsia="仿宋_GB2312" w:cs="仿宋_GB2312"/>
          <w:kern w:val="0"/>
          <w:sz w:val="24"/>
          <w:u w:val="single"/>
        </w:rPr>
        <w:t>人民币</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u w:val="single"/>
        </w:rPr>
        <w:t>元整，小写¥</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rPr>
        <w:t xml:space="preserve"> 。</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）第</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期费用：乙方完成并提交最终成果，并通过</w:t>
      </w:r>
      <w:r>
        <w:rPr>
          <w:rFonts w:hint="eastAsia" w:ascii="仿宋_GB2312" w:hAnsi="仿宋_GB2312" w:eastAsia="仿宋_GB2312" w:cs="仿宋_GB2312"/>
          <w:kern w:val="0"/>
          <w:sz w:val="24"/>
          <w:lang w:val="en-US" w:eastAsia="zh-CN"/>
        </w:rPr>
        <w:t>甲方</w:t>
      </w:r>
      <w:r>
        <w:rPr>
          <w:rFonts w:hint="eastAsia" w:ascii="仿宋_GB2312" w:hAnsi="仿宋_GB2312" w:eastAsia="仿宋_GB2312" w:cs="仿宋_GB2312"/>
          <w:kern w:val="0"/>
          <w:sz w:val="24"/>
        </w:rPr>
        <w:t>验收后15个工作日内，乙方向甲方提出付款申请，甲方向乙方支付总价款的50%，即</w:t>
      </w:r>
      <w:r>
        <w:rPr>
          <w:rFonts w:hint="eastAsia" w:ascii="仿宋_GB2312" w:hAnsi="仿宋_GB2312" w:eastAsia="仿宋_GB2312" w:cs="仿宋_GB2312"/>
          <w:kern w:val="0"/>
          <w:sz w:val="24"/>
          <w:u w:val="single"/>
        </w:rPr>
        <w:t>人民币</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u w:val="single"/>
        </w:rPr>
        <w:t>元整，小写¥</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3.支付方式 </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合同项下各期款项均在甲方收到乙方开具的载明相应金额的合格发票后10个工作日内支付，如甲方未及时收到中标人开具的合格发票，甲方付款时间相应顺延。若因甲方付款审批影响支付进度，请乙方予以谅解，并不得就此向甲方索赔。</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甲方将合同款项转账支付至乙方指定银行账户： </w:t>
      </w:r>
    </w:p>
    <w:p>
      <w:pPr>
        <w:wordWrap w:val="0"/>
        <w:overflowPunct w:val="0"/>
        <w:autoSpaceDE w:val="0"/>
        <w:autoSpaceDN w:val="0"/>
        <w:adjustRightInd w:val="0"/>
        <w:spacing w:line="360" w:lineRule="auto"/>
        <w:ind w:firstLine="472" w:firstLineChars="200"/>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户名：</w:t>
      </w:r>
    </w:p>
    <w:p>
      <w:pPr>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银行账号：</w:t>
      </w:r>
    </w:p>
    <w:p>
      <w:pPr>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开户银行：</w:t>
      </w:r>
    </w:p>
    <w:p>
      <w:pPr>
        <w:wordWrap w:val="0"/>
        <w:overflowPunct w:val="0"/>
        <w:autoSpaceDE w:val="0"/>
        <w:autoSpaceDN w:val="0"/>
        <w:adjustRightInd w:val="0"/>
        <w:spacing w:line="360" w:lineRule="auto"/>
        <w:ind w:firstLine="468" w:firstLineChars="200"/>
        <w:rPr>
          <w:rFonts w:hint="eastAsia" w:ascii="仿宋_GB2312" w:hAnsi="仿宋_GB2312" w:eastAsia="仿宋_GB2312" w:cs="仿宋_GB2312"/>
          <w:spacing w:val="-5"/>
          <w:kern w:val="0"/>
          <w:sz w:val="24"/>
        </w:rPr>
      </w:pPr>
      <w:r>
        <w:rPr>
          <w:rFonts w:hint="eastAsia" w:ascii="仿宋_GB2312" w:hAnsi="仿宋_GB2312" w:eastAsia="仿宋_GB2312" w:cs="仿宋_GB2312"/>
          <w:spacing w:val="-3"/>
          <w:kern w:val="0"/>
          <w:sz w:val="24"/>
        </w:rPr>
        <w:t xml:space="preserve">若上述账户信息有任何变动，乙方应当提前 </w:t>
      </w:r>
      <w:r>
        <w:rPr>
          <w:rFonts w:hint="eastAsia" w:ascii="仿宋_GB2312" w:hAnsi="仿宋_GB2312" w:eastAsia="仿宋_GB2312" w:cs="仿宋_GB2312"/>
          <w:kern w:val="0"/>
          <w:sz w:val="24"/>
        </w:rPr>
        <w:t>10</w:t>
      </w:r>
      <w:r>
        <w:rPr>
          <w:rFonts w:hint="eastAsia" w:ascii="仿宋_GB2312" w:hAnsi="仿宋_GB2312" w:eastAsia="仿宋_GB2312" w:cs="仿宋_GB2312"/>
          <w:spacing w:val="-5"/>
          <w:kern w:val="0"/>
          <w:sz w:val="24"/>
        </w:rPr>
        <w:t xml:space="preserve"> 个工作日书面通知甲方；若乙方未按本条约定将账户信息变动情况书面通知甲方，由此导致甲方付款时间延迟或出现其他无法付款的情形， 甲方不承担逾期付款的违约责任。</w:t>
      </w:r>
    </w:p>
    <w:p>
      <w:pPr>
        <w:tabs>
          <w:tab w:val="left" w:pos="1631"/>
        </w:tabs>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w:t>
      </w:r>
      <w:r>
        <w:rPr>
          <w:rFonts w:hint="eastAsia" w:ascii="仿宋_GB2312" w:hAnsi="仿宋_GB2312" w:eastAsia="仿宋_GB2312" w:cs="仿宋_GB2312"/>
          <w:b/>
          <w:bCs/>
          <w:kern w:val="0"/>
          <w:sz w:val="24"/>
          <w:lang w:val="en-US" w:eastAsia="zh-CN"/>
        </w:rPr>
        <w:t>十</w:t>
      </w:r>
      <w:r>
        <w:rPr>
          <w:rFonts w:hint="eastAsia" w:ascii="仿宋_GB2312" w:hAnsi="仿宋_GB2312" w:eastAsia="仿宋_GB2312" w:cs="仿宋_GB2312"/>
          <w:b/>
          <w:bCs/>
          <w:kern w:val="0"/>
          <w:sz w:val="24"/>
        </w:rPr>
        <w:t>条 保密条款</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3.乙方实施项目的程序应符合国家安全、保密的有关规定和标准。</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4.上述保密义务不适用以下情况：</w:t>
      </w:r>
    </w:p>
    <w:p>
      <w:pPr>
        <w:tabs>
          <w:tab w:val="left" w:pos="1314"/>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（1）获取的信息已被合法公开；</w:t>
      </w:r>
    </w:p>
    <w:p>
      <w:pPr>
        <w:tabs>
          <w:tab w:val="left" w:pos="1314"/>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（2）获得信息拥有方书面许可并在该许可范围内披露；</w:t>
      </w:r>
    </w:p>
    <w:p>
      <w:pPr>
        <w:tabs>
          <w:tab w:val="left" w:pos="1314"/>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（3）国家法律、法规规定的情形。</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5.如乙方违反上述保密条款，甲方有权解除本合同，乙方应在合同解除通知发出之日起 10 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6.无论本项目其他条款是否有效，本保密条款始终约束双方。国家秘密的保密期限由国家有关部门确定，工作秘密的保密期限由甲方确定。</w:t>
      </w:r>
    </w:p>
    <w:p>
      <w:pPr>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第十</w:t>
      </w:r>
      <w:r>
        <w:rPr>
          <w:rFonts w:hint="eastAsia" w:ascii="仿宋_GB2312" w:hAnsi="仿宋_GB2312" w:eastAsia="仿宋_GB2312" w:cs="仿宋_GB2312"/>
          <w:b/>
          <w:bCs/>
          <w:kern w:val="0"/>
          <w:sz w:val="24"/>
          <w:lang w:val="en-US" w:eastAsia="zh-CN"/>
        </w:rPr>
        <w:t>一</w:t>
      </w:r>
      <w:r>
        <w:rPr>
          <w:rFonts w:hint="eastAsia" w:ascii="仿宋_GB2312" w:hAnsi="仿宋_GB2312" w:eastAsia="仿宋_GB2312" w:cs="仿宋_GB2312"/>
          <w:b/>
          <w:bCs/>
          <w:kern w:val="0"/>
          <w:sz w:val="24"/>
        </w:rPr>
        <w:t>条 项目变更</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1.本合同履行过程中的需求变更和进度调整，以甲乙双方达成一致的书面文件为准。</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2.乙方遇到不能按期完成工作的情况，应及时以书面形式将不能按期完成工作的理由、延误时间通知甲方。甲方在收到乙方通知后，根据情况决定是否延长完成时间。如同意延长，则乙方责任期也相应延长。</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3.因非乙方责任造成项目进度推迟或延误，无法按照本合同约定的日期完成相应工作，双方经过协商可以进一步约定完成的日期，乙方的责任期也随之顺延。</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4.在本项目进展过程中，经双方同意的工作内容等方面的增减，如所涉增加费用的金额不超过本合同项下服务费总金额的10%</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由双方商定变更内容及具体价格后签订书面补充协议予以确认。</w:t>
      </w:r>
    </w:p>
    <w:p>
      <w:pPr>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第十</w:t>
      </w:r>
      <w:r>
        <w:rPr>
          <w:rFonts w:hint="eastAsia" w:ascii="仿宋_GB2312" w:hAnsi="仿宋_GB2312" w:eastAsia="仿宋_GB2312" w:cs="仿宋_GB2312"/>
          <w:b/>
          <w:bCs/>
          <w:kern w:val="0"/>
          <w:sz w:val="24"/>
          <w:lang w:val="en-US" w:eastAsia="zh-CN"/>
        </w:rPr>
        <w:t>二</w:t>
      </w:r>
      <w:r>
        <w:rPr>
          <w:rFonts w:hint="eastAsia" w:ascii="仿宋_GB2312" w:hAnsi="仿宋_GB2312" w:eastAsia="仿宋_GB2312" w:cs="仿宋_GB2312"/>
          <w:b/>
          <w:bCs/>
          <w:kern w:val="0"/>
          <w:sz w:val="24"/>
        </w:rPr>
        <w:t>条 合同提前终止</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1.双方协商同意提前终止本合同的，按双方协商约定的方式进行清算执行。</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3.有下列情形之一的，本合同自甲方向乙方发出书面通知之日起终止：</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3.1.甲方的职能发生转变，不再具有委托职能。</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本合同签订时适用的法律法规或政策发生变化，且对本合同的继续履行造成重大影响。发生以上情形，甲方已向乙方支付的款项不退还，尚未支付的款项不再支付，同时乙方应向甲方提交在合同终止日前完成的所有项目文件和相关资料。</w:t>
      </w:r>
    </w:p>
    <w:p>
      <w:pPr>
        <w:tabs>
          <w:tab w:val="left" w:pos="1000"/>
        </w:tabs>
        <w:wordWrap w:val="0"/>
        <w:overflowPunct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4.如发生不可抗力或其他超出合同双方控制的事件，致使一方无法履行合同，本合同解除。</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4.2发生不可抗力，甲乙双方承担各自的损失。由于其中一方迟延履行合同义务后发生不可抗力的，其违约责任不能免除。</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第十</w:t>
      </w:r>
      <w:r>
        <w:rPr>
          <w:rFonts w:hint="eastAsia" w:ascii="仿宋_GB2312" w:hAnsi="仿宋_GB2312" w:eastAsia="仿宋_GB2312" w:cs="仿宋_GB2312"/>
          <w:b/>
          <w:bCs/>
          <w:kern w:val="0"/>
          <w:sz w:val="24"/>
          <w:lang w:val="en-US" w:eastAsia="zh-CN"/>
        </w:rPr>
        <w:t>三</w:t>
      </w:r>
      <w:r>
        <w:rPr>
          <w:rFonts w:hint="eastAsia" w:ascii="仿宋_GB2312" w:hAnsi="仿宋_GB2312" w:eastAsia="仿宋_GB2312" w:cs="仿宋_GB2312"/>
          <w:b/>
          <w:bCs/>
          <w:kern w:val="0"/>
          <w:sz w:val="24"/>
        </w:rPr>
        <w:t>条 违约责任</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1.因乙方原因，未能按规定时间完成有关工作的，每延误一天，甲方自尚未支付的合同款项中扣除合同服务总金额的5‰的逾期违约金。</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2.如乙方提供的服务或成果不符合质量要求，必须在甲方提出要求后7个日历日内无条件修改，其费用由乙方承担。</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3.本合同履行期间，发生下述情形时，甲方有权解除本合同，乙方除应退还甲方已支付的全部款项外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还应在合同解除通知发出之日起10日内向甲方支付合同总价款20%的违约金。乙方应同时将已完成的项目成果移交给甲方，并将全部有关资料退还甲方：</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（1）因乙方工作的错误或遗漏造成成果质量不符合本合同要求，且乙方未按甲方要求采取及时有效的补救措施的；</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（2）乙方未能按合同约定的日期(含协商延缓的日期)提交工作成果，延误时间超过30个工作日；或乙方虽如期提交阶段性成果和最终成果，但最终成果连续二次未能通过评审验收的；</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（3）发现乙方或乙方工作人员出现全部或部分丧失履行委托服务能力的情况，甲方有权通知乙方限期整改或更换工作人员，期限届满乙方并未进行改善的；</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（4）未经甲方书面在先同意，乙方擅自将本合同项目与任何第三方合作，或将本合同标的的全部或部分擅自转包给任何第三方，且未按甲方的要求终止与第三方的合同的；</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（5）乙方明确表示或者以自己的行为表明不履行本合同的。</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5.上述违约责任各自独立且可累加。如本合同所约定的违约金无法弥补因违约行为所造成的损失，违约方应补偿上述不足部分的损失。</w:t>
      </w:r>
    </w:p>
    <w:p>
      <w:pPr>
        <w:tabs>
          <w:tab w:val="left" w:pos="210"/>
        </w:tabs>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第十</w:t>
      </w:r>
      <w:r>
        <w:rPr>
          <w:rFonts w:hint="eastAsia" w:ascii="仿宋_GB2312" w:hAnsi="仿宋_GB2312" w:eastAsia="仿宋_GB2312" w:cs="仿宋_GB2312"/>
          <w:b/>
          <w:bCs/>
          <w:kern w:val="0"/>
          <w:sz w:val="24"/>
          <w:lang w:val="en-US" w:eastAsia="zh-CN"/>
        </w:rPr>
        <w:t>四</w:t>
      </w:r>
      <w:r>
        <w:rPr>
          <w:rFonts w:hint="eastAsia" w:ascii="仿宋_GB2312" w:hAnsi="仿宋_GB2312" w:eastAsia="仿宋_GB2312" w:cs="仿宋_GB2312"/>
          <w:b/>
          <w:bCs/>
          <w:kern w:val="0"/>
          <w:sz w:val="24"/>
        </w:rPr>
        <w:t>条 争议解决办法</w:t>
      </w:r>
    </w:p>
    <w:p>
      <w:pPr>
        <w:tabs>
          <w:tab w:val="left" w:pos="21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因本合同的履行或合同本身发生的争议或纠纷，双方应协商解决。协商不成，双方可依法向深圳前海合作区人民法院起诉。</w:t>
      </w:r>
    </w:p>
    <w:p>
      <w:pPr>
        <w:tabs>
          <w:tab w:val="left" w:pos="210"/>
        </w:tabs>
        <w:wordWrap w:val="0"/>
        <w:overflowPunct w:val="0"/>
        <w:autoSpaceDE w:val="0"/>
        <w:autoSpaceDN w:val="0"/>
        <w:adjustRightInd w:val="0"/>
        <w:spacing w:line="360" w:lineRule="auto"/>
        <w:ind w:firstLine="482" w:firstLineChars="200"/>
        <w:outlineLvl w:val="1"/>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第十</w:t>
      </w:r>
      <w:r>
        <w:rPr>
          <w:rFonts w:hint="eastAsia" w:ascii="仿宋_GB2312" w:hAnsi="仿宋_GB2312" w:eastAsia="仿宋_GB2312" w:cs="仿宋_GB2312"/>
          <w:b/>
          <w:bCs/>
          <w:kern w:val="0"/>
          <w:sz w:val="24"/>
          <w:lang w:val="en-US" w:eastAsia="zh-CN"/>
        </w:rPr>
        <w:t>五</w:t>
      </w:r>
      <w:r>
        <w:rPr>
          <w:rFonts w:hint="eastAsia" w:ascii="仿宋_GB2312" w:hAnsi="仿宋_GB2312" w:eastAsia="仿宋_GB2312" w:cs="仿宋_GB2312"/>
          <w:b/>
          <w:bCs/>
          <w:kern w:val="0"/>
          <w:sz w:val="24"/>
        </w:rPr>
        <w:t>条 其他</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（1）合同书及补充协议；</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（2）中标通知书；</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（3）招标文件（编号：</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）及其澄清、补正公告；</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（4）投标书。</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2.本合同附件（如有）为合同不可分割的组成部分，与本合同一并加盖骑缝章后具有同等法律效力。若附件与合同正文有任何冲突，以合同正文为准。</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3.本合同各条标题仅为提示之用，应以条文内容确定各方的权利义务。</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4.本合同未尽事宜，由双方协商签订补充协议进行约定。补充协议应以书面形式作成，经双方法定代表人或其授权代表签字、盖章后与本合同具有同等法律效力。</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5.本合同约定的权利和义务不因合同双方发生收购、兼并、重组、分立而发生变化。如果发生上述情形，则本合同约定的权利和义务随之转移至收购、兼并、重组或分立后成立的单位。</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6.本合同在国家法律、法规和规章规定的范围内执行。当国家法律、法规和规章发生变化导致本合同有关条款与之抵触时，双方协商变更或废止该条款，在此情况下，双方互不承担责任。</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7.如果本合同的任何条款在任何时候变成不合法、无效或不可强制执行而不从根本上影响本合同的效力时，本合同的其他条款不受影响。</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9.本合同的任何内容不应被视为或解释为双方之间具有合资、合伙、代理关系。</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10.任何一方未经另一方同意不得向任何第三方透露本合同的签订及其内容。甲方向其关联公司透露前述内容的，不受此限。</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12.本合同自双方法定代表人或其授权代表签字、盖章之日起生效，有效期至后续服务期满之日止。</w:t>
      </w:r>
    </w:p>
    <w:p>
      <w:pPr>
        <w:tabs>
          <w:tab w:val="left" w:pos="1000"/>
        </w:tabs>
        <w:wordWrap w:val="0"/>
        <w:autoSpaceDE w:val="0"/>
        <w:autoSpaceDN w:val="0"/>
        <w:adjustRightIn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13.本合同一式八份正本，甲方与乙方各执四份，均具同等法律效力。</w:t>
      </w:r>
    </w:p>
    <w:p>
      <w:pPr>
        <w:keepNext w:val="0"/>
        <w:keepLines w:val="0"/>
        <w:pageBreakBefore w:val="0"/>
        <w:kinsoku/>
        <w:wordWrap/>
        <w:topLinePunct w:val="0"/>
        <w:bidi w:val="0"/>
        <w:adjustRightInd w:val="0"/>
        <w:snapToGrid w:val="0"/>
        <w:spacing w:line="360" w:lineRule="auto"/>
        <w:ind w:firstLine="482" w:firstLineChars="200"/>
        <w:rPr>
          <w:rFonts w:hint="eastAsia" w:ascii="仿宋_GB2312" w:hAnsi="仿宋_GB2312" w:eastAsia="仿宋_GB2312" w:cs="仿宋_GB2312"/>
          <w:b/>
          <w:bCs/>
          <w:sz w:val="24"/>
          <w:highlight w:val="none"/>
          <w:lang w:val="en-US" w:eastAsia="zh-CN"/>
        </w:rPr>
      </w:pPr>
    </w:p>
    <w:p>
      <w:pPr>
        <w:pStyle w:val="16"/>
        <w:rPr>
          <w:rFonts w:hint="eastAsia" w:ascii="仿宋_GB2312" w:hAnsi="仿宋_GB2312" w:eastAsia="仿宋_GB2312" w:cs="仿宋_GB2312"/>
          <w:b/>
          <w:bCs/>
          <w:sz w:val="24"/>
          <w:highlight w:val="none"/>
          <w:lang w:val="en-US" w:eastAsia="zh-CN"/>
        </w:rPr>
      </w:pPr>
    </w:p>
    <w:p>
      <w:pPr>
        <w:keepNext w:val="0"/>
        <w:keepLines w:val="0"/>
        <w:pageBreakBefore w:val="0"/>
        <w:kinsoku/>
        <w:wordWrap/>
        <w:topLinePunct w:val="0"/>
        <w:bidi w:val="0"/>
        <w:adjustRightInd w:val="0"/>
        <w:snapToGrid w:val="0"/>
        <w:spacing w:line="360" w:lineRule="auto"/>
        <w:ind w:firstLine="200"/>
        <w:rPr>
          <w:rFonts w:hint="eastAsia" w:ascii="仿宋_GB2312" w:hAnsi="仿宋_GB2312" w:eastAsia="仿宋_GB2312" w:cs="仿宋_GB2312"/>
          <w:sz w:val="24"/>
          <w:highlight w:val="none"/>
        </w:rPr>
      </w:pP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甲方（盖章）：深圳市前海深港现代服务业</w:t>
      </w:r>
      <w:r>
        <w:rPr>
          <w:rFonts w:hint="eastAsia" w:ascii="仿宋_GB2312" w:hAnsi="仿宋_GB2312" w:eastAsia="仿宋_GB2312" w:cs="仿宋_GB2312"/>
          <w:sz w:val="24"/>
          <w:szCs w:val="24"/>
          <w:highlight w:val="none"/>
          <w:lang w:val="en-US" w:eastAsia="zh-CN"/>
        </w:rPr>
        <w:t>合作区管理局</w:t>
      </w: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法定代表人或授权代表（签字）：</w:t>
      </w: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日期：     年    月   日            </w:t>
      </w: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rPr>
      </w:pP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rPr>
      </w:pP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rPr>
      </w:pP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乙方（盖章）： </w:t>
      </w: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法定代表人或授权代表（签字）：</w:t>
      </w:r>
    </w:p>
    <w:p>
      <w:pPr>
        <w:keepNext w:val="0"/>
        <w:keepLines w:val="0"/>
        <w:pageBreakBefore w:val="0"/>
        <w:widowControl w:val="0"/>
        <w:shd w:val="clear" w:color="auto"/>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日期：     年    月   日</w:t>
      </w:r>
    </w:p>
    <w:p>
      <w:pPr>
        <w:shd w:val="clear" w:color="auto"/>
        <w:adjustRightInd w:val="0"/>
        <w:snapToGrid w:val="0"/>
        <w:spacing w:line="360" w:lineRule="auto"/>
        <w:rPr>
          <w:rFonts w:hint="eastAsia" w:ascii="宋体" w:hAnsi="宋体" w:cs="宋体"/>
          <w:sz w:val="24"/>
          <w:highlight w:val="none"/>
        </w:rPr>
      </w:pPr>
    </w:p>
    <w:p>
      <w:pPr>
        <w:shd w:val="clear" w:color="auto"/>
        <w:adjustRightInd w:val="0"/>
        <w:snapToGrid w:val="0"/>
        <w:spacing w:line="360" w:lineRule="auto"/>
        <w:rPr>
          <w:rFonts w:ascii="宋体" w:hAnsi="宋体" w:cs="宋体"/>
          <w:sz w:val="24"/>
          <w:highlight w:val="none"/>
        </w:rPr>
      </w:pPr>
      <w:r>
        <w:rPr>
          <w:rFonts w:hint="eastAsia" w:ascii="宋体" w:hAnsi="宋体" w:cs="宋体"/>
          <w:sz w:val="24"/>
          <w:highlight w:val="none"/>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sz w:val="24"/>
          <w:highlight w:val="none"/>
        </w:rPr>
        <w:sectPr>
          <w:footerReference r:id="rId3" w:type="default"/>
          <w:pgSz w:w="11906" w:h="16838"/>
          <w:pgMar w:top="1440" w:right="1633" w:bottom="1440" w:left="1633"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 xml:space="preserve"> </w:t>
      </w:r>
      <w:bookmarkStart w:id="18" w:name="_Toc793"/>
      <w:r>
        <w:rPr>
          <w:rFonts w:hint="eastAsia" w:ascii="宋体" w:hAnsi="宋体" w:cs="宋体"/>
          <w:b/>
          <w:bCs/>
          <w:sz w:val="24"/>
          <w:highlight w:val="none"/>
        </w:rPr>
        <w:t>用户需求书</w:t>
      </w:r>
      <w:bookmarkEnd w:id="18"/>
    </w:p>
    <w:p>
      <w:pPr>
        <w:widowControl w:val="0"/>
        <w:tabs>
          <w:tab w:val="left" w:pos="720"/>
        </w:tabs>
        <w:autoSpaceDE w:val="0"/>
        <w:autoSpaceDN w:val="0"/>
        <w:adjustRightInd w:val="0"/>
        <w:spacing w:line="360" w:lineRule="auto"/>
        <w:ind w:right="17" w:firstLine="482" w:firstLineChars="200"/>
        <w:jc w:val="left"/>
        <w:outlineLvl w:val="1"/>
        <w:rPr>
          <w:rFonts w:ascii="宋体" w:hAnsi="宋体" w:eastAsia="宋体" w:cs="宋体"/>
          <w:b/>
          <w:color w:val="000000" w:themeColor="text1"/>
          <w:kern w:val="2"/>
          <w:sz w:val="24"/>
          <w:szCs w:val="24"/>
          <w:lang w:val="en-US" w:eastAsia="zh-CN" w:bidi="ar-SA"/>
          <w14:textFill>
            <w14:solidFill>
              <w14:schemeClr w14:val="tx1"/>
            </w14:solidFill>
          </w14:textFill>
        </w:rPr>
      </w:pPr>
      <w:bookmarkStart w:id="19" w:name="_Toc23726"/>
      <w:bookmarkStart w:id="20" w:name="_Toc11045"/>
      <w:r>
        <w:rPr>
          <w:rFonts w:hint="eastAsia" w:ascii="宋体" w:hAnsi="宋体" w:eastAsia="宋体" w:cs="宋体"/>
          <w:b/>
          <w:color w:val="000000" w:themeColor="text1"/>
          <w:kern w:val="2"/>
          <w:sz w:val="24"/>
          <w:szCs w:val="24"/>
          <w:lang w:val="en-US" w:eastAsia="zh-CN" w:bidi="ar-SA"/>
          <w14:textFill>
            <w14:solidFill>
              <w14:schemeClr w14:val="tx1"/>
            </w14:solidFill>
          </w14:textFill>
        </w:rPr>
        <w:t>一、</w:t>
      </w:r>
      <w:bookmarkStart w:id="21" w:name="_Toc51746099"/>
      <w:r>
        <w:rPr>
          <w:rFonts w:hint="eastAsia" w:ascii="宋体" w:hAnsi="宋体" w:eastAsia="宋体" w:cs="宋体"/>
          <w:b/>
          <w:color w:val="000000" w:themeColor="text1"/>
          <w:kern w:val="2"/>
          <w:sz w:val="24"/>
          <w:szCs w:val="24"/>
          <w:lang w:val="zh-CN" w:eastAsia="zh-CN" w:bidi="ar-SA"/>
          <w14:textFill>
            <w14:solidFill>
              <w14:schemeClr w14:val="tx1"/>
            </w14:solidFill>
          </w14:textFill>
        </w:rPr>
        <w:t>项目概况</w:t>
      </w:r>
    </w:p>
    <w:bookmarkEnd w:id="21"/>
    <w:p>
      <w:pPr>
        <w:widowControl w:val="0"/>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全面收集并分析前海与香港间的各类交通出行方式、现状跨境基础设施使用情况，摸清主要出行口岸的运营现状；开展港人出行问卷调查，精准掌握其跨境需求特征及关注的热点、难点问题。系统梳理前海至香港交通互联的现存问题并深入剖析成因。研究提出陆路、水运交通提升及蛇口邮轮母港综合交通服务提升方案，形成近、中、远期行动计划。</w:t>
      </w:r>
    </w:p>
    <w:p>
      <w:pPr>
        <w:spacing w:line="440" w:lineRule="exact"/>
        <w:ind w:firstLine="482" w:firstLineChars="200"/>
        <w:outlineLvl w:val="1"/>
        <w:rPr>
          <w:rFonts w:hint="eastAsia" w:ascii="宋体" w:hAnsi="宋体" w:eastAsia="宋体" w:cs="Times New Roman"/>
          <w:b/>
          <w:color w:val="auto"/>
          <w:sz w:val="24"/>
          <w:szCs w:val="32"/>
        </w:rPr>
      </w:pPr>
      <w:r>
        <w:rPr>
          <w:rFonts w:hint="eastAsia" w:ascii="宋体" w:hAnsi="宋体" w:eastAsia="宋体" w:cs="Times New Roman"/>
          <w:b/>
          <w:color w:val="auto"/>
          <w:sz w:val="24"/>
          <w:szCs w:val="32"/>
          <w:lang w:val="en-US" w:eastAsia="zh-CN"/>
        </w:rPr>
        <w:t>二</w:t>
      </w:r>
      <w:r>
        <w:rPr>
          <w:rFonts w:hint="eastAsia" w:ascii="宋体" w:hAnsi="宋体" w:eastAsia="宋体" w:cs="Times New Roman"/>
          <w:b/>
          <w:color w:val="auto"/>
          <w:sz w:val="24"/>
          <w:szCs w:val="32"/>
        </w:rPr>
        <w:t>、项目目标</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开展前海-香港跨境交通服务提升专项研究</w:t>
      </w:r>
      <w:r>
        <w:rPr>
          <w:rFonts w:hint="eastAsia" w:ascii="宋体" w:hAnsi="宋体" w:eastAsia="宋体" w:cs="Times New Roman"/>
          <w:color w:val="auto"/>
          <w:sz w:val="24"/>
          <w:szCs w:val="24"/>
          <w:lang w:val="en-US" w:eastAsia="zh-CN"/>
        </w:rPr>
        <w:t>工作</w:t>
      </w:r>
      <w:r>
        <w:rPr>
          <w:rFonts w:hint="eastAsia" w:ascii="宋体" w:hAnsi="宋体" w:eastAsia="宋体" w:cs="Times New Roman"/>
          <w:color w:val="auto"/>
          <w:sz w:val="24"/>
          <w:szCs w:val="24"/>
        </w:rPr>
        <w:t>，充分发挥前海体制机制优势先行先试，构建高质量前海与香港协同发展空间格局，集中力量攻克水运、陆路等跨境交通痛点问题，推动既有蛇口邮轮母港综合交通服务提升，打造深港跨境通勤交通运输服务的“前海典范”，便利前海至香港工作生活往来。</w:t>
      </w:r>
    </w:p>
    <w:p>
      <w:pPr>
        <w:spacing w:line="440" w:lineRule="exact"/>
        <w:ind w:firstLine="482" w:firstLineChars="200"/>
        <w:outlineLvl w:val="1"/>
        <w:rPr>
          <w:rFonts w:hint="eastAsia" w:ascii="宋体" w:hAnsi="宋体" w:eastAsia="宋体" w:cs="Times New Roman"/>
          <w:b/>
          <w:color w:val="auto"/>
          <w:sz w:val="24"/>
          <w:szCs w:val="32"/>
        </w:rPr>
      </w:pPr>
      <w:r>
        <w:rPr>
          <w:rFonts w:hint="eastAsia" w:ascii="宋体" w:hAnsi="宋体" w:eastAsia="宋体" w:cs="Times New Roman"/>
          <w:b/>
          <w:color w:val="auto"/>
          <w:sz w:val="24"/>
          <w:szCs w:val="32"/>
          <w:lang w:val="en-US" w:eastAsia="zh-CN"/>
        </w:rPr>
        <w:t>三</w:t>
      </w:r>
      <w:r>
        <w:rPr>
          <w:rFonts w:hint="eastAsia" w:ascii="宋体" w:hAnsi="宋体" w:eastAsia="宋体" w:cs="Times New Roman"/>
          <w:b/>
          <w:color w:val="auto"/>
          <w:sz w:val="24"/>
          <w:szCs w:val="32"/>
        </w:rPr>
        <w:t>、研究范围和规划年限</w:t>
      </w:r>
    </w:p>
    <w:p>
      <w:pPr>
        <w:spacing w:line="440" w:lineRule="exact"/>
        <w:ind w:firstLine="480" w:firstLineChars="200"/>
        <w:outlineLvl w:val="2"/>
        <w:rPr>
          <w:rFonts w:hint="eastAsia" w:ascii="宋体" w:hAnsi="宋体" w:eastAsia="宋体" w:cs="Times New Roman"/>
          <w:color w:val="auto"/>
          <w:sz w:val="24"/>
          <w:szCs w:val="24"/>
        </w:rPr>
      </w:pPr>
      <w:r>
        <w:rPr>
          <w:rFonts w:hint="eastAsia" w:ascii="宋体" w:hAnsi="宋体" w:eastAsia="宋体" w:cs="Times New Roman"/>
          <w:color w:val="auto"/>
          <w:sz w:val="24"/>
          <w:szCs w:val="24"/>
        </w:rPr>
        <w:t>（一）研究范围</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前海三湾片区及蛇口片区28.2平方公里，蛇口邮轮母港综合交通服务提升研究核心范围取约0.11平方公里（艺海路-沁海路-邮轮母港-海运路-乐海路围合范围），拓展研究范围取约0.33平方公里（望海路-太子湾大道-邮轮母港-沁海路围合范围）。</w:t>
      </w:r>
    </w:p>
    <w:p>
      <w:pPr>
        <w:spacing w:line="440" w:lineRule="exact"/>
        <w:ind w:firstLine="480" w:firstLineChars="200"/>
        <w:outlineLvl w:val="2"/>
        <w:rPr>
          <w:rFonts w:hint="eastAsia" w:ascii="宋体" w:hAnsi="宋体" w:eastAsia="宋体" w:cs="Times New Roman"/>
          <w:color w:val="auto"/>
          <w:sz w:val="24"/>
          <w:szCs w:val="24"/>
        </w:rPr>
      </w:pPr>
      <w:r>
        <w:rPr>
          <w:rFonts w:hint="eastAsia" w:ascii="宋体" w:hAnsi="宋体" w:eastAsia="宋体" w:cs="Times New Roman"/>
          <w:color w:val="auto"/>
          <w:sz w:val="24"/>
          <w:szCs w:val="24"/>
        </w:rPr>
        <w:t>（二）规划年限</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本项目规划年限为近期2025年，远期2035年。</w:t>
      </w:r>
    </w:p>
    <w:p>
      <w:pPr>
        <w:pStyle w:val="41"/>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四、工作内容</w:t>
      </w:r>
    </w:p>
    <w:p>
      <w:pPr>
        <w:spacing w:line="440" w:lineRule="exact"/>
        <w:ind w:firstLine="480"/>
        <w:outlineLvl w:val="2"/>
        <w:rPr>
          <w:rFonts w:hint="eastAsia" w:ascii="宋体" w:hAnsi="宋体" w:cs="Times New Roman"/>
          <w:b w:val="0"/>
          <w:color w:val="auto"/>
          <w:sz w:val="24"/>
          <w:lang w:val="en-US" w:eastAsia="zh-CN"/>
        </w:rPr>
      </w:pPr>
      <w:r>
        <w:rPr>
          <w:rFonts w:hint="eastAsia" w:ascii="宋体" w:hAnsi="宋体" w:cs="Times New Roman"/>
          <w:b w:val="0"/>
          <w:color w:val="auto"/>
          <w:sz w:val="24"/>
          <w:lang w:val="en-US" w:eastAsia="zh-CN"/>
        </w:rPr>
        <w:t>（一）前海至香港交通需求分析与跨境要素梳理</w:t>
      </w:r>
    </w:p>
    <w:p>
      <w:pPr>
        <w:spacing w:line="440" w:lineRule="exact"/>
        <w:ind w:firstLine="480"/>
        <w:rPr>
          <w:rFonts w:hint="eastAsia" w:ascii="宋体" w:hAnsi="宋体" w:cs="Times New Roman"/>
          <w:b w:val="0"/>
          <w:color w:val="auto"/>
          <w:sz w:val="24"/>
          <w:lang w:val="en-US" w:eastAsia="zh-CN"/>
        </w:rPr>
      </w:pPr>
      <w:r>
        <w:rPr>
          <w:rFonts w:hint="eastAsia" w:ascii="宋体" w:hAnsi="宋体" w:cs="Times New Roman"/>
          <w:b w:val="0"/>
          <w:color w:val="auto"/>
          <w:sz w:val="24"/>
          <w:lang w:val="en-US" w:eastAsia="zh-CN"/>
        </w:rPr>
        <w:t>全面收集并系统分析前海与香港间的各类交通出行方式、现状跨境基础设施使用情况，深度摸清主要出行口岸的运营现状；通过开展港人出行问卷调查，精准掌握其跨境需求特征及关注的热点、难点问题。基于上述需求分析与现状梳理成果，系统梳理前海至香港交通互联的现存问题并深入剖析成因。</w:t>
      </w:r>
    </w:p>
    <w:p>
      <w:pPr>
        <w:spacing w:line="440" w:lineRule="exact"/>
        <w:ind w:firstLine="480"/>
        <w:outlineLvl w:val="2"/>
        <w:rPr>
          <w:rFonts w:hint="eastAsia" w:ascii="宋体" w:hAnsi="宋体" w:cs="Times New Roman"/>
          <w:b w:val="0"/>
          <w:color w:val="auto"/>
          <w:sz w:val="24"/>
          <w:lang w:val="en-US" w:eastAsia="zh-CN"/>
        </w:rPr>
      </w:pPr>
      <w:r>
        <w:rPr>
          <w:rFonts w:hint="eastAsia" w:ascii="宋体" w:hAnsi="宋体" w:cs="Times New Roman"/>
          <w:b w:val="0"/>
          <w:color w:val="auto"/>
          <w:sz w:val="24"/>
          <w:lang w:val="en-US" w:eastAsia="zh-CN"/>
        </w:rPr>
        <w:t>（二）前海与香港跨境交通方式提升研究</w:t>
      </w:r>
    </w:p>
    <w:p>
      <w:pPr>
        <w:spacing w:line="440" w:lineRule="exact"/>
        <w:ind w:firstLine="480"/>
        <w:rPr>
          <w:rFonts w:hint="eastAsia" w:ascii="宋体" w:hAnsi="宋体" w:cs="Times New Roman"/>
          <w:b w:val="0"/>
          <w:color w:val="auto"/>
          <w:sz w:val="24"/>
          <w:lang w:val="en-US" w:eastAsia="zh-CN"/>
        </w:rPr>
      </w:pPr>
      <w:r>
        <w:rPr>
          <w:rFonts w:hint="eastAsia" w:ascii="宋体" w:hAnsi="宋体" w:cs="Times New Roman"/>
          <w:b w:val="0"/>
          <w:color w:val="auto"/>
          <w:sz w:val="24"/>
          <w:lang w:val="en-US" w:eastAsia="zh-CN"/>
        </w:rPr>
        <w:t>（1）陆路交通提升：针对蛇口邮轮母港等重点跨境设施与三湾片区的交通衔接提出优化方案；结合港人需求和通关政策，提出点到点陆路衔接提质方案。</w:t>
      </w:r>
    </w:p>
    <w:p>
      <w:pPr>
        <w:spacing w:line="440" w:lineRule="exact"/>
        <w:ind w:firstLine="480"/>
        <w:rPr>
          <w:rFonts w:hint="eastAsia" w:ascii="宋体" w:hAnsi="宋体" w:cs="Times New Roman"/>
          <w:b w:val="0"/>
          <w:color w:val="auto"/>
          <w:sz w:val="24"/>
          <w:lang w:val="en-US" w:eastAsia="zh-CN"/>
        </w:rPr>
      </w:pPr>
      <w:r>
        <w:rPr>
          <w:rFonts w:hint="eastAsia" w:ascii="宋体" w:hAnsi="宋体" w:cs="Times New Roman"/>
          <w:b w:val="0"/>
          <w:color w:val="auto"/>
          <w:sz w:val="24"/>
          <w:lang w:val="en-US" w:eastAsia="zh-CN"/>
        </w:rPr>
        <w:t>（2）水运交通提升：针对水运码头开行运营提出优化方案，包括但不限于运行班次、营运时段、通关流程等。</w:t>
      </w:r>
    </w:p>
    <w:p>
      <w:pPr>
        <w:spacing w:line="440" w:lineRule="exact"/>
        <w:ind w:firstLine="480"/>
        <w:rPr>
          <w:rFonts w:hint="eastAsia" w:ascii="宋体" w:hAnsi="宋体" w:cs="Times New Roman"/>
          <w:b w:val="0"/>
          <w:color w:val="auto"/>
          <w:sz w:val="24"/>
          <w:lang w:val="en-US" w:eastAsia="zh-CN"/>
        </w:rPr>
      </w:pPr>
      <w:r>
        <w:rPr>
          <w:rFonts w:hint="eastAsia" w:ascii="宋体" w:hAnsi="宋体" w:cs="Times New Roman"/>
          <w:b w:val="0"/>
          <w:color w:val="auto"/>
          <w:sz w:val="24"/>
          <w:lang w:val="en-US" w:eastAsia="zh-CN"/>
        </w:rPr>
        <w:t>（3）蛇口邮轮母港综合交通服务提升：结合港人跨境需求，针对性提出蛇口邮轮母港综合交通服务提升方案，提升蛇口邮轮母港通关、换乘、接驳交通便利化。</w:t>
      </w:r>
    </w:p>
    <w:p>
      <w:pPr>
        <w:spacing w:line="440" w:lineRule="exact"/>
        <w:ind w:firstLine="480"/>
        <w:outlineLvl w:val="2"/>
        <w:rPr>
          <w:rFonts w:hint="eastAsia" w:ascii="宋体" w:hAnsi="宋体" w:cs="Times New Roman"/>
          <w:b w:val="0"/>
          <w:color w:val="auto"/>
          <w:sz w:val="24"/>
          <w:lang w:val="en-US" w:eastAsia="zh-CN"/>
        </w:rPr>
      </w:pPr>
      <w:r>
        <w:rPr>
          <w:rFonts w:hint="eastAsia" w:ascii="宋体" w:hAnsi="宋体" w:cs="Times New Roman"/>
          <w:b w:val="0"/>
          <w:color w:val="auto"/>
          <w:sz w:val="24"/>
          <w:lang w:val="en-US" w:eastAsia="zh-CN"/>
        </w:rPr>
        <w:t>（三）实施计划梳理</w:t>
      </w:r>
    </w:p>
    <w:p>
      <w:pPr>
        <w:spacing w:line="440" w:lineRule="exact"/>
        <w:ind w:firstLine="480"/>
        <w:rPr>
          <w:rFonts w:hint="eastAsia" w:ascii="宋体" w:hAnsi="宋体" w:cs="Times New Roman"/>
          <w:b w:val="0"/>
          <w:color w:val="auto"/>
          <w:sz w:val="24"/>
          <w:lang w:val="en-US" w:eastAsia="zh-CN"/>
        </w:rPr>
      </w:pPr>
      <w:r>
        <w:rPr>
          <w:rFonts w:hint="eastAsia" w:ascii="宋体" w:hAnsi="宋体" w:cs="Times New Roman"/>
          <w:b w:val="0"/>
          <w:color w:val="auto"/>
          <w:sz w:val="24"/>
          <w:lang w:val="en-US" w:eastAsia="zh-CN"/>
        </w:rPr>
        <w:t>依据研究内容，系统梳理形成具体推进措施，构建任务项目库，按近、中、远期划分阶段性行动计划，明确各建设项目的实施时序。</w:t>
      </w:r>
    </w:p>
    <w:p>
      <w:pPr>
        <w:pStyle w:val="4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五</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工作计划及</w:t>
      </w:r>
      <w:r>
        <w:rPr>
          <w:rFonts w:hint="eastAsia" w:ascii="宋体" w:hAnsi="宋体" w:cs="宋体"/>
          <w:b/>
          <w:bCs/>
          <w:color w:val="000000" w:themeColor="text1"/>
          <w:sz w:val="24"/>
          <w:lang w:val="en-US" w:eastAsia="zh-CN"/>
          <w14:textFill>
            <w14:solidFill>
              <w14:schemeClr w14:val="tx1"/>
            </w14:solidFill>
          </w14:textFill>
        </w:rPr>
        <w:t>成果要求</w:t>
      </w:r>
    </w:p>
    <w:p>
      <w:pPr>
        <w:pStyle w:val="41"/>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highlight w:val="none"/>
          <w:lang w:val="en-US" w:eastAsia="zh-CN"/>
          <w14:textFill>
            <w14:solidFill>
              <w14:schemeClr w14:val="tx1"/>
            </w14:solidFill>
          </w14:textFill>
        </w:rPr>
      </w:pPr>
      <w:bookmarkStart w:id="22" w:name="OLE_LINK5"/>
      <w:r>
        <w:rPr>
          <w:rFonts w:hint="eastAsia" w:ascii="宋体" w:hAnsi="宋体" w:cs="宋体"/>
          <w:bCs/>
          <w:color w:val="000000" w:themeColor="text1"/>
          <w:sz w:val="24"/>
          <w:highlight w:val="none"/>
          <w:lang w:val="en-US" w:eastAsia="zh-CN"/>
          <w14:textFill>
            <w14:solidFill>
              <w14:schemeClr w14:val="tx1"/>
            </w14:solidFill>
          </w14:textFill>
        </w:rPr>
        <w:t>（一）</w:t>
      </w:r>
      <w:bookmarkEnd w:id="22"/>
      <w:r>
        <w:rPr>
          <w:rFonts w:hint="eastAsia" w:ascii="宋体" w:hAnsi="宋体" w:cs="宋体"/>
          <w:bCs/>
          <w:color w:val="000000" w:themeColor="text1"/>
          <w:sz w:val="24"/>
          <w:highlight w:val="none"/>
          <w:lang w:val="en-US" w:eastAsia="zh-CN"/>
          <w14:textFill>
            <w14:solidFill>
              <w14:schemeClr w14:val="tx1"/>
            </w14:solidFill>
          </w14:textFill>
        </w:rPr>
        <w:t>工作计划</w:t>
      </w:r>
    </w:p>
    <w:p>
      <w:pPr>
        <w:pStyle w:val="41"/>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本项目服务从合同签订之日开始，各阶段具体工作进度将根据采购方实际需要进行安排。</w:t>
      </w:r>
    </w:p>
    <w:p>
      <w:pPr>
        <w:pStyle w:val="41"/>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（二）成果内容</w:t>
      </w:r>
    </w:p>
    <w:p>
      <w:pPr>
        <w:pStyle w:val="41"/>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（1）规划图纸数量：8套</w:t>
      </w:r>
    </w:p>
    <w:p>
      <w:pPr>
        <w:pStyle w:val="41"/>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（2）研究报告（及专题报告：如有）数量：8套</w:t>
      </w:r>
    </w:p>
    <w:p>
      <w:pPr>
        <w:pStyle w:val="41"/>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（3）以上文件的电子档案格式要求： WORD、DWG、JPG、PDF</w:t>
      </w:r>
    </w:p>
    <w:p>
      <w:pPr>
        <w:pStyle w:val="41"/>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（4）汇报演示系统格式要求：PPT。</w:t>
      </w:r>
    </w:p>
    <w:p>
      <w:pPr>
        <w:pStyle w:val="41"/>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（5）成果其它要求：必要时采购方可以对最终成果的构成进行调整。采购方如需中标方增加交付成果文本的数量，应由双方协商解决。</w:t>
      </w:r>
    </w:p>
    <w:p>
      <w:pPr>
        <w:pStyle w:val="41"/>
        <w:tabs>
          <w:tab w:val="left" w:pos="720"/>
        </w:tabs>
        <w:autoSpaceDE w:val="0"/>
        <w:autoSpaceDN w:val="0"/>
        <w:adjustRightInd w:val="0"/>
        <w:spacing w:line="360" w:lineRule="auto"/>
        <w:ind w:right="17" w:firstLine="482"/>
        <w:jc w:val="left"/>
        <w:outlineLvl w:val="1"/>
        <w:rPr>
          <w:rFonts w:hint="default"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六</w:t>
      </w:r>
      <w:r>
        <w:rPr>
          <w:rFonts w:hint="eastAsia" w:ascii="宋体" w:hAnsi="宋体" w:cs="宋体"/>
          <w:b/>
          <w:color w:val="000000" w:themeColor="text1"/>
          <w:sz w:val="24"/>
          <w:highlight w:val="none"/>
          <w14:textFill>
            <w14:solidFill>
              <w14:schemeClr w14:val="tx1"/>
            </w14:solidFill>
          </w14:textFill>
        </w:rPr>
        <w:t>、</w:t>
      </w:r>
      <w:bookmarkStart w:id="23" w:name="OLE_LINK8"/>
      <w:r>
        <w:rPr>
          <w:rFonts w:hint="eastAsia" w:ascii="宋体" w:hAnsi="宋体" w:cs="宋体"/>
          <w:b/>
          <w:color w:val="000000" w:themeColor="text1"/>
          <w:sz w:val="24"/>
          <w:highlight w:val="none"/>
          <w14:textFill>
            <w14:solidFill>
              <w14:schemeClr w14:val="tx1"/>
            </w14:solidFill>
          </w14:textFill>
        </w:rPr>
        <w:t>进度要求</w:t>
      </w:r>
      <w:bookmarkEnd w:id="23"/>
      <w:r>
        <w:rPr>
          <w:rFonts w:hint="eastAsia" w:ascii="宋体" w:hAnsi="宋体" w:cs="宋体"/>
          <w:b/>
          <w:color w:val="000000" w:themeColor="text1"/>
          <w:sz w:val="24"/>
          <w:highlight w:val="none"/>
          <w:lang w:val="en-US" w:eastAsia="zh-CN"/>
          <w14:textFill>
            <w14:solidFill>
              <w14:schemeClr w14:val="tx1"/>
            </w14:solidFill>
          </w14:textFill>
        </w:rPr>
        <w:t>及验收方式</w:t>
      </w:r>
    </w:p>
    <w:p>
      <w:pPr>
        <w:pStyle w:val="41"/>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一</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进度要求</w:t>
      </w:r>
    </w:p>
    <w:p>
      <w:pPr>
        <w:pStyle w:val="41"/>
        <w:tabs>
          <w:tab w:val="left" w:pos="720"/>
        </w:tabs>
        <w:autoSpaceDE w:val="0"/>
        <w:autoSpaceDN w:val="0"/>
        <w:adjustRightInd w:val="0"/>
        <w:spacing w:line="360" w:lineRule="auto"/>
        <w:ind w:right="17" w:firstLine="48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自合同签订之日起6个月内完成全部项目工作内容并提交最终成果。各阶段具体工作进度将根据</w:t>
      </w:r>
      <w:r>
        <w:rPr>
          <w:rFonts w:hint="eastAsia" w:ascii="宋体" w:hAnsi="宋体" w:cs="宋体"/>
          <w:bCs/>
          <w:color w:val="000000" w:themeColor="text1"/>
          <w:sz w:val="24"/>
          <w:highlight w:val="none"/>
          <w:lang w:val="en-US" w:eastAsia="zh-CN"/>
          <w14:textFill>
            <w14:solidFill>
              <w14:schemeClr w14:val="tx1"/>
            </w14:solidFill>
          </w14:textFill>
        </w:rPr>
        <w:t>采购</w:t>
      </w:r>
      <w:r>
        <w:rPr>
          <w:rFonts w:hint="eastAsia" w:ascii="宋体" w:hAnsi="宋体" w:eastAsia="宋体" w:cs="宋体"/>
          <w:bCs/>
          <w:color w:val="000000" w:themeColor="text1"/>
          <w:sz w:val="24"/>
          <w:highlight w:val="none"/>
          <w:lang w:eastAsia="zh-CN"/>
          <w14:textFill>
            <w14:solidFill>
              <w14:schemeClr w14:val="tx1"/>
            </w14:solidFill>
          </w14:textFill>
        </w:rPr>
        <w:t>方实际需要进行安排。</w:t>
      </w:r>
    </w:p>
    <w:p>
      <w:pPr>
        <w:pStyle w:val="41"/>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（二）验收方式</w:t>
      </w:r>
    </w:p>
    <w:p>
      <w:pPr>
        <w:pStyle w:val="41"/>
        <w:tabs>
          <w:tab w:val="left" w:pos="720"/>
        </w:tabs>
        <w:autoSpaceDE w:val="0"/>
        <w:autoSpaceDN w:val="0"/>
        <w:adjustRightInd w:val="0"/>
        <w:spacing w:line="360" w:lineRule="auto"/>
        <w:ind w:right="17" w:firstLine="48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采购方验收通过。</w:t>
      </w:r>
    </w:p>
    <w:p>
      <w:pPr>
        <w:pStyle w:val="41"/>
        <w:tabs>
          <w:tab w:val="left" w:pos="720"/>
        </w:tabs>
        <w:autoSpaceDE w:val="0"/>
        <w:autoSpaceDN w:val="0"/>
        <w:adjustRightInd w:val="0"/>
        <w:spacing w:line="360" w:lineRule="auto"/>
        <w:ind w:right="17" w:firstLine="482"/>
        <w:jc w:val="left"/>
        <w:outlineLvl w:val="1"/>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七</w:t>
      </w:r>
      <w:r>
        <w:rPr>
          <w:rFonts w:hint="eastAsia" w:ascii="宋体" w:hAnsi="宋体" w:eastAsia="宋体" w:cs="宋体"/>
          <w:b/>
          <w:color w:val="000000" w:themeColor="text1"/>
          <w:sz w:val="24"/>
          <w:highlight w:val="none"/>
          <w:lang w:val="en-US" w:eastAsia="zh-CN"/>
          <w14:textFill>
            <w14:solidFill>
              <w14:schemeClr w14:val="tx1"/>
            </w14:solidFill>
          </w14:textFill>
        </w:rPr>
        <w:t>、项目人员安排要求</w:t>
      </w:r>
    </w:p>
    <w:p>
      <w:pPr>
        <w:pStyle w:val="41"/>
        <w:tabs>
          <w:tab w:val="left" w:pos="720"/>
        </w:tabs>
        <w:autoSpaceDE w:val="0"/>
        <w:autoSpaceDN w:val="0"/>
        <w:adjustRightInd w:val="0"/>
        <w:spacing w:line="360" w:lineRule="auto"/>
        <w:ind w:right="17" w:firstLine="48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1.</w:t>
      </w:r>
      <w:r>
        <w:rPr>
          <w:rFonts w:hint="eastAsia" w:ascii="宋体" w:hAnsi="宋体" w:cs="宋体"/>
          <w:bCs/>
          <w:color w:val="000000" w:themeColor="text1"/>
          <w:sz w:val="24"/>
          <w:highlight w:val="none"/>
          <w:lang w:val="en-US" w:eastAsia="zh-CN"/>
          <w14:textFill>
            <w14:solidFill>
              <w14:schemeClr w14:val="tx1"/>
            </w14:solidFill>
          </w14:textFill>
        </w:rPr>
        <w:t>中标</w:t>
      </w:r>
      <w:r>
        <w:rPr>
          <w:rFonts w:hint="eastAsia" w:ascii="宋体" w:hAnsi="宋体" w:eastAsia="宋体" w:cs="宋体"/>
          <w:bCs/>
          <w:color w:val="000000" w:themeColor="text1"/>
          <w:sz w:val="24"/>
          <w:highlight w:val="none"/>
          <w:lang w:eastAsia="zh-CN"/>
          <w14:textFill>
            <w14:solidFill>
              <w14:schemeClr w14:val="tx1"/>
            </w14:solidFill>
          </w14:textFill>
        </w:rPr>
        <w:t>方项目团队应具有完善的人员组织管理体系，具有国家和有关部门规定的相应资质。</w:t>
      </w:r>
    </w:p>
    <w:p>
      <w:pPr>
        <w:pStyle w:val="41"/>
        <w:tabs>
          <w:tab w:val="left" w:pos="720"/>
        </w:tabs>
        <w:autoSpaceDE w:val="0"/>
        <w:autoSpaceDN w:val="0"/>
        <w:adjustRightInd w:val="0"/>
        <w:spacing w:line="360" w:lineRule="auto"/>
        <w:ind w:right="17" w:firstLine="48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2.</w:t>
      </w:r>
      <w:r>
        <w:rPr>
          <w:rFonts w:hint="eastAsia" w:ascii="宋体" w:hAnsi="宋体" w:cs="宋体"/>
          <w:bCs/>
          <w:color w:val="000000" w:themeColor="text1"/>
          <w:sz w:val="24"/>
          <w:highlight w:val="none"/>
          <w:lang w:val="en-US" w:eastAsia="zh-CN"/>
          <w14:textFill>
            <w14:solidFill>
              <w14:schemeClr w14:val="tx1"/>
            </w14:solidFill>
          </w14:textFill>
        </w:rPr>
        <w:t>中标</w:t>
      </w:r>
      <w:r>
        <w:rPr>
          <w:rFonts w:hint="eastAsia" w:ascii="宋体" w:hAnsi="宋体" w:eastAsia="宋体" w:cs="宋体"/>
          <w:bCs/>
          <w:color w:val="000000" w:themeColor="text1"/>
          <w:sz w:val="24"/>
          <w:highlight w:val="none"/>
          <w:lang w:eastAsia="zh-CN"/>
          <w14:textFill>
            <w14:solidFill>
              <w14:schemeClr w14:val="tx1"/>
            </w14:solidFill>
          </w14:textFill>
        </w:rPr>
        <w:t>方参加本项目的人员必须与投标文件一致，名单详见附件。</w:t>
      </w:r>
      <w:r>
        <w:rPr>
          <w:rFonts w:hint="eastAsia" w:ascii="宋体" w:hAnsi="宋体" w:cs="宋体"/>
          <w:bCs/>
          <w:color w:val="000000" w:themeColor="text1"/>
          <w:sz w:val="24"/>
          <w:highlight w:val="none"/>
          <w:lang w:val="en-US" w:eastAsia="zh-CN"/>
          <w14:textFill>
            <w14:solidFill>
              <w14:schemeClr w14:val="tx1"/>
            </w14:solidFill>
          </w14:textFill>
        </w:rPr>
        <w:t>中标</w:t>
      </w:r>
      <w:r>
        <w:rPr>
          <w:rFonts w:hint="eastAsia" w:ascii="宋体" w:hAnsi="宋体" w:eastAsia="宋体" w:cs="宋体"/>
          <w:bCs/>
          <w:color w:val="000000" w:themeColor="text1"/>
          <w:sz w:val="24"/>
          <w:highlight w:val="none"/>
          <w:lang w:eastAsia="zh-CN"/>
          <w14:textFill>
            <w14:solidFill>
              <w14:schemeClr w14:val="tx1"/>
            </w14:solidFill>
          </w14:textFill>
        </w:rPr>
        <w:t>方应保证本合同的主要核心成员在项目实施期间全程参与项目实质性工作。</w:t>
      </w:r>
    </w:p>
    <w:p>
      <w:pPr>
        <w:pStyle w:val="41"/>
        <w:tabs>
          <w:tab w:val="left" w:pos="720"/>
        </w:tabs>
        <w:autoSpaceDE w:val="0"/>
        <w:autoSpaceDN w:val="0"/>
        <w:adjustRightInd w:val="0"/>
        <w:spacing w:line="360" w:lineRule="auto"/>
        <w:ind w:right="17" w:firstLine="48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3.项目负责人应根据实际工作需要，按照</w:t>
      </w:r>
      <w:r>
        <w:rPr>
          <w:rFonts w:hint="eastAsia" w:ascii="宋体" w:hAnsi="宋体" w:cs="宋体"/>
          <w:bCs/>
          <w:color w:val="000000" w:themeColor="text1"/>
          <w:sz w:val="24"/>
          <w:highlight w:val="none"/>
          <w:lang w:val="en-US" w:eastAsia="zh-CN"/>
          <w14:textFill>
            <w14:solidFill>
              <w14:schemeClr w14:val="tx1"/>
            </w14:solidFill>
          </w14:textFill>
        </w:rPr>
        <w:t>采购</w:t>
      </w:r>
      <w:r>
        <w:rPr>
          <w:rFonts w:hint="eastAsia" w:ascii="宋体" w:hAnsi="宋体" w:eastAsia="宋体" w:cs="宋体"/>
          <w:bCs/>
          <w:color w:val="000000" w:themeColor="text1"/>
          <w:sz w:val="24"/>
          <w:highlight w:val="none"/>
          <w:lang w:eastAsia="zh-CN"/>
          <w14:textFill>
            <w14:solidFill>
              <w14:schemeClr w14:val="tx1"/>
            </w14:solidFill>
          </w14:textFill>
        </w:rPr>
        <w:t>方工作安排，前往汇报项目成果。</w:t>
      </w:r>
    </w:p>
    <w:p>
      <w:pPr>
        <w:pStyle w:val="4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八</w:t>
      </w:r>
      <w:r>
        <w:rPr>
          <w:rFonts w:hint="eastAsia" w:ascii="宋体" w:hAnsi="宋体" w:cs="宋体"/>
          <w:b/>
          <w:color w:val="000000" w:themeColor="text1"/>
          <w:sz w:val="24"/>
          <w14:textFill>
            <w14:solidFill>
              <w14:schemeClr w14:val="tx1"/>
            </w14:solidFill>
          </w14:textFill>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41"/>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自合同签订之日起6个月内完成全部项目工作内容并提交最终成果。</w:t>
      </w:r>
    </w:p>
    <w:p>
      <w:pPr>
        <w:tabs>
          <w:tab w:val="left" w:pos="720"/>
        </w:tabs>
        <w:autoSpaceDE w:val="0"/>
        <w:autoSpaceDN w:val="0"/>
        <w:adjustRightInd w:val="0"/>
        <w:spacing w:line="360" w:lineRule="auto"/>
        <w:ind w:right="17" w:firstLine="482"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（二）服务地点</w:t>
      </w:r>
    </w:p>
    <w:p>
      <w:pPr>
        <w:tabs>
          <w:tab w:val="left" w:pos="720"/>
        </w:tabs>
        <w:autoSpaceDE w:val="0"/>
        <w:autoSpaceDN w:val="0"/>
        <w:adjustRightInd w:val="0"/>
        <w:spacing w:line="360" w:lineRule="auto"/>
        <w:ind w:right="17" w:firstLine="480" w:firstLineChars="200"/>
        <w:outlineLvl w:val="9"/>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w:t>
      </w:r>
      <w:r>
        <w:rPr>
          <w:rFonts w:hint="eastAsia" w:ascii="宋体" w:hAnsi="宋体" w:cs="宋体"/>
          <w:bCs/>
          <w:color w:val="000000" w:themeColor="text1"/>
          <w:sz w:val="24"/>
          <w14:textFill>
            <w14:solidFill>
              <w14:schemeClr w14:val="tx1"/>
            </w14:solidFill>
          </w14:textFill>
        </w:rPr>
        <w:t>前海深港现代服务业合作区。</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签订的合同金额。投标人的报价不可高于预算（限价），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w:t>
      </w:r>
      <w:bookmarkStart w:id="24" w:name="OLE_LINK12"/>
      <w:r>
        <w:rPr>
          <w:rFonts w:hint="eastAsia" w:ascii="宋体" w:hAnsi="宋体" w:cs="宋体"/>
          <w:color w:val="000000" w:themeColor="text1"/>
          <w:sz w:val="24"/>
          <w14:textFill>
            <w14:solidFill>
              <w14:schemeClr w14:val="tx1"/>
            </w14:solidFill>
          </w14:textFill>
        </w:rPr>
        <w:t>人员费用及成果制作费、专家咨询费/评审费、车辆使用费、办公场所租赁费、差旅费、管理费、税费等</w:t>
      </w:r>
      <w:bookmarkEnd w:id="24"/>
      <w:r>
        <w:rPr>
          <w:rFonts w:hint="eastAsia" w:ascii="宋体" w:hAnsi="宋体" w:cs="宋体"/>
          <w:color w:val="000000" w:themeColor="text1"/>
          <w:sz w:val="24"/>
          <w14:textFill>
            <w14:solidFill>
              <w14:schemeClr w14:val="tx1"/>
            </w14:solidFill>
          </w14:textFill>
        </w:rPr>
        <w:t>。一经中标，投标报价总价作为中标单位与采购人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w:t>
      </w:r>
      <w:r>
        <w:rPr>
          <w:rFonts w:hint="eastAsia" w:ascii="宋体" w:hAnsi="宋体" w:cs="宋体"/>
          <w:color w:val="000000" w:themeColor="text1"/>
          <w:sz w:val="24"/>
          <w:highlight w:val="none"/>
          <w14:textFill>
            <w14:solidFill>
              <w14:schemeClr w14:val="tx1"/>
            </w14:solidFill>
          </w14:textFill>
        </w:rPr>
        <w:t>款的综合单价或总价内。</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（四）付款方式</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合同款由</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分2期支付至</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指定银行账户。</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第1期费用：合同签订后15个工作日内，</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提出付款申请，</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支付合同费用的50%。</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第2期费用：</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完成并提交最终成果，并通过</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验收后15个工作日内，</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提出付款申请，</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支付总价款的50%。</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合同项下各期款项均在</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收到</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开具的载明相应金额的合格发票后10个工作日内支付，如</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未及时收到中标人开具的合格发票，</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付款时间相应顺延。若因</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付款审批影响支付进度，请</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予以谅解，并不得就此向</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索赔。</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rPr>
      </w:pPr>
      <w:r>
        <w:rPr>
          <w:rFonts w:hint="eastAsia" w:ascii="宋体" w:hAnsi="宋体" w:cs="宋体"/>
          <w:b/>
          <w:bCs/>
          <w:color w:val="auto"/>
          <w:kern w:val="0"/>
          <w:sz w:val="24"/>
        </w:rPr>
        <w:t>（五）</w:t>
      </w:r>
      <w:r>
        <w:rPr>
          <w:rFonts w:hint="eastAsia" w:ascii="宋体" w:hAnsi="宋体" w:cs="宋体"/>
          <w:b/>
          <w:bCs/>
          <w:color w:val="auto"/>
          <w:kern w:val="0"/>
          <w:sz w:val="24"/>
          <w:lang w:val="en-US" w:eastAsia="zh-CN"/>
        </w:rPr>
        <w:t>成果权属与</w:t>
      </w:r>
      <w:r>
        <w:rPr>
          <w:rFonts w:hint="eastAsia" w:ascii="宋体" w:hAnsi="宋体" w:cs="宋体"/>
          <w:b/>
          <w:bCs/>
          <w:color w:val="auto"/>
          <w:kern w:val="0"/>
          <w:sz w:val="24"/>
        </w:rPr>
        <w:t>知识产权</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1.本项目全部阶段性成果和最终成果的所有权、知识产权以及与之相关的所有权利归采购方所有。</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双方确定，采购方有权利用中标单位按照本合同约定提供的成果，进行后续改进。由此产生的具有实质性或创造性技术进步特征的新的技术成果及其权利归属，全部由采购方享有。具体相关利益的分配办法如下：采购方100%。</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4.未经采购方书面在先同意，中标单位不得将本项目的阶段性成果和/或最终成果文件及任何数据、资料、软件向任何第三方转让、授权任何第三方使用或用于本合同项目外的其他项目。如发生以上情况，中标单位应向采购方支付本合同总价款20%的违约金，如果违约金无法弥补采购方的损失，采购方有权要求中标单位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5.中标单位完成本合同项目的研究开发人员享有在有关成果文件上写明成果完成者的权利和与采购方共同获得有关荣誉证书、奖励的权利。</w:t>
      </w:r>
    </w:p>
    <w:p>
      <w:pPr>
        <w:widowControl/>
        <w:spacing w:line="360" w:lineRule="auto"/>
        <w:ind w:firstLine="482" w:firstLineChars="200"/>
        <w:outlineLvl w:val="2"/>
        <w:rPr>
          <w:rFonts w:ascii="宋体" w:hAnsi="宋体" w:cs="宋体"/>
          <w:b/>
          <w:bCs/>
          <w:color w:val="auto"/>
          <w:sz w:val="24"/>
        </w:rPr>
      </w:pPr>
      <w:r>
        <w:rPr>
          <w:rFonts w:hint="eastAsia" w:ascii="宋体" w:hAnsi="宋体" w:cs="宋体"/>
          <w:b/>
          <w:bCs/>
          <w:color w:val="auto"/>
          <w:kern w:val="0"/>
          <w:sz w:val="24"/>
        </w:rPr>
        <w:t>（六）</w:t>
      </w:r>
      <w:r>
        <w:rPr>
          <w:rFonts w:hint="eastAsia" w:ascii="宋体" w:hAnsi="宋体" w:cs="宋体"/>
          <w:b/>
          <w:bCs/>
          <w:color w:val="auto"/>
          <w:sz w:val="24"/>
        </w:rPr>
        <w:t>保密条款</w:t>
      </w:r>
    </w:p>
    <w:p>
      <w:pPr>
        <w:spacing w:line="360" w:lineRule="auto"/>
        <w:ind w:firstLine="480" w:firstLineChars="200"/>
        <w:rPr>
          <w:rFonts w:ascii="宋体" w:hAnsi="宋体" w:cs="宋体"/>
          <w:color w:val="auto"/>
          <w:sz w:val="24"/>
        </w:rPr>
      </w:pPr>
      <w:r>
        <w:rPr>
          <w:rFonts w:hint="eastAsia" w:ascii="宋体" w:hAnsi="宋体" w:cs="宋体"/>
          <w:color w:val="auto"/>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单位应以保密方式处理在编制本项目成果文件过程中自采购方、采购方工作人员或采购方关联机构获得的相关信息、资料、图纸、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ascii="宋体" w:hAnsi="宋体" w:cs="宋体"/>
          <w:color w:val="auto"/>
          <w:sz w:val="24"/>
        </w:rPr>
      </w:pPr>
      <w:r>
        <w:rPr>
          <w:rFonts w:hint="eastAsia" w:ascii="宋体" w:hAnsi="宋体" w:cs="宋体"/>
          <w:color w:val="auto"/>
          <w:sz w:val="24"/>
        </w:rPr>
        <w:t>3.中标单位实施项目的程序应符合国家安全、保密的有关规定和标准。</w:t>
      </w:r>
    </w:p>
    <w:p>
      <w:pPr>
        <w:spacing w:line="360" w:lineRule="auto"/>
        <w:ind w:firstLine="480" w:firstLineChars="200"/>
        <w:rPr>
          <w:rFonts w:ascii="宋体" w:hAnsi="宋体" w:cs="宋体"/>
          <w:color w:val="auto"/>
          <w:sz w:val="24"/>
        </w:rPr>
      </w:pPr>
      <w:r>
        <w:rPr>
          <w:rFonts w:hint="eastAsia" w:ascii="宋体" w:hAnsi="宋体" w:cs="宋体"/>
          <w:color w:val="auto"/>
          <w:sz w:val="24"/>
        </w:rPr>
        <w:t>4.上述保密义务不适用以下情况：</w:t>
      </w:r>
    </w:p>
    <w:p>
      <w:pPr>
        <w:spacing w:line="360" w:lineRule="auto"/>
        <w:ind w:firstLine="480" w:firstLineChars="200"/>
        <w:rPr>
          <w:rFonts w:ascii="宋体" w:hAnsi="宋体" w:cs="宋体"/>
          <w:color w:val="auto"/>
          <w:sz w:val="24"/>
        </w:rPr>
      </w:pPr>
      <w:r>
        <w:rPr>
          <w:rFonts w:hint="eastAsia" w:ascii="宋体" w:hAnsi="宋体" w:cs="宋体"/>
          <w:color w:val="auto"/>
          <w:sz w:val="24"/>
        </w:rPr>
        <w:t>（1）获取的信息已被合法公开；</w:t>
      </w:r>
    </w:p>
    <w:p>
      <w:pPr>
        <w:spacing w:line="360" w:lineRule="auto"/>
        <w:ind w:firstLine="480" w:firstLineChars="200"/>
        <w:rPr>
          <w:rFonts w:ascii="宋体" w:hAnsi="宋体" w:cs="宋体"/>
          <w:color w:val="auto"/>
          <w:sz w:val="24"/>
        </w:rPr>
      </w:pPr>
      <w:r>
        <w:rPr>
          <w:rFonts w:hint="eastAsia" w:ascii="宋体" w:hAnsi="宋体" w:cs="宋体"/>
          <w:color w:val="auto"/>
          <w:sz w:val="24"/>
        </w:rPr>
        <w:t>（2）获得信息拥有方书面许可并在该许可范围内披露；</w:t>
      </w:r>
    </w:p>
    <w:p>
      <w:pPr>
        <w:spacing w:line="360" w:lineRule="auto"/>
        <w:ind w:firstLine="480" w:firstLineChars="200"/>
        <w:rPr>
          <w:rFonts w:ascii="宋体" w:hAnsi="宋体" w:cs="宋体"/>
          <w:color w:val="auto"/>
          <w:sz w:val="24"/>
        </w:rPr>
      </w:pPr>
      <w:r>
        <w:rPr>
          <w:rFonts w:hint="eastAsia" w:ascii="宋体" w:hAnsi="宋体" w:cs="宋体"/>
          <w:color w:val="auto"/>
          <w:sz w:val="24"/>
        </w:rPr>
        <w:t>（3）国家法律、法规规定的情形。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5.如中标单位违反上述保密条款，采购方有权解除本合同，中标单位应在合同解除通知发出之日起10日内向采购方支付本合同服务费总金额20%的违约金，如果违约金无法弥补采购人损失，采购人保留要求中标单位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ascii="宋体" w:hAnsi="宋体" w:cs="宋体"/>
          <w:color w:val="auto"/>
          <w:sz w:val="24"/>
        </w:rPr>
      </w:pPr>
      <w:r>
        <w:rPr>
          <w:rFonts w:hint="eastAsia" w:ascii="宋体" w:hAnsi="宋体" w:cs="宋体"/>
          <w:color w:val="auto"/>
          <w:sz w:val="24"/>
        </w:rPr>
        <w:t>6.无论本项目其他条款是否有效，本保密条款始终约束双方。国家秘密的保密期限由国家有关部门确定，工作秘密的保密期限由采购人确定。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ascii="宋体" w:hAnsi="宋体" w:cs="宋体"/>
          <w:b/>
          <w:bCs/>
          <w:color w:val="auto"/>
          <w:sz w:val="24"/>
        </w:rPr>
      </w:pPr>
      <w:r>
        <w:rPr>
          <w:rFonts w:hint="eastAsia" w:ascii="宋体" w:hAnsi="宋体" w:cs="宋体"/>
          <w:b/>
          <w:bCs/>
          <w:color w:val="auto"/>
          <w:kern w:val="0"/>
          <w:sz w:val="24"/>
        </w:rPr>
        <w:t>（七）</w:t>
      </w:r>
      <w:r>
        <w:rPr>
          <w:rFonts w:hint="eastAsia" w:ascii="宋体" w:hAnsi="宋体" w:cs="宋体"/>
          <w:b/>
          <w:bCs/>
          <w:color w:val="auto"/>
          <w:sz w:val="24"/>
        </w:rPr>
        <w:t>违约责任</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1.因中标单位原因，未能按规定时间完成有关工作的，每延误一天，采购方自尚未支付的合同款项中扣除合同服务总金额的5‰的逾期违约金。</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2.如中标单位提供的服务或成果不符合质量要求，必须在采购方提出要求后7个日历日内无条件修改，其费用由中标单位承担。</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3.本合同履行期间，发生下述情形时，采购方有权解除本合同，中标单位除应退还采购方已支付的全部款项外</w:t>
      </w:r>
      <w:r>
        <w:rPr>
          <w:rFonts w:hint="eastAsia" w:ascii="宋体" w:hAnsi="宋体" w:cs="宋体"/>
          <w:color w:val="auto"/>
          <w:sz w:val="24"/>
          <w:lang w:eastAsia="zh-CN"/>
        </w:rPr>
        <w:t>，</w:t>
      </w:r>
      <w:r>
        <w:rPr>
          <w:rFonts w:hint="eastAsia" w:ascii="宋体" w:hAnsi="宋体" w:cs="宋体"/>
          <w:color w:val="auto"/>
          <w:sz w:val="24"/>
        </w:rPr>
        <w:t>还应在合同解除通知发出之日起10日内向采购方支付合同总价款20%的违约金。中标单位应同时将已完成的项目成果移交给采购方，并将全部有关资料退还采购方：</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(1)因中标单位工作的错误或遗漏造成成果质量不符合本合同要求，且中标单位未按采购方要求采取及时有效的补救措施的；</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(2)中标单位未能按合同约定的日期(含协商延缓的日期)提交工作成果，延误时间超过30个工作日；或中标单位虽如期提交阶段性成果和最终成果，但最终成果连续二次未能通过验收的；</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(3)发现中标单位或中标单位工作人员出现全部或部分丧失履行委托服务能力的情况，采购方有权通知中标单位限期整改或更换工作人员，期限届满中标单位并未进行改善的；</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(4)未经采购单位书面在先同意，中标单位擅自将本合同项目与任何第三方合作，或将本合同标的的全部或部分擅自转包给任何第三方，且未按采购单位的要求终止与第三方的合同的；</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（5）中标单位明确表示或者以自己的行为表明不履行本合同的。</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5.上述违约责任各自独立且可累加。如本合同所约定的违约金无法弥补因违约行为所造成的损失，违约方应补偿上述不足部分的损失。</w:t>
      </w:r>
    </w:p>
    <w:p>
      <w:pPr>
        <w:widowControl/>
        <w:spacing w:line="360" w:lineRule="auto"/>
        <w:ind w:firstLine="482" w:firstLineChars="200"/>
        <w:outlineLvl w:val="2"/>
        <w:rPr>
          <w:rFonts w:hint="eastAsia" w:ascii="宋体" w:hAnsi="宋体" w:eastAsia="宋体" w:cs="宋体"/>
          <w:b/>
          <w:bCs/>
          <w:color w:val="auto"/>
          <w:sz w:val="24"/>
          <w:lang w:val="en-US" w:eastAsia="zh-CN"/>
        </w:rPr>
      </w:pPr>
      <w:bookmarkStart w:id="25" w:name="OLE_LINK13"/>
      <w:r>
        <w:rPr>
          <w:rFonts w:hint="eastAsia" w:ascii="宋体" w:hAnsi="宋体" w:cs="宋体"/>
          <w:b/>
          <w:bCs/>
          <w:color w:val="auto"/>
          <w:sz w:val="24"/>
        </w:rPr>
        <w:t>（八）</w:t>
      </w:r>
      <w:bookmarkEnd w:id="25"/>
      <w:r>
        <w:rPr>
          <w:rFonts w:hint="eastAsia" w:ascii="宋体" w:hAnsi="宋体" w:cs="宋体"/>
          <w:b/>
          <w:bCs/>
          <w:color w:val="auto"/>
          <w:sz w:val="24"/>
        </w:rPr>
        <w:t>争议解决</w:t>
      </w:r>
      <w:r>
        <w:rPr>
          <w:rFonts w:hint="eastAsia" w:ascii="宋体" w:hAnsi="宋体" w:cs="宋体"/>
          <w:b/>
          <w:bCs/>
          <w:color w:val="auto"/>
          <w:sz w:val="24"/>
          <w:lang w:val="en-US" w:eastAsia="zh-CN"/>
        </w:rPr>
        <w:t>办法</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因合同的履行发生的或与合同有关的争议或纠纷，由双方协商解决，协商不成的，任意一方有权向深圳前海合作区人民法院提起诉讼。</w:t>
      </w:r>
    </w:p>
    <w:bookmarkEnd w:id="19"/>
    <w:bookmarkEnd w:id="20"/>
    <w:p>
      <w:pPr>
        <w:spacing w:after="156" w:afterLines="50" w:line="360" w:lineRule="auto"/>
        <w:ind w:firstLine="420" w:firstLineChars="200"/>
        <w:sectPr>
          <w:pgSz w:w="11906" w:h="16838"/>
          <w:pgMar w:top="1440" w:right="1650" w:bottom="1440" w:left="1650" w:header="851" w:footer="992" w:gutter="0"/>
          <w:pgNumType w:fmt="decimal"/>
          <w:cols w:space="720" w:num="1"/>
          <w:docGrid w:type="lines" w:linePitch="319" w:charSpace="0"/>
        </w:sectPr>
      </w:pPr>
    </w:p>
    <w:p>
      <w:pPr>
        <w:spacing w:line="360" w:lineRule="auto"/>
        <w:jc w:val="center"/>
        <w:outlineLvl w:val="0"/>
        <w:rPr>
          <w:rFonts w:ascii="宋体" w:cs="宋体"/>
          <w:b/>
          <w:bCs/>
          <w:sz w:val="24"/>
          <w:highlight w:val="none"/>
        </w:rPr>
      </w:pPr>
      <w:bookmarkStart w:id="26" w:name="_Toc6457"/>
      <w:r>
        <w:rPr>
          <w:rFonts w:hint="eastAsia" w:ascii="宋体" w:cs="宋体"/>
          <w:b/>
          <w:bCs/>
          <w:sz w:val="24"/>
          <w:highlight w:val="none"/>
        </w:rPr>
        <w:t>第六章 投标文件初审及招标项目评分表</w:t>
      </w:r>
      <w:bookmarkEnd w:id="26"/>
    </w:p>
    <w:p>
      <w:pPr>
        <w:autoSpaceDE w:val="0"/>
        <w:autoSpaceDN w:val="0"/>
        <w:adjustRightInd w:val="0"/>
        <w:spacing w:line="240" w:lineRule="auto"/>
        <w:jc w:val="center"/>
        <w:outlineLvl w:val="1"/>
        <w:rPr>
          <w:rFonts w:hint="eastAsia" w:ascii="宋体" w:hAnsi="宋体" w:cs="宋体"/>
          <w:b/>
          <w:bCs/>
          <w:color w:val="auto"/>
          <w:kern w:val="0"/>
          <w:sz w:val="36"/>
          <w:szCs w:val="36"/>
        </w:rPr>
      </w:pPr>
      <w:r>
        <w:rPr>
          <w:rFonts w:hint="eastAsia" w:ascii="宋体" w:hAnsi="宋体" w:cs="宋体"/>
          <w:b/>
          <w:bCs/>
          <w:color w:val="auto"/>
          <w:kern w:val="0"/>
          <w:sz w:val="36"/>
          <w:szCs w:val="36"/>
        </w:rPr>
        <w:t>投标文件初审表（不可偏离条款）</w:t>
      </w:r>
    </w:p>
    <w:p>
      <w:pPr>
        <w:spacing w:line="360" w:lineRule="auto"/>
        <w:jc w:val="center"/>
        <w:outlineLvl w:val="1"/>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7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color w:val="auto"/>
                <w:sz w:val="24"/>
              </w:rPr>
              <w:t>1</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color w:val="auto"/>
                <w:sz w:val="24"/>
                <w:lang w:val="en-US" w:eastAsia="zh-CN"/>
              </w:rPr>
              <w:t>2</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lang w:val="en-US"/>
              </w:rPr>
            </w:pPr>
            <w:r>
              <w:rPr>
                <w:rFonts w:hint="eastAsia" w:ascii="宋体" w:hAnsi="宋体" w:eastAsia="宋体" w:cs="宋体"/>
                <w:b/>
                <w:bCs/>
                <w:color w:val="auto"/>
                <w:sz w:val="24"/>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出现下列情形之一的，评审委员会应当启动异常低价投标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审查程序，要求</w:t>
            </w:r>
            <w:r>
              <w:rPr>
                <w:rFonts w:hint="eastAsia" w:ascii="宋体" w:hAnsi="宋体" w:eastAsia="宋体" w:cs="宋体"/>
                <w:color w:val="auto"/>
                <w:sz w:val="24"/>
                <w:lang w:val="en-US" w:eastAsia="zh-CN"/>
              </w:rPr>
              <w:t>相关供应商</w:t>
            </w:r>
            <w:r>
              <w:rPr>
                <w:rFonts w:hint="eastAsia" w:ascii="宋体" w:hAnsi="宋体" w:eastAsia="宋体" w:cs="宋体"/>
                <w:color w:val="auto"/>
                <w:sz w:val="24"/>
              </w:rPr>
              <w:t>在评标现场合理的时间内提供书面说明</w:t>
            </w:r>
            <w:r>
              <w:rPr>
                <w:rFonts w:hint="eastAsia" w:ascii="宋体" w:hAnsi="宋体" w:eastAsia="宋体" w:cs="宋体"/>
                <w:color w:val="auto"/>
                <w:sz w:val="24"/>
                <w:lang w:val="en-US" w:eastAsia="zh-CN"/>
              </w:rPr>
              <w:t>及必要的</w:t>
            </w:r>
            <w:r>
              <w:rPr>
                <w:rFonts w:hint="eastAsia" w:ascii="宋体" w:hAnsi="宋体" w:eastAsia="宋体" w:cs="宋体"/>
                <w:color w:val="auto"/>
                <w:sz w:val="24"/>
              </w:rPr>
              <w:t>相关证明材料</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rPr>
            </w:pPr>
            <w:r>
              <w:rPr>
                <w:rFonts w:hint="eastAsia" w:ascii="宋体" w:hAnsi="宋体" w:eastAsia="宋体" w:cs="宋体"/>
                <w:color w:val="auto"/>
                <w:sz w:val="24"/>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4167" w:type="pct"/>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未出现法律、法规规定的其他情形</w:t>
            </w:r>
          </w:p>
        </w:tc>
      </w:tr>
    </w:tbl>
    <w:p>
      <w:pPr>
        <w:spacing w:line="360" w:lineRule="auto"/>
        <w:rPr>
          <w:rFonts w:ascii="宋体" w:hAnsi="宋体" w:cs="宋体"/>
          <w:sz w:val="24"/>
          <w:highlight w:val="none"/>
        </w:rPr>
      </w:pPr>
    </w:p>
    <w:p>
      <w:pPr>
        <w:spacing w:line="360" w:lineRule="auto"/>
        <w:jc w:val="center"/>
        <w:outlineLvl w:val="1"/>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招标项目评分表</w:t>
      </w:r>
    </w:p>
    <w:tbl>
      <w:tblPr>
        <w:tblStyle w:val="21"/>
        <w:tblW w:w="4998" w:type="pct"/>
        <w:tblInd w:w="0" w:type="dxa"/>
        <w:tblLayout w:type="autofit"/>
        <w:tblCellMar>
          <w:top w:w="0" w:type="dxa"/>
          <w:left w:w="108" w:type="dxa"/>
          <w:bottom w:w="0" w:type="dxa"/>
          <w:right w:w="108" w:type="dxa"/>
        </w:tblCellMar>
      </w:tblPr>
      <w:tblGrid>
        <w:gridCol w:w="689"/>
        <w:gridCol w:w="501"/>
        <w:gridCol w:w="1291"/>
        <w:gridCol w:w="847"/>
        <w:gridCol w:w="5490"/>
      </w:tblGrid>
      <w:tr>
        <w:tblPrEx>
          <w:tblCellMar>
            <w:top w:w="0" w:type="dxa"/>
            <w:left w:w="108" w:type="dxa"/>
            <w:bottom w:w="0" w:type="dxa"/>
            <w:right w:w="108" w:type="dxa"/>
          </w:tblCellMar>
        </w:tblPrEx>
        <w:trPr>
          <w:trHeight w:val="300" w:hRule="atLeast"/>
        </w:trPr>
        <w:tc>
          <w:tcPr>
            <w:tcW w:w="391" w:type="pct"/>
            <w:tcBorders>
              <w:top w:val="single" w:color="auto" w:sz="8" w:space="0"/>
              <w:left w:val="single" w:color="auto" w:sz="8" w:space="0"/>
              <w:bottom w:val="single" w:color="000000" w:sz="8" w:space="0"/>
              <w:right w:val="single" w:color="000000" w:sz="8"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1496" w:type="pct"/>
            <w:gridSpan w:val="3"/>
            <w:tcBorders>
              <w:top w:val="single" w:color="auto" w:sz="8" w:space="0"/>
              <w:left w:val="nil"/>
              <w:bottom w:val="single" w:color="000000" w:sz="8" w:space="0"/>
              <w:right w:val="single" w:color="000000" w:sz="8"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评分项</w:t>
            </w:r>
          </w:p>
        </w:tc>
        <w:tc>
          <w:tcPr>
            <w:tcW w:w="3111" w:type="pct"/>
            <w:tcBorders>
              <w:top w:val="single" w:color="auto" w:sz="8" w:space="0"/>
              <w:left w:val="nil"/>
              <w:bottom w:val="single" w:color="000000" w:sz="8"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分值</w:t>
            </w:r>
          </w:p>
        </w:tc>
      </w:tr>
      <w:tr>
        <w:tblPrEx>
          <w:tblCellMar>
            <w:top w:w="0" w:type="dxa"/>
            <w:left w:w="108" w:type="dxa"/>
            <w:bottom w:w="0" w:type="dxa"/>
            <w:right w:w="108" w:type="dxa"/>
          </w:tblCellMar>
        </w:tblPrEx>
        <w:trPr>
          <w:trHeight w:val="300" w:hRule="atLeast"/>
        </w:trPr>
        <w:tc>
          <w:tcPr>
            <w:tcW w:w="391" w:type="pct"/>
            <w:vMerge w:val="restart"/>
            <w:tcBorders>
              <w:top w:val="nil"/>
              <w:left w:val="single" w:color="auto"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w:t>
            </w:r>
          </w:p>
        </w:tc>
        <w:tc>
          <w:tcPr>
            <w:tcW w:w="1496" w:type="pct"/>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价格</w:t>
            </w:r>
          </w:p>
        </w:tc>
        <w:tc>
          <w:tcPr>
            <w:tcW w:w="3111" w:type="pct"/>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10</w:t>
            </w:r>
          </w:p>
        </w:tc>
      </w:tr>
      <w:tr>
        <w:tblPrEx>
          <w:tblCellMar>
            <w:top w:w="0" w:type="dxa"/>
            <w:left w:w="108" w:type="dxa"/>
            <w:bottom w:w="0" w:type="dxa"/>
            <w:right w:w="108" w:type="dxa"/>
          </w:tblCellMar>
        </w:tblPrEx>
        <w:trPr>
          <w:trHeight w:val="1474" w:hRule="atLeast"/>
        </w:trPr>
        <w:tc>
          <w:tcPr>
            <w:tcW w:w="391" w:type="pct"/>
            <w:vMerge w:val="continue"/>
            <w:tcBorders>
              <w:top w:val="nil"/>
              <w:left w:val="single" w:color="auto" w:sz="8"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4608" w:type="pct"/>
            <w:gridSpan w:val="4"/>
            <w:tcBorders>
              <w:top w:val="single" w:color="000000" w:sz="8"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价格分计算方法：</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采用低价优先法计算，即满足招标文件要求且投标价格最低的投标报价为评标基准价，其价格分为满分。其他投标人的价格分统一按照下列公式计算：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投标报价得分=(评标基准价／投标报价)×</w:t>
            </w:r>
            <w:r>
              <w:rPr>
                <w:rFonts w:hint="eastAsia" w:ascii="宋体" w:hAnsi="宋体" w:eastAsia="宋体" w:cs="宋体"/>
                <w:color w:val="auto"/>
                <w:kern w:val="0"/>
                <w:sz w:val="20"/>
                <w:szCs w:val="20"/>
                <w:lang w:val="en-US" w:eastAsia="zh-CN"/>
              </w:rPr>
              <w:t>10</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评标过程中，不得去掉报价中的最高报价和最低报价。 </w:t>
            </w:r>
          </w:p>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本项目为非专门面向中小企业的项目，用扣除后的价格参与评审，本项目的扣除比例为：</w:t>
            </w:r>
          </w:p>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1.小型企业、微型企业、监狱企业和残疾人福利性单位均给予10%的扣除。</w:t>
            </w:r>
          </w:p>
          <w:p>
            <w:pPr>
              <w:keepNext w:val="0"/>
              <w:keepLines w:val="0"/>
              <w:widowControl/>
              <w:suppressLineNumbers w:val="0"/>
              <w:spacing w:before="0" w:beforeAutospacing="0" w:after="0" w:afterAutospacing="0"/>
              <w:ind w:left="0" w:right="0"/>
              <w:jc w:val="left"/>
              <w:rPr>
                <w:rFonts w:hint="eastAsia" w:ascii="宋体" w:hAnsi="宋体" w:cs="宋体" w:eastAsiaTheme="majorEastAsia"/>
                <w:b/>
                <w:bCs/>
                <w:color w:val="auto"/>
                <w:kern w:val="0"/>
                <w:sz w:val="20"/>
                <w:szCs w:val="20"/>
                <w:lang w:eastAsia="zh-CN"/>
              </w:rPr>
            </w:pPr>
            <w:r>
              <w:rPr>
                <w:rFonts w:hint="eastAsia" w:ascii="宋体" w:hAnsi="宋体" w:eastAsia="宋体" w:cs="宋体"/>
                <w:b/>
                <w:bCs/>
                <w:color w:val="auto"/>
                <w:kern w:val="0"/>
                <w:sz w:val="20"/>
                <w:szCs w:val="20"/>
              </w:rPr>
              <w:t>2.接受大中型企业与小微企业组成联合体或者允许大中型企业向一家或者多家小微企业分包的采购项目，对于联合协议或者分包意向协议约定小微企业的合同份额占到合同总金额30%以上的，将对联合体或者大中型企业的报价给予4%的扣除。联合体各方均为小微企业的，价格扣除比例为10%。</w:t>
            </w:r>
            <w:r>
              <w:rPr>
                <w:rFonts w:hint="eastAsia" w:asciiTheme="majorEastAsia" w:hAnsiTheme="majorEastAsia" w:eastAsiaTheme="majorEastAsia" w:cstheme="majorEastAsia"/>
                <w:b/>
                <w:color w:val="auto"/>
                <w:sz w:val="20"/>
                <w:szCs w:val="21"/>
              </w:rPr>
              <w:t>（不接受联合体投标的项目，本条不适用）</w:t>
            </w:r>
            <w:r>
              <w:rPr>
                <w:rFonts w:hint="eastAsia" w:asciiTheme="majorEastAsia" w:hAnsiTheme="majorEastAsia" w:eastAsiaTheme="majorEastAsia" w:cstheme="majorEastAsia"/>
                <w:b/>
                <w:color w:val="auto"/>
                <w:sz w:val="20"/>
                <w:szCs w:val="21"/>
                <w:lang w:eastAsia="zh-CN"/>
              </w:rPr>
              <w:t>。</w:t>
            </w:r>
          </w:p>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3.相关证明文件详见投标文件格式要求，投标人同时为小型、微型企业、监狱企业和残疾人福利性单位的，评审中只享受一次价格扣除，不重复进行价格扣除。</w:t>
            </w:r>
          </w:p>
          <w:p>
            <w:pPr>
              <w:keepNext w:val="0"/>
              <w:keepLines w:val="0"/>
              <w:widowControl/>
              <w:suppressLineNumbers w:val="0"/>
              <w:spacing w:before="0" w:beforeAutospacing="0" w:after="0" w:afterAutospacing="0"/>
              <w:ind w:left="0" w:right="0"/>
              <w:rPr>
                <w:rFonts w:hint="eastAsia"/>
                <w:color w:val="auto"/>
                <w:sz w:val="20"/>
                <w:szCs w:val="22"/>
              </w:rPr>
            </w:pPr>
            <w:r>
              <w:rPr>
                <w:rFonts w:hint="eastAsia" w:ascii="宋体" w:hAnsi="宋体" w:eastAsia="宋体" w:cs="宋体"/>
                <w:b/>
                <w:bCs/>
                <w:color w:val="auto"/>
                <w:kern w:val="0"/>
                <w:sz w:val="20"/>
                <w:szCs w:val="20"/>
                <w:lang w:val="en-US" w:eastAsia="zh-CN"/>
              </w:rPr>
              <w:t>4</w:t>
            </w:r>
            <w:r>
              <w:rPr>
                <w:rFonts w:hint="eastAsia" w:ascii="宋体" w:hAnsi="宋体" w:eastAsia="宋体" w:cs="宋体"/>
                <w:b/>
                <w:bCs/>
                <w:color w:val="auto"/>
                <w:sz w:val="20"/>
                <w:szCs w:val="20"/>
              </w:rPr>
              <w:t>、优惠主体资格的认定资料为《中小企业声明函》《残疾人福利性单位声明函》《监狱企业声明函》等承诺性质的资料（声明函样式见“第五章 投标文件格式”）；监狱企业如需享受优惠政策，除上述资料外，还须提供省级以上监狱管理局、戒毒管理局出具的监狱企业证明文件。</w:t>
            </w:r>
          </w:p>
        </w:tc>
      </w:tr>
      <w:tr>
        <w:tblPrEx>
          <w:tblCellMar>
            <w:top w:w="0" w:type="dxa"/>
            <w:left w:w="108" w:type="dxa"/>
            <w:bottom w:w="0" w:type="dxa"/>
            <w:right w:w="108" w:type="dxa"/>
          </w:tblCellMar>
        </w:tblPrEx>
        <w:trPr>
          <w:trHeight w:val="300" w:hRule="atLeast"/>
        </w:trPr>
        <w:tc>
          <w:tcPr>
            <w:tcW w:w="391" w:type="pct"/>
            <w:vMerge w:val="restart"/>
            <w:tcBorders>
              <w:top w:val="single" w:color="auto" w:sz="4" w:space="0"/>
              <w:left w:val="single" w:color="auto" w:sz="4" w:space="0"/>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1496" w:type="pct"/>
            <w:gridSpan w:val="3"/>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技术部分</w:t>
            </w:r>
          </w:p>
        </w:tc>
        <w:tc>
          <w:tcPr>
            <w:tcW w:w="311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w:t>
            </w:r>
            <w:r>
              <w:rPr>
                <w:rFonts w:hint="eastAsia" w:ascii="宋体" w:hAnsi="宋体" w:cs="宋体"/>
                <w:b/>
                <w:bCs/>
                <w:color w:val="auto"/>
                <w:kern w:val="0"/>
                <w:sz w:val="20"/>
                <w:szCs w:val="20"/>
                <w:lang w:val="en-US" w:eastAsia="zh-CN"/>
              </w:rPr>
              <w:t>0</w:t>
            </w:r>
          </w:p>
        </w:tc>
      </w:tr>
      <w:tr>
        <w:tblPrEx>
          <w:tblCellMar>
            <w:top w:w="0" w:type="dxa"/>
            <w:left w:w="108" w:type="dxa"/>
            <w:bottom w:w="0" w:type="dxa"/>
            <w:right w:w="108" w:type="dxa"/>
          </w:tblCellMar>
        </w:tblPrEx>
        <w:trPr>
          <w:trHeight w:val="315" w:hRule="atLeast"/>
        </w:trPr>
        <w:tc>
          <w:tcPr>
            <w:tcW w:w="391"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single" w:color="auto" w:sz="4" w:space="0"/>
              <w:left w:val="single" w:color="auto" w:sz="4" w:space="0"/>
              <w:bottom w:val="single" w:color="auto" w:sz="4"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732" w:type="pct"/>
            <w:tcBorders>
              <w:top w:val="single" w:color="auto" w:sz="4" w:space="0"/>
              <w:left w:val="single" w:color="auto" w:sz="4" w:space="0"/>
              <w:bottom w:val="single" w:color="auto" w:sz="4"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评分因素</w:t>
            </w:r>
          </w:p>
        </w:tc>
        <w:tc>
          <w:tcPr>
            <w:tcW w:w="479" w:type="pct"/>
            <w:tcBorders>
              <w:top w:val="single" w:color="auto" w:sz="4" w:space="0"/>
              <w:left w:val="single" w:color="auto" w:sz="4" w:space="0"/>
              <w:bottom w:val="single" w:color="auto" w:sz="4"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分值</w:t>
            </w:r>
          </w:p>
        </w:tc>
        <w:tc>
          <w:tcPr>
            <w:tcW w:w="3111" w:type="pct"/>
            <w:tcBorders>
              <w:top w:val="single" w:color="auto" w:sz="4" w:space="0"/>
              <w:left w:val="single" w:color="auto" w:sz="4" w:space="0"/>
              <w:bottom w:val="single" w:color="auto" w:sz="4"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评分准则</w:t>
            </w:r>
          </w:p>
        </w:tc>
      </w:tr>
      <w:tr>
        <w:trPr>
          <w:trHeight w:val="90" w:hRule="atLeast"/>
        </w:trPr>
        <w:tc>
          <w:tcPr>
            <w:tcW w:w="391" w:type="pct"/>
            <w:vMerge w:val="continue"/>
            <w:tcBorders>
              <w:top w:val="single" w:color="auto" w:sz="4" w:space="0"/>
              <w:left w:val="single" w:color="auto" w:sz="4" w:space="0"/>
              <w:bottom w:val="single" w:color="000000" w:sz="8" w:space="0"/>
              <w:right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32"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现状及问题分析</w:t>
            </w:r>
          </w:p>
        </w:tc>
        <w:tc>
          <w:tcPr>
            <w:tcW w:w="479"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3111" w:type="pct"/>
            <w:tcBorders>
              <w:top w:val="single" w:color="auto" w:sz="4"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（一）评审内容</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1.对前海至香港跨境交通方式现状问题的分析；</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2.对蛇口邮轮母港周边交通现状问题的分析。</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（二）评分标准</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满足上述2点得</w:t>
            </w:r>
            <w:r>
              <w:rPr>
                <w:rFonts w:hint="eastAsia" w:ascii="宋体" w:hAnsi="宋体" w:cs="宋体"/>
                <w:sz w:val="20"/>
                <w:szCs w:val="20"/>
                <w:lang w:val="en-US" w:eastAsia="zh-CN"/>
              </w:rPr>
              <w:t>6</w:t>
            </w:r>
            <w:r>
              <w:rPr>
                <w:rFonts w:hint="eastAsia" w:ascii="宋体" w:hAnsi="宋体" w:cs="宋体"/>
                <w:sz w:val="20"/>
                <w:szCs w:val="20"/>
              </w:rPr>
              <w:t>分，满足任意1点得</w:t>
            </w:r>
            <w:r>
              <w:rPr>
                <w:rFonts w:hint="eastAsia" w:ascii="宋体" w:hAnsi="宋体" w:cs="宋体"/>
                <w:sz w:val="20"/>
                <w:szCs w:val="20"/>
                <w:lang w:val="en-US" w:eastAsia="zh-CN"/>
              </w:rPr>
              <w:t>3</w:t>
            </w:r>
            <w:r>
              <w:rPr>
                <w:rFonts w:hint="eastAsia" w:ascii="宋体" w:hAnsi="宋体" w:cs="宋体"/>
                <w:sz w:val="20"/>
                <w:szCs w:val="20"/>
              </w:rPr>
              <w:t>分，未满足不得分。在此基础上，专家根据各供应商的具体响应内容按照量化的评审因素指标进一步评审：</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1.现状分析透彻、问题分析合理准确，评为优得</w:t>
            </w:r>
            <w:r>
              <w:rPr>
                <w:rFonts w:hint="eastAsia" w:ascii="宋体" w:hAnsi="宋体" w:cs="宋体"/>
                <w:sz w:val="20"/>
                <w:szCs w:val="20"/>
                <w:lang w:val="en-US" w:eastAsia="zh-CN"/>
              </w:rPr>
              <w:t>4</w:t>
            </w:r>
            <w:r>
              <w:rPr>
                <w:rFonts w:hint="eastAsia" w:ascii="宋体" w:hAnsi="宋体" w:cs="宋体"/>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2.现状分析一般、问题分析略有不足，评为良得</w:t>
            </w:r>
            <w:r>
              <w:rPr>
                <w:rFonts w:hint="eastAsia" w:ascii="宋体" w:hAnsi="宋体" w:cs="宋体"/>
                <w:sz w:val="20"/>
                <w:szCs w:val="20"/>
                <w:lang w:val="en-US" w:eastAsia="zh-CN"/>
              </w:rPr>
              <w:t>3</w:t>
            </w:r>
            <w:r>
              <w:rPr>
                <w:rFonts w:hint="eastAsia" w:ascii="宋体" w:hAnsi="宋体" w:cs="宋体"/>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3.现状分析较少、问题分析不太合理，评为中得2分；</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4.现状分析很少、问题分析不准确，评为差不得分。</w:t>
            </w:r>
          </w:p>
          <w:p>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0"/>
                <w:szCs w:val="20"/>
              </w:rPr>
            </w:pPr>
            <w:r>
              <w:rPr>
                <w:rFonts w:hint="eastAsia" w:ascii="宋体" w:hAnsi="宋体" w:cs="宋体"/>
                <w:sz w:val="20"/>
                <w:szCs w:val="20"/>
              </w:rPr>
              <w:t>如果不得分，要求专家书面说明理由，并记录在档。</w:t>
            </w:r>
          </w:p>
        </w:tc>
      </w:tr>
      <w:tr>
        <w:tblPrEx>
          <w:tblCellMar>
            <w:top w:w="0" w:type="dxa"/>
            <w:left w:w="108" w:type="dxa"/>
            <w:bottom w:w="0" w:type="dxa"/>
            <w:right w:w="108" w:type="dxa"/>
          </w:tblCellMar>
        </w:tblPrEx>
        <w:trPr>
          <w:trHeight w:val="2433" w:hRule="atLeast"/>
        </w:trPr>
        <w:tc>
          <w:tcPr>
            <w:tcW w:w="391" w:type="pct"/>
            <w:vMerge w:val="continue"/>
            <w:tcBorders>
              <w:top w:val="nil"/>
              <w:left w:val="single" w:color="auto" w:sz="4" w:space="0"/>
              <w:bottom w:val="single" w:color="000000" w:sz="8" w:space="0"/>
              <w:right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研究思路</w:t>
            </w:r>
          </w:p>
        </w:tc>
        <w:tc>
          <w:tcPr>
            <w:tcW w:w="4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cs="宋体"/>
                <w:color w:val="auto"/>
                <w:kern w:val="0"/>
                <w:sz w:val="20"/>
                <w:szCs w:val="20"/>
                <w:lang w:val="en-US" w:eastAsia="zh-CN"/>
              </w:rPr>
              <w:t>10</w:t>
            </w:r>
          </w:p>
        </w:tc>
        <w:tc>
          <w:tcPr>
            <w:tcW w:w="3111" w:type="pct"/>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（一）评审内容</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1.对工作内容的理解；</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2.工作方法及工作技术路线；</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3.工作内容和工作成果。</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（二）评分标准</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满足上述3点得6分，满足任意1点得2分，未满足不得分。在此基础上，专家根据各供应商的具体响应内容按照量化的评审因素指标进一步评审：</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1.目标与趋势研判清晰准确、研究方法与技术路线针对性强，评为优得4分；</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2.目标与趋势研判较为准确、研究方法与技术路线总体清晰但略有偏差，评为良得3分；</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3.目标与趋势研判欠妥、研究方法与技术路线不太清晰、针对性不强，评为中得2分；</w:t>
            </w:r>
          </w:p>
          <w:p>
            <w:pPr>
              <w:keepNext w:val="0"/>
              <w:keepLines w:val="0"/>
              <w:widowControl/>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sz w:val="20"/>
                <w:szCs w:val="20"/>
              </w:rPr>
              <w:t>4.目标与趋势研判不合理、研究方法与技术路线不合理、没有针对性，评为差不得分。</w:t>
            </w:r>
          </w:p>
          <w:p>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0"/>
                <w:szCs w:val="20"/>
              </w:rPr>
            </w:pPr>
            <w:r>
              <w:rPr>
                <w:rFonts w:hint="eastAsia" w:ascii="宋体" w:hAnsi="宋体" w:cs="宋体"/>
                <w:sz w:val="20"/>
                <w:szCs w:val="20"/>
              </w:rPr>
              <w:t>如果不得分，要求专家书面说明理由，并记录在档。</w:t>
            </w:r>
          </w:p>
        </w:tc>
      </w:tr>
      <w:tr>
        <w:tblPrEx>
          <w:tblCellMar>
            <w:top w:w="0" w:type="dxa"/>
            <w:left w:w="108" w:type="dxa"/>
            <w:bottom w:w="0" w:type="dxa"/>
            <w:right w:w="108" w:type="dxa"/>
          </w:tblCellMar>
        </w:tblPrEx>
        <w:trPr>
          <w:trHeight w:val="4350" w:hRule="atLeast"/>
        </w:trPr>
        <w:tc>
          <w:tcPr>
            <w:tcW w:w="391" w:type="pct"/>
            <w:vMerge w:val="continue"/>
            <w:tcBorders>
              <w:top w:val="nil"/>
              <w:left w:val="single" w:color="auto" w:sz="4" w:space="0"/>
              <w:bottom w:val="single" w:color="000000" w:sz="8" w:space="0"/>
              <w:right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重难点分析</w:t>
            </w:r>
          </w:p>
        </w:tc>
        <w:tc>
          <w:tcPr>
            <w:tcW w:w="4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cs="宋体"/>
                <w:color w:val="auto"/>
                <w:kern w:val="0"/>
                <w:sz w:val="20"/>
                <w:szCs w:val="20"/>
                <w:lang w:val="en-US" w:eastAsia="zh-CN"/>
              </w:rPr>
              <w:t>15</w:t>
            </w:r>
          </w:p>
        </w:tc>
        <w:tc>
          <w:tcPr>
            <w:tcW w:w="3111" w:type="pct"/>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（一）评审内容</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1.对项目重难点的把握；</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2.对项目重难点问题的对策分析。</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（二）评分标准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满足上述2点得</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分，满足任意1点得</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分，未满足不得分。在此基础上，专家根据各供应商的具体响应内容按照量化的评审因素指标进一步评审：</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1.重难点问题把握十分准确、对策合理有效；评为优，得</w:t>
            </w:r>
            <w:r>
              <w:rPr>
                <w:rFonts w:hint="eastAsia" w:ascii="宋体" w:hAnsi="宋体" w:cs="宋体"/>
                <w:color w:val="auto"/>
                <w:kern w:val="0"/>
                <w:sz w:val="20"/>
                <w:szCs w:val="20"/>
                <w:lang w:val="en-US" w:eastAsia="zh-CN"/>
              </w:rPr>
              <w:t>7</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2.重难点问题把握较为准确、对策合理较为有效；评为良，得</w:t>
            </w: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3.重难点问题把握欠妥、对策不太合理；评为中，得</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4.重难点问题把握不准确、对策无效；评为差不加分。</w:t>
            </w:r>
          </w:p>
          <w:p>
            <w:pPr>
              <w:keepNext w:val="0"/>
              <w:keepLines w:val="0"/>
              <w:suppressLineNumbers w:val="0"/>
              <w:spacing w:before="0" w:beforeAutospacing="0" w:after="0" w:afterAutospacing="0"/>
              <w:ind w:left="0" w:right="0"/>
              <w:rPr>
                <w:rFonts w:hint="default" w:ascii="宋体" w:hAnsi="宋体" w:eastAsia="宋体" w:cs="宋体"/>
                <w:color w:val="auto"/>
                <w:sz w:val="20"/>
                <w:szCs w:val="20"/>
              </w:rPr>
            </w:pPr>
            <w:r>
              <w:rPr>
                <w:rFonts w:hint="eastAsia" w:ascii="宋体" w:hAnsi="宋体" w:cs="宋体"/>
                <w:color w:val="auto"/>
                <w:kern w:val="0"/>
                <w:sz w:val="20"/>
                <w:szCs w:val="20"/>
              </w:rPr>
              <w:t>如果不得分，要求专家书面说明理由，并记录在档。</w:t>
            </w:r>
          </w:p>
        </w:tc>
      </w:tr>
      <w:tr>
        <w:tblPrEx>
          <w:tblCellMar>
            <w:top w:w="0" w:type="dxa"/>
            <w:left w:w="108" w:type="dxa"/>
            <w:bottom w:w="0" w:type="dxa"/>
            <w:right w:w="108" w:type="dxa"/>
          </w:tblCellMar>
        </w:tblPrEx>
        <w:trPr>
          <w:trHeight w:val="335" w:hRule="atLeast"/>
        </w:trPr>
        <w:tc>
          <w:tcPr>
            <w:tcW w:w="391" w:type="pct"/>
            <w:vMerge w:val="continue"/>
            <w:tcBorders>
              <w:top w:val="nil"/>
              <w:left w:val="single" w:color="auto" w:sz="4" w:space="0"/>
              <w:bottom w:val="single" w:color="000000" w:sz="8" w:space="0"/>
              <w:right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项目质量及进度保障措施</w:t>
            </w:r>
          </w:p>
        </w:tc>
        <w:tc>
          <w:tcPr>
            <w:tcW w:w="4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rPr>
            </w:pPr>
            <w:r>
              <w:rPr>
                <w:rFonts w:hint="eastAsia" w:ascii="宋体" w:hAnsi="宋体" w:cs="宋体"/>
                <w:color w:val="auto"/>
                <w:kern w:val="0"/>
                <w:sz w:val="20"/>
                <w:szCs w:val="20"/>
                <w:lang w:val="en-US" w:eastAsia="zh-CN"/>
              </w:rPr>
              <w:t>5</w:t>
            </w:r>
          </w:p>
        </w:tc>
        <w:tc>
          <w:tcPr>
            <w:tcW w:w="3111" w:type="pct"/>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（一）评审内容</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1.对项目进度计划和人员安排的保障措施；</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2.对质量和进度、项目资料、成果安全性的保障措施。</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（二）评分标准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满足以上2点得</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分，满足任意1点得</w:t>
            </w:r>
            <w:r>
              <w:rPr>
                <w:rFonts w:hint="eastAsia" w:ascii="宋体" w:hAnsi="宋体" w:cs="宋体"/>
                <w:color w:val="auto"/>
                <w:kern w:val="0"/>
                <w:sz w:val="20"/>
                <w:szCs w:val="20"/>
                <w:lang w:val="en-US" w:eastAsia="zh-CN"/>
              </w:rPr>
              <w:t>1.5</w:t>
            </w:r>
            <w:r>
              <w:rPr>
                <w:rFonts w:hint="eastAsia" w:ascii="宋体" w:hAnsi="宋体" w:cs="宋体"/>
                <w:color w:val="auto"/>
                <w:kern w:val="0"/>
                <w:sz w:val="20"/>
                <w:szCs w:val="20"/>
              </w:rPr>
              <w:t>分，未满足不得分。在此基础上，专家根据各供应商的具体响应内容按照量化的评审因素指标进一步评审：</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1.项目质量及进度保障措施内容完整全面、合理性强、可行性强；评为优，得</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2. 项目质量及进度保障措施内容完整性、合理性、可行性一般；评为良，得</w:t>
            </w:r>
            <w:r>
              <w:rPr>
                <w:rFonts w:hint="eastAsia" w:ascii="宋体" w:hAnsi="宋体" w:cs="宋体"/>
                <w:color w:val="auto"/>
                <w:kern w:val="0"/>
                <w:sz w:val="20"/>
                <w:szCs w:val="20"/>
                <w:lang w:val="en-US" w:eastAsia="zh-CN"/>
              </w:rPr>
              <w:t>1.5</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3. 项目质量及进度保障措施内容完整性、合理性、可行性不足；评为中，得</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4. 项目质量及进度保障措施内容完整性、合理性、可行性不足；评为差，不得分；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rPr>
            </w:pPr>
            <w:r>
              <w:rPr>
                <w:rFonts w:hint="eastAsia" w:ascii="宋体" w:hAnsi="宋体" w:cs="宋体"/>
                <w:color w:val="auto"/>
                <w:kern w:val="0"/>
                <w:sz w:val="20"/>
                <w:szCs w:val="20"/>
              </w:rPr>
              <w:t>如果不得分，要求专家书面说明理由，并记录在档。</w:t>
            </w:r>
          </w:p>
        </w:tc>
      </w:tr>
      <w:tr>
        <w:tblPrEx>
          <w:tblCellMar>
            <w:top w:w="0" w:type="dxa"/>
            <w:left w:w="108" w:type="dxa"/>
            <w:bottom w:w="0" w:type="dxa"/>
            <w:right w:w="108" w:type="dxa"/>
          </w:tblCellMar>
        </w:tblPrEx>
        <w:trPr>
          <w:trHeight w:val="300" w:hRule="atLeast"/>
        </w:trPr>
        <w:tc>
          <w:tcPr>
            <w:tcW w:w="391" w:type="pct"/>
            <w:vMerge w:val="restart"/>
            <w:tcBorders>
              <w:top w:val="nil"/>
              <w:left w:val="single" w:color="auto" w:sz="8" w:space="0"/>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1496" w:type="pct"/>
            <w:gridSpan w:val="3"/>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商务部分</w:t>
            </w:r>
          </w:p>
        </w:tc>
        <w:tc>
          <w:tcPr>
            <w:tcW w:w="31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rPr>
            </w:pPr>
            <w:r>
              <w:rPr>
                <w:rFonts w:hint="eastAsia" w:ascii="宋体" w:hAnsi="宋体" w:cs="宋体"/>
                <w:b/>
                <w:bCs/>
                <w:color w:val="auto"/>
                <w:kern w:val="0"/>
                <w:sz w:val="20"/>
                <w:szCs w:val="20"/>
                <w:lang w:val="en-US" w:eastAsia="zh-CN"/>
              </w:rPr>
              <w:t>50</w:t>
            </w:r>
          </w:p>
        </w:tc>
      </w:tr>
      <w:tr>
        <w:tblPrEx>
          <w:tblCellMar>
            <w:top w:w="0" w:type="dxa"/>
            <w:left w:w="108" w:type="dxa"/>
            <w:bottom w:w="0" w:type="dxa"/>
            <w:right w:w="108" w:type="dxa"/>
          </w:tblCellMar>
        </w:tblPrEx>
        <w:trPr>
          <w:trHeight w:val="315" w:hRule="atLeast"/>
        </w:trPr>
        <w:tc>
          <w:tcPr>
            <w:tcW w:w="391" w:type="pct"/>
            <w:vMerge w:val="continue"/>
            <w:tcBorders>
              <w:top w:val="nil"/>
              <w:left w:val="single" w:color="auto" w:sz="8" w:space="0"/>
              <w:bottom w:val="single" w:color="000000" w:sz="8"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single" w:color="auto" w:sz="4" w:space="0"/>
              <w:left w:val="single" w:color="auto" w:sz="4" w:space="0"/>
              <w:bottom w:val="single" w:color="auto" w:sz="4"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732" w:type="pct"/>
            <w:tcBorders>
              <w:top w:val="single" w:color="auto" w:sz="4" w:space="0"/>
              <w:left w:val="single" w:color="auto" w:sz="4" w:space="0"/>
              <w:bottom w:val="single" w:color="auto" w:sz="4"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评分因素</w:t>
            </w:r>
          </w:p>
        </w:tc>
        <w:tc>
          <w:tcPr>
            <w:tcW w:w="479" w:type="pct"/>
            <w:tcBorders>
              <w:top w:val="single" w:color="auto" w:sz="4" w:space="0"/>
              <w:left w:val="single" w:color="auto" w:sz="4" w:space="0"/>
              <w:bottom w:val="single" w:color="auto" w:sz="4"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分值</w:t>
            </w:r>
          </w:p>
        </w:tc>
        <w:tc>
          <w:tcPr>
            <w:tcW w:w="3111" w:type="pct"/>
            <w:tcBorders>
              <w:top w:val="single" w:color="auto" w:sz="4" w:space="0"/>
              <w:left w:val="single" w:color="auto" w:sz="4" w:space="0"/>
              <w:bottom w:val="single" w:color="auto" w:sz="4" w:space="0"/>
              <w:right w:val="single" w:color="auto" w:sz="4" w:space="0"/>
            </w:tcBorders>
            <w:shd w:val="clear" w:color="000000" w:fill="E6EFF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评分准则</w:t>
            </w:r>
          </w:p>
        </w:tc>
      </w:tr>
      <w:tr>
        <w:trPr>
          <w:trHeight w:val="90" w:hRule="atLeast"/>
        </w:trPr>
        <w:tc>
          <w:tcPr>
            <w:tcW w:w="391" w:type="pct"/>
            <w:vMerge w:val="continue"/>
            <w:tcBorders>
              <w:top w:val="nil"/>
              <w:left w:val="single" w:color="auto" w:sz="8" w:space="0"/>
              <w:bottom w:val="single" w:color="000000" w:sz="8" w:space="0"/>
              <w:right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32"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cs="宋体"/>
                <w:color w:val="auto"/>
                <w:kern w:val="0"/>
                <w:sz w:val="20"/>
                <w:szCs w:val="20"/>
              </w:rPr>
              <w:t>投标人类似项目业绩情况</w:t>
            </w:r>
          </w:p>
        </w:tc>
        <w:tc>
          <w:tcPr>
            <w:tcW w:w="479"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r>
              <w:rPr>
                <w:rFonts w:hint="eastAsia" w:ascii="宋体" w:hAnsi="宋体" w:cs="宋体"/>
                <w:color w:val="auto"/>
                <w:kern w:val="0"/>
                <w:sz w:val="20"/>
                <w:szCs w:val="20"/>
                <w:lang w:val="en-US" w:eastAsia="zh-CN"/>
              </w:rPr>
              <w:t>5</w:t>
            </w:r>
          </w:p>
        </w:tc>
        <w:tc>
          <w:tcPr>
            <w:tcW w:w="3111" w:type="pct"/>
            <w:tcBorders>
              <w:top w:val="single" w:color="auto" w:sz="4"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（一）评分内容</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1.投标人自2020年1月1日至本项目投标截止之日（以中标通知书或合同签订时间为准），每提供一项跨境交通规划或研究类项目业绩得</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分，每提供一项片区综合交通规划或研究类项目业绩得</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分。</w:t>
            </w:r>
            <w:r>
              <w:rPr>
                <w:rFonts w:hint="eastAsia" w:ascii="宋体" w:hAnsi="宋体" w:cs="宋体"/>
                <w:color w:val="auto"/>
                <w:kern w:val="0"/>
                <w:sz w:val="20"/>
                <w:szCs w:val="20"/>
                <w:lang w:val="en-US" w:eastAsia="zh-CN"/>
              </w:rPr>
              <w:t>同一项目同时属于</w:t>
            </w:r>
            <w:r>
              <w:rPr>
                <w:rFonts w:hint="eastAsia" w:ascii="宋体" w:hAnsi="宋体" w:cs="宋体"/>
                <w:color w:val="auto"/>
                <w:kern w:val="0"/>
                <w:sz w:val="20"/>
                <w:szCs w:val="20"/>
              </w:rPr>
              <w:t>跨境交通</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片区综合交通规划或研究类项目</w:t>
            </w:r>
            <w:r>
              <w:rPr>
                <w:rFonts w:hint="eastAsia" w:ascii="宋体" w:hAnsi="宋体" w:cs="宋体"/>
                <w:color w:val="auto"/>
                <w:kern w:val="0"/>
                <w:sz w:val="20"/>
                <w:szCs w:val="20"/>
                <w:lang w:val="en-US" w:eastAsia="zh-CN"/>
              </w:rPr>
              <w:t>的，按3分计，不重复计分。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2.同一项目续签合同不重复计分，最高得</w:t>
            </w:r>
            <w:r>
              <w:rPr>
                <w:rFonts w:hint="eastAsia" w:ascii="宋体" w:hAnsi="宋体" w:cs="宋体"/>
                <w:color w:val="auto"/>
                <w:kern w:val="0"/>
                <w:sz w:val="20"/>
                <w:szCs w:val="20"/>
                <w:lang w:val="en-US" w:eastAsia="zh-CN"/>
              </w:rPr>
              <w:t>15</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（二）评分标准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1.要求提供中标通知书或合同关键信息（包括但不仅限于：合同的项目名称页、服务内容页、签订时间页、双方盖章页等），通过中标通知书或合同关键信息无法判断是否得分的，也可以提供能证明得分的其它证明资料，如合同采购人出具的加盖合同采购人单位公章或业务章的证明文件等，或加盖合同采购人单位公章或业务章的项目履约（验收）合格评价（证明）文件。</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2.以上资料需提供</w:t>
            </w:r>
            <w:r>
              <w:rPr>
                <w:rFonts w:hint="eastAsia" w:ascii="宋体" w:hAnsi="宋体" w:cs="宋体"/>
                <w:color w:val="auto"/>
                <w:kern w:val="0"/>
                <w:sz w:val="20"/>
                <w:szCs w:val="20"/>
                <w:lang w:val="en-US" w:eastAsia="zh-CN"/>
              </w:rPr>
              <w:t>复印件或</w:t>
            </w:r>
            <w:r>
              <w:rPr>
                <w:rFonts w:hint="eastAsia" w:ascii="宋体" w:hAnsi="宋体" w:cs="宋体"/>
                <w:color w:val="auto"/>
                <w:kern w:val="0"/>
                <w:sz w:val="20"/>
                <w:szCs w:val="20"/>
              </w:rPr>
              <w:t>扫描件作为得分依据。</w:t>
            </w:r>
          </w:p>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rPr>
            </w:pPr>
            <w:r>
              <w:rPr>
                <w:rFonts w:hint="eastAsia" w:ascii="宋体" w:hAnsi="宋体" w:cs="宋体"/>
                <w:color w:val="auto"/>
                <w:kern w:val="0"/>
                <w:sz w:val="20"/>
                <w:szCs w:val="20"/>
              </w:rPr>
              <w:t>3.评分中出现无证明资料或专家无法凭所提供资料判断是否得分的情况，一律作不得分处理。</w:t>
            </w:r>
          </w:p>
        </w:tc>
      </w:tr>
      <w:tr>
        <w:tblPrEx>
          <w:tblCellMar>
            <w:top w:w="0" w:type="dxa"/>
            <w:left w:w="108" w:type="dxa"/>
            <w:bottom w:w="0" w:type="dxa"/>
            <w:right w:w="108" w:type="dxa"/>
          </w:tblCellMar>
        </w:tblPrEx>
        <w:trPr>
          <w:trHeight w:val="3390" w:hRule="atLeast"/>
        </w:trPr>
        <w:tc>
          <w:tcPr>
            <w:tcW w:w="391" w:type="pct"/>
            <w:vMerge w:val="continue"/>
            <w:tcBorders>
              <w:top w:val="nil"/>
              <w:left w:val="single" w:color="auto" w:sz="8" w:space="0"/>
              <w:bottom w:val="single" w:color="000000" w:sz="8" w:space="0"/>
              <w:right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32"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项目负责人情况（仅一人）</w:t>
            </w:r>
          </w:p>
        </w:tc>
        <w:tc>
          <w:tcPr>
            <w:tcW w:w="479"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cs="宋体"/>
                <w:color w:val="auto"/>
                <w:kern w:val="0"/>
                <w:sz w:val="20"/>
                <w:szCs w:val="20"/>
                <w:lang w:val="en-US" w:eastAsia="zh-CN"/>
              </w:rPr>
              <w:t>12</w:t>
            </w:r>
          </w:p>
        </w:tc>
        <w:tc>
          <w:tcPr>
            <w:tcW w:w="31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（一）评分内容</w:t>
            </w:r>
          </w:p>
          <w:p>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项目负责人需为本单位人员，否则本项不得分，在此基础上：</w:t>
            </w:r>
          </w:p>
          <w:p>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1.拟安排的项目负责人具有城市（乡）规划类或城市交通类或交通（规划）类专业高级工程师（副高级）职称的，得</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分；具有城市（乡）规划类或城市交通类或交通（规划）类专业教授级高级工程师（正高级）职称的，得</w:t>
            </w: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分</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最高得6分。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lang w:val="en-US"/>
              </w:rPr>
            </w:pPr>
            <w:r>
              <w:rPr>
                <w:rFonts w:hint="eastAsia" w:ascii="宋体" w:hAnsi="宋体" w:eastAsia="宋体" w:cs="宋体"/>
                <w:color w:val="auto"/>
                <w:kern w:val="0"/>
                <w:sz w:val="20"/>
                <w:szCs w:val="20"/>
                <w:lang w:val="en-US" w:eastAsia="zh-CN"/>
              </w:rPr>
              <w:t>2.具有</w:t>
            </w:r>
            <w:r>
              <w:rPr>
                <w:rFonts w:hint="eastAsia" w:ascii="宋体" w:hAnsi="宋体" w:cs="宋体"/>
                <w:color w:val="auto"/>
                <w:kern w:val="0"/>
                <w:sz w:val="20"/>
                <w:szCs w:val="20"/>
                <w:lang w:val="en-US" w:eastAsia="zh-CN"/>
              </w:rPr>
              <w:t>规划类或交通类</w:t>
            </w:r>
            <w:r>
              <w:rPr>
                <w:rFonts w:hint="eastAsia" w:ascii="宋体" w:hAnsi="宋体" w:eastAsia="宋体" w:cs="宋体"/>
                <w:color w:val="auto"/>
                <w:kern w:val="0"/>
                <w:sz w:val="20"/>
                <w:szCs w:val="20"/>
                <w:lang w:val="en-US" w:eastAsia="zh-CN"/>
              </w:rPr>
              <w:t>硕士学位的，得</w:t>
            </w:r>
            <w:r>
              <w:rPr>
                <w:rFonts w:hint="eastAsia" w:ascii="宋体" w:hAnsi="宋体" w:cs="宋体"/>
                <w:color w:val="auto"/>
                <w:kern w:val="0"/>
                <w:sz w:val="20"/>
                <w:szCs w:val="20"/>
                <w:lang w:val="en-US" w:eastAsia="zh-CN"/>
              </w:rPr>
              <w:t>1</w:t>
            </w:r>
            <w:r>
              <w:rPr>
                <w:rFonts w:hint="eastAsia" w:ascii="宋体" w:hAnsi="宋体" w:eastAsia="宋体" w:cs="宋体"/>
                <w:color w:val="auto"/>
                <w:kern w:val="0"/>
                <w:sz w:val="20"/>
                <w:szCs w:val="20"/>
                <w:lang w:val="en-US" w:eastAsia="zh-CN"/>
              </w:rPr>
              <w:t>分；具有</w:t>
            </w:r>
            <w:r>
              <w:rPr>
                <w:rFonts w:hint="eastAsia" w:ascii="宋体" w:hAnsi="宋体" w:cs="宋体"/>
                <w:color w:val="auto"/>
                <w:kern w:val="0"/>
                <w:sz w:val="20"/>
                <w:szCs w:val="20"/>
                <w:lang w:val="en-US" w:eastAsia="zh-CN"/>
              </w:rPr>
              <w:t>规划类或交通类</w:t>
            </w:r>
            <w:r>
              <w:rPr>
                <w:rFonts w:hint="eastAsia" w:ascii="宋体" w:hAnsi="宋体" w:eastAsia="宋体" w:cs="宋体"/>
                <w:color w:val="auto"/>
                <w:kern w:val="0"/>
                <w:sz w:val="20"/>
                <w:szCs w:val="20"/>
                <w:lang w:val="en-US" w:eastAsia="zh-CN"/>
              </w:rPr>
              <w:t>博士学位的，得</w:t>
            </w:r>
            <w:r>
              <w:rPr>
                <w:rFonts w:hint="eastAsia" w:ascii="宋体" w:hAnsi="宋体" w:cs="宋体"/>
                <w:color w:val="auto"/>
                <w:kern w:val="0"/>
                <w:sz w:val="20"/>
                <w:szCs w:val="20"/>
                <w:lang w:val="en-US" w:eastAsia="zh-CN"/>
              </w:rPr>
              <w:t>2</w:t>
            </w:r>
            <w:r>
              <w:rPr>
                <w:rFonts w:hint="eastAsia" w:ascii="宋体" w:hAnsi="宋体" w:eastAsia="宋体" w:cs="宋体"/>
                <w:color w:val="auto"/>
                <w:kern w:val="0"/>
                <w:sz w:val="20"/>
                <w:szCs w:val="20"/>
                <w:lang w:val="en-US" w:eastAsia="zh-CN"/>
              </w:rPr>
              <w:t>分，</w:t>
            </w:r>
            <w:r>
              <w:rPr>
                <w:rFonts w:hint="eastAsia" w:ascii="宋体" w:hAnsi="宋体" w:cs="宋体"/>
                <w:color w:val="auto"/>
                <w:kern w:val="0"/>
                <w:sz w:val="20"/>
                <w:szCs w:val="20"/>
                <w:lang w:val="en-US" w:eastAsia="zh-CN"/>
              </w:rPr>
              <w:t>其</w:t>
            </w:r>
            <w:r>
              <w:rPr>
                <w:rFonts w:hint="eastAsia" w:ascii="宋体" w:hAnsi="宋体" w:eastAsia="宋体" w:cs="宋体"/>
                <w:color w:val="auto"/>
                <w:kern w:val="0"/>
                <w:sz w:val="20"/>
                <w:szCs w:val="20"/>
                <w:lang w:val="en-US" w:eastAsia="zh-CN"/>
              </w:rPr>
              <w:t>硕士学位不重复计分</w:t>
            </w:r>
            <w:r>
              <w:rPr>
                <w:rFonts w:hint="eastAsia" w:ascii="宋体" w:hAnsi="宋体" w:cs="宋体"/>
                <w:color w:val="auto"/>
                <w:kern w:val="0"/>
                <w:sz w:val="20"/>
                <w:szCs w:val="20"/>
                <w:lang w:val="en-US" w:eastAsia="zh-CN"/>
              </w:rPr>
              <w:t>，最高得2分。</w:t>
            </w:r>
          </w:p>
          <w:p>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.担任过</w:t>
            </w:r>
            <w:r>
              <w:rPr>
                <w:rFonts w:hint="eastAsia" w:ascii="宋体" w:hAnsi="宋体" w:cs="宋体"/>
                <w:color w:val="auto"/>
                <w:kern w:val="0"/>
                <w:sz w:val="20"/>
                <w:szCs w:val="20"/>
                <w:lang w:val="en-US" w:eastAsia="zh-CN"/>
              </w:rPr>
              <w:t>跨</w:t>
            </w:r>
            <w:r>
              <w:rPr>
                <w:rFonts w:hint="eastAsia" w:ascii="宋体" w:hAnsi="宋体" w:cs="宋体"/>
                <w:color w:val="auto"/>
                <w:kern w:val="0"/>
                <w:sz w:val="20"/>
                <w:szCs w:val="20"/>
              </w:rPr>
              <w:t>境交通规划或研究类项目负责人的，每个得2分，最高得</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分。</w:t>
            </w:r>
            <w:r>
              <w:rPr>
                <w:rFonts w:hint="eastAsia" w:ascii="宋体" w:hAnsi="宋体" w:cs="宋体"/>
                <w:color w:val="auto"/>
                <w:kern w:val="0"/>
                <w:sz w:val="20"/>
                <w:szCs w:val="20"/>
                <w:lang w:val="en-US" w:eastAsia="zh-CN"/>
              </w:rPr>
              <w:t>同一项目续签合同不重复计分。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.担任过片区综合交通规划或研究类项目负责人的，每个得1分，最高得</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分。</w:t>
            </w:r>
            <w:r>
              <w:rPr>
                <w:rFonts w:hint="eastAsia" w:ascii="宋体" w:hAnsi="宋体" w:cs="宋体"/>
                <w:color w:val="auto"/>
                <w:kern w:val="0"/>
                <w:sz w:val="20"/>
                <w:szCs w:val="20"/>
                <w:lang w:val="en-US" w:eastAsia="zh-CN"/>
              </w:rPr>
              <w:t>同一项目续签合同不重复计分。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同一项目同时属于</w:t>
            </w:r>
            <w:r>
              <w:rPr>
                <w:rFonts w:hint="eastAsia" w:ascii="宋体" w:hAnsi="宋体" w:cs="宋体"/>
                <w:color w:val="auto"/>
                <w:kern w:val="0"/>
                <w:sz w:val="20"/>
                <w:szCs w:val="20"/>
              </w:rPr>
              <w:t>跨境交通</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片区综合交通规划或研究类项目</w:t>
            </w:r>
            <w:r>
              <w:rPr>
                <w:rFonts w:hint="eastAsia" w:ascii="宋体" w:hAnsi="宋体" w:cs="宋体"/>
                <w:color w:val="auto"/>
                <w:kern w:val="0"/>
                <w:sz w:val="20"/>
                <w:szCs w:val="20"/>
                <w:lang w:val="en-US" w:eastAsia="zh-CN"/>
              </w:rPr>
              <w:t>的仅按最高分计取一次，不重复计分。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以上</w:t>
            </w:r>
            <w:r>
              <w:rPr>
                <w:rFonts w:hint="eastAsia" w:ascii="宋体" w:hAnsi="宋体" w:cs="宋体"/>
                <w:color w:val="auto"/>
                <w:kern w:val="0"/>
                <w:sz w:val="20"/>
                <w:szCs w:val="20"/>
                <w:lang w:val="en-US" w:eastAsia="zh-CN"/>
              </w:rPr>
              <w:t>四</w:t>
            </w:r>
            <w:r>
              <w:rPr>
                <w:rFonts w:hint="eastAsia" w:ascii="宋体" w:hAnsi="宋体" w:cs="宋体"/>
                <w:color w:val="auto"/>
                <w:kern w:val="0"/>
                <w:sz w:val="20"/>
                <w:szCs w:val="20"/>
              </w:rPr>
              <w:t>项累计得分，最高得</w:t>
            </w:r>
            <w:r>
              <w:rPr>
                <w:rFonts w:hint="eastAsia" w:ascii="宋体" w:hAnsi="宋体" w:cs="宋体"/>
                <w:color w:val="auto"/>
                <w:kern w:val="0"/>
                <w:sz w:val="20"/>
                <w:szCs w:val="20"/>
                <w:lang w:val="en-US" w:eastAsia="zh-CN"/>
              </w:rPr>
              <w:t>12</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（二）评分标准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rPr>
              <w:t>1.提供投标截止日前由投标人为其缴交的载有社保部门或税务部门公章的近1个月的社保缴交证明材料，如投标截止日前一个月的社保材料因社保部门或税务部门原因暂时无法取得，则可以往前顺延一个月；社保资料必须至少显示缴交养老保险信息，未显示该信息的社保资料则不符合要求。如供应商为新成立企业且成立时间不足1个月的可提供情况说明或其他相关证明材料亦可。（不接受退休返聘人员）</w:t>
            </w:r>
          </w:p>
          <w:p>
            <w:pPr>
              <w:keepNext w:val="0"/>
              <w:keepLines w:val="0"/>
              <w:widowControl/>
              <w:suppressLineNumbers w:val="0"/>
              <w:spacing w:before="0" w:beforeAutospacing="0" w:after="0" w:afterAutospacing="0"/>
              <w:ind w:left="0" w:right="0"/>
              <w:rPr>
                <w:rFonts w:hint="eastAsia" w:ascii="宋体" w:hAnsi="宋体" w:cs="宋体"/>
                <w:color w:val="auto"/>
                <w:kern w:val="0"/>
                <w:sz w:val="20"/>
                <w:szCs w:val="20"/>
              </w:rPr>
            </w:pPr>
            <w:r>
              <w:rPr>
                <w:rFonts w:hint="eastAsia" w:ascii="宋体" w:hAnsi="宋体" w:cs="宋体"/>
                <w:color w:val="auto"/>
                <w:kern w:val="0"/>
                <w:sz w:val="20"/>
                <w:szCs w:val="20"/>
              </w:rPr>
              <w:t>2.要求提供职称证书，评审通过暂未发证的提供任职资格通知证明文件。</w:t>
            </w:r>
          </w:p>
          <w:p>
            <w:pPr>
              <w:pStyle w:val="2"/>
              <w:keepNext w:val="0"/>
              <w:keepLines w:val="0"/>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要求提供学位证书</w:t>
            </w:r>
            <w:r>
              <w:rPr>
                <w:rFonts w:hint="eastAsia" w:ascii="宋体" w:hAnsi="宋体" w:cs="宋体"/>
                <w:color w:val="auto"/>
                <w:kern w:val="0"/>
                <w:sz w:val="20"/>
                <w:szCs w:val="20"/>
                <w:lang w:val="en-US" w:eastAsia="zh-CN"/>
              </w:rPr>
              <w:t>复印件（或</w:t>
            </w:r>
            <w:r>
              <w:rPr>
                <w:rFonts w:hint="eastAsia" w:ascii="宋体" w:hAnsi="宋体" w:cs="宋体"/>
                <w:color w:val="auto"/>
                <w:kern w:val="0"/>
                <w:sz w:val="20"/>
                <w:szCs w:val="20"/>
              </w:rPr>
              <w:t>扫描件</w:t>
            </w:r>
            <w:r>
              <w:rPr>
                <w:rFonts w:hint="eastAsia" w:ascii="宋体" w:hAnsi="宋体" w:cs="宋体"/>
                <w:color w:val="auto"/>
                <w:kern w:val="0"/>
                <w:sz w:val="20"/>
                <w:szCs w:val="20"/>
                <w:lang w:val="en-US" w:eastAsia="zh-CN"/>
              </w:rPr>
              <w:t>）</w:t>
            </w:r>
            <w:r>
              <w:rPr>
                <w:rFonts w:hint="eastAsia" w:ascii="宋体" w:hAnsi="宋体" w:cs="宋体"/>
                <w:color w:val="auto"/>
                <w:kern w:val="0"/>
                <w:sz w:val="20"/>
                <w:szCs w:val="20"/>
              </w:rPr>
              <w:t>及学信网查询记录截图（如较早颁发的学位证书，学信网无法查询的，可提供毕业院校或教育或人社部门等颁发机构或监管机构等出具的证明，如海外留学（含港澳台人）学位无法通过学信网站查询的，应当提供教育部留学服务中心出具的国外学位认证证书以及教育部留学服务中心官网查询截图。若证明文件为其它语言，必须附中文译文，以中文译文为准）。</w:t>
            </w:r>
          </w:p>
          <w:p>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rPr>
            </w:pP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提供能体现项目负责人姓名的中标通知书或能体现项目负责人姓名的合同关键信息（包括但不仅限于：合同的项目名称页、服务内容页、签订时间页、双方盖章页等）或能体现项目负责人姓名的报告成果。通过合同关键信息无法判断是否得分的，也可以提供能证明得分的其它证明资料，如项目合同履约评价或合同采购方出具的证明文件等。</w:t>
            </w:r>
          </w:p>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rPr>
            </w:pP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.以上资料均要求提供扫描件或复印件，评分中出现无证明资料或专家无法凭所提供资料判断是否得分的情况，一律不得分。</w:t>
            </w:r>
          </w:p>
        </w:tc>
      </w:tr>
      <w:tr>
        <w:tblPrEx>
          <w:tblCellMar>
            <w:top w:w="0" w:type="dxa"/>
            <w:left w:w="108" w:type="dxa"/>
            <w:bottom w:w="0" w:type="dxa"/>
            <w:right w:w="108" w:type="dxa"/>
          </w:tblCellMar>
        </w:tblPrEx>
        <w:trPr>
          <w:trHeight w:val="445" w:hRule="atLeast"/>
        </w:trPr>
        <w:tc>
          <w:tcPr>
            <w:tcW w:w="391" w:type="pct"/>
            <w:vMerge w:val="continue"/>
            <w:tcBorders>
              <w:top w:val="nil"/>
              <w:left w:val="single" w:color="auto" w:sz="8" w:space="0"/>
              <w:bottom w:val="single" w:color="000000" w:sz="8"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3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团队成员（不包括项目负责人）</w:t>
            </w:r>
          </w:p>
        </w:tc>
        <w:tc>
          <w:tcPr>
            <w:tcW w:w="479"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r>
              <w:rPr>
                <w:rFonts w:hint="eastAsia" w:ascii="宋体" w:hAnsi="宋体" w:cs="宋体"/>
                <w:color w:val="auto"/>
                <w:kern w:val="0"/>
                <w:sz w:val="20"/>
                <w:szCs w:val="20"/>
                <w:lang w:val="en-US" w:eastAsia="zh-CN"/>
              </w:rPr>
              <w:t>5</w:t>
            </w:r>
          </w:p>
        </w:tc>
        <w:tc>
          <w:tcPr>
            <w:tcW w:w="311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（一）评分内容</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拟安排的项目团队成员（不包括项目负责人）人数须不少于6人，</w:t>
            </w:r>
            <w:r>
              <w:rPr>
                <w:rFonts w:hint="eastAsia" w:ascii="宋体" w:hAnsi="宋体" w:cs="宋体"/>
                <w:color w:val="auto"/>
                <w:kern w:val="0"/>
                <w:sz w:val="20"/>
                <w:szCs w:val="20"/>
                <w:lang w:val="en-US" w:eastAsia="zh-CN"/>
              </w:rPr>
              <w:t>且为本单位人员，</w:t>
            </w:r>
            <w:r>
              <w:rPr>
                <w:rFonts w:hint="eastAsia" w:ascii="宋体" w:hAnsi="宋体" w:cs="宋体"/>
                <w:color w:val="auto"/>
                <w:kern w:val="0"/>
                <w:sz w:val="20"/>
                <w:szCs w:val="20"/>
              </w:rPr>
              <w:t>在此基础上，项目团队成员中：</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1.具有城市（乡）规划类或城市交通类或交通（规划）类专业</w:t>
            </w:r>
            <w:r>
              <w:rPr>
                <w:rFonts w:hint="eastAsia" w:ascii="宋体" w:hAnsi="宋体" w:cs="宋体"/>
                <w:color w:val="auto"/>
                <w:kern w:val="0"/>
                <w:sz w:val="20"/>
                <w:szCs w:val="20"/>
                <w:lang w:val="en-US" w:eastAsia="zh-CN"/>
              </w:rPr>
              <w:t>副</w:t>
            </w:r>
            <w:r>
              <w:rPr>
                <w:rFonts w:hint="eastAsia" w:ascii="宋体" w:hAnsi="宋体" w:cs="宋体"/>
                <w:color w:val="auto"/>
                <w:kern w:val="0"/>
                <w:sz w:val="20"/>
                <w:szCs w:val="20"/>
              </w:rPr>
              <w:t>高级</w:t>
            </w:r>
            <w:r>
              <w:rPr>
                <w:rFonts w:hint="eastAsia" w:ascii="宋体" w:hAnsi="宋体" w:cs="宋体"/>
                <w:color w:val="auto"/>
                <w:kern w:val="0"/>
                <w:sz w:val="20"/>
                <w:szCs w:val="20"/>
                <w:lang w:val="en-US" w:eastAsia="zh-CN"/>
              </w:rPr>
              <w:t>或</w:t>
            </w:r>
            <w:r>
              <w:rPr>
                <w:rFonts w:hint="eastAsia" w:ascii="宋体" w:hAnsi="宋体" w:cs="宋体"/>
                <w:color w:val="auto"/>
                <w:kern w:val="0"/>
                <w:sz w:val="20"/>
                <w:szCs w:val="20"/>
              </w:rPr>
              <w:t>以上职称的，每人得</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分，最高得</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分</w:t>
            </w:r>
            <w:r>
              <w:rPr>
                <w:rFonts w:hint="eastAsia" w:ascii="宋体" w:hAnsi="宋体" w:cs="宋体"/>
                <w:color w:val="auto"/>
                <w:kern w:val="0"/>
                <w:sz w:val="20"/>
                <w:szCs w:val="20"/>
                <w:lang w:eastAsia="zh-CN"/>
              </w:rPr>
              <w:t>。</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2.具有</w:t>
            </w:r>
            <w:r>
              <w:rPr>
                <w:rFonts w:hint="eastAsia" w:ascii="宋体" w:hAnsi="宋体" w:cs="宋体"/>
                <w:color w:val="auto"/>
                <w:kern w:val="0"/>
                <w:sz w:val="20"/>
                <w:szCs w:val="20"/>
                <w:lang w:val="en-US" w:eastAsia="zh-CN"/>
              </w:rPr>
              <w:t>规划类或交通类</w:t>
            </w:r>
            <w:r>
              <w:rPr>
                <w:rFonts w:hint="eastAsia" w:ascii="宋体" w:hAnsi="宋体" w:cs="宋体"/>
                <w:color w:val="auto"/>
                <w:kern w:val="0"/>
                <w:sz w:val="20"/>
                <w:szCs w:val="20"/>
              </w:rPr>
              <w:t>硕士学位的，每人得</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分；具有</w:t>
            </w:r>
            <w:r>
              <w:rPr>
                <w:rFonts w:hint="eastAsia" w:ascii="宋体" w:hAnsi="宋体" w:cs="宋体"/>
                <w:color w:val="auto"/>
                <w:kern w:val="0"/>
                <w:sz w:val="20"/>
                <w:szCs w:val="20"/>
                <w:lang w:val="en-US" w:eastAsia="zh-CN"/>
              </w:rPr>
              <w:t>规划类或交通类</w:t>
            </w:r>
            <w:r>
              <w:rPr>
                <w:rFonts w:hint="eastAsia" w:ascii="宋体" w:hAnsi="宋体" w:cs="宋体"/>
                <w:color w:val="auto"/>
                <w:kern w:val="0"/>
                <w:sz w:val="20"/>
                <w:szCs w:val="20"/>
              </w:rPr>
              <w:t>博士学位的，每人得</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分，硕士学位不重复计分；最高得</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3.具有跨境交通规划或研究类项目经验的（负责人或团队成员均可），每人得1分，最高得</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分。</w:t>
            </w:r>
            <w:r>
              <w:rPr>
                <w:rFonts w:hint="eastAsia" w:ascii="宋体" w:hAnsi="宋体" w:cs="宋体"/>
                <w:color w:val="auto"/>
                <w:kern w:val="0"/>
                <w:sz w:val="20"/>
                <w:szCs w:val="20"/>
                <w:lang w:val="en-US" w:eastAsia="zh-CN"/>
              </w:rPr>
              <w:t>同一项目多人参与可重复计分。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以上三项累计得分，最高得</w:t>
            </w:r>
            <w:r>
              <w:rPr>
                <w:rFonts w:hint="eastAsia" w:ascii="宋体" w:hAnsi="宋体" w:cs="宋体"/>
                <w:color w:val="auto"/>
                <w:kern w:val="0"/>
                <w:sz w:val="20"/>
                <w:szCs w:val="20"/>
                <w:lang w:val="en-US" w:eastAsia="zh-CN"/>
              </w:rPr>
              <w:t>15</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（二）评分标准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1.提供投标截止日前由投标人为其缴交的载有社保部门或税务部门公章的近1个月的社保缴交证明材料，如投标截止日前一个月的社保材料因社保部门或税务部门原因暂时无法取得，则可以往前顺延一个月；社保资料必须至少显示缴交养老保险信息，未显示该信息的社保资料则不符合要求。如供应商为新成立企业且成立时间不足1个月的可提供情况说明或其他相关证明材料亦可。（</w:t>
            </w:r>
            <w:r>
              <w:rPr>
                <w:rFonts w:hint="eastAsia" w:ascii="宋体" w:hAnsi="宋体" w:cs="宋体"/>
                <w:color w:val="auto"/>
                <w:kern w:val="0"/>
                <w:sz w:val="20"/>
                <w:szCs w:val="20"/>
                <w:lang w:val="en-US" w:eastAsia="zh-CN"/>
              </w:rPr>
              <w:t>不</w:t>
            </w:r>
            <w:r>
              <w:rPr>
                <w:rFonts w:hint="eastAsia" w:ascii="宋体" w:hAnsi="宋体" w:cs="宋体"/>
                <w:color w:val="auto"/>
                <w:kern w:val="0"/>
                <w:sz w:val="20"/>
                <w:szCs w:val="20"/>
              </w:rPr>
              <w:t>接受退休返聘人员）</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2.要求提供职称证书，评审通过暂未发证的提供任职资格通知证明文件。</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3.要求提供学位证书</w:t>
            </w:r>
            <w:r>
              <w:rPr>
                <w:rFonts w:hint="eastAsia" w:ascii="宋体" w:hAnsi="宋体" w:cs="宋体"/>
                <w:color w:val="auto"/>
                <w:kern w:val="0"/>
                <w:sz w:val="20"/>
                <w:szCs w:val="20"/>
                <w:lang w:val="en-US" w:eastAsia="zh-CN"/>
              </w:rPr>
              <w:t>复印件（或</w:t>
            </w:r>
            <w:r>
              <w:rPr>
                <w:rFonts w:hint="eastAsia" w:ascii="宋体" w:hAnsi="宋体" w:cs="宋体"/>
                <w:color w:val="auto"/>
                <w:kern w:val="0"/>
                <w:sz w:val="20"/>
                <w:szCs w:val="20"/>
              </w:rPr>
              <w:t>扫描件</w:t>
            </w:r>
            <w:r>
              <w:rPr>
                <w:rFonts w:hint="eastAsia" w:ascii="宋体" w:hAnsi="宋体" w:cs="宋体"/>
                <w:color w:val="auto"/>
                <w:kern w:val="0"/>
                <w:sz w:val="20"/>
                <w:szCs w:val="20"/>
                <w:lang w:val="en-US" w:eastAsia="zh-CN"/>
              </w:rPr>
              <w:t>）</w:t>
            </w:r>
            <w:r>
              <w:rPr>
                <w:rFonts w:hint="eastAsia" w:ascii="宋体" w:hAnsi="宋体" w:cs="宋体"/>
                <w:color w:val="auto"/>
                <w:kern w:val="0"/>
                <w:sz w:val="20"/>
                <w:szCs w:val="20"/>
              </w:rPr>
              <w:t>及学信网查询记录截图（如较早颁发的学位证书，学信网无法查询的，可提供毕业院校或教育或人社部门等颁发机构或监管机构等出具的证明，如海外留学（含港澳台人）学位无法通过学信网站查询的，应当提供教育部留学服务中心出具的国外学位认证证书以及教育部留学服务中心官网查询截图。若证明文件为其它语言，必须附中文译文，以中文译文为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4.提供能体现团队成员姓名的中标通知书或能体现团队成员姓名的合同关键信息（包括但不仅限于：合同的项目名称页、服务内容页、签订时间页、双方盖章页等）或能体现团队成员姓名的报告成果。通过合同关键信息无法判断是否得分的，也可以提供能证明得分的其它证明资料，如项目合同履约评价或合同采购方出具的证明文件等。</w:t>
            </w:r>
          </w:p>
          <w:p>
            <w:pPr>
              <w:pStyle w:val="7"/>
              <w:keepNext w:val="0"/>
              <w:keepLines w:val="0"/>
              <w:numPr>
                <w:ilvl w:val="0"/>
                <w:numId w:val="0"/>
              </w:numPr>
              <w:suppressLineNumbers w:val="0"/>
              <w:spacing w:before="0" w:beforeAutospacing="0" w:afterAutospacing="0"/>
              <w:ind w:left="0" w:leftChars="0" w:right="0" w:firstLine="0" w:firstLineChars="0"/>
              <w:rPr>
                <w:rFonts w:hint="eastAsia" w:ascii="宋体" w:hAnsi="宋体" w:eastAsia="宋体" w:cs="宋体"/>
                <w:color w:val="auto"/>
                <w:sz w:val="20"/>
                <w:szCs w:val="20"/>
              </w:rPr>
            </w:pPr>
            <w:r>
              <w:rPr>
                <w:rFonts w:hint="eastAsia" w:ascii="宋体" w:hAnsi="宋体" w:cs="宋体"/>
                <w:color w:val="auto"/>
                <w:kern w:val="0"/>
                <w:sz w:val="20"/>
                <w:szCs w:val="20"/>
              </w:rPr>
              <w:t>5.以上资料均要求提供扫描件，评分中出现无证明资料或专家无法凭所提供资料判断是否得分的情况，一律不得分。</w:t>
            </w:r>
          </w:p>
        </w:tc>
      </w:tr>
      <w:tr>
        <w:tblPrEx>
          <w:tblCellMar>
            <w:top w:w="0" w:type="dxa"/>
            <w:left w:w="108" w:type="dxa"/>
            <w:bottom w:w="0" w:type="dxa"/>
            <w:right w:w="108" w:type="dxa"/>
          </w:tblCellMar>
        </w:tblPrEx>
        <w:trPr>
          <w:trHeight w:val="3299" w:hRule="atLeast"/>
        </w:trPr>
        <w:tc>
          <w:tcPr>
            <w:tcW w:w="391" w:type="pct"/>
            <w:vMerge w:val="continue"/>
            <w:tcBorders>
              <w:top w:val="nil"/>
              <w:left w:val="single" w:color="auto" w:sz="8" w:space="0"/>
              <w:bottom w:val="single" w:color="000000" w:sz="8" w:space="0"/>
              <w:right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3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投标人自主知识产权产品（创新、设计）情况</w:t>
            </w:r>
          </w:p>
        </w:tc>
        <w:tc>
          <w:tcPr>
            <w:tcW w:w="479"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cs="宋体"/>
                <w:color w:val="auto"/>
                <w:kern w:val="0"/>
                <w:sz w:val="20"/>
                <w:szCs w:val="20"/>
                <w:lang w:val="en-US" w:eastAsia="zh-CN"/>
              </w:rPr>
              <w:t>3</w:t>
            </w:r>
          </w:p>
        </w:tc>
        <w:tc>
          <w:tcPr>
            <w:tcW w:w="311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（一）评分内容</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投标人具有与交通相关的软件著作权或专利，每项得</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分，最高得</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（二）评分标准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r>
              <w:rPr>
                <w:rFonts w:hint="eastAsia" w:ascii="宋体" w:hAnsi="宋体" w:cs="宋体"/>
                <w:color w:val="auto"/>
                <w:kern w:val="0"/>
                <w:sz w:val="20"/>
                <w:szCs w:val="20"/>
              </w:rPr>
              <w:t>1.专利(著作权)为自有的，需提供专利(著作权)证书扫描件或复印件；专利(著作权)为购买或租赁的，需提供专利(著作权)购买（租赁）合同及专利(著作权)证书扫描件或复印件。</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cs="宋体"/>
                <w:color w:val="auto"/>
                <w:kern w:val="0"/>
                <w:sz w:val="20"/>
                <w:szCs w:val="20"/>
              </w:rPr>
              <w:t>2.评分中出现无证明资料或专家无法凭所提供资料判断是否得分的情况，一律作不得分处理。</w:t>
            </w:r>
          </w:p>
        </w:tc>
      </w:tr>
      <w:tr>
        <w:tblPrEx>
          <w:tblCellMar>
            <w:top w:w="0" w:type="dxa"/>
            <w:left w:w="108" w:type="dxa"/>
            <w:bottom w:w="0" w:type="dxa"/>
            <w:right w:w="108" w:type="dxa"/>
          </w:tblCellMar>
        </w:tblPrEx>
        <w:trPr>
          <w:trHeight w:val="4122" w:hRule="atLeast"/>
        </w:trPr>
        <w:tc>
          <w:tcPr>
            <w:tcW w:w="391" w:type="pct"/>
            <w:vMerge w:val="continue"/>
            <w:tcBorders>
              <w:top w:val="nil"/>
              <w:left w:val="single" w:color="auto" w:sz="8" w:space="0"/>
              <w:bottom w:val="single" w:color="000000" w:sz="8" w:space="0"/>
              <w:right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0"/>
                <w:szCs w:val="20"/>
              </w:rPr>
            </w:pPr>
          </w:p>
        </w:tc>
        <w:tc>
          <w:tcPr>
            <w:tcW w:w="28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32"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诚信评价</w:t>
            </w:r>
          </w:p>
        </w:tc>
        <w:tc>
          <w:tcPr>
            <w:tcW w:w="479"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311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（一）评分内容：</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（二）评分依据：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1、采购代理机构通过信用信息查询渠道，包括“信用中国”（www.creditchina.gov.cn）、“中国政府采购网”（www.ccgp.gov.cn）、“深圳市政府采购监管网”（http</w:t>
            </w:r>
            <w:bookmarkStart w:id="37" w:name="_GoBack"/>
            <w:bookmarkEnd w:id="37"/>
            <w:r>
              <w:rPr>
                <w:rFonts w:hint="eastAsia" w:ascii="宋体" w:hAnsi="宋体" w:eastAsia="宋体" w:cs="宋体"/>
                <w:color w:val="auto"/>
                <w:kern w:val="0"/>
                <w:sz w:val="20"/>
                <w:szCs w:val="20"/>
              </w:rPr>
              <w:t>://zfcg.sz.gov.cn）以及市、区财政部门认定的其他渠道查询供应商信用信息。</w:t>
            </w:r>
          </w:p>
        </w:tc>
      </w:tr>
    </w:tbl>
    <w:p>
      <w:pPr>
        <w:spacing w:line="360" w:lineRule="auto"/>
        <w:jc w:val="center"/>
        <w:rPr>
          <w:rFonts w:hint="eastAsia" w:ascii="宋体" w:hAnsi="宋体" w:cs="宋体"/>
          <w:b/>
          <w:bCs/>
          <w:sz w:val="24"/>
          <w:highlight w:val="none"/>
        </w:rPr>
      </w:pPr>
    </w:p>
    <w:p>
      <w:pPr>
        <w:spacing w:line="360" w:lineRule="auto"/>
        <w:jc w:val="center"/>
        <w:outlineLvl w:val="0"/>
        <w:rPr>
          <w:rFonts w:ascii="宋体" w:hAnsi="宋体" w:cs="宋体"/>
          <w:b/>
          <w:bCs/>
          <w:sz w:val="24"/>
          <w:highlight w:val="none"/>
        </w:rPr>
        <w:sectPr>
          <w:pgSz w:w="11906" w:h="16838"/>
          <w:pgMar w:top="1440" w:right="1650" w:bottom="1440" w:left="1650" w:header="851" w:footer="992" w:gutter="0"/>
          <w:pgNumType w:fmt="decimal"/>
          <w:cols w:space="720" w:num="1"/>
          <w:docGrid w:type="lines" w:linePitch="319" w:charSpace="0"/>
        </w:sectPr>
      </w:pPr>
      <w:bookmarkStart w:id="27" w:name="_Toc834"/>
      <w:bookmarkStart w:id="28" w:name="_Hlk28269117"/>
    </w:p>
    <w:p>
      <w:pPr>
        <w:spacing w:line="360" w:lineRule="auto"/>
        <w:jc w:val="center"/>
        <w:outlineLvl w:val="0"/>
        <w:rPr>
          <w:rFonts w:ascii="宋体" w:hAnsi="宋体" w:cs="宋体"/>
          <w:b/>
          <w:bCs/>
          <w:sz w:val="24"/>
          <w:highlight w:val="none"/>
        </w:rPr>
      </w:pPr>
      <w:r>
        <w:rPr>
          <w:rFonts w:hint="eastAsia" w:ascii="宋体" w:hAnsi="宋体" w:cs="宋体"/>
          <w:b/>
          <w:bCs/>
          <w:sz w:val="24"/>
          <w:highlight w:val="none"/>
        </w:rPr>
        <w:t>第七章 附件（投标文件格式）</w:t>
      </w:r>
      <w:bookmarkEnd w:id="27"/>
    </w:p>
    <w:p>
      <w:pPr>
        <w:keepNext/>
        <w:keepLines/>
        <w:spacing w:before="260" w:after="260" w:line="360" w:lineRule="auto"/>
        <w:jc w:val="center"/>
        <w:outlineLvl w:val="1"/>
        <w:rPr>
          <w:rFonts w:ascii="宋体" w:hAnsi="宋体" w:cs="宋体"/>
          <w:b/>
          <w:bCs/>
          <w:sz w:val="24"/>
          <w:highlight w:val="none"/>
        </w:rPr>
      </w:pPr>
      <w:bookmarkStart w:id="29" w:name="_Toc19494"/>
      <w:bookmarkStart w:id="30" w:name="_Toc6548"/>
      <w:bookmarkStart w:id="31" w:name="_Toc5116"/>
      <w:bookmarkStart w:id="32" w:name="_Toc31827"/>
      <w:r>
        <w:rPr>
          <w:rFonts w:hint="eastAsia" w:ascii="宋体" w:hAnsi="宋体" w:cs="宋体"/>
          <w:b/>
          <w:sz w:val="24"/>
          <w:highlight w:val="none"/>
        </w:rPr>
        <w:t>一、</w:t>
      </w:r>
      <w:r>
        <w:rPr>
          <w:rFonts w:hint="eastAsia" w:ascii="宋体" w:hAnsi="宋体" w:cs="宋体"/>
          <w:b/>
          <w:bCs/>
          <w:sz w:val="24"/>
          <w:highlight w:val="none"/>
        </w:rPr>
        <w:t>投标文件包装封面参考</w:t>
      </w:r>
      <w:bookmarkEnd w:id="29"/>
      <w:bookmarkEnd w:id="30"/>
      <w:bookmarkEnd w:id="31"/>
      <w:bookmarkEnd w:id="32"/>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7"/>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sz w:val="72"/>
                <w:szCs w:val="72"/>
                <w:highlight w:val="none"/>
              </w:rPr>
            </w:pPr>
          </w:p>
          <w:p>
            <w:pPr>
              <w:pStyle w:val="7"/>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z w:val="72"/>
                <w:szCs w:val="72"/>
                <w:highlight w:val="none"/>
              </w:rPr>
            </w:pPr>
            <w:r>
              <w:rPr>
                <w:rFonts w:hint="eastAsia" w:ascii="黑体" w:eastAsia="黑体"/>
                <w:b/>
                <w:sz w:val="72"/>
                <w:szCs w:val="72"/>
                <w:highlight w:val="none"/>
              </w:rPr>
              <w:t>投 标 文 件</w:t>
            </w:r>
          </w:p>
          <w:p>
            <w:pPr>
              <w:pStyle w:val="7"/>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副本</w:t>
            </w:r>
          </w:p>
          <w:p>
            <w:pPr>
              <w:pStyle w:val="7"/>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7"/>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7"/>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p>
          <w:p>
            <w:pPr>
              <w:keepNext w:val="0"/>
              <w:keepLines w:val="0"/>
              <w:suppressLineNumbers w:val="0"/>
              <w:spacing w:before="0" w:beforeAutospacing="0" w:after="0" w:afterAutospacing="0"/>
              <w:ind w:left="0" w:right="0"/>
              <w:rPr>
                <w:rFonts w:hint="default"/>
                <w:highlight w:val="none"/>
              </w:rPr>
            </w:pPr>
          </w:p>
          <w:p>
            <w:pPr>
              <w:pStyle w:val="7"/>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28"/>
                <w:szCs w:val="28"/>
                <w:highlight w:val="none"/>
              </w:rPr>
            </w:pPr>
          </w:p>
          <w:p>
            <w:pPr>
              <w:pStyle w:val="7"/>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项目编号：</w:t>
            </w:r>
          </w:p>
          <w:p>
            <w:pPr>
              <w:pStyle w:val="7"/>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项目名称：</w:t>
            </w:r>
          </w:p>
          <w:p>
            <w:pPr>
              <w:pStyle w:val="7"/>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投标人名称：</w:t>
            </w:r>
          </w:p>
          <w:p>
            <w:pPr>
              <w:pStyle w:val="7"/>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32"/>
                <w:highlight w:val="none"/>
              </w:rPr>
            </w:pPr>
            <w:r>
              <w:rPr>
                <w:rFonts w:hint="eastAsia" w:ascii="仿宋_GB2312" w:eastAsia="仿宋_GB2312"/>
                <w:b/>
                <w:sz w:val="28"/>
                <w:szCs w:val="28"/>
                <w:highlight w:val="none"/>
              </w:rPr>
              <w:t xml:space="preserve">投标人地址：           </w:t>
            </w:r>
          </w:p>
        </w:tc>
      </w:tr>
    </w:tbl>
    <w:p>
      <w:pPr>
        <w:pStyle w:val="4"/>
        <w:rPr>
          <w:rFonts w:hint="eastAsia" w:ascii="宋体" w:eastAsia="宋体" w:cs="宋体"/>
          <w:b/>
          <w:sz w:val="24"/>
          <w:highlight w:val="none"/>
        </w:rPr>
      </w:pPr>
    </w:p>
    <w:p>
      <w:pPr>
        <w:pStyle w:val="4"/>
        <w:rPr>
          <w:rFonts w:ascii="宋体" w:cs="宋体"/>
          <w:b/>
          <w:sz w:val="24"/>
          <w:highlight w:val="none"/>
        </w:rPr>
      </w:pPr>
      <w:r>
        <w:rPr>
          <w:rFonts w:hint="eastAsia" w:ascii="宋体" w:eastAsia="宋体" w:cs="宋体"/>
          <w:b/>
          <w:sz w:val="24"/>
          <w:highlight w:val="none"/>
        </w:rPr>
        <w:t>二、投标文件—目录</w:t>
      </w:r>
    </w:p>
    <w:p>
      <w:pPr>
        <w:spacing w:line="360" w:lineRule="auto"/>
        <w:rPr>
          <w:rFonts w:ascii="宋体" w:hAnsi="宋体" w:cs="宋体"/>
          <w:b/>
          <w:bCs/>
          <w:sz w:val="24"/>
          <w:highlight w:val="none"/>
        </w:rPr>
      </w:pP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1、投标一览表；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2、分</w:t>
      </w:r>
      <w:r>
        <w:rPr>
          <w:rFonts w:hint="eastAsia" w:ascii="宋体" w:hAnsi="宋体" w:cs="宋体"/>
          <w:sz w:val="24"/>
          <w:highlight w:val="none"/>
          <w:lang w:val="en-US" w:eastAsia="zh-CN"/>
        </w:rPr>
        <w:t>项</w:t>
      </w:r>
      <w:r>
        <w:rPr>
          <w:rFonts w:hint="eastAsia" w:ascii="宋体" w:hAnsi="宋体" w:cs="宋体"/>
          <w:sz w:val="24"/>
          <w:highlight w:val="none"/>
        </w:rPr>
        <w:t>报价明细表；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3、《中小企业声明函》或《残疾人福利性单位声明函》或《监狱企业声明函》（参与价格扣减的投标人应提供）；</w:t>
      </w:r>
    </w:p>
    <w:p>
      <w:pPr>
        <w:spacing w:line="360" w:lineRule="auto"/>
        <w:rPr>
          <w:rFonts w:ascii="宋体" w:hAnsi="宋体" w:cs="宋体"/>
          <w:b/>
          <w:bCs/>
          <w:sz w:val="24"/>
          <w:highlight w:val="none"/>
          <w:u w:val="wave"/>
        </w:rPr>
      </w:pPr>
      <w:r>
        <w:rPr>
          <w:rFonts w:hint="eastAsia" w:ascii="宋体" w:hAnsi="宋体" w:cs="宋体"/>
          <w:b/>
          <w:bCs/>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2</w:t>
      </w:r>
      <w:r>
        <w:rPr>
          <w:rFonts w:hint="eastAsia" w:ascii="宋体" w:hAnsi="宋体" w:eastAsia="宋体" w:cs="宋体"/>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3</w:t>
      </w:r>
      <w:r>
        <w:rPr>
          <w:rFonts w:hint="eastAsia" w:ascii="宋体" w:hAnsi="宋体" w:cs="宋体"/>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4</w:t>
      </w:r>
      <w:r>
        <w:rPr>
          <w:rFonts w:hint="eastAsia" w:ascii="宋体" w:hAnsi="宋体" w:cs="宋体"/>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5</w:t>
      </w:r>
      <w:r>
        <w:rPr>
          <w:rFonts w:hint="eastAsia" w:ascii="宋体" w:hAnsi="宋体" w:cs="宋体"/>
          <w:sz w:val="24"/>
          <w:highlight w:val="none"/>
          <w:lang w:val="fr-CH"/>
        </w:rPr>
        <w:t>、关于资格的声明函；</w:t>
      </w:r>
    </w:p>
    <w:p>
      <w:pPr>
        <w:pStyle w:val="30"/>
        <w:spacing w:line="360" w:lineRule="auto"/>
        <w:ind w:firstLine="480"/>
        <w:rPr>
          <w:highlight w:val="none"/>
          <w:lang w:val="fr-CH"/>
        </w:rPr>
      </w:pP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fr-CH"/>
        </w:rPr>
        <w:t>法</w:t>
      </w:r>
      <w:r>
        <w:rPr>
          <w:rFonts w:hint="eastAsia" w:ascii="宋体" w:hAnsi="宋体" w:cs="宋体"/>
          <w:sz w:val="24"/>
          <w:highlight w:val="none"/>
          <w:lang w:val="en-US" w:eastAsia="zh-CN"/>
        </w:rPr>
        <w:t>定</w:t>
      </w:r>
      <w:r>
        <w:rPr>
          <w:rFonts w:hint="eastAsia" w:ascii="宋体" w:hAnsi="宋体" w:cs="宋体"/>
          <w:sz w:val="24"/>
          <w:highlight w:val="none"/>
          <w:lang w:val="fr-CH"/>
        </w:rPr>
        <w:t>代表</w:t>
      </w:r>
      <w:r>
        <w:rPr>
          <w:rFonts w:hint="eastAsia" w:ascii="宋体" w:hAnsi="宋体" w:cs="宋体"/>
          <w:sz w:val="24"/>
          <w:highlight w:val="none"/>
          <w:lang w:val="en-US" w:eastAsia="zh-CN"/>
        </w:rPr>
        <w:t>人</w:t>
      </w:r>
      <w:r>
        <w:rPr>
          <w:rFonts w:hint="eastAsia" w:ascii="宋体" w:hAnsi="宋体" w:cs="宋体"/>
          <w:sz w:val="24"/>
          <w:highlight w:val="none"/>
          <w:lang w:val="fr-CH"/>
        </w:rPr>
        <w:t>/单位负责人证明书及身份证明；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8</w:t>
      </w:r>
      <w:r>
        <w:rPr>
          <w:rFonts w:hint="eastAsia" w:ascii="宋体" w:hAnsi="宋体" w:cs="宋体"/>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9</w:t>
      </w:r>
      <w:r>
        <w:rPr>
          <w:rFonts w:hint="eastAsia" w:ascii="宋体" w:hAnsi="宋体" w:cs="宋体"/>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10</w:t>
      </w:r>
      <w:r>
        <w:rPr>
          <w:rFonts w:hint="eastAsia" w:ascii="宋体" w:hAnsi="宋体" w:cs="宋体"/>
          <w:sz w:val="24"/>
          <w:highlight w:val="none"/>
          <w:lang w:val="fr-CH"/>
        </w:rPr>
        <w:t>、投标人简介</w:t>
      </w:r>
      <w:r>
        <w:rPr>
          <w:rFonts w:hint="eastAsia" w:ascii="宋体" w:hAnsi="宋体" w:cs="宋体"/>
          <w:sz w:val="24"/>
          <w:highlight w:val="none"/>
          <w:lang w:val="fr-CH" w:eastAsia="zh-CN"/>
        </w:rPr>
        <w:t>（供应商基本情况表）</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1</w:t>
      </w:r>
      <w:r>
        <w:rPr>
          <w:rFonts w:hint="eastAsia" w:ascii="宋体" w:hAnsi="宋体" w:cs="宋体"/>
          <w:sz w:val="24"/>
          <w:highlight w:val="none"/>
          <w:lang w:val="fr-CH"/>
        </w:rPr>
        <w:t>、投标人类似项目业绩情况</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2</w:t>
      </w:r>
      <w:r>
        <w:rPr>
          <w:rFonts w:hint="eastAsia" w:ascii="宋体" w:hAnsi="宋体" w:cs="宋体"/>
          <w:sz w:val="24"/>
          <w:highlight w:val="none"/>
          <w:lang w:val="fr-CH"/>
        </w:rPr>
        <w:t>、项目负责人情况（仅一人）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、团队成员（不包括项目负责人）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、投标人自主知识产权产品（创新、设计）情况</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5</w:t>
      </w:r>
      <w:r>
        <w:rPr>
          <w:rFonts w:hint="eastAsia" w:ascii="宋体" w:hAnsi="宋体" w:cs="宋体"/>
          <w:sz w:val="24"/>
          <w:highlight w:val="none"/>
          <w:lang w:val="fr-CH"/>
        </w:rPr>
        <w:t>、投标单位认为有必要提供的其他材料（</w:t>
      </w:r>
      <w:r>
        <w:rPr>
          <w:rFonts w:hint="eastAsia" w:ascii="宋体" w:hAnsi="宋体" w:cs="宋体"/>
          <w:sz w:val="24"/>
          <w:highlight w:val="none"/>
        </w:rPr>
        <w:t>格式自拟</w:t>
      </w:r>
      <w:r>
        <w:rPr>
          <w:rFonts w:hint="eastAsia" w:ascii="宋体" w:hAnsi="宋体" w:cs="宋体"/>
          <w:sz w:val="24"/>
          <w:highlight w:val="none"/>
          <w:lang w:val="fr-CH"/>
        </w:rPr>
        <w:t>）</w:t>
      </w:r>
    </w:p>
    <w:p>
      <w:pPr>
        <w:spacing w:line="360" w:lineRule="auto"/>
        <w:rPr>
          <w:rFonts w:ascii="宋体" w:hAnsi="宋体" w:cs="宋体"/>
          <w:b/>
          <w:bCs/>
          <w:sz w:val="24"/>
          <w:highlight w:val="none"/>
        </w:rPr>
      </w:pPr>
      <w:r>
        <w:rPr>
          <w:rFonts w:hint="eastAsia" w:ascii="宋体" w:hAnsi="宋体" w:cs="宋体"/>
          <w:b/>
          <w:bCs/>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2、现状及问题分析</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fr-CH"/>
        </w:rPr>
        <w:t>3、研究思路</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fr-CH"/>
        </w:rPr>
        <w:t>4、重难点分析</w:t>
      </w:r>
    </w:p>
    <w:p>
      <w:pPr>
        <w:tabs>
          <w:tab w:val="left" w:pos="640"/>
          <w:tab w:val="left" w:pos="1260"/>
          <w:tab w:val="left" w:pos="1418"/>
        </w:tabs>
        <w:spacing w:line="360" w:lineRule="auto"/>
        <w:ind w:right="-420" w:rightChars="-200" w:firstLine="480" w:firstLineChars="200"/>
        <w:rPr>
          <w:rFonts w:hint="eastAsia"/>
          <w:lang w:val="en-US" w:eastAsia="zh-CN"/>
        </w:rPr>
      </w:pPr>
      <w:r>
        <w:rPr>
          <w:rFonts w:hint="eastAsia" w:ascii="宋体" w:hAnsi="宋体" w:cs="宋体"/>
          <w:sz w:val="24"/>
          <w:highlight w:val="none"/>
          <w:lang w:val="en-US" w:eastAsia="zh-CN"/>
        </w:rPr>
        <w:t>5、项目质量及进度保障措施</w:t>
      </w:r>
    </w:p>
    <w:p>
      <w:pPr>
        <w:tabs>
          <w:tab w:val="left" w:pos="640"/>
          <w:tab w:val="left" w:pos="1260"/>
          <w:tab w:val="left" w:pos="1418"/>
        </w:tabs>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lang w:val="fr-CH"/>
        </w:rPr>
        <w:t>投标单位认为有必要提供的其他材料</w:t>
      </w:r>
      <w:r>
        <w:rPr>
          <w:rFonts w:hint="eastAsia" w:ascii="宋体" w:hAnsi="宋体" w:cs="宋体"/>
          <w:sz w:val="24"/>
          <w:highlight w:val="none"/>
          <w:lang w:val="fr-CH" w:bidi="ar"/>
        </w:rPr>
        <w:br w:type="page"/>
      </w: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spacing w:line="360" w:lineRule="auto"/>
        <w:jc w:val="center"/>
        <w:rPr>
          <w:rFonts w:ascii="宋体" w:hAnsi="宋体" w:cs="宋体"/>
          <w:b/>
          <w:bCs/>
          <w:sz w:val="24"/>
          <w:highlight w:val="none"/>
        </w:rPr>
      </w:pPr>
      <w:r>
        <w:rPr>
          <w:rFonts w:hint="eastAsia" w:ascii="宋体" w:hAnsi="宋体" w:cs="宋体"/>
          <w:b/>
          <w:bCs/>
          <w:sz w:val="24"/>
          <w:highlight w:val="none"/>
        </w:rPr>
        <w:t>1、投标一览表</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Style w:val="30"/>
        <w:ind w:firstLine="0" w:firstLineChars="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2、分项报价清单</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000000"/>
                <w:kern w:val="0"/>
                <w:sz w:val="24"/>
                <w:highlight w:val="none"/>
                <w:lang w:bidi="ar"/>
              </w:rPr>
            </w:pPr>
            <w:r>
              <w:rPr>
                <w:rFonts w:hint="eastAsia" w:ascii="黑体" w:hAnsi="黑体" w:eastAsia="黑体" w:cs="黑体"/>
                <w:b/>
                <w:bCs/>
                <w:color w:val="000000"/>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000000"/>
                <w:kern w:val="0"/>
                <w:sz w:val="24"/>
                <w:highlight w:val="none"/>
                <w:lang w:bidi="zh-CN"/>
              </w:rPr>
            </w:pPr>
            <w:r>
              <w:rPr>
                <w:rFonts w:hint="eastAsia" w:ascii="仿宋_GB2312" w:hAnsi="仿宋_GB2312" w:eastAsia="仿宋_GB2312" w:cs="仿宋_GB2312"/>
                <w:b/>
                <w:bCs/>
                <w:color w:val="000000"/>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FF0000"/>
                <w:kern w:val="0"/>
                <w:sz w:val="24"/>
                <w:highlight w:val="none"/>
                <w:lang w:bidi="ar"/>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注：可根据需要自行调整报价格式。含税总计应等于投标总价。</w:t>
      </w:r>
    </w:p>
    <w:p>
      <w:pPr>
        <w:spacing w:line="360" w:lineRule="auto"/>
        <w:rPr>
          <w:rFonts w:ascii="宋体" w:hAnsi="宋体" w:cs="宋体"/>
          <w:sz w:val="24"/>
          <w:highlight w:val="none"/>
        </w:rPr>
      </w:pPr>
      <w:r>
        <w:rPr>
          <w:rFonts w:hint="eastAsia" w:ascii="宋体" w:hAnsi="宋体" w:cs="宋体"/>
          <w:sz w:val="24"/>
          <w:highlight w:val="none"/>
        </w:rPr>
        <w:t>投标供应商授权代表： ________________________</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3、《中小企业声明函》或《残疾人福利性单位声明函》或《监狱企业声明函》（参与价格扣减的投标人应提供）；</w:t>
      </w:r>
    </w:p>
    <w:p>
      <w:pPr>
        <w:numPr>
          <w:ilvl w:val="0"/>
          <w:numId w:val="0"/>
        </w:numPr>
        <w:spacing w:line="360" w:lineRule="auto"/>
        <w:jc w:val="center"/>
        <w:outlineLvl w:val="2"/>
        <w:rPr>
          <w:rFonts w:ascii="宋体" w:hAnsi="宋体" w:cs="宋体"/>
          <w:b/>
          <w:bCs/>
          <w:sz w:val="24"/>
          <w:highlight w:val="none"/>
        </w:rPr>
      </w:pPr>
      <w:r>
        <w:rPr>
          <w:rFonts w:hint="eastAsia" w:ascii="宋体" w:hAnsi="宋体" w:cs="宋体"/>
          <w:b/>
          <w:bCs/>
          <w:sz w:val="24"/>
          <w:highlight w:val="none"/>
          <w:lang w:val="en-US" w:eastAsia="zh-CN"/>
        </w:rPr>
        <w:t>（具体详见“附件：相关政策”）</w:t>
      </w:r>
      <w:r>
        <w:rPr>
          <w:rFonts w:hint="eastAsia" w:ascii="宋体" w:hAnsi="宋体" w:cs="宋体"/>
          <w:b/>
          <w:bCs/>
          <w:sz w:val="24"/>
          <w:highlight w:val="none"/>
        </w:rPr>
        <w:br w:type="page"/>
      </w:r>
      <w:r>
        <w:rPr>
          <w:rFonts w:hint="eastAsia" w:ascii="宋体" w:hAnsi="宋体" w:cs="宋体"/>
          <w:b/>
          <w:bCs/>
          <w:sz w:val="24"/>
          <w:highlight w:val="none"/>
        </w:rPr>
        <w:t>商务部分</w:t>
      </w:r>
    </w:p>
    <w:p>
      <w:pPr>
        <w:pStyle w:val="30"/>
        <w:ind w:firstLine="0" w:firstLineChars="0"/>
        <w:rPr>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t>1、投标响应书</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w:t>
      </w:r>
    </w:p>
    <w:p>
      <w:pPr>
        <w:spacing w:line="360" w:lineRule="auto"/>
        <w:ind w:firstLine="494" w:firstLineChars="206"/>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            </w:t>
      </w:r>
      <w:r>
        <w:rPr>
          <w:rFonts w:hint="eastAsia" w:ascii="宋体" w:hAnsi="宋体" w:cs="宋体"/>
          <w:sz w:val="24"/>
          <w:highlight w:val="none"/>
        </w:rPr>
        <w:t>项目采购的邀请</w:t>
      </w:r>
      <w:r>
        <w:rPr>
          <w:rFonts w:hint="eastAsia" w:ascii="宋体" w:hAnsi="宋体" w:cs="宋体"/>
          <w:sz w:val="24"/>
          <w:highlight w:val="none"/>
          <w:u w:val="single"/>
        </w:rPr>
        <w:t xml:space="preserve">                   </w:t>
      </w:r>
      <w:r>
        <w:rPr>
          <w:rFonts w:hint="eastAsia" w:ascii="宋体" w:hAnsi="宋体" w:cs="宋体"/>
          <w:sz w:val="24"/>
          <w:highlight w:val="none"/>
        </w:rPr>
        <w:t>（招标文件编号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），签字代表</w:t>
      </w:r>
      <w:r>
        <w:rPr>
          <w:rFonts w:hint="eastAsia" w:ascii="宋体" w:hAnsi="宋体" w:cs="宋体"/>
          <w:sz w:val="24"/>
          <w:highlight w:val="none"/>
          <w:u w:val="single"/>
        </w:rPr>
        <w:t xml:space="preserve">                        </w:t>
      </w:r>
      <w:r>
        <w:rPr>
          <w:rFonts w:hint="eastAsia" w:ascii="宋体" w:hAnsi="宋体" w:cs="宋体"/>
          <w:sz w:val="24"/>
          <w:highlight w:val="none"/>
        </w:rPr>
        <w:t>（全名、职务）经正式授权并代表供应商</w:t>
      </w:r>
      <w:r>
        <w:rPr>
          <w:rFonts w:hint="eastAsia" w:ascii="宋体" w:hAnsi="宋体" w:cs="宋体"/>
          <w:sz w:val="24"/>
          <w:highlight w:val="none"/>
          <w:u w:val="single"/>
        </w:rPr>
        <w:t xml:space="preserve">                                  </w:t>
      </w:r>
      <w:r>
        <w:rPr>
          <w:rFonts w:hint="eastAsia" w:ascii="宋体" w:hAnsi="宋体" w:cs="宋体"/>
          <w:sz w:val="24"/>
          <w:highlight w:val="none"/>
        </w:rPr>
        <w:t>（供应商方名称、地址）提交</w:t>
      </w:r>
      <w:r>
        <w:rPr>
          <w:rFonts w:hint="eastAsia" w:ascii="宋体" w:hAnsi="宋体" w:cs="宋体"/>
          <w:b/>
          <w:sz w:val="24"/>
          <w:highlight w:val="none"/>
        </w:rPr>
        <w:t>一份正本四份副本</w:t>
      </w:r>
      <w:r>
        <w:rPr>
          <w:rFonts w:hint="eastAsia" w:ascii="宋体" w:hAnsi="宋体" w:cs="宋体"/>
          <w:sz w:val="24"/>
          <w:highlight w:val="none"/>
        </w:rPr>
        <w:t>投标文件。</w:t>
      </w:r>
    </w:p>
    <w:p>
      <w:pPr>
        <w:spacing w:line="360" w:lineRule="auto"/>
        <w:rPr>
          <w:rFonts w:ascii="宋体" w:hAnsi="宋体" w:cs="宋体"/>
          <w:sz w:val="24"/>
          <w:highlight w:val="none"/>
        </w:rPr>
      </w:pPr>
      <w:r>
        <w:rPr>
          <w:rFonts w:hint="eastAsia" w:ascii="宋体" w:hAnsi="宋体" w:cs="宋体"/>
          <w:sz w:val="24"/>
          <w:highlight w:val="none"/>
        </w:rPr>
        <w:t xml:space="preserve">  据此函，签字代表宣布同意如下：</w:t>
      </w:r>
    </w:p>
    <w:p>
      <w:pPr>
        <w:spacing w:line="360" w:lineRule="auto"/>
        <w:rPr>
          <w:rFonts w:ascii="宋体" w:hAnsi="宋体" w:cs="宋体"/>
          <w:sz w:val="24"/>
          <w:highlight w:val="none"/>
        </w:rPr>
      </w:pPr>
      <w:r>
        <w:rPr>
          <w:rFonts w:hint="eastAsia" w:ascii="宋体" w:hAnsi="宋体" w:cs="宋体"/>
          <w:sz w:val="24"/>
          <w:highlight w:val="none"/>
        </w:rPr>
        <w:t>1、供应商方将按招标文件的规定履行合同责任和义务。</w:t>
      </w:r>
    </w:p>
    <w:p>
      <w:pPr>
        <w:spacing w:line="360" w:lineRule="auto"/>
        <w:rPr>
          <w:rFonts w:ascii="宋体" w:hAnsi="宋体" w:cs="宋体"/>
          <w:sz w:val="24"/>
          <w:highlight w:val="none"/>
        </w:rPr>
      </w:pPr>
      <w:r>
        <w:rPr>
          <w:rFonts w:hint="eastAsia" w:ascii="宋体" w:hAnsi="宋体" w:cs="宋体"/>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highlight w:val="none"/>
        </w:rPr>
      </w:pPr>
      <w:r>
        <w:rPr>
          <w:rFonts w:hint="eastAsia" w:ascii="宋体" w:hAnsi="宋体" w:cs="宋体"/>
          <w:sz w:val="24"/>
          <w:highlight w:val="none"/>
        </w:rPr>
        <w:t>3、与本投标项目有关的一切正式往来通讯请寄：</w:t>
      </w:r>
    </w:p>
    <w:p>
      <w:pPr>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投标供应商授权代表、职务（印刷体）：</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投标供应商名称：</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rPr>
          <w:rFonts w:ascii="宋体" w:hAnsi="宋体" w:cs="宋体"/>
          <w:b/>
          <w:bCs/>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pStyle w:val="7"/>
        <w:spacing w:line="360" w:lineRule="auto"/>
        <w:rPr>
          <w:highlight w:val="none"/>
        </w:rPr>
      </w:pPr>
    </w:p>
    <w:p>
      <w:pPr>
        <w:spacing w:line="360" w:lineRule="auto"/>
        <w:rPr>
          <w:rFonts w:hint="eastAsia" w:ascii="宋体" w:hAnsi="宋体" w:eastAsia="宋体" w:cs="宋体"/>
          <w:sz w:val="24"/>
          <w:highlight w:val="none"/>
          <w:lang w:val="fr-CH"/>
        </w:rPr>
      </w:pPr>
      <w:r>
        <w:rPr>
          <w:rFonts w:hint="eastAsia" w:ascii="宋体" w:hAnsi="宋体" w:cs="宋体"/>
          <w:sz w:val="24"/>
          <w:highlight w:val="none"/>
          <w:lang w:val="fr-CH"/>
        </w:rPr>
        <w:br w:type="page"/>
      </w:r>
    </w:p>
    <w:p>
      <w:pPr>
        <w:tabs>
          <w:tab w:val="left" w:pos="640"/>
          <w:tab w:val="left" w:pos="1260"/>
          <w:tab w:val="left" w:pos="1418"/>
        </w:tabs>
        <w:spacing w:line="360" w:lineRule="auto"/>
        <w:jc w:val="center"/>
        <w:rPr>
          <w:rFonts w:ascii="宋体" w:hAnsi="宋体" w:cs="宋体"/>
          <w:sz w:val="24"/>
          <w:highlight w:val="none"/>
          <w:lang w:val="fr-CH"/>
        </w:rPr>
      </w:pPr>
      <w:r>
        <w:rPr>
          <w:rFonts w:hint="eastAsia" w:ascii="宋体" w:hAnsi="宋体" w:cs="宋体"/>
          <w:b/>
          <w:bCs/>
          <w:sz w:val="24"/>
          <w:highlight w:val="none"/>
          <w:lang w:val="en-US" w:eastAsia="zh-CN"/>
        </w:rPr>
        <w:t>2</w:t>
      </w:r>
      <w:r>
        <w:rPr>
          <w:rFonts w:hint="eastAsia" w:ascii="宋体" w:hAnsi="宋体" w:cs="宋体"/>
          <w:b/>
          <w:bCs/>
          <w:sz w:val="24"/>
          <w:highlight w:val="none"/>
          <w:lang w:val="fr-CH"/>
        </w:rPr>
        <w:t>、营业执照</w:t>
      </w:r>
    </w:p>
    <w:p>
      <w:pPr>
        <w:tabs>
          <w:tab w:val="left" w:pos="640"/>
          <w:tab w:val="left" w:pos="1260"/>
          <w:tab w:val="left" w:pos="1418"/>
        </w:tabs>
        <w:spacing w:line="360" w:lineRule="auto"/>
        <w:rPr>
          <w:rFonts w:ascii="宋体" w:hAnsi="宋体" w:cs="宋体"/>
          <w:sz w:val="24"/>
          <w:highlight w:val="none"/>
          <w:lang w:val="fr-CH"/>
        </w:rPr>
      </w:pPr>
      <w:r>
        <w:rPr>
          <w:rFonts w:hint="eastAsia" w:ascii="宋体" w:hAnsi="宋体" w:cs="宋体"/>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sz w:val="24"/>
          <w:highlight w:val="none"/>
          <w:lang w:val="fr-CH"/>
        </w:rPr>
      </w:pPr>
      <w:r>
        <w:rPr>
          <w:rFonts w:hint="eastAsia" w:ascii="宋体" w:hAnsi="宋体" w:cs="宋体"/>
          <w:sz w:val="24"/>
          <w:highlight w:val="none"/>
          <w:lang w:val="fr-CH"/>
        </w:rPr>
        <w:br w:type="page"/>
      </w:r>
      <w:r>
        <w:rPr>
          <w:rFonts w:hint="eastAsia" w:ascii="宋体" w:hAnsi="宋体" w:cs="宋体"/>
          <w:b/>
          <w:bCs/>
          <w:sz w:val="24"/>
          <w:highlight w:val="none"/>
          <w:lang w:val="en-US" w:eastAsia="zh-CN"/>
        </w:rPr>
        <w:t>3</w:t>
      </w:r>
      <w:r>
        <w:rPr>
          <w:rFonts w:hint="eastAsia" w:ascii="宋体" w:hAnsi="宋体" w:cs="宋体"/>
          <w:b/>
          <w:bCs/>
          <w:sz w:val="24"/>
          <w:highlight w:val="none"/>
        </w:rPr>
        <w:t>、</w:t>
      </w:r>
      <w:r>
        <w:rPr>
          <w:rFonts w:hint="eastAsia" w:ascii="宋体" w:hAnsi="宋体" w:cs="宋体"/>
          <w:b/>
          <w:bCs/>
          <w:sz w:val="24"/>
          <w:highlight w:val="none"/>
          <w:lang w:val="fr-CH"/>
        </w:rPr>
        <w:t>政府采购投标及履约承诺函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rPr>
        <w:t>.我单位</w:t>
      </w:r>
      <w:r>
        <w:rPr>
          <w:rFonts w:hint="eastAsia" w:ascii="宋体" w:hAnsi="宋体" w:cs="宋体"/>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24"/>
          <w:highlight w:val="none"/>
        </w:rPr>
        <w:t>.我单位</w:t>
      </w:r>
      <w:r>
        <w:rPr>
          <w:rFonts w:hint="eastAsia" w:ascii="宋体" w:hAnsi="宋体" w:cs="宋体"/>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4.我单位具备《中华人民共和国政府采购法》第二十二条的条件。</w:t>
      </w:r>
    </w:p>
    <w:p>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5.</w:t>
      </w:r>
      <w:r>
        <w:rPr>
          <w:rFonts w:hint="eastAsia" w:ascii="宋体" w:hAnsi="宋体" w:cs="宋体"/>
          <w:kern w:val="0"/>
          <w:sz w:val="24"/>
          <w:highlight w:val="none"/>
        </w:rPr>
        <w:t xml:space="preserve"> 符合国家法规政策关于诚信管理的要求，至投标截止时间，投标人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lang w:eastAsia="zh-CN"/>
        </w:rPr>
      </w:pPr>
      <w:r>
        <w:rPr>
          <w:rFonts w:hint="eastAsia" w:ascii="宋体" w:hAnsi="宋体" w:cs="宋体"/>
          <w:sz w:val="24"/>
          <w:highlight w:val="none"/>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yellow"/>
          <w:lang w:eastAsia="zh-CN"/>
        </w:rPr>
        <w:t>我单位承诺与其他不同供应商的法定代表人、主要经营负责人、投标授权代表人、项目负责人（如有）、</w:t>
      </w:r>
      <w:r>
        <w:rPr>
          <w:rFonts w:hint="eastAsia" w:ascii="宋体" w:hAnsi="宋体" w:cs="宋体"/>
          <w:color w:val="000000"/>
          <w:sz w:val="24"/>
          <w:highlight w:val="yellow"/>
          <w:lang w:val="en-US" w:eastAsia="zh-CN"/>
        </w:rPr>
        <w:t>主要技术人员（如有）</w:t>
      </w:r>
      <w:r>
        <w:rPr>
          <w:rFonts w:hint="eastAsia" w:ascii="宋体" w:hAnsi="宋体" w:cs="宋体"/>
          <w:color w:val="000000"/>
          <w:sz w:val="24"/>
          <w:highlight w:val="yellow"/>
          <w:lang w:eastAsia="zh-CN"/>
        </w:rPr>
        <w:t>不存在为同一人、属同一单位或者在同一单位缴纳社会保险的情形。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.我单位承诺本项目的报价不低于我单位的成本价，不恶意低价谋取中标；对</w:t>
      </w:r>
      <w:r>
        <w:rPr>
          <w:rFonts w:hint="eastAsia" w:ascii="宋体" w:hAnsi="宋体" w:cs="宋体"/>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.我单位承诺未参与本项目的采购需求、技术指标、商务指标等内容的设定，不存在对其他投标单位不公平的行为。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以上承诺，如有违反，愿依照国家相关法律处理</w:t>
      </w:r>
      <w:r>
        <w:rPr>
          <w:rFonts w:hint="eastAsia" w:ascii="宋体" w:hAnsi="宋体" w:cs="宋体"/>
          <w:sz w:val="24"/>
          <w:highlight w:val="none"/>
        </w:rPr>
        <w:t>，并承担由此给采购人带来的损失。</w:t>
      </w:r>
    </w:p>
    <w:p>
      <w:pPr>
        <w:spacing w:line="360" w:lineRule="auto"/>
        <w:ind w:firstLine="480" w:firstLineChars="200"/>
        <w:rPr>
          <w:rFonts w:ascii="宋体" w:hAnsi="宋体" w:cs="宋体"/>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日期：   年  月   日</w:t>
      </w:r>
    </w:p>
    <w:p>
      <w:pPr>
        <w:pStyle w:val="7"/>
        <w:spacing w:line="560" w:lineRule="exact"/>
        <w:jc w:val="center"/>
        <w:rPr>
          <w:b/>
          <w:sz w:val="24"/>
          <w:highlight w:val="none"/>
          <w:lang w:val="fr-CH"/>
        </w:rPr>
      </w:pPr>
      <w:r>
        <w:rPr>
          <w:rFonts w:hint="eastAsia" w:hAnsi="宋体" w:cs="宋体"/>
          <w:highlight w:val="none"/>
        </w:rPr>
        <w:br w:type="page"/>
      </w:r>
      <w:r>
        <w:rPr>
          <w:rFonts w:hint="eastAsia"/>
          <w:b/>
          <w:sz w:val="24"/>
          <w:highlight w:val="none"/>
          <w:lang w:val="en-US" w:eastAsia="zh-CN"/>
        </w:rPr>
        <w:t>4</w:t>
      </w:r>
      <w:r>
        <w:rPr>
          <w:rFonts w:hint="eastAsia"/>
          <w:b/>
          <w:sz w:val="24"/>
          <w:highlight w:val="none"/>
          <w:lang w:val="fr-CH"/>
        </w:rPr>
        <w:t>、政府采购违法行为风险知悉确认书</w:t>
      </w:r>
    </w:p>
    <w:p>
      <w:pPr>
        <w:spacing w:after="120" w:line="560" w:lineRule="exact"/>
        <w:ind w:firstLine="480" w:firstLineChars="200"/>
        <w:rPr>
          <w:sz w:val="24"/>
          <w:highlight w:val="none"/>
          <w:lang w:val="fr-CH"/>
        </w:rPr>
      </w:pPr>
      <w:r>
        <w:rPr>
          <w:rFonts w:hint="eastAsia"/>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highlight w:val="none"/>
          <w:lang w:val="fr-CH"/>
        </w:rPr>
      </w:pPr>
      <w:r>
        <w:rPr>
          <w:rFonts w:hint="eastAsia"/>
          <w:sz w:val="24"/>
          <w:highlight w:val="none"/>
          <w:lang w:val="fr-CH"/>
        </w:rPr>
        <w:t>一、本公司已充分知悉“隐瞒真实情况，提供虚假资料”的法定情形，相关情形包括但不限于：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（一）通过转让或者租借等方式从其他单位获取资格或者资质证书投标的。</w:t>
      </w:r>
    </w:p>
    <w:p>
      <w:pPr>
        <w:spacing w:after="120" w:line="560" w:lineRule="exact"/>
        <w:ind w:firstLine="480" w:firstLineChars="200"/>
        <w:rPr>
          <w:sz w:val="24"/>
          <w:highlight w:val="none"/>
          <w:lang w:val="fr-CH"/>
        </w:rPr>
      </w:pPr>
      <w:r>
        <w:rPr>
          <w:rFonts w:hint="eastAsia"/>
          <w:sz w:val="24"/>
          <w:highlight w:val="none"/>
          <w:lang w:val="fr-CH"/>
        </w:rPr>
        <w:t>（二）由其他单位或者其他单位负责人在投标供应商编制的投标文件上加盖印章或者签字的。</w:t>
      </w:r>
    </w:p>
    <w:p>
      <w:pPr>
        <w:spacing w:after="120" w:line="560" w:lineRule="exact"/>
        <w:ind w:firstLine="480" w:firstLineChars="200"/>
        <w:rPr>
          <w:sz w:val="24"/>
          <w:highlight w:val="none"/>
          <w:lang w:val="fr-CH"/>
        </w:rPr>
      </w:pPr>
      <w:r>
        <w:rPr>
          <w:rFonts w:hint="eastAsia"/>
          <w:sz w:val="24"/>
          <w:highlight w:val="none"/>
          <w:lang w:val="fr-CH"/>
        </w:rPr>
        <w:t>（三）项目负责人或者主要技术人员不是本单位人员的。</w:t>
      </w:r>
    </w:p>
    <w:p>
      <w:pPr>
        <w:spacing w:after="120" w:line="560" w:lineRule="exact"/>
        <w:ind w:firstLine="480" w:firstLineChars="200"/>
        <w:rPr>
          <w:sz w:val="24"/>
          <w:highlight w:val="none"/>
          <w:lang w:val="fr-CH"/>
        </w:rPr>
      </w:pPr>
      <w:r>
        <w:rPr>
          <w:rFonts w:hint="eastAsia"/>
          <w:sz w:val="24"/>
          <w:highlight w:val="none"/>
          <w:lang w:val="fr-CH"/>
        </w:rPr>
        <w:t>（四）投标保证金不是从投标供应商基本账户转出的。</w:t>
      </w:r>
    </w:p>
    <w:p>
      <w:pPr>
        <w:spacing w:after="120" w:line="560" w:lineRule="exact"/>
        <w:ind w:firstLine="480" w:firstLineChars="200"/>
        <w:rPr>
          <w:sz w:val="24"/>
          <w:highlight w:val="none"/>
          <w:lang w:val="fr-CH"/>
        </w:rPr>
      </w:pPr>
      <w:r>
        <w:rPr>
          <w:rFonts w:hint="eastAsia"/>
          <w:sz w:val="24"/>
          <w:highlight w:val="none"/>
          <w:lang w:val="fr-CH"/>
        </w:rPr>
        <w:t>（五）其他隐瞒真实情况、提供虚假资料的行为。</w:t>
      </w:r>
    </w:p>
    <w:p>
      <w:pPr>
        <w:spacing w:after="120" w:line="560" w:lineRule="exact"/>
        <w:ind w:firstLine="480" w:firstLineChars="200"/>
        <w:rPr>
          <w:sz w:val="24"/>
          <w:highlight w:val="none"/>
          <w:lang w:val="fr-CH"/>
        </w:rPr>
      </w:pPr>
      <w:r>
        <w:rPr>
          <w:rFonts w:hint="eastAsia"/>
          <w:sz w:val="24"/>
          <w:highlight w:val="none"/>
          <w:lang w:val="fr-CH"/>
        </w:rPr>
        <w:t>二、本公司已充分知悉“与其他采购参加人串通投标”的法定情形，相关情形包括但不限于：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（一）投标供应商之间相互约定给予未中标的供应商利益补偿。</w:t>
      </w:r>
    </w:p>
    <w:p>
      <w:pPr>
        <w:spacing w:after="120" w:line="560" w:lineRule="exact"/>
        <w:ind w:firstLine="480" w:firstLineChars="200"/>
        <w:rPr>
          <w:sz w:val="24"/>
          <w:highlight w:val="none"/>
          <w:lang w:val="fr-CH"/>
        </w:rPr>
      </w:pPr>
      <w:r>
        <w:rPr>
          <w:rFonts w:hint="eastAsia"/>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highlight w:val="none"/>
          <w:lang w:val="fr-CH"/>
        </w:rPr>
      </w:pPr>
      <w:r>
        <w:rPr>
          <w:rFonts w:hint="eastAsia"/>
          <w:sz w:val="24"/>
          <w:highlight w:val="none"/>
          <w:lang w:val="fr-CH"/>
        </w:rPr>
        <w:t>（三）不同投标供应商的投标文件由同一单位或者同一人编制，或者由同一人分阶段参与编制的。</w:t>
      </w:r>
    </w:p>
    <w:p>
      <w:pPr>
        <w:spacing w:after="120" w:line="560" w:lineRule="exact"/>
        <w:ind w:firstLine="480" w:firstLineChars="200"/>
        <w:rPr>
          <w:sz w:val="24"/>
          <w:highlight w:val="none"/>
          <w:lang w:val="fr-CH"/>
        </w:rPr>
      </w:pPr>
      <w:r>
        <w:rPr>
          <w:rFonts w:hint="eastAsia"/>
          <w:sz w:val="24"/>
          <w:highlight w:val="none"/>
          <w:lang w:val="fr-CH"/>
        </w:rPr>
        <w:t>（四）不同投标供应商的投标文件或部分投标文件相互混装。</w:t>
      </w:r>
    </w:p>
    <w:p>
      <w:pPr>
        <w:spacing w:after="120" w:line="560" w:lineRule="exact"/>
        <w:ind w:firstLine="480" w:firstLineChars="200"/>
        <w:rPr>
          <w:sz w:val="24"/>
          <w:highlight w:val="none"/>
          <w:lang w:val="fr-CH"/>
        </w:rPr>
      </w:pPr>
      <w:r>
        <w:rPr>
          <w:rFonts w:hint="eastAsia"/>
          <w:sz w:val="24"/>
          <w:highlight w:val="none"/>
          <w:lang w:val="fr-CH"/>
        </w:rPr>
        <w:t>（五）不同投标供应商的投标文件内容存在非正常一致。</w:t>
      </w:r>
    </w:p>
    <w:p>
      <w:pPr>
        <w:spacing w:after="120" w:line="560" w:lineRule="exact"/>
        <w:ind w:firstLine="480" w:firstLineChars="200"/>
        <w:rPr>
          <w:sz w:val="24"/>
          <w:highlight w:val="none"/>
          <w:lang w:val="fr-CH"/>
        </w:rPr>
      </w:pPr>
      <w:r>
        <w:rPr>
          <w:rFonts w:hint="eastAsia"/>
          <w:sz w:val="24"/>
          <w:highlight w:val="none"/>
          <w:lang w:val="fr-CH"/>
        </w:rPr>
        <w:t>（六）由同一单位工作人员为两家以上（含两家）供应商进行同一项投标活动的。</w:t>
      </w:r>
    </w:p>
    <w:p>
      <w:pPr>
        <w:spacing w:after="120" w:line="560" w:lineRule="exact"/>
        <w:ind w:firstLine="480" w:firstLineChars="200"/>
        <w:rPr>
          <w:sz w:val="24"/>
          <w:highlight w:val="none"/>
          <w:lang w:val="fr-CH"/>
        </w:rPr>
      </w:pPr>
      <w:r>
        <w:rPr>
          <w:rFonts w:hint="eastAsia"/>
          <w:sz w:val="24"/>
          <w:highlight w:val="none"/>
          <w:lang w:val="fr-CH"/>
        </w:rPr>
        <w:t>（七）不同投标人的投标报价呈规律性差异。</w:t>
      </w:r>
    </w:p>
    <w:p>
      <w:pPr>
        <w:spacing w:after="120" w:line="560" w:lineRule="exact"/>
        <w:ind w:firstLine="480" w:firstLineChars="200"/>
        <w:rPr>
          <w:sz w:val="24"/>
          <w:highlight w:val="none"/>
          <w:lang w:val="fr-CH"/>
        </w:rPr>
      </w:pPr>
      <w:r>
        <w:rPr>
          <w:rFonts w:hint="eastAsia"/>
          <w:sz w:val="24"/>
          <w:highlight w:val="none"/>
          <w:lang w:val="fr-CH"/>
        </w:rPr>
        <w:t>（八）不同投标人的投标保证金从同一单位或者个人的账户转出。</w:t>
      </w:r>
    </w:p>
    <w:p>
      <w:pPr>
        <w:spacing w:after="120" w:line="560" w:lineRule="exact"/>
        <w:ind w:firstLine="480" w:firstLineChars="200"/>
        <w:rPr>
          <w:sz w:val="24"/>
          <w:highlight w:val="none"/>
          <w:lang w:val="fr-CH"/>
        </w:rPr>
      </w:pPr>
      <w:r>
        <w:rPr>
          <w:rFonts w:hint="eastAsia"/>
          <w:sz w:val="24"/>
          <w:highlight w:val="none"/>
          <w:lang w:val="fr-CH"/>
        </w:rPr>
        <w:t>（九）主管部门依照法律、法规认定的其他情形。</w:t>
      </w:r>
    </w:p>
    <w:p>
      <w:pPr>
        <w:spacing w:after="120" w:line="560" w:lineRule="exact"/>
        <w:ind w:firstLine="480" w:firstLineChars="200"/>
        <w:rPr>
          <w:sz w:val="24"/>
          <w:highlight w:val="none"/>
          <w:lang w:val="fr-CH"/>
        </w:rPr>
      </w:pPr>
      <w:r>
        <w:rPr>
          <w:rFonts w:hint="eastAsia"/>
          <w:sz w:val="24"/>
          <w:highlight w:val="none"/>
          <w:lang w:val="fr-CH"/>
        </w:rPr>
        <w:t>三、本公司已充分知悉下列情形所对应的法律风险，并在投标前已对相关风险事项进行排查。</w:t>
      </w:r>
    </w:p>
    <w:p>
      <w:pPr>
        <w:spacing w:after="120" w:line="560" w:lineRule="exact"/>
        <w:ind w:firstLine="480" w:firstLineChars="200"/>
        <w:rPr>
          <w:sz w:val="24"/>
          <w:highlight w:val="none"/>
          <w:lang w:val="fr-CH"/>
        </w:rPr>
      </w:pPr>
      <w:r>
        <w:rPr>
          <w:rFonts w:hint="eastAsia"/>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highlight w:val="none"/>
          <w:lang w:val="fr-CH"/>
        </w:rPr>
      </w:pPr>
      <w:r>
        <w:rPr>
          <w:rFonts w:hint="eastAsia"/>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highlight w:val="none"/>
          <w:lang w:val="fr-CH"/>
        </w:rPr>
      </w:pPr>
      <w:r>
        <w:rPr>
          <w:rFonts w:hint="eastAsia"/>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highlight w:val="none"/>
          <w:lang w:val="fr-CH"/>
        </w:rPr>
      </w:pPr>
      <w:r>
        <w:rPr>
          <w:rFonts w:hint="eastAsia"/>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highlight w:val="none"/>
          <w:lang w:val="fr-CH"/>
        </w:rPr>
      </w:pPr>
      <w:r>
        <w:rPr>
          <w:rFonts w:hint="eastAsia"/>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highlight w:val="none"/>
          <w:lang w:val="fr-CH"/>
        </w:rPr>
      </w:pPr>
      <w:r>
        <w:rPr>
          <w:rFonts w:hint="eastAsia"/>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highlight w:val="none"/>
          <w:lang w:val="fr-CH"/>
        </w:rPr>
      </w:pPr>
      <w:r>
        <w:rPr>
          <w:rFonts w:hint="eastAsia"/>
          <w:sz w:val="24"/>
          <w:highlight w:val="none"/>
          <w:lang w:val="fr-CH"/>
        </w:rPr>
        <w:t>四、本公司已充分知悉政府采购违法、违规行为的法律后果。</w:t>
      </w:r>
    </w:p>
    <w:p>
      <w:pPr>
        <w:spacing w:after="120" w:line="560" w:lineRule="exact"/>
        <w:ind w:firstLine="480" w:firstLineChars="200"/>
        <w:rPr>
          <w:sz w:val="24"/>
          <w:highlight w:val="none"/>
          <w:lang w:val="fr-CH"/>
        </w:rPr>
      </w:pPr>
      <w:r>
        <w:rPr>
          <w:rFonts w:hint="eastAsia"/>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sz w:val="24"/>
          <w:highlight w:val="none"/>
        </w:rPr>
      </w:pPr>
      <w:r>
        <w:rPr>
          <w:rFonts w:hint="eastAsia" w:ascii="宋体" w:hAnsi="宋体" w:cs="宋体"/>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highlight w:val="none"/>
          <w:lang w:val="fr-CH"/>
        </w:rPr>
      </w:pP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rFonts w:hint="eastAsia"/>
          <w:sz w:val="24"/>
          <w:highlight w:val="none"/>
          <w:lang w:val="fr-CH"/>
        </w:rPr>
        <w:t>负责人/投标授权代表签名：</w:t>
      </w:r>
    </w:p>
    <w:p>
      <w:pPr>
        <w:spacing w:after="120" w:line="560" w:lineRule="exact"/>
        <w:rPr>
          <w:sz w:val="24"/>
          <w:highlight w:val="none"/>
          <w:lang w:val="fr-CH"/>
        </w:rPr>
      </w:pPr>
      <w:r>
        <w:rPr>
          <w:rFonts w:hint="eastAsia"/>
          <w:sz w:val="24"/>
          <w:highlight w:val="none"/>
          <w:lang w:val="fr-CH"/>
        </w:rPr>
        <w:t>知悉人（公章）：</w:t>
      </w:r>
    </w:p>
    <w:p>
      <w:pPr>
        <w:spacing w:after="120" w:line="560" w:lineRule="exact"/>
        <w:rPr>
          <w:sz w:val="24"/>
          <w:highlight w:val="none"/>
          <w:lang w:val="fr-CH"/>
        </w:rPr>
      </w:pPr>
      <w:r>
        <w:rPr>
          <w:rFonts w:hint="eastAsia"/>
          <w:sz w:val="24"/>
          <w:highlight w:val="none"/>
          <w:lang w:val="fr-CH"/>
        </w:rPr>
        <w:t>日期：</w:t>
      </w:r>
    </w:p>
    <w:p>
      <w:pPr>
        <w:pStyle w:val="7"/>
        <w:rPr>
          <w:highlight w:val="none"/>
          <w:lang w:val="fr-CH"/>
        </w:rPr>
      </w:pPr>
    </w:p>
    <w:p>
      <w:pPr>
        <w:tabs>
          <w:tab w:val="left" w:pos="640"/>
          <w:tab w:val="left" w:pos="1260"/>
          <w:tab w:val="left" w:pos="1418"/>
        </w:tabs>
        <w:spacing w:line="360" w:lineRule="auto"/>
        <w:jc w:val="center"/>
        <w:rPr>
          <w:rFonts w:ascii="宋体" w:hAnsi="宋体" w:cs="宋体"/>
          <w:b/>
          <w:bCs/>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、关于资格的声明函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566" w:firstLineChars="236"/>
        <w:rPr>
          <w:rFonts w:ascii="宋体" w:hAnsi="宋体" w:cs="宋体"/>
          <w:sz w:val="24"/>
          <w:highlight w:val="none"/>
        </w:rPr>
      </w:pPr>
      <w:r>
        <w:rPr>
          <w:rFonts w:hint="eastAsia" w:ascii="宋体" w:hAnsi="宋体" w:cs="宋体"/>
          <w:sz w:val="24"/>
          <w:highlight w:val="none"/>
          <w:u w:val="single"/>
        </w:rPr>
        <w:t xml:space="preserve"> （ 投标人名称）    </w:t>
      </w:r>
      <w:r>
        <w:rPr>
          <w:rFonts w:hint="eastAsia" w:ascii="宋体" w:hAnsi="宋体" w:cs="宋体"/>
          <w:sz w:val="24"/>
          <w:highlight w:val="none"/>
        </w:rPr>
        <w:t xml:space="preserve"> 参与了</w:t>
      </w:r>
      <w:r>
        <w:rPr>
          <w:rFonts w:hint="eastAsia" w:ascii="宋体" w:hAnsi="宋体" w:cs="宋体"/>
          <w:sz w:val="24"/>
          <w:highlight w:val="none"/>
          <w:u w:val="single"/>
        </w:rPr>
        <w:t xml:space="preserve"> （项目名称 、招标编号） </w:t>
      </w:r>
      <w:r>
        <w:rPr>
          <w:rFonts w:hint="eastAsia" w:ascii="宋体" w:hAnsi="宋体" w:cs="宋体"/>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highlight w:val="none"/>
        </w:rPr>
      </w:pPr>
      <w:r>
        <w:rPr>
          <w:rFonts w:hint="eastAsia" w:ascii="宋体" w:hAnsi="宋体" w:cs="宋体"/>
          <w:sz w:val="24"/>
          <w:highlight w:val="none"/>
        </w:rPr>
        <w:t>特此承诺！</w:t>
      </w:r>
    </w:p>
    <w:p>
      <w:pPr>
        <w:spacing w:line="360" w:lineRule="auto"/>
        <w:ind w:left="420"/>
        <w:rPr>
          <w:rFonts w:ascii="宋体" w:hAnsi="宋体" w:cs="宋体"/>
          <w:sz w:val="24"/>
          <w:highlight w:val="none"/>
        </w:rPr>
      </w:pPr>
    </w:p>
    <w:p>
      <w:pPr>
        <w:pStyle w:val="11"/>
        <w:spacing w:line="360" w:lineRule="auto"/>
        <w:jc w:val="center"/>
        <w:rPr>
          <w:rFonts w:hAnsi="宋体" w:cs="宋体"/>
          <w:sz w:val="24"/>
          <w:highlight w:val="none"/>
        </w:rPr>
      </w:pPr>
      <w:r>
        <w:rPr>
          <w:rFonts w:hint="eastAsia" w:hAnsi="宋体" w:cs="宋体"/>
          <w:sz w:val="24"/>
          <w:highlight w:val="none"/>
        </w:rPr>
        <w:t xml:space="preserve">                投标人名称（投标人法人公章）：</w:t>
      </w:r>
    </w:p>
    <w:p>
      <w:pPr>
        <w:spacing w:line="360" w:lineRule="auto"/>
        <w:jc w:val="center"/>
        <w:rPr>
          <w:rFonts w:ascii="宋体" w:hAnsi="宋体" w:cs="宋体"/>
          <w:kern w:val="0"/>
          <w:sz w:val="24"/>
          <w:highlight w:val="none"/>
        </w:rPr>
      </w:pPr>
      <w:r>
        <w:rPr>
          <w:rFonts w:hint="eastAsia" w:ascii="宋体" w:hAnsi="宋体" w:cs="宋体"/>
          <w:sz w:val="24"/>
          <w:highlight w:val="none"/>
        </w:rPr>
        <w:t xml:space="preserve">             承诺日期：   年     月     日</w:t>
      </w:r>
    </w:p>
    <w:p>
      <w:pPr>
        <w:tabs>
          <w:tab w:val="left" w:pos="640"/>
          <w:tab w:val="left" w:pos="1260"/>
          <w:tab w:val="left" w:pos="1418"/>
        </w:tabs>
        <w:spacing w:line="360" w:lineRule="auto"/>
        <w:rPr>
          <w:rFonts w:ascii="宋体" w:hAnsi="宋体" w:cs="宋体"/>
          <w:sz w:val="24"/>
          <w:highlight w:val="none"/>
          <w:lang w:val="fr-CH"/>
        </w:rPr>
      </w:pPr>
    </w:p>
    <w:p>
      <w:pPr>
        <w:spacing w:before="120" w:after="120" w:line="360" w:lineRule="auto"/>
        <w:jc w:val="center"/>
        <w:rPr>
          <w:rFonts w:ascii="宋体" w:hAnsi="宋体" w:cs="宋体"/>
          <w:b/>
          <w:sz w:val="24"/>
          <w:highlight w:val="none"/>
        </w:rPr>
      </w:pPr>
    </w:p>
    <w:p>
      <w:pPr>
        <w:pStyle w:val="30"/>
        <w:ind w:firstLine="482"/>
        <w:rPr>
          <w:rFonts w:ascii="宋体" w:hAnsi="宋体" w:cs="宋体"/>
          <w:b/>
          <w:sz w:val="24"/>
          <w:highlight w:val="none"/>
        </w:rPr>
      </w:pPr>
    </w:p>
    <w:p>
      <w:pPr>
        <w:pStyle w:val="30"/>
        <w:ind w:firstLine="482"/>
        <w:rPr>
          <w:rFonts w:ascii="宋体" w:hAnsi="宋体" w:cs="宋体"/>
          <w:b/>
          <w:sz w:val="24"/>
          <w:highlight w:val="none"/>
        </w:rPr>
      </w:pPr>
    </w:p>
    <w:p>
      <w:pPr>
        <w:pStyle w:val="30"/>
        <w:ind w:firstLine="482"/>
        <w:rPr>
          <w:rFonts w:ascii="宋体" w:hAnsi="宋体" w:cs="宋体"/>
          <w:b/>
          <w:sz w:val="24"/>
          <w:highlight w:val="none"/>
        </w:rPr>
      </w:pPr>
    </w:p>
    <w:p>
      <w:pPr>
        <w:pStyle w:val="30"/>
        <w:ind w:firstLine="482"/>
        <w:rPr>
          <w:rFonts w:ascii="宋体" w:hAnsi="宋体" w:cs="宋体"/>
          <w:b/>
          <w:sz w:val="24"/>
          <w:highlight w:val="none"/>
        </w:rPr>
      </w:pPr>
    </w:p>
    <w:p>
      <w:pPr>
        <w:pStyle w:val="30"/>
        <w:ind w:firstLine="482"/>
        <w:rPr>
          <w:rFonts w:ascii="宋体" w:hAnsi="宋体" w:cs="宋体"/>
          <w:b/>
          <w:sz w:val="24"/>
          <w:highlight w:val="none"/>
        </w:rPr>
      </w:pPr>
    </w:p>
    <w:p>
      <w:pPr>
        <w:pStyle w:val="30"/>
        <w:ind w:firstLine="482"/>
        <w:rPr>
          <w:rFonts w:ascii="宋体" w:hAnsi="宋体" w:cs="宋体"/>
          <w:b/>
          <w:sz w:val="24"/>
          <w:highlight w:val="none"/>
        </w:rPr>
      </w:pPr>
    </w:p>
    <w:p>
      <w:pPr>
        <w:pStyle w:val="30"/>
        <w:ind w:firstLine="482"/>
        <w:rPr>
          <w:rFonts w:ascii="宋体" w:hAnsi="宋体" w:cs="宋体"/>
          <w:b/>
          <w:sz w:val="24"/>
          <w:highlight w:val="none"/>
        </w:rPr>
      </w:pPr>
    </w:p>
    <w:p>
      <w:pPr>
        <w:pStyle w:val="30"/>
        <w:ind w:firstLine="482"/>
        <w:rPr>
          <w:rFonts w:ascii="宋体" w:hAnsi="宋体" w:cs="宋体"/>
          <w:b/>
          <w:sz w:val="24"/>
          <w:highlight w:val="none"/>
        </w:rPr>
      </w:pPr>
    </w:p>
    <w:p>
      <w:pPr>
        <w:jc w:val="left"/>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、企业诚信声明与承诺</w:t>
      </w:r>
    </w:p>
    <w:p>
      <w:pPr>
        <w:spacing w:line="360" w:lineRule="auto"/>
        <w:rPr>
          <w:rFonts w:ascii="宋体" w:hAnsi="宋体" w:cs="宋体"/>
          <w:b/>
          <w:bCs/>
          <w:sz w:val="24"/>
          <w:highlight w:val="none"/>
        </w:rPr>
      </w:pPr>
      <w:r>
        <w:rPr>
          <w:rFonts w:hint="eastAsia" w:ascii="宋体" w:hAnsi="宋体" w:cs="宋体"/>
          <w:b/>
          <w:bCs/>
          <w:sz w:val="24"/>
          <w:highlight w:val="none"/>
        </w:rPr>
        <w:t>深圳交易咨询集团有限公司：</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  我公司参与贵代理机构组织的项目（项目编号：</w:t>
      </w:r>
      <w:r>
        <w:rPr>
          <w:rFonts w:hint="eastAsia" w:ascii="宋体" w:hAnsi="宋体" w:cs="宋体"/>
          <w:sz w:val="24"/>
          <w:highlight w:val="none"/>
          <w:lang w:val="en-US" w:eastAsia="zh-CN"/>
        </w:rPr>
        <w:t xml:space="preserve">   </w:t>
      </w:r>
      <w:r>
        <w:rPr>
          <w:rFonts w:hint="eastAsia" w:ascii="宋体" w:hAnsi="宋体" w:cs="宋体"/>
          <w:sz w:val="24"/>
          <w:highlight w:val="none"/>
        </w:rPr>
        <w:t>）投标，现就企业诚信作如下声明与承诺：</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我司对上述内容的真实性负责。如有虚假，将依法承担相应责任。</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特此声明与承诺！</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widowControl/>
        <w:autoSpaceDE w:val="0"/>
        <w:autoSpaceDN w:val="0"/>
        <w:spacing w:line="360" w:lineRule="auto"/>
        <w:ind w:right="893"/>
        <w:jc w:val="center"/>
        <w:textAlignment w:val="bottom"/>
        <w:rPr>
          <w:rFonts w:ascii="宋体" w:hAnsi="宋体" w:cs="宋体"/>
          <w:sz w:val="24"/>
          <w:highlight w:val="none"/>
        </w:rPr>
      </w:pPr>
      <w:r>
        <w:rPr>
          <w:rFonts w:hint="eastAsia" w:ascii="宋体" w:hAnsi="宋体" w:cs="宋体"/>
          <w:sz w:val="24"/>
          <w:highlight w:val="none"/>
        </w:rPr>
        <w:t xml:space="preserve">                                       供应商名称：（法人公章）</w:t>
      </w:r>
    </w:p>
    <w:p>
      <w:pPr>
        <w:pStyle w:val="11"/>
        <w:spacing w:line="360" w:lineRule="auto"/>
        <w:jc w:val="center"/>
        <w:rPr>
          <w:rFonts w:hAnsi="宋体" w:cs="宋体"/>
          <w:sz w:val="24"/>
          <w:highlight w:val="none"/>
        </w:rPr>
      </w:pPr>
      <w:r>
        <w:rPr>
          <w:rFonts w:hint="eastAsia" w:hAnsi="宋体" w:cs="宋体"/>
          <w:sz w:val="24"/>
          <w:highlight w:val="none"/>
        </w:rPr>
        <w:t xml:space="preserve">                                  承诺日期：    年  月  日</w:t>
      </w:r>
    </w:p>
    <w:p>
      <w:pPr>
        <w:pStyle w:val="11"/>
        <w:spacing w:line="360" w:lineRule="auto"/>
        <w:jc w:val="left"/>
        <w:rPr>
          <w:rFonts w:hAnsi="宋体" w:cs="宋体"/>
          <w:sz w:val="24"/>
          <w:highlight w:val="none"/>
        </w:rPr>
      </w:pPr>
    </w:p>
    <w:p>
      <w:pPr>
        <w:pStyle w:val="11"/>
        <w:spacing w:line="360" w:lineRule="auto"/>
        <w:jc w:val="left"/>
        <w:rPr>
          <w:rFonts w:hAnsi="宋体" w:cs="宋体"/>
          <w:sz w:val="24"/>
          <w:highlight w:val="none"/>
        </w:rPr>
      </w:pPr>
    </w:p>
    <w:p>
      <w:pPr>
        <w:spacing w:before="100" w:beforeAutospacing="1" w:after="100" w:afterAutospacing="1" w:line="360" w:lineRule="auto"/>
        <w:rPr>
          <w:rFonts w:ascii="宋体" w:hAnsi="宋体" w:cs="宋体"/>
          <w:b/>
          <w:bCs/>
          <w:sz w:val="24"/>
          <w:highlight w:val="none"/>
        </w:rPr>
      </w:pPr>
      <w:r>
        <w:rPr>
          <w:rFonts w:hint="eastAsia" w:ascii="宋体" w:hAnsi="宋体" w:cs="宋体"/>
          <w:b/>
          <w:bCs/>
          <w:sz w:val="24"/>
          <w:highlight w:val="none"/>
        </w:rPr>
        <w:t>注：近三年内，如投标人有任何违法违规、受惩罚和禁止、不良信用等记录，必须列明记载，并附网络截图（加盖公章）。</w:t>
      </w:r>
    </w:p>
    <w:p>
      <w:pPr>
        <w:pStyle w:val="7"/>
        <w:spacing w:line="360" w:lineRule="auto"/>
        <w:rPr>
          <w:highlight w:val="none"/>
          <w:lang w:val="fr-CH"/>
        </w:rPr>
      </w:pPr>
    </w:p>
    <w:p>
      <w:pPr>
        <w:rPr>
          <w:highlight w:val="none"/>
          <w:lang w:val="fr-CH"/>
        </w:rPr>
      </w:pPr>
    </w:p>
    <w:p>
      <w:pPr>
        <w:pStyle w:val="30"/>
        <w:ind w:firstLine="420"/>
        <w:rPr>
          <w:highlight w:val="none"/>
          <w:lang w:val="fr-CH"/>
        </w:rPr>
      </w:pPr>
    </w:p>
    <w:p>
      <w:pPr>
        <w:pStyle w:val="30"/>
        <w:ind w:firstLine="420"/>
        <w:rPr>
          <w:highlight w:val="none"/>
          <w:lang w:val="fr-CH"/>
        </w:rPr>
      </w:pPr>
    </w:p>
    <w:p>
      <w:pPr>
        <w:pStyle w:val="30"/>
        <w:ind w:firstLine="420"/>
        <w:rPr>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jc w:val="left"/>
        <w:rPr>
          <w:rFonts w:ascii="宋体" w:hAnsi="宋体" w:cs="宋体"/>
          <w:b/>
          <w:sz w:val="24"/>
          <w:highlight w:val="none"/>
        </w:rPr>
      </w:pPr>
      <w:r>
        <w:rPr>
          <w:rFonts w:hint="eastAsia" w:ascii="宋体" w:hAnsi="宋体" w:cs="宋体"/>
          <w:b/>
          <w:sz w:val="24"/>
          <w:highlight w:val="none"/>
        </w:rPr>
        <w:br w:type="page"/>
      </w:r>
    </w:p>
    <w:p>
      <w:pPr>
        <w:spacing w:before="120" w:after="120" w:line="360" w:lineRule="auto"/>
        <w:jc w:val="center"/>
        <w:rPr>
          <w:rFonts w:ascii="宋体" w:hAnsi="宋体" w:cs="宋体"/>
          <w:b/>
          <w:sz w:val="24"/>
          <w:highlight w:val="none"/>
        </w:rPr>
      </w:pPr>
      <w:r>
        <w:rPr>
          <w:rFonts w:hint="eastAsia" w:ascii="宋体" w:hAnsi="宋体" w:cs="宋体"/>
          <w:b/>
          <w:sz w:val="24"/>
          <w:highlight w:val="none"/>
          <w:lang w:val="en-US" w:eastAsia="zh-CN"/>
        </w:rPr>
        <w:t>7</w:t>
      </w:r>
      <w:r>
        <w:rPr>
          <w:rFonts w:hint="eastAsia" w:ascii="宋体" w:hAnsi="宋体" w:cs="宋体"/>
          <w:b/>
          <w:sz w:val="24"/>
          <w:highlight w:val="none"/>
        </w:rPr>
        <w:t>、法定代表人</w:t>
      </w:r>
      <w:r>
        <w:rPr>
          <w:rFonts w:hint="eastAsia" w:ascii="宋体" w:hAnsi="宋体" w:cs="宋体"/>
          <w:b/>
          <w:sz w:val="24"/>
          <w:highlight w:val="none"/>
          <w:lang w:val="fr-CH"/>
        </w:rPr>
        <w:t>/单位负责人</w:t>
      </w:r>
      <w:r>
        <w:rPr>
          <w:rFonts w:hint="eastAsia" w:ascii="宋体" w:hAnsi="宋体" w:cs="宋体"/>
          <w:b/>
          <w:sz w:val="24"/>
          <w:highlight w:val="none"/>
        </w:rPr>
        <w:t>证明书</w:t>
      </w:r>
      <w:r>
        <w:rPr>
          <w:rFonts w:hint="eastAsia" w:ascii="宋体" w:hAnsi="宋体" w:cs="宋体"/>
          <w:b/>
          <w:sz w:val="24"/>
          <w:highlight w:val="none"/>
          <w:lang w:val="fr-CH"/>
        </w:rPr>
        <w:t>及身份证明</w:t>
      </w:r>
    </w:p>
    <w:p>
      <w:pPr>
        <w:spacing w:line="360" w:lineRule="auto"/>
        <w:rPr>
          <w:rFonts w:ascii="宋体" w:hAnsi="宋体" w:cs="宋体"/>
          <w:sz w:val="24"/>
          <w:highlight w:val="none"/>
          <w:u w:val="singl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同志，现任我单位职务，为法定代表人/单位负责人，特此证明。</w:t>
      </w:r>
    </w:p>
    <w:p>
      <w:pPr>
        <w:spacing w:line="360" w:lineRule="auto"/>
        <w:rPr>
          <w:rFonts w:ascii="宋体" w:hAnsi="宋体" w:cs="宋体"/>
          <w:sz w:val="24"/>
          <w:highlight w:val="none"/>
        </w:rPr>
      </w:pPr>
      <w:r>
        <w:rPr>
          <w:rFonts w:hint="eastAsia" w:ascii="宋体" w:hAnsi="宋体" w:cs="宋体"/>
          <w:sz w:val="24"/>
          <w:highlight w:val="none"/>
        </w:rPr>
        <w:t xml:space="preserve">签发日期：             有效日期：         单位：              </w:t>
      </w:r>
    </w:p>
    <w:p>
      <w:pPr>
        <w:spacing w:line="360" w:lineRule="auto"/>
        <w:rPr>
          <w:rFonts w:ascii="宋体" w:hAnsi="宋体" w:cs="宋体"/>
          <w:sz w:val="24"/>
          <w:highlight w:val="none"/>
        </w:rPr>
      </w:pPr>
      <w:r>
        <w:rPr>
          <w:rFonts w:hint="eastAsia" w:ascii="宋体" w:hAnsi="宋体" w:cs="宋体"/>
          <w:sz w:val="24"/>
          <w:highlight w:val="none"/>
        </w:rPr>
        <w:t>附：代表人性别：   年龄：      身份证号码：</w:t>
      </w:r>
    </w:p>
    <w:p>
      <w:pPr>
        <w:spacing w:line="360" w:lineRule="auto"/>
        <w:rPr>
          <w:rFonts w:ascii="宋体" w:hAnsi="宋体" w:cs="宋体"/>
          <w:sz w:val="24"/>
          <w:highlight w:val="none"/>
        </w:rPr>
      </w:pPr>
      <w:r>
        <w:rPr>
          <w:rFonts w:hint="eastAsia" w:ascii="宋体" w:hAnsi="宋体" w:cs="宋体"/>
          <w:sz w:val="24"/>
          <w:highlight w:val="none"/>
        </w:rPr>
        <w:t>营业执照号码：                 经济性质：</w:t>
      </w:r>
    </w:p>
    <w:p>
      <w:pPr>
        <w:spacing w:line="360" w:lineRule="auto"/>
        <w:rPr>
          <w:rFonts w:ascii="宋体" w:hAnsi="宋体" w:cs="宋体"/>
          <w:sz w:val="24"/>
          <w:highlight w:val="none"/>
        </w:rPr>
      </w:pPr>
      <w:r>
        <w:rPr>
          <w:rFonts w:hint="eastAsia" w:ascii="宋体" w:hAnsi="宋体" w:cs="宋体"/>
          <w:sz w:val="24"/>
          <w:highlight w:val="none"/>
        </w:rPr>
        <w:t>主营（产）：</w:t>
      </w:r>
    </w:p>
    <w:p>
      <w:pPr>
        <w:spacing w:line="360" w:lineRule="auto"/>
        <w:rPr>
          <w:rFonts w:ascii="宋体" w:hAnsi="宋体" w:cs="宋体"/>
          <w:sz w:val="24"/>
          <w:highlight w:val="none"/>
        </w:rPr>
      </w:pPr>
      <w:r>
        <w:rPr>
          <w:rFonts w:hint="eastAsia" w:ascii="宋体" w:hAnsi="宋体" w:cs="宋体"/>
          <w:sz w:val="24"/>
          <w:highlight w:val="none"/>
        </w:rPr>
        <w:t>兼营（产）：</w:t>
      </w:r>
    </w:p>
    <w:p>
      <w:pPr>
        <w:spacing w:line="360" w:lineRule="auto"/>
        <w:rPr>
          <w:rFonts w:ascii="宋体" w:hAnsi="宋体" w:cs="宋体"/>
          <w:sz w:val="24"/>
          <w:highlight w:val="none"/>
        </w:rPr>
      </w:pPr>
      <w:r>
        <w:rPr>
          <w:rFonts w:hint="eastAsia" w:ascii="宋体" w:hAnsi="宋体" w:cs="宋体"/>
          <w:sz w:val="24"/>
          <w:highlight w:val="none"/>
        </w:rPr>
        <w:t>进口物品经营许可证号码：</w:t>
      </w:r>
    </w:p>
    <w:p>
      <w:pPr>
        <w:spacing w:line="360" w:lineRule="auto"/>
        <w:rPr>
          <w:rFonts w:ascii="宋体" w:hAnsi="宋体" w:cs="宋体"/>
          <w:sz w:val="24"/>
          <w:highlight w:val="none"/>
        </w:rPr>
      </w:pPr>
      <w:r>
        <w:rPr>
          <w:rFonts w:hint="eastAsia" w:ascii="宋体" w:hAnsi="宋体" w:cs="宋体"/>
          <w:sz w:val="24"/>
          <w:highlight w:val="none"/>
        </w:rPr>
        <w:t>主营：</w:t>
      </w:r>
    </w:p>
    <w:p>
      <w:pPr>
        <w:spacing w:line="360" w:lineRule="auto"/>
        <w:rPr>
          <w:rFonts w:ascii="宋体" w:hAnsi="宋体" w:cs="宋体"/>
          <w:sz w:val="24"/>
          <w:highlight w:val="none"/>
        </w:rPr>
      </w:pPr>
      <w:r>
        <w:rPr>
          <w:rFonts w:hint="eastAsia" w:ascii="宋体" w:hAnsi="宋体" w:cs="宋体"/>
          <w:sz w:val="24"/>
          <w:highlight w:val="none"/>
        </w:rPr>
        <w:t>兼营：</w:t>
      </w:r>
    </w:p>
    <w:p>
      <w:pPr>
        <w:spacing w:line="360" w:lineRule="auto"/>
        <w:rPr>
          <w:rFonts w:ascii="宋体" w:hAnsi="宋体" w:cs="宋体"/>
          <w:sz w:val="24"/>
          <w:highlight w:val="none"/>
        </w:rPr>
      </w:pPr>
      <w:r>
        <w:rPr>
          <w:rFonts w:hint="eastAsia" w:ascii="宋体" w:hAnsi="宋体" w:cs="宋体"/>
          <w:sz w:val="24"/>
          <w:highlight w:val="none"/>
        </w:rPr>
        <w:t>说明：1、法定代表人/单位负责人为企业事业单位、国家机关、社会团体的主要行政负责人。</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2、内容必须填写真实、清楚，涂改无效，不得转让、买卖</w:t>
      </w:r>
      <w:r>
        <w:rPr>
          <w:rFonts w:hint="eastAsia" w:ascii="宋体" w:hAnsi="宋体" w:cs="宋体"/>
          <w:sz w:val="24"/>
          <w:highlight w:val="none"/>
          <w:lang w:eastAsia="zh-CN"/>
        </w:rPr>
        <w:t>。</w:t>
      </w:r>
    </w:p>
    <w:p>
      <w:pPr>
        <w:spacing w:line="360" w:lineRule="auto"/>
        <w:rPr>
          <w:rFonts w:ascii="宋体" w:hAnsi="宋体" w:cs="宋体"/>
          <w:sz w:val="24"/>
          <w:highlight w:val="none"/>
        </w:rPr>
      </w:pPr>
    </w:p>
    <w:p>
      <w:pPr>
        <w:tabs>
          <w:tab w:val="left" w:pos="3780"/>
        </w:tabs>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before="120" w:after="120" w:line="360" w:lineRule="auto"/>
        <w:jc w:val="left"/>
        <w:rPr>
          <w:rFonts w:ascii="宋体" w:hAnsi="宋体" w:cs="宋体"/>
          <w:szCs w:val="21"/>
          <w:highlight w:val="none"/>
        </w:rPr>
      </w:pPr>
    </w:p>
    <w:p>
      <w:pPr>
        <w:rPr>
          <w:rFonts w:ascii="宋体" w:hAnsi="宋体" w:cs="宋体"/>
          <w:szCs w:val="21"/>
          <w:highlight w:val="none"/>
        </w:rPr>
      </w:pPr>
    </w:p>
    <w:p>
      <w:pPr>
        <w:rPr>
          <w:highlight w:val="none"/>
        </w:rPr>
      </w:pPr>
    </w:p>
    <w:p>
      <w:pPr>
        <w:spacing w:before="120" w:after="120" w:line="360" w:lineRule="auto"/>
        <w:jc w:val="left"/>
        <w:rPr>
          <w:rFonts w:ascii="宋体" w:hAnsi="宋体" w:cs="宋体"/>
          <w:b/>
          <w:sz w:val="24"/>
          <w:highlight w:val="none"/>
        </w:rPr>
      </w:pPr>
      <w:r>
        <w:rPr>
          <w:rFonts w:hint="eastAsia" w:ascii="宋体" w:hAnsi="宋体" w:cs="宋体"/>
          <w:b/>
          <w:sz w:val="24"/>
          <w:highlight w:val="none"/>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1"/>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pStyle w:val="11"/>
        <w:spacing w:line="360" w:lineRule="auto"/>
        <w:jc w:val="center"/>
        <w:rPr>
          <w:rFonts w:hAnsi="宋体" w:cs="宋体"/>
          <w:b/>
          <w:sz w:val="24"/>
          <w:highlight w:val="none"/>
        </w:rPr>
      </w:pPr>
      <w:r>
        <w:rPr>
          <w:rFonts w:hint="eastAsia" w:hAnsi="宋体" w:cs="宋体"/>
          <w:b/>
          <w:sz w:val="24"/>
          <w:highlight w:val="none"/>
          <w:lang w:val="en-US" w:eastAsia="zh-CN"/>
        </w:rPr>
        <w:t>8</w:t>
      </w:r>
      <w:r>
        <w:rPr>
          <w:rFonts w:hint="eastAsia" w:hAnsi="宋体" w:cs="宋体"/>
          <w:b/>
          <w:sz w:val="24"/>
          <w:highlight w:val="none"/>
        </w:rPr>
        <w:t>、法定代表人/单位负责人授权书</w:t>
      </w:r>
      <w:r>
        <w:rPr>
          <w:rFonts w:hint="eastAsia" w:hAnsi="宋体" w:cs="宋体"/>
          <w:b/>
          <w:sz w:val="24"/>
          <w:highlight w:val="none"/>
          <w:lang w:val="fr-CH"/>
        </w:rPr>
        <w:t>及身份证明</w:t>
      </w:r>
    </w:p>
    <w:p>
      <w:pPr>
        <w:pStyle w:val="11"/>
        <w:spacing w:line="360" w:lineRule="auto"/>
        <w:rPr>
          <w:rFonts w:hAnsi="宋体" w:cs="宋体"/>
          <w:sz w:val="24"/>
          <w:highlight w:val="none"/>
        </w:rPr>
      </w:pPr>
    </w:p>
    <w:p>
      <w:pPr>
        <w:pStyle w:val="11"/>
        <w:spacing w:line="360" w:lineRule="auto"/>
        <w:rPr>
          <w:rFonts w:hAnsi="宋体" w:cs="宋体"/>
          <w:sz w:val="24"/>
          <w:highlight w:val="none"/>
        </w:rPr>
      </w:pPr>
      <w:r>
        <w:rPr>
          <w:rFonts w:hint="eastAsia" w:hAnsi="宋体" w:cs="宋体"/>
          <w:b/>
          <w:sz w:val="24"/>
          <w:highlight w:val="none"/>
        </w:rPr>
        <w:t>深圳市前海深港现代服务业合作区管理局：</w:t>
      </w:r>
    </w:p>
    <w:p>
      <w:pPr>
        <w:pStyle w:val="11"/>
        <w:spacing w:line="360" w:lineRule="auto"/>
        <w:ind w:firstLine="420"/>
        <w:rPr>
          <w:rFonts w:hAnsi="宋体" w:cs="宋体"/>
          <w:sz w:val="24"/>
          <w:highlight w:val="none"/>
        </w:rPr>
      </w:pPr>
      <w:r>
        <w:rPr>
          <w:rFonts w:hint="eastAsia" w:hAnsi="宋体" w:cs="宋体"/>
          <w:sz w:val="24"/>
          <w:highlight w:val="none"/>
        </w:rPr>
        <w:t>本授权书声明：注册于</w:t>
      </w:r>
      <w:r>
        <w:rPr>
          <w:rFonts w:hint="eastAsia" w:hAnsi="宋体" w:cs="宋体"/>
          <w:sz w:val="24"/>
          <w:highlight w:val="none"/>
          <w:u w:val="single"/>
        </w:rPr>
        <w:t xml:space="preserve">     </w:t>
      </w:r>
      <w:r>
        <w:rPr>
          <w:rFonts w:hint="eastAsia" w:hAnsi="宋体" w:cs="宋体"/>
          <w:sz w:val="24"/>
          <w:highlight w:val="none"/>
        </w:rPr>
        <w:t>（国家或地区）的</w:t>
      </w:r>
      <w:r>
        <w:rPr>
          <w:rFonts w:hint="eastAsia" w:hAnsi="宋体" w:cs="宋体"/>
          <w:sz w:val="24"/>
          <w:highlight w:val="none"/>
          <w:u w:val="single"/>
        </w:rPr>
        <w:t xml:space="preserve">       </w:t>
      </w:r>
      <w:r>
        <w:rPr>
          <w:rFonts w:hint="eastAsia" w:hAnsi="宋体" w:cs="宋体"/>
          <w:sz w:val="24"/>
          <w:highlight w:val="none"/>
        </w:rPr>
        <w:t>（投标人名称）的在下面签字的</w:t>
      </w:r>
      <w:r>
        <w:rPr>
          <w:rFonts w:hint="eastAsia" w:hAnsi="宋体" w:cs="宋体"/>
          <w:sz w:val="24"/>
          <w:highlight w:val="none"/>
          <w:u w:val="single"/>
        </w:rPr>
        <w:t xml:space="preserve">     </w:t>
      </w:r>
      <w:r>
        <w:rPr>
          <w:rFonts w:hint="eastAsia" w:hAnsi="宋体" w:cs="宋体"/>
          <w:sz w:val="24"/>
          <w:highlight w:val="none"/>
        </w:rPr>
        <w:t xml:space="preserve"> （法定代表人/单位负责人姓名、职务）代表本公司授权在下面签字的</w:t>
      </w:r>
      <w:r>
        <w:rPr>
          <w:rFonts w:hint="eastAsia" w:hAnsi="宋体" w:cs="宋体"/>
          <w:sz w:val="24"/>
          <w:highlight w:val="none"/>
          <w:u w:val="single"/>
        </w:rPr>
        <w:t xml:space="preserve">     </w:t>
      </w:r>
      <w:r>
        <w:rPr>
          <w:rFonts w:hint="eastAsia" w:hAnsi="宋体" w:cs="宋体"/>
          <w:sz w:val="24"/>
          <w:highlight w:val="none"/>
        </w:rPr>
        <w:t>（被授权人的姓名、职务）为本公司的合法代表人，就</w:t>
      </w:r>
      <w:r>
        <w:rPr>
          <w:rFonts w:hint="eastAsia" w:hAnsi="宋体" w:cs="宋体"/>
          <w:sz w:val="24"/>
          <w:highlight w:val="none"/>
          <w:u w:val="single"/>
        </w:rPr>
        <w:t xml:space="preserve">       </w:t>
      </w:r>
      <w:r>
        <w:rPr>
          <w:rFonts w:hint="eastAsia" w:hAnsi="宋体" w:cs="宋体"/>
          <w:sz w:val="24"/>
          <w:highlight w:val="none"/>
        </w:rPr>
        <w:t>[招标编号为：</w:t>
      </w:r>
      <w:r>
        <w:rPr>
          <w:rFonts w:hint="eastAsia" w:hAnsi="宋体" w:cs="宋体"/>
          <w:sz w:val="24"/>
          <w:highlight w:val="none"/>
          <w:u w:val="single"/>
        </w:rPr>
        <w:t xml:space="preserve">     </w:t>
      </w:r>
      <w:r>
        <w:rPr>
          <w:rFonts w:hint="eastAsia" w:hAnsi="宋体" w:cs="宋体"/>
          <w:sz w:val="24"/>
          <w:highlight w:val="none"/>
        </w:rPr>
        <w:t>]的投标和合同执行，以我方的名义处理一切与之有关的事宜。</w:t>
      </w:r>
    </w:p>
    <w:p>
      <w:pPr>
        <w:pStyle w:val="11"/>
        <w:spacing w:line="360" w:lineRule="auto"/>
        <w:rPr>
          <w:rFonts w:hAnsi="宋体" w:cs="宋体"/>
          <w:sz w:val="24"/>
          <w:highlight w:val="none"/>
        </w:rPr>
      </w:pPr>
    </w:p>
    <w:p>
      <w:pPr>
        <w:spacing w:line="360" w:lineRule="auto"/>
        <w:ind w:firstLine="57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pPr>
        <w:spacing w:line="360" w:lineRule="auto"/>
        <w:rPr>
          <w:rFonts w:ascii="宋体" w:hAnsi="宋体" w:cs="宋体"/>
          <w:sz w:val="24"/>
          <w:highlight w:val="none"/>
        </w:rPr>
      </w:pPr>
    </w:p>
    <w:p>
      <w:pPr>
        <w:spacing w:line="360" w:lineRule="auto"/>
        <w:rPr>
          <w:rFonts w:hint="eastAsia" w:ascii="宋体" w:hAnsi="宋体" w:cs="宋体"/>
          <w:sz w:val="24"/>
          <w:highlight w:val="none"/>
          <w:lang w:val="en-US" w:eastAsia="zh-CN"/>
        </w:rPr>
      </w:pPr>
    </w:p>
    <w:p>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被授权人联系方式（手机）：         </w:t>
      </w:r>
    </w:p>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被授权人邮箱号：</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jc w:val="left"/>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line="360" w:lineRule="auto"/>
        <w:jc w:val="left"/>
        <w:rPr>
          <w:rFonts w:ascii="宋体" w:hAnsi="宋体" w:cs="宋体"/>
          <w:b/>
          <w:bCs/>
          <w:sz w:val="24"/>
          <w:highlight w:val="none"/>
        </w:rPr>
      </w:pPr>
      <w:r>
        <w:rPr>
          <w:rFonts w:hint="eastAsia" w:ascii="宋体" w:hAnsi="宋体" w:cs="宋体"/>
          <w:b/>
          <w:bCs/>
          <w:spacing w:val="20"/>
          <w:sz w:val="24"/>
          <w:highlight w:val="none"/>
        </w:rPr>
        <w:t>被授权人（签字或盖章）</w:t>
      </w:r>
      <w:r>
        <w:rPr>
          <w:rFonts w:hint="eastAsia" w:ascii="宋体" w:hAnsi="宋体" w:cs="宋体"/>
          <w:b/>
          <w:bCs/>
          <w:sz w:val="24"/>
          <w:highlight w:val="none"/>
        </w:rPr>
        <w:t>：</w:t>
      </w:r>
    </w:p>
    <w:p>
      <w:pPr>
        <w:tabs>
          <w:tab w:val="left" w:pos="640"/>
          <w:tab w:val="left" w:pos="1260"/>
          <w:tab w:val="left" w:pos="1418"/>
        </w:tabs>
        <w:spacing w:line="360" w:lineRule="auto"/>
        <w:rPr>
          <w:rFonts w:ascii="宋体" w:hAnsi="宋体" w:cs="宋体"/>
          <w:b/>
          <w:sz w:val="24"/>
          <w:highlight w:val="none"/>
        </w:rPr>
      </w:pPr>
    </w:p>
    <w:p>
      <w:pPr>
        <w:rPr>
          <w:rFonts w:ascii="宋体" w:hAnsi="宋体" w:cs="宋体"/>
          <w:b/>
          <w:sz w:val="24"/>
          <w:highlight w:val="none"/>
        </w:rPr>
      </w:pPr>
    </w:p>
    <w:p>
      <w:pPr>
        <w:pStyle w:val="7"/>
        <w:rPr>
          <w:highlight w:val="none"/>
        </w:rPr>
      </w:pPr>
    </w:p>
    <w:p>
      <w:pPr>
        <w:tabs>
          <w:tab w:val="left" w:pos="640"/>
          <w:tab w:val="left" w:pos="1260"/>
          <w:tab w:val="left" w:pos="1418"/>
        </w:tabs>
        <w:spacing w:line="360" w:lineRule="auto"/>
        <w:rPr>
          <w:rFonts w:ascii="宋体" w:hAnsi="宋体" w:cs="宋体"/>
          <w:b/>
          <w:sz w:val="24"/>
          <w:highlight w:val="none"/>
        </w:rPr>
      </w:pPr>
      <w:r>
        <w:rPr>
          <w:rFonts w:hint="eastAsia" w:ascii="宋体" w:hAnsi="宋体" w:cs="宋体"/>
          <w:b/>
          <w:sz w:val="24"/>
          <w:highlight w:val="none"/>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1"/>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widowControl/>
        <w:autoSpaceDE w:val="0"/>
        <w:autoSpaceDN w:val="0"/>
        <w:spacing w:line="360" w:lineRule="auto"/>
        <w:ind w:left="359" w:right="26" w:hanging="357"/>
        <w:jc w:val="center"/>
        <w:textAlignment w:val="bottom"/>
        <w:rPr>
          <w:rFonts w:ascii="宋体" w:hAnsi="宋体" w:cs="宋体"/>
          <w:b/>
          <w:bCs/>
          <w:sz w:val="24"/>
          <w:highlight w:val="none"/>
          <w:lang w:val="fr-CH"/>
        </w:rPr>
      </w:pPr>
    </w:p>
    <w:p>
      <w:pPr>
        <w:widowControl/>
        <w:autoSpaceDE w:val="0"/>
        <w:autoSpaceDN w:val="0"/>
        <w:spacing w:line="360" w:lineRule="auto"/>
        <w:ind w:right="26"/>
        <w:jc w:val="center"/>
        <w:textAlignment w:val="bottom"/>
        <w:rPr>
          <w:rFonts w:ascii="宋体" w:hAnsi="宋体" w:cs="宋体"/>
          <w:b/>
          <w:bCs/>
          <w:sz w:val="24"/>
          <w:highlight w:val="none"/>
          <w:lang w:val="fr-CH"/>
        </w:rPr>
      </w:pP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我们在贵司代理的</w:t>
      </w:r>
      <w:r>
        <w:rPr>
          <w:rFonts w:hint="eastAsia" w:ascii="宋体" w:hAnsi="宋体" w:cs="宋体"/>
          <w:sz w:val="24"/>
          <w:highlight w:val="none"/>
          <w:u w:val="single"/>
        </w:rPr>
        <w:t xml:space="preserve">           </w:t>
      </w:r>
      <w:r>
        <w:rPr>
          <w:rFonts w:hint="eastAsia" w:ascii="宋体" w:hAnsi="宋体" w:cs="宋体"/>
          <w:sz w:val="24"/>
          <w:highlight w:val="none"/>
        </w:rPr>
        <w:t>项目（货物/服务/工程）招标中若获中标（招标文件编号：</w:t>
      </w:r>
      <w:r>
        <w:rPr>
          <w:rFonts w:hint="eastAsia" w:ascii="宋体" w:hAnsi="宋体" w:cs="宋体"/>
          <w:sz w:val="24"/>
          <w:highlight w:val="none"/>
          <w:u w:val="single"/>
        </w:rPr>
        <w:t xml:space="preserve">           </w:t>
      </w:r>
      <w:r>
        <w:rPr>
          <w:rFonts w:hint="eastAsia" w:ascii="宋体" w:hAnsi="宋体" w:cs="宋体"/>
          <w:sz w:val="24"/>
          <w:highlight w:val="none"/>
        </w:rPr>
        <w:t>），我们保证在收到中标通知书后5日内按招标文件的规定，以现金或电汇向贵公司即深圳交易咨询集团有限公司指定的银行</w:t>
      </w:r>
      <w:r>
        <w:rPr>
          <w:rFonts w:hint="eastAsia" w:ascii="宋体" w:hAnsi="宋体" w:cs="宋体"/>
          <w:sz w:val="24"/>
          <w:highlight w:val="none"/>
          <w:lang w:eastAsia="zh-CN"/>
        </w:rPr>
        <w:t>账号</w:t>
      </w:r>
      <w:r>
        <w:rPr>
          <w:rFonts w:hint="eastAsia" w:ascii="宋体" w:hAnsi="宋体" w:cs="宋体"/>
          <w:sz w:val="24"/>
          <w:highlight w:val="none"/>
        </w:rPr>
        <w:t>支付全额招标代理服务费。招标代理服务费按照</w:t>
      </w:r>
      <w:r>
        <w:rPr>
          <w:rFonts w:hint="eastAsia" w:ascii="宋体" w:hAnsi="宋体" w:cs="宋体"/>
          <w:sz w:val="24"/>
          <w:highlight w:val="none"/>
          <w:u w:val="single"/>
        </w:rPr>
        <w:t>招标文件中的规定以差额定率累进法</w:t>
      </w:r>
      <w:r>
        <w:rPr>
          <w:rFonts w:hint="eastAsia" w:ascii="宋体" w:hAnsi="宋体" w:cs="宋体"/>
          <w:sz w:val="24"/>
          <w:highlight w:val="none"/>
        </w:rPr>
        <w:t>计算。</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特此承诺。</w:t>
      </w:r>
    </w:p>
    <w:p>
      <w:pPr>
        <w:widowControl/>
        <w:autoSpaceDE w:val="0"/>
        <w:autoSpaceDN w:val="0"/>
        <w:spacing w:line="360" w:lineRule="auto"/>
        <w:ind w:left="359" w:right="26" w:hanging="357"/>
        <w:textAlignment w:val="bottom"/>
        <w:rPr>
          <w:rFonts w:ascii="宋体" w:hAnsi="宋体" w:cs="宋体"/>
          <w:sz w:val="24"/>
          <w:highlight w:val="none"/>
          <w:u w:val="single"/>
        </w:rPr>
      </w:pPr>
      <w:r>
        <w:rPr>
          <w:rFonts w:hint="eastAsia" w:ascii="宋体" w:hAnsi="宋体" w:cs="宋体"/>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地址：</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 xml:space="preserve">电话：         </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传真：</w:t>
      </w:r>
    </w:p>
    <w:p>
      <w:pPr>
        <w:spacing w:line="360" w:lineRule="auto"/>
        <w:jc w:val="left"/>
        <w:rPr>
          <w:rFonts w:ascii="宋体" w:hAnsi="宋体" w:cs="宋体"/>
          <w:sz w:val="24"/>
          <w:highlight w:val="none"/>
        </w:rPr>
      </w:pPr>
      <w:r>
        <w:rPr>
          <w:rFonts w:hint="eastAsia" w:ascii="宋体" w:hAnsi="宋体" w:cs="宋体"/>
          <w:sz w:val="24"/>
          <w:highlight w:val="none"/>
        </w:rPr>
        <w:t>承诺日期：</w:t>
      </w:r>
    </w:p>
    <w:p>
      <w:pPr>
        <w:pStyle w:val="7"/>
        <w:spacing w:line="360" w:lineRule="auto"/>
        <w:rPr>
          <w:highlight w:val="none"/>
          <w:lang w:val="fr-CH"/>
        </w:rPr>
      </w:pPr>
    </w:p>
    <w:p>
      <w:pPr>
        <w:tabs>
          <w:tab w:val="left" w:pos="640"/>
          <w:tab w:val="left" w:pos="1260"/>
          <w:tab w:val="left" w:pos="1418"/>
        </w:tabs>
        <w:spacing w:line="360" w:lineRule="auto"/>
        <w:rPr>
          <w:rFonts w:ascii="宋体" w:hAnsi="宋体" w:cs="宋体"/>
          <w:sz w:val="24"/>
          <w:highlight w:val="none"/>
          <w:lang w:val="fr-CH"/>
        </w:rPr>
      </w:pPr>
    </w:p>
    <w:p>
      <w:pPr>
        <w:tabs>
          <w:tab w:val="left" w:pos="640"/>
          <w:tab w:val="left" w:pos="1260"/>
          <w:tab w:val="left" w:pos="1418"/>
        </w:tabs>
        <w:spacing w:line="360" w:lineRule="auto"/>
        <w:rPr>
          <w:rFonts w:ascii="宋体" w:hAnsi="宋体" w:cs="宋体"/>
          <w:sz w:val="24"/>
          <w:highlight w:val="none"/>
        </w:rPr>
      </w:pPr>
      <w:r>
        <w:rPr>
          <w:rFonts w:hint="eastAsia" w:ascii="宋体" w:hAnsi="宋体" w:cs="宋体"/>
          <w:sz w:val="24"/>
          <w:highlight w:val="none"/>
          <w:lang w:val="fr-CH"/>
        </w:rPr>
        <w:br w:type="page"/>
      </w:r>
    </w:p>
    <w:p>
      <w:pPr>
        <w:widowControl/>
        <w:autoSpaceDE w:val="0"/>
        <w:autoSpaceDN w:val="0"/>
        <w:spacing w:line="360" w:lineRule="auto"/>
        <w:ind w:right="26"/>
        <w:jc w:val="center"/>
        <w:textAlignment w:val="bottom"/>
        <w:rPr>
          <w:rFonts w:hint="eastAsia" w:ascii="宋体" w:hAnsi="宋体" w:eastAsia="宋体" w:cs="宋体"/>
          <w:b/>
          <w:bCs/>
          <w:sz w:val="24"/>
          <w:highlight w:val="none"/>
          <w:lang w:val="fr-CH"/>
        </w:rPr>
      </w:pPr>
      <w:r>
        <w:rPr>
          <w:rFonts w:hint="eastAsia" w:ascii="宋体" w:hAnsi="宋体" w:cs="宋体"/>
          <w:b/>
          <w:bCs/>
          <w:sz w:val="24"/>
          <w:highlight w:val="none"/>
          <w:lang w:val="en-US" w:eastAsia="zh-CN"/>
        </w:rPr>
        <w:t>10</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lang w:val="fr-CH"/>
        </w:rPr>
        <w:t>投标人简介</w:t>
      </w:r>
    </w:p>
    <w:p>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供应商基本情况表</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5</w:t>
            </w:r>
          </w:p>
        </w:tc>
        <w:tc>
          <w:tcPr>
            <w:tcW w:w="2282" w:type="dxa"/>
            <w:gridSpan w:val="2"/>
            <w:noWrap w:val="0"/>
            <w:vAlign w:val="center"/>
          </w:tcPr>
          <w:p>
            <w:pPr>
              <w:pStyle w:val="6"/>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ascii="宋体" w:hAnsi="宋体" w:eastAsia="宋体"/>
        </w:rPr>
      </w:pPr>
    </w:p>
    <w:p>
      <w:pPr>
        <w:numPr>
          <w:ilvl w:val="0"/>
          <w:numId w:val="0"/>
        </w:num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eastAsia="宋体"/>
          <w:b/>
        </w:rPr>
        <w:t>备注：</w:t>
      </w:r>
      <w:r>
        <w:rPr>
          <w:rFonts w:hint="eastAsia" w:ascii="宋体" w:hAnsi="宋体" w:eastAsia="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1</w:t>
      </w:r>
      <w:r>
        <w:rPr>
          <w:rFonts w:hint="eastAsia" w:ascii="宋体" w:hAnsi="宋体" w:cs="宋体"/>
          <w:b/>
          <w:bCs/>
          <w:sz w:val="24"/>
          <w:highlight w:val="none"/>
          <w:lang w:val="fr-CH"/>
        </w:rPr>
        <w:t>、投标人类似项目业绩情况（格式自拟）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2</w:t>
      </w:r>
      <w:r>
        <w:rPr>
          <w:rFonts w:hint="eastAsia" w:ascii="宋体" w:hAnsi="宋体" w:cs="宋体"/>
          <w:b/>
          <w:bCs/>
          <w:sz w:val="24"/>
          <w:highlight w:val="none"/>
          <w:lang w:val="fr-CH"/>
        </w:rPr>
        <w:t>、项目负责人情况（仅一人）（格式自拟）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3</w:t>
      </w:r>
      <w:r>
        <w:rPr>
          <w:rFonts w:hint="eastAsia" w:ascii="宋体" w:hAnsi="宋体" w:cs="宋体"/>
          <w:b/>
          <w:bCs/>
          <w:sz w:val="24"/>
          <w:highlight w:val="none"/>
          <w:lang w:val="fr-CH"/>
        </w:rPr>
        <w:t>、团队成员（不包括项目负责人）（格式自拟）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4</w:t>
      </w:r>
      <w:r>
        <w:rPr>
          <w:rFonts w:hint="eastAsia" w:ascii="宋体" w:hAnsi="宋体" w:cs="宋体"/>
          <w:b/>
          <w:bCs/>
          <w:sz w:val="24"/>
          <w:highlight w:val="none"/>
          <w:lang w:val="fr-CH"/>
        </w:rPr>
        <w:t>、投标人自主知识产权产品（创新、设计）情况（格式自拟）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eastAsia="zh-CN"/>
        </w:rPr>
        <w:t>1</w:t>
      </w:r>
      <w:r>
        <w:rPr>
          <w:rFonts w:hint="eastAsia" w:ascii="宋体" w:hAnsi="宋体" w:cs="宋体"/>
          <w:b/>
          <w:bCs/>
          <w:sz w:val="24"/>
          <w:highlight w:val="none"/>
          <w:lang w:val="en-US" w:eastAsia="zh-CN"/>
        </w:rPr>
        <w:t>5</w:t>
      </w:r>
      <w:r>
        <w:rPr>
          <w:rFonts w:hint="eastAsia" w:ascii="宋体" w:hAnsi="宋体" w:cs="宋体"/>
          <w:b/>
          <w:bCs/>
          <w:sz w:val="24"/>
          <w:highlight w:val="none"/>
          <w:lang w:val="fr-CH" w:eastAsia="zh-CN"/>
        </w:rPr>
        <w:t>、</w:t>
      </w:r>
      <w:r>
        <w:rPr>
          <w:rFonts w:hint="eastAsia" w:ascii="宋体" w:hAnsi="宋体" w:cs="宋体"/>
          <w:b/>
          <w:bCs/>
          <w:sz w:val="24"/>
          <w:highlight w:val="none"/>
          <w:lang w:val="fr-CH"/>
        </w:rPr>
        <w:t>投标单位认为有必要提供的其他材料（格式自拟）</w:t>
      </w:r>
    </w:p>
    <w:p>
      <w:pPr>
        <w:tabs>
          <w:tab w:val="left" w:pos="640"/>
          <w:tab w:val="left" w:pos="1260"/>
          <w:tab w:val="left" w:pos="1418"/>
        </w:tabs>
        <w:spacing w:line="360" w:lineRule="auto"/>
        <w:rPr>
          <w:rFonts w:ascii="宋体" w:hAnsi="宋体" w:cs="宋体"/>
          <w:b/>
          <w:bCs/>
          <w:sz w:val="24"/>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spacing w:line="360" w:lineRule="auto"/>
        <w:outlineLvl w:val="2"/>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（三）技术部分</w:t>
      </w:r>
    </w:p>
    <w:p>
      <w:pPr>
        <w:spacing w:after="78" w:line="360" w:lineRule="auto"/>
        <w:jc w:val="center"/>
        <w:rPr>
          <w:rFonts w:ascii="宋体" w:hAnsi="宋体" w:cs="宋体"/>
          <w:b/>
          <w:bCs/>
          <w:sz w:val="24"/>
          <w:highlight w:val="none"/>
          <w:lang w:val="fr-CH"/>
        </w:rPr>
      </w:pPr>
    </w:p>
    <w:p>
      <w:pPr>
        <w:spacing w:after="78" w:line="360" w:lineRule="auto"/>
        <w:jc w:val="center"/>
        <w:rPr>
          <w:rFonts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fr-CH"/>
        </w:rPr>
        <w:t>用户需求响应表</w:t>
      </w:r>
    </w:p>
    <w:p>
      <w:pPr>
        <w:spacing w:after="78" w:line="360" w:lineRule="auto"/>
        <w:rPr>
          <w:rFonts w:ascii="宋体" w:hAnsi="宋体" w:cs="宋体"/>
          <w:sz w:val="24"/>
          <w:highlight w:val="none"/>
        </w:rPr>
      </w:pPr>
      <w:r>
        <w:rPr>
          <w:rFonts w:hint="eastAsia" w:ascii="宋体" w:hAnsi="宋体" w:cs="宋体"/>
          <w:sz w:val="24"/>
          <w:highlight w:val="none"/>
        </w:rPr>
        <w:t>投标人名称____________________          招标编号____________________</w:t>
      </w:r>
    </w:p>
    <w:p>
      <w:pPr>
        <w:spacing w:after="78" w:line="360" w:lineRule="auto"/>
        <w:rPr>
          <w:rFonts w:ascii="宋体" w:hAnsi="宋体" w:cs="宋体"/>
          <w:bCs/>
          <w:sz w:val="24"/>
          <w:highlight w:val="none"/>
        </w:rPr>
      </w:pPr>
      <w:r>
        <w:rPr>
          <w:rFonts w:hint="eastAsia" w:ascii="宋体" w:hAnsi="宋体" w:cs="宋体"/>
          <w:bCs/>
          <w:sz w:val="24"/>
          <w:highlight w:val="none"/>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sz w:val="24"/>
                <w:highlight w:val="none"/>
              </w:rPr>
            </w:pPr>
            <w:r>
              <w:rPr>
                <w:rFonts w:hint="eastAsia" w:ascii="宋体" w:hAnsi="宋体" w:cs="宋体"/>
                <w:bCs/>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p>
        </w:tc>
      </w:tr>
    </w:tbl>
    <w:p>
      <w:pPr>
        <w:spacing w:after="78" w:line="360" w:lineRule="auto"/>
        <w:rPr>
          <w:rFonts w:ascii="宋体" w:hAnsi="宋体" w:cs="宋体"/>
          <w:bCs/>
          <w:sz w:val="24"/>
          <w:highlight w:val="none"/>
        </w:rPr>
      </w:pPr>
    </w:p>
    <w:p>
      <w:pPr>
        <w:spacing w:after="78" w:line="360" w:lineRule="auto"/>
        <w:rPr>
          <w:rFonts w:ascii="宋体" w:hAnsi="宋体" w:cs="宋体"/>
          <w:bCs/>
          <w:sz w:val="24"/>
          <w:highlight w:val="none"/>
        </w:rPr>
      </w:pPr>
      <w:r>
        <w:rPr>
          <w:rFonts w:hint="eastAsia" w:ascii="宋体" w:hAnsi="宋体" w:cs="宋体"/>
          <w:bCs/>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ascii="宋体" w:hAnsi="宋体" w:cs="宋体"/>
          <w:bCs/>
          <w:sz w:val="24"/>
          <w:highlight w:val="none"/>
        </w:rPr>
      </w:pPr>
    </w:p>
    <w:p>
      <w:pPr>
        <w:pStyle w:val="11"/>
        <w:spacing w:line="360" w:lineRule="auto"/>
        <w:rPr>
          <w:rFonts w:hAnsi="宋体" w:cs="宋体"/>
          <w:bCs/>
          <w:sz w:val="24"/>
          <w:highlight w:val="none"/>
        </w:rPr>
      </w:pPr>
    </w:p>
    <w:p>
      <w:pPr>
        <w:pStyle w:val="11"/>
        <w:spacing w:line="360" w:lineRule="auto"/>
        <w:ind w:firstLine="5760" w:firstLineChars="2400"/>
        <w:rPr>
          <w:rFonts w:hAnsi="宋体" w:cs="宋体"/>
          <w:bCs/>
          <w:sz w:val="24"/>
          <w:highlight w:val="none"/>
        </w:rPr>
      </w:pPr>
      <w:r>
        <w:rPr>
          <w:rFonts w:hint="eastAsia" w:hAnsi="宋体" w:cs="宋体"/>
          <w:bCs/>
          <w:sz w:val="24"/>
          <w:highlight w:val="none"/>
        </w:rPr>
        <w:t>供应商：（公章）</w:t>
      </w:r>
    </w:p>
    <w:p>
      <w:pPr>
        <w:spacing w:line="360" w:lineRule="auto"/>
        <w:ind w:firstLine="5589" w:firstLineChars="2329"/>
        <w:rPr>
          <w:rFonts w:ascii="宋体" w:hAnsi="宋体" w:cs="宋体"/>
          <w:bCs/>
          <w:sz w:val="24"/>
          <w:highlight w:val="none"/>
        </w:rPr>
      </w:pPr>
      <w:r>
        <w:rPr>
          <w:rFonts w:hint="eastAsia" w:ascii="宋体" w:hAnsi="宋体" w:cs="宋体"/>
          <w:bCs/>
          <w:sz w:val="24"/>
          <w:highlight w:val="none"/>
        </w:rPr>
        <w:t>日期：  年   月  日</w:t>
      </w:r>
    </w:p>
    <w:p>
      <w:pPr>
        <w:pStyle w:val="7"/>
        <w:spacing w:line="360" w:lineRule="auto"/>
        <w:rPr>
          <w:highlight w:val="none"/>
          <w:lang w:val="fr-CH"/>
        </w:rPr>
      </w:pP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sz w:val="24"/>
          <w:highlight w:val="none"/>
          <w:lang w:val="sq-AL"/>
        </w:rPr>
        <w:br w:type="page"/>
      </w:r>
      <w:r>
        <w:rPr>
          <w:rFonts w:hint="eastAsia" w:ascii="宋体" w:hAnsi="宋体" w:cs="宋体"/>
          <w:b/>
          <w:bCs/>
          <w:sz w:val="24"/>
          <w:highlight w:val="none"/>
          <w:lang w:val="fr-CH"/>
        </w:rPr>
        <w:t>2、现状及问题分析（格式自拟）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3、研究思路（格式自拟）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4、重难点分析（格式自拟）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en-US" w:eastAsia="zh-CN"/>
        </w:rPr>
        <w:t>5、</w:t>
      </w:r>
      <w:r>
        <w:rPr>
          <w:rFonts w:hint="eastAsia" w:ascii="宋体" w:hAnsi="宋体" w:cs="宋体"/>
          <w:b/>
          <w:bCs/>
          <w:sz w:val="24"/>
          <w:highlight w:val="none"/>
          <w:lang w:val="fr-CH"/>
        </w:rPr>
        <w:t>项目质量及进度保障措施（格式自拟）</w:t>
      </w:r>
    </w:p>
    <w:p>
      <w:pPr>
        <w:rPr>
          <w:rFonts w:hint="eastAsia" w:ascii="宋体" w:hAnsi="宋体" w:cs="宋体"/>
          <w:b/>
          <w:bCs/>
          <w:sz w:val="24"/>
          <w:highlight w:val="none"/>
          <w:lang w:val="fr-CH"/>
        </w:rPr>
      </w:pPr>
      <w:r>
        <w:rPr>
          <w:rFonts w:hint="eastAsia" w:ascii="宋体" w:hAnsi="宋体" w:cs="宋体"/>
          <w:b/>
          <w:bCs/>
          <w:sz w:val="24"/>
          <w:highlight w:val="none"/>
          <w:lang w:val="fr-CH"/>
        </w:rPr>
        <w:br w:type="page"/>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6、投标单位认为有必要提供的其他材料</w:t>
      </w:r>
    </w:p>
    <w:p>
      <w:pPr>
        <w:numPr>
          <w:ilvl w:val="0"/>
          <w:numId w:val="0"/>
        </w:numPr>
        <w:spacing w:line="440" w:lineRule="exact"/>
        <w:ind w:firstLine="0" w:firstLineChars="0"/>
        <w:jc w:val="left"/>
        <w:rPr>
          <w:rFonts w:hint="eastAsia" w:ascii="宋体" w:hAnsi="宋体"/>
          <w:color w:val="000000"/>
          <w:szCs w:val="21"/>
        </w:rPr>
      </w:pPr>
      <w:r>
        <w:rPr>
          <w:rFonts w:hint="eastAsia" w:ascii="宋体" w:hAnsi="宋体" w:eastAsia="宋体" w:cs="Times New Roman"/>
          <w:color w:val="000000"/>
          <w:kern w:val="2"/>
          <w:sz w:val="21"/>
          <w:szCs w:val="21"/>
          <w:lang w:val="en-US" w:eastAsia="zh-CN" w:bidi="ar-SA"/>
        </w:rPr>
        <w:t>1、</w:t>
      </w:r>
      <w:r>
        <w:rPr>
          <w:rFonts w:hint="eastAsia" w:ascii="宋体" w:hAnsi="宋体"/>
          <w:color w:val="000000"/>
          <w:szCs w:val="21"/>
        </w:rPr>
        <w:t>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lang w:val="en-US" w:eastAsia="zh-CN"/>
        </w:rPr>
        <w:t>7</w:t>
      </w:r>
      <w:r>
        <w:rPr>
          <w:rFonts w:hint="eastAsia" w:ascii="宋体" w:hAnsi="宋体"/>
        </w:rPr>
        <w:t>.如是联合体投标的，需提供各方的。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其他招标文件要求和投标人认为有必要的内容</w:t>
      </w:r>
    </w:p>
    <w:p>
      <w:pPr>
        <w:tabs>
          <w:tab w:val="left" w:pos="640"/>
          <w:tab w:val="left" w:pos="1260"/>
          <w:tab w:val="left" w:pos="1418"/>
        </w:tabs>
        <w:spacing w:line="360" w:lineRule="auto"/>
        <w:rPr>
          <w:rFonts w:hint="eastAsia" w:ascii="宋体" w:hAnsi="宋体" w:cs="宋体"/>
          <w:b/>
          <w:bCs/>
          <w:sz w:val="24"/>
          <w:highlight w:val="none"/>
        </w:rPr>
      </w:pPr>
    </w:p>
    <w:p>
      <w:pPr>
        <w:tabs>
          <w:tab w:val="left" w:pos="640"/>
          <w:tab w:val="left" w:pos="1260"/>
          <w:tab w:val="left" w:pos="1418"/>
        </w:tabs>
        <w:spacing w:line="360" w:lineRule="auto"/>
        <w:rPr>
          <w:rFonts w:ascii="宋体" w:hAnsi="宋体" w:cs="宋体"/>
          <w:b/>
          <w:bCs/>
          <w:sz w:val="24"/>
          <w:highlight w:val="none"/>
        </w:rPr>
      </w:pPr>
      <w:r>
        <w:rPr>
          <w:rFonts w:hint="eastAsia" w:ascii="宋体" w:hAnsi="宋体" w:cs="宋体"/>
          <w:b/>
          <w:bCs/>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sz w:val="24"/>
          <w:highlight w:val="none"/>
        </w:rPr>
      </w:pPr>
      <w:r>
        <w:rPr>
          <w:rFonts w:hint="eastAsia" w:ascii="宋体" w:hAnsi="宋体" w:cs="宋体"/>
          <w:sz w:val="24"/>
          <w:highlight w:val="none"/>
          <w:lang w:val="fr-CH"/>
        </w:rPr>
        <w:br w:type="page"/>
      </w:r>
      <w:bookmarkEnd w:id="28"/>
      <w:bookmarkStart w:id="33" w:name="_Toc3166"/>
      <w:bookmarkStart w:id="34" w:name="_Toc6251"/>
      <w:r>
        <w:rPr>
          <w:rFonts w:hint="eastAsia" w:ascii="宋体" w:hAnsi="宋体" w:cs="宋体"/>
          <w:b/>
          <w:bCs/>
          <w:sz w:val="24"/>
          <w:highlight w:val="none"/>
        </w:rPr>
        <w:t>附件：相关政策</w:t>
      </w:r>
      <w:bookmarkEnd w:id="33"/>
      <w:bookmarkEnd w:id="34"/>
    </w:p>
    <w:p>
      <w:pPr>
        <w:tabs>
          <w:tab w:val="left" w:pos="360"/>
        </w:tabs>
        <w:spacing w:line="360" w:lineRule="auto"/>
        <w:outlineLvl w:val="1"/>
        <w:rPr>
          <w:rFonts w:ascii="宋体" w:hAnsi="宋体" w:cs="宋体"/>
          <w:b/>
          <w:bCs/>
          <w:sz w:val="24"/>
          <w:highlight w:val="none"/>
        </w:rPr>
      </w:pPr>
      <w:r>
        <w:rPr>
          <w:rFonts w:hint="eastAsia" w:ascii="宋体" w:hAnsi="宋体" w:cs="宋体"/>
          <w:b/>
          <w:bCs/>
          <w:sz w:val="24"/>
          <w:highlight w:val="none"/>
        </w:rPr>
        <w:t>1、财政部、工业和信息化部《关于印发〈政府采购促进中小企业发展管理办法〉的通知》（财库〔2020〕46 号）</w:t>
      </w:r>
    </w:p>
    <w:p>
      <w:pPr>
        <w:pStyle w:val="7"/>
        <w:tabs>
          <w:tab w:val="left" w:pos="562"/>
          <w:tab w:val="left" w:pos="3372"/>
          <w:tab w:val="left" w:pos="3653"/>
        </w:tabs>
        <w:spacing w:line="360" w:lineRule="auto"/>
        <w:rPr>
          <w:rFonts w:ascii="宋体" w:hAnsi="宋体" w:cs="宋体"/>
          <w:sz w:val="24"/>
          <w:highlight w:val="none"/>
        </w:rPr>
      </w:pPr>
    </w:p>
    <w:p>
      <w:pPr>
        <w:widowControl/>
        <w:shd w:val="clear" w:color="auto" w:fill="FFFFFF"/>
        <w:spacing w:line="360" w:lineRule="auto"/>
        <w:jc w:val="center"/>
        <w:rPr>
          <w:rFonts w:ascii="宋体" w:hAnsi="宋体" w:cs="宋体"/>
          <w:kern w:val="0"/>
          <w:sz w:val="24"/>
          <w:highlight w:val="none"/>
        </w:rPr>
      </w:pPr>
      <w:r>
        <w:rPr>
          <w:rFonts w:hint="eastAsia" w:ascii="宋体" w:hAnsi="宋体" w:cs="宋体"/>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kern w:val="0"/>
          <w:sz w:val="24"/>
          <w:highlight w:val="none"/>
        </w:rPr>
      </w:pPr>
      <w:r>
        <w:rPr>
          <w:rFonts w:hint="eastAsia" w:ascii="宋体" w:hAnsi="宋体" w:cs="宋体"/>
          <w:kern w:val="0"/>
          <w:sz w:val="24"/>
          <w:highlight w:val="none"/>
        </w:rPr>
        <w:t>财库〔2020〕46号</w:t>
      </w:r>
    </w:p>
    <w:p>
      <w:pPr>
        <w:widowControl/>
        <w:shd w:val="clear" w:color="auto" w:fill="FFFFFF"/>
        <w:spacing w:after="240" w:line="360" w:lineRule="auto"/>
        <w:jc w:val="left"/>
        <w:rPr>
          <w:rFonts w:ascii="宋体" w:hAnsi="宋体" w:cs="宋体"/>
          <w:kern w:val="0"/>
          <w:sz w:val="24"/>
          <w:highlight w:val="none"/>
        </w:rPr>
      </w:pPr>
      <w:r>
        <w:rPr>
          <w:rFonts w:hint="eastAsia" w:ascii="宋体" w:hAnsi="宋体" w:cs="宋体"/>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附件：政府采购促进中小企业发展管理办法</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财  政  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工业和信息化部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2020年12月18日</w:t>
      </w:r>
    </w:p>
    <w:p>
      <w:pPr>
        <w:autoSpaceDE w:val="0"/>
        <w:autoSpaceDN w:val="0"/>
        <w:adjustRightInd w:val="0"/>
        <w:spacing w:line="360" w:lineRule="auto"/>
        <w:jc w:val="left"/>
        <w:rPr>
          <w:rFonts w:ascii="宋体" w:hAnsi="宋体" w:cs="宋体"/>
          <w:kern w:val="0"/>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rPr>
        <w:t>政府采购促进中小企业发展管理办法</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第一条 为了发挥政府采购的政策功能，促进中小企业健康发展，根据《中华人民共和国政府采购法》、《中华人民共和国中小企业促进法》等有关法律法规，制定本办法。</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第四条 在政府采购活动中，供应商提供的货物、工程或者服务符合下列情形的，享受本办法规定的中小企业扶持政策：</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（一）在货物采购项目中，货物由中小企业制造，即货 物由中小企业生产且使用该中小企业商号或者注册商标；</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（二）在工程采购项目中，工程由中小企业承建，即工 程施工单位为中小企业；</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（三）在服务采购项目中，服务由中小企业承接，即提供服务的人员为中小企业依照《中华人民共和国劳动合同法》订立劳动合同的从业人员。</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在货物采购项目中，供应商提供的货物既有中小企业制造货物，也有大型企业制造货物的，不享受本办法规定的中小企业扶持政策。</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7"/>
        <w:tabs>
          <w:tab w:val="left" w:pos="562"/>
          <w:tab w:val="left" w:pos="3372"/>
          <w:tab w:val="left" w:pos="3653"/>
        </w:tabs>
        <w:spacing w:line="360" w:lineRule="auto"/>
        <w:ind w:firstLine="480" w:firstLineChars="200"/>
        <w:rPr>
          <w:rFonts w:ascii="宋体" w:hAnsi="宋体" w:cs="宋体"/>
          <w:sz w:val="24"/>
          <w:highlight w:val="none"/>
        </w:rPr>
      </w:pPr>
      <w:r>
        <w:rPr>
          <w:rFonts w:hint="eastAsia" w:ascii="宋体" w:hAnsi="宋体" w:cs="宋体"/>
          <w:kern w:val="0"/>
          <w:sz w:val="24"/>
          <w:highlight w:val="none"/>
        </w:rPr>
        <w:t>符合下列情形之一的，可不专门面向中小企业预留采购</w:t>
      </w:r>
      <w:r>
        <w:rPr>
          <w:rFonts w:hint="eastAsia" w:ascii="宋体" w:hAnsi="宋体" w:cs="宋体"/>
          <w:sz w:val="24"/>
          <w:highlight w:val="none"/>
        </w:rPr>
        <w:t>份额：</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（一）法律法规和国家有关政策明确规定优先或者应当面向事业单位、社会组织等非企业主体采购的；</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（二）因确需使用不可替代的专利、专有技术，基础设施限制，或者提供特定公共服务等原因，只能从中小企业之外的供应商处采购的；</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（三）按照本办法规定预留采购份额无法确保充分供应、充分竞争，或者存在可能影响政府采购目标实现的情形；</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（四）框架协议采购项目；</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（五）省级以上人民政府财政部门规定的其他情形。 除上述情形外，其他均为适宜由中小企业提供的情形。</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第七条</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采购限额标准以上，200万元以下的货物和服务采购项目、400 万元以下的工程采购项目，适宜由中小企业提供的，采购人应当专门面向中小企业采购。</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（一）将采购项目整体或者设置采购包专门面向中小企业采购；</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（二）要求供应商以联合体形式参加采购活动，且联合体中中小企业承担的部分达到一定比例；</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（三）要求获得采购合同的供应商将采购项目中的一定比例分包给一家或者多家中小企业。</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组成联合体或者接受分包合同的中小企业与联合体内 其他企业、分包企业之间不得存在直接控股、管理关系。</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第十二条 采购项目涉及中小企业采购的，采购文件应当明确以下内容：</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（一）预留份额的采购项目或者采购包，明确该项目或相关采购包专门面向中小企业采购，以及相关标的及预算金额；</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（二）要求以联合体形式参加或者合同分包的，明确联合协议或者分包意向协议中中小企业合同金额应当达到的 比例，并作为供应商资格条件；</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（三）非预留份额的采购项目或者采购包，明确有关价格扣除比例或者价格分加分比例；</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（四）规定依据本办法规定享受扶持政策获得政府采购合同的，小微企业不得将合同分包给大中型企业，中型企业不得将合同分包给大型企业；</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（五）采购人认为具备相关条件的，明确对中小企业在资金支付期限、预付款比例等方面的优惠措施；</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（六）明确采购标的对应的中小企业划分标准所属行业；</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（七）法律法规和省级以上人民政府财政部门规定的其他事项。</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第十三条 中标、成交供应商享受本办法规定的中小企业扶持政策的，采购人、采购代理机构应当随中标、成交结果公开中标、成交供应商的《中小企业声明函》。</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适用招标投标法的政府采购工程建设项目，应当在公示中标候选人时公开中标候选人的《中小企业声明函》。</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中小企业主管部门应当在收到财政部门或者有关招标 投标行政监督部门关于协助开展中小企业认定函后 10 个工作日内做出书面答复。</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第二十条 供应商按照本办法规定提供声明函内容不实的，属于提供虚假材料谋取中标、成交，依照《中华人民共和国政府采购法》等国家有关规定追究相应责任。</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第二十二条 对外援助项目、国家相关资格或者资质管理制度另有规定的项目，不适用本办法。</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第二十三条 关于视同中小企业的其他主体的政府采购扶持政策，由财政部会同有关部门另行规定。</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第二十四条 省级财政部门可以会同中小企业主管部门根据本办法的规定制定具体实施办法。</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第二十五条 本办法自 2021 年 1 月 1 日起施行。《财政部 工业和信息化部关于印发〈政府采购促进中小企业发展暂行办法〉的通知》（财库﹝2011﹞181 号）同时废止。</w:t>
      </w:r>
    </w:p>
    <w:p>
      <w:pPr>
        <w:pStyle w:val="7"/>
        <w:tabs>
          <w:tab w:val="left" w:pos="562"/>
          <w:tab w:val="left" w:pos="3372"/>
          <w:tab w:val="left" w:pos="3653"/>
        </w:tabs>
        <w:spacing w:before="5" w:line="360" w:lineRule="auto"/>
        <w:rPr>
          <w:rFonts w:ascii="宋体" w:hAnsi="宋体" w:cs="宋体"/>
          <w:sz w:val="24"/>
          <w:highlight w:val="none"/>
        </w:rPr>
      </w:pP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附：1.中小企业声明函</w:t>
      </w:r>
    </w:p>
    <w:p>
      <w:pPr>
        <w:pStyle w:val="7"/>
        <w:tabs>
          <w:tab w:val="left" w:pos="562"/>
          <w:tab w:val="left" w:pos="3372"/>
          <w:tab w:val="left" w:pos="3653"/>
        </w:tabs>
        <w:spacing w:line="360" w:lineRule="auto"/>
        <w:ind w:firstLine="960" w:firstLineChars="400"/>
        <w:rPr>
          <w:rFonts w:ascii="宋体" w:hAnsi="宋体" w:cs="宋体"/>
          <w:kern w:val="0"/>
          <w:sz w:val="24"/>
          <w:highlight w:val="none"/>
        </w:rPr>
      </w:pPr>
      <w:r>
        <w:rPr>
          <w:rFonts w:hint="eastAsia" w:ascii="宋体" w:hAnsi="宋体" w:cs="宋体"/>
          <w:kern w:val="0"/>
          <w:sz w:val="24"/>
          <w:highlight w:val="none"/>
        </w:rPr>
        <w:t>2.面向中小企业预留项目执行情况公告</w:t>
      </w:r>
    </w:p>
    <w:p>
      <w:pPr>
        <w:pStyle w:val="7"/>
        <w:tabs>
          <w:tab w:val="left" w:pos="562"/>
          <w:tab w:val="left" w:pos="3372"/>
          <w:tab w:val="left" w:pos="3653"/>
        </w:tabs>
        <w:spacing w:before="30" w:line="360" w:lineRule="auto"/>
        <w:outlineLvl w:val="0"/>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 1</w:t>
      </w:r>
    </w:p>
    <w:p>
      <w:pPr>
        <w:spacing w:after="319" w:afterLines="100" w:line="360" w:lineRule="auto"/>
        <w:jc w:val="center"/>
        <w:outlineLvl w:val="0"/>
        <w:rPr>
          <w:rFonts w:ascii="宋体" w:hAnsi="宋体" w:cs="宋体"/>
          <w:sz w:val="24"/>
          <w:highlight w:val="none"/>
        </w:rPr>
      </w:pPr>
      <w:r>
        <w:rPr>
          <w:rFonts w:hint="eastAsia" w:ascii="宋体" w:hAnsi="宋体" w:cs="宋体"/>
          <w:sz w:val="24"/>
          <w:highlight w:val="none"/>
        </w:rPr>
        <w:t>中小企业声明函（货物）</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）采购活动，提供的货物全部由符合政策要求的中小企业制造。相关企业（含联合体中的中小企业、签订分包意向协议的中小企业） 的具体情况如下：</w:t>
      </w:r>
    </w:p>
    <w:p>
      <w:pPr>
        <w:pStyle w:val="7"/>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u w:val="single"/>
        </w:rPr>
        <w:t>标的名称</w:t>
      </w:r>
      <w:r>
        <w:rPr>
          <w:rFonts w:hint="eastAsia" w:ascii="宋体" w:hAnsi="宋体" w:cs="宋体"/>
          <w:kern w:val="0"/>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kern w:val="0"/>
          <w:sz w:val="24"/>
          <w:highlight w:val="none"/>
        </w:rPr>
        <w:t>）；制造商为（</w:t>
      </w:r>
      <w:r>
        <w:rPr>
          <w:rFonts w:hint="eastAsia" w:ascii="宋体" w:hAnsi="宋体" w:cs="宋体"/>
          <w:kern w:val="0"/>
          <w:sz w:val="24"/>
          <w:highlight w:val="none"/>
          <w:u w:val="single"/>
        </w:rPr>
        <w:t>企业名称</w:t>
      </w:r>
      <w:r>
        <w:rPr>
          <w:rFonts w:hint="eastAsia" w:ascii="宋体" w:hAnsi="宋体" w:cs="宋体"/>
          <w:kern w:val="0"/>
          <w:sz w:val="24"/>
          <w:highlight w:val="none"/>
        </w:rPr>
        <w:t>），从业人员</w:t>
      </w:r>
      <w:r>
        <w:rPr>
          <w:rFonts w:hint="eastAsia" w:ascii="宋体" w:hAnsi="宋体" w:cs="宋体"/>
          <w:kern w:val="0"/>
          <w:sz w:val="24"/>
          <w:highlight w:val="none"/>
          <w:u w:val="single"/>
        </w:rPr>
        <w:tab/>
      </w:r>
      <w:r>
        <w:rPr>
          <w:rFonts w:hint="eastAsia" w:ascii="宋体" w:hAnsi="宋体" w:cs="宋体"/>
          <w:kern w:val="0"/>
          <w:sz w:val="24"/>
          <w:highlight w:val="none"/>
        </w:rPr>
        <w:t xml:space="preserve">人，营业收入为 </w:t>
      </w:r>
      <w:r>
        <w:rPr>
          <w:rFonts w:hint="eastAsia" w:ascii="宋体" w:hAnsi="宋体" w:cs="宋体"/>
          <w:kern w:val="0"/>
          <w:sz w:val="24"/>
          <w:highlight w:val="none"/>
          <w:u w:val="single"/>
        </w:rPr>
        <w:tab/>
      </w:r>
      <w:r>
        <w:rPr>
          <w:rFonts w:hint="eastAsia" w:ascii="宋体" w:hAnsi="宋体" w:cs="宋体"/>
          <w:kern w:val="0"/>
          <w:sz w:val="24"/>
          <w:highlight w:val="none"/>
        </w:rPr>
        <w:t>万元，资产总额为</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cs="宋体"/>
          <w:kern w:val="0"/>
          <w:sz w:val="24"/>
          <w:highlight w:val="none"/>
          <w:u w:val="single"/>
        </w:rPr>
        <w:t>中型企业、小型企业、微型企业</w:t>
      </w:r>
      <w:r>
        <w:rPr>
          <w:rFonts w:hint="eastAsia" w:ascii="宋体" w:hAnsi="宋体" w:cs="宋体"/>
          <w:kern w:val="0"/>
          <w:sz w:val="24"/>
          <w:highlight w:val="none"/>
        </w:rPr>
        <w:t>）；</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spacing w:val="-2"/>
          <w:sz w:val="24"/>
          <w:highlight w:val="none"/>
        </w:rPr>
        <w:t>）；制造商为（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spacing w:line="360" w:lineRule="auto"/>
        <w:ind w:left="4200" w:leftChars="2000"/>
        <w:rPr>
          <w:rFonts w:ascii="宋体" w:hAnsi="宋体" w:cs="宋体"/>
          <w:sz w:val="24"/>
          <w:highlight w:val="none"/>
        </w:rPr>
      </w:pPr>
      <w:r>
        <w:rPr>
          <w:rFonts w:hint="eastAsia" w:ascii="宋体" w:hAnsi="宋体" w:cs="宋体"/>
          <w:spacing w:val="-2"/>
          <w:sz w:val="24"/>
          <w:highlight w:val="none"/>
        </w:rPr>
        <w:t>企业名称（盖章）日期：</w:t>
      </w:r>
    </w:p>
    <w:p>
      <w:pPr>
        <w:pStyle w:val="7"/>
        <w:tabs>
          <w:tab w:val="left" w:pos="562"/>
          <w:tab w:val="left" w:pos="3372"/>
          <w:tab w:val="left" w:pos="3653"/>
        </w:tabs>
        <w:spacing w:line="360" w:lineRule="auto"/>
        <w:jc w:val="left"/>
        <w:rPr>
          <w:rFonts w:ascii="宋体" w:hAnsi="宋体" w:cs="宋体"/>
          <w:spacing w:val="-2"/>
          <w:sz w:val="24"/>
          <w:highlight w:val="none"/>
        </w:rPr>
      </w:pPr>
      <w:r>
        <w:rPr>
          <w:rFonts w:hint="eastAsia" w:ascii="宋体" w:hAnsi="宋体" w:cs="宋体"/>
          <w:spacing w:val="-2"/>
          <w:sz w:val="24"/>
          <w:highlight w:val="none"/>
        </w:rPr>
        <w:t>从业人员、营业收入、资产总额填报上一年度数据，无上一年度数据的新成立企业可不填报。</w:t>
      </w:r>
    </w:p>
    <w:p>
      <w:pPr>
        <w:spacing w:after="319" w:afterLines="100" w:line="360" w:lineRule="auto"/>
        <w:jc w:val="center"/>
        <w:outlineLvl w:val="0"/>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中小企业声明函（工程、服务）</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1、（</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 ；承建（承接）企业为（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7"/>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spacing w:line="360" w:lineRule="auto"/>
        <w:ind w:left="4200" w:leftChars="2000"/>
        <w:rPr>
          <w:rFonts w:ascii="宋体" w:hAnsi="宋体" w:cs="宋体"/>
          <w:spacing w:val="-2"/>
          <w:sz w:val="24"/>
          <w:highlight w:val="none"/>
        </w:rPr>
      </w:pPr>
    </w:p>
    <w:p>
      <w:pPr>
        <w:pStyle w:val="7"/>
        <w:tabs>
          <w:tab w:val="left" w:pos="562"/>
          <w:tab w:val="left" w:pos="3372"/>
          <w:tab w:val="left" w:pos="3653"/>
        </w:tabs>
        <w:spacing w:line="360" w:lineRule="auto"/>
        <w:ind w:left="4200" w:leftChars="2000"/>
        <w:rPr>
          <w:rFonts w:ascii="宋体" w:hAnsi="宋体" w:cs="宋体"/>
          <w:spacing w:val="-2"/>
          <w:sz w:val="24"/>
          <w:highlight w:val="none"/>
        </w:rPr>
      </w:pPr>
      <w:r>
        <w:rPr>
          <w:rFonts w:hint="eastAsia" w:ascii="宋体" w:hAnsi="宋体" w:cs="宋体"/>
          <w:spacing w:val="-2"/>
          <w:sz w:val="24"/>
          <w:highlight w:val="none"/>
        </w:rPr>
        <w:t>企业名称（盖章）日期：</w:t>
      </w:r>
    </w:p>
    <w:p>
      <w:pPr>
        <w:pStyle w:val="7"/>
        <w:tabs>
          <w:tab w:val="left" w:pos="562"/>
          <w:tab w:val="left" w:pos="3372"/>
          <w:tab w:val="left" w:pos="3653"/>
        </w:tabs>
        <w:spacing w:before="30" w:line="360" w:lineRule="auto"/>
        <w:rPr>
          <w:rFonts w:ascii="宋体" w:hAnsi="宋体" w:cs="宋体"/>
          <w:sz w:val="24"/>
          <w:highlight w:val="none"/>
        </w:rPr>
      </w:pPr>
      <w:r>
        <w:rPr>
          <w:rFonts w:hint="eastAsia" w:ascii="宋体" w:hAnsi="宋体" w:cs="宋体"/>
          <w:spacing w:val="-2"/>
          <w:sz w:val="24"/>
          <w:highlight w:val="none"/>
        </w:rPr>
        <w:t>从业人员、营业收入、资产总额填报上一年度数据，无上一年度数据的新成立企业可不填报。</w:t>
      </w:r>
      <w:r>
        <w:rPr>
          <w:rFonts w:hint="eastAsia" w:ascii="宋体" w:hAnsi="宋体" w:cs="宋体"/>
          <w:sz w:val="24"/>
          <w:highlight w:val="none"/>
        </w:rPr>
        <w:br w:type="page"/>
      </w:r>
      <w:r>
        <w:rPr>
          <w:rFonts w:hint="eastAsia" w:ascii="宋体" w:hAnsi="宋体" w:cs="宋体"/>
          <w:b/>
          <w:bCs/>
          <w:sz w:val="24"/>
          <w:highlight w:val="none"/>
        </w:rPr>
        <w:t>附 2</w:t>
      </w:r>
    </w:p>
    <w:p>
      <w:pPr>
        <w:jc w:val="center"/>
        <w:outlineLvl w:val="1"/>
        <w:rPr>
          <w:rFonts w:ascii="宋体" w:hAnsi="宋体" w:cs="宋体"/>
          <w:b/>
          <w:sz w:val="24"/>
          <w:highlight w:val="none"/>
        </w:rPr>
      </w:pPr>
      <w:r>
        <w:rPr>
          <w:rFonts w:hint="eastAsia" w:ascii="宋体" w:hAnsi="宋体" w:cs="宋体"/>
          <w:spacing w:val="-3"/>
          <w:sz w:val="24"/>
          <w:highlight w:val="none"/>
          <w:u w:val="single" w:color="000000"/>
        </w:rPr>
        <w:t>（单位名称）</w:t>
      </w:r>
      <w:r>
        <w:rPr>
          <w:rFonts w:hint="eastAsia" w:ascii="宋体" w:hAnsi="宋体" w:cs="宋体"/>
          <w:spacing w:val="-29"/>
          <w:sz w:val="24"/>
          <w:highlight w:val="none"/>
        </w:rPr>
        <w:t>××</w:t>
      </w:r>
      <w:r>
        <w:rPr>
          <w:rFonts w:hint="eastAsia" w:ascii="宋体" w:hAnsi="宋体" w:cs="宋体"/>
          <w:b/>
          <w:sz w:val="24"/>
          <w:highlight w:val="none"/>
        </w:rPr>
        <w:t>年面向中小企业预留项目执行情况公告</w:t>
      </w:r>
    </w:p>
    <w:p>
      <w:pPr>
        <w:pStyle w:val="7"/>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根据《政府采购促进中小企业发展管理办法》（财库﹝2020﹞46</w:t>
      </w:r>
      <w:r>
        <w:rPr>
          <w:rFonts w:hint="eastAsia" w:ascii="宋体" w:hAnsi="宋体" w:cs="宋体"/>
          <w:spacing w:val="-47"/>
          <w:sz w:val="24"/>
          <w:highlight w:val="none"/>
        </w:rPr>
        <w:t xml:space="preserve"> 号</w:t>
      </w:r>
      <w:r>
        <w:rPr>
          <w:rFonts w:hint="eastAsia" w:ascii="宋体" w:hAnsi="宋体" w:cs="宋体"/>
          <w:spacing w:val="-22"/>
          <w:sz w:val="24"/>
          <w:highlight w:val="none"/>
        </w:rPr>
        <w:t>）</w:t>
      </w:r>
      <w:r>
        <w:rPr>
          <w:rFonts w:hint="eastAsia" w:ascii="宋体" w:hAnsi="宋体" w:cs="宋体"/>
          <w:spacing w:val="-7"/>
          <w:sz w:val="24"/>
          <w:highlight w:val="none"/>
        </w:rPr>
        <w:t>要求，现对本部门</w:t>
      </w:r>
      <w:r>
        <w:rPr>
          <w:rFonts w:hint="eastAsia" w:ascii="宋体" w:hAnsi="宋体" w:cs="宋体"/>
          <w:spacing w:val="-3"/>
          <w:sz w:val="24"/>
          <w:highlight w:val="none"/>
        </w:rPr>
        <w:t>（</w:t>
      </w:r>
      <w:r>
        <w:rPr>
          <w:rFonts w:hint="eastAsia" w:ascii="宋体" w:hAnsi="宋体" w:cs="宋体"/>
          <w:sz w:val="24"/>
          <w:highlight w:val="none"/>
        </w:rPr>
        <w:t>单位</w:t>
      </w:r>
      <w:r>
        <w:rPr>
          <w:rFonts w:hint="eastAsia" w:ascii="宋体" w:hAnsi="宋体" w:cs="宋体"/>
          <w:spacing w:val="-7"/>
          <w:sz w:val="24"/>
          <w:highlight w:val="none"/>
        </w:rPr>
        <w:t>）</w:t>
      </w:r>
      <w:r>
        <w:rPr>
          <w:rFonts w:hint="eastAsia" w:ascii="宋体" w:hAnsi="宋体" w:cs="宋体"/>
          <w:spacing w:val="-4"/>
          <w:sz w:val="24"/>
          <w:highlight w:val="none"/>
        </w:rPr>
        <w:t>××年面向中小企业预留项目执行情况公告如下：</w:t>
      </w:r>
    </w:p>
    <w:p>
      <w:pPr>
        <w:pStyle w:val="7"/>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本部门（单位）××年预留项目面向中小企业采购共计××万元，其中，面向小微企业采购××万元，占××%。</w:t>
      </w:r>
    </w:p>
    <w:p>
      <w:pPr>
        <w:pStyle w:val="7"/>
        <w:tabs>
          <w:tab w:val="left" w:pos="562"/>
          <w:tab w:val="left" w:pos="3372"/>
          <w:tab w:val="left" w:pos="3653"/>
        </w:tabs>
        <w:jc w:val="center"/>
        <w:outlineLvl w:val="1"/>
        <w:rPr>
          <w:rFonts w:ascii="宋体" w:hAnsi="宋体" w:cs="宋体"/>
          <w:b/>
          <w:bCs/>
          <w:sz w:val="24"/>
          <w:highlight w:val="none"/>
        </w:rPr>
      </w:pPr>
      <w:r>
        <w:rPr>
          <w:rFonts w:hint="eastAsia" w:ascii="宋体" w:hAnsi="宋体" w:cs="宋体"/>
          <w:b/>
          <w:bCs/>
          <w:sz w:val="24"/>
          <w:highlight w:val="none"/>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序号</w:t>
            </w:r>
          </w:p>
        </w:tc>
        <w:tc>
          <w:tcPr>
            <w:tcW w:w="1866" w:type="dxa"/>
            <w:vAlign w:val="center"/>
          </w:tcPr>
          <w:p>
            <w:pPr>
              <w:pStyle w:val="32"/>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项目名称</w:t>
            </w:r>
          </w:p>
        </w:tc>
        <w:tc>
          <w:tcPr>
            <w:tcW w:w="2010" w:type="dxa"/>
            <w:vAlign w:val="center"/>
          </w:tcPr>
          <w:p>
            <w:pPr>
              <w:pStyle w:val="32"/>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预留选项</w:t>
            </w:r>
          </w:p>
        </w:tc>
        <w:tc>
          <w:tcPr>
            <w:tcW w:w="2296" w:type="dxa"/>
            <w:vAlign w:val="center"/>
          </w:tcPr>
          <w:p>
            <w:pPr>
              <w:pStyle w:val="32"/>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面向中小企业采购金额</w:t>
            </w:r>
          </w:p>
        </w:tc>
        <w:tc>
          <w:tcPr>
            <w:tcW w:w="1784" w:type="dxa"/>
            <w:vAlign w:val="center"/>
          </w:tcPr>
          <w:p>
            <w:pPr>
              <w:pStyle w:val="32"/>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866" w:type="dxa"/>
            <w:tcBorders>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（填写“采购项</w:t>
            </w:r>
          </w:p>
        </w:tc>
        <w:tc>
          <w:tcPr>
            <w:tcW w:w="2296" w:type="dxa"/>
            <w:tcBorders>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restart"/>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p>
            <w:pPr>
              <w:pStyle w:val="32"/>
              <w:keepNext w:val="0"/>
              <w:keepLines w:val="0"/>
              <w:suppressLineNumbers w:val="0"/>
              <w:spacing w:before="0" w:beforeAutospacing="0" w:after="0" w:afterAutospacing="0"/>
              <w:ind w:left="0" w:right="0"/>
              <w:jc w:val="center"/>
              <w:rPr>
                <w:rFonts w:hint="default"/>
                <w:sz w:val="24"/>
                <w:szCs w:val="24"/>
                <w:highlight w:val="none"/>
              </w:rPr>
            </w:pPr>
          </w:p>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目整体预留”、</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“设置专门采购</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（填写集中采</w:t>
            </w: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包”、“要求以</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购目录以内或</w:t>
            </w: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联合体形式参</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者采购限额标</w:t>
            </w: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加”或者“要求</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准以上的采购项目</w:t>
            </w: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合同分包”，除</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“采购项目全部</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预留”外，还应</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当填写预留给中</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小企业的比例）</w:t>
            </w:r>
          </w:p>
        </w:tc>
        <w:tc>
          <w:tcPr>
            <w:tcW w:w="2296" w:type="dxa"/>
            <w:tcBorders>
              <w:top w:val="nil"/>
            </w:tcBorders>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866" w:type="dxa"/>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010" w:type="dxa"/>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296" w:type="dxa"/>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784" w:type="dxa"/>
            <w:vAlign w:val="center"/>
          </w:tcPr>
          <w:p>
            <w:pPr>
              <w:pStyle w:val="32"/>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r>
    </w:tbl>
    <w:p>
      <w:pPr>
        <w:pStyle w:val="7"/>
        <w:tabs>
          <w:tab w:val="left" w:pos="562"/>
          <w:tab w:val="left" w:pos="3372"/>
          <w:tab w:val="left" w:pos="3653"/>
        </w:tabs>
        <w:spacing w:before="128"/>
        <w:ind w:left="4220" w:right="1843"/>
        <w:rPr>
          <w:rFonts w:hint="eastAsia" w:ascii="宋体" w:hAnsi="宋体" w:cs="宋体"/>
          <w:sz w:val="24"/>
          <w:highlight w:val="none"/>
        </w:rPr>
      </w:pPr>
    </w:p>
    <w:p>
      <w:pPr>
        <w:pStyle w:val="7"/>
        <w:tabs>
          <w:tab w:val="left" w:pos="562"/>
          <w:tab w:val="left" w:pos="3372"/>
          <w:tab w:val="left" w:pos="3653"/>
        </w:tabs>
        <w:spacing w:before="128"/>
        <w:ind w:left="4220" w:right="1843"/>
        <w:rPr>
          <w:rFonts w:hint="eastAsia" w:ascii="宋体" w:hAnsi="宋体" w:cs="宋体"/>
          <w:sz w:val="24"/>
          <w:highlight w:val="none"/>
        </w:rPr>
      </w:pPr>
      <w:r>
        <w:rPr>
          <w:rFonts w:hint="eastAsia" w:ascii="宋体" w:hAnsi="宋体" w:cs="宋体"/>
          <w:sz w:val="24"/>
          <w:highlight w:val="none"/>
        </w:rPr>
        <w:t xml:space="preserve">部门（单位）名称： </w:t>
      </w:r>
    </w:p>
    <w:p>
      <w:pPr>
        <w:pStyle w:val="7"/>
        <w:tabs>
          <w:tab w:val="left" w:pos="562"/>
          <w:tab w:val="left" w:pos="3372"/>
          <w:tab w:val="left" w:pos="3653"/>
        </w:tabs>
        <w:spacing w:before="128"/>
        <w:ind w:left="4220" w:right="1843"/>
        <w:rPr>
          <w:rFonts w:ascii="宋体" w:hAnsi="宋体" w:cs="宋体"/>
          <w:sz w:val="24"/>
          <w:highlight w:val="none"/>
        </w:rPr>
      </w:pPr>
      <w:r>
        <w:rPr>
          <w:rFonts w:hint="eastAsia" w:ascii="宋体" w:hAnsi="宋体" w:cs="宋体"/>
          <w:sz w:val="24"/>
          <w:highlight w:val="none"/>
        </w:rPr>
        <w:t>日期：</w:t>
      </w:r>
    </w:p>
    <w:p>
      <w:pPr>
        <w:pStyle w:val="7"/>
        <w:tabs>
          <w:tab w:val="left" w:pos="562"/>
          <w:tab w:val="left" w:pos="3372"/>
          <w:tab w:val="left" w:pos="3653"/>
        </w:tabs>
        <w:rPr>
          <w:rFonts w:ascii="宋体" w:hAnsi="宋体" w:cs="宋体"/>
          <w:sz w:val="24"/>
          <w:highlight w:val="none"/>
        </w:rPr>
      </w:pPr>
    </w:p>
    <w:p>
      <w:pPr>
        <w:pStyle w:val="19"/>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2、工业</w:t>
      </w:r>
      <w:r>
        <w:rPr>
          <w:rFonts w:hint="eastAsia" w:ascii="宋体" w:hAnsi="宋体" w:cs="宋体"/>
          <w:b/>
          <w:bCs/>
          <w:sz w:val="24"/>
          <w:highlight w:val="none"/>
          <w:lang w:val="en-US" w:eastAsia="zh-CN"/>
        </w:rPr>
        <w:t>和</w:t>
      </w:r>
      <w:r>
        <w:rPr>
          <w:rFonts w:hint="eastAsia" w:ascii="宋体" w:hAnsi="宋体" w:cs="宋体"/>
          <w:b/>
          <w:bCs/>
          <w:sz w:val="24"/>
          <w:highlight w:val="none"/>
        </w:rPr>
        <w:t>信息化部、国家统计局、国家发展和改革委员会、财政部《关于印发〈中小企业划型标准规定〉的通知》（工信部联企〔2011〕300 号）</w:t>
      </w:r>
    </w:p>
    <w:p>
      <w:pPr>
        <w:pStyle w:val="7"/>
        <w:tabs>
          <w:tab w:val="left" w:pos="562"/>
          <w:tab w:val="left" w:pos="3372"/>
          <w:tab w:val="left" w:pos="3653"/>
        </w:tabs>
        <w:spacing w:line="360" w:lineRule="auto"/>
        <w:rPr>
          <w:rFonts w:ascii="宋体" w:hAnsi="宋体" w:cs="宋体"/>
          <w:sz w:val="24"/>
          <w:highlight w:val="none"/>
        </w:rPr>
      </w:pPr>
    </w:p>
    <w:p>
      <w:pPr>
        <w:spacing w:line="360" w:lineRule="auto"/>
        <w:jc w:val="center"/>
        <w:outlineLvl w:val="1"/>
        <w:rPr>
          <w:rFonts w:ascii="宋体" w:hAnsi="宋体" w:cs="宋体"/>
          <w:b/>
          <w:bCs/>
          <w:sz w:val="24"/>
          <w:highlight w:val="none"/>
        </w:rPr>
      </w:pPr>
      <w:r>
        <w:rPr>
          <w:rFonts w:hint="eastAsia" w:ascii="宋体" w:hAnsi="宋体" w:cs="宋体"/>
          <w:b/>
          <w:bCs/>
          <w:sz w:val="24"/>
          <w:highlight w:val="none"/>
        </w:rPr>
        <w:t>关于印发中小企业划型标准规定的通知</w:t>
      </w:r>
    </w:p>
    <w:p>
      <w:pPr>
        <w:spacing w:line="360" w:lineRule="auto"/>
        <w:jc w:val="center"/>
        <w:outlineLvl w:val="0"/>
        <w:rPr>
          <w:rFonts w:ascii="宋体" w:hAnsi="宋体" w:cs="宋体"/>
          <w:sz w:val="24"/>
          <w:highlight w:val="none"/>
        </w:rPr>
      </w:pPr>
      <w:r>
        <w:rPr>
          <w:rFonts w:hint="eastAsia" w:ascii="宋体" w:hAnsi="宋体" w:cs="宋体"/>
          <w:sz w:val="24"/>
          <w:highlight w:val="none"/>
        </w:rPr>
        <w:t>工信部联企业〔2011〕300号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各省、自治区、直辖市人民政府，国务院各部委、各直属机构及有关单位：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工业和信息化部 国家统计局</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国家发展和改革委员会 财政部</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二○一一年六月十八日</w:t>
      </w:r>
    </w:p>
    <w:p>
      <w:pPr>
        <w:spacing w:line="360" w:lineRule="auto"/>
        <w:ind w:firstLine="480" w:firstLineChars="200"/>
        <w:rPr>
          <w:rFonts w:ascii="宋体" w:hAnsi="宋体" w:cs="宋体"/>
          <w:sz w:val="24"/>
          <w:highlight w:val="none"/>
        </w:rPr>
      </w:pPr>
    </w:p>
    <w:p>
      <w:pPr>
        <w:pStyle w:val="7"/>
        <w:rPr>
          <w:rFonts w:ascii="宋体" w:hAnsi="宋体" w:cs="宋体"/>
          <w:sz w:val="24"/>
          <w:highlight w:val="none"/>
        </w:rPr>
      </w:pPr>
    </w:p>
    <w:p>
      <w:pPr>
        <w:rPr>
          <w:rFonts w:ascii="宋体" w:hAnsi="宋体" w:cs="宋体"/>
          <w:sz w:val="24"/>
          <w:highlight w:val="none"/>
        </w:rPr>
      </w:pPr>
    </w:p>
    <w:p>
      <w:pPr>
        <w:pStyle w:val="7"/>
        <w:rPr>
          <w:rFonts w:ascii="宋体" w:hAnsi="宋体" w:cs="宋体"/>
          <w:sz w:val="24"/>
          <w:highlight w:val="none"/>
        </w:rPr>
      </w:pPr>
    </w:p>
    <w:p>
      <w:pPr>
        <w:rPr>
          <w:rFonts w:ascii="宋体" w:hAnsi="宋体" w:cs="宋体"/>
          <w:sz w:val="24"/>
          <w:highlight w:val="none"/>
        </w:rPr>
      </w:pPr>
    </w:p>
    <w:p>
      <w:pPr>
        <w:rPr>
          <w:highlight w:val="none"/>
        </w:rPr>
      </w:pPr>
    </w:p>
    <w:p>
      <w:pPr>
        <w:pStyle w:val="7"/>
        <w:rPr>
          <w:highlight w:val="none"/>
        </w:rPr>
      </w:pP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outlineLvl w:val="1"/>
        <w:rPr>
          <w:rFonts w:ascii="宋体" w:hAnsi="宋体" w:cs="宋体"/>
          <w:b/>
          <w:bCs/>
          <w:sz w:val="24"/>
          <w:highlight w:val="none"/>
        </w:rPr>
      </w:pPr>
      <w:r>
        <w:rPr>
          <w:rFonts w:hint="eastAsia" w:ascii="宋体" w:hAnsi="宋体" w:cs="宋体"/>
          <w:b/>
          <w:bCs/>
          <w:sz w:val="24"/>
          <w:highlight w:val="none"/>
        </w:rPr>
        <w:t xml:space="preserve">中小企业划型标准规定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四、各行业划型标准为：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五、企业类型的划分以统计部门的统计数据为依据。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九、本规定由工业和信息化部、国家统计局会同有关部门负责解释。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sz w:val="24"/>
          <w:highlight w:val="none"/>
        </w:rPr>
      </w:pPr>
    </w:p>
    <w:p>
      <w:pPr>
        <w:pStyle w:val="19"/>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kern w:val="0"/>
          <w:sz w:val="24"/>
          <w:highlight w:val="none"/>
        </w:rPr>
      </w:pPr>
    </w:p>
    <w:p>
      <w:pPr>
        <w:widowControl/>
        <w:shd w:val="clear" w:color="auto" w:fill="FFFFFF"/>
        <w:spacing w:line="360" w:lineRule="auto"/>
        <w:jc w:val="center"/>
        <w:outlineLvl w:val="1"/>
        <w:rPr>
          <w:rFonts w:ascii="宋体" w:hAnsi="宋体" w:cs="宋体"/>
          <w:b/>
          <w:kern w:val="0"/>
          <w:sz w:val="24"/>
          <w:highlight w:val="none"/>
        </w:rPr>
      </w:pPr>
      <w:r>
        <w:rPr>
          <w:rFonts w:hint="eastAsia" w:ascii="宋体" w:hAnsi="宋体" w:cs="宋体"/>
          <w:b/>
          <w:bCs/>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国家统计局</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2017年12月28日</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pStyle w:val="7"/>
        <w:rPr>
          <w:rFonts w:ascii="宋体" w:hAnsi="宋体" w:cs="宋体"/>
          <w:kern w:val="0"/>
          <w:sz w:val="24"/>
          <w:highlight w:val="none"/>
        </w:rPr>
      </w:pPr>
    </w:p>
    <w:p>
      <w:pPr>
        <w:rPr>
          <w:rFonts w:ascii="宋体" w:hAnsi="宋体" w:cs="宋体"/>
          <w:kern w:val="0"/>
          <w:sz w:val="24"/>
          <w:highlight w:val="none"/>
        </w:rPr>
      </w:pPr>
    </w:p>
    <w:p>
      <w:pPr>
        <w:pStyle w:val="7"/>
        <w:rPr>
          <w:rFonts w:ascii="宋体" w:hAnsi="宋体" w:cs="宋体"/>
          <w:kern w:val="0"/>
          <w:sz w:val="24"/>
          <w:highlight w:val="none"/>
        </w:rPr>
      </w:pPr>
    </w:p>
    <w:p>
      <w:pPr>
        <w:rPr>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outlineLvl w:val="1"/>
        <w:rPr>
          <w:rFonts w:ascii="宋体" w:hAnsi="宋体" w:cs="宋体"/>
          <w:b/>
          <w:bCs/>
          <w:kern w:val="0"/>
          <w:sz w:val="24"/>
          <w:highlight w:val="none"/>
        </w:rPr>
      </w:pPr>
      <w:r>
        <w:rPr>
          <w:rFonts w:hint="eastAsia" w:ascii="宋体" w:hAnsi="宋体" w:cs="宋体"/>
          <w:b/>
          <w:bCs/>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附表：统计上大中小微型企业划分标准</w:t>
      </w:r>
    </w:p>
    <w:p>
      <w:pPr>
        <w:widowControl/>
        <w:spacing w:line="360" w:lineRule="auto"/>
        <w:jc w:val="left"/>
        <w:rPr>
          <w:rFonts w:ascii="宋体" w:hAnsi="宋体" w:cs="宋体"/>
          <w:kern w:val="0"/>
          <w:sz w:val="24"/>
          <w:highlight w:val="none"/>
        </w:rPr>
      </w:pPr>
    </w:p>
    <w:p>
      <w:pPr>
        <w:pStyle w:val="7"/>
        <w:rPr>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附表：</w:t>
      </w:r>
    </w:p>
    <w:p>
      <w:pPr>
        <w:widowControl/>
        <w:spacing w:line="360" w:lineRule="auto"/>
        <w:jc w:val="center"/>
        <w:outlineLvl w:val="0"/>
        <w:rPr>
          <w:rFonts w:ascii="宋体" w:hAnsi="宋体" w:cs="宋体"/>
          <w:kern w:val="0"/>
          <w:sz w:val="24"/>
          <w:highlight w:val="none"/>
        </w:rPr>
      </w:pPr>
      <w:r>
        <w:rPr>
          <w:rFonts w:hint="eastAsia" w:ascii="宋体" w:hAnsi="宋体" w:cs="宋体"/>
          <w:kern w:val="0"/>
          <w:sz w:val="24"/>
          <w:highlight w:val="none"/>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4"/>
                <w:highlight w:val="none"/>
              </w:rPr>
            </w:pPr>
            <w:r>
              <w:rPr>
                <w:rFonts w:hint="eastAsia" w:ascii="宋体" w:hAnsi="宋体" w:cs="宋体"/>
                <w:b/>
                <w:bCs/>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bl>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highlight w:val="none"/>
          <w:lang w:eastAsia="zh-CN"/>
        </w:rPr>
        <w:t>；</w:t>
      </w:r>
      <w:r>
        <w:rPr>
          <w:rFonts w:hint="eastAsia" w:ascii="宋体" w:hAnsi="宋体" w:cs="宋体"/>
          <w:kern w:val="0"/>
          <w:sz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7"/>
        <w:tabs>
          <w:tab w:val="left" w:pos="562"/>
          <w:tab w:val="left" w:pos="3372"/>
          <w:tab w:val="left" w:pos="3653"/>
        </w:tabs>
        <w:spacing w:line="360" w:lineRule="auto"/>
        <w:rPr>
          <w:rFonts w:ascii="宋体" w:hAnsi="宋体" w:cs="宋体"/>
          <w:sz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sz w:val="24"/>
          <w:highlight w:val="none"/>
        </w:rPr>
      </w:pPr>
    </w:p>
    <w:p>
      <w:pPr>
        <w:shd w:val="clear" w:color="auto" w:fill="FFFFFF"/>
        <w:spacing w:line="360" w:lineRule="auto"/>
        <w:rPr>
          <w:rFonts w:ascii="宋体" w:hAnsi="宋体" w:cs="宋体"/>
          <w:bCs/>
          <w:sz w:val="24"/>
          <w:highlight w:val="none"/>
        </w:rPr>
      </w:pPr>
      <w:r>
        <w:rPr>
          <w:rFonts w:hint="eastAsia" w:ascii="宋体" w:hAnsi="宋体" w:cs="宋体"/>
          <w:bCs/>
          <w:sz w:val="24"/>
          <w:highlight w:val="none"/>
        </w:rPr>
        <w:t>关于促进残疾人就业政府采购政策的通知</w:t>
      </w:r>
    </w:p>
    <w:p>
      <w:pPr>
        <w:pStyle w:val="18"/>
        <w:shd w:val="clear" w:color="auto" w:fill="FFFFFF"/>
        <w:spacing w:before="0" w:beforeAutospacing="0" w:after="0" w:afterAutospacing="0" w:line="360" w:lineRule="auto"/>
        <w:jc w:val="center"/>
        <w:outlineLvl w:val="0"/>
        <w:rPr>
          <w:highlight w:val="none"/>
        </w:rPr>
      </w:pPr>
      <w:r>
        <w:rPr>
          <w:rFonts w:hint="eastAsia"/>
          <w:highlight w:val="none"/>
        </w:rPr>
        <w:t>　　</w:t>
      </w:r>
      <w:bookmarkStart w:id="35" w:name="sendNo"/>
      <w:r>
        <w:rPr>
          <w:rFonts w:hint="eastAsia"/>
          <w:highlight w:val="none"/>
        </w:rPr>
        <w:t>财库〔</w:t>
      </w:r>
      <w:bookmarkEnd w:id="35"/>
      <w:r>
        <w:rPr>
          <w:rFonts w:hint="eastAsia"/>
          <w:highlight w:val="none"/>
        </w:rPr>
        <w:t>2017〕141号</w:t>
      </w:r>
    </w:p>
    <w:p>
      <w:pPr>
        <w:pStyle w:val="18"/>
        <w:shd w:val="clear" w:color="auto" w:fill="FFFFFF"/>
        <w:spacing w:before="0" w:beforeAutospacing="0" w:after="0" w:afterAutospacing="0" w:line="360" w:lineRule="auto"/>
        <w:ind w:firstLine="480" w:firstLineChars="200"/>
        <w:rPr>
          <w:highlight w:val="none"/>
        </w:rPr>
      </w:pPr>
      <w:bookmarkStart w:id="36" w:name="toDeptId"/>
      <w:r>
        <w:rPr>
          <w:rFonts w:hint="eastAsia"/>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6"/>
      <w:r>
        <w:rPr>
          <w:rFonts w:hint="eastAsia"/>
          <w:highlight w:val="none"/>
        </w:rPr>
        <w:t>：</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为了发挥政府采购促进残疾人就业的作用，进一步保障残疾人权益，依照《政府采购法》、《残疾人保障法》等法律法规及相关规定，现就促进残疾人就业政府采购政策通知如下：</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一、享受政府采购支持政策的残疾人福利性单位应当同时满足以下条件：</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（一）安置的残疾人占本单位在职职工人数的比例不低于25%（含25%），并且安置的残疾人人数不少于10人（含10人）；</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（二）依法与安置的每位残疾人签订了一年以上（含一年）的劳动合同或服务协议；</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（三）为安置的每位残疾人按月足额缴纳了基本养老保险、基本医疗保险、失业保险、工伤保险和生育保险等社会保险费；</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（四）通过银行等金融机构向安置的每位残疾人，按月支付了不低于单位所在区县适用的经省级人民政府批准的月最低工资标准的工资；</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（五）提供本单位制造的货物、承担的工程或者服务（以下简称产品），或者提供其他残疾人福利性单位制造的货物（不包括使用非残疾人福利性单位注册商标的货物）。</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中标、成交供应商为残疾人福利性单位的，采购人或者其委托的采购代理机构应当随中标、成交结果同时公告其《残疾人福利性单位声明函》，接受社会监督。</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供应商提供的《残疾人福利性单位声明函》与事实不符的，依照《政府采购法》第七十七条第一款的规定追究法律责任。</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四、采购人采购公开招标数额标准以上的货物或者服务，因落实促进残疾人就业政策的需要，依法履行有关报批程序后，可采用公开招标以外的采购方式。</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8"/>
        <w:shd w:val="clear" w:color="auto" w:fill="FFFFFF"/>
        <w:spacing w:before="0" w:beforeAutospacing="0" w:after="0" w:afterAutospacing="0" w:line="360" w:lineRule="auto"/>
        <w:ind w:firstLine="480" w:firstLineChars="200"/>
        <w:rPr>
          <w:highlight w:val="none"/>
        </w:rPr>
      </w:pPr>
      <w:r>
        <w:rPr>
          <w:rFonts w:hint="eastAsia"/>
          <w:highlight w:val="none"/>
        </w:rPr>
        <w:t>七、本通知自2017年10月1日起执行。</w:t>
      </w:r>
    </w:p>
    <w:p>
      <w:pPr>
        <w:pStyle w:val="18"/>
        <w:shd w:val="clear" w:color="auto" w:fill="FFFFFF"/>
        <w:spacing w:before="0" w:beforeAutospacing="0" w:after="0" w:afterAutospacing="0" w:line="360" w:lineRule="auto"/>
        <w:ind w:firstLine="480" w:firstLineChars="200"/>
        <w:jc w:val="right"/>
        <w:rPr>
          <w:highlight w:val="none"/>
        </w:rPr>
      </w:pPr>
      <w:r>
        <w:rPr>
          <w:rFonts w:hint="eastAsia"/>
          <w:highlight w:val="none"/>
        </w:rPr>
        <w:t>财政部 民政部 中国残疾人联合会</w:t>
      </w:r>
    </w:p>
    <w:p>
      <w:pPr>
        <w:pStyle w:val="18"/>
        <w:shd w:val="clear" w:color="auto" w:fill="FFFFFF"/>
        <w:spacing w:before="0" w:beforeAutospacing="0" w:after="0" w:afterAutospacing="0" w:line="360" w:lineRule="auto"/>
        <w:ind w:firstLine="480" w:firstLineChars="200"/>
        <w:jc w:val="right"/>
        <w:rPr>
          <w:highlight w:val="none"/>
        </w:rPr>
      </w:pPr>
      <w:r>
        <w:rPr>
          <w:rFonts w:hint="eastAsia"/>
          <w:highlight w:val="none"/>
        </w:rPr>
        <w:t>2017年8月22日</w:t>
      </w:r>
    </w:p>
    <w:p>
      <w:pPr>
        <w:pStyle w:val="33"/>
        <w:shd w:val="clear" w:color="auto" w:fill="FFFFFF"/>
        <w:spacing w:before="0" w:beforeAutospacing="0" w:after="0" w:afterAutospacing="0" w:line="360" w:lineRule="auto"/>
        <w:jc w:val="both"/>
        <w:rPr>
          <w:highlight w:val="none"/>
        </w:rPr>
      </w:pPr>
    </w:p>
    <w:p>
      <w:pPr>
        <w:pStyle w:val="33"/>
        <w:shd w:val="clear" w:color="auto" w:fill="FFFFFF"/>
        <w:spacing w:before="0" w:beforeAutospacing="0" w:after="0" w:afterAutospacing="0" w:line="360" w:lineRule="auto"/>
        <w:jc w:val="both"/>
        <w:rPr>
          <w:highlight w:val="none"/>
        </w:rPr>
      </w:pPr>
    </w:p>
    <w:p>
      <w:pPr>
        <w:pStyle w:val="33"/>
        <w:shd w:val="clear" w:color="auto" w:fill="FFFFFF"/>
        <w:spacing w:before="0" w:beforeAutospacing="0" w:after="0" w:afterAutospacing="0" w:line="360" w:lineRule="auto"/>
        <w:jc w:val="both"/>
        <w:rPr>
          <w:highlight w:val="none"/>
        </w:rPr>
      </w:pPr>
    </w:p>
    <w:p>
      <w:pPr>
        <w:pStyle w:val="33"/>
        <w:shd w:val="clear" w:color="auto" w:fill="FFFFFF"/>
        <w:spacing w:before="0" w:beforeAutospacing="0" w:after="0" w:afterAutospacing="0" w:line="360" w:lineRule="auto"/>
        <w:jc w:val="both"/>
        <w:rPr>
          <w:highlight w:val="none"/>
        </w:rPr>
      </w:pPr>
    </w:p>
    <w:p>
      <w:pPr>
        <w:pStyle w:val="33"/>
        <w:shd w:val="clear" w:color="auto" w:fill="FFFFFF"/>
        <w:spacing w:before="0" w:beforeAutospacing="0" w:after="0" w:afterAutospacing="0" w:line="360" w:lineRule="auto"/>
        <w:jc w:val="both"/>
        <w:rPr>
          <w:highlight w:val="none"/>
        </w:rPr>
      </w:pPr>
    </w:p>
    <w:p>
      <w:pPr>
        <w:pStyle w:val="33"/>
        <w:shd w:val="clear" w:color="auto" w:fill="FFFFFF"/>
        <w:spacing w:before="0" w:beforeAutospacing="0" w:after="0" w:afterAutospacing="0" w:line="360" w:lineRule="auto"/>
        <w:jc w:val="both"/>
        <w:rPr>
          <w:highlight w:val="none"/>
        </w:rPr>
      </w:pPr>
    </w:p>
    <w:p>
      <w:pPr>
        <w:rPr>
          <w:highlight w:val="none"/>
        </w:rPr>
      </w:pPr>
      <w:r>
        <w:rPr>
          <w:rFonts w:hint="eastAsia"/>
          <w:highlight w:val="none"/>
        </w:rPr>
        <w:br w:type="page"/>
      </w:r>
    </w:p>
    <w:p>
      <w:pPr>
        <w:pStyle w:val="33"/>
        <w:shd w:val="clear" w:color="auto" w:fill="FFFFFF"/>
        <w:spacing w:before="0" w:beforeAutospacing="0" w:after="0" w:afterAutospacing="0" w:line="360" w:lineRule="auto"/>
        <w:jc w:val="both"/>
        <w:rPr>
          <w:highlight w:val="none"/>
        </w:rPr>
      </w:pPr>
      <w:r>
        <w:rPr>
          <w:rFonts w:hint="eastAsia"/>
          <w:highlight w:val="none"/>
        </w:rPr>
        <w:t>附件：</w:t>
      </w:r>
    </w:p>
    <w:p>
      <w:pPr>
        <w:pStyle w:val="33"/>
        <w:shd w:val="clear" w:color="auto" w:fill="FFFFFF"/>
        <w:spacing w:before="0" w:beforeAutospacing="0" w:after="0" w:afterAutospacing="0" w:line="360" w:lineRule="auto"/>
        <w:ind w:firstLine="482" w:firstLineChars="200"/>
        <w:jc w:val="center"/>
        <w:rPr>
          <w:highlight w:val="none"/>
        </w:rPr>
      </w:pPr>
      <w:r>
        <w:rPr>
          <w:rStyle w:val="34"/>
          <w:rFonts w:hint="eastAsia"/>
          <w:b/>
          <w:bCs/>
          <w:highlight w:val="none"/>
        </w:rPr>
        <w:t>残疾人福利性单位声明函</w:t>
      </w:r>
    </w:p>
    <w:p>
      <w:pPr>
        <w:pStyle w:val="33"/>
        <w:shd w:val="clear" w:color="auto" w:fill="FFFFFF"/>
        <w:spacing w:before="0" w:beforeAutospacing="0" w:after="0" w:afterAutospacing="0" w:line="360" w:lineRule="auto"/>
        <w:ind w:firstLine="480" w:firstLineChars="200"/>
        <w:jc w:val="both"/>
        <w:rPr>
          <w:highlight w:val="none"/>
        </w:rPr>
      </w:pPr>
    </w:p>
    <w:p>
      <w:pPr>
        <w:pStyle w:val="33"/>
        <w:shd w:val="clear" w:color="auto" w:fill="FFFFFF"/>
        <w:spacing w:before="0" w:beforeAutospacing="0" w:after="0" w:afterAutospacing="0" w:line="360" w:lineRule="auto"/>
        <w:ind w:firstLine="480" w:firstLineChars="200"/>
        <w:jc w:val="both"/>
        <w:rPr>
          <w:highlight w:val="none"/>
        </w:rPr>
      </w:pPr>
      <w:r>
        <w:rPr>
          <w:rStyle w:val="34"/>
          <w:rFonts w:hint="eastAsia"/>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shd w:val="clear" w:color="auto" w:fill="FFFFFF"/>
        <w:spacing w:before="0" w:beforeAutospacing="0" w:after="0" w:afterAutospacing="0" w:line="360" w:lineRule="auto"/>
        <w:ind w:firstLine="480" w:firstLineChars="200"/>
        <w:jc w:val="both"/>
        <w:rPr>
          <w:highlight w:val="none"/>
        </w:rPr>
      </w:pPr>
      <w:r>
        <w:rPr>
          <w:rStyle w:val="34"/>
          <w:rFonts w:hint="eastAsia"/>
          <w:highlight w:val="none"/>
        </w:rPr>
        <w:t>本单位对上述声明的真实性负责。如有虚假，将依法承担相应责任。</w:t>
      </w:r>
    </w:p>
    <w:p>
      <w:pPr>
        <w:pStyle w:val="33"/>
        <w:shd w:val="clear" w:color="auto" w:fill="FFFFFF"/>
        <w:spacing w:before="0" w:beforeAutospacing="0" w:after="0" w:afterAutospacing="0" w:line="360" w:lineRule="auto"/>
        <w:ind w:firstLine="480" w:firstLineChars="200"/>
        <w:jc w:val="both"/>
        <w:rPr>
          <w:highlight w:val="none"/>
        </w:rPr>
      </w:pPr>
      <w:r>
        <w:rPr>
          <w:rFonts w:hint="eastAsia"/>
          <w:highlight w:val="none"/>
        </w:rPr>
        <w:t>投标人已知悉《关于促进残疾人就业政府采购政策的通知》（财库〔2017〕141 号）的规定，承诺提供的声明函内容是真实的，如提供声明函内容不实，则依法追究相关法律责任。</w:t>
      </w:r>
    </w:p>
    <w:p>
      <w:pPr>
        <w:pStyle w:val="33"/>
        <w:shd w:val="clear" w:color="auto" w:fill="FFFFFF"/>
        <w:spacing w:before="0" w:beforeAutospacing="0" w:after="0" w:afterAutospacing="0" w:line="360" w:lineRule="auto"/>
        <w:ind w:firstLine="480" w:firstLineChars="200"/>
        <w:jc w:val="both"/>
        <w:rPr>
          <w:highlight w:val="none"/>
        </w:rPr>
      </w:pPr>
    </w:p>
    <w:p>
      <w:pPr>
        <w:pStyle w:val="33"/>
        <w:shd w:val="clear" w:color="auto" w:fill="FFFFFF"/>
        <w:spacing w:before="0" w:beforeAutospacing="0" w:after="0" w:afterAutospacing="0" w:line="360" w:lineRule="auto"/>
        <w:ind w:right="2100" w:rightChars="1000"/>
        <w:jc w:val="right"/>
        <w:rPr>
          <w:highlight w:val="none"/>
        </w:rPr>
      </w:pPr>
      <w:r>
        <w:rPr>
          <w:rStyle w:val="34"/>
          <w:rFonts w:hint="eastAsia"/>
          <w:highlight w:val="none"/>
        </w:rPr>
        <w:t>单位名称（盖章）：</w:t>
      </w:r>
    </w:p>
    <w:p>
      <w:pPr>
        <w:pStyle w:val="33"/>
        <w:shd w:val="clear" w:color="auto" w:fill="FFFFFF"/>
        <w:spacing w:before="0" w:beforeAutospacing="0" w:after="0" w:afterAutospacing="0" w:line="360" w:lineRule="auto"/>
        <w:ind w:right="2100" w:rightChars="1000"/>
        <w:jc w:val="right"/>
        <w:rPr>
          <w:highlight w:val="none"/>
          <w:lang w:val="fr-CH"/>
        </w:rPr>
      </w:pPr>
      <w:r>
        <w:rPr>
          <w:rStyle w:val="34"/>
          <w:rFonts w:hint="eastAsia"/>
          <w:highlight w:val="none"/>
        </w:rPr>
        <w:t>日 期：</w:t>
      </w:r>
    </w:p>
    <w:p>
      <w:pPr>
        <w:tabs>
          <w:tab w:val="left" w:pos="640"/>
          <w:tab w:val="left" w:pos="1260"/>
          <w:tab w:val="left" w:pos="1418"/>
        </w:tabs>
        <w:spacing w:line="360" w:lineRule="auto"/>
        <w:ind w:right="-420" w:rightChars="-200"/>
        <w:rPr>
          <w:rFonts w:ascii="宋体" w:hAnsi="宋体" w:cs="宋体"/>
          <w:sz w:val="24"/>
          <w:highlight w:val="none"/>
          <w:lang w:val="fr-CH"/>
        </w:rPr>
      </w:pPr>
    </w:p>
    <w:p>
      <w:pPr>
        <w:rPr>
          <w:highlight w:val="none"/>
        </w:rPr>
      </w:pPr>
    </w:p>
    <w:sectPr>
      <w:headerReference r:id="rId6" w:type="first"/>
      <w:headerReference r:id="rId4" w:type="default"/>
      <w:headerReference r:id="rId5"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4"/>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70252"/>
    <w:rsid w:val="007A52F5"/>
    <w:rsid w:val="00821404"/>
    <w:rsid w:val="00B7098E"/>
    <w:rsid w:val="00C26D89"/>
    <w:rsid w:val="00D05268"/>
    <w:rsid w:val="00E04AD1"/>
    <w:rsid w:val="00E75D82"/>
    <w:rsid w:val="010C37B8"/>
    <w:rsid w:val="016F05E9"/>
    <w:rsid w:val="01A11967"/>
    <w:rsid w:val="01BD17FD"/>
    <w:rsid w:val="02B9090A"/>
    <w:rsid w:val="02BD3216"/>
    <w:rsid w:val="031107FC"/>
    <w:rsid w:val="03344889"/>
    <w:rsid w:val="03510688"/>
    <w:rsid w:val="03C80805"/>
    <w:rsid w:val="03D9190B"/>
    <w:rsid w:val="0410177B"/>
    <w:rsid w:val="04220A01"/>
    <w:rsid w:val="05024E58"/>
    <w:rsid w:val="05690583"/>
    <w:rsid w:val="05D84CA5"/>
    <w:rsid w:val="05EB2641"/>
    <w:rsid w:val="063313B4"/>
    <w:rsid w:val="07552703"/>
    <w:rsid w:val="077AF5D6"/>
    <w:rsid w:val="07D06FDE"/>
    <w:rsid w:val="07DB29DD"/>
    <w:rsid w:val="085A6660"/>
    <w:rsid w:val="086A2F6F"/>
    <w:rsid w:val="088C4E09"/>
    <w:rsid w:val="08C71150"/>
    <w:rsid w:val="09A36B41"/>
    <w:rsid w:val="0A183285"/>
    <w:rsid w:val="0A6F4CAA"/>
    <w:rsid w:val="0ADD636F"/>
    <w:rsid w:val="0B1A27AE"/>
    <w:rsid w:val="0B30205B"/>
    <w:rsid w:val="0B9650E5"/>
    <w:rsid w:val="0BCC6A37"/>
    <w:rsid w:val="0BD45EF5"/>
    <w:rsid w:val="0BF67D6A"/>
    <w:rsid w:val="0C4D7368"/>
    <w:rsid w:val="0C6C4A39"/>
    <w:rsid w:val="0CCB3933"/>
    <w:rsid w:val="0D376BE5"/>
    <w:rsid w:val="0DB241E0"/>
    <w:rsid w:val="0DB46393"/>
    <w:rsid w:val="0DBFF8A4"/>
    <w:rsid w:val="0E0636C2"/>
    <w:rsid w:val="0E541CB6"/>
    <w:rsid w:val="0F226313"/>
    <w:rsid w:val="0F260153"/>
    <w:rsid w:val="0F9B909F"/>
    <w:rsid w:val="0FA94F43"/>
    <w:rsid w:val="0FBC28CC"/>
    <w:rsid w:val="0FFE3C2D"/>
    <w:rsid w:val="10762E0F"/>
    <w:rsid w:val="109C2F25"/>
    <w:rsid w:val="12117034"/>
    <w:rsid w:val="122F0D51"/>
    <w:rsid w:val="126D9995"/>
    <w:rsid w:val="12EA61D9"/>
    <w:rsid w:val="12ED74B0"/>
    <w:rsid w:val="12F47908"/>
    <w:rsid w:val="13BB0907"/>
    <w:rsid w:val="140D3389"/>
    <w:rsid w:val="15297246"/>
    <w:rsid w:val="156E66B6"/>
    <w:rsid w:val="15787C5B"/>
    <w:rsid w:val="162D45A8"/>
    <w:rsid w:val="168B5553"/>
    <w:rsid w:val="1717300A"/>
    <w:rsid w:val="175D30A4"/>
    <w:rsid w:val="178E628A"/>
    <w:rsid w:val="17974DC1"/>
    <w:rsid w:val="1797A8E8"/>
    <w:rsid w:val="17AFCD58"/>
    <w:rsid w:val="17BF9709"/>
    <w:rsid w:val="17DFB82A"/>
    <w:rsid w:val="17E41A7D"/>
    <w:rsid w:val="17F917F2"/>
    <w:rsid w:val="18235CAA"/>
    <w:rsid w:val="18270E2D"/>
    <w:rsid w:val="18B65219"/>
    <w:rsid w:val="18BD7EDC"/>
    <w:rsid w:val="198C2042"/>
    <w:rsid w:val="199D0E65"/>
    <w:rsid w:val="19D86C84"/>
    <w:rsid w:val="19FA3545"/>
    <w:rsid w:val="1A035868"/>
    <w:rsid w:val="1A4947FA"/>
    <w:rsid w:val="1A7C5BFD"/>
    <w:rsid w:val="1A827038"/>
    <w:rsid w:val="1AD3361A"/>
    <w:rsid w:val="1AEA1254"/>
    <w:rsid w:val="1AF56CB1"/>
    <w:rsid w:val="1B1D4692"/>
    <w:rsid w:val="1B3C173F"/>
    <w:rsid w:val="1B7F54A3"/>
    <w:rsid w:val="1B7FF535"/>
    <w:rsid w:val="1BBFE1C1"/>
    <w:rsid w:val="1BFDEAE4"/>
    <w:rsid w:val="1BFFE856"/>
    <w:rsid w:val="1C215235"/>
    <w:rsid w:val="1CAF6DFF"/>
    <w:rsid w:val="1CBF97F2"/>
    <w:rsid w:val="1D9602CE"/>
    <w:rsid w:val="1D9A259A"/>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0FB50B9"/>
    <w:rsid w:val="213740D6"/>
    <w:rsid w:val="216300BC"/>
    <w:rsid w:val="2185500C"/>
    <w:rsid w:val="21A92B96"/>
    <w:rsid w:val="2260669D"/>
    <w:rsid w:val="227D45A9"/>
    <w:rsid w:val="22E21BC4"/>
    <w:rsid w:val="2374556A"/>
    <w:rsid w:val="23BF0D43"/>
    <w:rsid w:val="23D13C15"/>
    <w:rsid w:val="23D64C00"/>
    <w:rsid w:val="24495099"/>
    <w:rsid w:val="248D3582"/>
    <w:rsid w:val="252A68FA"/>
    <w:rsid w:val="25747400"/>
    <w:rsid w:val="25801095"/>
    <w:rsid w:val="25D977F1"/>
    <w:rsid w:val="260D2D7B"/>
    <w:rsid w:val="263C7034"/>
    <w:rsid w:val="2675E140"/>
    <w:rsid w:val="26C0740E"/>
    <w:rsid w:val="26E2701C"/>
    <w:rsid w:val="271C5A1C"/>
    <w:rsid w:val="271F938A"/>
    <w:rsid w:val="2734033D"/>
    <w:rsid w:val="27636103"/>
    <w:rsid w:val="27BE2A52"/>
    <w:rsid w:val="27DF1C1D"/>
    <w:rsid w:val="27E880B4"/>
    <w:rsid w:val="27F26299"/>
    <w:rsid w:val="27F55E0F"/>
    <w:rsid w:val="27FE33CE"/>
    <w:rsid w:val="28641D7B"/>
    <w:rsid w:val="286533D6"/>
    <w:rsid w:val="286A22CA"/>
    <w:rsid w:val="28977EA2"/>
    <w:rsid w:val="289A3AA3"/>
    <w:rsid w:val="29A1025D"/>
    <w:rsid w:val="29A808AE"/>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CFE38D8"/>
    <w:rsid w:val="2D8C184B"/>
    <w:rsid w:val="2DAE0518"/>
    <w:rsid w:val="2DC86A18"/>
    <w:rsid w:val="2DDF7CF0"/>
    <w:rsid w:val="2DFF5839"/>
    <w:rsid w:val="2E0E6DB8"/>
    <w:rsid w:val="2E3E806D"/>
    <w:rsid w:val="2E5F5866"/>
    <w:rsid w:val="2EBC3384"/>
    <w:rsid w:val="2EEF79C5"/>
    <w:rsid w:val="2EF45D6A"/>
    <w:rsid w:val="2EF7EE3A"/>
    <w:rsid w:val="2F32348A"/>
    <w:rsid w:val="2F4C0476"/>
    <w:rsid w:val="2F6F2DA0"/>
    <w:rsid w:val="2F6F565C"/>
    <w:rsid w:val="2F7FF788"/>
    <w:rsid w:val="2F9B0E34"/>
    <w:rsid w:val="2FB77A4C"/>
    <w:rsid w:val="2FEAA120"/>
    <w:rsid w:val="2FFDCAA5"/>
    <w:rsid w:val="308A48AC"/>
    <w:rsid w:val="310061F3"/>
    <w:rsid w:val="317F7117"/>
    <w:rsid w:val="319B575E"/>
    <w:rsid w:val="31B72E5C"/>
    <w:rsid w:val="31FA10E4"/>
    <w:rsid w:val="32AE6949"/>
    <w:rsid w:val="32BC1398"/>
    <w:rsid w:val="32F40FD3"/>
    <w:rsid w:val="32F977F1"/>
    <w:rsid w:val="32FF0317"/>
    <w:rsid w:val="337AE2D6"/>
    <w:rsid w:val="33DEF139"/>
    <w:rsid w:val="33E52AA0"/>
    <w:rsid w:val="33F915CE"/>
    <w:rsid w:val="33F9C19C"/>
    <w:rsid w:val="346DC6E6"/>
    <w:rsid w:val="34D5481E"/>
    <w:rsid w:val="3535527B"/>
    <w:rsid w:val="35507A54"/>
    <w:rsid w:val="35E75334"/>
    <w:rsid w:val="35EB6C31"/>
    <w:rsid w:val="35F7ACF4"/>
    <w:rsid w:val="36B772DB"/>
    <w:rsid w:val="36BDDA7C"/>
    <w:rsid w:val="36EE6EF7"/>
    <w:rsid w:val="36F7F178"/>
    <w:rsid w:val="36FDBDE3"/>
    <w:rsid w:val="373DBD37"/>
    <w:rsid w:val="3769533B"/>
    <w:rsid w:val="376B13D8"/>
    <w:rsid w:val="3774DA36"/>
    <w:rsid w:val="377DF0D3"/>
    <w:rsid w:val="37837B89"/>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3C0F96"/>
    <w:rsid w:val="3A456D67"/>
    <w:rsid w:val="3A626B85"/>
    <w:rsid w:val="3A8F174A"/>
    <w:rsid w:val="3AC2456D"/>
    <w:rsid w:val="3ACB0053"/>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730499"/>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253FDC"/>
    <w:rsid w:val="4050335B"/>
    <w:rsid w:val="40810FC8"/>
    <w:rsid w:val="40E14A1D"/>
    <w:rsid w:val="41CF6829"/>
    <w:rsid w:val="42337B3F"/>
    <w:rsid w:val="427D40B5"/>
    <w:rsid w:val="438A3C39"/>
    <w:rsid w:val="440918F1"/>
    <w:rsid w:val="447D7569"/>
    <w:rsid w:val="44B52210"/>
    <w:rsid w:val="44CB1698"/>
    <w:rsid w:val="44F324D8"/>
    <w:rsid w:val="453510DD"/>
    <w:rsid w:val="455B5B96"/>
    <w:rsid w:val="459C5D66"/>
    <w:rsid w:val="459E2651"/>
    <w:rsid w:val="459F5CA0"/>
    <w:rsid w:val="45C41A3D"/>
    <w:rsid w:val="462D6801"/>
    <w:rsid w:val="469D7925"/>
    <w:rsid w:val="46BD2850"/>
    <w:rsid w:val="46EA32A6"/>
    <w:rsid w:val="47053F7C"/>
    <w:rsid w:val="4706073F"/>
    <w:rsid w:val="47775721"/>
    <w:rsid w:val="478563C6"/>
    <w:rsid w:val="47C60945"/>
    <w:rsid w:val="47E9A1A0"/>
    <w:rsid w:val="48002B88"/>
    <w:rsid w:val="480E6DE3"/>
    <w:rsid w:val="484F4B48"/>
    <w:rsid w:val="48605FCE"/>
    <w:rsid w:val="48C06477"/>
    <w:rsid w:val="48C3322B"/>
    <w:rsid w:val="48F14BF7"/>
    <w:rsid w:val="4945059D"/>
    <w:rsid w:val="49BEA124"/>
    <w:rsid w:val="49CC6CB6"/>
    <w:rsid w:val="49E140B7"/>
    <w:rsid w:val="4A6202EB"/>
    <w:rsid w:val="4A7B0308"/>
    <w:rsid w:val="4A7C4FC1"/>
    <w:rsid w:val="4A9A6CAF"/>
    <w:rsid w:val="4A9C5875"/>
    <w:rsid w:val="4AFD4615"/>
    <w:rsid w:val="4B454A0A"/>
    <w:rsid w:val="4B5A3FD8"/>
    <w:rsid w:val="4B887951"/>
    <w:rsid w:val="4BC20883"/>
    <w:rsid w:val="4C251B2D"/>
    <w:rsid w:val="4CF92E7B"/>
    <w:rsid w:val="4CFB6B2C"/>
    <w:rsid w:val="4D1DB812"/>
    <w:rsid w:val="4D357CE0"/>
    <w:rsid w:val="4DAFC284"/>
    <w:rsid w:val="4DBB3E33"/>
    <w:rsid w:val="4DE3154B"/>
    <w:rsid w:val="4DF5D2BF"/>
    <w:rsid w:val="4E5655E3"/>
    <w:rsid w:val="4ECD7EB5"/>
    <w:rsid w:val="4EDE35AC"/>
    <w:rsid w:val="4F640F18"/>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7C1168"/>
    <w:rsid w:val="549324D8"/>
    <w:rsid w:val="54C469E3"/>
    <w:rsid w:val="550A1286"/>
    <w:rsid w:val="553C7A36"/>
    <w:rsid w:val="5544294D"/>
    <w:rsid w:val="5567BD2F"/>
    <w:rsid w:val="557D857A"/>
    <w:rsid w:val="557F84E0"/>
    <w:rsid w:val="55A211BE"/>
    <w:rsid w:val="55E7D38E"/>
    <w:rsid w:val="55F80356"/>
    <w:rsid w:val="55F832BA"/>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96593E"/>
    <w:rsid w:val="59C9319A"/>
    <w:rsid w:val="59D63A74"/>
    <w:rsid w:val="59D714F6"/>
    <w:rsid w:val="59DFFD93"/>
    <w:rsid w:val="59EF1DFC"/>
    <w:rsid w:val="5A4947D3"/>
    <w:rsid w:val="5ABB1050"/>
    <w:rsid w:val="5AF93469"/>
    <w:rsid w:val="5B3B3860"/>
    <w:rsid w:val="5B5D2F92"/>
    <w:rsid w:val="5B7DDC28"/>
    <w:rsid w:val="5B7F624A"/>
    <w:rsid w:val="5BAF68EF"/>
    <w:rsid w:val="5BC45FAB"/>
    <w:rsid w:val="5BE72AE1"/>
    <w:rsid w:val="5BEB75A4"/>
    <w:rsid w:val="5BF42BBB"/>
    <w:rsid w:val="5BFFD5F5"/>
    <w:rsid w:val="5CF634E9"/>
    <w:rsid w:val="5D355CB4"/>
    <w:rsid w:val="5D47211B"/>
    <w:rsid w:val="5D5D99E9"/>
    <w:rsid w:val="5D7FC7C9"/>
    <w:rsid w:val="5D9952E5"/>
    <w:rsid w:val="5D9A46F0"/>
    <w:rsid w:val="5DAD523C"/>
    <w:rsid w:val="5DAF0801"/>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E904EF"/>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0934D78"/>
    <w:rsid w:val="610C14AD"/>
    <w:rsid w:val="610C3A9C"/>
    <w:rsid w:val="611B38AB"/>
    <w:rsid w:val="615C31E8"/>
    <w:rsid w:val="61B62DA1"/>
    <w:rsid w:val="61FF5178"/>
    <w:rsid w:val="6243437A"/>
    <w:rsid w:val="62616D7C"/>
    <w:rsid w:val="628D14F2"/>
    <w:rsid w:val="62BD4574"/>
    <w:rsid w:val="6325773C"/>
    <w:rsid w:val="634C1706"/>
    <w:rsid w:val="63B63069"/>
    <w:rsid w:val="63E57C7D"/>
    <w:rsid w:val="64C200F2"/>
    <w:rsid w:val="64F57139"/>
    <w:rsid w:val="65655C60"/>
    <w:rsid w:val="6593F782"/>
    <w:rsid w:val="65BE74B1"/>
    <w:rsid w:val="65FD1E19"/>
    <w:rsid w:val="65FE0871"/>
    <w:rsid w:val="6609095A"/>
    <w:rsid w:val="66390EEC"/>
    <w:rsid w:val="66613576"/>
    <w:rsid w:val="66720F9F"/>
    <w:rsid w:val="66BB5DAD"/>
    <w:rsid w:val="66C67836"/>
    <w:rsid w:val="66E7865B"/>
    <w:rsid w:val="66F7B9BD"/>
    <w:rsid w:val="66FF70F4"/>
    <w:rsid w:val="672F4BD5"/>
    <w:rsid w:val="67A30EFF"/>
    <w:rsid w:val="67CD7F64"/>
    <w:rsid w:val="67E75822"/>
    <w:rsid w:val="67FBCA81"/>
    <w:rsid w:val="67FEC540"/>
    <w:rsid w:val="67FF8842"/>
    <w:rsid w:val="68174789"/>
    <w:rsid w:val="688B16B1"/>
    <w:rsid w:val="692A7449"/>
    <w:rsid w:val="696D3286"/>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F12FC6"/>
    <w:rsid w:val="713F17D9"/>
    <w:rsid w:val="71AC1F64"/>
    <w:rsid w:val="71BF5DB7"/>
    <w:rsid w:val="71E85758"/>
    <w:rsid w:val="72100F31"/>
    <w:rsid w:val="72445F08"/>
    <w:rsid w:val="7284648B"/>
    <w:rsid w:val="72961917"/>
    <w:rsid w:val="72BD5FD5"/>
    <w:rsid w:val="72BF09DC"/>
    <w:rsid w:val="72C91E1E"/>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6CCE"/>
    <w:rsid w:val="73FEB008"/>
    <w:rsid w:val="73FF3C21"/>
    <w:rsid w:val="74077D93"/>
    <w:rsid w:val="74245119"/>
    <w:rsid w:val="743F2389"/>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52391"/>
    <w:rsid w:val="7E9F9FFA"/>
    <w:rsid w:val="7EA1C8FE"/>
    <w:rsid w:val="7EB588E9"/>
    <w:rsid w:val="7ECFC5A0"/>
    <w:rsid w:val="7EDF81E0"/>
    <w:rsid w:val="7EDFB9CE"/>
    <w:rsid w:val="7EF4280A"/>
    <w:rsid w:val="7EF73F35"/>
    <w:rsid w:val="7EFA749D"/>
    <w:rsid w:val="7EFD617A"/>
    <w:rsid w:val="7EFDD9F4"/>
    <w:rsid w:val="7F153A07"/>
    <w:rsid w:val="7F19183E"/>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6">
    <w:name w:val="Normal Indent"/>
    <w:basedOn w:val="1"/>
    <w:next w:val="7"/>
    <w:qFormat/>
    <w:uiPriority w:val="0"/>
    <w:pPr>
      <w:ind w:firstLine="420" w:firstLineChars="200"/>
    </w:pPr>
    <w:rPr>
      <w:szCs w:val="20"/>
    </w:rPr>
  </w:style>
  <w:style w:type="paragraph" w:styleId="7">
    <w:name w:val="Body Text"/>
    <w:basedOn w:val="1"/>
    <w:link w:val="36"/>
    <w:unhideWhenUsed/>
    <w:qFormat/>
    <w:uiPriority w:val="99"/>
    <w:pPr>
      <w:spacing w:after="120"/>
    </w:pPr>
  </w:style>
  <w:style w:type="paragraph" w:styleId="8">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9">
    <w:name w:val="Body Text Indent"/>
    <w:basedOn w:val="1"/>
    <w:link w:val="39"/>
    <w:unhideWhenUsed/>
    <w:qFormat/>
    <w:uiPriority w:val="99"/>
    <w:pPr>
      <w:spacing w:after="120"/>
      <w:ind w:left="420" w:leftChars="200"/>
    </w:pPr>
    <w:rPr>
      <w:kern w:val="0"/>
      <w:sz w:val="20"/>
      <w:szCs w:val="20"/>
    </w:r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Balloon Text"/>
    <w:basedOn w:val="1"/>
    <w:link w:val="35"/>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Body Text Indent 3"/>
    <w:basedOn w:val="1"/>
    <w:qFormat/>
    <w:uiPriority w:val="0"/>
    <w:pPr>
      <w:autoSpaceDE w:val="0"/>
      <w:autoSpaceDN w:val="0"/>
      <w:adjustRightInd w:val="0"/>
      <w:spacing w:line="360" w:lineRule="auto"/>
      <w:ind w:left="560"/>
      <w:jc w:val="left"/>
      <w:textAlignment w:val="baseline"/>
    </w:pPr>
    <w:rPr>
      <w:rFonts w:ascii="宋体"/>
      <w:kern w:val="0"/>
      <w:sz w:val="2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Arial" w:hAnsi="Arial" w:eastAsia="隶书"/>
      <w:b/>
      <w:bCs/>
      <w:sz w:val="32"/>
      <w:szCs w:val="32"/>
    </w:rPr>
  </w:style>
  <w:style w:type="paragraph" w:styleId="20">
    <w:name w:val="Body Text First Indent"/>
    <w:basedOn w:val="7"/>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styleId="2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1">
    <w:name w:val="列出段落2"/>
    <w:basedOn w:val="1"/>
    <w:qFormat/>
    <w:uiPriority w:val="34"/>
    <w:pPr>
      <w:ind w:firstLine="420" w:firstLineChars="200"/>
    </w:pPr>
  </w:style>
  <w:style w:type="paragraph" w:customStyle="1" w:styleId="32">
    <w:name w:val="Table Paragraph"/>
    <w:basedOn w:val="1"/>
    <w:qFormat/>
    <w:uiPriority w:val="0"/>
    <w:pPr>
      <w:autoSpaceDE w:val="0"/>
      <w:autoSpaceDN w:val="0"/>
      <w:jc w:val="left"/>
    </w:pPr>
    <w:rPr>
      <w:rFonts w:ascii="宋体" w:hAnsi="宋体" w:cs="宋体"/>
      <w:kern w:val="0"/>
      <w:sz w:val="22"/>
      <w:szCs w:val="22"/>
    </w:rPr>
  </w:style>
  <w:style w:type="paragraph" w:customStyle="1" w:styleId="33">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qowt-font5-gb2312"/>
    <w:qFormat/>
    <w:uiPriority w:val="0"/>
  </w:style>
  <w:style w:type="character" w:customStyle="1" w:styleId="35">
    <w:name w:val="批注框文本 Char"/>
    <w:basedOn w:val="23"/>
    <w:link w:val="12"/>
    <w:qFormat/>
    <w:uiPriority w:val="0"/>
    <w:rPr>
      <w:kern w:val="2"/>
      <w:sz w:val="18"/>
      <w:szCs w:val="18"/>
    </w:rPr>
  </w:style>
  <w:style w:type="character" w:customStyle="1" w:styleId="36">
    <w:name w:val="正文文本 Char"/>
    <w:basedOn w:val="23"/>
    <w:link w:val="7"/>
    <w:qFormat/>
    <w:uiPriority w:val="99"/>
    <w:rPr>
      <w:kern w:val="2"/>
      <w:sz w:val="21"/>
      <w:szCs w:val="24"/>
    </w:rPr>
  </w:style>
  <w:style w:type="paragraph" w:customStyle="1" w:styleId="37">
    <w:name w:val="msolistparagraph"/>
    <w:basedOn w:val="1"/>
    <w:qFormat/>
    <w:uiPriority w:val="0"/>
    <w:pPr>
      <w:ind w:firstLine="420" w:firstLineChars="200"/>
    </w:pPr>
  </w:style>
  <w:style w:type="paragraph" w:customStyle="1" w:styleId="38">
    <w:name w:val="正文格式"/>
    <w:basedOn w:val="9"/>
    <w:qFormat/>
    <w:uiPriority w:val="99"/>
    <w:pPr>
      <w:spacing w:after="0" w:line="360" w:lineRule="auto"/>
      <w:ind w:left="0" w:leftChars="0" w:firstLine="600"/>
    </w:pPr>
    <w:rPr>
      <w:rFonts w:eastAsia="仿宋_GB2312"/>
      <w:sz w:val="30"/>
      <w:szCs w:val="30"/>
    </w:rPr>
  </w:style>
  <w:style w:type="character" w:customStyle="1" w:styleId="39">
    <w:name w:val="正文文本缩进 Char"/>
    <w:link w:val="9"/>
    <w:semiHidden/>
    <w:qFormat/>
    <w:uiPriority w:val="99"/>
    <w:rPr>
      <w:kern w:val="0"/>
      <w:sz w:val="20"/>
      <w:szCs w:val="20"/>
    </w:rPr>
  </w:style>
  <w:style w:type="paragraph" w:customStyle="1" w:styleId="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9前海 标题"/>
    <w:basedOn w:val="1"/>
    <w:next w:val="43"/>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3">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4">
    <w:name w:val="1级标题"/>
    <w:basedOn w:val="1"/>
    <w:next w:val="45"/>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5">
    <w:name w:val="9前海 正文"/>
    <w:basedOn w:val="43"/>
    <w:qFormat/>
    <w:uiPriority w:val="0"/>
    <w:pPr>
      <w:ind w:firstLine="640"/>
    </w:pPr>
    <w:rPr>
      <w:rFonts w:ascii="仿宋_GB2312" w:eastAsia="仿宋_GB2312"/>
    </w:rPr>
  </w:style>
  <w:style w:type="paragraph" w:customStyle="1" w:styleId="46">
    <w:name w:val="2级标题"/>
    <w:basedOn w:val="45"/>
    <w:next w:val="45"/>
    <w:qFormat/>
    <w:uiPriority w:val="0"/>
    <w:pPr>
      <w:ind w:firstLine="643"/>
      <w:outlineLvl w:val="1"/>
    </w:pPr>
    <w:rPr>
      <w:rFonts w:ascii="楷体_GB2312" w:hAnsi="楷体" w:eastAsia="楷体_GB2312"/>
      <w:b/>
    </w:rPr>
  </w:style>
  <w:style w:type="character" w:customStyle="1" w:styleId="47">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8380</Words>
  <Characters>8789</Characters>
  <Lines>1</Lines>
  <Paragraphs>1</Paragraphs>
  <TotalTime>24</TotalTime>
  <ScaleCrop>false</ScaleCrop>
  <LinksUpToDate>false</LinksUpToDate>
  <CharactersWithSpaces>8967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2023-09-26T12:34:00Z</dcterms:created>
  <dc:creator>黄雅静</dc:creator>
  <cp:lastModifiedBy>黎俊</cp:lastModifiedBy>
  <cp:lastPrinted>2023-11-10T11:12:00Z</cp:lastPrinted>
  <dcterms:modified xsi:type="dcterms:W3CDTF">2025-08-06T02:42:14Z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A6686E13F5B24EFF9F80491C6231F047_13</vt:lpwstr>
  </property>
  <property fmtid="{D5CDD505-2E9C-101B-9397-08002B2CF9AE}" pid="4" name="KSOTemplateDocerSaveRecord">
    <vt:lpwstr>eyJoZGlkIjoiMWViNjU1YjYxMmE1ZjA1ZGI4YzZiMWU4ZDg3Zjk4MWMiLCJ1c2VySWQiOiIxNDg2ODI2MzgyIn0=</vt:lpwstr>
  </property>
</Properties>
</file>