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54" w:firstLineChars="1300"/>
        <w:rPr>
          <w:rFonts w:ascii="宋体" w:hAnsi="宋体"/>
          <w:color w:val="FF0000"/>
          <w:szCs w:val="21"/>
        </w:rPr>
      </w:pP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after="313" w:afterLines="100" w:line="400" w:lineRule="exact"/>
        <w:ind w:firstLine="422" w:firstLineChars="200"/>
        <w:jc w:val="both"/>
        <w:textAlignment w:val="auto"/>
        <w:rPr>
          <w:rFonts w:hint="eastAsia" w:ascii="宋体" w:hAnsi="宋体" w:eastAsia="宋体" w:cs="宋体"/>
          <w:b/>
          <w:bCs/>
          <w:color w:val="FF0000"/>
          <w:sz w:val="21"/>
          <w:szCs w:val="21"/>
          <w:highlight w:val="yellow"/>
          <w:lang w:val="en-US" w:eastAsia="zh-CN"/>
        </w:rPr>
      </w:pPr>
      <w:r>
        <w:rPr>
          <w:rFonts w:hint="eastAsia" w:ascii="宋体" w:hAnsi="宋体" w:eastAsia="宋体" w:cs="宋体"/>
          <w:b/>
          <w:bCs/>
          <w:color w:val="FF0000"/>
          <w:sz w:val="21"/>
          <w:szCs w:val="21"/>
          <w:highlight w:val="yellow"/>
          <w:lang w:val="en-US" w:eastAsia="zh-CN"/>
        </w:rPr>
        <w:t>参与本项目政府采购活动的供应商应认真阅读以下特别警示条款，不得存在以下所列禁止情形，一旦发现，将被处以记入供应商诚信档案、罚款、取消参与政府采购资格、吊销营业执照等处罚；构成犯罪的，依法追究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参与本项目政府采购活动时，与其他投标供应商存在单位负责人为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7711" w:type="dxa"/>
            <w:tcBorders>
              <w:tl2br w:val="nil"/>
              <w:tr2bl w:val="nil"/>
            </w:tcBorders>
            <w:noWrap w:val="0"/>
            <w:vAlign w:val="center"/>
          </w:tcPr>
          <w:p>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w:t>
            </w:r>
            <w:r>
              <w:rPr>
                <w:rFonts w:hint="eastAsia" w:ascii="宋体" w:hAnsi="宋体" w:eastAsia="宋体" w:cs="宋体"/>
                <w:color w:val="FF0000"/>
                <w:sz w:val="21"/>
                <w:szCs w:val="21"/>
                <w:highlight w:val="none"/>
                <w:lang w:eastAsia="zh-CN"/>
              </w:rPr>
              <w:t>或</w:t>
            </w:r>
            <w:r>
              <w:rPr>
                <w:rFonts w:hint="eastAsia" w:ascii="宋体" w:hAnsi="宋体" w:eastAsia="宋体" w:cs="宋体"/>
                <w:color w:val="FF0000"/>
                <w:sz w:val="21"/>
                <w:szCs w:val="21"/>
                <w:highlight w:val="none"/>
                <w:lang w:val="en-US" w:eastAsia="zh-CN"/>
              </w:rPr>
              <w:t>电子营业执照出借他人使用或未妥善保管。</w:t>
            </w:r>
          </w:p>
        </w:tc>
      </w:tr>
    </w:tbl>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宋体" w:hAnsi="宋体"/>
          <w:color w:val="FF0000"/>
          <w:sz w:val="20"/>
          <w:szCs w:val="20"/>
        </w:rPr>
      </w:pP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b w:val="0"/>
          <w:bCs/>
          <w:color w:val="FF0000"/>
          <w:sz w:val="20"/>
          <w:szCs w:val="20"/>
          <w:lang w:val="en-US" w:eastAsia="zh-CN"/>
        </w:rPr>
        <w:t>四</w:t>
      </w:r>
      <w:r>
        <w:rPr>
          <w:rFonts w:hint="eastAsia" w:ascii="Times New Roman" w:eastAsia="宋体"/>
          <w:b w:val="0"/>
          <w:bCs/>
          <w:color w:val="FF0000"/>
          <w:sz w:val="20"/>
          <w:szCs w:val="20"/>
          <w:lang w:val="en-US" w:eastAsia="zh-CN"/>
        </w:rPr>
        <w:t>、供应商在使用深圳政府采购智慧平台的投标文件制作工具创建投标文件时，该工具将自动在投标文件中记录文件创建标识码，同时提取投标文件制作电脑的网卡MAC地址、硬盘序列号、CPU序列号、主板序列号和工具标识号，经加密生成文件制作机器码并在投标文件中记录。文件制作机器码一致表明不同供应商使用了同一设备编制投标文件，文件创建标识码一致表明不同供应商的投标文件为同一份文件，IP地址一致表明上传投标文件时使用了相同的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b w:val="0"/>
          <w:bCs/>
          <w:color w:val="FF0000"/>
          <w:sz w:val="20"/>
          <w:szCs w:val="20"/>
          <w:lang w:val="en-US" w:eastAsia="zh-CN"/>
        </w:rPr>
      </w:pPr>
      <w:r>
        <w:rPr>
          <w:rFonts w:hint="eastAsia" w:ascii="Times New Roman" w:eastAsia="宋体"/>
          <w:b w:val="0"/>
          <w:bCs/>
          <w:color w:val="FF0000"/>
          <w:sz w:val="20"/>
          <w:szCs w:val="20"/>
          <w:lang w:val="en-US" w:eastAsia="zh-CN"/>
        </w:rPr>
        <w:t>为避免出现不同供应商投标文件的文件制作机器码、文件创建标识码、IP地址一致的异常情况，建议各供应商编制、上传投标文件时不要使用公共电脑设备或公共网络。</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00" w:firstLineChars="200"/>
        <w:textAlignment w:val="auto"/>
        <w:rPr>
          <w:rFonts w:hint="eastAsia" w:ascii="Times New Roman" w:eastAsia="宋体"/>
          <w:b w:val="0"/>
          <w:bCs/>
          <w:color w:val="FF0000"/>
          <w:sz w:val="20"/>
          <w:szCs w:val="20"/>
          <w:lang w:val="en-US" w:eastAsia="zh-CN"/>
        </w:rPr>
      </w:pPr>
      <w:r>
        <w:rPr>
          <w:rFonts w:hint="eastAsia" w:ascii="Times New Roman" w:eastAsia="宋体"/>
          <w:b w:val="0"/>
          <w:bCs/>
          <w:color w:val="FF0000"/>
          <w:sz w:val="20"/>
          <w:szCs w:val="20"/>
          <w:lang w:val="en-US" w:eastAsia="zh-CN"/>
        </w:rPr>
        <w:t>根据《深圳经济特区政府采购条例实施细则》第七十五条规定，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w:t>
      </w:r>
      <w:r>
        <w:rPr>
          <w:rFonts w:hint="eastAsia" w:ascii="宋体" w:hAnsi="宋体"/>
          <w:color w:val="FF0000"/>
          <w:sz w:val="20"/>
          <w:szCs w:val="20"/>
        </w:rPr>
        <w:t>取消参与本市政府采购资格</w:t>
      </w:r>
      <w:r>
        <w:rPr>
          <w:rFonts w:hint="eastAsia" w:hAnsi="宋体"/>
          <w:color w:val="FF0000"/>
          <w:sz w:val="20"/>
          <w:szCs w:val="20"/>
          <w:lang w:eastAsia="zh-CN"/>
        </w:rPr>
        <w:t>、</w:t>
      </w:r>
      <w:r>
        <w:rPr>
          <w:rFonts w:hint="eastAsia" w:ascii="宋体" w:hAnsi="宋体"/>
          <w:color w:val="FF0000"/>
          <w:sz w:val="20"/>
          <w:szCs w:val="20"/>
        </w:rPr>
        <w:t>依法吊销其营业</w:t>
      </w:r>
      <w:r>
        <w:rPr>
          <w:rFonts w:hint="eastAsia" w:hAnsi="宋体"/>
          <w:color w:val="FF0000"/>
          <w:sz w:val="20"/>
          <w:szCs w:val="20"/>
          <w:lang w:val="en-US" w:eastAsia="zh-CN"/>
        </w:rPr>
        <w:t>执照等行政处罚，</w:t>
      </w:r>
      <w:r>
        <w:rPr>
          <w:rFonts w:hint="eastAsia" w:ascii="宋体" w:hAnsi="宋体"/>
          <w:color w:val="FF0000"/>
          <w:sz w:val="20"/>
          <w:szCs w:val="20"/>
        </w:rPr>
        <w:t>构成犯罪的，依法追究刑事责任</w:t>
      </w:r>
      <w:r>
        <w:rPr>
          <w:rFonts w:hint="eastAsia" w:ascii="Times New Roman" w:eastAsia="宋体"/>
          <w:b w:val="0"/>
          <w:bCs/>
          <w:color w:val="FF0000"/>
          <w:sz w:val="20"/>
          <w:szCs w:val="20"/>
          <w:lang w:val="en-US" w:eastAsia="zh-CN"/>
        </w:rPr>
        <w:t>，请各供应商独立编制、上传投标文件，妥善保管和使用电子秘钥。</w:t>
      </w:r>
    </w:p>
    <w:p>
      <w:pPr>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422" w:firstLineChars="200"/>
        <w:textAlignment w:val="auto"/>
        <w:rPr>
          <w:rFonts w:hint="eastAsia"/>
          <w:lang w:val="en-US" w:eastAsia="zh-CN"/>
        </w:rPr>
      </w:pPr>
      <w:r>
        <w:rPr>
          <w:rFonts w:hint="eastAsia" w:ascii="Times New Roman" w:eastAsia="宋体"/>
          <w:b/>
          <w:color w:val="FF0000"/>
          <w:lang w:val="en-US" w:eastAsia="zh-CN"/>
        </w:rPr>
        <w:t>五</w:t>
      </w:r>
      <w:r>
        <w:rPr>
          <w:rFonts w:hint="eastAsia"/>
          <w:b/>
          <w:color w:val="FF0000"/>
        </w:rPr>
        <w:t>、请投标供应商阅读《政府采购违法行为风险知悉确认书》（内容详见“投标文件附件（信息不公开部分）”中节点“投标人认为需要加以说明的其他内容（格式自定）”），并经各投标供应商负责人签字并加盖单位公章后，扫描上传至投标文件一并提交。</w:t>
      </w:r>
    </w:p>
    <w:p>
      <w:pPr>
        <w:pStyle w:val="51"/>
        <w:keepNext w:val="0"/>
        <w:keepLines w:val="0"/>
        <w:pageBreakBefore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textAlignment w:val="auto"/>
        <w:rPr>
          <w:rFonts w:hint="eastAsia"/>
          <w:b w:val="0"/>
          <w:bCs/>
          <w:color w:val="FF0000"/>
          <w:sz w:val="20"/>
          <w:szCs w:val="20"/>
          <w:lang w:val="en-US" w:eastAsia="zh-CN"/>
        </w:rPr>
      </w:pPr>
    </w:p>
    <w:p>
      <w:pPr>
        <w:pStyle w:val="15"/>
        <w:keepNext w:val="0"/>
        <w:keepLines w:val="0"/>
        <w:pageBreakBefore w:val="0"/>
        <w:widowControl/>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jc w:val="both"/>
        <w:textAlignment w:val="auto"/>
        <w:outlineLvl w:val="1"/>
        <w:rPr>
          <w:rFonts w:hint="eastAsia" w:ascii="黑体" w:hAnsi="宋体" w:eastAsia="黑体" w:cs="黑体"/>
          <w:kern w:val="0"/>
          <w:sz w:val="40"/>
          <w:szCs w:val="40"/>
        </w:rPr>
        <w:sectPr>
          <w:headerReference r:id="rId3" w:type="first"/>
          <w:footerReference r:id="rId4" w:type="default"/>
          <w:footerReference r:id="rId5" w:type="even"/>
          <w:pgSz w:w="11907" w:h="16840"/>
          <w:pgMar w:top="1440" w:right="1417" w:bottom="1440" w:left="1417" w:header="851" w:footer="992" w:gutter="0"/>
          <w:cols w:space="425" w:num="1"/>
          <w:titlePg/>
          <w:docGrid w:linePitch="462" w:charSpace="0"/>
        </w:sectPr>
      </w:pPr>
      <w:r>
        <w:rPr>
          <w:rFonts w:hint="eastAsia" w:ascii="Times New Roman" w:hAnsi="Times New Roman" w:eastAsia="宋体" w:cs="Times New Roman"/>
          <w:b/>
          <w:color w:val="FF0000"/>
          <w:kern w:val="2"/>
          <w:sz w:val="21"/>
          <w:szCs w:val="24"/>
          <w:lang w:val="en-US" w:eastAsia="zh-CN" w:bidi="ar-SA"/>
        </w:rPr>
        <w:t>注：“特别警示条款”和《政府采购违法行为风险知悉确认书》用于对供应商违法行为的提醒，不作为供应商资格性审查及符合性审查条件。</w:t>
      </w:r>
    </w:p>
    <w:p>
      <w:pPr>
        <w:widowControl/>
        <w:spacing w:beforeAutospacing="1" w:afterAutospacing="1"/>
        <w:jc w:val="center"/>
        <w:outlineLvl w:val="0"/>
        <w:rPr>
          <w:rFonts w:hint="eastAsia" w:ascii="黑体" w:hAnsi="宋体" w:eastAsia="黑体" w:cs="黑体"/>
          <w:kern w:val="0"/>
          <w:sz w:val="40"/>
          <w:szCs w:val="40"/>
        </w:rPr>
      </w:pPr>
      <w:r>
        <w:rPr>
          <w:rFonts w:hint="eastAsia" w:ascii="黑体" w:hAnsi="宋体" w:eastAsia="黑体" w:cs="黑体"/>
          <w:kern w:val="0"/>
          <w:sz w:val="40"/>
          <w:szCs w:val="40"/>
        </w:rPr>
        <w:t>招标文件信息</w:t>
      </w:r>
    </w:p>
    <w:tbl>
      <w:tblPr>
        <w:tblStyle w:val="18"/>
        <w:tblW w:w="4999" w:type="pct"/>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36" w:type="dxa"/>
          <w:left w:w="36" w:type="dxa"/>
          <w:bottom w:w="36" w:type="dxa"/>
          <w:right w:w="36" w:type="dxa"/>
        </w:tblCellMar>
      </w:tblPr>
      <w:tblGrid>
        <w:gridCol w:w="2879"/>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项目编号：</w:t>
            </w:r>
          </w:p>
        </w:tc>
        <w:tc>
          <w:tcPr>
            <w:tcW w:w="3285" w:type="pct"/>
            <w:vAlign w:val="center"/>
          </w:tcPr>
          <w:p>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LHAZXCG-2025-00020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项目名称：</w:t>
            </w:r>
          </w:p>
        </w:tc>
        <w:tc>
          <w:tcPr>
            <w:tcW w:w="3285" w:type="pct"/>
            <w:vAlign w:val="center"/>
          </w:tcPr>
          <w:p>
            <w:pPr>
              <w:spacing w:line="290" w:lineRule="exact"/>
              <w:jc w:val="center"/>
              <w:rPr>
                <w:rFonts w:hint="default" w:ascii="宋体" w:hAnsi="宋体" w:eastAsia="宋体" w:cs="Times New Roman"/>
                <w:sz w:val="28"/>
                <w:szCs w:val="28"/>
                <w:lang w:val="en-US" w:eastAsia="zh-CN"/>
              </w:rPr>
            </w:pPr>
            <w:r>
              <w:rPr>
                <w:rFonts w:hint="default" w:ascii="宋体" w:hAnsi="宋体" w:eastAsia="宋体" w:cs="Times New Roman"/>
                <w:sz w:val="28"/>
                <w:szCs w:val="28"/>
                <w:lang w:val="en-US" w:eastAsia="zh-CN"/>
              </w:rPr>
              <w:t>功能室桌椅及设备设施采购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包</w:t>
            </w:r>
            <w:r>
              <w:rPr>
                <w:rFonts w:hint="eastAsia" w:ascii="宋体" w:hAnsi="宋体" w:eastAsia="宋体" w:cs="Times New Roman"/>
                <w:sz w:val="28"/>
                <w:szCs w:val="28"/>
              </w:rPr>
              <w:t xml:space="preserve">    </w:t>
            </w:r>
            <w:r>
              <w:rPr>
                <w:rFonts w:ascii="宋体" w:hAnsi="宋体" w:eastAsia="宋体" w:cs="Times New Roman"/>
                <w:sz w:val="28"/>
                <w:szCs w:val="28"/>
              </w:rPr>
              <w:t>号：</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项目类型：</w:t>
            </w:r>
          </w:p>
        </w:tc>
        <w:tc>
          <w:tcPr>
            <w:tcW w:w="3285" w:type="pct"/>
            <w:vAlign w:val="center"/>
          </w:tcPr>
          <w:p>
            <w:pPr>
              <w:spacing w:line="290" w:lineRule="exact"/>
              <w:jc w:val="center"/>
              <w:rPr>
                <w:rFonts w:ascii="宋体" w:hAnsi="宋体" w:eastAsia="宋体" w:cs="Times New Roman"/>
                <w:sz w:val="28"/>
                <w:szCs w:val="28"/>
              </w:rPr>
            </w:pPr>
            <w:r>
              <w:rPr>
                <w:rFonts w:hint="eastAsia" w:ascii="宋体" w:hAnsi="宋体" w:eastAsia="宋体" w:cs="Times New Roman"/>
                <w:sz w:val="28"/>
                <w:szCs w:val="28"/>
              </w:rPr>
              <w:t>货物</w:t>
            </w:r>
            <w:r>
              <w:rPr>
                <w:rFonts w:ascii="宋体" w:hAnsi="宋体" w:eastAsia="宋体" w:cs="Times New Roman"/>
                <w:sz w:val="28"/>
                <w:szCs w:val="2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采购方式：</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货币类型：</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36" w:type="dxa"/>
            <w:left w:w="36" w:type="dxa"/>
            <w:bottom w:w="36" w:type="dxa"/>
            <w:right w:w="36" w:type="dxa"/>
          </w:tblCellMar>
        </w:tblPrEx>
        <w:trPr>
          <w:trHeight w:val="737" w:hRule="atLeast"/>
          <w:tblCellSpacing w:w="0" w:type="dxa"/>
          <w:jc w:val="center"/>
        </w:trPr>
        <w:tc>
          <w:tcPr>
            <w:tcW w:w="1714"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评标方法：</w:t>
            </w:r>
          </w:p>
        </w:tc>
        <w:tc>
          <w:tcPr>
            <w:tcW w:w="3285" w:type="pct"/>
            <w:vAlign w:val="center"/>
          </w:tcPr>
          <w:p>
            <w:pPr>
              <w:spacing w:line="290" w:lineRule="exact"/>
              <w:jc w:val="center"/>
              <w:rPr>
                <w:rFonts w:ascii="宋体" w:hAnsi="宋体" w:eastAsia="宋体" w:cs="Times New Roman"/>
                <w:sz w:val="28"/>
                <w:szCs w:val="28"/>
              </w:rPr>
            </w:pPr>
            <w:r>
              <w:rPr>
                <w:rFonts w:ascii="宋体" w:hAnsi="宋体" w:eastAsia="宋体" w:cs="Times New Roman"/>
                <w:sz w:val="28"/>
                <w:szCs w:val="28"/>
              </w:rPr>
              <w:t>综合评分法</w:t>
            </w:r>
          </w:p>
        </w:tc>
      </w:tr>
    </w:tbl>
    <w:p>
      <w:pPr>
        <w:tabs>
          <w:tab w:val="left" w:pos="2790"/>
        </w:tabs>
        <w:snapToGrid w:val="0"/>
        <w:spacing w:line="440" w:lineRule="exact"/>
        <w:jc w:val="left"/>
        <w:rPr>
          <w:rFonts w:hint="eastAsia" w:asciiTheme="minorEastAsia" w:hAnsiTheme="minorEastAsia"/>
          <w:sz w:val="30"/>
          <w:szCs w:val="3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资格性审查表</w:t>
      </w:r>
    </w:p>
    <w:tbl>
      <w:tblPr>
        <w:tblStyle w:val="18"/>
        <w:tblW w:w="946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6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序号</w:t>
            </w:r>
          </w:p>
        </w:tc>
        <w:tc>
          <w:tcPr>
            <w:tcW w:w="8669" w:type="dxa"/>
            <w:tcBorders>
              <w:top w:val="single" w:color="000000" w:sz="8" w:space="0"/>
              <w:left w:val="single" w:color="000000" w:sz="8" w:space="0"/>
              <w:bottom w:val="single" w:color="000000" w:sz="8" w:space="0"/>
              <w:right w:val="single" w:color="000000" w:sz="8" w:space="0"/>
            </w:tcBorders>
            <w:shd w:val="clear" w:color="auto" w:fill="E6EFFA"/>
            <w:vAlign w:val="center"/>
          </w:tcPr>
          <w:p>
            <w:pPr>
              <w:spacing w:line="290" w:lineRule="exact"/>
              <w:jc w:val="center"/>
              <w:rPr>
                <w:rFonts w:hint="eastAsia" w:ascii="宋体" w:hAnsi="宋体" w:eastAsia="宋体" w:cs="宋体"/>
                <w:szCs w:val="21"/>
              </w:rPr>
            </w:pPr>
            <w:r>
              <w:rPr>
                <w:rFonts w:ascii="宋体" w:hAnsi="宋体" w:eastAsia="宋体" w:cs="Times New Roman"/>
                <w:szCs w:val="21"/>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tcPr>
          <w:p>
            <w:pPr>
              <w:spacing w:line="290" w:lineRule="exact"/>
              <w:jc w:val="center"/>
              <w:rPr>
                <w:rFonts w:hint="eastAsia" w:ascii="宋体" w:hAnsi="宋体" w:eastAsia="宋体" w:cs="宋体"/>
                <w:szCs w:val="21"/>
              </w:rPr>
            </w:pPr>
            <w:r>
              <w:rPr>
                <w:rFonts w:ascii="宋体" w:hAnsi="宋体" w:eastAsia="宋体" w:cs="Times New Roman"/>
                <w:szCs w:val="21"/>
              </w:rPr>
              <w:t>1</w:t>
            </w:r>
          </w:p>
        </w:tc>
        <w:tc>
          <w:tcPr>
            <w:tcW w:w="8669" w:type="dxa"/>
            <w:tcBorders>
              <w:top w:val="single" w:color="000000" w:sz="8" w:space="0"/>
              <w:left w:val="single" w:color="000000" w:sz="8" w:space="0"/>
              <w:bottom w:val="single" w:color="000000" w:sz="8" w:space="0"/>
              <w:right w:val="single" w:color="000000" w:sz="8" w:space="0"/>
            </w:tcBorders>
          </w:tcPr>
          <w:p>
            <w:pPr>
              <w:spacing w:line="290" w:lineRule="exact"/>
              <w:rPr>
                <w:rFonts w:hint="eastAsia" w:ascii="宋体" w:hAnsi="宋体" w:eastAsia="宋体" w:cs="宋体"/>
                <w:szCs w:val="21"/>
              </w:rPr>
            </w:pPr>
            <w:r>
              <w:rPr>
                <w:rFonts w:ascii="宋体" w:hAnsi="宋体" w:cs="宋体"/>
                <w:kern w:val="0"/>
                <w:szCs w:val="21"/>
                <w:lang w:bidi="ar"/>
              </w:rPr>
              <w:t>投标人不</w:t>
            </w:r>
            <w:r>
              <w:rPr>
                <w:rFonts w:hint="eastAsia" w:ascii="宋体" w:hAnsi="宋体" w:cs="宋体"/>
                <w:kern w:val="0"/>
                <w:szCs w:val="21"/>
                <w:lang w:bidi="ar"/>
              </w:rPr>
              <w:t>符合</w:t>
            </w:r>
            <w:r>
              <w:rPr>
                <w:rFonts w:ascii="宋体" w:hAnsi="宋体" w:cs="宋体"/>
                <w:kern w:val="0"/>
                <w:szCs w:val="21"/>
                <w:lang w:bidi="ar"/>
              </w:rPr>
              <w:t>资格要求，或未提交相应的资格证明资料（详见招标公告</w:t>
            </w:r>
            <w:r>
              <w:rPr>
                <w:rFonts w:hint="eastAsia" w:ascii="宋体" w:hAnsi="宋体"/>
                <w:szCs w:val="21"/>
              </w:rPr>
              <w:t>投标人资格要求，即申请人的资格要求</w:t>
            </w:r>
            <w:r>
              <w:rPr>
                <w:rFonts w:ascii="宋体" w:hAnsi="宋体" w:cs="宋体"/>
                <w:kern w:val="0"/>
                <w:szCs w:val="21"/>
                <w:lang w:bidi="ar"/>
              </w:rPr>
              <w:t>）</w:t>
            </w:r>
          </w:p>
        </w:tc>
      </w:tr>
    </w:tbl>
    <w:p>
      <w:pPr>
        <w:tabs>
          <w:tab w:val="left" w:pos="2790"/>
        </w:tabs>
        <w:snapToGrid w:val="0"/>
        <w:jc w:val="center"/>
        <w:rPr>
          <w:rFonts w:hint="eastAsia" w:ascii="黑体" w:hAnsi="黑体" w:eastAsia="黑体" w:cs="Times New Roman"/>
          <w:sz w:val="40"/>
          <w:szCs w:val="40"/>
        </w:rPr>
      </w:pPr>
    </w:p>
    <w:p>
      <w:pPr>
        <w:tabs>
          <w:tab w:val="left" w:pos="2790"/>
        </w:tabs>
        <w:snapToGrid w:val="0"/>
        <w:jc w:val="center"/>
        <w:outlineLvl w:val="0"/>
        <w:rPr>
          <w:rFonts w:hint="eastAsia" w:ascii="黑体" w:hAnsi="黑体" w:eastAsia="黑体" w:cs="Times New Roman"/>
          <w:sz w:val="40"/>
          <w:szCs w:val="40"/>
        </w:rPr>
      </w:pPr>
      <w:r>
        <w:rPr>
          <w:rFonts w:hint="eastAsia" w:ascii="黑体" w:hAnsi="黑体" w:eastAsia="黑体" w:cs="Times New Roman"/>
          <w:sz w:val="40"/>
          <w:szCs w:val="40"/>
        </w:rPr>
        <w:t>符合性审查表</w:t>
      </w:r>
    </w:p>
    <w:tbl>
      <w:tblPr>
        <w:tblStyle w:val="18"/>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94"/>
        <w:gridCol w:w="82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序号</w:t>
            </w:r>
          </w:p>
        </w:tc>
        <w:tc>
          <w:tcPr>
            <w:tcW w:w="8284" w:type="dxa"/>
            <w:tcBorders>
              <w:top w:val="single" w:color="000000" w:sz="8" w:space="0"/>
              <w:left w:val="single" w:color="000000" w:sz="8" w:space="0"/>
              <w:bottom w:val="single" w:color="000000" w:sz="8" w:space="0"/>
              <w:right w:val="single" w:color="000000" w:sz="8" w:space="0"/>
            </w:tcBorders>
            <w:shd w:val="clear" w:color="auto" w:fill="E6EFFA"/>
            <w:vAlign w:val="center"/>
          </w:tcPr>
          <w:p>
            <w:pPr>
              <w:widowControl/>
              <w:jc w:val="center"/>
              <w:rPr>
                <w:sz w:val="28"/>
                <w:szCs w:val="28"/>
              </w:rPr>
            </w:pPr>
            <w:r>
              <w:rPr>
                <w:rFonts w:ascii="宋体" w:hAnsi="宋体" w:cs="宋体"/>
                <w:kern w:val="0"/>
                <w:sz w:val="28"/>
                <w:szCs w:val="28"/>
                <w:lang w:bidi="ar"/>
              </w:rPr>
              <w:t>内容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rFonts w:ascii="宋体" w:hAnsi="宋体" w:cs="宋体"/>
                <w:kern w:val="0"/>
                <w:szCs w:val="21"/>
                <w:lang w:bidi="ar"/>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lang w:val="en-US" w:eastAsia="zh-CN"/>
              </w:rPr>
              <w:t>不得</w:t>
            </w:r>
            <w:r>
              <w:rPr>
                <w:rFonts w:hint="eastAsia"/>
              </w:rPr>
              <w:t>将一个包的内容拆开投标；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对同一项目投标时，</w:t>
            </w:r>
            <w:r>
              <w:rPr>
                <w:rFonts w:hint="eastAsia"/>
                <w:lang w:val="en-US" w:eastAsia="zh-CN"/>
              </w:rPr>
              <w:t>不得</w:t>
            </w:r>
            <w:r>
              <w:rPr>
                <w:rFonts w:hint="eastAsia"/>
              </w:rPr>
              <w:t>提供两套以上的投标方案（招标文件另有规定的除外）；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分项报价或投标总价</w:t>
            </w:r>
            <w:r>
              <w:rPr>
                <w:rFonts w:hint="eastAsia"/>
                <w:lang w:val="en-US" w:eastAsia="zh-CN"/>
              </w:rPr>
              <w:t>不得</w:t>
            </w:r>
            <w:r>
              <w:rPr>
                <w:rFonts w:hint="eastAsia"/>
              </w:rPr>
              <w:t>高于相应预算金额（或设定的预算金额下的最高限价）；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所投货物、服务在技术、商务等方面没有实质性满足招标文件要求的（是否实质性满足招标文件要求，由评审委员会根据实质性条款响应情况做出评判；若招标文件未设置实质性条款，不得据此做投标无效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未按招标文件所提供的样式填写《投标函》；未按招标文件所提供的《政府采购投标及履约承诺函》进行承诺；未按招标文件对投标文件组成的要求提供投标文件；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r>
              <w:rPr>
                <w:rFonts w:hint="eastAsia"/>
                <w:color w:val="auto"/>
                <w:lang w:val="en-US" w:eastAsia="zh-CN"/>
              </w:rPr>
              <w:t>采购标的/服务</w:t>
            </w:r>
            <w:r>
              <w:rPr>
                <w:rFonts w:hint="eastAsia" w:ascii="Times New Roman" w:eastAsia="宋体"/>
                <w:color w:val="auto"/>
                <w:lang w:val="en-US" w:eastAsia="zh-CN"/>
              </w:rPr>
              <w:t>清单</w:t>
            </w:r>
            <w:r>
              <w:rPr>
                <w:rFonts w:hint="eastAsia"/>
                <w:color w:val="auto"/>
                <w:lang w:val="en-US" w:eastAsia="zh-CN"/>
              </w:rPr>
              <w:t>/报价等任意一类</w:t>
            </w:r>
            <w:r>
              <w:rPr>
                <w:rFonts w:hint="eastAsia" w:ascii="Times New Roman" w:eastAsia="宋体"/>
                <w:color w:val="auto"/>
                <w:lang w:val="en-US" w:eastAsia="zh-CN"/>
              </w:rPr>
              <w:t>有缺漏项或响应不全</w:t>
            </w:r>
            <w:r>
              <w:rPr>
                <w:rFonts w:hint="eastAsia"/>
                <w:color w:val="auto"/>
                <w:lang w:val="en-US" w:eastAsia="zh-CN"/>
              </w:rPr>
              <w:t>，</w:t>
            </w:r>
            <w:r>
              <w:rPr>
                <w:rFonts w:hint="eastAsia"/>
              </w:rPr>
              <w:t>或者对招标文件规定的项目需求内容或者需求数量进行修改</w:t>
            </w:r>
            <w:r>
              <w:rPr>
                <w:rFonts w:hint="eastAsia"/>
                <w:szCs w:val="21"/>
              </w:rPr>
              <w:t>，评审委员会判定投标响应不满足采购需求</w:t>
            </w:r>
            <w:r>
              <w:rPr>
                <w:rFonts w:hint="eastAsia"/>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投标文件存在列放位置错误，导致属于信息公开情形的没有被公开；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投标文件电子文档</w:t>
            </w:r>
            <w:r>
              <w:rPr>
                <w:rFonts w:hint="eastAsia"/>
                <w:lang w:val="en-US" w:eastAsia="zh-CN"/>
              </w:rPr>
              <w:t>不得</w:t>
            </w:r>
            <w:r>
              <w:rPr>
                <w:rFonts w:hint="eastAsia"/>
              </w:rPr>
              <w:t>带病毒；</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ascii="宋体" w:hAnsi="宋体" w:cs="宋体"/>
                <w:kern w:val="0"/>
                <w:szCs w:val="21"/>
                <w:lang w:bidi="ar"/>
              </w:rPr>
              <w:t>10</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投标文件用不属于本公司的电子密钥或电子营业执照进行加密的；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280"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11</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不同投标供应商投标文件“文件制作机器码”一致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12</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widowControl/>
              <w:jc w:val="left"/>
              <w:textAlignment w:val="top"/>
              <w:rPr>
                <w:rFonts w:eastAsia="宋体"/>
                <w:szCs w:val="24"/>
              </w:rPr>
            </w:pPr>
            <w:r>
              <w:rPr>
                <w:rFonts w:hint="eastAsia" w:ascii="Times New Roman" w:hAnsi="Times New Roman" w:eastAsia="宋体" w:cs="Times New Roman"/>
                <w:sz w:val="21"/>
                <w:szCs w:val="24"/>
              </w:rPr>
              <w:t>不同投标供应商投标文件“文件创建标识码”一致</w:t>
            </w:r>
            <w:r>
              <w:rPr>
                <w:rFonts w:hint="eastAsia" w:ascii="Times New Roman" w:hAnsi="Times New Roman" w:eastAsia="宋体" w:cs="Times New Roman"/>
                <w:sz w:val="21"/>
                <w:szCs w:val="24"/>
                <w:lang w:eastAsia="zh-CN"/>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rFonts w:ascii="宋体" w:hAnsi="宋体" w:cs="宋体"/>
                <w:kern w:val="0"/>
                <w:szCs w:val="21"/>
                <w:lang w:bidi="ar"/>
              </w:rPr>
            </w:pPr>
            <w:r>
              <w:rPr>
                <w:rFonts w:hint="eastAsia" w:ascii="宋体" w:hAnsi="宋体" w:cs="宋体"/>
                <w:kern w:val="0"/>
                <w:szCs w:val="21"/>
                <w:lang w:bidi="ar"/>
              </w:rPr>
              <w:t>13</w:t>
            </w:r>
          </w:p>
        </w:tc>
        <w:tc>
          <w:tcPr>
            <w:tcW w:w="8284" w:type="dxa"/>
            <w:tcBorders>
              <w:top w:val="single" w:color="000000" w:sz="8" w:space="0"/>
              <w:left w:val="single" w:color="000000" w:sz="8" w:space="0"/>
              <w:bottom w:val="single" w:color="000000" w:sz="8" w:space="0"/>
              <w:right w:val="single" w:color="000000" w:sz="8" w:space="0"/>
            </w:tcBorders>
            <w:shd w:val="clear" w:color="auto" w:fill="auto"/>
            <w:vAlign w:val="top"/>
          </w:tcPr>
          <w:p>
            <w:pPr>
              <w:rPr>
                <w:szCs w:val="21"/>
              </w:rPr>
            </w:pPr>
            <w:r>
              <w:rPr>
                <w:rFonts w:hint="eastAsia"/>
              </w:rPr>
              <w:t>法律、法规、规章、规范性文件规定的其他情形。</w:t>
            </w:r>
          </w:p>
        </w:tc>
      </w:tr>
    </w:tbl>
    <w:p>
      <w:pPr>
        <w:tabs>
          <w:tab w:val="left" w:pos="2790"/>
        </w:tabs>
        <w:snapToGrid w:val="0"/>
        <w:jc w:val="left"/>
        <w:rPr>
          <w:sz w:val="24"/>
          <w:szCs w:val="24"/>
        </w:rPr>
      </w:pPr>
    </w:p>
    <w:p>
      <w:pPr>
        <w:tabs>
          <w:tab w:val="left" w:pos="2790"/>
        </w:tabs>
        <w:snapToGrid w:val="0"/>
        <w:jc w:val="left"/>
        <w:rPr>
          <w:sz w:val="24"/>
          <w:szCs w:val="24"/>
        </w:rPr>
      </w:pPr>
    </w:p>
    <w:p>
      <w:pPr>
        <w:tabs>
          <w:tab w:val="left" w:pos="2790"/>
        </w:tabs>
        <w:snapToGrid w:val="0"/>
        <w:jc w:val="left"/>
        <w:rPr>
          <w:sz w:val="24"/>
          <w:szCs w:val="24"/>
        </w:rPr>
      </w:pPr>
    </w:p>
    <w:p>
      <w:pPr>
        <w:tabs>
          <w:tab w:val="left" w:pos="2790"/>
        </w:tabs>
        <w:snapToGrid w:val="0"/>
        <w:jc w:val="left"/>
        <w:rPr>
          <w:sz w:val="24"/>
          <w:szCs w:val="24"/>
        </w:rPr>
      </w:pPr>
    </w:p>
    <w:p>
      <w:pPr>
        <w:pStyle w:val="15"/>
        <w:jc w:val="center"/>
        <w:outlineLvl w:val="0"/>
        <w:rPr>
          <w:rFonts w:hint="eastAsia" w:ascii="黑体" w:eastAsia="黑体"/>
          <w:sz w:val="40"/>
          <w:szCs w:val="40"/>
        </w:rPr>
      </w:pPr>
      <w:r>
        <w:rPr>
          <w:rFonts w:hint="eastAsia" w:ascii="黑体" w:hAnsi="黑体" w:eastAsia="黑体"/>
          <w:sz w:val="40"/>
          <w:szCs w:val="40"/>
        </w:rPr>
        <w:t>评标信息</w:t>
      </w:r>
    </w:p>
    <w:tbl>
      <w:tblPr>
        <w:tblStyle w:val="18"/>
        <w:tblW w:w="9224" w:type="dxa"/>
        <w:jc w:val="center"/>
        <w:tblCellSpacing w:w="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45" w:type="dxa"/>
          <w:left w:w="45" w:type="dxa"/>
          <w:bottom w:w="45" w:type="dxa"/>
          <w:right w:w="45" w:type="dxa"/>
        </w:tblCellMar>
      </w:tblPr>
      <w:tblGrid>
        <w:gridCol w:w="83"/>
        <w:gridCol w:w="353"/>
        <w:gridCol w:w="485"/>
        <w:gridCol w:w="1473"/>
        <w:gridCol w:w="979"/>
        <w:gridCol w:w="5768"/>
        <w:gridCol w:w="83"/>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83" w:type="dxa"/>
          <w:tblCellSpacing w:w="0" w:type="dxa"/>
          <w:jc w:val="center"/>
        </w:trPr>
        <w:tc>
          <w:tcPr>
            <w:tcW w:w="9141" w:type="dxa"/>
            <w:gridSpan w:val="6"/>
            <w:shd w:val="clear" w:color="auto" w:fill="auto"/>
            <w:vAlign w:val="center"/>
          </w:tcPr>
          <w:p>
            <w:pPr>
              <w:jc w:val="left"/>
              <w:rPr>
                <w:rFonts w:ascii="宋体"/>
                <w:b/>
                <w:bCs/>
                <w:sz w:val="24"/>
              </w:rPr>
            </w:pPr>
            <w:r>
              <w:rPr>
                <w:b/>
                <w:bCs/>
              </w:rPr>
              <w:t>评标方法：综合评分法</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45" w:type="dxa"/>
            <w:left w:w="45" w:type="dxa"/>
            <w:bottom w:w="45" w:type="dxa"/>
            <w:right w:w="45" w:type="dxa"/>
          </w:tblCellMar>
        </w:tblPrEx>
        <w:trPr>
          <w:gridBefore w:val="1"/>
          <w:wBefore w:w="83" w:type="dxa"/>
          <w:tblCellSpacing w:w="0" w:type="dxa"/>
          <w:jc w:val="center"/>
        </w:trPr>
        <w:tc>
          <w:tcPr>
            <w:tcW w:w="9141" w:type="dxa"/>
            <w:gridSpan w:val="6"/>
            <w:shd w:val="clear" w:color="auto" w:fill="auto"/>
            <w:vAlign w:val="center"/>
          </w:tcPr>
          <w:p>
            <w:pPr>
              <w:ind w:firstLine="420"/>
              <w:rPr>
                <w:rFonts w:eastAsia="宋体"/>
                <w:szCs w:val="21"/>
              </w:rPr>
            </w:pPr>
            <w:r>
              <w:rPr>
                <w:szCs w:val="21"/>
              </w:rPr>
              <w:t>综合评分法，</w:t>
            </w:r>
            <w:r>
              <w:rPr>
                <w:rFonts w:hint="eastAsia"/>
                <w:szCs w:val="21"/>
              </w:rPr>
              <w:t>是指投标文件满足招标文件全部实质性要求，且按照评审因素的量化指标评审得分排名前列</w:t>
            </w:r>
            <w:r>
              <w:rPr>
                <w:szCs w:val="21"/>
              </w:rPr>
              <w:t>的投标人为中标候选人的评标方法。</w:t>
            </w:r>
          </w:p>
          <w:p>
            <w:pPr>
              <w:ind w:firstLine="420"/>
            </w:pPr>
          </w:p>
          <w:p>
            <w:pPr>
              <w:ind w:firstLine="420"/>
              <w:rPr>
                <w:szCs w:val="21"/>
              </w:rPr>
            </w:pPr>
            <w:r>
              <w:rPr>
                <w:szCs w:val="21"/>
              </w:rPr>
              <w:t>价格分计算方法：</w:t>
            </w:r>
          </w:p>
          <w:p>
            <w:pPr>
              <w:pStyle w:val="15"/>
              <w:spacing w:beforeAutospacing="0" w:afterAutospacing="0"/>
              <w:ind w:left="420"/>
              <w:rPr>
                <w:rFonts w:hint="eastAsia"/>
                <w:sz w:val="21"/>
                <w:szCs w:val="21"/>
              </w:rPr>
            </w:pPr>
            <w:r>
              <w:rPr>
                <w:sz w:val="21"/>
                <w:szCs w:val="21"/>
              </w:rPr>
              <w:t xml:space="preserve">采用低价优先法计算，即满足招标文件要求且投标价格最低的投标报价为评标基准价，其价格分为满分。其他投标人的价格分统一按照下列公式计算：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pPr>
              <w:pStyle w:val="15"/>
              <w:spacing w:beforeAutospacing="0" w:afterAutospacing="0"/>
              <w:ind w:left="420"/>
              <w:rPr>
                <w:rFonts w:hint="eastAsia"/>
              </w:rPr>
            </w:pPr>
            <w:r>
              <w:rPr>
                <w:rFonts w:hint="eastAsia"/>
                <w:sz w:val="21"/>
                <w:szCs w:val="21"/>
              </w:rPr>
              <w:t>因落实政府采购政策进行价格调整的，以调整后的价格计算评标基准价和投标报价。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rPr>
            </w:pPr>
            <w:r>
              <w:rPr>
                <w:rFonts w:hint="eastAsia" w:ascii="宋体" w:hAnsi="宋体" w:cs="宋体"/>
                <w:b/>
                <w:bCs/>
                <w:szCs w:val="21"/>
              </w:rPr>
              <w:t>序号</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rPr>
            </w:pPr>
            <w:r>
              <w:rPr>
                <w:rFonts w:hint="eastAsia" w:ascii="宋体" w:hAnsi="宋体" w:cs="宋体"/>
                <w:b/>
                <w:bCs/>
                <w:szCs w:val="21"/>
              </w:rPr>
              <w:t>评分项</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b/>
                <w:bCs/>
                <w:szCs w:val="21"/>
              </w:rPr>
            </w:pPr>
            <w:r>
              <w:rPr>
                <w:rFonts w:hint="eastAsia" w:ascii="宋体" w:hAnsi="宋体" w:cs="宋体"/>
                <w:b/>
                <w:bCs/>
                <w:szCs w:val="21"/>
              </w:rPr>
              <w:t>权重（%）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1</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价格</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2</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技术部分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55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序号</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评分因素</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权重</w:t>
            </w:r>
            <w:r>
              <w:rPr>
                <w:rFonts w:hint="eastAsia" w:ascii="宋体" w:hAnsi="宋体" w:cs="宋体"/>
                <w:bCs/>
                <w:szCs w:val="21"/>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exact"/>
              <w:jc w:val="center"/>
              <w:rPr>
                <w:rFonts w:ascii="宋体" w:hAnsi="宋体" w:cs="宋体"/>
                <w:szCs w:val="21"/>
              </w:rPr>
            </w:pPr>
            <w:r>
              <w:rPr>
                <w:rFonts w:ascii="宋体" w:hAnsi="宋体"/>
                <w:szCs w:val="21"/>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szCs w:val="21"/>
              </w:rPr>
            </w:pPr>
            <w:r>
              <w:rPr>
                <w:rFonts w:hint="eastAsia" w:ascii="宋体" w:hAnsi="宋体" w:cs="宋体"/>
                <w:szCs w:val="21"/>
              </w:rPr>
              <w:t>技术保障措施</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szCs w:val="21"/>
              </w:rPr>
            </w:pPr>
            <w:r>
              <w:rPr>
                <w:rFonts w:hint="eastAsia" w:ascii="宋体" w:hAnsi="宋体" w:cs="宋体"/>
                <w:szCs w:val="21"/>
              </w:rPr>
              <w:t>3</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exact"/>
              <w:jc w:val="left"/>
              <w:rPr>
                <w:rFonts w:ascii="宋体" w:hAnsi="宋体" w:cs="宋体" w:eastAsiaTheme="minorEastAsia"/>
                <w:b/>
                <w:bCs/>
                <w:szCs w:val="21"/>
              </w:rPr>
            </w:pPr>
            <w:r>
              <w:rPr>
                <w:rFonts w:hint="eastAsia" w:ascii="宋体" w:hAnsi="宋体" w:cs="宋体" w:eastAsiaTheme="minorEastAsia"/>
                <w:b/>
                <w:bCs/>
                <w:szCs w:val="21"/>
              </w:rPr>
              <w:t>考察内容：</w:t>
            </w:r>
          </w:p>
          <w:p>
            <w:pPr>
              <w:spacing w:line="360" w:lineRule="exact"/>
              <w:jc w:val="left"/>
              <w:rPr>
                <w:rFonts w:ascii="宋体" w:hAnsi="宋体" w:cs="宋体" w:eastAsiaTheme="minorEastAsia"/>
                <w:szCs w:val="21"/>
              </w:rPr>
            </w:pPr>
            <w:r>
              <w:rPr>
                <w:rFonts w:hint="eastAsia" w:ascii="宋体" w:hAnsi="宋体" w:cs="宋体" w:eastAsiaTheme="minorEastAsia"/>
                <w:szCs w:val="21"/>
              </w:rPr>
              <w:t>投标人根据本项目特点及需求提供实施方案，内容包含：</w:t>
            </w:r>
          </w:p>
          <w:p>
            <w:pPr>
              <w:spacing w:line="360" w:lineRule="exact"/>
              <w:jc w:val="left"/>
              <w:rPr>
                <w:rFonts w:ascii="宋体" w:hAnsi="宋体" w:cs="宋体" w:eastAsiaTheme="minorEastAsia"/>
                <w:szCs w:val="21"/>
              </w:rPr>
            </w:pPr>
            <w:r>
              <w:rPr>
                <w:rFonts w:hint="eastAsia" w:ascii="宋体" w:hAnsi="宋体" w:cs="宋体" w:eastAsiaTheme="minorEastAsia"/>
                <w:szCs w:val="21"/>
              </w:rPr>
              <w:t>1.施工保障措施；</w:t>
            </w:r>
          </w:p>
          <w:p>
            <w:pPr>
              <w:spacing w:line="360" w:lineRule="exact"/>
              <w:jc w:val="left"/>
              <w:rPr>
                <w:rFonts w:ascii="宋体" w:hAnsi="宋体" w:cs="宋体" w:eastAsiaTheme="minorEastAsia"/>
                <w:szCs w:val="21"/>
              </w:rPr>
            </w:pPr>
            <w:r>
              <w:rPr>
                <w:rFonts w:hint="eastAsia" w:ascii="宋体" w:hAnsi="宋体" w:cs="宋体" w:eastAsiaTheme="minorEastAsia"/>
                <w:szCs w:val="21"/>
              </w:rPr>
              <w:t>2.质量保证措施；</w:t>
            </w:r>
          </w:p>
          <w:p>
            <w:pPr>
              <w:spacing w:line="360" w:lineRule="exact"/>
              <w:jc w:val="left"/>
              <w:rPr>
                <w:rFonts w:ascii="宋体" w:hAnsi="宋体" w:cs="宋体" w:eastAsiaTheme="minorEastAsia"/>
                <w:szCs w:val="21"/>
              </w:rPr>
            </w:pPr>
            <w:r>
              <w:rPr>
                <w:rFonts w:hint="eastAsia" w:ascii="宋体" w:hAnsi="宋体" w:cs="宋体" w:eastAsiaTheme="minorEastAsia"/>
                <w:szCs w:val="21"/>
              </w:rPr>
              <w:t>3.供货方案；</w:t>
            </w:r>
          </w:p>
          <w:p>
            <w:pPr>
              <w:spacing w:line="360" w:lineRule="exact"/>
              <w:jc w:val="left"/>
              <w:rPr>
                <w:rFonts w:ascii="宋体" w:hAnsi="宋体" w:cs="宋体" w:eastAsiaTheme="minorEastAsia"/>
                <w:szCs w:val="21"/>
              </w:rPr>
            </w:pPr>
            <w:r>
              <w:rPr>
                <w:rFonts w:hint="eastAsia" w:ascii="宋体" w:hAnsi="宋体" w:cs="宋体" w:eastAsiaTheme="minorEastAsia"/>
                <w:szCs w:val="21"/>
              </w:rPr>
              <w:t>4.售后服务方案。</w:t>
            </w:r>
          </w:p>
          <w:p>
            <w:pPr>
              <w:wordWrap w:val="0"/>
              <w:spacing w:line="360" w:lineRule="exact"/>
              <w:rPr>
                <w:rFonts w:ascii="宋体" w:hAnsi="宋体" w:cs="宋体" w:eastAsiaTheme="minorEastAsia"/>
                <w:b/>
                <w:bCs/>
                <w:szCs w:val="21"/>
              </w:rPr>
            </w:pPr>
            <w:r>
              <w:rPr>
                <w:rFonts w:hint="eastAsia" w:ascii="宋体" w:hAnsi="宋体" w:cs="宋体" w:eastAsiaTheme="minorEastAsia"/>
                <w:b/>
                <w:bCs/>
                <w:szCs w:val="21"/>
              </w:rPr>
              <w:t>评分依据：</w:t>
            </w:r>
          </w:p>
          <w:p>
            <w:pPr>
              <w:spacing w:line="360" w:lineRule="exact"/>
              <w:jc w:val="left"/>
              <w:rPr>
                <w:rFonts w:ascii="宋体" w:hAnsi="宋体" w:cs="宋体" w:eastAsiaTheme="minorEastAsia"/>
                <w:szCs w:val="21"/>
              </w:rPr>
            </w:pPr>
            <w:r>
              <w:rPr>
                <w:rFonts w:hint="eastAsia" w:ascii="宋体" w:hAnsi="宋体" w:cs="宋体" w:eastAsiaTheme="minorEastAsia"/>
                <w:szCs w:val="21"/>
              </w:rPr>
              <w:t>1.方案中每包含上述1项的得15分，4项全部包含的得60分。</w:t>
            </w:r>
          </w:p>
          <w:p>
            <w:pPr>
              <w:spacing w:line="360" w:lineRule="exact"/>
              <w:jc w:val="left"/>
              <w:rPr>
                <w:rFonts w:ascii="宋体" w:hAnsi="宋体" w:cs="宋体" w:eastAsiaTheme="minorEastAsia"/>
                <w:szCs w:val="21"/>
              </w:rPr>
            </w:pPr>
            <w:r>
              <w:rPr>
                <w:rFonts w:hint="eastAsia" w:ascii="宋体" w:hAnsi="宋体" w:cs="宋体" w:eastAsiaTheme="minorEastAsia"/>
                <w:szCs w:val="21"/>
              </w:rPr>
              <w:t>2.在第1点基础上，根据方案整体全面性、准确性、针对性、合理性进行评分：</w:t>
            </w:r>
          </w:p>
          <w:p>
            <w:pPr>
              <w:spacing w:line="360" w:lineRule="exact"/>
              <w:jc w:val="left"/>
              <w:rPr>
                <w:rFonts w:ascii="宋体" w:hAnsi="宋体" w:cs="宋体" w:eastAsiaTheme="minorEastAsia"/>
                <w:szCs w:val="21"/>
              </w:rPr>
            </w:pPr>
            <w:r>
              <w:rPr>
                <w:rFonts w:hint="eastAsia" w:ascii="宋体" w:hAnsi="宋体" w:cs="宋体" w:eastAsiaTheme="minorEastAsia"/>
                <w:szCs w:val="21"/>
              </w:rPr>
              <w:t>（1）优：对项目理解准确全面，对评分内容有针对性详细分析，实施方案详细且贴切项目实际，得40分；</w:t>
            </w:r>
          </w:p>
          <w:p>
            <w:pPr>
              <w:spacing w:line="360" w:lineRule="exact"/>
              <w:jc w:val="left"/>
              <w:rPr>
                <w:rFonts w:ascii="宋体" w:hAnsi="宋体" w:cs="宋体" w:eastAsiaTheme="minorEastAsia"/>
                <w:szCs w:val="21"/>
              </w:rPr>
            </w:pPr>
            <w:r>
              <w:rPr>
                <w:rFonts w:hint="eastAsia" w:ascii="宋体" w:hAnsi="宋体" w:cs="宋体" w:eastAsiaTheme="minorEastAsia"/>
                <w:szCs w:val="21"/>
              </w:rPr>
              <w:t>（2）良：对项目理解不准确但对评分内容分析全面或对项目理解准确但对考察内容分析不全面，实施方案详细但针对性不强的，得20分；</w:t>
            </w:r>
          </w:p>
          <w:p>
            <w:pPr>
              <w:spacing w:line="360" w:lineRule="exact"/>
              <w:jc w:val="left"/>
              <w:rPr>
                <w:rFonts w:ascii="宋体" w:hAnsi="宋体" w:cs="宋体" w:eastAsiaTheme="minorEastAsia"/>
                <w:szCs w:val="21"/>
              </w:rPr>
            </w:pPr>
            <w:r>
              <w:rPr>
                <w:rFonts w:hint="eastAsia" w:ascii="宋体" w:hAnsi="宋体" w:cs="宋体" w:eastAsiaTheme="minorEastAsia"/>
                <w:szCs w:val="21"/>
              </w:rPr>
              <w:t>（3）中：对项目理解不准确且对考察内容分析不全面，实施方案简要且针对性不强的，得10分；</w:t>
            </w:r>
          </w:p>
          <w:p>
            <w:pPr>
              <w:pStyle w:val="10"/>
              <w:spacing w:line="360" w:lineRule="exact"/>
              <w:rPr>
                <w:rFonts w:ascii="宋体" w:hAnsi="宋体" w:cs="宋体" w:eastAsiaTheme="minorEastAsia"/>
                <w:b w:val="0"/>
                <w:bCs w:val="0"/>
                <w:sz w:val="21"/>
                <w:szCs w:val="21"/>
              </w:rPr>
            </w:pPr>
            <w:r>
              <w:rPr>
                <w:rFonts w:hint="eastAsia" w:ascii="宋体" w:hAnsi="宋体" w:cs="宋体" w:eastAsiaTheme="minorEastAsia"/>
                <w:b w:val="0"/>
                <w:bCs w:val="0"/>
                <w:sz w:val="21"/>
                <w:szCs w:val="21"/>
              </w:rPr>
              <w:t>（4）差：没有理解项目需求且没有针对考察内容进行分析，缺少施工方案的，不得分。</w:t>
            </w:r>
          </w:p>
          <w:p>
            <w:pPr>
              <w:pStyle w:val="10"/>
              <w:spacing w:line="360" w:lineRule="exact"/>
              <w:rPr>
                <w:rFonts w:asciiTheme="minorEastAsia" w:hAnsiTheme="minorEastAsia" w:eastAsiaTheme="minorEastAsia" w:cstheme="minorEastAsia"/>
                <w:sz w:val="21"/>
                <w:szCs w:val="21"/>
              </w:rPr>
            </w:pPr>
            <w:r>
              <w:rPr>
                <w:rFonts w:hint="eastAsia" w:ascii="宋体" w:hAnsi="宋体" w:cs="宋体"/>
                <w:b w:val="0"/>
                <w:bCs w:val="0"/>
                <w:sz w:val="21"/>
                <w:szCs w:val="21"/>
              </w:rPr>
              <w:t>评审为差的不加分。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exact"/>
              <w:jc w:val="center"/>
              <w:rPr>
                <w:rFonts w:ascii="宋体" w:hAnsi="宋体" w:cs="宋体"/>
                <w:szCs w:val="21"/>
              </w:rPr>
            </w:pPr>
            <w:r>
              <w:rPr>
                <w:rFonts w:ascii="宋体" w:hAnsi="宋体"/>
                <w:szCs w:val="21"/>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szCs w:val="21"/>
              </w:rPr>
            </w:pPr>
            <w:r>
              <w:rPr>
                <w:rFonts w:hint="eastAsia" w:ascii="宋体" w:hAnsi="宋体" w:cs="宋体"/>
                <w:kern w:val="0"/>
                <w:szCs w:val="21"/>
              </w:rPr>
              <w:t>技术规格偏离情况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szCs w:val="21"/>
              </w:rPr>
            </w:pPr>
            <w:r>
              <w:rPr>
                <w:rFonts w:hint="eastAsia" w:ascii="宋体" w:hAnsi="宋体" w:cs="宋体"/>
                <w:szCs w:val="21"/>
              </w:rPr>
              <w:t>40</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widowControl/>
              <w:spacing w:line="360" w:lineRule="exact"/>
              <w:jc w:val="left"/>
              <w:rPr>
                <w:b/>
                <w:bCs/>
                <w:color w:val="000000"/>
                <w:sz w:val="22"/>
                <w:szCs w:val="22"/>
              </w:rPr>
            </w:pPr>
            <w:r>
              <w:rPr>
                <w:rStyle w:val="52"/>
                <w:rFonts w:hint="default"/>
                <w:b/>
                <w:bCs/>
              </w:rPr>
              <w:t>考察内容：</w:t>
            </w:r>
          </w:p>
          <w:p>
            <w:pPr>
              <w:spacing w:line="360" w:lineRule="exact"/>
              <w:jc w:val="left"/>
              <w:rPr>
                <w:rFonts w:ascii="宋体" w:hAnsi="宋体" w:cs="宋体"/>
                <w:szCs w:val="21"/>
              </w:rPr>
            </w:pPr>
            <w:r>
              <w:rPr>
                <w:rFonts w:hint="eastAsia" w:ascii="宋体" w:hAnsi="宋体" w:cs="宋体"/>
                <w:szCs w:val="21"/>
              </w:rPr>
              <w:t>评审委员会根据《技术规格偏离表》（以下简称“偏离表”）响应情况进行打分，全部满足的得100分，一般参数每负偏离一项扣0.1分，重点技术参数▲项每负偏离一项扣</w:t>
            </w:r>
            <w:r>
              <w:rPr>
                <w:rFonts w:hint="eastAsia" w:ascii="宋体" w:hAnsi="宋体" w:cs="宋体"/>
                <w:szCs w:val="21"/>
                <w:lang w:val="en-US" w:eastAsia="zh-CN"/>
              </w:rPr>
              <w:t>8</w:t>
            </w:r>
            <w:r>
              <w:rPr>
                <w:rFonts w:hint="eastAsia" w:ascii="宋体" w:hAnsi="宋体" w:cs="宋体"/>
                <w:szCs w:val="21"/>
              </w:rPr>
              <w:t>分。扣完为止。</w:t>
            </w:r>
          </w:p>
          <w:p>
            <w:pPr>
              <w:spacing w:line="360" w:lineRule="exact"/>
              <w:jc w:val="left"/>
              <w:rPr>
                <w:rStyle w:val="52"/>
                <w:rFonts w:hint="default"/>
                <w:b/>
                <w:bCs/>
              </w:rPr>
            </w:pPr>
            <w:r>
              <w:rPr>
                <w:rStyle w:val="52"/>
                <w:rFonts w:hint="default"/>
                <w:b/>
                <w:bCs/>
              </w:rPr>
              <w:t>证明文件：</w:t>
            </w:r>
          </w:p>
          <w:p>
            <w:pPr>
              <w:wordWrap w:val="0"/>
              <w:rPr>
                <w:szCs w:val="21"/>
              </w:rPr>
            </w:pPr>
            <w:r>
              <w:rPr>
                <w:rFonts w:hint="eastAsia"/>
                <w:szCs w:val="21"/>
              </w:rPr>
              <w:t>1.投标人提供《技术要求偏离表》，并按照招标文件的要求提供相关证明资料。</w:t>
            </w:r>
            <w:r>
              <w:rPr>
                <w:rFonts w:hint="eastAsia" w:ascii="宋体" w:hAnsi="宋体" w:cs="宋体"/>
                <w:szCs w:val="21"/>
              </w:rPr>
              <w:t>“技术规格偏离情况”等与客观实际保持一致，响应不实且情节严重的，经查实，将依法记入供应商诚信档案或受到行政处罚。</w:t>
            </w:r>
          </w:p>
          <w:p>
            <w:pPr>
              <w:spacing w:line="360" w:lineRule="exact"/>
              <w:jc w:val="left"/>
              <w:rPr>
                <w:rFonts w:asciiTheme="minorEastAsia" w:hAnsiTheme="minorEastAsia" w:eastAsiaTheme="minorEastAsia" w:cstheme="minorEastAsia"/>
                <w:szCs w:val="21"/>
              </w:rPr>
            </w:pPr>
            <w:r>
              <w:rPr>
                <w:rFonts w:hint="eastAsia"/>
                <w:szCs w:val="21"/>
              </w:rPr>
              <w:t>2.投标人未提供相关证明材料或者提供的证明材料不符合要求的或提供的证明材料不清晰评审专家无法辨认的，该项参数按照负偏离处理，扣除相应分值。</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exact"/>
              <w:jc w:val="center"/>
              <w:rPr>
                <w:rFonts w:ascii="宋体" w:hAnsi="宋体"/>
                <w:szCs w:val="21"/>
              </w:rPr>
            </w:pPr>
            <w:r>
              <w:rPr>
                <w:rFonts w:ascii="宋体" w:hAnsi="宋体"/>
                <w:szCs w:val="21"/>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kern w:val="0"/>
                <w:szCs w:val="21"/>
              </w:rPr>
            </w:pPr>
            <w:r>
              <w:rPr>
                <w:rFonts w:hint="eastAsia" w:ascii="宋体" w:hAnsi="宋体"/>
                <w:szCs w:val="21"/>
              </w:rPr>
              <w:t>设计方案</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szCs w:val="21"/>
              </w:rPr>
            </w:pPr>
            <w:r>
              <w:rPr>
                <w:rFonts w:hint="eastAsia" w:ascii="宋体" w:hAnsi="宋体" w:cs="宋体"/>
                <w:szCs w:val="21"/>
              </w:rPr>
              <w:t>10</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b/>
                <w:bCs/>
              </w:rPr>
            </w:pPr>
            <w:r>
              <w:rPr>
                <w:rFonts w:hint="eastAsia"/>
                <w:b/>
                <w:bCs/>
              </w:rPr>
              <w:t>考察内容：</w:t>
            </w:r>
          </w:p>
          <w:p>
            <w:pPr>
              <w:spacing w:line="360" w:lineRule="exact"/>
            </w:pPr>
            <w:r>
              <w:rPr>
                <w:rFonts w:hint="eastAsia"/>
              </w:rPr>
              <w:t>投标人需根据场地实际踏勘情况， 提供功能室整体方案规划图及效果图，内容包含：1.提供强基实验室和天文教室前、后背景墙效果图（不少于4张）2.提供机器人设备展示地台效果图（不少于2张）3.提供墙体柜设计图和效果图（不少于4张）4.提供不同的角度的课桌椅、工作台、演示台效果图(不少于4张) 。</w:t>
            </w:r>
          </w:p>
          <w:p>
            <w:pPr>
              <w:spacing w:line="360" w:lineRule="exact"/>
              <w:rPr>
                <w:b/>
                <w:bCs/>
              </w:rPr>
            </w:pPr>
            <w:r>
              <w:rPr>
                <w:rFonts w:hint="eastAsia"/>
                <w:b/>
                <w:bCs/>
              </w:rPr>
              <w:t>评审标准：</w:t>
            </w:r>
          </w:p>
          <w:p>
            <w:pPr>
              <w:pStyle w:val="10"/>
              <w:spacing w:line="360" w:lineRule="exact"/>
              <w:rPr>
                <w:rFonts w:ascii="宋体" w:hAnsi="宋体" w:cs="宋体"/>
                <w:b w:val="0"/>
                <w:bCs w:val="0"/>
                <w:sz w:val="21"/>
                <w:szCs w:val="21"/>
              </w:rPr>
            </w:pPr>
            <w:r>
              <w:rPr>
                <w:rFonts w:hint="eastAsia" w:ascii="宋体" w:hAnsi="宋体" w:cs="宋体"/>
                <w:b w:val="0"/>
                <w:bCs w:val="0"/>
                <w:sz w:val="21"/>
                <w:szCs w:val="21"/>
              </w:rPr>
              <w:t>1、每满足以上任意一点得15分，全部满足得60分，其他情况不得分。</w:t>
            </w:r>
          </w:p>
          <w:p>
            <w:pPr>
              <w:pStyle w:val="10"/>
              <w:spacing w:line="360" w:lineRule="exact"/>
              <w:rPr>
                <w:rFonts w:ascii="宋体" w:hAnsi="宋体" w:cs="宋体"/>
                <w:b w:val="0"/>
                <w:bCs w:val="0"/>
                <w:sz w:val="21"/>
                <w:szCs w:val="21"/>
              </w:rPr>
            </w:pPr>
            <w:r>
              <w:rPr>
                <w:rFonts w:hint="eastAsia" w:ascii="宋体" w:hAnsi="宋体" w:cs="宋体"/>
                <w:b w:val="0"/>
                <w:bCs w:val="0"/>
                <w:sz w:val="21"/>
                <w:szCs w:val="21"/>
              </w:rPr>
              <w:t>2、在此基础上，评审委员会根据各投标人的具体响应情况按照以下评审标准进一步评审：</w:t>
            </w:r>
          </w:p>
          <w:p>
            <w:pPr>
              <w:pStyle w:val="10"/>
              <w:spacing w:line="360" w:lineRule="exact"/>
              <w:rPr>
                <w:rFonts w:ascii="宋体" w:hAnsi="宋体" w:cs="宋体"/>
                <w:b w:val="0"/>
                <w:bCs w:val="0"/>
                <w:sz w:val="21"/>
                <w:szCs w:val="21"/>
              </w:rPr>
            </w:pPr>
            <w:r>
              <w:rPr>
                <w:rFonts w:hint="eastAsia" w:ascii="宋体" w:hAnsi="宋体" w:cs="宋体"/>
                <w:b w:val="0"/>
                <w:bCs w:val="0"/>
                <w:sz w:val="21"/>
                <w:szCs w:val="21"/>
              </w:rPr>
              <w:t>评审为优（方案设计科学合理、针对性强、符合学校发展实际情况的）的加40分；</w:t>
            </w:r>
          </w:p>
          <w:p>
            <w:pPr>
              <w:pStyle w:val="10"/>
              <w:spacing w:line="360" w:lineRule="exact"/>
              <w:rPr>
                <w:rFonts w:ascii="宋体" w:hAnsi="宋体" w:cs="宋体"/>
                <w:b w:val="0"/>
                <w:bCs w:val="0"/>
                <w:sz w:val="21"/>
                <w:szCs w:val="21"/>
              </w:rPr>
            </w:pPr>
            <w:r>
              <w:rPr>
                <w:rFonts w:hint="eastAsia" w:ascii="宋体" w:hAnsi="宋体" w:cs="宋体"/>
                <w:b w:val="0"/>
                <w:bCs w:val="0"/>
                <w:sz w:val="21"/>
                <w:szCs w:val="21"/>
              </w:rPr>
              <w:t>评审为良（方案设计较比科学合理、有较强针对性、有较强实用性）的加20分；</w:t>
            </w:r>
          </w:p>
          <w:p>
            <w:pPr>
              <w:pStyle w:val="10"/>
              <w:spacing w:line="360" w:lineRule="exact"/>
              <w:rPr>
                <w:rFonts w:ascii="宋体" w:hAnsi="宋体" w:cs="宋体"/>
                <w:b w:val="0"/>
                <w:bCs w:val="0"/>
                <w:sz w:val="21"/>
                <w:szCs w:val="21"/>
              </w:rPr>
            </w:pPr>
            <w:r>
              <w:rPr>
                <w:rFonts w:hint="eastAsia" w:ascii="宋体" w:hAnsi="宋体" w:cs="宋体"/>
                <w:b w:val="0"/>
                <w:bCs w:val="0"/>
                <w:sz w:val="21"/>
                <w:szCs w:val="21"/>
              </w:rPr>
              <w:t>评审为中（方案设计科学合理性一般、针对性一般、实用性一般）的加10分；</w:t>
            </w:r>
          </w:p>
          <w:p>
            <w:pPr>
              <w:spacing w:line="360" w:lineRule="exact"/>
              <w:rPr>
                <w:rFonts w:ascii="宋体" w:hAnsi="宋体" w:cs="宋体"/>
                <w:szCs w:val="21"/>
              </w:rPr>
            </w:pPr>
            <w:r>
              <w:rPr>
                <w:rFonts w:hint="eastAsia" w:ascii="宋体" w:hAnsi="宋体" w:cs="宋体"/>
                <w:szCs w:val="21"/>
              </w:rPr>
              <w:t>评审为差的不加分。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240" w:lineRule="exact"/>
              <w:jc w:val="center"/>
              <w:rPr>
                <w:rFonts w:ascii="宋体" w:hAnsi="宋体" w:eastAsiaTheme="minorEastAsia"/>
                <w:szCs w:val="21"/>
              </w:rPr>
            </w:pPr>
            <w:r>
              <w:rPr>
                <w:rFonts w:hint="eastAsia" w:ascii="宋体" w:hAnsi="宋体"/>
                <w:szCs w:val="21"/>
              </w:rPr>
              <w:t>4</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kern w:val="0"/>
                <w:szCs w:val="21"/>
              </w:rPr>
            </w:pPr>
            <w:r>
              <w:rPr>
                <w:rFonts w:hint="eastAsia" w:ascii="宋体" w:hAnsi="宋体"/>
                <w:szCs w:val="21"/>
              </w:rPr>
              <w:t>拟安排的项目负责人情况（仅限一人）</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eastAsiaTheme="minorEastAsia"/>
                <w:szCs w:val="21"/>
              </w:rPr>
            </w:pPr>
            <w:r>
              <w:rPr>
                <w:rFonts w:hint="eastAsia" w:ascii="宋体" w:hAnsi="宋体" w:cs="宋体"/>
                <w:szCs w:val="21"/>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pacing w:line="360" w:lineRule="exact"/>
              <w:rPr>
                <w:rFonts w:ascii="宋体" w:hAnsi="宋体" w:cs="宋体" w:eastAsiaTheme="minorEastAsia"/>
                <w:b/>
                <w:bCs/>
                <w:szCs w:val="21"/>
              </w:rPr>
            </w:pPr>
            <w:r>
              <w:rPr>
                <w:rFonts w:hint="eastAsia" w:ascii="宋体" w:hAnsi="宋体" w:cs="宋体" w:eastAsiaTheme="minorEastAsia"/>
                <w:b/>
                <w:bCs/>
                <w:szCs w:val="21"/>
              </w:rPr>
              <w:t>考察内容：</w:t>
            </w:r>
          </w:p>
          <w:p>
            <w:pPr>
              <w:spacing w:line="360" w:lineRule="exact"/>
              <w:jc w:val="left"/>
              <w:rPr>
                <w:rFonts w:ascii="宋体" w:hAnsi="宋体" w:cs="宋体" w:eastAsiaTheme="minorEastAsia"/>
                <w:szCs w:val="21"/>
              </w:rPr>
            </w:pPr>
            <w:r>
              <w:rPr>
                <w:rFonts w:hint="eastAsia" w:ascii="宋体" w:hAnsi="宋体" w:cs="宋体" w:eastAsiaTheme="minorEastAsia"/>
                <w:szCs w:val="21"/>
              </w:rPr>
              <w:t>作为项目负责人有至少2个学校家具类项目相关工作经验，每提供一个得50分，最高100分。</w:t>
            </w:r>
          </w:p>
          <w:p>
            <w:pPr>
              <w:spacing w:line="360" w:lineRule="exact"/>
              <w:jc w:val="left"/>
              <w:rPr>
                <w:rFonts w:ascii="宋体" w:hAnsi="宋体" w:cs="宋体" w:eastAsiaTheme="minorEastAsia"/>
                <w:b/>
                <w:bCs/>
                <w:szCs w:val="21"/>
              </w:rPr>
            </w:pPr>
            <w:r>
              <w:rPr>
                <w:rFonts w:hint="eastAsia" w:ascii="宋体" w:hAnsi="宋体" w:cs="宋体" w:eastAsiaTheme="minorEastAsia"/>
                <w:b/>
                <w:bCs/>
                <w:szCs w:val="21"/>
              </w:rPr>
              <w:t>证明文件：</w:t>
            </w:r>
          </w:p>
          <w:p>
            <w:pPr>
              <w:widowControl/>
              <w:spacing w:line="360" w:lineRule="exact"/>
              <w:jc w:val="left"/>
              <w:rPr>
                <w:rStyle w:val="52"/>
                <w:rFonts w:hint="default"/>
                <w:sz w:val="21"/>
                <w:szCs w:val="21"/>
              </w:rPr>
            </w:pPr>
            <w:r>
              <w:rPr>
                <w:rFonts w:hint="eastAsia" w:ascii="宋体" w:hAnsi="宋体" w:cs="宋体" w:eastAsiaTheme="minorEastAsia"/>
                <w:szCs w:val="21"/>
              </w:rPr>
              <w:t>1.</w:t>
            </w:r>
            <w:r>
              <w:rPr>
                <w:rFonts w:hint="eastAsia" w:ascii="宋体" w:hAnsi="宋体" w:cs="宋体"/>
                <w:szCs w:val="21"/>
              </w:rPr>
              <w:t>提供</w:t>
            </w:r>
            <w:r>
              <w:rPr>
                <w:rFonts w:hint="eastAsia" w:ascii="宋体" w:hAnsi="宋体" w:cs="宋体" w:eastAsiaTheme="minorEastAsia"/>
                <w:szCs w:val="21"/>
              </w:rPr>
              <w:t>项目负责人工作经验</w:t>
            </w:r>
            <w:r>
              <w:rPr>
                <w:rFonts w:hint="eastAsia" w:ascii="宋体" w:hAnsi="宋体" w:cs="宋体" w:eastAsiaTheme="minorEastAsia"/>
                <w:szCs w:val="21"/>
                <w:lang w:val="en-US" w:eastAsia="zh-CN"/>
              </w:rPr>
              <w:t>证明，</w:t>
            </w:r>
            <w:r>
              <w:rPr>
                <w:rFonts w:hint="eastAsia" w:ascii="宋体" w:hAnsi="宋体" w:cs="宋体" w:eastAsiaTheme="minorEastAsia"/>
                <w:szCs w:val="21"/>
              </w:rPr>
              <w:t>提供项目合同关键信息作为得分依据，通过合同关键信息无法判断是否得分的，还同时提供合同甲方出具的证明文件</w:t>
            </w:r>
            <w:r>
              <w:rPr>
                <w:rFonts w:hint="eastAsia" w:ascii="宋体" w:hAnsi="宋体" w:cs="宋体"/>
                <w:szCs w:val="21"/>
              </w:rPr>
              <w:t>；</w:t>
            </w:r>
            <w:r>
              <w:rPr>
                <w:rFonts w:hint="eastAsia" w:ascii="宋体" w:hAnsi="宋体" w:cs="宋体"/>
                <w:szCs w:val="21"/>
              </w:rPr>
              <w:br w:type="textWrapping"/>
            </w:r>
            <w:r>
              <w:rPr>
                <w:rFonts w:hint="eastAsia" w:ascii="宋体" w:hAnsi="宋体" w:cs="宋体"/>
                <w:szCs w:val="21"/>
              </w:rPr>
              <w:t>2.</w:t>
            </w:r>
            <w:r>
              <w:rPr>
                <w:rStyle w:val="52"/>
                <w:rFonts w:hint="default"/>
                <w:sz w:val="21"/>
                <w:szCs w:val="21"/>
              </w:rPr>
              <w:t>提供开标日前由投标人为拟投入本项目的负责人缴交的载有政府部门公章（或专用章）2025年2月的社保缴交证明材料，如开标日上一个月的社保材料因政府部门原因暂时无法取得，则可以往前顺延一个月；社保资料至少显示缴交养老保险信息，未显示该信息的该社保资料则不符合要求。如供应商为新成立企业且成立时间不足</w:t>
            </w:r>
            <w:r>
              <w:rPr>
                <w:rStyle w:val="52"/>
                <w:rFonts w:hint="eastAsia" w:eastAsia="宋体"/>
                <w:sz w:val="21"/>
                <w:szCs w:val="21"/>
                <w:lang w:val="en-US" w:eastAsia="zh-CN"/>
              </w:rPr>
              <w:t>1</w:t>
            </w:r>
            <w:r>
              <w:rPr>
                <w:rStyle w:val="52"/>
                <w:rFonts w:hint="default"/>
                <w:sz w:val="21"/>
                <w:szCs w:val="21"/>
              </w:rPr>
              <w:t>个月的，需承诺相关人员为投标人自有员工，承诺函格式自拟并加盖公章；</w:t>
            </w:r>
          </w:p>
          <w:p>
            <w:pPr>
              <w:spacing w:line="360" w:lineRule="exact"/>
              <w:jc w:val="left"/>
              <w:rPr>
                <w:rFonts w:ascii="宋体" w:hAnsi="宋体" w:cs="宋体"/>
                <w:szCs w:val="21"/>
              </w:rPr>
            </w:pPr>
            <w:r>
              <w:rPr>
                <w:rStyle w:val="52"/>
                <w:rFonts w:hint="default"/>
                <w:sz w:val="21"/>
                <w:szCs w:val="21"/>
              </w:rPr>
              <w:t>以上证明文件未提供或未按要求提供或提供的不清晰导致专家无法判断的，不得分。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3</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Theme="minorEastAsia" w:hAnsiTheme="minorEastAsia"/>
                <w:b/>
                <w:bCs/>
                <w:szCs w:val="21"/>
              </w:rPr>
              <w:t>商务</w:t>
            </w:r>
            <w:r>
              <w:rPr>
                <w:rFonts w:hint="eastAsia" w:ascii="宋体" w:hAnsi="宋体" w:cs="宋体"/>
                <w:b/>
                <w:bCs/>
                <w:szCs w:val="21"/>
              </w:rPr>
              <w:t>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10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序号</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评分因素</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权重</w:t>
            </w:r>
            <w:r>
              <w:rPr>
                <w:rFonts w:hint="eastAsia" w:ascii="宋体" w:hAnsi="宋体" w:cs="宋体"/>
                <w:bCs/>
                <w:szCs w:val="21"/>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cs="宋体"/>
                <w:szCs w:val="21"/>
              </w:rPr>
            </w:pPr>
            <w:r>
              <w:rPr>
                <w:rFonts w:hint="eastAsia" w:ascii="宋体" w:hAnsi="宋体"/>
                <w:szCs w:val="21"/>
              </w:rPr>
              <w:t>商务条款偏离情况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szCs w:val="21"/>
              </w:rPr>
            </w:pPr>
            <w:r>
              <w:rPr>
                <w:rFonts w:hint="eastAsia" w:ascii="宋体" w:hAnsi="宋体" w:cs="宋体"/>
                <w:szCs w:val="21"/>
              </w:rPr>
              <w:t>2</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cs="宋体"/>
                <w:b/>
                <w:bCs/>
                <w:szCs w:val="21"/>
              </w:rPr>
            </w:pPr>
            <w:r>
              <w:rPr>
                <w:rFonts w:hint="eastAsia" w:ascii="宋体" w:hAnsi="宋体" w:cs="宋体"/>
                <w:b/>
                <w:bCs/>
                <w:szCs w:val="21"/>
              </w:rPr>
              <w:t>考察内容：</w:t>
            </w:r>
          </w:p>
          <w:p>
            <w:pPr>
              <w:spacing w:line="360" w:lineRule="exact"/>
              <w:rPr>
                <w:rFonts w:ascii="宋体" w:hAnsi="宋体" w:cs="宋体" w:eastAsiaTheme="minorEastAsia"/>
                <w:szCs w:val="21"/>
              </w:rPr>
            </w:pPr>
            <w:r>
              <w:rPr>
                <w:rFonts w:hint="eastAsia" w:ascii="宋体" w:hAnsi="宋体" w:cs="宋体"/>
                <w:szCs w:val="21"/>
              </w:rPr>
              <w:t>投标人应如实填写《商务条款偏离情况》，评审小组根据响应情况进行打分，全部满足要求的得100分，除实质性条款外，每负偏离一项扣</w:t>
            </w:r>
            <w:r>
              <w:rPr>
                <w:rFonts w:hint="eastAsia" w:ascii="宋体" w:hAnsi="宋体" w:cs="宋体"/>
                <w:szCs w:val="21"/>
                <w:lang w:val="en-US" w:eastAsia="zh-CN"/>
              </w:rPr>
              <w:t>35</w:t>
            </w:r>
            <w:r>
              <w:rPr>
                <w:rFonts w:hint="eastAsia" w:ascii="宋体" w:hAnsi="宋体" w:cs="宋体"/>
                <w:szCs w:val="21"/>
              </w:rPr>
              <w:t>分，扣完为止。</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2</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szCs w:val="21"/>
              </w:rPr>
            </w:pPr>
            <w:r>
              <w:rPr>
                <w:rFonts w:hint="eastAsia" w:ascii="宋体" w:hAnsi="宋体"/>
                <w:szCs w:val="21"/>
              </w:rPr>
              <w:t>同类项目业绩</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szCs w:val="21"/>
              </w:rPr>
            </w:pPr>
            <w:r>
              <w:rPr>
                <w:rFonts w:hint="eastAsia" w:ascii="宋体" w:hAnsi="宋体" w:cs="宋体"/>
                <w:szCs w:val="21"/>
              </w:rPr>
              <w:t>4</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cs="宋体"/>
                <w:b/>
                <w:bCs/>
                <w:szCs w:val="21"/>
              </w:rPr>
            </w:pPr>
            <w:r>
              <w:rPr>
                <w:rFonts w:hint="eastAsia" w:ascii="宋体" w:hAnsi="宋体" w:cs="宋体"/>
                <w:b/>
                <w:bCs/>
                <w:szCs w:val="21"/>
              </w:rPr>
              <w:t>考察内容：</w:t>
            </w:r>
          </w:p>
          <w:p>
            <w:pPr>
              <w:spacing w:line="360" w:lineRule="exact"/>
            </w:pPr>
            <w:r>
              <w:rPr>
                <w:rFonts w:hint="eastAsia" w:ascii="宋体" w:hAnsi="宋体" w:cs="宋体"/>
                <w:szCs w:val="21"/>
              </w:rPr>
              <w:t>2021年1月1日至本项目投标截止之日（以合同签订时间为准），投标人每提供1个学校家具类项目的业绩的得25分，最高得100分</w:t>
            </w:r>
            <w:r>
              <w:rPr>
                <w:rFonts w:hint="eastAsia"/>
              </w:rPr>
              <w:t>。</w:t>
            </w:r>
          </w:p>
          <w:p>
            <w:pPr>
              <w:spacing w:line="360" w:lineRule="exact"/>
              <w:rPr>
                <w:b/>
                <w:bCs/>
              </w:rPr>
            </w:pPr>
            <w:r>
              <w:rPr>
                <w:rFonts w:hint="eastAsia"/>
                <w:b/>
                <w:bCs/>
              </w:rPr>
              <w:t>证明文件：</w:t>
            </w:r>
          </w:p>
          <w:p>
            <w:pPr>
              <w:wordWrap w:val="0"/>
              <w:rPr>
                <w:rFonts w:hAnsi="宋体"/>
                <w:szCs w:val="21"/>
              </w:rPr>
            </w:pPr>
            <w:r>
              <w:rPr>
                <w:rFonts w:hint="eastAsia" w:hAnsi="宋体"/>
                <w:szCs w:val="21"/>
              </w:rPr>
              <w:t>1、投标人需同时提供：项目中标通知书、合同关键页（包括但不限于：合同名称页、合同主要内容页、合同签订日期页、合同双方签字盖章页）及验收报告证明材料，缺一项不得分；</w:t>
            </w:r>
          </w:p>
          <w:p>
            <w:pPr>
              <w:spacing w:line="360" w:lineRule="exact"/>
              <w:rPr>
                <w:szCs w:val="20"/>
              </w:rPr>
            </w:pPr>
            <w:r>
              <w:rPr>
                <w:rFonts w:hint="eastAsia" w:hAnsi="宋体"/>
                <w:szCs w:val="21"/>
              </w:rPr>
              <w:t>2、未提供有效证明材料的或者提供的证明材料不符合要求的或者提供的证明材料不清晰导致评审专家无法辨认的，一律作不得分处理。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tcBorders>
              <w:left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3</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jc w:val="center"/>
              <w:rPr>
                <w:rFonts w:ascii="宋体" w:hAnsi="宋体" w:eastAsiaTheme="minorEastAsia"/>
                <w:szCs w:val="21"/>
              </w:rPr>
            </w:pPr>
            <w:r>
              <w:rPr>
                <w:rFonts w:hint="eastAsia" w:ascii="宋体" w:hAnsi="宋体"/>
                <w:szCs w:val="21"/>
              </w:rPr>
              <w:t>资质证书</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auto"/>
              <w:jc w:val="center"/>
              <w:rPr>
                <w:rFonts w:ascii="宋体" w:hAnsi="宋体" w:cs="宋体"/>
                <w:szCs w:val="21"/>
              </w:rPr>
            </w:pPr>
            <w:r>
              <w:rPr>
                <w:rFonts w:hint="eastAsia" w:ascii="宋体" w:hAnsi="宋体" w:cs="宋体"/>
                <w:szCs w:val="21"/>
              </w:rPr>
              <w:t>4</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pacing w:line="360" w:lineRule="exact"/>
              <w:rPr>
                <w:rFonts w:ascii="宋体" w:hAnsi="宋体" w:cs="宋体"/>
                <w:b/>
                <w:bCs/>
                <w:szCs w:val="21"/>
              </w:rPr>
            </w:pPr>
            <w:r>
              <w:rPr>
                <w:rFonts w:hint="eastAsia" w:ascii="宋体" w:hAnsi="宋体" w:cs="宋体"/>
                <w:b/>
                <w:bCs/>
                <w:szCs w:val="21"/>
              </w:rPr>
              <w:t>考察内容：</w:t>
            </w:r>
          </w:p>
          <w:p>
            <w:pPr>
              <w:spacing w:line="360" w:lineRule="exact"/>
            </w:pPr>
            <w:r>
              <w:rPr>
                <w:rFonts w:hint="eastAsia" w:ascii="宋体" w:hAnsi="宋体" w:cs="宋体"/>
                <w:szCs w:val="21"/>
              </w:rPr>
              <w:t>投标人具有：</w:t>
            </w:r>
            <w:r>
              <w:rPr>
                <w:rFonts w:hint="eastAsia" w:asciiTheme="minorEastAsia" w:hAnsiTheme="minorEastAsia" w:eastAsiaTheme="minorEastAsia" w:cstheme="minorEastAsia"/>
                <w:szCs w:val="21"/>
              </w:rPr>
              <w:t>ISO9001质量管理体系认证证书、ISO14001环境管理体系认证证书、ISO45001职业健康安全管理体系认证证书、CQC中国环保产品认证证书及中国环境标志产品认证证书。</w:t>
            </w:r>
          </w:p>
          <w:p>
            <w:pPr>
              <w:widowControl/>
              <w:wordWrap w:val="0"/>
              <w:textAlignment w:val="top"/>
              <w:rPr>
                <w:rFonts w:asciiTheme="minorEastAsia" w:hAnsiTheme="minorEastAsia" w:eastAsiaTheme="minorEastAsia" w:cstheme="minorEastAsia"/>
              </w:rPr>
            </w:pPr>
            <w:r>
              <w:rPr>
                <w:rFonts w:hint="eastAsia" w:asciiTheme="minorEastAsia" w:hAnsiTheme="minorEastAsia" w:eastAsiaTheme="minorEastAsia" w:cstheme="minorEastAsia"/>
                <w:szCs w:val="21"/>
              </w:rPr>
              <w:t>每提供1个得25分，最高得100分。</w:t>
            </w:r>
          </w:p>
          <w:p>
            <w:pPr>
              <w:spacing w:line="360" w:lineRule="exact"/>
              <w:rPr>
                <w:b/>
                <w:bCs/>
              </w:rPr>
            </w:pPr>
            <w:r>
              <w:rPr>
                <w:rFonts w:hint="eastAsia"/>
                <w:b/>
                <w:bCs/>
              </w:rPr>
              <w:t>证明文件：</w:t>
            </w:r>
          </w:p>
          <w:p>
            <w:pPr>
              <w:wordWrap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1.要求提供有效的认证证书作为得分依据。</w:t>
            </w:r>
          </w:p>
          <w:p>
            <w:pPr>
              <w:wordWrap w:val="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2.同时提供有效期内相关证书扫描件与查询信息截图（截图以全国认证认可信息公共服务平台（http://cx.cnca.cn/）为准），投标人应确保认证证书在开标当天仍处于有效状态，并对所提供的证书及查询截图的真实性负责。</w:t>
            </w:r>
          </w:p>
          <w:p>
            <w:pPr>
              <w:spacing w:line="360" w:lineRule="exact"/>
              <w:rPr>
                <w:rFonts w:ascii="宋体" w:hAnsi="宋体" w:cs="宋体"/>
                <w:szCs w:val="21"/>
              </w:rPr>
            </w:pPr>
            <w:r>
              <w:rPr>
                <w:rFonts w:hint="eastAsia" w:asciiTheme="minorEastAsia" w:hAnsiTheme="minorEastAsia" w:eastAsiaTheme="minorEastAsia" w:cstheme="minorEastAsia"/>
                <w:szCs w:val="21"/>
              </w:rPr>
              <w:t>3.以上资料均要求提供扫描件（或官方网站截图）</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Cs w:val="21"/>
              </w:rPr>
              <w:t>评分中出现无证明资料或专家无法凭所提供资料判断是否得分的情况，一律作不得分处理。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restart"/>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4</w:t>
            </w:r>
          </w:p>
        </w:tc>
        <w:tc>
          <w:tcPr>
            <w:tcW w:w="2937" w:type="dxa"/>
            <w:gridSpan w:val="3"/>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其他部分</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snapToGrid w:val="0"/>
              <w:jc w:val="center"/>
              <w:rPr>
                <w:rFonts w:ascii="宋体" w:hAnsi="宋体" w:cs="宋体"/>
                <w:b/>
                <w:bCs/>
                <w:szCs w:val="21"/>
              </w:rPr>
            </w:pPr>
            <w:r>
              <w:rPr>
                <w:rFonts w:hint="eastAsia" w:ascii="宋体" w:hAnsi="宋体" w:cs="宋体"/>
                <w:b/>
                <w:bCs/>
                <w:szCs w:val="21"/>
              </w:rPr>
              <w:t>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序号</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评分因素</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权重</w:t>
            </w:r>
            <w:r>
              <w:rPr>
                <w:rFonts w:hint="eastAsia" w:ascii="宋体" w:hAnsi="宋体" w:cs="宋体"/>
                <w:bCs/>
                <w:szCs w:val="21"/>
              </w:rPr>
              <w:t>（%）</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评分准则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hemeFill="background1"/>
          <w:tblCellMar>
            <w:top w:w="20" w:type="dxa"/>
            <w:left w:w="108" w:type="dxa"/>
            <w:bottom w:w="20" w:type="dxa"/>
            <w:right w:w="108" w:type="dxa"/>
          </w:tblCellMar>
        </w:tblPrEx>
        <w:trPr>
          <w:gridAfter w:val="1"/>
          <w:wAfter w:w="83" w:type="dxa"/>
          <w:tblCellSpacing w:w="0" w:type="dxa"/>
          <w:jc w:val="center"/>
        </w:trPr>
        <w:tc>
          <w:tcPr>
            <w:tcW w:w="436" w:type="dxa"/>
            <w:gridSpan w:val="2"/>
            <w:vMerge w:val="continue"/>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rPr>
                <w:rFonts w:ascii="宋体" w:hAnsi="宋体" w:cs="宋体"/>
                <w:b/>
                <w:bCs/>
                <w:szCs w:val="21"/>
              </w:rPr>
            </w:pPr>
          </w:p>
        </w:tc>
        <w:tc>
          <w:tcPr>
            <w:tcW w:w="485"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1</w:t>
            </w:r>
          </w:p>
        </w:tc>
        <w:tc>
          <w:tcPr>
            <w:tcW w:w="1473"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诚信情况</w:t>
            </w:r>
          </w:p>
        </w:tc>
        <w:tc>
          <w:tcPr>
            <w:tcW w:w="979" w:type="dxa"/>
            <w:tcBorders>
              <w:top w:val="single" w:color="000000" w:sz="8" w:space="0"/>
              <w:left w:val="single" w:color="000000" w:sz="8" w:space="0"/>
              <w:bottom w:val="single" w:color="000000" w:sz="8" w:space="0"/>
              <w:right w:val="single" w:color="000000" w:sz="8" w:space="0"/>
            </w:tcBorders>
            <w:shd w:val="clear" w:color="auto" w:fill="FFFFFF" w:themeFill="background1"/>
            <w:vAlign w:val="center"/>
          </w:tcPr>
          <w:p>
            <w:pPr>
              <w:snapToGrid w:val="0"/>
              <w:jc w:val="center"/>
              <w:rPr>
                <w:rFonts w:ascii="宋体" w:hAnsi="宋体" w:cs="宋体"/>
                <w:szCs w:val="21"/>
              </w:rPr>
            </w:pPr>
            <w:r>
              <w:rPr>
                <w:rFonts w:hint="eastAsia" w:ascii="宋体" w:hAnsi="宋体" w:cs="宋体"/>
                <w:szCs w:val="21"/>
              </w:rPr>
              <w:t>5</w:t>
            </w:r>
          </w:p>
        </w:tc>
        <w:tc>
          <w:tcPr>
            <w:tcW w:w="5768" w:type="dxa"/>
            <w:tcBorders>
              <w:top w:val="single" w:color="000000" w:sz="8" w:space="0"/>
              <w:left w:val="single" w:color="000000" w:sz="8" w:space="0"/>
              <w:bottom w:val="single" w:color="000000" w:sz="8" w:space="0"/>
              <w:right w:val="single" w:color="000000" w:sz="8" w:space="0"/>
            </w:tcBorders>
            <w:shd w:val="clear" w:color="auto" w:fill="FFFFFF" w:themeFill="background1"/>
          </w:tcPr>
          <w:p>
            <w:pPr>
              <w:pStyle w:val="10"/>
              <w:wordWrap w:val="0"/>
              <w:spacing w:line="240" w:lineRule="auto"/>
            </w:pPr>
            <w:r>
              <w:rPr>
                <w:rFonts w:hint="eastAsia" w:asciiTheme="minorEastAsia" w:hAnsiTheme="minorEastAsia" w:cstheme="minorEastAsia"/>
                <w:b w:val="0"/>
                <w:bCs w:val="0"/>
                <w:sz w:val="21"/>
                <w:szCs w:val="21"/>
              </w:rPr>
              <w:t>投标人存在 《深圳市财政局政府采购供应商信用信息管理办法》（深财规〔2023〕3号）列明的一般行政处罚信息、一般违法失信记录信息的，本项不得分，不存在上述情形的本项得100分。投标人无需提供任何证明材料，评标过程中由工作人员向评审委员会提供有关供应商诚信查询结果。查询渠道：通过“信用中国”（www.creditchina.gov.cn，下载信用信息报告）、“中国政府采购网”（www.ccgp.gov.cn）以及“深圳市政府采购监管网”（http://zfcg.sz.gov.cn）查询供应商信用信息，信用信息以开标当日的查询结果为准。</w:t>
            </w:r>
          </w:p>
        </w:tc>
      </w:tr>
    </w:tbl>
    <w:p>
      <w:pPr>
        <w:jc w:val="center"/>
        <w:rPr>
          <w:b/>
          <w:sz w:val="120"/>
          <w:szCs w:val="120"/>
        </w:rPr>
      </w:pPr>
    </w:p>
    <w:p>
      <w:pPr>
        <w:pStyle w:val="10"/>
        <w:rPr>
          <w:rFonts w:hint="eastAsia"/>
          <w:b/>
          <w:sz w:val="120"/>
          <w:szCs w:val="120"/>
        </w:rPr>
      </w:pPr>
    </w:p>
    <w:p>
      <w:pPr>
        <w:pStyle w:val="10"/>
        <w:rPr>
          <w:rFonts w:hint="eastAsia"/>
          <w:b/>
          <w:sz w:val="120"/>
          <w:szCs w:val="120"/>
        </w:rPr>
      </w:pPr>
    </w:p>
    <w:p>
      <w:pPr>
        <w:jc w:val="center"/>
        <w:rPr>
          <w:b/>
          <w:sz w:val="120"/>
          <w:szCs w:val="120"/>
        </w:rPr>
      </w:pPr>
      <w:r>
        <w:rPr>
          <w:rFonts w:hint="eastAsia"/>
          <w:b/>
          <w:sz w:val="120"/>
          <w:szCs w:val="120"/>
        </w:rPr>
        <w:t>自行采购</w:t>
      </w:r>
    </w:p>
    <w:p>
      <w:pPr>
        <w:jc w:val="center"/>
        <w:rPr>
          <w:b/>
          <w:sz w:val="120"/>
          <w:szCs w:val="120"/>
        </w:rPr>
      </w:pPr>
      <w:r>
        <w:rPr>
          <w:rFonts w:hint="eastAsia"/>
          <w:b/>
          <w:sz w:val="120"/>
          <w:szCs w:val="120"/>
        </w:rPr>
        <w:t>招标文件</w:t>
      </w:r>
    </w:p>
    <w:p>
      <w:pPr>
        <w:jc w:val="center"/>
        <w:rPr>
          <w:b/>
          <w:sz w:val="52"/>
          <w:szCs w:val="52"/>
        </w:rPr>
      </w:pPr>
      <w:r>
        <w:rPr>
          <w:rFonts w:hint="eastAsia"/>
          <w:b/>
          <w:sz w:val="52"/>
          <w:szCs w:val="52"/>
        </w:rPr>
        <w:t>（货物类）</w:t>
      </w:r>
    </w:p>
    <w:p/>
    <w:p/>
    <w:p/>
    <w:p/>
    <w:p/>
    <w:p/>
    <w:p/>
    <w:p/>
    <w:p/>
    <w:p/>
    <w:p/>
    <w:p/>
    <w:p>
      <w:pPr>
        <w:jc w:val="center"/>
        <w:rPr>
          <w:b/>
          <w:sz w:val="44"/>
          <w:szCs w:val="44"/>
        </w:rPr>
      </w:pPr>
      <w:r>
        <w:rPr>
          <w:rFonts w:hint="eastAsia" w:ascii="宋体" w:hAnsi="宋体"/>
          <w:b/>
          <w:sz w:val="44"/>
          <w:szCs w:val="44"/>
        </w:rPr>
        <w:t>深圳公共资源交易中心</w:t>
      </w:r>
    </w:p>
    <w:p>
      <w:pPr>
        <w:jc w:val="center"/>
        <w:rPr>
          <w:b/>
          <w:sz w:val="44"/>
          <w:szCs w:val="44"/>
        </w:rPr>
      </w:pPr>
      <w:r>
        <w:rPr>
          <w:rFonts w:hint="eastAsia" w:ascii="宋体" w:hAnsi="宋体"/>
          <w:b/>
          <w:sz w:val="44"/>
          <w:szCs w:val="44"/>
        </w:rPr>
        <w:t>（</w:t>
      </w:r>
      <w:r>
        <w:rPr>
          <w:b/>
          <w:sz w:val="44"/>
          <w:szCs w:val="44"/>
        </w:rPr>
        <w:t>20</w:t>
      </w:r>
      <w:r>
        <w:rPr>
          <w:rFonts w:hint="eastAsia"/>
          <w:b/>
          <w:sz w:val="44"/>
          <w:szCs w:val="44"/>
        </w:rPr>
        <w:t>2</w:t>
      </w:r>
      <w:r>
        <w:rPr>
          <w:rFonts w:hint="eastAsia"/>
          <w:b/>
          <w:sz w:val="44"/>
          <w:szCs w:val="44"/>
          <w:lang w:val="en-US" w:eastAsia="zh-CN"/>
        </w:rPr>
        <w:t>5</w:t>
      </w:r>
      <w:r>
        <w:rPr>
          <w:rFonts w:hint="eastAsia" w:ascii="宋体" w:hAnsi="宋体"/>
          <w:b/>
          <w:sz w:val="44"/>
          <w:szCs w:val="44"/>
        </w:rPr>
        <w:t>）</w:t>
      </w:r>
    </w:p>
    <w:p>
      <w:pPr>
        <w:ind w:firstLine="6786" w:firstLineChars="1300"/>
        <w:jc w:val="center"/>
        <w:rPr>
          <w:bCs/>
          <w:color w:val="FF0000"/>
        </w:rPr>
      </w:pPr>
      <w:r>
        <w:rPr>
          <w:rFonts w:hint="eastAsia"/>
          <w:b/>
          <w:color w:val="FF0000"/>
          <w:sz w:val="52"/>
          <w:szCs w:val="52"/>
        </w:rPr>
        <w:br w:type="page"/>
      </w: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snapToGrid w:val="0"/>
        <w:spacing w:line="360" w:lineRule="exact"/>
        <w:jc w:val="left"/>
        <w:rPr>
          <w:rFonts w:hint="eastAsia" w:ascii="宋体" w:hAnsi="宋体" w:eastAsia="宋体" w:cs="宋体"/>
          <w:color w:val="000000"/>
          <w:kern w:val="0"/>
          <w:sz w:val="24"/>
          <w:szCs w:val="24"/>
        </w:rPr>
      </w:pPr>
    </w:p>
    <w:p>
      <w:pPr>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目   录</w:t>
      </w:r>
    </w:p>
    <w:p>
      <w:pPr>
        <w:rPr>
          <w:b/>
          <w:sz w:val="24"/>
          <w:szCs w:val="24"/>
        </w:rPr>
      </w:pPr>
      <w:r>
        <w:rPr>
          <w:rFonts w:hint="eastAsia"/>
          <w:b/>
          <w:sz w:val="24"/>
          <w:szCs w:val="24"/>
        </w:rPr>
        <w:t>第一册  专用条款</w:t>
      </w:r>
    </w:p>
    <w:p>
      <w:pPr>
        <w:ind w:left="630" w:leftChars="300" w:firstLine="411" w:firstLineChars="196"/>
        <w:rPr>
          <w:rFonts w:hint="eastAsia" w:ascii="宋体" w:hAnsi="宋体"/>
          <w:szCs w:val="21"/>
        </w:rPr>
      </w:pPr>
      <w:r>
        <w:rPr>
          <w:rFonts w:hint="eastAsia" w:ascii="宋体" w:hAnsi="宋体"/>
          <w:szCs w:val="21"/>
        </w:rPr>
        <w:tab/>
      </w:r>
      <w:r>
        <w:rPr>
          <w:rFonts w:hint="eastAsia" w:ascii="宋体" w:hAnsi="宋体"/>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pPr>
        <w:ind w:left="630" w:leftChars="300" w:firstLine="411" w:firstLineChars="196"/>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pPr>
        <w:ind w:left="630" w:leftChars="300" w:firstLine="411" w:firstLineChars="196"/>
        <w:rPr>
          <w:rFonts w:hint="eastAsia" w:ascii="宋体" w:hAnsi="宋体"/>
          <w:szCs w:val="21"/>
        </w:rPr>
      </w:pPr>
      <w:r>
        <w:rPr>
          <w:rFonts w:hint="eastAsia" w:ascii="宋体" w:hAnsi="宋体"/>
          <w:szCs w:val="21"/>
        </w:rPr>
        <w:t>第五章  合同条款及格式</w:t>
      </w:r>
    </w:p>
    <w:p>
      <w:pPr>
        <w:rPr>
          <w:b/>
          <w:sz w:val="24"/>
        </w:rPr>
      </w:pPr>
    </w:p>
    <w:p>
      <w:pPr>
        <w:rPr>
          <w:b/>
          <w:sz w:val="24"/>
          <w:szCs w:val="24"/>
        </w:rPr>
      </w:pPr>
      <w:r>
        <w:rPr>
          <w:rFonts w:hint="eastAsia"/>
          <w:b/>
          <w:sz w:val="24"/>
          <w:szCs w:val="24"/>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r>
        <w:rPr>
          <w:rFonts w:hint="eastAsia"/>
        </w:rPr>
        <w:t xml:space="preserve">          第十一章  质疑处理</w:t>
      </w:r>
    </w:p>
    <w:p/>
    <w:p/>
    <w:p>
      <w:pPr>
        <w:widowControl/>
        <w:jc w:val="left"/>
      </w:pPr>
      <w:r>
        <w:br w:type="page"/>
      </w:r>
    </w:p>
    <w:p>
      <w:pPr>
        <w:pStyle w:val="3"/>
        <w:spacing w:after="78"/>
        <w:jc w:val="center"/>
        <w:rPr>
          <w:sz w:val="32"/>
          <w:szCs w:val="32"/>
        </w:rPr>
      </w:pPr>
      <w:r>
        <w:rPr>
          <w:rFonts w:hint="eastAsia"/>
          <w:sz w:val="32"/>
          <w:szCs w:val="32"/>
        </w:rPr>
        <w:t>第一册  专用条款</w:t>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第一章  招标公告</w:t>
      </w:r>
    </w:p>
    <w:p>
      <w:pPr>
        <w:spacing w:line="360" w:lineRule="auto"/>
        <w:rPr>
          <w:rFonts w:hint="eastAsia" w:ascii="宋体" w:hAnsi="宋体" w:cs="宋体"/>
          <w:b/>
          <w:bCs/>
          <w:kern w:val="0"/>
          <w:szCs w:val="21"/>
        </w:rPr>
      </w:pPr>
      <w:r>
        <w:rPr>
          <w:rFonts w:hint="eastAsia" w:ascii="宋体" w:hAnsi="宋体" w:cs="宋体"/>
          <w:b/>
          <w:bCs/>
          <w:kern w:val="0"/>
          <w:szCs w:val="21"/>
        </w:rPr>
        <w:t>申请人的资格要求：</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rPr>
        <w:t>1</w:t>
      </w:r>
      <w:r>
        <w:rPr>
          <w:rFonts w:ascii="宋体" w:hAnsi="宋体" w:cs="宋体"/>
          <w:kern w:val="0"/>
          <w:szCs w:val="21"/>
        </w:rPr>
        <w:t>.</w:t>
      </w:r>
      <w:r>
        <w:rPr>
          <w:rFonts w:hint="eastAsia" w:ascii="宋体" w:hAnsi="宋体" w:eastAsia="宋体" w:cs="宋体"/>
          <w:sz w:val="21"/>
          <w:szCs w:val="21"/>
          <w:highlight w:val="none"/>
          <w:lang w:eastAsia="zh-CN"/>
        </w:rPr>
        <w:t>具有独立承担民事责任的能力（提供营业执照或事业单位法人证书等证明资料扫描件，原件备查，分公司参与投标的，须提供分公司营业执照、其所属集团(或总公司)等具有独立法人资格的组织</w:t>
      </w:r>
      <w:r>
        <w:rPr>
          <w:rFonts w:hint="eastAsia" w:ascii="宋体" w:hAnsi="宋体" w:cs="宋体"/>
          <w:sz w:val="21"/>
          <w:szCs w:val="21"/>
          <w:highlight w:val="none"/>
          <w:lang w:eastAsia="zh-CN"/>
        </w:rPr>
        <w:t>的营业执照及其</w:t>
      </w:r>
      <w:r>
        <w:rPr>
          <w:rFonts w:hint="eastAsia" w:ascii="宋体" w:hAnsi="宋体" w:eastAsia="宋体" w:cs="宋体"/>
          <w:sz w:val="21"/>
          <w:szCs w:val="21"/>
          <w:highlight w:val="none"/>
          <w:lang w:eastAsia="zh-CN"/>
        </w:rPr>
        <w:t>出具的载明愿为其参与本项目投标的行为以及履约等行为承担民事责任的加盖总公司公章的授权函）</w:t>
      </w:r>
      <w:r>
        <w:rPr>
          <w:rFonts w:hint="eastAsia" w:ascii="宋体" w:hAnsi="宋体" w:cs="宋体"/>
          <w:sz w:val="21"/>
          <w:szCs w:val="21"/>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630" w:firstLineChars="300"/>
        <w:textAlignment w:val="auto"/>
        <w:rPr>
          <w:rFonts w:hint="default" w:ascii="宋体" w:hAnsi="宋体" w:eastAsia="宋体" w:cs="宋体"/>
          <w:sz w:val="21"/>
          <w:szCs w:val="21"/>
          <w:highlight w:val="none"/>
          <w:lang w:val="en-US" w:eastAsia="zh-CN"/>
        </w:rPr>
      </w:pPr>
      <w:r>
        <w:rPr>
          <w:rFonts w:hint="eastAsia" w:ascii="宋体" w:hAnsi="宋体" w:cs="宋体"/>
          <w:color w:val="FF0000"/>
          <w:kern w:val="0"/>
          <w:szCs w:val="21"/>
        </w:rPr>
        <w:t>2.</w:t>
      </w:r>
      <w:bookmarkStart w:id="0" w:name="OLE_LINK9"/>
      <w:r>
        <w:rPr>
          <w:rFonts w:hint="eastAsia" w:ascii="宋体" w:hAnsi="宋体" w:cs="宋体"/>
          <w:color w:val="FF0000"/>
          <w:kern w:val="0"/>
          <w:szCs w:val="21"/>
        </w:rPr>
        <w:t>本项</w:t>
      </w:r>
      <w:bookmarkStart w:id="1" w:name="OLE_LINK8"/>
      <w:r>
        <w:rPr>
          <w:rFonts w:hint="eastAsia" w:ascii="宋体" w:hAnsi="宋体" w:cs="宋体"/>
          <w:color w:val="FF0000"/>
          <w:kern w:val="0"/>
          <w:szCs w:val="21"/>
        </w:rPr>
        <w:t>目不接受联合体投标</w:t>
      </w:r>
      <w:bookmarkEnd w:id="1"/>
      <w:r>
        <w:rPr>
          <w:rFonts w:hint="eastAsia" w:ascii="宋体" w:hAnsi="宋体" w:cs="宋体"/>
          <w:color w:val="FF0000"/>
          <w:kern w:val="0"/>
          <w:szCs w:val="21"/>
          <w:lang w:val="en-US" w:eastAsia="zh-CN"/>
        </w:rPr>
        <w:t>，</w:t>
      </w:r>
      <w:bookmarkStart w:id="2" w:name="OLE_LINK7"/>
      <w:r>
        <w:rPr>
          <w:rFonts w:hint="eastAsia" w:ascii="宋体" w:hAnsi="宋体" w:cs="宋体"/>
          <w:color w:val="FF0000"/>
          <w:kern w:val="0"/>
          <w:szCs w:val="21"/>
        </w:rPr>
        <w:t>不接受投标人选用进口产品参与投标，详见招标文件</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第三章 用户需求书</w:t>
      </w:r>
      <w:r>
        <w:rPr>
          <w:rFonts w:hint="eastAsia" w:ascii="宋体" w:hAnsi="宋体" w:cs="宋体"/>
          <w:color w:val="FF0000"/>
          <w:kern w:val="0"/>
          <w:szCs w:val="21"/>
        </w:rPr>
        <w:t>”</w:t>
      </w:r>
      <w:bookmarkEnd w:id="2"/>
      <w:r>
        <w:rPr>
          <w:rFonts w:hint="eastAsia" w:ascii="宋体" w:hAnsi="宋体" w:cs="宋体"/>
          <w:color w:val="FF0000"/>
          <w:kern w:val="0"/>
          <w:szCs w:val="21"/>
        </w:rPr>
        <w:t>；</w:t>
      </w:r>
      <w:bookmarkEnd w:id="0"/>
    </w:p>
    <w:p>
      <w:pPr>
        <w:ind w:firstLine="630" w:firstLineChars="300"/>
        <w:rPr>
          <w:rFonts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参与本项目政府采购活动时不存在被有关部门禁止参与政府采购活动且在有效期内的情况（由供应商在《政府采购投标及履约承诺函》中作出声明）；</w:t>
      </w:r>
    </w:p>
    <w:p>
      <w:pPr>
        <w:ind w:firstLine="630" w:firstLineChars="300"/>
        <w:rPr>
          <w:rFonts w:ascii="宋体" w:hAnsi="宋体" w:cs="宋体"/>
          <w:kern w:val="0"/>
          <w:szCs w:val="21"/>
        </w:rPr>
      </w:pPr>
      <w:r>
        <w:rPr>
          <w:rFonts w:hint="eastAsia" w:ascii="宋体" w:hAnsi="宋体" w:cs="宋体"/>
          <w:kern w:val="0"/>
          <w:szCs w:val="21"/>
          <w:lang w:val="en-US" w:eastAsia="zh-CN"/>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具备《中华人民共和国政府采购法》第二十二条第一款的条件（由供应商在《政府采购投标及履约承诺函》中作出声明）；</w:t>
      </w:r>
    </w:p>
    <w:p>
      <w:pPr>
        <w:ind w:firstLine="630" w:firstLineChars="300"/>
        <w:rPr>
          <w:rFonts w:hint="eastAsia" w:ascii="宋体" w:hAnsi="宋体" w:cs="宋体"/>
          <w:kern w:val="0"/>
          <w:szCs w:val="21"/>
          <w:lang w:val="en-US" w:eastAsia="zh-CN"/>
        </w:rPr>
      </w:pPr>
      <w:r>
        <w:rPr>
          <w:rFonts w:hint="eastAsia" w:ascii="宋体" w:hAnsi="宋体" w:cs="宋体"/>
          <w:kern w:val="0"/>
          <w:szCs w:val="21"/>
          <w:lang w:val="en-US" w:eastAsia="zh-CN"/>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未被列入失信被执行人、重大税收违法案件当事人名单、政府采购严重违法失信行为记录名单（由供应商在《政府采购投标及履约承诺函》中作出声明）</w:t>
      </w:r>
      <w:r>
        <w:rPr>
          <w:rFonts w:hint="eastAsia" w:ascii="宋体" w:hAnsi="宋体" w:cs="宋体"/>
          <w:kern w:val="0"/>
          <w:szCs w:val="21"/>
          <w:lang w:val="en-US" w:eastAsia="zh-CN"/>
        </w:rPr>
        <w:t>；</w:t>
      </w:r>
    </w:p>
    <w:p>
      <w:pPr>
        <w:ind w:firstLine="630" w:firstLineChars="300"/>
        <w:rPr>
          <w:rFonts w:hint="default" w:ascii="宋体" w:hAnsi="宋体" w:cs="宋体"/>
          <w:color w:val="FF0000"/>
          <w:kern w:val="0"/>
          <w:szCs w:val="21"/>
          <w:lang w:val="en-US" w:eastAsia="zh-CN"/>
        </w:rPr>
      </w:pPr>
      <w:r>
        <w:rPr>
          <w:rFonts w:hint="eastAsia" w:ascii="宋体" w:hAnsi="宋体" w:cs="宋体"/>
          <w:color w:val="FF0000"/>
          <w:kern w:val="0"/>
          <w:szCs w:val="21"/>
          <w:lang w:val="en-US" w:eastAsia="zh-CN"/>
        </w:rPr>
        <w:t>6.不存在《深圳市财政局政府采购供应商信用信息管理办法》（深财规〔2023〕3号）列明的严重违法失信行为</w:t>
      </w:r>
      <w:r>
        <w:rPr>
          <w:rFonts w:hint="eastAsia" w:ascii="宋体" w:hAnsi="宋体" w:cs="宋体"/>
          <w:color w:val="FF0000"/>
          <w:kern w:val="0"/>
          <w:szCs w:val="21"/>
        </w:rPr>
        <w:t>（由供应商在《政府采购投标及履约承诺函》中作出声明）</w:t>
      </w:r>
      <w:r>
        <w:rPr>
          <w:rFonts w:hint="eastAsia" w:ascii="宋体" w:hAnsi="宋体" w:cs="宋体"/>
          <w:color w:val="FF0000"/>
          <w:kern w:val="0"/>
          <w:szCs w:val="21"/>
          <w:lang w:eastAsia="zh-CN"/>
        </w:rPr>
        <w:t>；</w:t>
      </w:r>
      <w:r>
        <w:rPr>
          <w:rFonts w:hint="eastAsia" w:ascii="宋体" w:hAnsi="宋体" w:cs="宋体"/>
          <w:color w:val="FF0000"/>
          <w:kern w:val="0"/>
          <w:szCs w:val="21"/>
          <w:lang w:val="en-US" w:eastAsia="zh-CN"/>
        </w:rPr>
        <w:t>;</w:t>
      </w:r>
    </w:p>
    <w:p>
      <w:pPr>
        <w:ind w:firstLine="630" w:firstLineChars="300"/>
        <w:rPr>
          <w:rFonts w:hint="eastAsia" w:ascii="宋体" w:hAnsi="宋体" w:eastAsia="宋体" w:cs="宋体"/>
          <w:kern w:val="0"/>
          <w:szCs w:val="21"/>
          <w:lang w:eastAsia="zh-CN"/>
        </w:rPr>
      </w:pPr>
      <w:r>
        <w:rPr>
          <w:rFonts w:hint="eastAsia" w:ascii="宋体" w:hAnsi="宋体" w:cs="宋体"/>
          <w:kern w:val="0"/>
          <w:szCs w:val="21"/>
          <w:lang w:val="en-US" w:eastAsia="zh-CN"/>
        </w:rPr>
        <w:t>7</w:t>
      </w:r>
      <w:r>
        <w:rPr>
          <w:rFonts w:hint="eastAsia" w:ascii="宋体" w:hAnsi="宋体" w:cs="宋体"/>
          <w:kern w:val="0"/>
          <w:szCs w:val="21"/>
        </w:rPr>
        <w:t>.为采购项目提供整体设计、规范编制或者项目管理、监理、检测等服务的供应商，不得再参加该采购项目的其他采购活动（由供应商在《政府采购投标及履约承诺函》中作出声明）</w:t>
      </w:r>
      <w:r>
        <w:rPr>
          <w:rFonts w:hint="eastAsia" w:ascii="宋体" w:hAnsi="宋体" w:cs="宋体"/>
          <w:kern w:val="0"/>
          <w:szCs w:val="21"/>
          <w:lang w:val="en-US" w:eastAsia="zh-CN"/>
        </w:rPr>
        <w:t>；</w:t>
      </w:r>
    </w:p>
    <w:p>
      <w:pPr>
        <w:ind w:firstLine="630" w:firstLineChars="300"/>
        <w:rPr>
          <w:rFonts w:hint="eastAsia" w:ascii="宋体" w:hAnsi="宋体" w:cs="宋体"/>
          <w:kern w:val="0"/>
          <w:szCs w:val="21"/>
          <w:highlight w:val="yellow"/>
        </w:rPr>
      </w:pPr>
      <w:r>
        <w:rPr>
          <w:rFonts w:hint="eastAsia" w:ascii="宋体" w:hAnsi="宋体" w:cs="宋体"/>
          <w:kern w:val="0"/>
          <w:szCs w:val="21"/>
          <w:highlight w:val="yellow"/>
        </w:rPr>
        <w:t>8.不同供应商的法定代表人、主要经营负责人、项目投标授权代表人、项目负责人、主要技术人员不得为同一人、属同一单位或者在同一单位缴纳社会保险；不同投标供应商的投标文件不得由同一单位或者同一人编制；单位负责人为同一人或者存在直接控股、管理关系的不同供应商，不得参加本项目政府采购活动（由供应商填写《供应商基本情况表》相关信息）。</w:t>
      </w:r>
    </w:p>
    <w:p>
      <w:pPr>
        <w:ind w:firstLine="630" w:firstLineChars="3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.本项目是（否）专门面向中小企业采购：</w:t>
      </w:r>
      <w:r>
        <w:rPr>
          <w:rFonts w:hint="eastAsia" w:ascii="宋体" w:hAnsi="宋体" w:cs="宋体"/>
          <w:b/>
          <w:bCs/>
          <w:color w:val="FF0000"/>
          <w:kern w:val="0"/>
          <w:szCs w:val="21"/>
          <w:highlight w:val="yellow"/>
          <w:lang w:val="en-US" w:eastAsia="zh-CN"/>
        </w:rPr>
        <w:t>否</w:t>
      </w:r>
      <w:r>
        <w:rPr>
          <w:rFonts w:hint="eastAsia" w:ascii="宋体" w:hAnsi="宋体" w:cs="宋体"/>
          <w:b/>
          <w:bCs/>
          <w:color w:val="FF0000"/>
          <w:kern w:val="0"/>
          <w:szCs w:val="21"/>
          <w:highlight w:val="yellow"/>
        </w:rPr>
        <w:t>。</w:t>
      </w:r>
    </w:p>
    <w:p>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pPr>
        <w:ind w:firstLine="420" w:firstLineChars="200"/>
        <w:rPr>
          <w:rFonts w:hint="eastAsia" w:ascii="宋体" w:hAnsi="宋体"/>
        </w:rPr>
      </w:pPr>
      <w:r>
        <w:rPr>
          <w:rFonts w:hint="eastAsia" w:ascii="宋体" w:hAnsi="宋体"/>
        </w:rPr>
        <w:t>（2）供应商投标（上传投标文件）必须先行办理注册手续，具体请按照本公告“六、其他补充事宜</w:t>
      </w:r>
      <w:r>
        <w:rPr>
          <w:rFonts w:ascii="宋体" w:hAnsi="宋体"/>
        </w:rPr>
        <w:t>”</w:t>
      </w:r>
      <w:r>
        <w:rPr>
          <w:rFonts w:hint="eastAsia" w:ascii="宋体" w:hAnsi="宋体"/>
        </w:rPr>
        <w:t>相关内容指引办理。</w:t>
      </w:r>
    </w:p>
    <w:p>
      <w:pPr>
        <w:snapToGrid w:val="0"/>
        <w:spacing w:line="300" w:lineRule="auto"/>
        <w:ind w:firstLine="480" w:firstLineChars="200"/>
        <w:rPr>
          <w:rFonts w:ascii="Arial" w:hAnsi="Arial" w:eastAsia="宋体" w:cs="Times New Roman"/>
          <w:sz w:val="24"/>
          <w:szCs w:val="24"/>
        </w:rPr>
      </w:pPr>
    </w:p>
    <w:p>
      <w:pPr>
        <w:spacing w:after="78" w:afterLines="25"/>
        <w:jc w:val="center"/>
        <w:rPr>
          <w:b/>
          <w:color w:val="FF0000"/>
          <w:sz w:val="30"/>
          <w:szCs w:val="30"/>
        </w:rPr>
      </w:pPr>
      <w:r>
        <w:rPr>
          <w:rFonts w:hint="eastAsia" w:ascii="Arial" w:hAnsi="Arial" w:eastAsia="宋体" w:cs="Times New Roman"/>
          <w:b/>
          <w:color w:val="FF0000"/>
          <w:sz w:val="30"/>
          <w:szCs w:val="30"/>
        </w:rPr>
        <w:t>完整公告内容以网站公布信息为准，详见：深圳政府采购自行采购系统</w:t>
      </w:r>
      <w:r>
        <w:rPr>
          <w:rFonts w:hint="eastAsia"/>
          <w:b/>
          <w:color w:val="FF0000"/>
          <w:sz w:val="30"/>
          <w:szCs w:val="30"/>
        </w:rPr>
        <w:t>网（https://zxcg.szggzy.com/home/index.html）</w:t>
      </w:r>
    </w:p>
    <w:p>
      <w:pPr>
        <w:spacing w:after="78" w:afterLines="25"/>
        <w:rPr>
          <w:rFonts w:ascii="Arial" w:hAnsi="Arial" w:eastAsia="宋体" w:cs="Times New Roman"/>
          <w:b/>
          <w:color w:val="FF0000"/>
          <w:sz w:val="30"/>
          <w:szCs w:val="30"/>
        </w:rPr>
      </w:pPr>
    </w:p>
    <w:p>
      <w:pPr>
        <w:keepNext/>
        <w:keepLines/>
        <w:spacing w:before="260" w:after="260" w:line="416" w:lineRule="auto"/>
        <w:jc w:val="center"/>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 xml:space="preserve">第二章 </w:t>
      </w:r>
      <w:bookmarkStart w:id="3" w:name="_Hlk71926094"/>
      <w:r>
        <w:rPr>
          <w:rFonts w:hint="eastAsia" w:ascii="宋体" w:hAnsi="宋体" w:eastAsia="宋体" w:cs="Times New Roman"/>
          <w:b/>
          <w:bCs/>
          <w:kern w:val="0"/>
          <w:sz w:val="28"/>
          <w:szCs w:val="28"/>
        </w:rPr>
        <w:t>对通用条款的补充内容及其他关键信息</w:t>
      </w:r>
      <w:bookmarkEnd w:id="3"/>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bookmarkStart w:id="4" w:name="_Toc60560625"/>
      <w:bookmarkStart w:id="5" w:name="_Toc73521635"/>
      <w:bookmarkStart w:id="6" w:name="_Toc101074876"/>
      <w:bookmarkStart w:id="7" w:name="_Toc60631620"/>
      <w:bookmarkStart w:id="8" w:name="_Toc73518117"/>
      <w:bookmarkStart w:id="9" w:name="_Toc100052364"/>
      <w:bookmarkStart w:id="10" w:name="_Toc73517639"/>
      <w:bookmarkStart w:id="11" w:name="_Toc73521547"/>
      <w:r>
        <w:rPr>
          <w:rFonts w:hint="eastAsia" w:ascii="宋体" w:hAnsi="宋体" w:eastAsia="宋体" w:cs="Times New Roman"/>
          <w:b/>
          <w:bCs/>
          <w:kern w:val="0"/>
          <w:sz w:val="24"/>
          <w:szCs w:val="24"/>
        </w:rPr>
        <w:t>一、对通用条款的补充内容</w:t>
      </w:r>
    </w:p>
    <w:tbl>
      <w:tblPr>
        <w:tblStyle w:val="18"/>
        <w:tblW w:w="952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8"/>
        <w:gridCol w:w="1755"/>
        <w:gridCol w:w="679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b/>
                <w:bCs/>
              </w:rPr>
            </w:pPr>
            <w:r>
              <w:rPr>
                <w:rFonts w:hint="eastAsia" w:ascii="宋体" w:hAnsi="宋体"/>
                <w:b/>
                <w:bCs/>
              </w:rPr>
              <w:t>通用条款序号</w:t>
            </w:r>
          </w:p>
        </w:tc>
        <w:tc>
          <w:tcPr>
            <w:tcW w:w="1755" w:type="dxa"/>
            <w:vAlign w:val="center"/>
          </w:tcPr>
          <w:p>
            <w:pPr>
              <w:jc w:val="center"/>
              <w:rPr>
                <w:rFonts w:hint="eastAsia" w:ascii="宋体" w:hAnsi="宋体"/>
                <w:b/>
                <w:bCs/>
              </w:rPr>
            </w:pPr>
            <w:r>
              <w:rPr>
                <w:rFonts w:hint="eastAsia" w:ascii="宋体" w:hAnsi="宋体"/>
                <w:b/>
                <w:bCs/>
              </w:rPr>
              <w:t>涉及事项</w:t>
            </w:r>
          </w:p>
        </w:tc>
        <w:tc>
          <w:tcPr>
            <w:tcW w:w="6795" w:type="dxa"/>
            <w:vAlign w:val="center"/>
          </w:tcPr>
          <w:p>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.1</w:t>
            </w:r>
          </w:p>
        </w:tc>
        <w:tc>
          <w:tcPr>
            <w:tcW w:w="1755" w:type="dxa"/>
            <w:vAlign w:val="center"/>
          </w:tcPr>
          <w:p>
            <w:pPr>
              <w:jc w:val="center"/>
            </w:pPr>
            <w:r>
              <w:rPr>
                <w:rFonts w:hint="eastAsia"/>
              </w:rPr>
              <w:t>采购人</w:t>
            </w:r>
          </w:p>
        </w:tc>
        <w:tc>
          <w:tcPr>
            <w:tcW w:w="6795" w:type="dxa"/>
            <w:vAlign w:val="center"/>
          </w:tcPr>
          <w:p>
            <w:pPr>
              <w:jc w:val="left"/>
              <w:rPr>
                <w:rFonts w:hint="eastAsia" w:ascii="宋体" w:hAnsi="宋体"/>
              </w:rPr>
            </w:pPr>
            <w:r>
              <w:rPr>
                <w:rFonts w:hint="eastAsia" w:ascii="宋体" w:hAnsi="宋体"/>
              </w:rPr>
              <w:t>深</w:t>
            </w:r>
            <w:r>
              <w:rPr>
                <w:rFonts w:hint="eastAsia" w:ascii="宋体" w:hAnsi="宋体" w:cs="宋体"/>
              </w:rPr>
              <w:t>圳市龙华外国语高级中学</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.2</w:t>
            </w:r>
          </w:p>
        </w:tc>
        <w:tc>
          <w:tcPr>
            <w:tcW w:w="1755" w:type="dxa"/>
            <w:vAlign w:val="center"/>
          </w:tcPr>
          <w:p>
            <w:pPr>
              <w:jc w:val="center"/>
              <w:rPr>
                <w:rFonts w:hint="eastAsia" w:ascii="宋体" w:hAnsi="宋体"/>
              </w:rPr>
            </w:pPr>
            <w:r>
              <w:rPr>
                <w:rFonts w:hint="eastAsia" w:ascii="宋体" w:hAnsi="宋体"/>
              </w:rPr>
              <w:t>政府集中采购机构</w:t>
            </w:r>
          </w:p>
        </w:tc>
        <w:tc>
          <w:tcPr>
            <w:tcW w:w="6795" w:type="dxa"/>
            <w:vAlign w:val="center"/>
          </w:tcPr>
          <w:p>
            <w:pPr>
              <w:jc w:val="left"/>
              <w:rPr>
                <w:rFonts w:hint="eastAsia" w:ascii="宋体" w:hAnsi="宋体"/>
              </w:rPr>
            </w:pPr>
            <w:r>
              <w:rPr>
                <w:rFonts w:hint="eastAsia" w:ascii="宋体" w:hAnsi="宋体" w:eastAsia="宋体" w:cs="Arial"/>
                <w:szCs w:val="21"/>
              </w:rPr>
              <w:t>本文件所述的“政府集中采购机构”</w:t>
            </w:r>
            <w:r>
              <w:rPr>
                <w:rFonts w:ascii="宋体" w:hAnsi="宋体" w:eastAsia="宋体" w:cs="Arial"/>
                <w:szCs w:val="21"/>
              </w:rPr>
              <w:t>指</w:t>
            </w:r>
            <w:r>
              <w:rPr>
                <w:rFonts w:hint="eastAsia" w:ascii="宋体" w:hAnsi="宋体" w:eastAsia="宋体" w:cs="Arial"/>
                <w:b/>
                <w:bCs/>
                <w:szCs w:val="21"/>
              </w:rPr>
              <w:t>深圳公共资源交易中心</w:t>
            </w:r>
            <w:r>
              <w:rPr>
                <w:rFonts w:hint="eastAsia" w:ascii="Arial" w:hAnsi="Arial" w:eastAsia="宋体" w:cs="Times New Roman"/>
                <w:szCs w:val="24"/>
              </w:rPr>
              <w:t>。本项目具体由深圳公共资源交易中心（深圳交易集团有限公司龙华分公司）执行</w:t>
            </w:r>
            <w:r>
              <w:rPr>
                <w:rFonts w:hint="eastAsia" w:ascii="Arial" w:hAnsi="Arial" w:eastAsia="宋体" w:cs="Times New Roman"/>
                <w:bCs/>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5</w:t>
            </w:r>
            <w:r>
              <w:rPr>
                <w:rFonts w:ascii="宋体" w:hAnsi="宋体"/>
              </w:rPr>
              <w:t>.3</w:t>
            </w:r>
          </w:p>
        </w:tc>
        <w:tc>
          <w:tcPr>
            <w:tcW w:w="1755" w:type="dxa"/>
            <w:vAlign w:val="center"/>
          </w:tcPr>
          <w:p>
            <w:pPr>
              <w:jc w:val="center"/>
              <w:rPr>
                <w:rFonts w:hint="eastAsia" w:ascii="宋体" w:hAnsi="宋体"/>
              </w:rPr>
            </w:pPr>
            <w:r>
              <w:rPr>
                <w:rFonts w:hint="eastAsia" w:ascii="宋体" w:hAnsi="宋体"/>
              </w:rPr>
              <w:t>联合体投标</w:t>
            </w:r>
          </w:p>
        </w:tc>
        <w:tc>
          <w:tcPr>
            <w:tcW w:w="6795" w:type="dxa"/>
            <w:vAlign w:val="center"/>
          </w:tcPr>
          <w:p>
            <w:pPr>
              <w:jc w:val="left"/>
              <w:rPr>
                <w:rFonts w:ascii="Arial" w:hAnsi="Arial" w:eastAsia="宋体" w:cs="Times New Roman"/>
                <w:szCs w:val="24"/>
                <w:highlight w:val="none"/>
              </w:rPr>
            </w:pPr>
            <w:r>
              <w:rPr>
                <w:rFonts w:hint="eastAsia" w:ascii="Arial" w:hAnsi="Arial" w:eastAsia="宋体" w:cs="Times New Roman"/>
                <w:szCs w:val="24"/>
                <w:highlight w:val="none"/>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9</w:t>
            </w:r>
          </w:p>
        </w:tc>
        <w:tc>
          <w:tcPr>
            <w:tcW w:w="1755" w:type="dxa"/>
            <w:vAlign w:val="center"/>
          </w:tcPr>
          <w:p>
            <w:pPr>
              <w:jc w:val="center"/>
              <w:rPr>
                <w:rFonts w:hint="eastAsia" w:ascii="宋体" w:hAnsi="宋体"/>
                <w:b/>
                <w:bCs/>
                <w:highlight w:val="yellow"/>
              </w:rPr>
            </w:pPr>
            <w:r>
              <w:rPr>
                <w:rFonts w:hint="eastAsia" w:ascii="宋体" w:hAnsi="宋体"/>
              </w:rPr>
              <w:t>踏勘现场</w:t>
            </w:r>
          </w:p>
        </w:tc>
        <w:tc>
          <w:tcPr>
            <w:tcW w:w="6795" w:type="dxa"/>
            <w:vAlign w:val="center"/>
          </w:tcPr>
          <w:p>
            <w:pPr>
              <w:jc w:val="left"/>
              <w:rPr>
                <w:rFonts w:hint="eastAsia" w:ascii="Arial" w:hAnsi="Arial" w:cs="Times New Roman" w:eastAsiaTheme="minorEastAsia"/>
                <w:szCs w:val="24"/>
                <w:highlight w:val="none"/>
                <w:lang w:eastAsia="zh-CN"/>
              </w:rPr>
            </w:pPr>
            <w:r>
              <w:rPr>
                <w:rFonts w:hint="eastAsia" w:ascii="Arial" w:hAnsi="Arial" w:eastAsia="宋体" w:cs="Times New Roman"/>
                <w:szCs w:val="24"/>
                <w:highlight w:val="none"/>
                <w:lang w:eastAsia="zh-CN"/>
              </w:rPr>
              <w:t>详见</w:t>
            </w:r>
            <w:r>
              <w:rPr>
                <w:rFonts w:hint="eastAsia"/>
                <w:lang w:eastAsia="zh-CN"/>
              </w:rPr>
              <w:t>“</w:t>
            </w:r>
            <w:r>
              <w:rPr>
                <w:rFonts w:hint="eastAsia" w:ascii="宋体" w:hAnsi="宋体" w:eastAsia="宋体" w:cs="宋体"/>
                <w:b/>
                <w:bCs/>
                <w:szCs w:val="21"/>
                <w:lang w:eastAsia="zh-CN"/>
              </w:rPr>
              <w:t>现场踏勘</w:t>
            </w:r>
            <w:r>
              <w:rPr>
                <w:rFonts w:hint="eastAsia"/>
                <w:lang w:eastAsia="zh-CN"/>
              </w:rPr>
              <w:t>”要求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0</w:t>
            </w:r>
          </w:p>
        </w:tc>
        <w:tc>
          <w:tcPr>
            <w:tcW w:w="1755" w:type="dxa"/>
            <w:vAlign w:val="center"/>
          </w:tcPr>
          <w:p>
            <w:pPr>
              <w:jc w:val="center"/>
              <w:rPr>
                <w:rFonts w:hint="eastAsia" w:ascii="宋体" w:hAnsi="宋体"/>
              </w:rPr>
            </w:pPr>
            <w:r>
              <w:rPr>
                <w:rFonts w:hint="eastAsia" w:ascii="宋体" w:hAnsi="宋体"/>
              </w:rPr>
              <w:t>标前会议</w:t>
            </w:r>
          </w:p>
        </w:tc>
        <w:tc>
          <w:tcPr>
            <w:tcW w:w="6795" w:type="dxa"/>
            <w:vAlign w:val="center"/>
          </w:tcPr>
          <w:p>
            <w:pPr>
              <w:jc w:val="left"/>
              <w:rPr>
                <w:rFonts w:hint="eastAsia" w:ascii="Arial" w:hAnsi="Arial" w:eastAsia="宋体" w:cs="Times New Roman"/>
                <w:szCs w:val="24"/>
                <w:highlight w:val="none"/>
              </w:rPr>
            </w:pPr>
            <w:r>
              <w:rPr>
                <w:rFonts w:hint="eastAsia" w:ascii="Arial" w:hAnsi="Arial" w:eastAsia="宋体" w:cs="Times New Roman"/>
                <w:szCs w:val="24"/>
                <w:highlight w:val="none"/>
                <w:lang w:eastAsia="zh-CN"/>
              </w:rPr>
              <w:t>不</w:t>
            </w:r>
            <w:r>
              <w:rPr>
                <w:rFonts w:hint="eastAsia" w:ascii="Arial" w:hAnsi="Arial" w:eastAsia="宋体" w:cs="Times New Roman"/>
                <w:szCs w:val="24"/>
                <w:highlight w:val="none"/>
              </w:rPr>
              <w:t>组织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1755" w:type="dxa"/>
            <w:vAlign w:val="center"/>
          </w:tcPr>
          <w:p>
            <w:pPr>
              <w:jc w:val="center"/>
              <w:rPr>
                <w:rFonts w:hint="eastAsia" w:ascii="宋体" w:hAnsi="宋体"/>
              </w:rPr>
            </w:pPr>
            <w:r>
              <w:rPr>
                <w:rFonts w:hint="eastAsia" w:ascii="宋体" w:hAnsi="宋体"/>
              </w:rPr>
              <w:t>招标文件的澄清和修改</w:t>
            </w:r>
          </w:p>
        </w:tc>
        <w:tc>
          <w:tcPr>
            <w:tcW w:w="6795" w:type="dxa"/>
            <w:vAlign w:val="center"/>
          </w:tcPr>
          <w:p>
            <w:pPr>
              <w:jc w:val="left"/>
              <w:rPr>
                <w:rFonts w:hint="eastAsia" w:ascii="宋体" w:hAnsi="宋体"/>
              </w:rPr>
            </w:pPr>
            <w:r>
              <w:rPr>
                <w:rFonts w:hint="eastAsia" w:ascii="宋体" w:hAnsi="宋体"/>
              </w:rPr>
              <w:t>不晚于投标截止日三日前，投标人有义务在招标期间在政府集中采购机构网站浏览与本项目有关的澄清和修改信息。</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0</w:t>
            </w:r>
          </w:p>
        </w:tc>
        <w:tc>
          <w:tcPr>
            <w:tcW w:w="1755" w:type="dxa"/>
            <w:vAlign w:val="center"/>
          </w:tcPr>
          <w:p>
            <w:pPr>
              <w:jc w:val="center"/>
              <w:rPr>
                <w:rFonts w:hint="eastAsia" w:ascii="宋体" w:hAnsi="宋体"/>
              </w:rPr>
            </w:pPr>
            <w:r>
              <w:rPr>
                <w:rFonts w:hint="eastAsia" w:ascii="宋体" w:hAnsi="宋体"/>
              </w:rPr>
              <w:t>投标有效期</w:t>
            </w:r>
          </w:p>
        </w:tc>
        <w:tc>
          <w:tcPr>
            <w:tcW w:w="6795" w:type="dxa"/>
            <w:vAlign w:val="center"/>
          </w:tcPr>
          <w:p>
            <w:pPr>
              <w:jc w:val="left"/>
              <w:rPr>
                <w:rFonts w:hint="eastAsia" w:ascii="宋体" w:hAnsi="宋体"/>
              </w:rPr>
            </w:pPr>
            <w:r>
              <w:rPr>
                <w:rFonts w:hint="eastAsia" w:ascii="宋体" w:hAnsi="宋体"/>
              </w:rPr>
              <w:t>120日历天（从投标截止之日算起）</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2</w:t>
            </w:r>
          </w:p>
        </w:tc>
        <w:tc>
          <w:tcPr>
            <w:tcW w:w="1755" w:type="dxa"/>
            <w:vAlign w:val="center"/>
          </w:tcPr>
          <w:p>
            <w:pPr>
              <w:jc w:val="center"/>
              <w:rPr>
                <w:rFonts w:hint="eastAsia" w:ascii="宋体" w:hAnsi="宋体"/>
              </w:rPr>
            </w:pPr>
            <w:r>
              <w:rPr>
                <w:rFonts w:hint="eastAsia" w:ascii="宋体" w:hAnsi="宋体"/>
              </w:rPr>
              <w:t>投标人的替代方案</w:t>
            </w:r>
          </w:p>
        </w:tc>
        <w:tc>
          <w:tcPr>
            <w:tcW w:w="6795" w:type="dxa"/>
            <w:vAlign w:val="center"/>
          </w:tcPr>
          <w:p>
            <w:pPr>
              <w:jc w:val="left"/>
              <w:rPr>
                <w:rFonts w:hint="eastAsia" w:ascii="宋体" w:hAnsi="宋体"/>
              </w:rPr>
            </w:pPr>
            <w:r>
              <w:rPr>
                <w:rFonts w:hint="eastAsia" w:ascii="宋体" w:hAnsi="宋体"/>
              </w:rPr>
              <w:t>不接受</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5</w:t>
            </w:r>
          </w:p>
        </w:tc>
        <w:tc>
          <w:tcPr>
            <w:tcW w:w="1755" w:type="dxa"/>
            <w:vAlign w:val="center"/>
          </w:tcPr>
          <w:p>
            <w:pPr>
              <w:jc w:val="center"/>
              <w:rPr>
                <w:rFonts w:hint="eastAsia" w:ascii="宋体" w:hAnsi="宋体"/>
              </w:rPr>
            </w:pPr>
            <w:r>
              <w:rPr>
                <w:rFonts w:hint="eastAsia" w:ascii="宋体" w:hAnsi="宋体"/>
              </w:rPr>
              <w:t>投标文件的大小</w:t>
            </w:r>
          </w:p>
        </w:tc>
        <w:tc>
          <w:tcPr>
            <w:tcW w:w="6795" w:type="dxa"/>
            <w:vAlign w:val="center"/>
          </w:tcPr>
          <w:p>
            <w:pPr>
              <w:jc w:val="left"/>
              <w:rPr>
                <w:rFonts w:hint="eastAsia" w:ascii="宋体" w:hAnsi="宋体"/>
              </w:rPr>
            </w:pPr>
            <w:r>
              <w:rPr>
                <w:rFonts w:hint="eastAsia" w:ascii="宋体" w:hAnsi="宋体"/>
              </w:rPr>
              <w:t>投标文件大小不得超过100MB</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2</w:t>
            </w:r>
            <w:r>
              <w:rPr>
                <w:rFonts w:ascii="宋体" w:hAnsi="宋体"/>
              </w:rPr>
              <w:t>6</w:t>
            </w:r>
          </w:p>
        </w:tc>
        <w:tc>
          <w:tcPr>
            <w:tcW w:w="1755" w:type="dxa"/>
            <w:vAlign w:val="center"/>
          </w:tcPr>
          <w:p>
            <w:pPr>
              <w:jc w:val="center"/>
              <w:rPr>
                <w:rFonts w:hint="eastAsia" w:ascii="宋体" w:hAnsi="宋体"/>
              </w:rPr>
            </w:pPr>
            <w:r>
              <w:rPr>
                <w:rFonts w:hint="eastAsia" w:ascii="宋体" w:hAnsi="宋体"/>
              </w:rPr>
              <w:t>样品、现场演示、方案讲解</w:t>
            </w:r>
          </w:p>
        </w:tc>
        <w:tc>
          <w:tcPr>
            <w:tcW w:w="6795" w:type="dxa"/>
            <w:vAlign w:val="center"/>
          </w:tcPr>
          <w:p>
            <w:pPr>
              <w:jc w:val="left"/>
              <w:rPr>
                <w:rFonts w:hint="eastAsia" w:ascii="宋体" w:hAnsi="宋体" w:eastAsiaTheme="minorEastAsia"/>
                <w:lang w:val="en-US" w:eastAsia="zh-CN"/>
              </w:rPr>
            </w:pPr>
            <w:r>
              <w:rPr>
                <w:rFonts w:hint="eastAsia" w:ascii="宋体" w:hAnsi="宋体"/>
                <w:lang w:val="en-US" w:eastAsia="zh-CN"/>
              </w:rPr>
              <w:t>无</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7</w:t>
            </w:r>
          </w:p>
        </w:tc>
        <w:tc>
          <w:tcPr>
            <w:tcW w:w="1755" w:type="dxa"/>
            <w:vAlign w:val="center"/>
          </w:tcPr>
          <w:p>
            <w:pPr>
              <w:jc w:val="center"/>
              <w:rPr>
                <w:rFonts w:hint="eastAsia" w:ascii="宋体" w:hAnsi="宋体"/>
              </w:rPr>
            </w:pPr>
            <w:r>
              <w:rPr>
                <w:rFonts w:hint="eastAsia" w:ascii="宋体" w:hAnsi="宋体"/>
              </w:rPr>
              <w:t>评审方法</w:t>
            </w:r>
          </w:p>
        </w:tc>
        <w:tc>
          <w:tcPr>
            <w:tcW w:w="6795" w:type="dxa"/>
            <w:vAlign w:val="center"/>
          </w:tcPr>
          <w:p>
            <w:pPr>
              <w:jc w:val="left"/>
              <w:rPr>
                <w:rFonts w:hint="eastAsia" w:ascii="宋体" w:hAnsi="宋体"/>
              </w:rPr>
            </w:pPr>
            <w:r>
              <w:rPr>
                <w:rFonts w:ascii="宋体" w:hAnsi="宋体"/>
                <w:b/>
                <w:bCs/>
              </w:rPr>
              <w:t>综合评分法</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3</w:t>
            </w:r>
            <w:r>
              <w:rPr>
                <w:rFonts w:ascii="宋体" w:hAnsi="宋体"/>
              </w:rPr>
              <w:t>8</w:t>
            </w:r>
          </w:p>
        </w:tc>
        <w:tc>
          <w:tcPr>
            <w:tcW w:w="1755" w:type="dxa"/>
            <w:vAlign w:val="center"/>
          </w:tcPr>
          <w:p>
            <w:pPr>
              <w:jc w:val="center"/>
              <w:rPr>
                <w:rFonts w:hint="eastAsia" w:ascii="宋体" w:hAnsi="宋体"/>
              </w:rPr>
            </w:pPr>
            <w:r>
              <w:rPr>
                <w:rFonts w:hint="eastAsia" w:ascii="宋体" w:hAnsi="宋体"/>
              </w:rPr>
              <w:t>定标方法</w:t>
            </w:r>
          </w:p>
        </w:tc>
        <w:tc>
          <w:tcPr>
            <w:tcW w:w="6795" w:type="dxa"/>
            <w:vAlign w:val="center"/>
          </w:tcPr>
          <w:p>
            <w:pPr>
              <w:jc w:val="left"/>
              <w:rPr>
                <w:rFonts w:hint="eastAsia" w:ascii="宋体" w:hAnsi="宋体"/>
                <w:b/>
                <w:bCs/>
                <w:highlight w:val="yellow"/>
              </w:rPr>
            </w:pPr>
            <w:r>
              <w:rPr>
                <w:rFonts w:hint="eastAsia" w:ascii="宋体" w:hAnsi="宋体" w:eastAsia="宋体" w:cs="Times New Roman"/>
                <w:b/>
                <w:bCs/>
                <w:szCs w:val="21"/>
                <w:highlight w:val="none"/>
              </w:rPr>
              <w:t>非评定分离</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8" w:type="dxa"/>
            <w:vAlign w:val="center"/>
          </w:tcPr>
          <w:p>
            <w:pPr>
              <w:jc w:val="center"/>
              <w:rPr>
                <w:rFonts w:hint="eastAsia" w:ascii="宋体" w:hAnsi="宋体"/>
              </w:rPr>
            </w:pPr>
            <w:r>
              <w:rPr>
                <w:rFonts w:hint="eastAsia" w:ascii="宋体" w:hAnsi="宋体"/>
              </w:rPr>
              <w:t>4</w:t>
            </w:r>
            <w:r>
              <w:rPr>
                <w:rFonts w:ascii="宋体" w:hAnsi="宋体"/>
              </w:rPr>
              <w:t>6</w:t>
            </w:r>
          </w:p>
        </w:tc>
        <w:tc>
          <w:tcPr>
            <w:tcW w:w="1755" w:type="dxa"/>
            <w:vAlign w:val="center"/>
          </w:tcPr>
          <w:p>
            <w:pPr>
              <w:jc w:val="center"/>
              <w:rPr>
                <w:rFonts w:hint="eastAsia" w:ascii="宋体" w:hAnsi="宋体"/>
              </w:rPr>
            </w:pPr>
            <w:r>
              <w:rPr>
                <w:rFonts w:hint="eastAsia" w:ascii="宋体" w:hAnsi="宋体"/>
              </w:rPr>
              <w:t>履约担保</w:t>
            </w:r>
          </w:p>
        </w:tc>
        <w:tc>
          <w:tcPr>
            <w:tcW w:w="6795" w:type="dxa"/>
            <w:vAlign w:val="center"/>
          </w:tcPr>
          <w:p>
            <w:pPr>
              <w:jc w:val="left"/>
              <w:rPr>
                <w:rFonts w:hint="eastAsia" w:ascii="宋体" w:hAnsi="宋体"/>
              </w:rPr>
            </w:pPr>
            <w:r>
              <w:rPr>
                <w:rFonts w:hint="eastAsia" w:ascii="宋体" w:hAnsi="宋体"/>
              </w:rPr>
              <w:t>不需要</w:t>
            </w:r>
          </w:p>
        </w:tc>
      </w:tr>
      <w:bookmarkEnd w:id="4"/>
      <w:bookmarkEnd w:id="5"/>
      <w:bookmarkEnd w:id="6"/>
      <w:bookmarkEnd w:id="7"/>
      <w:bookmarkEnd w:id="8"/>
      <w:bookmarkEnd w:id="9"/>
      <w:bookmarkEnd w:id="10"/>
      <w:bookmarkEnd w:id="11"/>
    </w:tbl>
    <w:p>
      <w:pPr>
        <w:widowControl/>
        <w:jc w:val="center"/>
        <w:rPr>
          <w:szCs w:val="21"/>
        </w:rPr>
      </w:pPr>
      <w:r>
        <w:rPr>
          <w:rFonts w:hint="eastAsia"/>
          <w:szCs w:val="21"/>
        </w:rPr>
        <w:t>备注：本表是通用条款相关条款的补充和明确，如与通用条款内容相冲突的，以本表为准。</w:t>
      </w:r>
    </w:p>
    <w:p>
      <w:pPr>
        <w:keepNext/>
        <w:keepLines/>
        <w:adjustRightInd w:val="0"/>
        <w:spacing w:before="156" w:beforeLines="50" w:after="156" w:afterLines="50"/>
        <w:jc w:val="center"/>
        <w:textAlignment w:val="baseline"/>
        <w:outlineLvl w:val="2"/>
        <w:rPr>
          <w:rFonts w:hint="eastAsia" w:ascii="宋体" w:hAnsi="宋体" w:eastAsia="宋体" w:cs="Times New Roman"/>
          <w:b/>
          <w:bCs/>
          <w:kern w:val="0"/>
          <w:sz w:val="24"/>
          <w:szCs w:val="24"/>
        </w:rPr>
      </w:pPr>
      <w:r>
        <w:rPr>
          <w:rFonts w:hint="eastAsia" w:ascii="宋体" w:hAnsi="宋体" w:eastAsia="宋体" w:cs="Times New Roman"/>
          <w:b/>
          <w:bCs/>
          <w:kern w:val="0"/>
          <w:sz w:val="24"/>
          <w:szCs w:val="24"/>
        </w:rPr>
        <w:t>二、其他关键信息</w:t>
      </w:r>
    </w:p>
    <w:p>
      <w:pPr>
        <w:tabs>
          <w:tab w:val="left" w:pos="720"/>
        </w:tabs>
        <w:rPr>
          <w:rFonts w:hint="eastAsia" w:ascii="黑体" w:hAnsi="宋体" w:eastAsia="黑体"/>
          <w:sz w:val="24"/>
        </w:rPr>
      </w:pPr>
      <w:r>
        <w:rPr>
          <w:rFonts w:hint="eastAsia" w:ascii="黑体" w:hAnsi="宋体" w:eastAsia="黑体"/>
          <w:sz w:val="24"/>
        </w:rPr>
        <w:t>（一）</w:t>
      </w:r>
      <w:r>
        <w:rPr>
          <w:rFonts w:hint="eastAsia" w:ascii="黑体" w:hAnsi="宋体" w:eastAsia="黑体"/>
          <w:bCs/>
          <w:sz w:val="24"/>
        </w:rPr>
        <w:t>与“对通用条款的补充内容”章节相关的事项</w:t>
      </w:r>
    </w:p>
    <w:p>
      <w:pPr>
        <w:tabs>
          <w:tab w:val="left" w:pos="720"/>
        </w:tabs>
        <w:rPr>
          <w:rFonts w:hint="eastAsia" w:ascii="黑体" w:hAnsi="宋体" w:eastAsia="黑体"/>
          <w:bCs/>
          <w:sz w:val="24"/>
        </w:rPr>
      </w:pPr>
      <w:r>
        <w:rPr>
          <w:rFonts w:hint="eastAsia" w:ascii="黑体" w:hAnsi="宋体" w:eastAsia="黑体"/>
          <w:bCs/>
          <w:sz w:val="24"/>
        </w:rPr>
        <w:t>1、评标定标信息</w:t>
      </w:r>
    </w:p>
    <w:p>
      <w:pPr>
        <w:jc w:val="center"/>
      </w:pPr>
      <w:r>
        <w:rPr>
          <w:rFonts w:hint="eastAsia"/>
          <w:b/>
        </w:rPr>
        <w:t>非评定分离项目</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3235"/>
        <w:gridCol w:w="2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评标方法</w:t>
            </w:r>
          </w:p>
        </w:tc>
        <w:tc>
          <w:tcPr>
            <w:tcW w:w="3235" w:type="dxa"/>
          </w:tcPr>
          <w:p>
            <w:pPr>
              <w:jc w:val="center"/>
              <w:rPr>
                <w:rFonts w:eastAsia="宋体"/>
              </w:rPr>
            </w:pPr>
            <w:r>
              <w:rPr>
                <w:rFonts w:hint="eastAsia"/>
              </w:rPr>
              <w:sym w:font="Wingdings" w:char="00FE"/>
            </w:r>
            <w:r>
              <w:rPr>
                <w:rFonts w:hint="eastAsia"/>
              </w:rPr>
              <w:t>综合评分法</w:t>
            </w:r>
          </w:p>
        </w:tc>
        <w:tc>
          <w:tcPr>
            <w:tcW w:w="2450" w:type="dxa"/>
          </w:tcPr>
          <w:p>
            <w:pPr>
              <w:jc w:val="center"/>
            </w:pPr>
            <w:r>
              <w:rPr>
                <w:rFonts w:hint="eastAsia" w:ascii="Times New Roman" w:eastAsia="宋体"/>
              </w:rPr>
              <w:sym w:font="Wingdings" w:char="00A8"/>
            </w:r>
            <w:r>
              <w:rPr>
                <w:rFonts w:hint="eastAsia" w:ascii="Times New Roman" w:eastAsia="宋体"/>
              </w:rPr>
              <w:t>最低价法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候选中标供应商家数</w:t>
            </w:r>
          </w:p>
        </w:tc>
        <w:tc>
          <w:tcPr>
            <w:tcW w:w="3235" w:type="dxa"/>
          </w:tcPr>
          <w:p>
            <w:pPr>
              <w:jc w:val="center"/>
              <w:rPr>
                <w:rFonts w:eastAsia="宋体"/>
              </w:rPr>
            </w:pPr>
            <w:r>
              <w:rPr>
                <w:rFonts w:hint="eastAsia" w:eastAsia="宋体"/>
              </w:rPr>
              <w:t>3</w:t>
            </w:r>
          </w:p>
        </w:tc>
        <w:tc>
          <w:tcPr>
            <w:tcW w:w="2450" w:type="dxa"/>
          </w:tcPr>
          <w:p>
            <w:pPr>
              <w:jc w:val="center"/>
            </w:pPr>
            <w:r>
              <w:rPr>
                <w:rFonts w:hint="eastAsia"/>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pPr>
              <w:jc w:val="center"/>
            </w:pPr>
            <w:r>
              <w:rPr>
                <w:rFonts w:hint="eastAsia"/>
              </w:rPr>
              <w:t>中标供应商家数</w:t>
            </w:r>
          </w:p>
        </w:tc>
        <w:tc>
          <w:tcPr>
            <w:tcW w:w="3235" w:type="dxa"/>
          </w:tcPr>
          <w:p>
            <w:pPr>
              <w:jc w:val="center"/>
            </w:pPr>
            <w:r>
              <w:rPr>
                <w:rFonts w:hint="eastAsia"/>
              </w:rPr>
              <w:t>1</w:t>
            </w:r>
          </w:p>
        </w:tc>
        <w:tc>
          <w:tcPr>
            <w:tcW w:w="2450" w:type="dxa"/>
          </w:tcPr>
          <w:p>
            <w:pPr>
              <w:jc w:val="center"/>
            </w:pPr>
            <w:r>
              <w:rPr>
                <w:rFonts w:hint="eastAsia"/>
              </w:rPr>
              <w:t>1</w:t>
            </w:r>
          </w:p>
        </w:tc>
      </w:tr>
    </w:tbl>
    <w:p>
      <w:pPr>
        <w:numPr>
          <w:ilvl w:val="0"/>
          <w:numId w:val="1"/>
        </w:numPr>
        <w:spacing w:line="240" w:lineRule="atLeast"/>
        <w:rPr>
          <w:rFonts w:hint="eastAsia" w:ascii="宋体" w:hAnsi="宋体" w:eastAsia="宋体" w:cs="宋体"/>
          <w:b/>
          <w:bCs/>
          <w:szCs w:val="21"/>
          <w:lang w:eastAsia="zh-CN"/>
        </w:rPr>
      </w:pPr>
      <w:r>
        <w:rPr>
          <w:rFonts w:hint="eastAsia" w:ascii="宋体" w:hAnsi="宋体" w:eastAsia="宋体" w:cs="宋体"/>
          <w:b/>
          <w:bCs/>
          <w:szCs w:val="21"/>
          <w:lang w:eastAsia="zh-CN"/>
        </w:rPr>
        <w:t>现场踏勘：</w:t>
      </w:r>
    </w:p>
    <w:p>
      <w:pPr>
        <w:spacing w:line="360" w:lineRule="auto"/>
        <w:rPr>
          <w:rFonts w:hint="eastAsia" w:asciiTheme="minorHAnsi" w:hAnsiTheme="minorHAnsi" w:eastAsiaTheme="minorEastAsia" w:cstheme="minorBidi"/>
          <w:b w:val="0"/>
          <w:bCs w:val="0"/>
          <w:kern w:val="2"/>
          <w:sz w:val="21"/>
          <w:szCs w:val="22"/>
          <w:lang w:val="en-US" w:eastAsia="zh-CN" w:bidi="ar-SA"/>
        </w:rPr>
      </w:pPr>
      <w:r>
        <w:rPr>
          <w:rFonts w:hint="eastAsia" w:asciiTheme="minorHAnsi" w:hAnsiTheme="minorHAnsi" w:eastAsiaTheme="minorEastAsia" w:cstheme="minorBidi"/>
          <w:b w:val="0"/>
          <w:bCs w:val="0"/>
          <w:kern w:val="2"/>
          <w:sz w:val="21"/>
          <w:szCs w:val="22"/>
          <w:lang w:val="en-US" w:eastAsia="zh-CN" w:bidi="ar-SA"/>
        </w:rPr>
        <w:t>（1）“本项目安排踏勘现场，</w:t>
      </w:r>
      <w:r>
        <w:rPr>
          <w:rFonts w:hint="eastAsia" w:ascii="宋体" w:hAnsi="宋体" w:cs="宋体"/>
        </w:rPr>
        <w:t>本项目安排踏勘现场，时间为公告发布之日起第三个日历日上午09：30在</w:t>
      </w:r>
      <w:r>
        <w:rPr>
          <w:rFonts w:ascii="Arial" w:hAnsi="Arial" w:cs="Arial"/>
          <w:spacing w:val="8"/>
          <w:szCs w:val="21"/>
        </w:rPr>
        <w:t>深圳市龙华外国语高级中学</w:t>
      </w:r>
      <w:r>
        <w:rPr>
          <w:rFonts w:hint="eastAsia" w:ascii="Arial" w:hAnsi="Arial" w:cs="Arial"/>
          <w:spacing w:val="8"/>
          <w:szCs w:val="21"/>
        </w:rPr>
        <w:t>门口</w:t>
      </w:r>
      <w:r>
        <w:rPr>
          <w:rFonts w:hint="eastAsia" w:ascii="宋体" w:hAnsi="宋体" w:cs="宋体"/>
        </w:rPr>
        <w:t>集中，统一组织踏勘现场，请各投标人准时参加（参与现场踏勘的投标人代表携带授权委托书及身份证原件），逾期不再单独安排；联系人：钟老师，联系电话27188660。</w:t>
      </w:r>
    </w:p>
    <w:p>
      <w:pPr>
        <w:pStyle w:val="10"/>
        <w:numPr>
          <w:ilvl w:val="0"/>
          <w:numId w:val="0"/>
        </w:numPr>
        <w:rPr>
          <w:rFonts w:hint="eastAsia"/>
          <w:lang w:eastAsia="zh-CN"/>
        </w:rPr>
      </w:pPr>
      <w:r>
        <w:rPr>
          <w:rFonts w:hint="eastAsia" w:asciiTheme="minorHAnsi" w:hAnsiTheme="minorHAnsi" w:eastAsiaTheme="minorEastAsia" w:cstheme="minorBidi"/>
          <w:b w:val="0"/>
          <w:bCs w:val="0"/>
          <w:kern w:val="2"/>
          <w:sz w:val="21"/>
          <w:szCs w:val="22"/>
          <w:lang w:val="en-US" w:eastAsia="zh-CN" w:bidi="ar-SA"/>
        </w:rPr>
        <w:t>请各投标人准时参加，逾期不再单独安排。</w:t>
      </w:r>
    </w:p>
    <w:p>
      <w:pPr>
        <w:spacing w:line="240" w:lineRule="atLeast"/>
        <w:rPr>
          <w:rFonts w:hint="eastAsia" w:ascii="宋体" w:hAnsi="宋体" w:eastAsia="宋体" w:cs="宋体"/>
          <w:b/>
          <w:bCs/>
          <w:szCs w:val="21"/>
        </w:rPr>
      </w:pPr>
    </w:p>
    <w:p>
      <w:pPr>
        <w:tabs>
          <w:tab w:val="left" w:pos="720"/>
        </w:tabs>
        <w:rPr>
          <w:rFonts w:hint="eastAsia" w:ascii="黑体" w:hAnsi="宋体" w:eastAsia="黑体"/>
          <w:sz w:val="24"/>
        </w:rPr>
      </w:pPr>
      <w:r>
        <w:rPr>
          <w:rFonts w:hint="eastAsia" w:ascii="黑体" w:hAnsi="宋体" w:eastAsia="黑体"/>
          <w:sz w:val="24"/>
        </w:rPr>
        <w:t>（二）其他事项</w:t>
      </w:r>
    </w:p>
    <w:p>
      <w:pPr>
        <w:tabs>
          <w:tab w:val="left" w:pos="720"/>
        </w:tabs>
        <w:rPr>
          <w:rFonts w:hint="eastAsia" w:ascii="黑体" w:hAnsi="宋体" w:eastAsia="黑体"/>
          <w:sz w:val="24"/>
        </w:rPr>
      </w:pPr>
      <w:r>
        <w:rPr>
          <w:rFonts w:hint="eastAsia" w:ascii="黑体" w:hAnsi="宋体" w:eastAsia="黑体"/>
          <w:sz w:val="24"/>
        </w:rPr>
        <w:t>1、关于享受优惠政策的主体、价格扣除比例及采购标的所属行业</w:t>
      </w:r>
    </w:p>
    <w:p>
      <w:pPr>
        <w:ind w:firstLine="413" w:firstLineChars="196"/>
        <w:rPr>
          <w:rFonts w:hint="eastAsia" w:ascii="宋体" w:hAnsi="宋体"/>
          <w:color w:val="FF0000"/>
        </w:rPr>
      </w:pPr>
      <w:r>
        <w:rPr>
          <w:rFonts w:hint="eastAsia" w:ascii="宋体" w:hAnsi="宋体"/>
          <w:b/>
          <w:bCs/>
          <w:color w:val="FF0000"/>
          <w:highlight w:val="yellow"/>
        </w:rPr>
        <w:t>（1）</w:t>
      </w:r>
      <w:r>
        <w:rPr>
          <w:rFonts w:hint="eastAsia"/>
          <w:b/>
          <w:bCs/>
          <w:color w:val="FF0000"/>
          <w:highlight w:val="yellow"/>
        </w:rPr>
        <w:t>专门面向中小企业采购的项目（包括联合体或分包预留中小企业份额的项目），不再执行价格扣除比例。</w:t>
      </w:r>
    </w:p>
    <w:p>
      <w:pPr>
        <w:ind w:firstLine="411" w:firstLineChars="196"/>
        <w:rPr>
          <w:rFonts w:ascii="Arial" w:hAnsi="Arial" w:eastAsia="宋体" w:cs="Times New Roman"/>
          <w:b/>
          <w:color w:val="0000FF"/>
          <w:szCs w:val="21"/>
          <w:highlight w:val="yellow"/>
        </w:rPr>
      </w:pPr>
      <w:r>
        <w:rPr>
          <w:rFonts w:hint="eastAsia" w:ascii="宋体" w:hAnsi="宋体"/>
          <w:highlight w:val="none"/>
        </w:rPr>
        <w:t>（2）</w:t>
      </w:r>
      <w:r>
        <w:rPr>
          <w:rFonts w:hint="eastAsia"/>
          <w:highlight w:val="none"/>
        </w:rPr>
        <w:t>非</w:t>
      </w:r>
      <w:r>
        <w:rPr>
          <w:rFonts w:hint="eastAsia" w:ascii="Times New Roman" w:eastAsia="宋体"/>
          <w:highlight w:val="none"/>
        </w:rPr>
        <w:t>专门面向中小企业采购的项目，</w:t>
      </w:r>
      <w:r>
        <w:rPr>
          <w:rFonts w:hint="eastAsia"/>
          <w:highlight w:val="none"/>
        </w:rPr>
        <w:t>应</w:t>
      </w:r>
      <w:r>
        <w:rPr>
          <w:rFonts w:hint="eastAsia" w:ascii="Times New Roman" w:eastAsia="宋体"/>
          <w:highlight w:val="none"/>
        </w:rPr>
        <w:t>执行价格扣除比例</w:t>
      </w:r>
      <w:r>
        <w:rPr>
          <w:rFonts w:hint="eastAsia"/>
          <w:highlight w:val="none"/>
        </w:rPr>
        <w:t>：</w:t>
      </w:r>
      <w:r>
        <w:rPr>
          <w:rFonts w:hint="eastAsia" w:ascii="宋体" w:hAnsi="宋体"/>
          <w:highlight w:val="none"/>
        </w:rPr>
        <w:t>投标人提供的货物（以招标文件用户需求书“货物需求明细”的“货物名称”一栏为准）全部均由优惠主体制造的，对其投标总价给予</w:t>
      </w:r>
      <w:r>
        <w:rPr>
          <w:rFonts w:hint="eastAsia" w:ascii="宋体" w:hAnsi="宋体"/>
          <w:b/>
          <w:bCs/>
          <w:highlight w:val="none"/>
          <w:u w:val="single"/>
        </w:rPr>
        <w:t xml:space="preserve"> </w:t>
      </w:r>
      <w:r>
        <w:rPr>
          <w:rFonts w:hint="eastAsia" w:ascii="宋体" w:hAnsi="宋体"/>
          <w:b/>
          <w:bCs/>
          <w:highlight w:val="none"/>
          <w:u w:val="single"/>
          <w:lang w:val="en-US" w:eastAsia="zh-CN"/>
        </w:rPr>
        <w:t>10</w:t>
      </w:r>
      <w:r>
        <w:rPr>
          <w:rFonts w:hint="eastAsia" w:ascii="宋体" w:hAnsi="宋体" w:eastAsia="宋体" w:cs="Times New Roman"/>
          <w:b/>
          <w:bCs/>
          <w:sz w:val="24"/>
          <w:szCs w:val="24"/>
          <w:highlight w:val="none"/>
          <w:u w:val="single"/>
        </w:rPr>
        <w:t xml:space="preserve"> </w:t>
      </w:r>
      <w:r>
        <w:rPr>
          <w:rFonts w:hint="eastAsia" w:ascii="宋体" w:hAnsi="宋体"/>
          <w:b/>
          <w:bCs/>
          <w:highlight w:val="none"/>
        </w:rPr>
        <w:t>的</w:t>
      </w:r>
      <w:r>
        <w:rPr>
          <w:rFonts w:hint="eastAsia" w:ascii="宋体" w:hAnsi="宋体"/>
          <w:highlight w:val="none"/>
        </w:rPr>
        <w:t>扣除，用扣除后的价格参与评审。满足多项优惠政策的企业，不重复享受多项价格扣除政策。</w:t>
      </w:r>
      <w:r>
        <w:rPr>
          <w:rFonts w:hint="eastAsia" w:ascii="Arial" w:hAnsi="Arial" w:eastAsia="宋体" w:cs="Times New Roman"/>
          <w:b/>
          <w:szCs w:val="21"/>
          <w:highlight w:val="none"/>
        </w:rPr>
        <w:t>政策调整后价格仅作为评审依据，不作为中标价格。</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备注：</w:t>
      </w:r>
      <w:r>
        <w:rPr>
          <w:rFonts w:hint="eastAsia" w:asciiTheme="minorEastAsia" w:hAnsiTheme="minorEastAsia" w:cstheme="minorEastAsia"/>
          <w:b/>
          <w:bCs/>
          <w:szCs w:val="21"/>
        </w:rPr>
        <w:t>（a）</w:t>
      </w:r>
      <w:r>
        <w:rPr>
          <w:rFonts w:hint="eastAsia" w:asciiTheme="minorEastAsia" w:hAnsiTheme="minorEastAsia" w:cstheme="minorEastAsia"/>
          <w:szCs w:val="21"/>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ascii="宋体" w:hAnsi="宋体"/>
        </w:rPr>
        <w:t>根据《财政部 司法部关于政府采购支持监狱企业发展有关问题的通知》(财库〔2014〕68号)，在政府采购活动中，监狱企业视同小型、微型企业；根据《关于促进残疾人就业政府采购政策的通知》(财库〔2017〕141号)，在政府采购活动中，残疾人福利性单位视同小型、微型企业；</w:t>
      </w:r>
      <w:r>
        <w:rPr>
          <w:rFonts w:hint="eastAsia" w:asciiTheme="minorEastAsia" w:hAnsiTheme="minorEastAsia" w:cstheme="minorEastAsia"/>
          <w:b/>
          <w:bCs/>
          <w:szCs w:val="21"/>
        </w:rPr>
        <w:t>(b)</w:t>
      </w:r>
      <w:r>
        <w:rPr>
          <w:rFonts w:hint="eastAsia" w:asciiTheme="minorEastAsia" w:hAnsiTheme="minorEastAsia" w:cstheme="minorEastAsia"/>
          <w:szCs w:val="21"/>
        </w:rPr>
        <w:t>优惠主体制造是指货物由优惠主体生产且使用该优惠主体商号或者注册商标；投标人提供的货物既有优惠主体制造货物，又有非优惠主体制造货物的，不给予价格扣除。</w:t>
      </w:r>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（3）</w:t>
      </w:r>
      <w:bookmarkStart w:id="12" w:name="_Hlk71970739"/>
      <w:r>
        <w:rPr>
          <w:rFonts w:hint="eastAsia" w:asciiTheme="minorEastAsia" w:hAnsiTheme="minorEastAsia" w:cstheme="minorEastAsia"/>
          <w:szCs w:val="21"/>
        </w:rPr>
        <w:t>中小企业参加政府采购活动，应当按照国务院批准的《中小企业划型标准规定》（工信部联企业〔2011〕300号）、《金融业企业划型标准规定》（银发〔2015〕309号）和《财政部 工业和信息化部关于印发〈政府采购促进中小企业发展管理办法〉的通知》（财库〔2020〕46号）的规定，出具《中小企业声明函》，《中小企业声明函》中相关企业（货物制造商）所属行业应当与采购标的所属行业相一致，标的所属行业以招标文件第一册第三章用户需求书“货物清单明细”的“标的所属行业”一栏为准。</w:t>
      </w:r>
      <w:bookmarkEnd w:id="12"/>
    </w:p>
    <w:p>
      <w:pPr>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4）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附件”中“四、投标人情况及资格证明文件”章节提供的格式）。</w:t>
      </w:r>
    </w:p>
    <w:p>
      <w:pPr>
        <w:tabs>
          <w:tab w:val="left" w:pos="720"/>
        </w:tabs>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（5）享受价格扣除获得政府采购合同的，小微企业不得将合同分包给大中型企业。</w:t>
      </w:r>
    </w:p>
    <w:p>
      <w:pPr>
        <w:tabs>
          <w:tab w:val="left" w:pos="720"/>
        </w:tabs>
        <w:ind w:firstLine="480" w:firstLineChars="200"/>
        <w:rPr>
          <w:rFonts w:hint="eastAsia" w:ascii="黑体" w:hAnsi="宋体" w:eastAsia="黑体"/>
          <w:sz w:val="24"/>
        </w:rPr>
      </w:pPr>
    </w:p>
    <w:p>
      <w:pPr>
        <w:tabs>
          <w:tab w:val="left" w:pos="720"/>
        </w:tabs>
        <w:rPr>
          <w:rFonts w:hint="eastAsia" w:ascii="宋体" w:hAnsi="宋体"/>
          <w:b/>
          <w:bCs/>
          <w:color w:val="FF0000"/>
        </w:rPr>
      </w:pPr>
      <w:r>
        <w:rPr>
          <w:rFonts w:hint="eastAsia" w:ascii="宋体" w:hAnsi="宋体" w:eastAsia="宋体" w:cs="宋体"/>
          <w:b/>
          <w:bCs/>
          <w:szCs w:val="24"/>
        </w:rPr>
        <w:t>2.</w:t>
      </w:r>
      <w:r>
        <w:rPr>
          <w:rFonts w:ascii="宋体" w:hAnsi="宋体"/>
          <w:b/>
          <w:bCs/>
          <w:color w:val="FF0000"/>
        </w:rPr>
        <w:t>本项目为代理服务项目，将向中标</w:t>
      </w:r>
      <w:r>
        <w:rPr>
          <w:rFonts w:hint="eastAsia" w:ascii="宋体" w:hAnsi="宋体"/>
          <w:b/>
          <w:bCs/>
          <w:color w:val="FF0000"/>
        </w:rPr>
        <w:t>（成交）</w:t>
      </w:r>
      <w:r>
        <w:rPr>
          <w:rFonts w:ascii="宋体" w:hAnsi="宋体"/>
          <w:b/>
          <w:bCs/>
          <w:color w:val="FF0000"/>
        </w:rPr>
        <w:t>供应商收取代理服务费</w:t>
      </w:r>
      <w:r>
        <w:rPr>
          <w:rFonts w:hint="eastAsia" w:ascii="宋体" w:hAnsi="宋体"/>
          <w:b/>
          <w:bCs/>
          <w:color w:val="FF0000"/>
        </w:rPr>
        <w:t>。</w:t>
      </w:r>
    </w:p>
    <w:p>
      <w:pPr>
        <w:widowControl/>
        <w:ind w:firstLine="420"/>
        <w:jc w:val="left"/>
        <w:rPr>
          <w:rFonts w:hint="eastAsia" w:ascii="宋体" w:hAnsi="宋体"/>
          <w:color w:val="FF0000"/>
          <w:szCs w:val="21"/>
        </w:rPr>
      </w:pPr>
      <w:r>
        <w:rPr>
          <w:rFonts w:hint="eastAsia" w:ascii="宋体" w:hAnsi="宋体"/>
          <w:color w:val="FF0000"/>
          <w:szCs w:val="21"/>
        </w:rPr>
        <w:t>中标（成交）供应商在领取《中标（成交）通知书》之前须向深圳公共资源交易中心（深圳交易集团有限公司龙华分公司）交纳代理服务费。若因中标（成交）供应商交纳代理服务费所产生的时间影响到合同签订的，由中标（成交）供应商自行承担责任。代理服务费标准参照下列标准收取。本项目类型为</w:t>
      </w:r>
      <w:r>
        <w:rPr>
          <w:rFonts w:hint="eastAsia" w:ascii="宋体" w:hAnsi="宋体"/>
          <w:b/>
          <w:bCs/>
          <w:color w:val="FF0000"/>
          <w:szCs w:val="21"/>
          <w:u w:val="single"/>
        </w:rPr>
        <w:t>货物采购</w:t>
      </w:r>
      <w:r>
        <w:rPr>
          <w:rFonts w:hint="eastAsia" w:ascii="宋体" w:hAnsi="宋体"/>
          <w:color w:val="FF0000"/>
          <w:szCs w:val="21"/>
        </w:rPr>
        <w:t>：</w:t>
      </w:r>
    </w:p>
    <w:p>
      <w:pPr>
        <w:widowControl/>
        <w:ind w:firstLine="420"/>
        <w:jc w:val="left"/>
        <w:rPr>
          <w:rFonts w:hint="eastAsia" w:ascii="宋体" w:hAnsi="宋体"/>
          <w:color w:val="FF0000"/>
          <w:szCs w:val="21"/>
        </w:rPr>
      </w:pPr>
      <w:r>
        <w:rPr>
          <w:rFonts w:hint="eastAsia" w:ascii="宋体" w:hAnsi="宋体"/>
          <w:color w:val="FF0000"/>
          <w:szCs w:val="21"/>
        </w:rPr>
        <w:t>（1）代理服务费以《中标（成交）通知书》确定的中标（成交）金额作为计算基数，按差额定率累进法计算。</w:t>
      </w:r>
    </w:p>
    <w:p>
      <w:pPr>
        <w:widowControl/>
        <w:ind w:firstLine="420"/>
        <w:jc w:val="left"/>
        <w:rPr>
          <w:rFonts w:hint="eastAsia" w:ascii="宋体" w:hAnsi="宋体"/>
          <w:color w:val="FF0000"/>
          <w:szCs w:val="21"/>
        </w:rPr>
      </w:pPr>
      <w:r>
        <w:rPr>
          <w:rFonts w:hint="eastAsia" w:ascii="宋体" w:hAnsi="宋体"/>
          <w:color w:val="FF0000"/>
          <w:szCs w:val="21"/>
        </w:rPr>
        <w:t>（2）中标（成交）金额的各部分费率如下表：</w:t>
      </w:r>
    </w:p>
    <w:tbl>
      <w:tblPr>
        <w:tblStyle w:val="18"/>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中标（成交）金额</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货物采购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服务采购</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100万元以下</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100万元（含）-500万元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1.1%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500万元（含）-1000万元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0.45%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1000万元（含）-5000万元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5000万元（含）-1亿元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0.1%</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1亿元（含）-5亿元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5亿元（含）-10亿元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10亿元（含）-50亿元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50亿元（含）-100亿元</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pPr>
              <w:widowControl/>
              <w:ind w:firstLine="420"/>
              <w:jc w:val="left"/>
              <w:rPr>
                <w:rFonts w:hint="eastAsia" w:ascii="宋体" w:hAnsi="宋体"/>
                <w:color w:val="FF0000"/>
                <w:szCs w:val="21"/>
              </w:rPr>
            </w:pPr>
            <w:r>
              <w:rPr>
                <w:rFonts w:hint="eastAsia" w:ascii="宋体" w:hAnsi="宋体"/>
                <w:color w:val="FF0000"/>
                <w:szCs w:val="21"/>
              </w:rPr>
              <w:t>100亿元（含）以上</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c>
          <w:tcPr>
            <w:tcW w:w="1799" w:type="dxa"/>
            <w:vAlign w:val="center"/>
          </w:tcPr>
          <w:p>
            <w:pPr>
              <w:widowControl/>
              <w:ind w:firstLine="420"/>
              <w:jc w:val="left"/>
              <w:rPr>
                <w:rFonts w:hint="eastAsia" w:ascii="宋体" w:hAnsi="宋体"/>
                <w:color w:val="FF0000"/>
                <w:szCs w:val="21"/>
              </w:rPr>
            </w:pPr>
            <w:r>
              <w:rPr>
                <w:rFonts w:hint="eastAsia" w:ascii="宋体" w:hAnsi="宋体"/>
                <w:color w:val="FF0000"/>
                <w:szCs w:val="21"/>
              </w:rPr>
              <w:t>0.004%</w:t>
            </w:r>
          </w:p>
        </w:tc>
      </w:tr>
    </w:tbl>
    <w:p>
      <w:pPr>
        <w:widowControl/>
        <w:ind w:firstLine="420"/>
        <w:jc w:val="left"/>
        <w:rPr>
          <w:rFonts w:hint="eastAsia" w:ascii="宋体" w:hAnsi="宋体"/>
          <w:color w:val="FF0000"/>
          <w:szCs w:val="21"/>
        </w:rPr>
      </w:pPr>
      <w:r>
        <w:rPr>
          <w:rFonts w:hint="eastAsia" w:ascii="宋体" w:hAnsi="宋体"/>
          <w:color w:val="FF0000"/>
          <w:szCs w:val="21"/>
        </w:rPr>
        <w:t>备注：1.每宗交易代理服务费不低于 5000 元；</w:t>
      </w:r>
    </w:p>
    <w:p>
      <w:pPr>
        <w:widowControl/>
        <w:ind w:firstLine="420"/>
        <w:jc w:val="left"/>
        <w:rPr>
          <w:rFonts w:hint="eastAsia" w:ascii="宋体" w:hAnsi="宋体"/>
          <w:color w:val="FF0000"/>
          <w:szCs w:val="21"/>
        </w:rPr>
      </w:pPr>
      <w:r>
        <w:rPr>
          <w:rFonts w:hint="eastAsia" w:ascii="宋体" w:hAnsi="宋体"/>
          <w:color w:val="FF0000"/>
          <w:szCs w:val="21"/>
        </w:rPr>
        <w:t>2.对于报总价的采购类项目，中标（成交）价为中标（成交）金额；对于报单价或折扣或费率的采购类项目，中标（成交）价为预算上限金额或经委托方与代理方确定的支付上限金额。</w:t>
      </w:r>
    </w:p>
    <w:p>
      <w:pPr>
        <w:widowControl/>
        <w:ind w:firstLine="420"/>
        <w:jc w:val="left"/>
        <w:rPr>
          <w:rFonts w:hint="eastAsia" w:ascii="宋体" w:hAnsi="宋体"/>
          <w:color w:val="FF0000"/>
          <w:szCs w:val="21"/>
        </w:rPr>
      </w:pPr>
      <w:r>
        <w:rPr>
          <w:rFonts w:hint="eastAsia" w:ascii="宋体" w:hAnsi="宋体"/>
          <w:color w:val="FF0000"/>
          <w:szCs w:val="21"/>
        </w:rPr>
        <w:t>如某货物采购项目，中标（成交）金额为600万元，总共交纳的代理服务费的具体计算过程如下：</w:t>
      </w:r>
    </w:p>
    <w:p>
      <w:pPr>
        <w:widowControl/>
        <w:ind w:firstLine="420"/>
        <w:jc w:val="left"/>
        <w:rPr>
          <w:rFonts w:hint="eastAsia" w:ascii="宋体" w:hAnsi="宋体"/>
          <w:color w:val="FF0000"/>
          <w:szCs w:val="21"/>
        </w:rPr>
      </w:pPr>
      <w:r>
        <w:rPr>
          <w:rFonts w:hint="eastAsia" w:ascii="宋体" w:hAnsi="宋体"/>
          <w:color w:val="FF0000"/>
          <w:szCs w:val="21"/>
        </w:rPr>
        <w:t>标准代理服务费＝（100万以下部分的代理服务费）+（100万～500万部分的代理服务费）+（500万～600万部分的代理服务费）＝100万元×1.5%+（500-100）万元×1.1%+（600-500）万元×0.8%=1.5万元+4.4万元+0.8万元＝6.7万元</w:t>
      </w:r>
    </w:p>
    <w:p>
      <w:pPr>
        <w:widowControl/>
        <w:ind w:firstLine="420"/>
        <w:jc w:val="left"/>
        <w:rPr>
          <w:rFonts w:hint="eastAsia" w:ascii="宋体" w:hAnsi="宋体" w:eastAsia="黑体" w:cs="Times New Roman"/>
          <w:bCs/>
          <w:kern w:val="44"/>
          <w:szCs w:val="21"/>
        </w:rPr>
      </w:pPr>
      <w:r>
        <w:rPr>
          <w:rFonts w:hint="eastAsia" w:ascii="宋体" w:hAnsi="宋体"/>
          <w:color w:val="FF0000"/>
          <w:szCs w:val="21"/>
        </w:rPr>
        <w:t>（3）中标（成交）供应商成交后，必须按规定采用银行对公转账方式向深圳交易集团有限公司直接交纳代理服务费，交纳信息及要求按照缴款（付款）通知书执行。</w:t>
      </w:r>
    </w:p>
    <w:p>
      <w:pPr>
        <w:widowControl/>
        <w:ind w:firstLine="420"/>
        <w:jc w:val="left"/>
        <w:rPr>
          <w:rFonts w:hint="eastAsia" w:ascii="宋体" w:hAnsi="宋体"/>
          <w:color w:val="FF0000"/>
          <w:szCs w:val="21"/>
        </w:rPr>
      </w:pPr>
    </w:p>
    <w:p>
      <w:pPr>
        <w:widowControl/>
        <w:ind w:firstLine="420"/>
        <w:jc w:val="left"/>
        <w:rPr>
          <w:rFonts w:hint="eastAsia" w:ascii="宋体" w:hAnsi="宋体" w:eastAsia="黑体" w:cs="Times New Roman"/>
          <w:bCs/>
          <w:kern w:val="44"/>
          <w:szCs w:val="21"/>
        </w:rPr>
      </w:pPr>
    </w:p>
    <w:p>
      <w:pPr>
        <w:widowControl/>
        <w:jc w:val="left"/>
        <w:rPr>
          <w:rFonts w:hint="eastAsia" w:ascii="宋体" w:hAnsi="宋体" w:eastAsia="黑体" w:cs="Times New Roman"/>
          <w:bCs/>
          <w:kern w:val="44"/>
          <w:sz w:val="28"/>
          <w:szCs w:val="44"/>
        </w:rPr>
      </w:pPr>
      <w:r>
        <w:rPr>
          <w:rFonts w:ascii="宋体" w:hAnsi="宋体" w:eastAsia="黑体" w:cs="Times New Roman"/>
          <w:bCs/>
          <w:kern w:val="44"/>
          <w:sz w:val="28"/>
          <w:szCs w:val="44"/>
        </w:rPr>
        <w:br w:type="page"/>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第三章 用户需求书</w:t>
      </w:r>
    </w:p>
    <w:p>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一、项目基本信息</w:t>
      </w:r>
    </w:p>
    <w:tbl>
      <w:tblPr>
        <w:tblStyle w:val="18"/>
        <w:tblW w:w="8931" w:type="dxa"/>
        <w:jc w:val="center"/>
        <w:tblLayout w:type="fixed"/>
        <w:tblCellMar>
          <w:top w:w="15" w:type="dxa"/>
          <w:left w:w="15" w:type="dxa"/>
          <w:bottom w:w="15" w:type="dxa"/>
          <w:right w:w="15" w:type="dxa"/>
        </w:tblCellMar>
      </w:tblPr>
      <w:tblGrid>
        <w:gridCol w:w="710"/>
        <w:gridCol w:w="2693"/>
        <w:gridCol w:w="2906"/>
        <w:gridCol w:w="2622"/>
      </w:tblGrid>
      <w:tr>
        <w:tblPrEx>
          <w:tblCellMar>
            <w:top w:w="15" w:type="dxa"/>
            <w:left w:w="15" w:type="dxa"/>
            <w:bottom w:w="15" w:type="dxa"/>
            <w:right w:w="15" w:type="dxa"/>
          </w:tblCellMar>
        </w:tblPrEx>
        <w:trPr>
          <w:trHeight w:val="552" w:hRule="atLeast"/>
          <w:jc w:val="center"/>
        </w:trPr>
        <w:tc>
          <w:tcPr>
            <w:tcW w:w="710" w:type="dxa"/>
            <w:tcBorders>
              <w:top w:val="single" w:color="000000" w:sz="4" w:space="0"/>
              <w:left w:val="single" w:color="000000" w:sz="4" w:space="0"/>
              <w:bottom w:val="single" w:color="000000" w:sz="4" w:space="0"/>
              <w:right w:val="single" w:color="auto" w:sz="4" w:space="0"/>
            </w:tcBorders>
            <w:shd w:val="clear" w:color="auto" w:fill="C6D9F0" w:themeFill="text2" w:themeFillTint="33"/>
            <w:vAlign w:val="center"/>
          </w:tcPr>
          <w:p>
            <w:pPr>
              <w:jc w:val="center"/>
            </w:pPr>
            <w:r>
              <w:rPr>
                <w:rFonts w:hint="eastAsia"/>
              </w:rPr>
              <w:t>序号</w:t>
            </w:r>
          </w:p>
        </w:tc>
        <w:tc>
          <w:tcPr>
            <w:tcW w:w="2693" w:type="dxa"/>
            <w:tcBorders>
              <w:top w:val="single" w:color="000000" w:sz="4" w:space="0"/>
              <w:left w:val="single" w:color="auto" w:sz="4" w:space="0"/>
              <w:bottom w:val="single" w:color="000000" w:sz="4" w:space="0"/>
              <w:right w:val="single" w:color="000000" w:sz="4" w:space="0"/>
            </w:tcBorders>
            <w:shd w:val="clear" w:color="auto" w:fill="C6D9F0" w:themeFill="text2" w:themeFillTint="33"/>
            <w:vAlign w:val="center"/>
          </w:tcPr>
          <w:p>
            <w:pPr>
              <w:jc w:val="center"/>
            </w:pPr>
            <w:r>
              <w:rPr>
                <w:rFonts w:hint="eastAsia"/>
              </w:rPr>
              <w:t>项目编号</w:t>
            </w:r>
          </w:p>
        </w:tc>
        <w:tc>
          <w:tcPr>
            <w:tcW w:w="2906"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rPr>
              <w:t>采购项目名称</w:t>
            </w:r>
          </w:p>
        </w:tc>
        <w:tc>
          <w:tcPr>
            <w:tcW w:w="2622" w:type="dxa"/>
            <w:tcBorders>
              <w:top w:val="single" w:color="000000" w:sz="4" w:space="0"/>
              <w:left w:val="single" w:color="000000" w:sz="4" w:space="0"/>
              <w:bottom w:val="single" w:color="000000" w:sz="4" w:space="0"/>
              <w:right w:val="single" w:color="000000" w:sz="4" w:space="0"/>
            </w:tcBorders>
            <w:shd w:val="clear" w:color="auto" w:fill="C6D9F0" w:themeFill="text2" w:themeFillTint="33"/>
            <w:vAlign w:val="center"/>
          </w:tcPr>
          <w:p>
            <w:pPr>
              <w:jc w:val="center"/>
            </w:pPr>
            <w:r>
              <w:rPr>
                <w:rFonts w:hint="eastAsia" w:asciiTheme="minorEastAsia" w:hAnsiTheme="minorEastAsia"/>
                <w:sz w:val="24"/>
                <w:szCs w:val="24"/>
              </w:rPr>
              <w:t>财政预算限额（元）</w:t>
            </w:r>
          </w:p>
        </w:tc>
      </w:tr>
      <w:tr>
        <w:tblPrEx>
          <w:tblCellMar>
            <w:top w:w="15" w:type="dxa"/>
            <w:left w:w="15" w:type="dxa"/>
            <w:bottom w:w="15" w:type="dxa"/>
            <w:right w:w="15" w:type="dxa"/>
          </w:tblCellMar>
        </w:tblPrEx>
        <w:trPr>
          <w:trHeight w:val="286" w:hRule="atLeast"/>
          <w:jc w:val="center"/>
        </w:trPr>
        <w:tc>
          <w:tcPr>
            <w:tcW w:w="710" w:type="dxa"/>
            <w:tcBorders>
              <w:top w:val="single" w:color="000000" w:sz="4" w:space="0"/>
              <w:left w:val="single" w:color="000000" w:sz="4" w:space="0"/>
              <w:bottom w:val="single" w:color="000000" w:sz="4" w:space="0"/>
              <w:right w:val="single" w:color="auto" w:sz="4" w:space="0"/>
            </w:tcBorders>
            <w:vAlign w:val="center"/>
          </w:tcPr>
          <w:p>
            <w:pPr>
              <w:jc w:val="center"/>
              <w:rPr>
                <w:rFonts w:hint="eastAsia" w:asciiTheme="minorEastAsia" w:hAnsiTheme="minorEastAsia"/>
                <w:sz w:val="24"/>
                <w:szCs w:val="24"/>
              </w:rPr>
            </w:pPr>
            <w:r>
              <w:rPr>
                <w:rFonts w:hint="eastAsia" w:asciiTheme="minorEastAsia" w:hAnsiTheme="minorEastAsia"/>
                <w:sz w:val="24"/>
                <w:szCs w:val="24"/>
              </w:rPr>
              <w:t>1</w:t>
            </w:r>
          </w:p>
        </w:tc>
        <w:tc>
          <w:tcPr>
            <w:tcW w:w="2693" w:type="dxa"/>
            <w:tcBorders>
              <w:top w:val="single" w:color="000000" w:sz="4" w:space="0"/>
              <w:left w:val="single" w:color="auto" w:sz="4" w:space="0"/>
              <w:bottom w:val="single" w:color="000000" w:sz="4" w:space="0"/>
              <w:right w:val="single" w:color="000000" w:sz="4" w:space="0"/>
            </w:tcBorders>
            <w:vAlign w:val="center"/>
          </w:tcPr>
          <w:p>
            <w:pPr>
              <w:jc w:val="center"/>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LHAZXCG-2025-00020</w:t>
            </w:r>
          </w:p>
        </w:tc>
        <w:tc>
          <w:tcPr>
            <w:tcW w:w="2906" w:type="dxa"/>
            <w:tcBorders>
              <w:top w:val="single" w:color="000000" w:sz="4" w:space="0"/>
              <w:left w:val="single" w:color="000000" w:sz="4" w:space="0"/>
              <w:right w:val="single" w:color="000000" w:sz="4" w:space="0"/>
            </w:tcBorders>
            <w:vAlign w:val="center"/>
          </w:tcPr>
          <w:p>
            <w:pPr>
              <w:jc w:val="center"/>
              <w:rPr>
                <w:rFonts w:hint="eastAsia" w:eastAsia="宋体"/>
                <w:lang w:eastAsia="zh-CN"/>
              </w:rPr>
            </w:pPr>
            <w:r>
              <w:rPr>
                <w:rFonts w:hint="eastAsia" w:eastAsia="宋体"/>
                <w:lang w:eastAsia="zh-CN"/>
              </w:rPr>
              <w:t>功能室桌椅及设备设施采购</w:t>
            </w:r>
          </w:p>
        </w:tc>
        <w:tc>
          <w:tcPr>
            <w:tcW w:w="2622" w:type="dxa"/>
            <w:vMerge w:val="restart"/>
            <w:tcBorders>
              <w:top w:val="single" w:color="000000" w:sz="4" w:space="0"/>
              <w:left w:val="single" w:color="000000" w:sz="4" w:space="0"/>
              <w:right w:val="single" w:color="000000" w:sz="4" w:space="0"/>
            </w:tcBorders>
            <w:vAlign w:val="center"/>
          </w:tcPr>
          <w:p>
            <w:pPr>
              <w:jc w:val="center"/>
              <w:rPr>
                <w:rFonts w:hint="default" w:asciiTheme="minorEastAsia" w:hAnsiTheme="minorEastAsia" w:eastAsiaTheme="minorEastAsia"/>
                <w:sz w:val="24"/>
                <w:szCs w:val="24"/>
                <w:lang w:val="en-US" w:eastAsia="zh-CN"/>
              </w:rPr>
            </w:pPr>
            <w:r>
              <w:rPr>
                <w:rFonts w:hint="default" w:asciiTheme="minorEastAsia" w:hAnsiTheme="minorEastAsia" w:eastAsiaTheme="minorEastAsia"/>
                <w:sz w:val="24"/>
                <w:szCs w:val="24"/>
                <w:lang w:val="en-US" w:eastAsia="zh-CN"/>
              </w:rPr>
              <w:t>434600</w:t>
            </w:r>
          </w:p>
        </w:tc>
      </w:tr>
      <w:tr>
        <w:tblPrEx>
          <w:tblCellMar>
            <w:top w:w="15" w:type="dxa"/>
            <w:left w:w="15" w:type="dxa"/>
            <w:bottom w:w="15" w:type="dxa"/>
            <w:right w:w="15" w:type="dxa"/>
          </w:tblCellMar>
        </w:tblPrEx>
        <w:trPr>
          <w:trHeight w:val="172" w:hRule="atLeast"/>
          <w:jc w:val="center"/>
        </w:trPr>
        <w:tc>
          <w:tcPr>
            <w:tcW w:w="6309" w:type="dxa"/>
            <w:gridSpan w:val="3"/>
            <w:tcBorders>
              <w:top w:val="single" w:color="000000" w:sz="4" w:space="0"/>
              <w:left w:val="single" w:color="000000" w:sz="4" w:space="0"/>
              <w:bottom w:val="single" w:color="auto" w:sz="4" w:space="0"/>
              <w:right w:val="single" w:color="000000" w:sz="4" w:space="0"/>
            </w:tcBorders>
            <w:vAlign w:val="center"/>
          </w:tcPr>
          <w:p>
            <w:pPr>
              <w:jc w:val="center"/>
            </w:pPr>
            <w:r>
              <w:rPr>
                <w:rFonts w:hint="eastAsia"/>
              </w:rPr>
              <w:t>合计（元）</w:t>
            </w:r>
          </w:p>
        </w:tc>
        <w:tc>
          <w:tcPr>
            <w:tcW w:w="2622" w:type="dxa"/>
            <w:vMerge w:val="continue"/>
            <w:tcBorders>
              <w:left w:val="single" w:color="000000" w:sz="4" w:space="0"/>
              <w:bottom w:val="single" w:color="auto" w:sz="4" w:space="0"/>
              <w:right w:val="single" w:color="000000" w:sz="4" w:space="0"/>
            </w:tcBorders>
            <w:vAlign w:val="center"/>
          </w:tcPr>
          <w:p>
            <w:pPr>
              <w:jc w:val="center"/>
              <w:rPr>
                <w:rFonts w:hint="eastAsia" w:asciiTheme="minorEastAsia" w:hAnsiTheme="minorEastAsia"/>
                <w:sz w:val="24"/>
                <w:szCs w:val="24"/>
              </w:rPr>
            </w:pPr>
          </w:p>
        </w:tc>
      </w:tr>
    </w:tbl>
    <w:p>
      <w:pPr>
        <w:rPr>
          <w:sz w:val="24"/>
          <w:szCs w:val="24"/>
        </w:rPr>
      </w:pPr>
      <w:r>
        <w:rPr>
          <w:rFonts w:hint="eastAsia" w:ascii="Arial" w:hAnsi="Arial" w:eastAsia="宋体" w:cs="Times New Roman"/>
          <w:b/>
          <w:color w:val="FF0000"/>
          <w:sz w:val="24"/>
          <w:szCs w:val="24"/>
        </w:rPr>
        <w:t>本项目控制金额为人民币438321</w:t>
      </w:r>
      <w:r>
        <w:rPr>
          <w:rFonts w:hint="eastAsia" w:ascii="Arial" w:hAnsi="Arial" w:eastAsia="宋体" w:cs="Times New Roman"/>
          <w:b/>
          <w:color w:val="0000FF"/>
          <w:sz w:val="24"/>
          <w:szCs w:val="24"/>
        </w:rPr>
        <w:t>元</w:t>
      </w:r>
      <w:r>
        <w:rPr>
          <w:rFonts w:hint="eastAsia" w:ascii="Arial" w:hAnsi="Arial" w:eastAsia="宋体" w:cs="Times New Roman"/>
          <w:b/>
          <w:color w:val="FF0000"/>
          <w:sz w:val="24"/>
          <w:szCs w:val="24"/>
        </w:rPr>
        <w:t>，投标报价超出控制金额将作投标无效处理。</w:t>
      </w:r>
    </w:p>
    <w:p>
      <w:pPr>
        <w:keepNext/>
        <w:keepLines/>
        <w:tabs>
          <w:tab w:val="left" w:pos="1680"/>
        </w:tabs>
        <w:spacing w:before="260" w:after="78" w:afterLines="25"/>
        <w:jc w:val="center"/>
        <w:outlineLvl w:val="2"/>
        <w:rPr>
          <w:rFonts w:ascii="Arial" w:hAnsi="Arial" w:eastAsia="宋体" w:cs="Times New Roman"/>
          <w:b/>
          <w:sz w:val="32"/>
          <w:szCs w:val="32"/>
        </w:rPr>
      </w:pPr>
      <w:r>
        <w:rPr>
          <w:rFonts w:hint="eastAsia" w:ascii="Arial" w:hAnsi="Arial" w:eastAsia="宋体" w:cs="Times New Roman"/>
          <w:b/>
          <w:sz w:val="32"/>
          <w:szCs w:val="32"/>
        </w:rPr>
        <w:t>二、</w:t>
      </w:r>
      <w:r>
        <w:rPr>
          <w:rFonts w:hint="eastAsia" w:ascii="Arial" w:hAnsi="Arial" w:eastAsia="宋体" w:cs="Times New Roman"/>
          <w:b/>
          <w:color w:val="FF0000"/>
          <w:sz w:val="32"/>
          <w:szCs w:val="32"/>
        </w:rPr>
        <w:t>★</w:t>
      </w:r>
      <w:r>
        <w:rPr>
          <w:rFonts w:hint="eastAsia" w:ascii="Arial" w:hAnsi="Arial" w:eastAsia="宋体" w:cs="Times New Roman"/>
          <w:b/>
          <w:sz w:val="32"/>
          <w:szCs w:val="32"/>
        </w:rPr>
        <w:t>货物需求明细</w:t>
      </w:r>
    </w:p>
    <w:p>
      <w:r>
        <w:rPr>
          <w:rFonts w:hint="eastAsia" w:ascii="宋体" w:hAnsi="宋体"/>
          <w:b/>
          <w:color w:val="FF0000"/>
          <w:sz w:val="32"/>
          <w:szCs w:val="32"/>
        </w:rPr>
        <w:t>本项目核心产品为：</w:t>
      </w:r>
      <w:r>
        <w:rPr>
          <w:rFonts w:hint="eastAsia" w:ascii="宋体" w:hAnsi="宋体"/>
          <w:b/>
          <w:color w:val="FF0000"/>
          <w:sz w:val="32"/>
          <w:szCs w:val="32"/>
          <w:u w:val="single"/>
        </w:rPr>
        <w:t xml:space="preserve"> 前面背景柜 </w:t>
      </w:r>
    </w:p>
    <w:tbl>
      <w:tblPr>
        <w:tblStyle w:val="18"/>
        <w:tblpPr w:leftFromText="180" w:rightFromText="180" w:vertAnchor="text" w:horzAnchor="page" w:tblpX="1698" w:tblpY="404"/>
        <w:tblOverlap w:val="never"/>
        <w:tblW w:w="91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7"/>
        <w:gridCol w:w="1818"/>
        <w:gridCol w:w="825"/>
        <w:gridCol w:w="925"/>
        <w:gridCol w:w="738"/>
        <w:gridCol w:w="1150"/>
        <w:gridCol w:w="1075"/>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877" w:type="dxa"/>
            <w:vMerge w:val="restart"/>
            <w:vAlign w:val="center"/>
          </w:tcPr>
          <w:p>
            <w:pPr>
              <w:spacing w:line="360" w:lineRule="auto"/>
              <w:jc w:val="center"/>
              <w:rPr>
                <w:rFonts w:asciiTheme="minorEastAsia" w:hAnsiTheme="minorEastAsia" w:eastAsiaTheme="minorEastAsia" w:cstheme="minorEastAsia"/>
                <w:b/>
                <w:szCs w:val="21"/>
              </w:rPr>
            </w:pPr>
            <w:bookmarkStart w:id="13" w:name="_Hlk72073432"/>
            <w:r>
              <w:rPr>
                <w:rFonts w:hint="eastAsia" w:asciiTheme="minorEastAsia" w:hAnsiTheme="minorEastAsia" w:eastAsiaTheme="minorEastAsia" w:cstheme="minorEastAsia"/>
                <w:b/>
                <w:szCs w:val="21"/>
              </w:rPr>
              <w:t>序号</w:t>
            </w:r>
          </w:p>
        </w:tc>
        <w:tc>
          <w:tcPr>
            <w:tcW w:w="1818" w:type="dxa"/>
            <w:vMerge w:val="restart"/>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货物名称（标的名称）</w:t>
            </w:r>
          </w:p>
        </w:tc>
        <w:tc>
          <w:tcPr>
            <w:tcW w:w="825" w:type="dxa"/>
            <w:vMerge w:val="restart"/>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数量</w:t>
            </w:r>
          </w:p>
        </w:tc>
        <w:tc>
          <w:tcPr>
            <w:tcW w:w="925" w:type="dxa"/>
            <w:vMerge w:val="restart"/>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单位</w:t>
            </w:r>
          </w:p>
        </w:tc>
        <w:tc>
          <w:tcPr>
            <w:tcW w:w="1888" w:type="dxa"/>
            <w:gridSpan w:val="2"/>
            <w:shd w:val="clear" w:color="auto" w:fill="auto"/>
            <w:vAlign w:val="center"/>
          </w:tcPr>
          <w:p>
            <w:pPr>
              <w:spacing w:line="360" w:lineRule="auto"/>
              <w:jc w:val="center"/>
              <w:rPr>
                <w:rFonts w:ascii="宋体" w:hAnsi="宋体" w:cs="宋体"/>
                <w:color w:val="000000"/>
                <w:sz w:val="20"/>
                <w:szCs w:val="20"/>
              </w:rPr>
            </w:pPr>
            <w:r>
              <w:rPr>
                <w:rFonts w:hint="eastAsia" w:asciiTheme="minorEastAsia" w:hAnsiTheme="minorEastAsia" w:eastAsiaTheme="minorEastAsia" w:cstheme="minorEastAsia"/>
                <w:b/>
                <w:szCs w:val="21"/>
              </w:rPr>
              <w:t>单价限额（元）</w:t>
            </w:r>
          </w:p>
        </w:tc>
        <w:tc>
          <w:tcPr>
            <w:tcW w:w="1075" w:type="dxa"/>
            <w:vMerge w:val="restart"/>
            <w:vAlign w:val="center"/>
          </w:tcPr>
          <w:p>
            <w:pPr>
              <w:tabs>
                <w:tab w:val="left" w:pos="492"/>
              </w:tabs>
              <w:spacing w:line="360" w:lineRule="auto"/>
              <w:jc w:val="left"/>
              <w:rPr>
                <w:rFonts w:hint="eastAsia" w:asciiTheme="minorEastAsia" w:hAnsiTheme="minorEastAsia" w:eastAsiaTheme="minorEastAsia" w:cstheme="minorEastAsia"/>
                <w:b/>
                <w:szCs w:val="21"/>
                <w:lang w:eastAsia="zh-CN"/>
              </w:rPr>
            </w:pPr>
            <w:r>
              <w:rPr>
                <w:rFonts w:hint="eastAsia" w:asciiTheme="minorEastAsia" w:hAnsiTheme="minorEastAsia" w:cstheme="minorEastAsia"/>
                <w:b/>
                <w:szCs w:val="21"/>
                <w:lang w:eastAsia="zh-CN"/>
              </w:rPr>
              <w:t>标的所属行业</w:t>
            </w:r>
          </w:p>
        </w:tc>
        <w:tc>
          <w:tcPr>
            <w:tcW w:w="1725" w:type="dxa"/>
            <w:vMerge w:val="restart"/>
            <w:vAlign w:val="center"/>
          </w:tcPr>
          <w:p>
            <w:pPr>
              <w:spacing w:line="360" w:lineRule="auto"/>
              <w:jc w:val="center"/>
              <w:rPr>
                <w:rFonts w:asciiTheme="minorEastAsia" w:hAnsiTheme="minorEastAsia" w:eastAsiaTheme="minorEastAsia" w:cstheme="minorEastAsia"/>
                <w:b/>
                <w:szCs w:val="21"/>
              </w:rPr>
            </w:pPr>
            <w:r>
              <w:rPr>
                <w:rFonts w:hint="eastAsia" w:asciiTheme="minorEastAsia" w:hAnsiTheme="minorEastAsia" w:eastAsiaTheme="minorEastAsia" w:cstheme="minor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trPr>
        <w:tc>
          <w:tcPr>
            <w:tcW w:w="877" w:type="dxa"/>
            <w:vMerge w:val="continue"/>
            <w:vAlign w:val="center"/>
          </w:tcPr>
          <w:p>
            <w:pPr>
              <w:spacing w:line="360" w:lineRule="auto"/>
              <w:jc w:val="center"/>
            </w:pPr>
          </w:p>
        </w:tc>
        <w:tc>
          <w:tcPr>
            <w:tcW w:w="1818" w:type="dxa"/>
            <w:vMerge w:val="continue"/>
            <w:vAlign w:val="center"/>
          </w:tcPr>
          <w:p>
            <w:pPr>
              <w:spacing w:line="360" w:lineRule="auto"/>
              <w:jc w:val="center"/>
            </w:pPr>
          </w:p>
        </w:tc>
        <w:tc>
          <w:tcPr>
            <w:tcW w:w="825" w:type="dxa"/>
            <w:vMerge w:val="continue"/>
            <w:vAlign w:val="center"/>
          </w:tcPr>
          <w:p>
            <w:pPr>
              <w:spacing w:line="360" w:lineRule="auto"/>
              <w:jc w:val="center"/>
            </w:pPr>
          </w:p>
        </w:tc>
        <w:tc>
          <w:tcPr>
            <w:tcW w:w="925" w:type="dxa"/>
            <w:vMerge w:val="continue"/>
            <w:vAlign w:val="center"/>
          </w:tcPr>
          <w:p>
            <w:pPr>
              <w:spacing w:line="360" w:lineRule="auto"/>
              <w:jc w:val="center"/>
            </w:pPr>
          </w:p>
        </w:tc>
        <w:tc>
          <w:tcPr>
            <w:tcW w:w="738" w:type="dxa"/>
            <w:shd w:val="clear" w:color="auto" w:fill="auto"/>
            <w:vAlign w:val="center"/>
          </w:tcPr>
          <w:p>
            <w:pPr>
              <w:spacing w:line="360" w:lineRule="auto"/>
              <w:jc w:val="center"/>
              <w:rPr>
                <w:rFonts w:ascii="微软雅黑" w:hAnsi="微软雅黑" w:eastAsia="微软雅黑" w:cs="微软雅黑"/>
                <w:color w:val="000000"/>
                <w:sz w:val="20"/>
                <w:szCs w:val="20"/>
              </w:rPr>
            </w:pPr>
            <w:r>
              <w:rPr>
                <w:rFonts w:hint="eastAsia" w:asciiTheme="minorEastAsia" w:hAnsiTheme="minorEastAsia" w:eastAsiaTheme="minorEastAsia" w:cstheme="minorEastAsia"/>
                <w:b/>
                <w:szCs w:val="21"/>
              </w:rPr>
              <w:t>单价</w:t>
            </w:r>
          </w:p>
        </w:tc>
        <w:tc>
          <w:tcPr>
            <w:tcW w:w="1150" w:type="dxa"/>
            <w:shd w:val="clear" w:color="auto" w:fill="auto"/>
            <w:vAlign w:val="center"/>
          </w:tcPr>
          <w:p>
            <w:pPr>
              <w:spacing w:line="360" w:lineRule="auto"/>
              <w:jc w:val="center"/>
              <w:rPr>
                <w:rFonts w:ascii="微软雅黑" w:hAnsi="微软雅黑" w:eastAsia="微软雅黑" w:cs="微软雅黑"/>
                <w:color w:val="000000"/>
                <w:sz w:val="20"/>
                <w:szCs w:val="20"/>
              </w:rPr>
            </w:pPr>
            <w:r>
              <w:rPr>
                <w:rFonts w:hint="eastAsia" w:asciiTheme="minorEastAsia" w:hAnsiTheme="minorEastAsia" w:eastAsiaTheme="minorEastAsia" w:cstheme="minorEastAsia"/>
                <w:b/>
                <w:szCs w:val="21"/>
              </w:rPr>
              <w:t>单项总额（单价乘以数量）</w:t>
            </w:r>
          </w:p>
        </w:tc>
        <w:tc>
          <w:tcPr>
            <w:tcW w:w="1075" w:type="dxa"/>
            <w:vMerge w:val="continue"/>
            <w:tcBorders/>
            <w:vAlign w:val="center"/>
          </w:tcPr>
          <w:p>
            <w:pPr>
              <w:spacing w:line="360" w:lineRule="auto"/>
              <w:jc w:val="center"/>
            </w:pPr>
          </w:p>
        </w:tc>
        <w:tc>
          <w:tcPr>
            <w:tcW w:w="1725" w:type="dxa"/>
            <w:vMerge w:val="continue"/>
            <w:vAlign w:val="center"/>
          </w:tcPr>
          <w:p>
            <w:pPr>
              <w:spacing w:line="360" w:lineRule="auto"/>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7" w:type="dxa"/>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金属装饰线条</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59</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m</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65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3835</w:t>
            </w:r>
            <w:r>
              <w:rPr>
                <w:rFonts w:asciiTheme="minorEastAsia" w:hAnsiTheme="minorEastAsia" w:eastAsiaTheme="minorEastAsia" w:cstheme="minorEastAsia"/>
                <w:b/>
                <w:color w:val="FF0000"/>
                <w:szCs w:val="21"/>
              </w:rPr>
              <w:fldChar w:fldCharType="begin"/>
            </w:r>
            <w:r>
              <w:rPr>
                <w:rFonts w:asciiTheme="minorEastAsia" w:hAnsiTheme="minorEastAsia" w:eastAsiaTheme="minorEastAsia" w:cstheme="minorEastAsia"/>
                <w:b/>
                <w:color w:val="FF0000"/>
                <w:szCs w:val="21"/>
              </w:rPr>
              <w:instrText xml:space="preserve"> PRODUCT(lift) </w:instrText>
            </w:r>
            <w:r>
              <w:rPr>
                <w:rFonts w:asciiTheme="minorEastAsia" w:hAnsiTheme="minorEastAsia" w:eastAsiaTheme="minorEastAsia" w:cstheme="minorEastAsia"/>
                <w:b/>
                <w:color w:val="FF0000"/>
                <w:szCs w:val="21"/>
              </w:rPr>
              <w:fldChar w:fldCharType="end"/>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lang w:val="en-US" w:eastAsia="zh-CN"/>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2</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功能性地垫</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188</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22560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bookmarkEnd w:id="113"/>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bCs/>
                <w:szCs w:val="21"/>
              </w:rPr>
              <w:t>3</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石膏板</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92</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块</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2300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4</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金属条</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64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180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11520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5</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透光软膜</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8</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450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3600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6</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弧形铝板</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条</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340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1360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7</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防火板</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块</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195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3900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8</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亚克力广告字</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12</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3600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9</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广告展板</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51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435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22185</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10</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灯盘</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180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3600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11</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线条灯</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120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m</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55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6600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12</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筒灯</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115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2415</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13</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烤漆高柜</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11270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45080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14</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烤漆地柜1</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7</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5970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41790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15</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烤漆地柜2</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7</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5970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41790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16</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亚克力盒子</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1540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15400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17</w:t>
            </w:r>
          </w:p>
        </w:tc>
        <w:tc>
          <w:tcPr>
            <w:tcW w:w="1818" w:type="dxa"/>
            <w:vAlign w:val="center"/>
          </w:tcPr>
          <w:p>
            <w:pPr>
              <w:spacing w:line="360" w:lineRule="auto"/>
              <w:jc w:val="center"/>
              <w:rPr>
                <w:rFonts w:ascii="宋体" w:hAnsi="宋体" w:cs="宋体"/>
                <w:bCs/>
                <w:szCs w:val="21"/>
              </w:rPr>
            </w:pPr>
            <w:bookmarkStart w:id="14" w:name="OLE_LINK4"/>
            <w:r>
              <w:rPr>
                <w:rFonts w:hint="eastAsia" w:ascii="宋体" w:hAnsi="宋体" w:cs="宋体"/>
                <w:bCs/>
                <w:szCs w:val="21"/>
              </w:rPr>
              <w:t>烤漆墙柜</w:t>
            </w:r>
            <w:bookmarkEnd w:id="14"/>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14100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14100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18</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前面背景柜</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19200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19200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19</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后面背景柜</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25800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25800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20</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展示地台</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12660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12660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21</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工作台</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3200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12800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22</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射手座演示台</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6800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6800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23</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双子座演示台</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7850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7850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bCs/>
                <w:szCs w:val="21"/>
              </w:rPr>
            </w:pPr>
            <w:r>
              <w:rPr>
                <w:rFonts w:hint="eastAsia" w:asciiTheme="minorEastAsia" w:hAnsiTheme="minorEastAsia" w:eastAsiaTheme="minorEastAsia" w:cstheme="minorEastAsia"/>
                <w:kern w:val="0"/>
                <w:szCs w:val="21"/>
                <w:lang w:bidi="ar"/>
              </w:rPr>
              <w:t>24</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课桌1</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30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720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21600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color w:val="000000"/>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25</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椅子1</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30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把</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280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8400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26</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屏风桌</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620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1240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27</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办公椅</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750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1500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28</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PVC线管</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220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m</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16</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3520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29</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插座</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50</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70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3500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30</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星球吊灯</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7</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360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2520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31</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圆环吊灯</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1800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3600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32</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中纤板</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13</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980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12740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33</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蜂巢柜</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组</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12460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12460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34</w:t>
            </w:r>
          </w:p>
        </w:tc>
        <w:tc>
          <w:tcPr>
            <w:tcW w:w="1818" w:type="dxa"/>
            <w:vAlign w:val="center"/>
          </w:tcPr>
          <w:p>
            <w:pPr>
              <w:spacing w:line="360" w:lineRule="auto"/>
              <w:jc w:val="center"/>
              <w:rPr>
                <w:rFonts w:ascii="宋体" w:hAnsi="宋体" w:cs="宋体"/>
                <w:bCs/>
                <w:szCs w:val="21"/>
              </w:rPr>
            </w:pPr>
            <w:r>
              <w:rPr>
                <w:rFonts w:hint="eastAsia" w:ascii="宋体" w:hAnsi="宋体" w:cs="宋体"/>
                <w:bCs/>
                <w:szCs w:val="21"/>
              </w:rPr>
              <w:t>讲台</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1800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1800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35</w:t>
            </w:r>
          </w:p>
        </w:tc>
        <w:tc>
          <w:tcPr>
            <w:tcW w:w="1818" w:type="dxa"/>
            <w:vAlign w:val="center"/>
          </w:tcPr>
          <w:p>
            <w:pPr>
              <w:spacing w:line="360" w:lineRule="auto"/>
              <w:jc w:val="center"/>
              <w:rPr>
                <w:rFonts w:ascii="宋体" w:hAnsi="宋体" w:cs="宋体"/>
              </w:rPr>
            </w:pPr>
            <w:r>
              <w:rPr>
                <w:rFonts w:hint="eastAsia" w:ascii="宋体" w:hAnsi="宋体" w:cs="宋体"/>
              </w:rPr>
              <w:t>课桌2</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张</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680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16320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36</w:t>
            </w:r>
          </w:p>
        </w:tc>
        <w:tc>
          <w:tcPr>
            <w:tcW w:w="1818" w:type="dxa"/>
            <w:vAlign w:val="center"/>
          </w:tcPr>
          <w:p>
            <w:pPr>
              <w:spacing w:line="360" w:lineRule="auto"/>
              <w:jc w:val="center"/>
              <w:rPr>
                <w:rFonts w:ascii="宋体" w:hAnsi="宋体" w:cs="宋体"/>
              </w:rPr>
            </w:pPr>
            <w:r>
              <w:rPr>
                <w:rFonts w:hint="eastAsia" w:ascii="宋体" w:hAnsi="宋体" w:cs="宋体"/>
              </w:rPr>
              <w:t>椅子2</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24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把</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240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5760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37</w:t>
            </w:r>
          </w:p>
        </w:tc>
        <w:tc>
          <w:tcPr>
            <w:tcW w:w="1818" w:type="dxa"/>
            <w:vAlign w:val="center"/>
          </w:tcPr>
          <w:p>
            <w:pPr>
              <w:spacing w:line="360" w:lineRule="auto"/>
              <w:jc w:val="center"/>
              <w:rPr>
                <w:rFonts w:ascii="宋体" w:hAnsi="宋体" w:cs="宋体"/>
              </w:rPr>
            </w:pPr>
            <w:r>
              <w:rPr>
                <w:rFonts w:hint="eastAsia" w:ascii="宋体" w:hAnsi="宋体" w:cs="宋体"/>
              </w:rPr>
              <w:t>无线音柱</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个</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1245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4980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38</w:t>
            </w:r>
          </w:p>
        </w:tc>
        <w:tc>
          <w:tcPr>
            <w:tcW w:w="1818" w:type="dxa"/>
            <w:vAlign w:val="center"/>
          </w:tcPr>
          <w:p>
            <w:pPr>
              <w:spacing w:line="360" w:lineRule="auto"/>
              <w:jc w:val="center"/>
              <w:rPr>
                <w:rFonts w:ascii="宋体" w:hAnsi="宋体" w:cs="宋体"/>
              </w:rPr>
            </w:pPr>
            <w:r>
              <w:rPr>
                <w:rFonts w:hint="eastAsia" w:ascii="宋体" w:hAnsi="宋体" w:cs="宋体"/>
              </w:rPr>
              <w:t>无线主机</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台</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1945</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1945</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r>
              <w:rPr>
                <w:rFonts w:hint="eastAsia" w:asciiTheme="minorEastAsia" w:hAnsiTheme="minorEastAsia" w:eastAsiaTheme="minorEastAsia" w:cstheme="minorEastAsia"/>
                <w:kern w:val="0"/>
                <w:szCs w:val="21"/>
                <w:lang w:bidi="ar"/>
              </w:rPr>
              <w:t>39</w:t>
            </w:r>
          </w:p>
        </w:tc>
        <w:tc>
          <w:tcPr>
            <w:tcW w:w="1818" w:type="dxa"/>
            <w:vAlign w:val="center"/>
          </w:tcPr>
          <w:p>
            <w:pPr>
              <w:spacing w:line="360" w:lineRule="auto"/>
              <w:jc w:val="center"/>
              <w:rPr>
                <w:rFonts w:ascii="宋体" w:hAnsi="宋体" w:cs="宋体"/>
              </w:rPr>
            </w:pPr>
            <w:r>
              <w:rPr>
                <w:rFonts w:hint="eastAsia" w:ascii="宋体" w:hAnsi="宋体" w:cs="宋体"/>
              </w:rPr>
              <w:t>无线麦克风</w:t>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1</w:t>
            </w:r>
          </w:p>
        </w:tc>
        <w:tc>
          <w:tcPr>
            <w:tcW w:w="925" w:type="dxa"/>
            <w:vAlign w:val="center"/>
          </w:tcPr>
          <w:p>
            <w:pPr>
              <w:spacing w:line="360" w:lineRule="auto"/>
              <w:jc w:val="center"/>
              <w:rPr>
                <w:rFonts w:ascii="宋体" w:hAnsi="宋体" w:cs="宋体"/>
                <w:bCs/>
                <w:szCs w:val="21"/>
              </w:rPr>
            </w:pPr>
            <w:r>
              <w:rPr>
                <w:rFonts w:hint="eastAsia" w:ascii="宋体" w:hAnsi="宋体" w:cs="宋体"/>
                <w:bCs/>
                <w:szCs w:val="21"/>
              </w:rPr>
              <w:t>套</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930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930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bookmarkStart w:id="114" w:name="_GoBack" w:colFirst="6" w:colLast="6"/>
            <w:r>
              <w:rPr>
                <w:rFonts w:hint="eastAsia" w:asciiTheme="minorEastAsia" w:hAnsiTheme="minorEastAsia" w:eastAsiaTheme="minorEastAsia" w:cstheme="minorEastAsia"/>
                <w:kern w:val="0"/>
                <w:szCs w:val="21"/>
                <w:lang w:bidi="ar"/>
              </w:rPr>
              <w:t>40</w:t>
            </w:r>
          </w:p>
        </w:tc>
        <w:tc>
          <w:tcPr>
            <w:tcW w:w="1818" w:type="dxa"/>
            <w:vAlign w:val="center"/>
          </w:tcPr>
          <w:p>
            <w:pPr>
              <w:spacing w:line="360" w:lineRule="auto"/>
              <w:jc w:val="center"/>
              <w:rPr>
                <w:rFonts w:ascii="宋体" w:hAnsi="宋体" w:cs="宋体"/>
              </w:rPr>
            </w:pPr>
            <w:r>
              <w:rPr>
                <w:rFonts w:hint="eastAsia" w:ascii="宋体" w:hAnsi="宋体" w:cs="宋体"/>
              </w:rPr>
              <w:t>2.5㎡阻燃型多芯线</w:t>
            </w:r>
            <w:r>
              <w:rPr>
                <w:rFonts w:hint="eastAsia" w:ascii="宋体" w:hAnsi="宋体" w:cs="宋体"/>
              </w:rPr>
              <w:tab/>
            </w:r>
          </w:p>
        </w:tc>
        <w:tc>
          <w:tcPr>
            <w:tcW w:w="825" w:type="dxa"/>
            <w:vAlign w:val="center"/>
          </w:tcPr>
          <w:p>
            <w:pPr>
              <w:spacing w:line="360" w:lineRule="auto"/>
              <w:jc w:val="center"/>
              <w:rPr>
                <w:rFonts w:ascii="宋体" w:hAnsi="宋体" w:cs="宋体"/>
                <w:bCs/>
                <w:szCs w:val="21"/>
              </w:rPr>
            </w:pPr>
            <w:r>
              <w:rPr>
                <w:rFonts w:hint="eastAsia" w:ascii="宋体" w:hAnsi="宋体" w:cs="宋体"/>
                <w:bCs/>
                <w:szCs w:val="21"/>
              </w:rPr>
              <w:t>4</w:t>
            </w:r>
          </w:p>
        </w:tc>
        <w:tc>
          <w:tcPr>
            <w:tcW w:w="925" w:type="dxa"/>
            <w:vAlign w:val="center"/>
          </w:tcPr>
          <w:p>
            <w:pPr>
              <w:spacing w:line="360" w:lineRule="auto"/>
              <w:jc w:val="center"/>
              <w:rPr>
                <w:rFonts w:ascii="宋体" w:hAnsi="宋体" w:cs="宋体"/>
                <w:bCs/>
                <w:szCs w:val="21"/>
              </w:rPr>
            </w:pPr>
            <w:r>
              <w:rPr>
                <w:rFonts w:ascii="宋体" w:hAnsi="宋体" w:cs="宋体"/>
                <w:bCs/>
                <w:szCs w:val="21"/>
              </w:rPr>
              <w:t>卷</w:t>
            </w:r>
          </w:p>
        </w:tc>
        <w:tc>
          <w:tcPr>
            <w:tcW w:w="738"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260</w:t>
            </w: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1040</w:t>
            </w:r>
          </w:p>
        </w:tc>
        <w:tc>
          <w:tcPr>
            <w:tcW w:w="1075" w:type="dxa"/>
            <w:vAlign w:val="center"/>
          </w:tcPr>
          <w:p>
            <w:pPr>
              <w:spacing w:line="360" w:lineRule="auto"/>
              <w:jc w:val="center"/>
              <w:rPr>
                <w:rFonts w:hint="eastAsia" w:asciiTheme="minorEastAsia" w:hAnsiTheme="minorEastAsia" w:eastAsiaTheme="minorEastAsia" w:cstheme="minorEastAsia"/>
                <w:b/>
                <w:color w:val="FF0000"/>
                <w:szCs w:val="21"/>
              </w:rPr>
            </w:pPr>
            <w:r>
              <w:rPr>
                <w:rFonts w:hint="eastAsia" w:asciiTheme="minorEastAsia" w:hAnsiTheme="minorEastAsia" w:cstheme="minorEastAsia"/>
                <w:b/>
                <w:color w:val="FF0000"/>
                <w:szCs w:val="21"/>
                <w:lang w:val="en-US" w:eastAsia="zh-CN"/>
              </w:rPr>
              <w:t>工业</w:t>
            </w:r>
          </w:p>
        </w:tc>
        <w:tc>
          <w:tcPr>
            <w:tcW w:w="1725" w:type="dxa"/>
            <w:vAlign w:val="center"/>
          </w:tcPr>
          <w:p>
            <w:pPr>
              <w:spacing w:line="360" w:lineRule="auto"/>
              <w:jc w:val="center"/>
              <w:rPr>
                <w:rFonts w:asciiTheme="minorEastAsia" w:hAnsiTheme="minorEastAsia" w:eastAsiaTheme="minorEastAsia" w:cstheme="minorEastAsia"/>
                <w:b/>
                <w:bCs/>
                <w:szCs w:val="21"/>
              </w:rPr>
            </w:pPr>
            <w:r>
              <w:rPr>
                <w:rFonts w:hint="eastAsia" w:asciiTheme="minorEastAsia" w:hAnsiTheme="minorEastAsia" w:eastAsiaTheme="minorEastAsia" w:cstheme="minorEastAsia"/>
                <w:b/>
                <w:color w:val="FF0000"/>
                <w:szCs w:val="21"/>
              </w:rPr>
              <w:t>拒绝进口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877" w:type="dxa"/>
            <w:shd w:val="clear" w:color="auto" w:fill="auto"/>
            <w:vAlign w:val="center"/>
          </w:tcPr>
          <w:p>
            <w:pPr>
              <w:widowControl/>
              <w:jc w:val="center"/>
              <w:textAlignment w:val="center"/>
              <w:rPr>
                <w:rFonts w:asciiTheme="minorEastAsia" w:hAnsiTheme="minorEastAsia" w:eastAsiaTheme="minorEastAsia" w:cstheme="minorEastAsia"/>
                <w:kern w:val="0"/>
                <w:szCs w:val="21"/>
                <w:lang w:bidi="ar"/>
              </w:rPr>
            </w:pPr>
          </w:p>
        </w:tc>
        <w:tc>
          <w:tcPr>
            <w:tcW w:w="1818" w:type="dxa"/>
            <w:vAlign w:val="center"/>
          </w:tcPr>
          <w:p>
            <w:pPr>
              <w:spacing w:line="360" w:lineRule="auto"/>
              <w:jc w:val="center"/>
              <w:rPr>
                <w:rFonts w:ascii="宋体" w:hAnsi="宋体" w:cs="宋体"/>
              </w:rPr>
            </w:pPr>
            <w:r>
              <w:rPr>
                <w:rFonts w:hint="eastAsia" w:ascii="宋体" w:hAnsi="宋体" w:cs="宋体"/>
              </w:rPr>
              <w:t>合计</w:t>
            </w:r>
          </w:p>
        </w:tc>
        <w:tc>
          <w:tcPr>
            <w:tcW w:w="825" w:type="dxa"/>
            <w:vAlign w:val="center"/>
          </w:tcPr>
          <w:p>
            <w:pPr>
              <w:spacing w:line="360" w:lineRule="auto"/>
              <w:jc w:val="center"/>
              <w:rPr>
                <w:rFonts w:ascii="宋体" w:hAnsi="宋体" w:cs="宋体"/>
                <w:bCs/>
                <w:szCs w:val="21"/>
              </w:rPr>
            </w:pPr>
          </w:p>
        </w:tc>
        <w:tc>
          <w:tcPr>
            <w:tcW w:w="925" w:type="dxa"/>
            <w:vAlign w:val="center"/>
          </w:tcPr>
          <w:p>
            <w:pPr>
              <w:spacing w:line="360" w:lineRule="auto"/>
              <w:jc w:val="center"/>
              <w:rPr>
                <w:rFonts w:ascii="宋体" w:hAnsi="宋体" w:cs="宋体"/>
                <w:bCs/>
                <w:szCs w:val="21"/>
              </w:rPr>
            </w:pPr>
          </w:p>
        </w:tc>
        <w:tc>
          <w:tcPr>
            <w:tcW w:w="738" w:type="dxa"/>
            <w:vAlign w:val="center"/>
          </w:tcPr>
          <w:p>
            <w:pPr>
              <w:spacing w:line="360" w:lineRule="auto"/>
              <w:jc w:val="center"/>
              <w:rPr>
                <w:rFonts w:asciiTheme="minorEastAsia" w:hAnsiTheme="minorEastAsia" w:eastAsiaTheme="minorEastAsia" w:cstheme="minorEastAsia"/>
                <w:b/>
                <w:color w:val="FF0000"/>
                <w:szCs w:val="21"/>
              </w:rPr>
            </w:pPr>
          </w:p>
        </w:tc>
        <w:tc>
          <w:tcPr>
            <w:tcW w:w="1150" w:type="dxa"/>
            <w:vAlign w:val="center"/>
          </w:tcPr>
          <w:p>
            <w:pPr>
              <w:spacing w:line="360" w:lineRule="auto"/>
              <w:jc w:val="center"/>
              <w:rPr>
                <w:rFonts w:asciiTheme="minorEastAsia" w:hAnsiTheme="minorEastAsia" w:eastAsiaTheme="minorEastAsia" w:cstheme="minorEastAsia"/>
                <w:b/>
                <w:color w:val="FF0000"/>
                <w:szCs w:val="21"/>
              </w:rPr>
            </w:pPr>
            <w:r>
              <w:rPr>
                <w:rFonts w:asciiTheme="minorEastAsia" w:hAnsiTheme="minorEastAsia" w:eastAsiaTheme="minorEastAsia" w:cstheme="minorEastAsia"/>
                <w:b/>
                <w:color w:val="FF0000"/>
                <w:szCs w:val="21"/>
              </w:rPr>
              <w:fldChar w:fldCharType="begin"/>
            </w:r>
            <w:r>
              <w:rPr>
                <w:rFonts w:asciiTheme="minorEastAsia" w:hAnsiTheme="minorEastAsia" w:eastAsiaTheme="minorEastAsia" w:cstheme="minorEastAsia"/>
                <w:b/>
                <w:color w:val="FF0000"/>
                <w:szCs w:val="21"/>
              </w:rPr>
              <w:instrText xml:space="preserve"> =SUM(ABOVE) </w:instrText>
            </w:r>
            <w:r>
              <w:rPr>
                <w:rFonts w:asciiTheme="minorEastAsia" w:hAnsiTheme="minorEastAsia" w:eastAsiaTheme="minorEastAsia" w:cstheme="minorEastAsia"/>
                <w:b/>
                <w:color w:val="FF0000"/>
                <w:szCs w:val="21"/>
              </w:rPr>
              <w:fldChar w:fldCharType="separate"/>
            </w:r>
            <w:r>
              <w:rPr>
                <w:rFonts w:asciiTheme="minorEastAsia" w:hAnsiTheme="minorEastAsia" w:eastAsiaTheme="minorEastAsia" w:cstheme="minorEastAsia"/>
                <w:b/>
                <w:color w:val="FF0000"/>
                <w:szCs w:val="21"/>
              </w:rPr>
              <w:t>434600</w:t>
            </w:r>
            <w:r>
              <w:rPr>
                <w:rFonts w:asciiTheme="minorEastAsia" w:hAnsiTheme="minorEastAsia" w:eastAsiaTheme="minorEastAsia" w:cstheme="minorEastAsia"/>
                <w:b/>
                <w:color w:val="FF0000"/>
                <w:szCs w:val="21"/>
              </w:rPr>
              <w:fldChar w:fldCharType="end"/>
            </w:r>
          </w:p>
        </w:tc>
        <w:tc>
          <w:tcPr>
            <w:tcW w:w="1075" w:type="dxa"/>
            <w:vAlign w:val="center"/>
          </w:tcPr>
          <w:p>
            <w:pPr>
              <w:spacing w:line="360" w:lineRule="auto"/>
              <w:jc w:val="center"/>
              <w:rPr>
                <w:rFonts w:asciiTheme="minorEastAsia" w:hAnsiTheme="minorEastAsia" w:eastAsiaTheme="minorEastAsia" w:cstheme="minorEastAsia"/>
                <w:b/>
                <w:bCs/>
                <w:szCs w:val="21"/>
              </w:rPr>
            </w:pPr>
          </w:p>
        </w:tc>
        <w:tc>
          <w:tcPr>
            <w:tcW w:w="1725" w:type="dxa"/>
            <w:vAlign w:val="center"/>
          </w:tcPr>
          <w:p>
            <w:pPr>
              <w:spacing w:line="360" w:lineRule="auto"/>
              <w:jc w:val="center"/>
              <w:rPr>
                <w:rFonts w:asciiTheme="minorEastAsia" w:hAnsiTheme="minorEastAsia" w:eastAsiaTheme="minorEastAsia" w:cstheme="minorEastAsia"/>
                <w:b/>
                <w:bCs/>
                <w:szCs w:val="21"/>
              </w:rPr>
            </w:pPr>
          </w:p>
        </w:tc>
      </w:tr>
      <w:bookmarkEnd w:id="13"/>
    </w:tbl>
    <w:p>
      <w:pPr>
        <w:rPr>
          <w:color w:val="FF0000"/>
        </w:rPr>
      </w:pPr>
      <w:r>
        <w:rPr>
          <w:rFonts w:hint="eastAsia"/>
          <w:color w:val="FF0000"/>
        </w:rPr>
        <w:t>备注：</w:t>
      </w:r>
    </w:p>
    <w:p>
      <w:pPr>
        <w:ind w:firstLine="420" w:firstLineChars="200"/>
        <w:rPr>
          <w:color w:val="FF0000"/>
        </w:rPr>
      </w:pPr>
      <w:r>
        <w:rPr>
          <w:rFonts w:hint="eastAsia"/>
          <w:color w:val="FF0000"/>
        </w:rPr>
        <w:t>1、“备注”栏注明有“接受进口”或“允许进口”的产品允许投标人选用进口产品参与投标，但不排斥国内产品投标；未注明“接受进口”或“允许进口”的产品均不接受进口产品投标。</w:t>
      </w:r>
    </w:p>
    <w:p>
      <w:pPr>
        <w:ind w:firstLine="420" w:firstLineChars="200"/>
        <w:rPr>
          <w:color w:val="FF0000"/>
        </w:rPr>
      </w:pPr>
      <w:r>
        <w:rPr>
          <w:rFonts w:hint="eastAsia"/>
          <w:color w:val="FF0000"/>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pPr>
        <w:ind w:firstLine="420" w:firstLineChars="200"/>
        <w:rPr>
          <w:color w:val="FF0000"/>
        </w:rPr>
      </w:pPr>
      <w:r>
        <w:rPr>
          <w:rFonts w:hint="eastAsia"/>
          <w:color w:val="FF0000"/>
        </w:rPr>
        <w:t>3、如注明有单价控制金额的产品，投标人对该产品的报价不得超过控制金额，否则将作投标无效处理。</w:t>
      </w:r>
    </w:p>
    <w:p>
      <w:pPr>
        <w:ind w:firstLine="420" w:firstLineChars="200"/>
        <w:rPr>
          <w:color w:val="FF0000"/>
        </w:rPr>
      </w:pPr>
      <w:r>
        <w:rPr>
          <w:rFonts w:hint="eastAsia"/>
          <w:color w:val="FF0000"/>
        </w:rPr>
        <w:t>4、根据《政府采购货物和服务招标投标管理办法》（财政部令第87号）第三十一条规定，单一产品项目或非单一产品项目中的核心产品均应明确品牌，投标人未填报品牌的将作投标无效处理。</w:t>
      </w:r>
    </w:p>
    <w:p>
      <w:pPr>
        <w:pStyle w:val="5"/>
        <w:jc w:val="center"/>
        <w:outlineLvl w:val="2"/>
      </w:pPr>
      <w:bookmarkStart w:id="15" w:name="_Toc128884461"/>
      <w:r>
        <w:rPr>
          <w:rFonts w:hint="eastAsia"/>
        </w:rPr>
        <w:t>三、实质性条款</w:t>
      </w:r>
    </w:p>
    <w:tbl>
      <w:tblPr>
        <w:tblStyle w:val="18"/>
        <w:tblW w:w="8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05" w:type="dxa"/>
            <w:vAlign w:val="center"/>
          </w:tcPr>
          <w:p>
            <w:r>
              <w:rPr>
                <w:rFonts w:hint="eastAsia"/>
              </w:rPr>
              <w:t>序号</w:t>
            </w:r>
          </w:p>
        </w:tc>
        <w:tc>
          <w:tcPr>
            <w:tcW w:w="7483" w:type="dxa"/>
            <w:vAlign w:val="center"/>
          </w:tcPr>
          <w:p>
            <w:pPr>
              <w:jc w:val="center"/>
            </w:pPr>
            <w:r>
              <w:rPr>
                <w:rFonts w:hint="eastAsia"/>
              </w:rPr>
              <w:t>实质性条款具体内容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705" w:type="dxa"/>
          </w:tcPr>
          <w:p>
            <w:pPr>
              <w:jc w:val="center"/>
            </w:pPr>
            <w:r>
              <w:rPr>
                <w:rFonts w:hint="eastAsia"/>
              </w:rPr>
              <w:t>1</w:t>
            </w:r>
          </w:p>
        </w:tc>
        <w:tc>
          <w:tcPr>
            <w:tcW w:w="7483" w:type="dxa"/>
          </w:tcPr>
          <w:p>
            <w:pPr>
              <w:jc w:val="center"/>
            </w:pPr>
            <w:r>
              <w:rPr>
                <w:rFonts w:hint="eastAsia"/>
              </w:rPr>
              <w:t>本项目招标文件中所有带★号条款内容</w:t>
            </w:r>
          </w:p>
        </w:tc>
      </w:tr>
      <w:bookmarkEnd w:id="15"/>
    </w:tbl>
    <w:p>
      <w:pPr>
        <w:rPr>
          <w:b/>
          <w:color w:val="FF0000"/>
        </w:rPr>
      </w:pPr>
      <w:r>
        <w:rPr>
          <w:rFonts w:hint="eastAsia"/>
          <w:b/>
          <w:color w:val="FF0000"/>
        </w:rPr>
        <w:t>注</w:t>
      </w:r>
      <w:r>
        <w:rPr>
          <w:rFonts w:hint="eastAsia"/>
        </w:rPr>
        <w:t>：</w:t>
      </w:r>
      <w:r>
        <w:rPr>
          <w:rFonts w:hint="eastAsia"/>
          <w:b/>
          <w:color w:val="FF0000"/>
        </w:rPr>
        <w:t>上表所列内容为不可负偏离条款，负偏离将视为未实质性满足招标文件要求，作投标无效处理。投标人是否满足以上实质性条款要求，以《实质性条款响应情况表》响应为准。如投标人中标后被发现不能满足以上实质性条款要求的，采购单位有权拒绝签订合同，一切后果由投标人承担。</w:t>
      </w:r>
    </w:p>
    <w:p>
      <w:pPr>
        <w:keepNext/>
        <w:keepLines/>
        <w:tabs>
          <w:tab w:val="left" w:pos="1680"/>
        </w:tabs>
        <w:spacing w:before="260" w:after="78" w:afterLines="25"/>
        <w:jc w:val="center"/>
        <w:outlineLvl w:val="2"/>
        <w:rPr>
          <w:rFonts w:ascii="Arial" w:hAnsi="Arial" w:eastAsia="宋体" w:cs="Times New Roman"/>
          <w:b/>
          <w:bCs/>
          <w:color w:val="FF0000"/>
          <w:sz w:val="32"/>
          <w:szCs w:val="32"/>
        </w:rPr>
      </w:pPr>
      <w:r>
        <w:rPr>
          <w:rFonts w:hint="eastAsia"/>
          <w:b/>
          <w:color w:val="FF0000"/>
          <w:sz w:val="32"/>
          <w:szCs w:val="32"/>
        </w:rPr>
        <w:t>四</w:t>
      </w:r>
      <w:r>
        <w:rPr>
          <w:rFonts w:hint="eastAsia" w:ascii="Arial" w:hAnsi="Arial" w:eastAsia="宋体" w:cs="Times New Roman"/>
          <w:b/>
          <w:bCs/>
          <w:color w:val="FF0000"/>
          <w:sz w:val="32"/>
          <w:szCs w:val="32"/>
        </w:rPr>
        <w:t>、商务和服务条款要求</w:t>
      </w:r>
    </w:p>
    <w:p>
      <w:pPr>
        <w:ind w:firstLine="422" w:firstLineChars="200"/>
        <w:rPr>
          <w:b/>
        </w:rPr>
      </w:pPr>
      <w:r>
        <w:rPr>
          <w:rFonts w:hint="eastAsia"/>
          <w:b/>
          <w:szCs w:val="21"/>
        </w:rPr>
        <w:t>说明：</w:t>
      </w:r>
      <w:r>
        <w:rPr>
          <w:b/>
        </w:rPr>
        <w:t>1</w:t>
      </w:r>
      <w:r>
        <w:rPr>
          <w:rFonts w:hint="eastAsia"/>
          <w:b/>
        </w:rPr>
        <w:t>、评分时，如对一项招标商务要求（以划分框为准）中的内容存在两处（或以上）负偏离的，在评分时只作一项负偏离扣分。</w:t>
      </w:r>
    </w:p>
    <w:p>
      <w:pPr>
        <w:numPr>
          <w:ilvl w:val="0"/>
          <w:numId w:val="2"/>
        </w:numPr>
        <w:ind w:firstLine="422" w:firstLineChars="200"/>
        <w:rPr>
          <w:rFonts w:hint="eastAsia"/>
          <w:b/>
          <w:szCs w:val="21"/>
        </w:rPr>
      </w:pP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18"/>
        <w:tblW w:w="87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676"/>
        <w:gridCol w:w="6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05" w:type="dxa"/>
            <w:vAlign w:val="center"/>
          </w:tcPr>
          <w:p>
            <w:pPr>
              <w:spacing w:line="360" w:lineRule="auto"/>
              <w:jc w:val="center"/>
              <w:rPr>
                <w:rFonts w:ascii="宋体" w:hAnsi="宋体" w:cs="宋体"/>
                <w:b/>
              </w:rPr>
            </w:pPr>
            <w:r>
              <w:rPr>
                <w:rFonts w:hint="eastAsia" w:ascii="宋体" w:hAnsi="宋体" w:cs="宋体"/>
                <w:b/>
              </w:rPr>
              <w:t>序号</w:t>
            </w:r>
          </w:p>
        </w:tc>
        <w:tc>
          <w:tcPr>
            <w:tcW w:w="1676" w:type="dxa"/>
            <w:vAlign w:val="center"/>
          </w:tcPr>
          <w:p>
            <w:pPr>
              <w:spacing w:line="360" w:lineRule="auto"/>
              <w:jc w:val="center"/>
              <w:rPr>
                <w:rFonts w:ascii="宋体" w:hAnsi="宋体" w:cs="宋体"/>
                <w:b/>
              </w:rPr>
            </w:pPr>
            <w:r>
              <w:rPr>
                <w:rFonts w:hint="eastAsia" w:ascii="宋体" w:hAnsi="宋体" w:cs="宋体"/>
                <w:b/>
              </w:rPr>
              <w:t>商务需求项</w:t>
            </w:r>
          </w:p>
        </w:tc>
        <w:tc>
          <w:tcPr>
            <w:tcW w:w="6304" w:type="dxa"/>
            <w:vAlign w:val="center"/>
          </w:tcPr>
          <w:p>
            <w:pPr>
              <w:spacing w:line="360" w:lineRule="auto"/>
              <w:jc w:val="center"/>
              <w:rPr>
                <w:rFonts w:ascii="宋体" w:hAnsi="宋体" w:cs="宋体"/>
                <w:b/>
              </w:rPr>
            </w:pPr>
            <w:r>
              <w:rPr>
                <w:rFonts w:hint="eastAsia" w:ascii="宋体" w:hAnsi="宋体" w:cs="宋体"/>
                <w:b/>
              </w:rPr>
              <w:t>招标商务要求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85" w:type="dxa"/>
            <w:gridSpan w:val="3"/>
          </w:tcPr>
          <w:p>
            <w:pPr>
              <w:spacing w:line="360" w:lineRule="auto"/>
              <w:rPr>
                <w:rFonts w:ascii="宋体" w:hAnsi="宋体" w:cs="宋体"/>
                <w:b/>
              </w:rPr>
            </w:pPr>
            <w:r>
              <w:rPr>
                <w:rFonts w:hint="eastAsia" w:ascii="宋体" w:hAnsi="宋体" w:cs="宋体"/>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5" w:type="dxa"/>
            <w:vAlign w:val="center"/>
          </w:tcPr>
          <w:p>
            <w:pPr>
              <w:spacing w:line="360" w:lineRule="auto"/>
              <w:jc w:val="center"/>
              <w:rPr>
                <w:rFonts w:ascii="宋体" w:hAnsi="宋体" w:cs="宋体"/>
                <w:bCs/>
              </w:rPr>
            </w:pPr>
            <w:r>
              <w:rPr>
                <w:rFonts w:hint="eastAsia" w:ascii="宋体" w:hAnsi="宋体" w:cs="宋体"/>
                <w:bCs/>
              </w:rPr>
              <w:t>1</w:t>
            </w:r>
          </w:p>
        </w:tc>
        <w:tc>
          <w:tcPr>
            <w:tcW w:w="1676" w:type="dxa"/>
          </w:tcPr>
          <w:p>
            <w:pPr>
              <w:spacing w:line="360" w:lineRule="auto"/>
              <w:jc w:val="center"/>
              <w:rPr>
                <w:rFonts w:ascii="宋体" w:hAnsi="宋体" w:cs="宋体"/>
              </w:rPr>
            </w:pPr>
            <w:r>
              <w:rPr>
                <w:rFonts w:hint="eastAsia" w:ascii="宋体" w:hAnsi="宋体" w:cs="宋体"/>
              </w:rPr>
              <w:t>维修响应及故障解决时间</w:t>
            </w:r>
          </w:p>
        </w:tc>
        <w:tc>
          <w:tcPr>
            <w:tcW w:w="6304" w:type="dxa"/>
          </w:tcPr>
          <w:p>
            <w:pPr>
              <w:spacing w:line="360" w:lineRule="auto"/>
              <w:rPr>
                <w:rFonts w:ascii="宋体" w:hAnsi="宋体" w:cs="宋体"/>
                <w:b/>
              </w:rPr>
            </w:pPr>
            <w:r>
              <w:rPr>
                <w:rFonts w:hint="eastAsia" w:ascii="宋体" w:hAnsi="宋体" w:cs="宋体"/>
                <w:bCs/>
                <w:szCs w:val="21"/>
              </w:rPr>
              <w:t>在免费保修期内，一旦发生质量问题，中标人保证在接到通知24小时内赶到现场进行修理或更换。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805" w:type="dxa"/>
            <w:vMerge w:val="restart"/>
            <w:vAlign w:val="center"/>
          </w:tcPr>
          <w:p>
            <w:pPr>
              <w:spacing w:line="360" w:lineRule="auto"/>
              <w:jc w:val="center"/>
              <w:rPr>
                <w:rFonts w:ascii="宋体" w:hAnsi="宋体" w:cs="宋体"/>
                <w:szCs w:val="21"/>
              </w:rPr>
            </w:pPr>
            <w:r>
              <w:rPr>
                <w:rFonts w:hint="eastAsia" w:ascii="宋体" w:hAnsi="宋体" w:cs="宋体"/>
                <w:szCs w:val="21"/>
              </w:rPr>
              <w:t>2</w:t>
            </w:r>
          </w:p>
        </w:tc>
        <w:tc>
          <w:tcPr>
            <w:tcW w:w="1676" w:type="dxa"/>
            <w:vMerge w:val="restart"/>
            <w:vAlign w:val="center"/>
          </w:tcPr>
          <w:p>
            <w:pPr>
              <w:spacing w:line="360" w:lineRule="auto"/>
              <w:jc w:val="center"/>
              <w:rPr>
                <w:rFonts w:ascii="宋体" w:hAnsi="宋体" w:cs="宋体"/>
                <w:szCs w:val="21"/>
              </w:rPr>
            </w:pPr>
            <w:r>
              <w:rPr>
                <w:rFonts w:hint="eastAsia" w:ascii="宋体" w:hAnsi="宋体" w:cs="宋体"/>
                <w:szCs w:val="21"/>
              </w:rPr>
              <w:t>免费保修期</w:t>
            </w:r>
          </w:p>
        </w:tc>
        <w:tc>
          <w:tcPr>
            <w:tcW w:w="6304" w:type="dxa"/>
          </w:tcPr>
          <w:p>
            <w:pPr>
              <w:spacing w:line="360" w:lineRule="auto"/>
              <w:rPr>
                <w:rFonts w:ascii="宋体" w:hAnsi="宋体" w:cs="宋体"/>
                <w:b/>
                <w:szCs w:val="21"/>
              </w:rPr>
            </w:pPr>
            <w:r>
              <w:rPr>
                <w:rFonts w:hint="eastAsia" w:ascii="宋体" w:hAnsi="宋体" w:cs="宋体"/>
                <w:bCs/>
                <w:szCs w:val="21"/>
              </w:rPr>
              <w:t>★1.货物免费保修期</w:t>
            </w:r>
            <w:r>
              <w:rPr>
                <w:rFonts w:hint="eastAsia" w:ascii="宋体" w:hAnsi="宋体" w:cs="宋体"/>
                <w:bCs/>
                <w:color w:val="FF0000"/>
                <w:szCs w:val="21"/>
                <w:u w:val="single"/>
              </w:rPr>
              <w:t xml:space="preserve">  2  </w:t>
            </w:r>
            <w:r>
              <w:rPr>
                <w:rFonts w:hint="eastAsia" w:ascii="宋体" w:hAnsi="宋体" w:cs="宋体"/>
                <w:bCs/>
                <w:color w:val="FF0000"/>
                <w:szCs w:val="21"/>
              </w:rPr>
              <w:t>年，</w:t>
            </w:r>
            <w:r>
              <w:rPr>
                <w:rFonts w:hint="eastAsia" w:ascii="宋体" w:hAnsi="宋体" w:cs="宋体"/>
                <w:bCs/>
                <w:szCs w:val="21"/>
              </w:rPr>
              <w:t>时间自最终验收合格并交付使用之日起计算。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Merge w:val="continue"/>
            <w:vAlign w:val="center"/>
          </w:tcPr>
          <w:p>
            <w:pPr>
              <w:spacing w:line="360" w:lineRule="auto"/>
              <w:jc w:val="center"/>
              <w:rPr>
                <w:rFonts w:ascii="宋体" w:hAnsi="宋体" w:cs="宋体"/>
                <w:b/>
              </w:rPr>
            </w:pPr>
          </w:p>
        </w:tc>
        <w:tc>
          <w:tcPr>
            <w:tcW w:w="1676" w:type="dxa"/>
            <w:vMerge w:val="continue"/>
            <w:vAlign w:val="center"/>
          </w:tcPr>
          <w:p>
            <w:pPr>
              <w:spacing w:line="360" w:lineRule="auto"/>
              <w:rPr>
                <w:rFonts w:ascii="宋体" w:hAnsi="宋体" w:cs="宋体"/>
              </w:rPr>
            </w:pPr>
          </w:p>
        </w:tc>
        <w:tc>
          <w:tcPr>
            <w:tcW w:w="6304" w:type="dxa"/>
            <w:vAlign w:val="center"/>
          </w:tcPr>
          <w:p>
            <w:pPr>
              <w:spacing w:line="360" w:lineRule="auto"/>
              <w:rPr>
                <w:rFonts w:ascii="宋体" w:hAnsi="宋体" w:cs="宋体"/>
                <w:bCs/>
                <w:szCs w:val="21"/>
              </w:rPr>
            </w:pPr>
            <w:r>
              <w:rPr>
                <w:rFonts w:hint="eastAsia" w:ascii="宋体" w:hAnsi="宋体" w:cs="宋体"/>
                <w:bCs/>
                <w:szCs w:val="21"/>
              </w:rPr>
              <w:t>★2.免费保修期内，</w:t>
            </w:r>
            <w:r>
              <w:rPr>
                <w:rFonts w:hint="eastAsia" w:ascii="宋体" w:hAnsi="宋体" w:cs="宋体"/>
                <w:color w:val="000000"/>
                <w:szCs w:val="21"/>
              </w:rPr>
              <w:t>所有服务及配件全部免费。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Align w:val="center"/>
          </w:tcPr>
          <w:p>
            <w:pPr>
              <w:spacing w:line="360" w:lineRule="auto"/>
              <w:jc w:val="center"/>
              <w:rPr>
                <w:rFonts w:ascii="宋体" w:hAnsi="宋体" w:cs="宋体"/>
                <w:b/>
              </w:rPr>
            </w:pPr>
            <w:r>
              <w:rPr>
                <w:rFonts w:hint="eastAsia" w:ascii="宋体" w:hAnsi="宋体" w:cs="宋体"/>
                <w:szCs w:val="21"/>
              </w:rPr>
              <w:t>3</w:t>
            </w:r>
          </w:p>
        </w:tc>
        <w:tc>
          <w:tcPr>
            <w:tcW w:w="1676" w:type="dxa"/>
            <w:vAlign w:val="center"/>
          </w:tcPr>
          <w:p>
            <w:pPr>
              <w:spacing w:line="360" w:lineRule="auto"/>
              <w:jc w:val="center"/>
              <w:rPr>
                <w:rFonts w:ascii="宋体" w:hAnsi="宋体" w:cs="宋体"/>
                <w:b/>
              </w:rPr>
            </w:pPr>
            <w:r>
              <w:rPr>
                <w:rFonts w:hint="eastAsia" w:ascii="宋体" w:hAnsi="宋体" w:cs="宋体"/>
                <w:szCs w:val="21"/>
              </w:rPr>
              <w:t>技术文件</w:t>
            </w:r>
          </w:p>
        </w:tc>
        <w:tc>
          <w:tcPr>
            <w:tcW w:w="6304" w:type="dxa"/>
            <w:vAlign w:val="center"/>
          </w:tcPr>
          <w:p>
            <w:pPr>
              <w:spacing w:line="360" w:lineRule="auto"/>
              <w:rPr>
                <w:rFonts w:ascii="宋体" w:hAnsi="宋体" w:cs="宋体"/>
                <w:bCs/>
              </w:rPr>
            </w:pPr>
            <w:r>
              <w:rPr>
                <w:rFonts w:hint="eastAsia" w:ascii="宋体" w:hAnsi="宋体" w:cs="宋体"/>
                <w:bCs/>
              </w:rPr>
              <w:t>供应商应提供全套、完整的书面技术资料，包括仪器说明书、操作手册、简单维修说明、图纸等。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85" w:type="dxa"/>
            <w:gridSpan w:val="3"/>
            <w:vAlign w:val="center"/>
          </w:tcPr>
          <w:p>
            <w:pPr>
              <w:spacing w:line="360" w:lineRule="auto"/>
              <w:rPr>
                <w:rFonts w:ascii="宋体" w:hAnsi="宋体" w:cs="宋体"/>
                <w:bCs/>
              </w:rPr>
            </w:pPr>
            <w:r>
              <w:rPr>
                <w:rFonts w:hint="eastAsia" w:ascii="宋体" w:hAnsi="宋体" w:cs="宋体"/>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Align w:val="center"/>
          </w:tcPr>
          <w:p>
            <w:pPr>
              <w:spacing w:line="360" w:lineRule="auto"/>
              <w:jc w:val="center"/>
              <w:rPr>
                <w:rFonts w:ascii="宋体" w:hAnsi="宋体" w:cs="宋体"/>
                <w:bCs/>
              </w:rPr>
            </w:pPr>
            <w:r>
              <w:rPr>
                <w:rFonts w:hint="eastAsia" w:ascii="宋体" w:hAnsi="宋体" w:cs="宋体"/>
                <w:bCs/>
              </w:rPr>
              <w:t>1</w:t>
            </w:r>
          </w:p>
        </w:tc>
        <w:tc>
          <w:tcPr>
            <w:tcW w:w="1676" w:type="dxa"/>
            <w:vAlign w:val="center"/>
          </w:tcPr>
          <w:p>
            <w:pPr>
              <w:spacing w:line="360" w:lineRule="auto"/>
              <w:jc w:val="center"/>
              <w:rPr>
                <w:rFonts w:ascii="宋体" w:hAnsi="宋体" w:cs="宋体"/>
                <w:szCs w:val="21"/>
              </w:rPr>
            </w:pPr>
            <w:r>
              <w:rPr>
                <w:rStyle w:val="21"/>
                <w:rFonts w:hint="eastAsia" w:ascii="宋体" w:hAnsi="宋体" w:cs="宋体"/>
                <w:color w:val="000000"/>
                <w:sz w:val="20"/>
                <w:szCs w:val="20"/>
              </w:rPr>
              <w:t>维修零配件、消耗品和延续保修合同的报价</w:t>
            </w:r>
          </w:p>
        </w:tc>
        <w:tc>
          <w:tcPr>
            <w:tcW w:w="6304" w:type="dxa"/>
            <w:vAlign w:val="center"/>
          </w:tcPr>
          <w:p>
            <w:pPr>
              <w:spacing w:line="360" w:lineRule="auto"/>
              <w:rPr>
                <w:rFonts w:ascii="宋体" w:hAnsi="宋体" w:cs="宋体"/>
                <w:bCs/>
              </w:rPr>
            </w:pPr>
            <w:r>
              <w:rPr>
                <w:rFonts w:hint="eastAsia" w:ascii="宋体" w:hAnsi="宋体" w:cs="宋体"/>
                <w:color w:val="000000"/>
                <w:sz w:val="20"/>
                <w:szCs w:val="20"/>
              </w:rPr>
              <w:t>1.1由设备制造商提供售后服务，</w:t>
            </w:r>
            <w:r>
              <w:rPr>
                <w:rFonts w:hint="eastAsia" w:ascii="宋体" w:hAnsi="宋体" w:cs="宋体"/>
                <w:color w:val="000000"/>
                <w:sz w:val="20"/>
                <w:szCs w:val="20"/>
                <w:u w:val="single"/>
              </w:rPr>
              <w:t xml:space="preserve"> 1 </w:t>
            </w:r>
            <w:r>
              <w:rPr>
                <w:rFonts w:hint="eastAsia" w:ascii="宋体" w:hAnsi="宋体" w:cs="宋体"/>
                <w:color w:val="000000"/>
                <w:sz w:val="20"/>
                <w:szCs w:val="20"/>
              </w:rPr>
              <w:t>小时内响应，</w:t>
            </w:r>
            <w:r>
              <w:rPr>
                <w:rFonts w:hint="eastAsia" w:ascii="宋体" w:hAnsi="宋体" w:cs="宋体"/>
                <w:color w:val="000000"/>
                <w:sz w:val="20"/>
                <w:szCs w:val="20"/>
                <w:u w:val="single"/>
              </w:rPr>
              <w:t> 24 </w:t>
            </w:r>
            <w:r>
              <w:rPr>
                <w:rFonts w:hint="eastAsia" w:ascii="宋体" w:hAnsi="宋体" w:cs="宋体"/>
                <w:color w:val="000000"/>
                <w:sz w:val="20"/>
                <w:szCs w:val="20"/>
              </w:rPr>
              <w:t>小时维修到位，并在</w:t>
            </w:r>
            <w:r>
              <w:rPr>
                <w:rFonts w:hint="eastAsia" w:ascii="宋体" w:hAnsi="宋体" w:cs="宋体"/>
                <w:color w:val="000000"/>
                <w:sz w:val="20"/>
                <w:szCs w:val="20"/>
                <w:u w:val="single"/>
              </w:rPr>
              <w:t>72</w:t>
            </w:r>
            <w:r>
              <w:rPr>
                <w:rFonts w:hint="eastAsia" w:ascii="宋体" w:hAnsi="宋体" w:cs="宋体"/>
                <w:color w:val="000000"/>
                <w:sz w:val="20"/>
                <w:szCs w:val="20"/>
              </w:rPr>
              <w:t>小时内消除故障（不可抗力情况除外）。消耗品和零配件供应及时，特殊情况下可提供备用机。在境内有相对应的零配件保税库，于中标后出具证明文件。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785" w:type="dxa"/>
            <w:gridSpan w:val="3"/>
            <w:vAlign w:val="center"/>
          </w:tcPr>
          <w:p>
            <w:pPr>
              <w:spacing w:line="360" w:lineRule="auto"/>
              <w:rPr>
                <w:rFonts w:ascii="宋体" w:hAnsi="宋体" w:cs="宋体"/>
                <w:bCs/>
              </w:rPr>
            </w:pPr>
            <w:r>
              <w:rPr>
                <w:rFonts w:hint="eastAsia" w:ascii="宋体" w:hAnsi="宋体" w:cs="宋体"/>
                <w:color w:val="000000"/>
                <w:sz w:val="20"/>
                <w:szCs w:val="20"/>
              </w:rPr>
              <w:t>★</w:t>
            </w:r>
            <w:r>
              <w:rPr>
                <w:rFonts w:hint="eastAsia" w:ascii="宋体" w:hAnsi="宋体" w:cs="宋体"/>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Merge w:val="restart"/>
            <w:vAlign w:val="center"/>
          </w:tcPr>
          <w:p>
            <w:pPr>
              <w:spacing w:line="360" w:lineRule="auto"/>
              <w:jc w:val="center"/>
              <w:rPr>
                <w:rFonts w:ascii="宋体" w:hAnsi="宋体" w:cs="宋体"/>
                <w:bCs/>
              </w:rPr>
            </w:pPr>
            <w:r>
              <w:rPr>
                <w:rFonts w:hint="eastAsia" w:ascii="宋体" w:hAnsi="宋体" w:cs="宋体"/>
                <w:bCs/>
              </w:rPr>
              <w:t>1</w:t>
            </w:r>
          </w:p>
        </w:tc>
        <w:tc>
          <w:tcPr>
            <w:tcW w:w="1676" w:type="dxa"/>
            <w:vMerge w:val="restart"/>
            <w:vAlign w:val="center"/>
          </w:tcPr>
          <w:p>
            <w:pPr>
              <w:spacing w:line="360" w:lineRule="auto"/>
              <w:jc w:val="center"/>
              <w:rPr>
                <w:rFonts w:ascii="宋体" w:hAnsi="宋体" w:cs="宋体"/>
                <w:szCs w:val="21"/>
              </w:rPr>
            </w:pPr>
            <w:r>
              <w:rPr>
                <w:rFonts w:hint="eastAsia" w:ascii="宋体" w:hAnsi="宋体" w:cs="宋体"/>
                <w:b/>
                <w:sz w:val="20"/>
                <w:szCs w:val="20"/>
              </w:rPr>
              <w:t>必备条款</w:t>
            </w:r>
          </w:p>
        </w:tc>
        <w:tc>
          <w:tcPr>
            <w:tcW w:w="6304" w:type="dxa"/>
            <w:vAlign w:val="center"/>
          </w:tcPr>
          <w:p>
            <w:pPr>
              <w:spacing w:line="360" w:lineRule="auto"/>
              <w:rPr>
                <w:rFonts w:ascii="宋体" w:hAnsi="宋体" w:cs="宋体"/>
                <w:bCs/>
              </w:rPr>
            </w:pPr>
            <w:r>
              <w:rPr>
                <w:rFonts w:hint="eastAsia" w:ascii="宋体" w:hAnsi="宋体" w:cs="宋体"/>
                <w:color w:val="000000"/>
                <w:sz w:val="20"/>
                <w:szCs w:val="20"/>
              </w:rPr>
              <w:t>1.1履约时间和地点：投标供应商在签订合同之日起</w:t>
            </w:r>
            <w:r>
              <w:rPr>
                <w:rFonts w:hint="eastAsia" w:ascii="宋体" w:hAnsi="宋体" w:cs="宋体"/>
                <w:color w:val="000000"/>
                <w:sz w:val="20"/>
                <w:szCs w:val="20"/>
                <w:u w:val="single"/>
              </w:rPr>
              <w:t xml:space="preserve">  25 </w:t>
            </w:r>
            <w:r>
              <w:rPr>
                <w:rFonts w:hint="eastAsia" w:ascii="宋体" w:hAnsi="宋体" w:cs="宋体"/>
                <w:color w:val="000000"/>
                <w:sz w:val="20"/>
                <w:szCs w:val="20"/>
              </w:rPr>
              <w:t>天内交货，交货地点为用户指定地点。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Merge w:val="continue"/>
            <w:vAlign w:val="center"/>
          </w:tcPr>
          <w:p>
            <w:pPr>
              <w:spacing w:line="360" w:lineRule="auto"/>
              <w:jc w:val="center"/>
              <w:rPr>
                <w:rFonts w:ascii="宋体" w:hAnsi="宋体" w:cs="宋体"/>
                <w:bCs/>
              </w:rPr>
            </w:pPr>
          </w:p>
        </w:tc>
        <w:tc>
          <w:tcPr>
            <w:tcW w:w="1676" w:type="dxa"/>
            <w:vMerge w:val="continue"/>
            <w:vAlign w:val="center"/>
          </w:tcPr>
          <w:p>
            <w:pPr>
              <w:spacing w:line="360" w:lineRule="auto"/>
              <w:jc w:val="center"/>
              <w:rPr>
                <w:rFonts w:ascii="宋体" w:hAnsi="宋体" w:cs="宋体"/>
                <w:szCs w:val="21"/>
              </w:rPr>
            </w:pPr>
          </w:p>
        </w:tc>
        <w:tc>
          <w:tcPr>
            <w:tcW w:w="6304" w:type="dxa"/>
            <w:vAlign w:val="center"/>
          </w:tcPr>
          <w:p>
            <w:pPr>
              <w:spacing w:line="360" w:lineRule="auto"/>
              <w:rPr>
                <w:rFonts w:ascii="宋体" w:hAnsi="宋体" w:cs="宋体"/>
                <w:bCs/>
              </w:rPr>
            </w:pPr>
            <w:r>
              <w:rPr>
                <w:rFonts w:hint="eastAsia" w:ascii="宋体" w:hAnsi="宋体" w:cs="宋体"/>
                <w:color w:val="000000"/>
                <w:sz w:val="20"/>
                <w:szCs w:val="20"/>
              </w:rPr>
              <w:t>1.2付款期限和方式：合同签订后</w:t>
            </w:r>
            <w:r>
              <w:rPr>
                <w:rFonts w:hint="eastAsia" w:ascii="宋体" w:hAnsi="宋体" w:cs="宋体"/>
                <w:color w:val="000000"/>
                <w:sz w:val="20"/>
                <w:szCs w:val="20"/>
                <w:u w:val="single"/>
              </w:rPr>
              <w:t xml:space="preserve">  10   </w:t>
            </w:r>
            <w:r>
              <w:rPr>
                <w:rFonts w:hint="eastAsia" w:ascii="宋体" w:hAnsi="宋体" w:cs="宋体"/>
                <w:color w:val="000000"/>
                <w:sz w:val="20"/>
                <w:szCs w:val="20"/>
              </w:rPr>
              <w:t>个工作日内，采购人向中标供应商支付合同总价【50】%的款项，全部货物送到采购人指定地点、完成安装并验收合格后</w:t>
            </w:r>
            <w:r>
              <w:rPr>
                <w:rFonts w:hint="eastAsia" w:ascii="宋体" w:hAnsi="宋体" w:cs="宋体"/>
                <w:color w:val="000000"/>
                <w:sz w:val="20"/>
                <w:szCs w:val="20"/>
                <w:u w:val="single"/>
              </w:rPr>
              <w:t xml:space="preserve">  10   </w:t>
            </w:r>
            <w:r>
              <w:rPr>
                <w:rFonts w:hint="eastAsia" w:ascii="宋体" w:hAnsi="宋体" w:cs="宋体"/>
                <w:color w:val="000000"/>
                <w:sz w:val="20"/>
                <w:szCs w:val="20"/>
              </w:rPr>
              <w:t>个工作日内，采购人向中标供应商支付合同总价【50】%的款项。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Merge w:val="continue"/>
            <w:vAlign w:val="center"/>
          </w:tcPr>
          <w:p>
            <w:pPr>
              <w:spacing w:line="360" w:lineRule="auto"/>
              <w:jc w:val="center"/>
              <w:rPr>
                <w:rFonts w:ascii="宋体" w:hAnsi="宋体" w:cs="宋体"/>
                <w:bCs/>
              </w:rPr>
            </w:pPr>
          </w:p>
        </w:tc>
        <w:tc>
          <w:tcPr>
            <w:tcW w:w="1676" w:type="dxa"/>
            <w:vMerge w:val="continue"/>
            <w:vAlign w:val="center"/>
          </w:tcPr>
          <w:p>
            <w:pPr>
              <w:spacing w:line="360" w:lineRule="auto"/>
              <w:jc w:val="center"/>
              <w:rPr>
                <w:rFonts w:ascii="宋体" w:hAnsi="宋体" w:cs="宋体"/>
                <w:szCs w:val="21"/>
              </w:rPr>
            </w:pPr>
          </w:p>
        </w:tc>
        <w:tc>
          <w:tcPr>
            <w:tcW w:w="6304" w:type="dxa"/>
            <w:vAlign w:val="center"/>
          </w:tcPr>
          <w:p>
            <w:pPr>
              <w:spacing w:line="360" w:lineRule="auto"/>
              <w:rPr>
                <w:rFonts w:ascii="宋体" w:hAnsi="宋体" w:cs="宋体"/>
                <w:color w:val="000000"/>
                <w:sz w:val="20"/>
                <w:szCs w:val="20"/>
              </w:rPr>
            </w:pPr>
            <w:r>
              <w:rPr>
                <w:rFonts w:hint="eastAsia" w:ascii="宋体" w:hAnsi="宋体" w:cs="宋体"/>
                <w:color w:val="000000"/>
                <w:sz w:val="20"/>
                <w:szCs w:val="20"/>
              </w:rPr>
              <w:t>1.3验收条件：当满足以下条件时，采购人才向中标人签发货物验收报告：</w:t>
            </w:r>
          </w:p>
          <w:p>
            <w:pPr>
              <w:spacing w:line="360" w:lineRule="auto"/>
              <w:rPr>
                <w:rFonts w:ascii="宋体" w:hAnsi="宋体" w:cs="宋体"/>
                <w:color w:val="000000"/>
                <w:sz w:val="20"/>
                <w:szCs w:val="20"/>
              </w:rPr>
            </w:pPr>
            <w:r>
              <w:rPr>
                <w:rFonts w:hint="eastAsia" w:ascii="宋体" w:hAnsi="宋体" w:cs="宋体"/>
                <w:color w:val="000000"/>
                <w:sz w:val="20"/>
                <w:szCs w:val="20"/>
              </w:rPr>
              <w:t>（1）设备全新,外观无伤痕变形或明显修饰痕迹。</w:t>
            </w:r>
          </w:p>
          <w:p>
            <w:pPr>
              <w:spacing w:line="360" w:lineRule="auto"/>
              <w:rPr>
                <w:rFonts w:ascii="宋体" w:hAnsi="宋体" w:cs="宋体"/>
                <w:color w:val="000000"/>
                <w:sz w:val="20"/>
                <w:szCs w:val="20"/>
              </w:rPr>
            </w:pPr>
            <w:r>
              <w:rPr>
                <w:rFonts w:hint="eastAsia" w:ascii="宋体" w:hAnsi="宋体" w:cs="宋体"/>
                <w:color w:val="000000"/>
                <w:sz w:val="20"/>
                <w:szCs w:val="20"/>
              </w:rPr>
              <w:t>（2）如有国标，必须符合有关规定；如无国标，则按照行业标准；如无国标及行业标准，则按双方约定执行。投标文件提供的技术数据经实测证实是真实的。检验及质量保证期内达到的性能指标与要求一致，达到或优于相应标准。</w:t>
            </w:r>
          </w:p>
          <w:p>
            <w:pPr>
              <w:spacing w:line="360" w:lineRule="auto"/>
              <w:rPr>
                <w:rFonts w:ascii="宋体" w:hAnsi="宋体" w:cs="宋体"/>
                <w:color w:val="000000"/>
                <w:sz w:val="20"/>
                <w:szCs w:val="20"/>
              </w:rPr>
            </w:pPr>
            <w:r>
              <w:rPr>
                <w:rFonts w:hint="eastAsia" w:ascii="宋体" w:hAnsi="宋体" w:cs="宋体"/>
                <w:color w:val="000000"/>
                <w:sz w:val="20"/>
                <w:szCs w:val="20"/>
              </w:rPr>
              <w:t>（3）技术文件资料、备件等已按规定数量移交完毕。</w:t>
            </w:r>
          </w:p>
          <w:p>
            <w:pPr>
              <w:spacing w:line="360" w:lineRule="auto"/>
              <w:rPr>
                <w:rFonts w:ascii="宋体" w:hAnsi="宋体" w:cs="宋体"/>
                <w:color w:val="000000"/>
                <w:sz w:val="20"/>
                <w:szCs w:val="20"/>
              </w:rPr>
            </w:pPr>
            <w:r>
              <w:rPr>
                <w:rFonts w:hint="eastAsia" w:ascii="宋体" w:hAnsi="宋体" w:cs="宋体"/>
                <w:color w:val="000000"/>
                <w:sz w:val="20"/>
                <w:szCs w:val="20"/>
              </w:rPr>
              <w:t>（4）按照招标书要求及投标文件提供的技术要求验收必须合格。</w:t>
            </w:r>
          </w:p>
          <w:p>
            <w:pPr>
              <w:spacing w:line="360" w:lineRule="auto"/>
              <w:rPr>
                <w:rFonts w:ascii="宋体" w:hAnsi="宋体" w:cs="宋体"/>
                <w:color w:val="000000"/>
                <w:sz w:val="20"/>
                <w:szCs w:val="20"/>
              </w:rPr>
            </w:pPr>
            <w:r>
              <w:rPr>
                <w:rFonts w:hint="eastAsia" w:ascii="宋体" w:hAnsi="宋体" w:cs="宋体"/>
                <w:color w:val="000000"/>
                <w:sz w:val="20"/>
                <w:szCs w:val="20"/>
              </w:rPr>
              <w:t>（5）投标人提供的各种文件载明的内容必须真实，其技术数据采购人有权要求投标人无偿提供采购人认可的第三方按照双方同意的试验方法进行检测。检测结果必须证明投标人提供的技术数据是真实的，否则视为不合格。</w:t>
            </w:r>
          </w:p>
          <w:p>
            <w:pPr>
              <w:spacing w:line="360" w:lineRule="auto"/>
              <w:rPr>
                <w:rFonts w:ascii="宋体" w:hAnsi="宋体" w:cs="宋体"/>
                <w:color w:val="000000"/>
                <w:sz w:val="20"/>
                <w:szCs w:val="20"/>
              </w:rPr>
            </w:pPr>
            <w:r>
              <w:rPr>
                <w:rFonts w:hint="eastAsia" w:ascii="宋体" w:hAnsi="宋体" w:cs="宋体"/>
                <w:color w:val="000000"/>
                <w:sz w:val="20"/>
                <w:szCs w:val="20"/>
              </w:rPr>
              <w:t>（6）货物具备产品合格证。</w:t>
            </w:r>
          </w:p>
          <w:p>
            <w:pPr>
              <w:spacing w:line="360" w:lineRule="auto"/>
              <w:rPr>
                <w:rFonts w:ascii="宋体" w:hAnsi="宋体" w:cs="宋体"/>
                <w:bCs/>
              </w:rPr>
            </w:pPr>
            <w:r>
              <w:rPr>
                <w:rFonts w:hint="eastAsia" w:ascii="宋体" w:hAnsi="宋体" w:cs="宋体"/>
                <w:color w:val="000000"/>
                <w:sz w:val="20"/>
                <w:szCs w:val="20"/>
              </w:rPr>
              <w:t>（7）在货物安装调试合格后，所有技术指标达到技术规范书要求，经验收合格后，双方共同签署验收报告。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Merge w:val="continue"/>
            <w:vAlign w:val="center"/>
          </w:tcPr>
          <w:p>
            <w:pPr>
              <w:spacing w:line="360" w:lineRule="auto"/>
              <w:jc w:val="center"/>
              <w:rPr>
                <w:rFonts w:ascii="宋体" w:hAnsi="宋体" w:cs="宋体"/>
                <w:bCs/>
              </w:rPr>
            </w:pPr>
          </w:p>
        </w:tc>
        <w:tc>
          <w:tcPr>
            <w:tcW w:w="1676" w:type="dxa"/>
            <w:vMerge w:val="continue"/>
            <w:vAlign w:val="center"/>
          </w:tcPr>
          <w:p>
            <w:pPr>
              <w:spacing w:line="360" w:lineRule="auto"/>
              <w:jc w:val="center"/>
              <w:rPr>
                <w:rFonts w:ascii="宋体" w:hAnsi="宋体" w:cs="宋体"/>
                <w:szCs w:val="21"/>
              </w:rPr>
            </w:pPr>
          </w:p>
        </w:tc>
        <w:tc>
          <w:tcPr>
            <w:tcW w:w="6304" w:type="dxa"/>
          </w:tcPr>
          <w:p>
            <w:pPr>
              <w:spacing w:line="360" w:lineRule="auto"/>
              <w:rPr>
                <w:rFonts w:ascii="宋体" w:hAnsi="宋体" w:cs="宋体"/>
                <w:bCs/>
              </w:rPr>
            </w:pPr>
            <w:r>
              <w:rPr>
                <w:rFonts w:hint="eastAsia" w:ascii="宋体" w:hAnsi="宋体" w:cs="宋体"/>
                <w:color w:val="000000"/>
                <w:sz w:val="20"/>
                <w:szCs w:val="20"/>
              </w:rPr>
              <w:t>1.4违约责任：如投标供应商未按照投标文件中承诺的时间交货或提供服务，投标供应商应承担延期交货和延期服务的违约责任。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Merge w:val="continue"/>
            <w:vAlign w:val="center"/>
          </w:tcPr>
          <w:p>
            <w:pPr>
              <w:spacing w:line="360" w:lineRule="auto"/>
              <w:jc w:val="center"/>
              <w:rPr>
                <w:rFonts w:ascii="宋体" w:hAnsi="宋体" w:cs="宋体"/>
                <w:bCs/>
              </w:rPr>
            </w:pPr>
          </w:p>
        </w:tc>
        <w:tc>
          <w:tcPr>
            <w:tcW w:w="1676" w:type="dxa"/>
            <w:vMerge w:val="continue"/>
            <w:vAlign w:val="center"/>
          </w:tcPr>
          <w:p>
            <w:pPr>
              <w:spacing w:line="360" w:lineRule="auto"/>
              <w:jc w:val="center"/>
              <w:rPr>
                <w:rFonts w:ascii="宋体" w:hAnsi="宋体" w:cs="宋体"/>
                <w:szCs w:val="21"/>
              </w:rPr>
            </w:pPr>
          </w:p>
        </w:tc>
        <w:tc>
          <w:tcPr>
            <w:tcW w:w="6304" w:type="dxa"/>
            <w:vAlign w:val="center"/>
          </w:tcPr>
          <w:p>
            <w:pPr>
              <w:spacing w:line="360" w:lineRule="auto"/>
              <w:rPr>
                <w:rFonts w:ascii="宋体" w:hAnsi="宋体" w:cs="宋体"/>
                <w:bCs/>
              </w:rPr>
            </w:pPr>
            <w:r>
              <w:rPr>
                <w:rFonts w:hint="eastAsia" w:ascii="宋体" w:hAnsi="宋体" w:cs="宋体"/>
                <w:color w:val="000000"/>
                <w:sz w:val="20"/>
                <w:szCs w:val="20"/>
              </w:rPr>
              <w:t>1.5争议解决方法：合同执行过程中发生的任何争议，如双方不能通过友好协商解决，任何一方可向甲方所在地人民法院起诉。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Align w:val="center"/>
          </w:tcPr>
          <w:p>
            <w:pPr>
              <w:spacing w:line="360" w:lineRule="auto"/>
              <w:jc w:val="center"/>
              <w:rPr>
                <w:rFonts w:ascii="宋体" w:hAnsi="宋体" w:cs="宋体"/>
                <w:bCs/>
              </w:rPr>
            </w:pPr>
            <w:r>
              <w:rPr>
                <w:rFonts w:hint="eastAsia" w:ascii="宋体" w:hAnsi="宋体" w:cs="宋体"/>
                <w:bCs/>
              </w:rPr>
              <w:t>2</w:t>
            </w:r>
          </w:p>
        </w:tc>
        <w:tc>
          <w:tcPr>
            <w:tcW w:w="1676" w:type="dxa"/>
            <w:vAlign w:val="center"/>
          </w:tcPr>
          <w:p>
            <w:pPr>
              <w:spacing w:line="360" w:lineRule="auto"/>
              <w:jc w:val="center"/>
              <w:rPr>
                <w:rFonts w:ascii="宋体" w:hAnsi="宋体" w:cs="宋体"/>
                <w:szCs w:val="21"/>
              </w:rPr>
            </w:pPr>
            <w:r>
              <w:rPr>
                <w:rStyle w:val="21"/>
                <w:rFonts w:hint="eastAsia" w:ascii="宋体" w:hAnsi="宋体" w:cs="宋体"/>
                <w:color w:val="000000"/>
                <w:sz w:val="20"/>
                <w:szCs w:val="20"/>
              </w:rPr>
              <w:t>运输、安装条件</w:t>
            </w:r>
          </w:p>
        </w:tc>
        <w:tc>
          <w:tcPr>
            <w:tcW w:w="6304" w:type="dxa"/>
            <w:vAlign w:val="center"/>
          </w:tcPr>
          <w:p>
            <w:pPr>
              <w:numPr>
                <w:ilvl w:val="0"/>
                <w:numId w:val="0"/>
              </w:numPr>
              <w:spacing w:line="360" w:lineRule="auto"/>
              <w:rPr>
                <w:rFonts w:hint="eastAsia" w:ascii="宋体" w:hAnsi="宋体" w:cs="宋体"/>
                <w:color w:val="000000"/>
                <w:sz w:val="20"/>
                <w:szCs w:val="20"/>
              </w:rPr>
            </w:pPr>
            <w:r>
              <w:rPr>
                <w:rFonts w:hint="eastAsia" w:ascii="宋体" w:hAnsi="宋体" w:cs="宋体"/>
                <w:color w:val="000000"/>
                <w:sz w:val="20"/>
                <w:szCs w:val="20"/>
                <w:lang w:val="en-US" w:eastAsia="zh-CN"/>
              </w:rPr>
              <w:t>2.1</w:t>
            </w:r>
            <w:r>
              <w:rPr>
                <w:rFonts w:hint="eastAsia" w:ascii="宋体" w:hAnsi="宋体" w:cs="宋体"/>
                <w:color w:val="000000"/>
                <w:sz w:val="20"/>
                <w:szCs w:val="20"/>
              </w:rPr>
              <w:t>投标供应商在签订合同之日起 3天内向采购人提供设备的运行、安装、使用环境要求。</w:t>
            </w:r>
          </w:p>
          <w:p>
            <w:pPr>
              <w:numPr>
                <w:ilvl w:val="0"/>
                <w:numId w:val="0"/>
              </w:numPr>
              <w:spacing w:line="360" w:lineRule="auto"/>
            </w:pPr>
            <w:r>
              <w:rPr>
                <w:rFonts w:hint="eastAsia" w:ascii="宋体" w:hAnsi="宋体" w:cs="宋体"/>
                <w:color w:val="000000"/>
                <w:sz w:val="20"/>
                <w:szCs w:val="20"/>
                <w:lang w:val="en-US" w:eastAsia="zh-CN"/>
              </w:rPr>
              <w:t>2.2供应商应将所有货物按照甲方要求安装、调试，保证能正常使用。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Align w:val="center"/>
          </w:tcPr>
          <w:p>
            <w:pPr>
              <w:spacing w:line="360" w:lineRule="auto"/>
              <w:jc w:val="center"/>
              <w:rPr>
                <w:rFonts w:ascii="宋体" w:hAnsi="宋体" w:cs="宋体"/>
                <w:bCs/>
              </w:rPr>
            </w:pPr>
            <w:r>
              <w:rPr>
                <w:rFonts w:hint="eastAsia" w:ascii="宋体" w:hAnsi="宋体" w:cs="宋体"/>
                <w:bCs/>
              </w:rPr>
              <w:t>3</w:t>
            </w:r>
          </w:p>
        </w:tc>
        <w:tc>
          <w:tcPr>
            <w:tcW w:w="1676" w:type="dxa"/>
            <w:vAlign w:val="center"/>
          </w:tcPr>
          <w:p>
            <w:pPr>
              <w:spacing w:line="360" w:lineRule="auto"/>
              <w:jc w:val="center"/>
              <w:rPr>
                <w:rFonts w:ascii="宋体" w:hAnsi="宋体" w:cs="宋体"/>
                <w:szCs w:val="21"/>
              </w:rPr>
            </w:pPr>
            <w:r>
              <w:rPr>
                <w:rFonts w:hint="eastAsia" w:ascii="宋体" w:hAnsi="宋体" w:cs="宋体"/>
                <w:b/>
                <w:sz w:val="20"/>
                <w:szCs w:val="20"/>
              </w:rPr>
              <w:t>培训</w:t>
            </w:r>
          </w:p>
        </w:tc>
        <w:tc>
          <w:tcPr>
            <w:tcW w:w="6304" w:type="dxa"/>
          </w:tcPr>
          <w:p>
            <w:pPr>
              <w:widowControl/>
              <w:spacing w:line="360" w:lineRule="auto"/>
              <w:jc w:val="left"/>
              <w:rPr>
                <w:rFonts w:ascii="宋体" w:hAnsi="宋体" w:cs="宋体"/>
                <w:bCs/>
              </w:rPr>
            </w:pPr>
            <w:r>
              <w:rPr>
                <w:rFonts w:hint="eastAsia" w:ascii="宋体" w:hAnsi="宋体" w:cs="宋体"/>
                <w:color w:val="000000"/>
                <w:sz w:val="20"/>
                <w:szCs w:val="20"/>
              </w:rPr>
              <w:t>3.1现场培训：投标供应商应提供现场技术培训，保证使用人员正常操作设备的各种功能。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Align w:val="center"/>
          </w:tcPr>
          <w:p>
            <w:pPr>
              <w:spacing w:line="360" w:lineRule="auto"/>
              <w:jc w:val="center"/>
              <w:rPr>
                <w:rFonts w:ascii="宋体" w:hAnsi="宋体" w:cs="宋体"/>
                <w:bCs/>
              </w:rPr>
            </w:pPr>
            <w:r>
              <w:rPr>
                <w:rFonts w:hint="eastAsia" w:ascii="宋体" w:hAnsi="宋体" w:cs="宋体"/>
                <w:b/>
                <w:sz w:val="20"/>
                <w:szCs w:val="20"/>
              </w:rPr>
              <w:t>4</w:t>
            </w:r>
          </w:p>
        </w:tc>
        <w:tc>
          <w:tcPr>
            <w:tcW w:w="1676" w:type="dxa"/>
            <w:vAlign w:val="center"/>
          </w:tcPr>
          <w:p>
            <w:pPr>
              <w:spacing w:line="360" w:lineRule="auto"/>
              <w:jc w:val="center"/>
              <w:rPr>
                <w:rFonts w:ascii="宋体" w:hAnsi="宋体" w:cs="宋体"/>
                <w:szCs w:val="21"/>
              </w:rPr>
            </w:pPr>
            <w:r>
              <w:rPr>
                <w:rFonts w:hint="eastAsia" w:ascii="宋体" w:hAnsi="宋体" w:cs="宋体"/>
                <w:b/>
                <w:sz w:val="20"/>
                <w:szCs w:val="20"/>
              </w:rPr>
              <w:t>知识产权</w:t>
            </w:r>
          </w:p>
        </w:tc>
        <w:tc>
          <w:tcPr>
            <w:tcW w:w="6304" w:type="dxa"/>
          </w:tcPr>
          <w:p>
            <w:pPr>
              <w:spacing w:line="360" w:lineRule="auto"/>
              <w:rPr>
                <w:rFonts w:ascii="宋体" w:hAnsi="宋体" w:cs="宋体"/>
                <w:bCs/>
              </w:rPr>
            </w:pPr>
            <w:r>
              <w:rPr>
                <w:rFonts w:hint="eastAsia" w:ascii="宋体" w:hAnsi="宋体" w:cs="宋体"/>
                <w:color w:val="000000"/>
                <w:sz w:val="20"/>
                <w:szCs w:val="20"/>
              </w:rPr>
              <w:t>采购人购买产品后，有权对该产品与其他设备进行配套、整合或适当改进，而免受侵犯专利权的起诉。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05" w:type="dxa"/>
            <w:vAlign w:val="center"/>
          </w:tcPr>
          <w:p>
            <w:pPr>
              <w:spacing w:line="360" w:lineRule="auto"/>
              <w:jc w:val="center"/>
              <w:rPr>
                <w:rFonts w:ascii="宋体" w:hAnsi="宋体" w:cs="宋体"/>
                <w:bCs/>
              </w:rPr>
            </w:pPr>
            <w:r>
              <w:rPr>
                <w:rFonts w:hint="eastAsia" w:ascii="宋体" w:hAnsi="宋体" w:cs="宋体"/>
                <w:b/>
              </w:rPr>
              <w:t>5</w:t>
            </w:r>
          </w:p>
        </w:tc>
        <w:tc>
          <w:tcPr>
            <w:tcW w:w="1676" w:type="dxa"/>
            <w:vAlign w:val="center"/>
          </w:tcPr>
          <w:p>
            <w:pPr>
              <w:spacing w:line="360" w:lineRule="auto"/>
              <w:jc w:val="center"/>
              <w:rPr>
                <w:rFonts w:ascii="宋体" w:hAnsi="宋体" w:cs="宋体"/>
                <w:szCs w:val="21"/>
              </w:rPr>
            </w:pPr>
            <w:r>
              <w:rPr>
                <w:rFonts w:hint="eastAsia" w:ascii="宋体" w:hAnsi="宋体" w:cs="宋体"/>
                <w:b/>
                <w:color w:val="000000"/>
                <w:sz w:val="20"/>
                <w:szCs w:val="20"/>
              </w:rPr>
              <w:t>其他</w:t>
            </w:r>
          </w:p>
        </w:tc>
        <w:tc>
          <w:tcPr>
            <w:tcW w:w="6304" w:type="dxa"/>
            <w:vAlign w:val="center"/>
          </w:tcPr>
          <w:p>
            <w:pPr>
              <w:spacing w:line="360" w:lineRule="auto"/>
              <w:rPr>
                <w:rFonts w:ascii="宋体" w:hAnsi="宋体" w:cs="宋体"/>
                <w:bCs/>
              </w:rPr>
            </w:pPr>
            <w:r>
              <w:rPr>
                <w:rFonts w:hint="eastAsia" w:ascii="宋体" w:hAnsi="宋体" w:cs="宋体"/>
                <w:color w:val="000000"/>
                <w:sz w:val="20"/>
                <w:szCs w:val="20"/>
              </w:rPr>
              <w:t>投标供应商应按其投标文件中的承诺，进行其他售后服务工作。</w:t>
            </w:r>
          </w:p>
        </w:tc>
      </w:tr>
    </w:tbl>
    <w:p>
      <w:pPr>
        <w:keepNext/>
        <w:keepLines/>
        <w:tabs>
          <w:tab w:val="left" w:pos="1680"/>
        </w:tabs>
        <w:spacing w:before="260" w:after="78" w:afterLines="25"/>
        <w:jc w:val="center"/>
        <w:outlineLvl w:val="2"/>
        <w:rPr>
          <w:rFonts w:ascii="Arial" w:hAnsi="Arial" w:eastAsia="宋体" w:cs="Times New Roman"/>
          <w:b/>
          <w:bCs/>
          <w:sz w:val="32"/>
          <w:szCs w:val="32"/>
        </w:rPr>
      </w:pPr>
      <w:r>
        <w:rPr>
          <w:rFonts w:hint="eastAsia" w:ascii="Arial" w:hAnsi="Arial" w:eastAsia="宋体" w:cs="Times New Roman"/>
          <w:b/>
          <w:bCs/>
          <w:sz w:val="32"/>
          <w:szCs w:val="32"/>
        </w:rPr>
        <w:t>五、技术要求部分</w:t>
      </w:r>
    </w:p>
    <w:p>
      <w:pPr>
        <w:jc w:val="left"/>
        <w:rPr>
          <w:rFonts w:hint="eastAsia" w:ascii="宋体" w:hAnsi="宋体" w:eastAsia="宋体" w:cs="Times New Roman"/>
          <w:b/>
          <w:color w:val="FF0000"/>
          <w:szCs w:val="21"/>
        </w:rPr>
      </w:pPr>
      <w:r>
        <w:rPr>
          <w:rFonts w:hint="eastAsia" w:ascii="宋体" w:hAnsi="宋体" w:cs="宋体"/>
          <w:b/>
          <w:bCs/>
          <w:kern w:val="0"/>
          <w:sz w:val="24"/>
          <w:szCs w:val="24"/>
          <w:lang w:val="en-US" w:eastAsia="zh-CN"/>
        </w:rPr>
        <w:t>1.</w:t>
      </w:r>
      <w:r>
        <w:rPr>
          <w:rFonts w:hint="eastAsia" w:ascii="宋体" w:hAnsi="宋体" w:cs="宋体"/>
          <w:b/>
          <w:bCs/>
          <w:kern w:val="0"/>
          <w:sz w:val="24"/>
          <w:szCs w:val="24"/>
        </w:rPr>
        <w:t>采购技术要求表</w:t>
      </w:r>
    </w:p>
    <w:tbl>
      <w:tblPr>
        <w:tblStyle w:val="1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134"/>
        <w:gridCol w:w="6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17" w:type="dxa"/>
          </w:tcPr>
          <w:p>
            <w:pPr>
              <w:spacing w:line="360" w:lineRule="auto"/>
              <w:jc w:val="center"/>
              <w:rPr>
                <w:rFonts w:ascii="宋体" w:hAnsi="宋体" w:cs="宋体"/>
                <w:color w:val="000000" w:themeColor="text1"/>
                <w:szCs w:val="21"/>
                <w14:textFill>
                  <w14:solidFill>
                    <w14:schemeClr w14:val="tx1"/>
                  </w14:solidFill>
                </w14:textFill>
              </w:rPr>
            </w:pPr>
            <w:bookmarkStart w:id="16" w:name="_Hlk70236148"/>
            <w:r>
              <w:rPr>
                <w:rFonts w:hint="eastAsia" w:ascii="宋体" w:hAnsi="宋体" w:cs="宋体"/>
                <w:color w:val="000000" w:themeColor="text1"/>
                <w:szCs w:val="21"/>
                <w14:textFill>
                  <w14:solidFill>
                    <w14:schemeClr w14:val="tx1"/>
                  </w14:solidFill>
                </w14:textFill>
              </w:rPr>
              <w:t>序号</w:t>
            </w:r>
          </w:p>
        </w:tc>
        <w:tc>
          <w:tcPr>
            <w:tcW w:w="1134" w:type="dxa"/>
          </w:tcPr>
          <w:p>
            <w:pPr>
              <w:widowControl/>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货物名称</w:t>
            </w:r>
          </w:p>
        </w:tc>
        <w:tc>
          <w:tcPr>
            <w:tcW w:w="6521" w:type="dxa"/>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招标技术要求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szCs w:val="21"/>
              </w:rPr>
              <w:t>金属装饰线条</w:t>
            </w:r>
          </w:p>
        </w:tc>
        <w:tc>
          <w:tcPr>
            <w:tcW w:w="6521" w:type="dxa"/>
          </w:tcPr>
          <w:p>
            <w:pPr>
              <w:spacing w:line="360" w:lineRule="auto"/>
              <w:rPr>
                <w:rFonts w:ascii="宋体" w:hAnsi="宋体" w:cs="宋体"/>
                <w:szCs w:val="21"/>
              </w:rPr>
            </w:pPr>
            <w:r>
              <w:rPr>
                <w:rFonts w:hint="eastAsia" w:ascii="宋体" w:hAnsi="宋体" w:cs="宋体"/>
                <w:szCs w:val="21"/>
              </w:rPr>
              <w:t>1.1.</w:t>
            </w:r>
            <w:r>
              <w:rPr>
                <w:rStyle w:val="21"/>
                <w:rFonts w:hint="eastAsia" w:ascii="宋体" w:hAnsi="宋体" w:cs="宋体"/>
                <w:b w:val="0"/>
                <w:bCs w:val="0"/>
                <w:szCs w:val="21"/>
              </w:rPr>
              <w:t>高度范围</w:t>
            </w:r>
            <w:r>
              <w:rPr>
                <w:rFonts w:hint="eastAsia" w:ascii="宋体" w:hAnsi="宋体" w:cs="宋体"/>
                <w:szCs w:val="21"/>
              </w:rPr>
              <w:t>‌</w:t>
            </w:r>
            <w:r>
              <w:rPr>
                <w:rFonts w:hint="eastAsia" w:ascii="宋体" w:hAnsi="宋体" w:cs="宋体"/>
                <w:szCs w:val="21"/>
                <w:shd w:val="clear" w:color="auto" w:fill="FFFFFF"/>
              </w:rPr>
              <w:t>：80-120mm（可定制），安装后与墙面贴合无缝隙‌，</w:t>
            </w:r>
            <w:r>
              <w:rPr>
                <w:rFonts w:hint="eastAsia" w:ascii="宋体" w:hAnsi="宋体" w:cs="宋体"/>
                <w:szCs w:val="21"/>
              </w:rPr>
              <w:t>‌</w:t>
            </w:r>
            <w:r>
              <w:rPr>
                <w:rStyle w:val="21"/>
                <w:rFonts w:hint="eastAsia" w:ascii="宋体" w:hAnsi="宋体" w:cs="宋体"/>
                <w:b w:val="0"/>
                <w:bCs w:val="0"/>
                <w:szCs w:val="21"/>
              </w:rPr>
              <w:t>厚度标准</w:t>
            </w:r>
            <w:r>
              <w:rPr>
                <w:rFonts w:hint="eastAsia" w:ascii="宋体" w:hAnsi="宋体" w:cs="宋体"/>
                <w:szCs w:val="21"/>
              </w:rPr>
              <w:t>‌</w:t>
            </w:r>
            <w:r>
              <w:rPr>
                <w:rFonts w:hint="eastAsia" w:ascii="宋体" w:hAnsi="宋体" w:cs="宋体"/>
                <w:szCs w:val="21"/>
                <w:shd w:val="clear" w:color="auto" w:fill="FFFFFF"/>
              </w:rPr>
              <w:t>：≥1.2mm，折弯处需保持均匀，无毛刺或变形‌，</w:t>
            </w:r>
            <w:r>
              <w:rPr>
                <w:rStyle w:val="21"/>
                <w:rFonts w:hint="eastAsia" w:ascii="宋体" w:hAnsi="宋体" w:cs="宋体"/>
                <w:b w:val="0"/>
                <w:bCs w:val="0"/>
                <w:szCs w:val="21"/>
              </w:rPr>
              <w:t>长度规格</w:t>
            </w:r>
            <w:r>
              <w:rPr>
                <w:rFonts w:hint="eastAsia" w:ascii="宋体" w:hAnsi="宋体" w:cs="宋体"/>
                <w:szCs w:val="21"/>
              </w:rPr>
              <w:t>‌</w:t>
            </w:r>
            <w:r>
              <w:rPr>
                <w:rFonts w:hint="eastAsia" w:ascii="宋体" w:hAnsi="宋体" w:cs="宋体"/>
                <w:szCs w:val="21"/>
                <w:shd w:val="clear" w:color="auto" w:fill="FFFFFF"/>
              </w:rPr>
              <w:t>：标准单根长度2.4m，拼接误差≤1mm/延米。‌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1.2.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：铝合金或不锈钢材质，表面防锈处理，符合GB/T 5237-2017标准。‌‌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1134"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1.3.</w:t>
            </w:r>
            <w:r>
              <w:rPr>
                <w:rStyle w:val="21"/>
                <w:rFonts w:hint="eastAsia" w:ascii="宋体" w:hAnsi="宋体" w:cs="宋体"/>
                <w:b w:val="0"/>
                <w:bCs w:val="0"/>
                <w:szCs w:val="21"/>
              </w:rPr>
              <w:t>涂层工艺</w:t>
            </w:r>
            <w:r>
              <w:rPr>
                <w:rFonts w:hint="eastAsia" w:ascii="宋体" w:hAnsi="宋体" w:cs="宋体"/>
                <w:szCs w:val="21"/>
              </w:rPr>
              <w:t>‌</w:t>
            </w:r>
            <w:r>
              <w:rPr>
                <w:rFonts w:hint="eastAsia" w:ascii="宋体" w:hAnsi="宋体" w:cs="宋体"/>
                <w:szCs w:val="21"/>
                <w:shd w:val="clear" w:color="auto" w:fill="FFFFFF"/>
              </w:rPr>
              <w:t>：静电粉末喷涂或氟碳喷涂，附着力≥2级（划格法），耐盐雾性≥1000小时。‌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17"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1134"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1.4.</w:t>
            </w:r>
            <w:r>
              <w:rPr>
                <w:rStyle w:val="21"/>
                <w:rFonts w:hint="eastAsia" w:ascii="宋体" w:hAnsi="宋体" w:cs="宋体"/>
                <w:b w:val="0"/>
                <w:bCs w:val="0"/>
                <w:szCs w:val="21"/>
              </w:rPr>
              <w:t>配件</w:t>
            </w:r>
            <w:r>
              <w:rPr>
                <w:rFonts w:hint="eastAsia" w:ascii="宋体" w:hAnsi="宋体" w:cs="宋体"/>
                <w:szCs w:val="21"/>
              </w:rPr>
              <w:t>‌</w:t>
            </w:r>
            <w:r>
              <w:rPr>
                <w:rFonts w:hint="eastAsia" w:ascii="宋体" w:hAnsi="宋体" w:cs="宋体"/>
                <w:szCs w:val="21"/>
                <w:shd w:val="clear" w:color="auto" w:fill="FFFFFF"/>
              </w:rPr>
              <w:t>：固定卡扣需为同材质，螺丝钉需镀锌防锈处理。‌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szCs w:val="21"/>
              </w:rPr>
              <w:t>功能性地垫</w:t>
            </w:r>
          </w:p>
        </w:tc>
        <w:tc>
          <w:tcPr>
            <w:tcW w:w="6521" w:type="dxa"/>
          </w:tcPr>
          <w:p>
            <w:pPr>
              <w:spacing w:line="360" w:lineRule="auto"/>
              <w:rPr>
                <w:rFonts w:ascii="宋体" w:hAnsi="宋体" w:cs="宋体"/>
                <w:szCs w:val="21"/>
              </w:rPr>
            </w:pPr>
            <w:r>
              <w:rPr>
                <w:rFonts w:hint="eastAsia" w:ascii="宋体" w:hAnsi="宋体" w:cs="宋体"/>
                <w:szCs w:val="21"/>
              </w:rPr>
              <w:t>2.1.</w:t>
            </w:r>
            <w:r>
              <w:rPr>
                <w:rFonts w:hint="eastAsia" w:ascii="宋体" w:hAnsi="宋体" w:cs="宋体"/>
                <w:szCs w:val="21"/>
                <w:shd w:val="clear" w:color="auto" w:fill="FFFFFF"/>
              </w:rPr>
              <w:t>基材：采用多层复合结构（耐磨层/印刷层/玻璃纤维层/发泡缓冲层），主料为聚氯乙烯树脂（占比≥65%）及碳酸钙填料（占比25%-30%）‌。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2.2.</w:t>
            </w:r>
            <w:r>
              <w:rPr>
                <w:rFonts w:hint="eastAsia" w:ascii="宋体" w:hAnsi="宋体" w:cs="宋体"/>
                <w:szCs w:val="21"/>
                <w:shd w:val="clear" w:color="auto" w:fill="FFFFFF"/>
              </w:rPr>
              <w:t>增塑剂：环保型DINCH（环己烷二羧酸酯）或DOTP（对苯二甲酸二辛酯），含量≤12%‌。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2.3.稳定剂：钙锌复合稳定剂（无铅配方）‌。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2.4.表面耐磨层材质：纯聚氨酯（PU）涂层或透明PVC耐磨层，厚度≥0.3mm，耐磨等级：≥T级。‌</w:t>
            </w:r>
            <w:r>
              <w:rPr>
                <w:rFonts w:hint="eastAsia" w:ascii="宋体" w:hAnsi="宋体" w:cs="宋体"/>
                <w:szCs w:val="21"/>
                <w:shd w:val="clear" w:color="auto" w:fill="FFFFFF"/>
              </w:rPr>
              <w:t>耐磨层耐擦洗≥20000次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2.5.甲醛释放量：≤0.05mg/m³，符合：GB/T 18102-2020标准。燃烧等级：B1级‌，符合GB 8624-2012标准。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3</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石膏板</w:t>
            </w:r>
          </w:p>
        </w:tc>
        <w:tc>
          <w:tcPr>
            <w:tcW w:w="6521" w:type="dxa"/>
          </w:tcPr>
          <w:p>
            <w:pPr>
              <w:spacing w:line="360" w:lineRule="auto"/>
              <w:rPr>
                <w:rFonts w:ascii="宋体" w:hAnsi="宋体" w:cs="宋体"/>
                <w:szCs w:val="21"/>
              </w:rPr>
            </w:pPr>
            <w:r>
              <w:rPr>
                <w:rFonts w:hint="eastAsia" w:ascii="宋体" w:hAnsi="宋体" w:cs="宋体"/>
                <w:szCs w:val="21"/>
              </w:rPr>
              <w:t>3.1.厚度12mm±3mm。主料‌</w:t>
            </w:r>
            <w:r>
              <w:rPr>
                <w:rFonts w:hint="eastAsia" w:ascii="宋体" w:hAnsi="宋体" w:cs="宋体"/>
                <w:szCs w:val="21"/>
                <w:shd w:val="clear" w:color="auto" w:fill="FFFFFF"/>
              </w:rPr>
              <w:t>：建筑石膏（占比≥85%），包含二水硫酸钙（高温煅烧后的半水石膏），辅料：掺入玻璃纤维或植物纤维（占比≤3%），用于增强抗裂性及结构稳定性‌‌‌。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1134"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3.2.</w:t>
            </w:r>
            <w:r>
              <w:rPr>
                <w:rStyle w:val="21"/>
                <w:rFonts w:hint="eastAsia" w:ascii="宋体" w:hAnsi="宋体" w:cs="宋体"/>
                <w:b w:val="0"/>
                <w:bCs w:val="0"/>
                <w:szCs w:val="21"/>
              </w:rPr>
              <w:t>护面材料</w:t>
            </w:r>
            <w:r>
              <w:rPr>
                <w:rFonts w:hint="eastAsia" w:ascii="宋体" w:hAnsi="宋体" w:cs="宋体"/>
                <w:szCs w:val="21"/>
              </w:rPr>
              <w:t>‌</w:t>
            </w:r>
            <w:r>
              <w:rPr>
                <w:rFonts w:hint="eastAsia" w:ascii="宋体" w:hAnsi="宋体" w:cs="宋体"/>
                <w:szCs w:val="21"/>
                <w:shd w:val="clear" w:color="auto" w:fill="FFFFFF"/>
              </w:rPr>
              <w:t>：高强度护面纸：采用防潮纸面（经硅油或氟碳涂层处理），克重≥110g/m²，湿强度≥0.15MPa‌‌。护面纸与石膏芯粘接力≥1.5N/mm²‌。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1134"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3.3.添加剂：防潮剂：添加有机硅类疏水剂，降低吸水率（湿涨率≤0.015%），阻燃剂：含硼酸盐或氢氧化铝，达到B1级燃烧标准，发泡剂：轻质微孔结构，提升板材隔热性能。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1134" w:type="dxa"/>
            <w:vMerge w:val="continue"/>
          </w:tcPr>
          <w:p>
            <w:pPr>
              <w:spacing w:line="360" w:lineRule="auto"/>
              <w:jc w:val="center"/>
              <w:rPr>
                <w:rFonts w:ascii="宋体" w:hAnsi="宋体" w:cs="宋体"/>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3.4.无石棉、无甲醛，符合室内装饰材料环保标准（GB 18582-2020）。‌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4</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szCs w:val="21"/>
              </w:rPr>
              <w:t>金属条</w:t>
            </w:r>
          </w:p>
        </w:tc>
        <w:tc>
          <w:tcPr>
            <w:tcW w:w="6521" w:type="dxa"/>
          </w:tcPr>
          <w:p>
            <w:pPr>
              <w:spacing w:line="360" w:lineRule="auto"/>
              <w:rPr>
                <w:rFonts w:ascii="宋体" w:hAnsi="宋体" w:cs="宋体"/>
                <w:szCs w:val="21"/>
              </w:rPr>
            </w:pPr>
            <w:r>
              <w:rPr>
                <w:rFonts w:hint="eastAsia" w:ascii="宋体" w:hAnsi="宋体" w:cs="宋体"/>
                <w:szCs w:val="21"/>
              </w:rPr>
              <w:t>4.1.</w:t>
            </w:r>
            <w:r>
              <w:rPr>
                <w:rStyle w:val="21"/>
                <w:rFonts w:hint="eastAsia" w:ascii="宋体" w:hAnsi="宋体" w:cs="宋体"/>
                <w:b w:val="0"/>
                <w:bCs w:val="0"/>
                <w:szCs w:val="21"/>
              </w:rPr>
              <w:t>铝格栅材质</w:t>
            </w:r>
            <w:r>
              <w:rPr>
                <w:rFonts w:hint="eastAsia" w:ascii="宋体" w:hAnsi="宋体" w:cs="宋体"/>
                <w:szCs w:val="21"/>
              </w:rPr>
              <w:t>‌</w:t>
            </w:r>
            <w:r>
              <w:rPr>
                <w:rFonts w:hint="eastAsia" w:ascii="宋体" w:hAnsi="宋体" w:cs="宋体"/>
                <w:szCs w:val="21"/>
                <w:shd w:val="clear" w:color="auto" w:fill="FFFFFF"/>
              </w:rPr>
              <w:t>：铝合金主材占比≥90%，辅以镁、锰等元素提升机械性能，符合6系铝合金标准（抗拉强度≥160MPa）‌。‌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4.2.表面处理：涂层工艺‌：氟碳喷涂或粉末喷涂，增强耐候性与装饰性</w:t>
            </w:r>
            <w:r>
              <w:rPr>
                <w:rFonts w:hint="eastAsia" w:ascii="宋体" w:hAnsi="宋体" w:cs="宋体"/>
                <w:szCs w:val="21"/>
                <w:shd w:val="clear" w:color="auto" w:fill="FFFFFF"/>
              </w:rPr>
              <w:t>，降低吸水率。‌‌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4.3.</w:t>
            </w:r>
            <w:r>
              <w:rPr>
                <w:rFonts w:hint="eastAsia" w:ascii="宋体" w:hAnsi="宋体" w:cs="宋体"/>
                <w:szCs w:val="21"/>
                <w:shd w:val="clear" w:color="auto" w:fill="FFFFFF"/>
              </w:rPr>
              <w:t>无铅、无甲醛，符合GB 18582-2020环保标准，含硼酸盐或氢氧化铝添加剂，燃烧等级≥B1级‌‌。‌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5</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透光软膜</w:t>
            </w:r>
          </w:p>
        </w:tc>
        <w:tc>
          <w:tcPr>
            <w:tcW w:w="6521" w:type="dxa"/>
          </w:tcPr>
          <w:p>
            <w:pPr>
              <w:spacing w:line="360" w:lineRule="auto"/>
              <w:rPr>
                <w:rFonts w:ascii="宋体" w:hAnsi="宋体" w:cs="宋体"/>
                <w:szCs w:val="21"/>
              </w:rPr>
            </w:pPr>
            <w:r>
              <w:rPr>
                <w:rFonts w:hint="eastAsia" w:ascii="宋体" w:hAnsi="宋体" w:cs="宋体"/>
                <w:szCs w:val="21"/>
              </w:rPr>
              <w:t>5.1.厚度：0.20-0.25mm±0.02mm。</w:t>
            </w:r>
            <w:r>
              <w:rPr>
                <w:rStyle w:val="21"/>
                <w:rFonts w:hint="eastAsia" w:ascii="宋体" w:hAnsi="宋体" w:cs="宋体"/>
                <w:b w:val="0"/>
                <w:bCs w:val="0"/>
                <w:szCs w:val="21"/>
              </w:rPr>
              <w:t>基材‌：特殊处理的玻璃纤维无纺布（增强结构稳定性）与特殊氟树脂（提升耐候性）复合而成，不含聚氯乙烯（PVC），透光率75%-80%。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5.2.防潮涂层：表面覆盖硅油或氟碳涂层，降低吸水率并增强抗污性</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5.3.</w:t>
            </w:r>
            <w:r>
              <w:rPr>
                <w:rFonts w:hint="eastAsia" w:ascii="宋体" w:hAnsi="宋体" w:cs="宋体"/>
                <w:szCs w:val="21"/>
                <w:shd w:val="clear" w:color="auto" w:fill="FFFFFF"/>
              </w:rPr>
              <w:t>阻燃剂：含无机阻燃成分（如氢氧化铝），满足B1级标准‌‌。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6</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szCs w:val="21"/>
              </w:rPr>
              <w:t>弧形铝板</w:t>
            </w:r>
          </w:p>
        </w:tc>
        <w:tc>
          <w:tcPr>
            <w:tcW w:w="6521" w:type="dxa"/>
          </w:tcPr>
          <w:p>
            <w:pPr>
              <w:spacing w:line="360" w:lineRule="auto"/>
              <w:rPr>
                <w:rFonts w:ascii="宋体" w:hAnsi="宋体" w:cs="宋体"/>
                <w:szCs w:val="21"/>
                <w:shd w:val="clear" w:color="auto" w:fill="FFFFFF"/>
              </w:rPr>
            </w:pPr>
            <w:r>
              <w:rPr>
                <w:rFonts w:hint="eastAsia" w:ascii="宋体" w:hAnsi="宋体" w:cs="宋体"/>
                <w:szCs w:val="21"/>
              </w:rPr>
              <w:t>6.1.</w:t>
            </w:r>
            <w:r>
              <w:rPr>
                <w:rStyle w:val="21"/>
                <w:rFonts w:hint="eastAsia" w:ascii="宋体" w:hAnsi="宋体" w:cs="宋体"/>
                <w:b w:val="0"/>
                <w:bCs w:val="0"/>
                <w:szCs w:val="21"/>
              </w:rPr>
              <w:t>铝板基材</w:t>
            </w:r>
            <w:r>
              <w:rPr>
                <w:rFonts w:hint="eastAsia" w:ascii="宋体" w:hAnsi="宋体" w:cs="宋体"/>
                <w:szCs w:val="21"/>
              </w:rPr>
              <w:t>‌</w:t>
            </w:r>
            <w:r>
              <w:rPr>
                <w:rFonts w:hint="eastAsia" w:ascii="宋体" w:hAnsi="宋体" w:cs="宋体"/>
                <w:szCs w:val="21"/>
                <w:shd w:val="clear" w:color="auto" w:fill="FFFFFF"/>
              </w:rPr>
              <w:t>：采用铝合金，定制弧形，弧长2800mm-3200mm，直径1100mm-1200mm，厚度≥2.0mm，铝含量≥90%，辅以镁、锰等元素提升机械性能，符合‌GB/T 3880-2012‌标准‌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6.2.</w:t>
            </w:r>
            <w:r>
              <w:rPr>
                <w:rFonts w:hint="eastAsia" w:ascii="宋体" w:hAnsi="宋体" w:cs="宋体"/>
                <w:szCs w:val="21"/>
                <w:shd w:val="clear" w:color="auto" w:fill="FFFFFF"/>
              </w:rPr>
              <w:t>表面处理为氟碳漆喷涂或粉末静电喷涂，颜色可定制并提供色板确认。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6.3.无甲醛、无石棉，符合‌GB 18582-2020‌室内环保标准</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6.4.</w:t>
            </w:r>
            <w:r>
              <w:rPr>
                <w:rFonts w:hint="eastAsia" w:ascii="宋体" w:hAnsi="宋体" w:cs="宋体"/>
                <w:szCs w:val="21"/>
                <w:shd w:val="clear" w:color="auto" w:fill="FFFFFF"/>
              </w:rPr>
              <w:t>添加无机阻燃剂（如氢氧化铝），燃烧等级≥B1级。‌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6.5.</w:t>
            </w:r>
            <w:r>
              <w:rPr>
                <w:rFonts w:hint="eastAsia" w:ascii="宋体" w:hAnsi="宋体" w:cs="宋体"/>
                <w:szCs w:val="21"/>
                <w:shd w:val="clear" w:color="auto" w:fill="FFFFFF"/>
              </w:rPr>
              <w:t>结构与工艺：面板与加强筋通过电焊螺钉或铆接角码连接，提升整体刚性及抗风抗震能力‌。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7</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防火板</w:t>
            </w:r>
          </w:p>
        </w:tc>
        <w:tc>
          <w:tcPr>
            <w:tcW w:w="6521" w:type="dxa"/>
          </w:tcPr>
          <w:p>
            <w:pPr>
              <w:spacing w:line="360" w:lineRule="auto"/>
              <w:rPr>
                <w:rFonts w:ascii="宋体" w:hAnsi="宋体" w:cs="宋体"/>
                <w:szCs w:val="21"/>
              </w:rPr>
            </w:pPr>
            <w:r>
              <w:rPr>
                <w:rFonts w:hint="eastAsia" w:ascii="宋体" w:hAnsi="宋体" w:cs="宋体"/>
                <w:szCs w:val="21"/>
              </w:rPr>
              <w:t>7.1.‌</w:t>
            </w:r>
            <w:r>
              <w:rPr>
                <w:rStyle w:val="21"/>
                <w:rFonts w:hint="eastAsia" w:ascii="宋体" w:hAnsi="宋体" w:cs="宋体"/>
                <w:b w:val="0"/>
                <w:bCs w:val="0"/>
                <w:szCs w:val="21"/>
              </w:rPr>
              <w:t>板材类型</w:t>
            </w:r>
            <w:r>
              <w:rPr>
                <w:rFonts w:hint="eastAsia" w:ascii="宋体" w:hAnsi="宋体" w:cs="宋体"/>
                <w:szCs w:val="21"/>
              </w:rPr>
              <w:t>‌</w:t>
            </w:r>
            <w:r>
              <w:rPr>
                <w:rFonts w:hint="eastAsia" w:ascii="宋体" w:hAnsi="宋体" w:cs="宋体"/>
                <w:szCs w:val="21"/>
                <w:shd w:val="clear" w:color="auto" w:fill="FFFFFF"/>
              </w:rPr>
              <w:t>：采用防火板（厚度9mm±0.1mm），表面平整无翘曲，符合GB/T 9846-2015标准。‌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7.2.</w:t>
            </w:r>
            <w:r>
              <w:rPr>
                <w:rStyle w:val="21"/>
                <w:rFonts w:hint="eastAsia" w:ascii="宋体" w:hAnsi="宋体" w:cs="宋体"/>
                <w:b w:val="0"/>
                <w:bCs w:val="0"/>
                <w:szCs w:val="21"/>
              </w:rPr>
              <w:t>板件尺寸</w:t>
            </w:r>
            <w:r>
              <w:rPr>
                <w:rFonts w:hint="eastAsia" w:ascii="宋体" w:hAnsi="宋体" w:cs="宋体"/>
                <w:szCs w:val="21"/>
              </w:rPr>
              <w:t>‌</w:t>
            </w:r>
            <w:r>
              <w:rPr>
                <w:rFonts w:hint="eastAsia" w:ascii="宋体" w:hAnsi="宋体" w:cs="宋体"/>
                <w:szCs w:val="21"/>
                <w:shd w:val="clear" w:color="auto" w:fill="FFFFFF"/>
              </w:rPr>
              <w:t>：单板规格≤1220mm×2440mm，接缝处需错缝拼接，缝隙≤3mm，阻燃等级≥B1级‌。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7.3.耐酸性≥350小时，耐碱性≥358小时，湿涨率≤0.16%‌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7.4.环保性‌：甲醛释放量≤0.5mg/L（E0级），符合‌GB 18582-2020‌标准。‌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7.5.表面处理‌：支持贴木皮、喷涂、镂刻等二次加工，吸水膨胀率低。‌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8</w:t>
            </w:r>
          </w:p>
        </w:tc>
        <w:tc>
          <w:tcPr>
            <w:tcW w:w="1134" w:type="dxa"/>
            <w:vMerge w:val="restart"/>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szCs w:val="21"/>
              </w:rPr>
              <w:t>亚克力广告字</w:t>
            </w:r>
          </w:p>
        </w:tc>
        <w:tc>
          <w:tcPr>
            <w:tcW w:w="6521" w:type="dxa"/>
          </w:tcPr>
          <w:p>
            <w:pPr>
              <w:spacing w:line="360" w:lineRule="auto"/>
              <w:rPr>
                <w:rFonts w:ascii="宋体" w:hAnsi="宋体" w:cs="宋体"/>
                <w:szCs w:val="21"/>
              </w:rPr>
            </w:pPr>
            <w:r>
              <w:rPr>
                <w:rFonts w:hint="eastAsia" w:ascii="宋体" w:hAnsi="宋体" w:cs="宋体"/>
                <w:szCs w:val="21"/>
              </w:rPr>
              <w:t>8.1.基材：亚克力板，厚度：8-12mm，高度：200-250mm，透光率≥92%，密度1.19g/cm‌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8.2.透光均匀，表面光滑，有抗紫外线涂层‌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8.3.工艺要求：亚克力字采用激光切割，边缘光滑无毛刺，切割精度误差≤0.5mm。多层亚克力字拼接处需采用无缝拼接技术，确保接缝平整、无缝隙。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8.4.安装要求：安装位置需符合设计要求，确保亚克力字居中、水平。安装后无缝隙。电源接线规范，接地可靠，无裸露线头。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8.5.环保要求：所有材料需符合国家环保标准，提供相关检测报告(如RoHS认证)。亚克力板材需符合《聚甲基丙烯酸甲酯(PMMA)板材》(GB/T 7134-2008)标准。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9</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bCs/>
                <w:szCs w:val="21"/>
              </w:rPr>
              <w:t>广告展板</w:t>
            </w:r>
          </w:p>
        </w:tc>
        <w:tc>
          <w:tcPr>
            <w:tcW w:w="6521" w:type="dxa"/>
          </w:tcPr>
          <w:p>
            <w:pPr>
              <w:spacing w:line="360" w:lineRule="auto"/>
              <w:rPr>
                <w:rFonts w:ascii="宋体" w:hAnsi="宋体" w:cs="宋体"/>
                <w:szCs w:val="21"/>
              </w:rPr>
            </w:pPr>
            <w:r>
              <w:rPr>
                <w:rFonts w:hint="eastAsia" w:ascii="宋体" w:hAnsi="宋体" w:cs="宋体"/>
                <w:szCs w:val="21"/>
              </w:rPr>
              <w:t>9.1.厚度0.2-0.5mm，</w:t>
            </w:r>
            <w:r>
              <w:rPr>
                <w:rFonts w:hint="eastAsia" w:ascii="宋体" w:hAnsi="宋体" w:cs="宋体"/>
                <w:szCs w:val="21"/>
                <w:shd w:val="clear" w:color="auto" w:fill="FFFFFF"/>
              </w:rPr>
              <w:t>主材成分‌：聚氯乙烯（PVC）树脂，密度1.35-1.43g/cm³，透光率≥92%‌。含光稳定剂、增塑剂、阻燃剂及防霉剂‌。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9.2.</w:t>
            </w:r>
            <w:r>
              <w:rPr>
                <w:rStyle w:val="21"/>
                <w:rFonts w:hint="eastAsia" w:ascii="宋体" w:hAnsi="宋体" w:cs="宋体"/>
                <w:b w:val="0"/>
                <w:bCs w:val="0"/>
                <w:szCs w:val="21"/>
              </w:rPr>
              <w:t>抗紫外线老化，透光率年衰减≤5%，拉伸强度≥30MPa，断裂伸长率≥250%，抗撕裂强度≥40N/mm‌‌</w:t>
            </w:r>
            <w:r>
              <w:rPr>
                <w:rFonts w:hint="eastAsia" w:ascii="宋体" w:hAnsi="宋体" w:cs="宋体"/>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9.3.</w:t>
            </w:r>
            <w:r>
              <w:rPr>
                <w:rStyle w:val="21"/>
                <w:rFonts w:hint="eastAsia" w:ascii="宋体" w:hAnsi="宋体" w:cs="宋体"/>
                <w:b w:val="0"/>
                <w:bCs w:val="0"/>
                <w:szCs w:val="21"/>
              </w:rPr>
              <w:t>表面特性：自洁性‌：表面疏水处理，雨水冲刷可清除80%以上污渍‌</w:t>
            </w:r>
            <w:r>
              <w:rPr>
                <w:rFonts w:hint="eastAsia" w:ascii="宋体" w:hAnsi="宋体" w:cs="宋体"/>
                <w:szCs w:val="21"/>
                <w:shd w:val="clear" w:color="auto" w:fill="FFFFFF"/>
              </w:rPr>
              <w:t>‌。透射光均匀漫射，无眩光，反射率≥85%。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9.4.切割误差≤0.1mm，适用于复杂镂空设计‌，热收缩率≤0.5%（70℃环境），确保长期使用不变形。‌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9.5.安装工艺：广告主体结构安装牢固，无倾斜、无松动。饰面材料拼接处需平整、无缝隙，接缝处需进行精细处理。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9.6.环保要求：所有材料需符合国家环保标准，施工过程中使用的胶水、涂料等需为环保型，无毒无害，符合国家相关标准。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10</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灯盘</w:t>
            </w:r>
          </w:p>
        </w:tc>
        <w:tc>
          <w:tcPr>
            <w:tcW w:w="6521" w:type="dxa"/>
          </w:tcPr>
          <w:p>
            <w:pPr>
              <w:spacing w:line="360" w:lineRule="auto"/>
              <w:rPr>
                <w:rFonts w:ascii="宋体" w:hAnsi="宋体" w:cs="宋体"/>
                <w:szCs w:val="21"/>
              </w:rPr>
            </w:pPr>
            <w:r>
              <w:rPr>
                <w:rFonts w:hint="eastAsia" w:ascii="宋体" w:hAnsi="宋体" w:cs="宋体"/>
                <w:szCs w:val="21"/>
              </w:rPr>
              <w:t>10.1.规格：</w:t>
            </w:r>
            <w:r>
              <w:rPr>
                <w:rFonts w:hint="eastAsia" w:ascii="宋体" w:hAnsi="宋体" w:cs="宋体"/>
                <w:bCs/>
                <w:szCs w:val="21"/>
              </w:rPr>
              <w:t>300mm*1200m±2mm，</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：灯盘主体采用铝合金或高强度PC材质，厚度≥1.5mm，表面粉末喷涂/阳极氧化处理，防火等级≥B1级（GB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10.2.</w:t>
            </w:r>
            <w:r>
              <w:rPr>
                <w:rStyle w:val="21"/>
                <w:rFonts w:hint="eastAsia" w:ascii="宋体" w:hAnsi="宋体" w:cs="宋体"/>
                <w:b w:val="0"/>
                <w:bCs w:val="0"/>
                <w:szCs w:val="21"/>
              </w:rPr>
              <w:t>光源</w:t>
            </w:r>
            <w:r>
              <w:rPr>
                <w:rFonts w:hint="eastAsia" w:ascii="宋体" w:hAnsi="宋体" w:cs="宋体"/>
                <w:szCs w:val="21"/>
              </w:rPr>
              <w:t>‌</w:t>
            </w:r>
            <w:r>
              <w:rPr>
                <w:rFonts w:hint="eastAsia" w:ascii="宋体" w:hAnsi="宋体" w:cs="宋体"/>
                <w:szCs w:val="21"/>
                <w:shd w:val="clear" w:color="auto" w:fill="FFFFFF"/>
              </w:rPr>
              <w:t>：LED模组（功率≤18W/㎡），光效≥100lm/W，色温可调（2700K-6500K），显色指数Ra≥80‌。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10.3.</w:t>
            </w:r>
            <w:r>
              <w:rPr>
                <w:rStyle w:val="21"/>
                <w:rFonts w:hint="eastAsia" w:ascii="宋体" w:hAnsi="宋体" w:cs="宋体"/>
                <w:b w:val="0"/>
                <w:bCs w:val="0"/>
                <w:szCs w:val="21"/>
              </w:rPr>
              <w:t>固定方式</w:t>
            </w:r>
            <w:r>
              <w:rPr>
                <w:rFonts w:hint="eastAsia" w:ascii="宋体" w:hAnsi="宋体" w:cs="宋体"/>
                <w:szCs w:val="21"/>
              </w:rPr>
              <w:t>‌</w:t>
            </w:r>
            <w:r>
              <w:rPr>
                <w:rFonts w:hint="eastAsia" w:ascii="宋体" w:hAnsi="宋体" w:cs="宋体"/>
                <w:szCs w:val="21"/>
                <w:shd w:val="clear" w:color="auto" w:fill="FFFFFF"/>
              </w:rPr>
              <w:t>：采用Φ8mm镀锌吊杆（间距≤1200mm）或镜钉固定，吊杆与喷淋间距≥200mm‌。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10.4.</w:t>
            </w:r>
            <w:r>
              <w:rPr>
                <w:rStyle w:val="21"/>
                <w:rFonts w:hint="eastAsia" w:ascii="宋体" w:hAnsi="宋体" w:cs="宋体"/>
                <w:b w:val="0"/>
                <w:bCs w:val="0"/>
                <w:szCs w:val="21"/>
              </w:rPr>
              <w:t>接线要求</w:t>
            </w:r>
            <w:r>
              <w:rPr>
                <w:rFonts w:hint="eastAsia" w:ascii="宋体" w:hAnsi="宋体" w:cs="宋体"/>
                <w:szCs w:val="21"/>
              </w:rPr>
              <w:t>‌</w:t>
            </w:r>
            <w:r>
              <w:rPr>
                <w:rFonts w:hint="eastAsia" w:ascii="宋体" w:hAnsi="宋体" w:cs="宋体"/>
                <w:szCs w:val="21"/>
                <w:shd w:val="clear" w:color="auto" w:fill="FFFFFF"/>
              </w:rPr>
              <w:t>：灯盘内预留接线盒，电源线采用RVV 3×1.5mm²，接头绝缘密封处理‌。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10.5.</w:t>
            </w:r>
            <w:r>
              <w:rPr>
                <w:rStyle w:val="21"/>
                <w:rFonts w:hint="eastAsia" w:ascii="宋体" w:hAnsi="宋体" w:cs="宋体"/>
                <w:b w:val="0"/>
                <w:bCs w:val="0"/>
                <w:szCs w:val="21"/>
              </w:rPr>
              <w:t>平整度</w:t>
            </w:r>
            <w:r>
              <w:rPr>
                <w:rFonts w:hint="eastAsia" w:ascii="宋体" w:hAnsi="宋体" w:cs="宋体"/>
                <w:szCs w:val="21"/>
              </w:rPr>
              <w:t>‌</w:t>
            </w:r>
            <w:r>
              <w:rPr>
                <w:rFonts w:hint="eastAsia" w:ascii="宋体" w:hAnsi="宋体" w:cs="宋体"/>
                <w:szCs w:val="21"/>
                <w:shd w:val="clear" w:color="auto" w:fill="FFFFFF"/>
              </w:rPr>
              <w:t>：整体误差≤2mm/2m，灯光侧照无阴影‌，</w:t>
            </w:r>
            <w:r>
              <w:rPr>
                <w:rStyle w:val="21"/>
                <w:rFonts w:hint="eastAsia" w:ascii="宋体" w:hAnsi="宋体" w:cs="宋体"/>
                <w:b w:val="0"/>
                <w:bCs w:val="0"/>
                <w:szCs w:val="21"/>
              </w:rPr>
              <w:t>垂直度</w:t>
            </w:r>
            <w:r>
              <w:rPr>
                <w:rFonts w:hint="eastAsia" w:ascii="宋体" w:hAnsi="宋体" w:cs="宋体"/>
                <w:szCs w:val="21"/>
              </w:rPr>
              <w:t>‌</w:t>
            </w:r>
            <w:r>
              <w:rPr>
                <w:rFonts w:hint="eastAsia" w:ascii="宋体" w:hAnsi="宋体" w:cs="宋体"/>
                <w:szCs w:val="21"/>
                <w:shd w:val="clear" w:color="auto" w:fill="FFFFFF"/>
              </w:rPr>
              <w:t>：灯盘与天花垂直偏差≤1.5%‌，</w:t>
            </w:r>
            <w:r>
              <w:rPr>
                <w:rStyle w:val="21"/>
                <w:rFonts w:hint="eastAsia" w:ascii="宋体" w:hAnsi="宋体" w:cs="宋体"/>
                <w:b w:val="0"/>
                <w:bCs w:val="0"/>
                <w:szCs w:val="21"/>
              </w:rPr>
              <w:t>承重测试</w:t>
            </w:r>
            <w:r>
              <w:rPr>
                <w:rFonts w:hint="eastAsia" w:ascii="宋体" w:hAnsi="宋体" w:cs="宋体"/>
                <w:szCs w:val="21"/>
              </w:rPr>
              <w:t>‌</w:t>
            </w:r>
            <w:r>
              <w:rPr>
                <w:rFonts w:hint="eastAsia" w:ascii="宋体" w:hAnsi="宋体" w:cs="宋体"/>
                <w:szCs w:val="21"/>
                <w:shd w:val="clear" w:color="auto" w:fill="FFFFFF"/>
              </w:rPr>
              <w:t>：静态荷载≥50kg/m²，无变形、异响‌。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线条灯</w:t>
            </w:r>
          </w:p>
        </w:tc>
        <w:tc>
          <w:tcPr>
            <w:tcW w:w="6521" w:type="dxa"/>
          </w:tcPr>
          <w:p>
            <w:pPr>
              <w:spacing w:line="360" w:lineRule="auto"/>
              <w:rPr>
                <w:rFonts w:ascii="宋体" w:hAnsi="宋体" w:cs="宋体"/>
                <w:szCs w:val="21"/>
              </w:rPr>
            </w:pPr>
            <w:r>
              <w:rPr>
                <w:rFonts w:hint="eastAsia" w:ascii="宋体" w:hAnsi="宋体" w:cs="宋体"/>
                <w:szCs w:val="21"/>
              </w:rPr>
              <w:t>11.1.</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：采用铝合金或高强度PC材质，表面粉末喷涂/阳极氧化处理，防火等级≥B1级（GB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11.2.</w:t>
            </w:r>
            <w:r>
              <w:rPr>
                <w:rStyle w:val="21"/>
                <w:rFonts w:hint="eastAsia" w:ascii="宋体" w:hAnsi="宋体" w:cs="宋体"/>
                <w:b w:val="0"/>
                <w:bCs w:val="0"/>
                <w:szCs w:val="21"/>
              </w:rPr>
              <w:t>光源</w:t>
            </w:r>
            <w:r>
              <w:rPr>
                <w:rFonts w:hint="eastAsia" w:ascii="宋体" w:hAnsi="宋体" w:cs="宋体"/>
                <w:szCs w:val="21"/>
              </w:rPr>
              <w:t>‌</w:t>
            </w:r>
            <w:r>
              <w:rPr>
                <w:rFonts w:hint="eastAsia" w:ascii="宋体" w:hAnsi="宋体" w:cs="宋体"/>
                <w:szCs w:val="21"/>
                <w:shd w:val="clear" w:color="auto" w:fill="FFFFFF"/>
              </w:rPr>
              <w:t>：LED模组（单灯功率≤12W），光效≥90lm/W，色温可调（2700K-6500K），显色指数Ra≥80‌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11.3.</w:t>
            </w:r>
            <w:r>
              <w:rPr>
                <w:rStyle w:val="21"/>
                <w:rFonts w:hint="eastAsia" w:ascii="宋体" w:hAnsi="宋体" w:cs="宋体"/>
                <w:b w:val="0"/>
                <w:bCs w:val="0"/>
                <w:szCs w:val="21"/>
              </w:rPr>
              <w:t>尺寸</w:t>
            </w:r>
            <w:r>
              <w:rPr>
                <w:rFonts w:hint="eastAsia" w:ascii="宋体" w:hAnsi="宋体" w:cs="宋体"/>
                <w:szCs w:val="21"/>
              </w:rPr>
              <w:t>‌</w:t>
            </w:r>
            <w:r>
              <w:rPr>
                <w:rFonts w:hint="eastAsia" w:ascii="宋体" w:hAnsi="宋体" w:cs="宋体"/>
                <w:szCs w:val="21"/>
                <w:shd w:val="clear" w:color="auto" w:fill="FFFFFF"/>
              </w:rPr>
              <w:t>：单灯长度≤1000mm（非标定制需按线路板尺寸设计），宽度≤30mm，高度≤15mm‌。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11.4.</w:t>
            </w:r>
            <w:r>
              <w:rPr>
                <w:rStyle w:val="21"/>
                <w:rFonts w:hint="eastAsia" w:ascii="宋体" w:hAnsi="宋体" w:cs="宋体"/>
                <w:b w:val="0"/>
                <w:bCs w:val="0"/>
                <w:szCs w:val="21"/>
              </w:rPr>
              <w:t>拼接要求</w:t>
            </w:r>
            <w:r>
              <w:rPr>
                <w:rFonts w:hint="eastAsia" w:ascii="宋体" w:hAnsi="宋体" w:cs="宋体"/>
                <w:szCs w:val="21"/>
              </w:rPr>
              <w:t>‌</w:t>
            </w:r>
            <w:r>
              <w:rPr>
                <w:rFonts w:hint="eastAsia" w:ascii="宋体" w:hAnsi="宋体" w:cs="宋体"/>
                <w:szCs w:val="21"/>
                <w:shd w:val="clear" w:color="auto" w:fill="FFFFFF"/>
              </w:rPr>
              <w:t>：接缝处采用隐形卡扣拼接，缝隙≤1mm，非标长度误差≤2mm‌。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11.5.</w:t>
            </w:r>
            <w:r>
              <w:rPr>
                <w:rStyle w:val="21"/>
                <w:rFonts w:hint="eastAsia" w:ascii="宋体" w:hAnsi="宋体" w:cs="宋体"/>
                <w:b w:val="0"/>
                <w:bCs w:val="0"/>
                <w:szCs w:val="21"/>
              </w:rPr>
              <w:t>固定方式</w:t>
            </w:r>
            <w:r>
              <w:rPr>
                <w:rFonts w:hint="eastAsia" w:ascii="宋体" w:hAnsi="宋体" w:cs="宋体"/>
                <w:szCs w:val="21"/>
              </w:rPr>
              <w:t>‌</w:t>
            </w:r>
            <w:r>
              <w:rPr>
                <w:rFonts w:hint="eastAsia" w:ascii="宋体" w:hAnsi="宋体" w:cs="宋体"/>
                <w:szCs w:val="21"/>
                <w:shd w:val="clear" w:color="auto" w:fill="FFFFFF"/>
              </w:rPr>
              <w:t>：卡扣式预埋安装或镜钉固定，基层平整度误差≤2mm/2m‌。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11.6.</w:t>
            </w:r>
            <w:r>
              <w:rPr>
                <w:rStyle w:val="21"/>
                <w:rFonts w:hint="eastAsia" w:ascii="宋体" w:hAnsi="宋体" w:cs="宋体"/>
                <w:b w:val="0"/>
                <w:bCs w:val="0"/>
                <w:szCs w:val="21"/>
              </w:rPr>
              <w:t>间距要求</w:t>
            </w:r>
            <w:r>
              <w:rPr>
                <w:rFonts w:hint="eastAsia" w:ascii="宋体" w:hAnsi="宋体" w:cs="宋体"/>
                <w:szCs w:val="21"/>
              </w:rPr>
              <w:t>‌</w:t>
            </w:r>
            <w:r>
              <w:rPr>
                <w:rFonts w:hint="eastAsia" w:ascii="宋体" w:hAnsi="宋体" w:cs="宋体"/>
                <w:szCs w:val="21"/>
                <w:shd w:val="clear" w:color="auto" w:fill="FFFFFF"/>
              </w:rPr>
              <w:t>：灯具与墙体间距≥200mm。‌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11.7.</w:t>
            </w:r>
            <w:r>
              <w:rPr>
                <w:rStyle w:val="21"/>
                <w:rFonts w:hint="eastAsia" w:ascii="宋体" w:hAnsi="宋体" w:cs="宋体"/>
                <w:b w:val="0"/>
                <w:bCs w:val="0"/>
                <w:szCs w:val="21"/>
              </w:rPr>
              <w:t>接线要求</w:t>
            </w:r>
            <w:r>
              <w:rPr>
                <w:rFonts w:hint="eastAsia" w:ascii="宋体" w:hAnsi="宋体" w:cs="宋体"/>
                <w:szCs w:val="21"/>
              </w:rPr>
              <w:t>‌</w:t>
            </w:r>
            <w:r>
              <w:rPr>
                <w:rFonts w:hint="eastAsia" w:ascii="宋体" w:hAnsi="宋体" w:cs="宋体"/>
                <w:szCs w:val="21"/>
                <w:shd w:val="clear" w:color="auto" w:fill="FFFFFF"/>
              </w:rPr>
              <w:t>：内置接线盒，电源线采用RVV 3×1.5mm²，电压范围AC 85V-265V‌。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11.8.</w:t>
            </w:r>
            <w:r>
              <w:rPr>
                <w:rStyle w:val="21"/>
                <w:rFonts w:hint="eastAsia" w:ascii="宋体" w:hAnsi="宋体" w:cs="宋体"/>
                <w:b w:val="0"/>
                <w:bCs w:val="0"/>
                <w:szCs w:val="21"/>
              </w:rPr>
              <w:t>平整度</w:t>
            </w:r>
            <w:r>
              <w:rPr>
                <w:rFonts w:hint="eastAsia" w:ascii="宋体" w:hAnsi="宋体" w:cs="宋体"/>
                <w:szCs w:val="21"/>
              </w:rPr>
              <w:t>‌</w:t>
            </w:r>
            <w:r>
              <w:rPr>
                <w:rFonts w:hint="eastAsia" w:ascii="宋体" w:hAnsi="宋体" w:cs="宋体"/>
                <w:szCs w:val="21"/>
                <w:shd w:val="clear" w:color="auto" w:fill="FFFFFF"/>
              </w:rPr>
              <w:t>：整体误差≤2mm/2m，灯光侧照无阴影‌，</w:t>
            </w:r>
            <w:r>
              <w:rPr>
                <w:rFonts w:hint="eastAsia" w:ascii="宋体" w:hAnsi="宋体" w:cs="宋体"/>
                <w:szCs w:val="21"/>
              </w:rPr>
              <w:t>‌</w:t>
            </w:r>
            <w:r>
              <w:rPr>
                <w:rStyle w:val="21"/>
                <w:rFonts w:hint="eastAsia" w:ascii="宋体" w:hAnsi="宋体" w:cs="宋体"/>
                <w:b w:val="0"/>
                <w:bCs w:val="0"/>
                <w:szCs w:val="21"/>
              </w:rPr>
              <w:t>垂直度</w:t>
            </w:r>
            <w:r>
              <w:rPr>
                <w:rFonts w:hint="eastAsia" w:ascii="宋体" w:hAnsi="宋体" w:cs="宋体"/>
                <w:szCs w:val="21"/>
              </w:rPr>
              <w:t>‌</w:t>
            </w:r>
            <w:r>
              <w:rPr>
                <w:rFonts w:hint="eastAsia" w:ascii="宋体" w:hAnsi="宋体" w:cs="宋体"/>
                <w:szCs w:val="21"/>
                <w:shd w:val="clear" w:color="auto" w:fill="FFFFFF"/>
              </w:rPr>
              <w:t>：灯具与天花垂直偏差≤1.5%‌。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1134"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筒灯</w:t>
            </w:r>
          </w:p>
        </w:tc>
        <w:tc>
          <w:tcPr>
            <w:tcW w:w="6521" w:type="dxa"/>
          </w:tcPr>
          <w:p>
            <w:pPr>
              <w:spacing w:line="360" w:lineRule="auto"/>
              <w:rPr>
                <w:rFonts w:ascii="宋体" w:hAnsi="宋体" w:cs="宋体"/>
                <w:szCs w:val="21"/>
              </w:rPr>
            </w:pPr>
            <w:r>
              <w:rPr>
                <w:rFonts w:hint="eastAsia" w:ascii="宋体" w:hAnsi="宋体" w:cs="宋体"/>
                <w:szCs w:val="21"/>
              </w:rPr>
              <w:t>12.1.</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：高纯度铝材或阻燃PC材质，表面阳极氧化/粉末喷涂处理，防火等级≥B1级（GB 8624-2012）‌。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12.2.</w:t>
            </w:r>
            <w:r>
              <w:rPr>
                <w:rStyle w:val="21"/>
                <w:rFonts w:hint="eastAsia" w:ascii="宋体" w:hAnsi="宋体" w:cs="宋体"/>
                <w:b w:val="0"/>
                <w:bCs w:val="0"/>
                <w:szCs w:val="21"/>
              </w:rPr>
              <w:t>光源</w:t>
            </w:r>
            <w:r>
              <w:rPr>
                <w:rFonts w:hint="eastAsia" w:ascii="宋体" w:hAnsi="宋体" w:cs="宋体"/>
                <w:szCs w:val="21"/>
              </w:rPr>
              <w:t>‌</w:t>
            </w:r>
            <w:r>
              <w:rPr>
                <w:rFonts w:hint="eastAsia" w:ascii="宋体" w:hAnsi="宋体" w:cs="宋体"/>
                <w:szCs w:val="21"/>
                <w:shd w:val="clear" w:color="auto" w:fill="FFFFFF"/>
              </w:rPr>
              <w:t>：LED模组（单灯功率≤12W），光效≥90lm/W，色温2700K-6500K可调，显色指数Ra≥80‌。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12.3.</w:t>
            </w:r>
            <w:r>
              <w:rPr>
                <w:rStyle w:val="21"/>
                <w:rFonts w:hint="eastAsia" w:ascii="宋体" w:hAnsi="宋体" w:cs="宋体"/>
                <w:b w:val="0"/>
                <w:bCs w:val="0"/>
                <w:szCs w:val="21"/>
              </w:rPr>
              <w:t>开孔要求</w:t>
            </w:r>
            <w:r>
              <w:rPr>
                <w:rFonts w:hint="eastAsia" w:ascii="宋体" w:hAnsi="宋体" w:cs="宋体"/>
                <w:szCs w:val="21"/>
              </w:rPr>
              <w:t>‌</w:t>
            </w:r>
            <w:r>
              <w:rPr>
                <w:rFonts w:hint="eastAsia" w:ascii="宋体" w:hAnsi="宋体" w:cs="宋体"/>
                <w:szCs w:val="21"/>
                <w:shd w:val="clear" w:color="auto" w:fill="FFFFFF"/>
              </w:rPr>
              <w:t>：开孔直径误差≤1mm，边缘无毛刺。‌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12.4.‌</w:t>
            </w:r>
            <w:r>
              <w:rPr>
                <w:rStyle w:val="21"/>
                <w:rFonts w:hint="eastAsia" w:ascii="宋体" w:hAnsi="宋体" w:cs="宋体"/>
                <w:b w:val="0"/>
                <w:bCs w:val="0"/>
                <w:szCs w:val="21"/>
              </w:rPr>
              <w:t>固定方式</w:t>
            </w:r>
            <w:r>
              <w:rPr>
                <w:rFonts w:hint="eastAsia" w:ascii="宋体" w:hAnsi="宋体" w:cs="宋体"/>
                <w:szCs w:val="21"/>
              </w:rPr>
              <w:t>‌</w:t>
            </w:r>
            <w:r>
              <w:rPr>
                <w:rFonts w:hint="eastAsia" w:ascii="宋体" w:hAnsi="宋体" w:cs="宋体"/>
                <w:szCs w:val="21"/>
                <w:shd w:val="clear" w:color="auto" w:fill="FFFFFF"/>
              </w:rPr>
              <w:t>：弹簧卡扣固定，基层平整度误差≤2mm/2m‌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12.5.‌</w:t>
            </w:r>
            <w:r>
              <w:rPr>
                <w:rStyle w:val="21"/>
                <w:rFonts w:hint="eastAsia" w:ascii="宋体" w:hAnsi="宋体" w:cs="宋体"/>
                <w:b w:val="0"/>
                <w:bCs w:val="0"/>
                <w:szCs w:val="21"/>
              </w:rPr>
              <w:t>接线要求</w:t>
            </w:r>
            <w:r>
              <w:rPr>
                <w:rFonts w:hint="eastAsia" w:ascii="宋体" w:hAnsi="宋体" w:cs="宋体"/>
                <w:szCs w:val="21"/>
              </w:rPr>
              <w:t>‌</w:t>
            </w:r>
            <w:r>
              <w:rPr>
                <w:rFonts w:hint="eastAsia" w:ascii="宋体" w:hAnsi="宋体" w:cs="宋体"/>
                <w:szCs w:val="21"/>
                <w:shd w:val="clear" w:color="auto" w:fill="FFFFFF"/>
              </w:rPr>
              <w:t>：内置接线盒，电源线采用RVV 3×1.5mm²，电压范围AC 85V-265V。‌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12.6.‌</w:t>
            </w:r>
            <w:r>
              <w:rPr>
                <w:rStyle w:val="21"/>
                <w:rFonts w:hint="eastAsia" w:ascii="宋体" w:hAnsi="宋体" w:cs="宋体"/>
                <w:b w:val="0"/>
                <w:bCs w:val="0"/>
                <w:szCs w:val="21"/>
              </w:rPr>
              <w:t>平整度</w:t>
            </w:r>
            <w:r>
              <w:rPr>
                <w:rFonts w:hint="eastAsia" w:ascii="宋体" w:hAnsi="宋体" w:cs="宋体"/>
                <w:szCs w:val="21"/>
              </w:rPr>
              <w:t>‌</w:t>
            </w:r>
            <w:r>
              <w:rPr>
                <w:rFonts w:hint="eastAsia" w:ascii="宋体" w:hAnsi="宋体" w:cs="宋体"/>
                <w:szCs w:val="21"/>
                <w:shd w:val="clear" w:color="auto" w:fill="FFFFFF"/>
              </w:rPr>
              <w:t>：灯具安装后整体误差≤2mm/2m‌。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restart"/>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烤漆高柜</w:t>
            </w:r>
          </w:p>
        </w:tc>
        <w:tc>
          <w:tcPr>
            <w:tcW w:w="6521" w:type="dxa"/>
          </w:tcPr>
          <w:p>
            <w:pPr>
              <w:spacing w:line="360" w:lineRule="auto"/>
              <w:rPr>
                <w:rFonts w:ascii="宋体" w:hAnsi="宋体" w:cs="宋体"/>
                <w:szCs w:val="21"/>
              </w:rPr>
            </w:pPr>
            <w:r>
              <w:rPr>
                <w:rFonts w:hint="eastAsia" w:ascii="宋体" w:hAnsi="宋体" w:cs="宋体"/>
                <w:szCs w:val="21"/>
              </w:rPr>
              <w:t>13.1.规格：（W1000*D400*H2774）mm±5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13.2.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13.3.</w:t>
            </w:r>
            <w:r>
              <w:rPr>
                <w:rFonts w:hint="eastAsia" w:ascii="宋体" w:hAnsi="宋体" w:cs="宋体"/>
                <w:szCs w:val="21"/>
                <w:shd w:val="clear" w:color="auto" w:fill="FFFFFF"/>
              </w:rPr>
              <w:t>烤漆工艺：6层喷涂（3底2面1光固化），哑光/亮光可选。‌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13.4.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13.5.</w:t>
            </w:r>
            <w:r>
              <w:rPr>
                <w:rFonts w:hint="eastAsia" w:ascii="宋体" w:hAnsi="宋体" w:cs="宋体"/>
                <w:szCs w:val="21"/>
                <w:shd w:val="clear" w:color="auto" w:fill="FFFFFF"/>
              </w:rPr>
              <w:t>铰链采用阻尼铰链，开合次数≥10万次，单铰链承重≥15kg。‌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13.6.</w:t>
            </w:r>
            <w:r>
              <w:rPr>
                <w:rFonts w:hint="eastAsia" w:ascii="宋体" w:hAnsi="宋体" w:cs="宋体"/>
                <w:szCs w:val="21"/>
                <w:shd w:val="clear" w:color="auto" w:fill="FFFFFF"/>
              </w:rPr>
              <w:t>滑轨为静音阻尼型，抽拉次数≥5万次，单轨承重≥30kg‌。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13.7.</w:t>
            </w:r>
            <w:r>
              <w:rPr>
                <w:rFonts w:hint="eastAsia" w:ascii="宋体" w:hAnsi="宋体" w:cs="宋体"/>
                <w:szCs w:val="21"/>
                <w:shd w:val="clear" w:color="auto" w:fill="FFFFFF"/>
              </w:rPr>
              <w:t>可调节层板厚度≥18mm，单层承重≥40kg，边缘封边厚度≥1.5mm‌。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restart"/>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14</w:t>
            </w:r>
          </w:p>
        </w:tc>
        <w:tc>
          <w:tcPr>
            <w:tcW w:w="1134" w:type="dxa"/>
            <w:vMerge w:val="restart"/>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烤漆地柜1</w:t>
            </w:r>
          </w:p>
        </w:tc>
        <w:tc>
          <w:tcPr>
            <w:tcW w:w="6521" w:type="dxa"/>
          </w:tcPr>
          <w:p>
            <w:pPr>
              <w:spacing w:line="360" w:lineRule="auto"/>
              <w:rPr>
                <w:rFonts w:ascii="宋体" w:hAnsi="宋体" w:cs="宋体"/>
                <w:szCs w:val="21"/>
              </w:rPr>
            </w:pPr>
            <w:r>
              <w:rPr>
                <w:rFonts w:hint="eastAsia" w:ascii="宋体" w:hAnsi="宋体" w:cs="宋体"/>
                <w:szCs w:val="21"/>
              </w:rPr>
              <w:t>14.1.规格：（W10007*D400*H565）mm±5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pPr>
          </w:p>
        </w:tc>
        <w:tc>
          <w:tcPr>
            <w:tcW w:w="1134" w:type="dxa"/>
            <w:vMerge w:val="continue"/>
          </w:tcPr>
          <w:p>
            <w:pPr>
              <w:spacing w:line="360" w:lineRule="auto"/>
              <w:jc w:val="left"/>
            </w:pPr>
          </w:p>
        </w:tc>
        <w:tc>
          <w:tcPr>
            <w:tcW w:w="6521" w:type="dxa"/>
          </w:tcPr>
          <w:p>
            <w:pPr>
              <w:spacing w:line="360" w:lineRule="auto"/>
              <w:rPr>
                <w:rFonts w:ascii="宋体" w:hAnsi="宋体" w:cs="宋体"/>
                <w:szCs w:val="21"/>
              </w:rPr>
            </w:pPr>
            <w:r>
              <w:rPr>
                <w:rFonts w:hint="eastAsia" w:ascii="宋体" w:hAnsi="宋体" w:cs="宋体"/>
                <w:szCs w:val="21"/>
              </w:rPr>
              <w:t>14.2.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14.3.</w:t>
            </w:r>
            <w:r>
              <w:rPr>
                <w:rFonts w:hint="eastAsia" w:ascii="宋体" w:hAnsi="宋体" w:cs="宋体"/>
                <w:szCs w:val="21"/>
                <w:shd w:val="clear" w:color="auto" w:fill="FFFFFF"/>
              </w:rPr>
              <w:t>烤漆工艺：6层喷涂（3底2面1光固化），哑光/亮光可选。‌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14.4.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14.5.</w:t>
            </w:r>
            <w:r>
              <w:rPr>
                <w:rFonts w:hint="eastAsia" w:ascii="宋体" w:hAnsi="宋体" w:cs="宋体"/>
                <w:szCs w:val="21"/>
                <w:shd w:val="clear" w:color="auto" w:fill="FFFFFF"/>
              </w:rPr>
              <w:t>铰链采用阻尼铰链，开合次数≥10万次，单铰链承重≥15kg。‌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14.6.</w:t>
            </w:r>
            <w:r>
              <w:rPr>
                <w:rFonts w:hint="eastAsia" w:ascii="宋体" w:hAnsi="宋体" w:cs="宋体"/>
                <w:szCs w:val="21"/>
                <w:shd w:val="clear" w:color="auto" w:fill="FFFFFF"/>
              </w:rPr>
              <w:t>滑轨为静音阻尼型，抽拉次数≥5万次，单轨承重≥30kg‌。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14.7.</w:t>
            </w:r>
            <w:r>
              <w:rPr>
                <w:rFonts w:hint="eastAsia" w:ascii="宋体" w:hAnsi="宋体" w:cs="宋体"/>
                <w:szCs w:val="21"/>
                <w:shd w:val="clear" w:color="auto" w:fill="FFFFFF"/>
              </w:rPr>
              <w:t>可调节层板厚度≥18mm，单层承重≥40kg，边缘封边厚度≥1.5mm‌。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restart"/>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15</w:t>
            </w:r>
          </w:p>
        </w:tc>
        <w:tc>
          <w:tcPr>
            <w:tcW w:w="1134" w:type="dxa"/>
            <w:vMerge w:val="restart"/>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烤漆地柜2</w:t>
            </w:r>
          </w:p>
        </w:tc>
        <w:tc>
          <w:tcPr>
            <w:tcW w:w="6521" w:type="dxa"/>
          </w:tcPr>
          <w:p>
            <w:pPr>
              <w:spacing w:line="360" w:lineRule="auto"/>
              <w:rPr>
                <w:rFonts w:ascii="宋体" w:hAnsi="宋体" w:cs="宋体"/>
                <w:szCs w:val="21"/>
              </w:rPr>
            </w:pPr>
            <w:r>
              <w:rPr>
                <w:rFonts w:hint="eastAsia" w:ascii="宋体" w:hAnsi="宋体" w:cs="宋体"/>
                <w:szCs w:val="21"/>
              </w:rPr>
              <w:t>15.1.规格：（W10008*D400*H565）mm±5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pPr>
          </w:p>
        </w:tc>
        <w:tc>
          <w:tcPr>
            <w:tcW w:w="1134" w:type="dxa"/>
            <w:vMerge w:val="continue"/>
          </w:tcPr>
          <w:p>
            <w:pPr>
              <w:spacing w:line="360" w:lineRule="auto"/>
              <w:jc w:val="left"/>
            </w:pPr>
          </w:p>
        </w:tc>
        <w:tc>
          <w:tcPr>
            <w:tcW w:w="6521" w:type="dxa"/>
          </w:tcPr>
          <w:p>
            <w:pPr>
              <w:spacing w:line="360" w:lineRule="auto"/>
              <w:rPr>
                <w:rFonts w:ascii="宋体" w:hAnsi="宋体" w:cs="宋体"/>
                <w:szCs w:val="21"/>
              </w:rPr>
            </w:pPr>
            <w:r>
              <w:rPr>
                <w:rFonts w:hint="eastAsia" w:ascii="宋体" w:hAnsi="宋体" w:cs="宋体"/>
                <w:szCs w:val="21"/>
              </w:rPr>
              <w:t>15.2.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15.3.</w:t>
            </w:r>
            <w:r>
              <w:rPr>
                <w:rFonts w:hint="eastAsia" w:ascii="宋体" w:hAnsi="宋体" w:cs="宋体"/>
                <w:szCs w:val="21"/>
                <w:shd w:val="clear" w:color="auto" w:fill="FFFFFF"/>
              </w:rPr>
              <w:t>烤漆工艺：6层喷涂（3底2面1光固化），哑光/亮光可选。‌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15.4.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15.5.</w:t>
            </w:r>
            <w:r>
              <w:rPr>
                <w:rFonts w:hint="eastAsia" w:ascii="宋体" w:hAnsi="宋体" w:cs="宋体"/>
                <w:szCs w:val="21"/>
                <w:shd w:val="clear" w:color="auto" w:fill="FFFFFF"/>
              </w:rPr>
              <w:t>铰链采用阻尼铰链，开合次数≥10万次，单铰链承重≥15kg。‌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15.6.</w:t>
            </w:r>
            <w:r>
              <w:rPr>
                <w:rFonts w:hint="eastAsia" w:ascii="宋体" w:hAnsi="宋体" w:cs="宋体"/>
                <w:szCs w:val="21"/>
                <w:shd w:val="clear" w:color="auto" w:fill="FFFFFF"/>
              </w:rPr>
              <w:t>滑轨为静音阻尼型，抽拉次数≥5万次，单轨承重≥30kg‌。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 w:hRule="atLeast"/>
        </w:trPr>
        <w:tc>
          <w:tcPr>
            <w:tcW w:w="817" w:type="dxa"/>
            <w:vMerge w:val="continue"/>
          </w:tcPr>
          <w:p>
            <w:pPr>
              <w:spacing w:line="360" w:lineRule="auto"/>
              <w:jc w:val="left"/>
              <w:rPr>
                <w:rFonts w:ascii="宋体" w:hAnsi="宋体" w:cs="宋体"/>
                <w:b/>
                <w:bCs/>
                <w:color w:val="FF0000"/>
                <w:szCs w:val="21"/>
              </w:rPr>
            </w:pPr>
          </w:p>
        </w:tc>
        <w:tc>
          <w:tcPr>
            <w:tcW w:w="1134" w:type="dxa"/>
            <w:vMerge w:val="continue"/>
          </w:tcPr>
          <w:p>
            <w:pPr>
              <w:spacing w:line="360" w:lineRule="auto"/>
              <w:jc w:val="left"/>
              <w:rPr>
                <w:rFonts w:ascii="宋体" w:hAnsi="宋体" w:cs="宋体"/>
                <w:b/>
                <w:bCs/>
                <w:color w:val="FF0000"/>
                <w:szCs w:val="21"/>
              </w:rPr>
            </w:pPr>
          </w:p>
        </w:tc>
        <w:tc>
          <w:tcPr>
            <w:tcW w:w="6521" w:type="dxa"/>
          </w:tcPr>
          <w:p>
            <w:pPr>
              <w:spacing w:line="360" w:lineRule="auto"/>
              <w:rPr>
                <w:rFonts w:ascii="宋体" w:hAnsi="宋体" w:cs="宋体"/>
                <w:szCs w:val="21"/>
              </w:rPr>
            </w:pPr>
            <w:r>
              <w:rPr>
                <w:rFonts w:hint="eastAsia" w:ascii="宋体" w:hAnsi="宋体" w:cs="宋体"/>
                <w:szCs w:val="21"/>
              </w:rPr>
              <w:t>15.7.</w:t>
            </w:r>
            <w:r>
              <w:rPr>
                <w:rFonts w:hint="eastAsia" w:ascii="宋体" w:hAnsi="宋体" w:cs="宋体"/>
                <w:szCs w:val="21"/>
                <w:shd w:val="clear" w:color="auto" w:fill="FFFFFF"/>
              </w:rPr>
              <w:t>可调节层板厚度≥18mm，单层承重≥40kg，边缘封边厚度≥1.5mm‌。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16</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亚克力盒子</w:t>
            </w:r>
          </w:p>
        </w:tc>
        <w:tc>
          <w:tcPr>
            <w:tcW w:w="6521" w:type="dxa"/>
          </w:tcPr>
          <w:p>
            <w:pPr>
              <w:spacing w:line="360" w:lineRule="auto"/>
              <w:rPr>
                <w:rFonts w:ascii="宋体" w:hAnsi="宋体" w:cs="宋体"/>
                <w:szCs w:val="21"/>
              </w:rPr>
            </w:pPr>
            <w:r>
              <w:rPr>
                <w:rFonts w:hint="eastAsia" w:ascii="宋体" w:hAnsi="宋体" w:cs="宋体"/>
                <w:szCs w:val="21"/>
              </w:rPr>
              <w:t>16.1.规格：（W400*D400*H1633）mm±50mm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16.2.</w:t>
            </w:r>
            <w:r>
              <w:rPr>
                <w:rFonts w:hint="eastAsia" w:ascii="宋体" w:hAnsi="宋体" w:cs="宋体"/>
                <w:szCs w:val="21"/>
                <w:shd w:val="clear" w:color="auto" w:fill="FFFFFF"/>
              </w:rPr>
              <w:t>透明亚克力板厚度≥6mm，透光率≥92%，表面无划痕、气泡，边缘抛光处理‌。箱体连接处采用不锈钢包边（厚度≥1.5mm），铝合金角码加固‌。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16.3.</w:t>
            </w:r>
            <w:r>
              <w:rPr>
                <w:rFonts w:hint="eastAsia" w:ascii="宋体" w:hAnsi="宋体" w:cs="宋体"/>
                <w:szCs w:val="21"/>
                <w:shd w:val="clear" w:color="auto" w:fill="FFFFFF"/>
              </w:rPr>
              <w:t>铁链材质为304不锈钢，直径≥8mm，单链承重≥500kg，表面防锈处理‌。吊装挂钩采用镀锌钢制，承重≥1吨，配备安全锁扣‌。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shd w:val="clear" w:color="auto" w:fill="FFFFFF"/>
              </w:rPr>
              <w:t>16.4.亚克力表面色差ΔE≤1.0，铁链无锈蚀、毛刺‌‌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16.5.</w:t>
            </w:r>
            <w:r>
              <w:rPr>
                <w:rFonts w:hint="eastAsia" w:ascii="宋体" w:hAnsi="宋体" w:cs="宋体"/>
                <w:szCs w:val="21"/>
                <w:shd w:val="clear" w:color="auto" w:fill="FFFFFF"/>
              </w:rPr>
              <w:t>箱体顶部预留吊装孔（直径≥50mm），孔位间距≤400mm‌。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17</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烤漆墙柜</w:t>
            </w:r>
          </w:p>
        </w:tc>
        <w:tc>
          <w:tcPr>
            <w:tcW w:w="6521" w:type="dxa"/>
          </w:tcPr>
          <w:p>
            <w:pPr>
              <w:spacing w:line="360" w:lineRule="auto"/>
              <w:rPr>
                <w:rFonts w:ascii="宋体" w:hAnsi="宋体" w:cs="宋体"/>
                <w:szCs w:val="21"/>
              </w:rPr>
            </w:pPr>
            <w:r>
              <w:rPr>
                <w:rFonts w:hint="eastAsia" w:ascii="宋体" w:hAnsi="宋体" w:cs="宋体"/>
                <w:szCs w:val="21"/>
              </w:rPr>
              <w:t>17.1.规格：（W985*D550*H2774）mm±5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17.2.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17.3.</w:t>
            </w:r>
            <w:r>
              <w:rPr>
                <w:rFonts w:hint="eastAsia" w:ascii="宋体" w:hAnsi="宋体" w:cs="宋体"/>
                <w:szCs w:val="21"/>
                <w:shd w:val="clear" w:color="auto" w:fill="FFFFFF"/>
              </w:rPr>
              <w:t>烤漆工艺：6层喷涂（3底2面1光固化），哑光/亮光可选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17.4.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17.5.</w:t>
            </w:r>
            <w:r>
              <w:rPr>
                <w:rFonts w:hint="eastAsia" w:ascii="宋体" w:hAnsi="宋体" w:cs="宋体"/>
                <w:szCs w:val="21"/>
                <w:shd w:val="clear" w:color="auto" w:fill="FFFFFF"/>
              </w:rPr>
              <w:t>可调节层板厚度≥18mm，单层承重≥40kg，边缘封边厚度≥1.5mm‌。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18</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前面背景柜</w:t>
            </w:r>
          </w:p>
        </w:tc>
        <w:tc>
          <w:tcPr>
            <w:tcW w:w="6521" w:type="dxa"/>
          </w:tcPr>
          <w:p>
            <w:pPr>
              <w:spacing w:line="360" w:lineRule="auto"/>
              <w:rPr>
                <w:rFonts w:ascii="宋体" w:hAnsi="宋体" w:cs="宋体"/>
                <w:szCs w:val="21"/>
              </w:rPr>
            </w:pPr>
            <w:r>
              <w:rPr>
                <w:rFonts w:hint="eastAsia" w:ascii="宋体" w:hAnsi="宋体" w:cs="宋体"/>
                <w:szCs w:val="21"/>
              </w:rPr>
              <w:t>18.1.规格：（W7377*D250*H2774）mm±5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18.2.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18.3.</w:t>
            </w:r>
            <w:r>
              <w:rPr>
                <w:rFonts w:hint="eastAsia" w:ascii="宋体" w:hAnsi="宋体" w:cs="宋体"/>
                <w:szCs w:val="21"/>
                <w:shd w:val="clear" w:color="auto" w:fill="FFFFFF"/>
              </w:rPr>
              <w:t>烤漆工艺：6层喷涂（3底2面1光固化），哑光/亮光可选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18.4.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18.5.墙柜需牢固安装于墙体，具备足够的承重能力，墙柜内设有多个展示架，用于展示奖杯、证书等物品，每个展示架应有独立照明，采用LED背光源，确保展示物品光线充足且均匀。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18.6.表面烤漆工艺需均匀光滑，无色差，无划痕，烤漆层需具备防刮、耐污、易清洁等特性。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18.7.安装需牢固可靠，确保墙柜在使用过程中不会出现晃动或脱落现象，边缘及角落需进行圆滑处理，避免尖锐部分造成安全隐患。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jc w:val="left"/>
              <w:rPr>
                <w:rFonts w:ascii="宋体" w:hAnsi="宋体" w:cs="宋体"/>
                <w:b/>
                <w:bCs/>
                <w:color w:val="FF0000"/>
                <w:szCs w:val="21"/>
              </w:rPr>
            </w:pPr>
            <w:r>
              <w:rPr>
                <w:rFonts w:hint="eastAsia" w:ascii="宋体" w:hAnsi="宋体" w:cs="宋体"/>
                <w:bCs/>
                <w:color w:val="FF0000"/>
                <w:szCs w:val="21"/>
              </w:rPr>
              <w:t>▲</w:t>
            </w:r>
            <w:r>
              <w:rPr>
                <w:rFonts w:hint="eastAsia" w:ascii="宋体" w:hAnsi="宋体" w:cs="宋体"/>
                <w:b/>
                <w:color w:val="FF0000"/>
                <w:szCs w:val="21"/>
              </w:rPr>
              <w:t>18.8</w:t>
            </w:r>
            <w:r>
              <w:rPr>
                <w:rFonts w:hint="eastAsia" w:ascii="宋体" w:hAnsi="宋体" w:cs="宋体"/>
                <w:b/>
                <w:color w:val="FF0000"/>
                <w:szCs w:val="21"/>
                <w:lang w:val="en-US" w:eastAsia="zh-CN"/>
              </w:rPr>
              <w:t>.</w:t>
            </w:r>
            <w:r>
              <w:rPr>
                <w:rFonts w:hint="eastAsia" w:ascii="宋体" w:hAnsi="宋体" w:cs="宋体"/>
                <w:b/>
                <w:bCs/>
                <w:color w:val="FF0000"/>
                <w:szCs w:val="21"/>
              </w:rPr>
              <w:t>含水率6~8%，胶合强度≥0.7Mpa,静曲强度顺纹≥35Mpa,横纹≥36Mpa，弹性模量顺纹≥5500Mpa,横纹≥4000Mpa, 浸渍剥离性能符合要求，甲醛释放量(1m³气候箱法)≤0.05</w:t>
            </w:r>
            <w:r>
              <w:rPr>
                <w:rFonts w:hint="eastAsia" w:ascii="宋体" w:hAnsi="宋体" w:cs="宋体"/>
                <w:b/>
                <w:bCs/>
                <w:color w:val="FF0000"/>
                <w:szCs w:val="21"/>
                <w:lang w:val="en-US" w:eastAsia="zh-CN"/>
              </w:rPr>
              <w:t>mg/m³</w:t>
            </w:r>
            <w:r>
              <w:rPr>
                <w:rFonts w:hint="eastAsia" w:ascii="宋体" w:hAnsi="宋体" w:cs="宋体"/>
                <w:b/>
                <w:bCs/>
                <w:color w:val="FF0000"/>
                <w:szCs w:val="21"/>
              </w:rPr>
              <w:t>，挥发性有机物：苯、甲苯、二甲苯未检出，总挥发性有机化合物(TVOC)未检出。抗菌率：金黄色葡萄球菌≥99%，大肠埃希氏菌(大肠杆菌)≥99%，鼠伤寒沙门氏菌≥99%。</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color w:val="FF0000"/>
                <w:szCs w:val="21"/>
              </w:rPr>
              <w:t>要求投标</w:t>
            </w:r>
            <w:r>
              <w:rPr>
                <w:rFonts w:hint="eastAsia" w:ascii="宋体" w:hAnsi="宋体" w:cs="宋体"/>
                <w:b/>
                <w:bCs/>
                <w:color w:val="FF0000"/>
                <w:szCs w:val="21"/>
              </w:rPr>
              <w:t xml:space="preserve">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bCs/>
                <w:color w:val="FF0000"/>
                <w:szCs w:val="21"/>
              </w:rPr>
              <w:t xml:space="preserve"> CNAS 标识的实木多层板(胶合板)检验报告（提供扫描件，原件备查）。检测依据为：GB/T9846-2015《普通胶合板》 GB18580-2017《室内装饰装修材料 人造板及其制品中甲醛释放量》GB/T39600-2021《人造板及其制品甲醛释放量分级》GB/T35601-2017《绿色产品评价 人造板和木质地板》JC/T2039-2010《</w:t>
            </w:r>
            <w:r>
              <w:rPr>
                <w:rFonts w:hint="eastAsia" w:ascii="宋体" w:hAnsi="宋体" w:cs="宋体"/>
                <w:b/>
                <w:bCs/>
                <w:color w:val="FF0000"/>
                <w:szCs w:val="21"/>
                <w:lang w:eastAsia="zh-CN"/>
              </w:rPr>
              <w:t>抗菌</w:t>
            </w:r>
            <w:r>
              <w:rPr>
                <w:rFonts w:hint="eastAsia" w:ascii="宋体" w:hAnsi="宋体" w:cs="宋体"/>
                <w:b/>
                <w:bCs/>
                <w:color w:val="FF0000"/>
                <w:szCs w:val="21"/>
              </w:rPr>
              <w:t>防霉木质装饰板》及《2024年家具及人造板抽样检验实施方案》，至少包含上述检测项目，并提供检测报告在全国认证认可信息公共服务平台网站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19</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后面背景柜</w:t>
            </w:r>
          </w:p>
        </w:tc>
        <w:tc>
          <w:tcPr>
            <w:tcW w:w="6521" w:type="dxa"/>
          </w:tcPr>
          <w:p>
            <w:pPr>
              <w:spacing w:line="360" w:lineRule="auto"/>
              <w:rPr>
                <w:rFonts w:ascii="宋体" w:hAnsi="宋体" w:cs="宋体"/>
                <w:szCs w:val="21"/>
              </w:rPr>
            </w:pPr>
            <w:r>
              <w:rPr>
                <w:rFonts w:hint="eastAsia" w:ascii="宋体" w:hAnsi="宋体" w:cs="宋体"/>
                <w:szCs w:val="21"/>
              </w:rPr>
              <w:t>19.1.规格：（W7377*D250*H2774）mm±5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19.2.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19.3.</w:t>
            </w:r>
            <w:r>
              <w:rPr>
                <w:rFonts w:hint="eastAsia" w:ascii="宋体" w:hAnsi="宋体" w:cs="宋体"/>
                <w:szCs w:val="21"/>
                <w:shd w:val="clear" w:color="auto" w:fill="FFFFFF"/>
              </w:rPr>
              <w:t>烤漆工艺：6层喷涂（3底2面1光固化），哑光/亮光可选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19.4.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19.5.背景墙柜四周安装一条灯带。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19.6.表面烤漆工艺需均匀光滑，无色差，无划痕，烤漆层需具备防刮、耐污、易清洁等特性。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19.7.安装需牢固可靠，确保墙柜在使用过程中不会出现晃动或脱落现象，边缘及角落需进行圆滑处理，避免尖锐部分造成安全隐患。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20</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展示地台</w:t>
            </w:r>
          </w:p>
        </w:tc>
        <w:tc>
          <w:tcPr>
            <w:tcW w:w="6521" w:type="dxa"/>
          </w:tcPr>
          <w:p>
            <w:pPr>
              <w:spacing w:line="360" w:lineRule="auto"/>
              <w:rPr>
                <w:rFonts w:ascii="宋体" w:hAnsi="宋体" w:cs="宋体"/>
                <w:szCs w:val="21"/>
              </w:rPr>
            </w:pPr>
            <w:r>
              <w:rPr>
                <w:rFonts w:hint="eastAsia" w:ascii="宋体" w:hAnsi="宋体" w:cs="宋体"/>
                <w:szCs w:val="21"/>
              </w:rPr>
              <w:t>20.1.规格：（W2300*D1300*H500）mm±5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20.2.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20.3.</w:t>
            </w:r>
            <w:r>
              <w:rPr>
                <w:rFonts w:hint="eastAsia" w:ascii="宋体" w:hAnsi="宋体" w:cs="宋体"/>
                <w:szCs w:val="21"/>
                <w:shd w:val="clear" w:color="auto" w:fill="FFFFFF"/>
              </w:rPr>
              <w:t>烤漆工艺：6层喷涂（3底2面1光固化），哑光/亮光可选，光泽度≥90GU（60°光泽仪测试），无橘皮、流挂、颗粒，硬度≥2H，耐磨性≥500次。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20.4.</w:t>
            </w:r>
            <w:r>
              <w:rPr>
                <w:rFonts w:hint="eastAsia" w:ascii="宋体" w:hAnsi="宋体" w:cs="宋体"/>
                <w:szCs w:val="21"/>
                <w:shd w:val="clear" w:color="auto" w:fill="FFFFFF"/>
              </w:rPr>
              <w:t>防火等级≥B1级（GB 8624-2012），甲醛释放量≤0.05mg/m³（GB 18580-2017）。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20.5.亚克力板选择</w:t>
            </w:r>
            <w:r>
              <w:rPr>
                <w:rFonts w:hint="eastAsia" w:ascii="宋体" w:hAnsi="宋体" w:cs="宋体"/>
                <w:szCs w:val="21"/>
                <w:shd w:val="clear" w:color="auto" w:fill="FFFFFF"/>
              </w:rPr>
              <w:t>选择透明度高、耐候性强、易加工的亚克力板作为镶边材料，粘合的牢固性且美观。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21</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工作台</w:t>
            </w:r>
          </w:p>
        </w:tc>
        <w:tc>
          <w:tcPr>
            <w:tcW w:w="6521" w:type="dxa"/>
          </w:tcPr>
          <w:p>
            <w:pPr>
              <w:rPr>
                <w:rFonts w:ascii="宋体" w:hAnsi="宋体" w:cs="宋体"/>
                <w:szCs w:val="21"/>
              </w:rPr>
            </w:pPr>
            <w:r>
              <w:rPr>
                <w:rFonts w:hint="eastAsia" w:ascii="宋体" w:hAnsi="宋体" w:cs="宋体"/>
                <w:szCs w:val="21"/>
              </w:rPr>
              <w:t>21.1.规格：（W2000*D800*H750）mm±5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hint="eastAsia" w:eastAsia="宋体"/>
                <w:lang w:eastAsia="zh-CN"/>
              </w:rPr>
            </w:pPr>
            <w:r>
              <w:rPr>
                <w:rFonts w:hint="eastAsia"/>
                <w:lang w:eastAsia="zh-CN"/>
              </w:rPr>
              <w:t xml:space="preserve"> </w:t>
            </w: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21.2.桌面材质：面板采用E0级25mm厚三聚氰胺饰面刨花板， 含水率在3%-5%；饰面整体板面正负误差在0.3mm以内,密度为0.85g/cm3、甲醛释放量≤0.05mg/m³，表面耐磨、防污、硬度高，不易变色；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21.3.钢脚：人字型钢脚上托采用3.5MM厚冷扎钢板一次冲压成型，前管为30*60*1.5八角冷扎钢管，后管为30*40*1.5八角冷扎钢管，整体焊接成人字型，焊接点少，表面经细致打磨处理，无痕无渣，接触人体或外露处部件无毛刺、刃口，整体轮廓感明显，更显美观，安全实用，钢架标准高度为725MM，底脚配刹车万向轮横梁：管材30*60*1.5MM（±0.1MM）椭圆管，经数控激光切管设备加工，高精准度，配压铸铝合金接头与钢脚连接，紧密度高，灵活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21.4.涂饰：涂层厚度70-80um，经高温流平，固化等工序，使表面涂层达到耐蚀，耐酸，防锈。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b/>
                <w:bCs/>
                <w:color w:val="FF0000"/>
                <w:szCs w:val="21"/>
              </w:rPr>
            </w:pPr>
            <w:r>
              <w:rPr>
                <w:rFonts w:hint="eastAsia" w:ascii="宋体" w:hAnsi="宋体" w:cs="宋体"/>
                <w:b/>
                <w:bCs/>
                <w:color w:val="FF0000"/>
                <w:szCs w:val="21"/>
              </w:rPr>
              <w:t>▲21.5.板内密度偏差-1%~1%，含水率6~8%，2h吸水厚度膨胀率≤4%，内胶合强度≥0.8Mpa，表面胶合强度≥1.2Mpa，静曲强度≥24MPa，弹性模量≥2900Mpa，板面握钉力≥1400N，板边握钉力≥900N,甲醛释放量(1m³气候箱法)未检出，挥发性有机物：苯、甲苯、二甲苯未检出，总挥发性有机化合物(TVOC)未检出。抗菌率：金黄色葡萄球菌≥99%，大肠埃希氏菌(大肠杆菌)≥99%，鼠伤寒沙门氏菌≥99%。</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bCs/>
                <w:color w:val="FF0000"/>
                <w:szCs w:val="21"/>
              </w:rPr>
              <w:t xml:space="preserve"> CNAS 标识的刨花板检验报告（提供扫描件，原件备查）。检测依据为：GB/T4897-2015《刨花板》</w:t>
            </w:r>
            <w:r>
              <w:rPr>
                <w:rFonts w:hint="eastAsia" w:ascii="宋体" w:hAnsi="宋体" w:cs="宋体"/>
                <w:b/>
                <w:bCs/>
                <w:color w:val="FF0000"/>
                <w:szCs w:val="21"/>
                <w:lang w:eastAsia="zh-CN"/>
              </w:rPr>
              <w:t>、</w:t>
            </w:r>
            <w:r>
              <w:rPr>
                <w:rFonts w:hint="eastAsia" w:ascii="宋体" w:hAnsi="宋体" w:cs="宋体"/>
                <w:b/>
                <w:bCs/>
                <w:color w:val="FF0000"/>
                <w:szCs w:val="21"/>
              </w:rPr>
              <w:t>GB18580-2017《室内装饰装修材料 人造板及其制品中甲醛释放限量》</w:t>
            </w:r>
            <w:r>
              <w:rPr>
                <w:rFonts w:hint="eastAsia" w:ascii="宋体" w:hAnsi="宋体" w:cs="宋体"/>
                <w:b/>
                <w:bCs/>
                <w:color w:val="FF0000"/>
                <w:szCs w:val="21"/>
                <w:lang w:eastAsia="zh-CN"/>
              </w:rPr>
              <w:t>、</w:t>
            </w:r>
            <w:r>
              <w:rPr>
                <w:rFonts w:hint="eastAsia" w:ascii="宋体" w:hAnsi="宋体" w:cs="宋体"/>
                <w:b/>
                <w:bCs/>
                <w:color w:val="FF0000"/>
                <w:szCs w:val="21"/>
              </w:rPr>
              <w:t>GB/T39600-2021《人造板及其制品甲醛释放量分级》</w:t>
            </w:r>
            <w:r>
              <w:rPr>
                <w:rFonts w:hint="eastAsia" w:ascii="宋体" w:hAnsi="宋体" w:cs="宋体"/>
                <w:b/>
                <w:bCs/>
                <w:color w:val="FF0000"/>
                <w:szCs w:val="21"/>
                <w:lang w:eastAsia="zh-CN"/>
              </w:rPr>
              <w:t>、</w:t>
            </w:r>
            <w:r>
              <w:rPr>
                <w:rFonts w:hint="eastAsia" w:ascii="宋体" w:hAnsi="宋体" w:cs="宋体"/>
                <w:b/>
                <w:bCs/>
                <w:color w:val="FF0000"/>
                <w:szCs w:val="21"/>
              </w:rPr>
              <w:t>GB/T35601-2017《绿色产品评价 人造板和木质地板》</w:t>
            </w:r>
            <w:r>
              <w:rPr>
                <w:rFonts w:hint="eastAsia" w:ascii="宋体" w:hAnsi="宋体" w:cs="宋体"/>
                <w:b/>
                <w:bCs/>
                <w:color w:val="FF0000"/>
                <w:szCs w:val="21"/>
                <w:lang w:eastAsia="zh-CN"/>
              </w:rPr>
              <w:t>、</w:t>
            </w:r>
            <w:r>
              <w:rPr>
                <w:rFonts w:hint="eastAsia" w:ascii="宋体" w:hAnsi="宋体" w:cs="宋体"/>
                <w:b/>
                <w:bCs/>
                <w:color w:val="FF0000"/>
                <w:szCs w:val="21"/>
              </w:rPr>
              <w:t>JC/T2039-2010《抗菌防霉木质装饰板》及《2024年家具及人造板产品抽样实施方案》，至少包含上述检测项目，并提供检测报告在全国认证认可信息公共服务平台网站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22</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射手座演示台</w:t>
            </w:r>
          </w:p>
        </w:tc>
        <w:tc>
          <w:tcPr>
            <w:tcW w:w="6521" w:type="dxa"/>
          </w:tcPr>
          <w:p>
            <w:pPr>
              <w:spacing w:line="360" w:lineRule="auto"/>
              <w:rPr>
                <w:rFonts w:ascii="宋体" w:hAnsi="宋体" w:cs="宋体"/>
                <w:szCs w:val="21"/>
              </w:rPr>
            </w:pPr>
            <w:r>
              <w:rPr>
                <w:rFonts w:hint="eastAsia" w:ascii="宋体" w:hAnsi="宋体" w:cs="宋体"/>
                <w:szCs w:val="21"/>
              </w:rPr>
              <w:t>22.1.规格：（W1400*D700*H900）mm±5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22.2.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22.3.</w:t>
            </w:r>
            <w:r>
              <w:rPr>
                <w:rFonts w:hint="eastAsia" w:ascii="宋体" w:hAnsi="宋体" w:cs="宋体"/>
                <w:szCs w:val="21"/>
                <w:shd w:val="clear" w:color="auto" w:fill="FFFFFF"/>
              </w:rPr>
              <w:t>烤漆工艺：6层喷涂（3底2面1光固化），哑光/亮光可选，光泽度≥90GU（60°光泽仪测试），无橘皮、流挂、颗粒，硬度≥2H，耐磨性≥500次。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22.4.表面烤漆工艺需均匀光滑，无色差，无划痕，烤漆层需具备防刮、耐污、易清洁等特性。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22.5.边缘及角落需进行圆滑处理，避免尖锐部分造成安全隐患。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b/>
                <w:bCs/>
                <w:color w:val="FF0000"/>
                <w:kern w:val="0"/>
                <w:szCs w:val="21"/>
                <w:lang w:bidi="ar"/>
              </w:rPr>
            </w:pPr>
            <w:r>
              <w:rPr>
                <w:rFonts w:hint="eastAsia" w:ascii="宋体" w:hAnsi="宋体" w:cs="宋体"/>
                <w:b/>
                <w:color w:val="FF0000"/>
                <w:szCs w:val="21"/>
              </w:rPr>
              <w:t>▲</w:t>
            </w:r>
            <w:r>
              <w:rPr>
                <w:rFonts w:hint="eastAsia" w:ascii="宋体" w:hAnsi="宋体" w:cs="宋体"/>
                <w:b/>
                <w:bCs/>
                <w:color w:val="FF0000"/>
                <w:szCs w:val="21"/>
              </w:rPr>
              <w:t>22.6</w:t>
            </w:r>
            <w:r>
              <w:rPr>
                <w:rFonts w:hint="eastAsia" w:ascii="宋体" w:hAnsi="宋体" w:cs="宋体"/>
                <w:b/>
                <w:bCs/>
                <w:color w:val="FF0000"/>
                <w:kern w:val="0"/>
                <w:szCs w:val="21"/>
                <w:lang w:bidi="ar"/>
              </w:rPr>
              <w:t>含水率6-8%；密度 ≥0.75 g/cm³ ；表面耐磨≤0.04g/100r，且漆膜未磨透；漆膜附着力不低于2级；漆膜硬度≥2H ；耐光色牢度≥4级；表面抗冲击、表面耐液性、表面耐冷热温差、耐干热、耐湿热均符合标准要求；甲醛释放量≤0.03mg/m³；可溶性铅、可溶性镉、可溶性铬、可溶性汞均未检出；TVOC：≤0.15 mg/m²•h；静曲强度≥25MPa；弹性模量≥3700MPa ；24h吸水厚度膨胀率≤1.5%；表面胶合强度≥1.3MPa。</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bCs/>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bCs/>
                <w:color w:val="FF0000"/>
                <w:szCs w:val="21"/>
              </w:rPr>
              <w:t xml:space="preserve"> CNAS 标识的油漆饰面板检验报告（提供扫描件，原件备查）。检测依据为：</w:t>
            </w:r>
            <w:r>
              <w:rPr>
                <w:rFonts w:hint="eastAsia" w:ascii="宋体" w:hAnsi="宋体" w:cs="宋体"/>
                <w:b/>
                <w:bCs/>
                <w:color w:val="FF0000"/>
                <w:kern w:val="0"/>
                <w:szCs w:val="21"/>
                <w:lang w:bidi="ar"/>
              </w:rPr>
              <w:t>GB/T 37005-2018《油漆饰面人造板》标准，至少包含上述检测项目</w:t>
            </w:r>
            <w:r>
              <w:rPr>
                <w:rFonts w:hint="eastAsia" w:ascii="宋体" w:hAnsi="宋体" w:cs="宋体"/>
                <w:b/>
                <w:bCs/>
                <w:color w:val="FF0000"/>
                <w:szCs w:val="21"/>
              </w:rPr>
              <w:t>，提供检测报告在全国认证认可信息公共服务平台网站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23</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双子座演示台</w:t>
            </w:r>
          </w:p>
        </w:tc>
        <w:tc>
          <w:tcPr>
            <w:tcW w:w="6521" w:type="dxa"/>
          </w:tcPr>
          <w:p>
            <w:pPr>
              <w:spacing w:line="360" w:lineRule="auto"/>
              <w:rPr>
                <w:rFonts w:ascii="宋体" w:hAnsi="宋体" w:cs="宋体"/>
                <w:szCs w:val="21"/>
              </w:rPr>
            </w:pPr>
            <w:r>
              <w:rPr>
                <w:rFonts w:hint="eastAsia" w:ascii="宋体" w:hAnsi="宋体" w:cs="宋体"/>
                <w:szCs w:val="21"/>
              </w:rPr>
              <w:t>23.1.规格：（W1200*D1000*H900）mm±5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23.2.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23.3.</w:t>
            </w:r>
            <w:r>
              <w:rPr>
                <w:rFonts w:hint="eastAsia" w:ascii="宋体" w:hAnsi="宋体" w:cs="宋体"/>
                <w:szCs w:val="21"/>
                <w:shd w:val="clear" w:color="auto" w:fill="FFFFFF"/>
              </w:rPr>
              <w:t>烤漆工艺：6层喷涂（3底2面1光固化），哑光/亮光可选，光泽度≥90GU（60°光泽仪测试），无橘皮、流挂、颗粒，硬度≥2H，耐磨性≥500次。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23.4.表面烤漆工艺需均匀光滑，无色差，无划痕，烤漆层需具备防刮、耐污、易清洁等特性。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23.5.边缘及角落需进行圆滑处理，避免尖锐部分造成安全隐患。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24</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课桌1</w:t>
            </w:r>
          </w:p>
        </w:tc>
        <w:tc>
          <w:tcPr>
            <w:tcW w:w="6521" w:type="dxa"/>
          </w:tcPr>
          <w:p>
            <w:pPr>
              <w:spacing w:line="360" w:lineRule="auto"/>
              <w:rPr>
                <w:rFonts w:ascii="宋体" w:hAnsi="宋体" w:cs="宋体"/>
                <w:szCs w:val="21"/>
              </w:rPr>
            </w:pPr>
            <w:r>
              <w:rPr>
                <w:rFonts w:hint="eastAsia" w:ascii="宋体" w:hAnsi="宋体" w:cs="宋体"/>
                <w:szCs w:val="21"/>
              </w:rPr>
              <w:t>24.1.规格：（1000W*500D*625~775H）mm±5mm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24.2.桌面材质：面板采用E0级25mm厚环保饰面刨花板板， 含水率在3%-5%；饰面整体板面正负误差在0.3mm以内,密度为0.85g/cm3、甲醛释放量≤0.05mg/m³，表面耐磨、防污、硬度高，不易变色；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24.3.钢脚：人字型钢脚上托采用3.5MM厚冷扎钢板一次冲压成型，前管为30*60*1.5八角冷扎钢管，后管为30*40*1.5八角冷扎钢管，整体焊接成人字型，焊接点少，表面经细致打磨处理，无痕无渣，接触人体或外露处部件无毛刺、刃口，整体轮廓感明显，更显美观，安全实用，钢架标准高度为725MM，底脚配刹车万向轮横梁：管材采用30*60*1.5MM（±0.1MM）椭圆管，配压铸铝合金接头与钢脚连接，紧密度高，灵活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24.4.涂饰：涂层厚度70-80um，经高温流平，固化等工序，使表面涂层达到耐蚀，耐酸，防锈。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25</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椅子1</w:t>
            </w:r>
          </w:p>
        </w:tc>
        <w:tc>
          <w:tcPr>
            <w:tcW w:w="6521" w:type="dxa"/>
          </w:tcPr>
          <w:p>
            <w:pPr>
              <w:spacing w:line="360" w:lineRule="auto"/>
              <w:rPr>
                <w:rFonts w:ascii="宋体" w:hAnsi="宋体" w:cs="宋体"/>
                <w:szCs w:val="21"/>
              </w:rPr>
            </w:pPr>
            <w:r>
              <w:rPr>
                <w:rFonts w:hint="eastAsia" w:ascii="宋体" w:hAnsi="宋体" w:cs="宋体"/>
                <w:szCs w:val="21"/>
              </w:rPr>
              <w:t>25.1.规格：标准。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25.2.椅背材质：采用PP+GF塑料一级新料注塑一体成型；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25.3.靠背设计内凹式曲线弧度设计，内凹50±2mm.能有效支撑人体背部脊椎重力，分担上半身靠后压力，使其身形端正。靠背设计带微笑拉手孔，微笑孔尺寸90mm×45mm，保证通风散热同时满足人体手掌使力，便于移动课椅，兼顾美观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25.4.椅座材质；采用PP+GF塑料一级新料注塑一体成型，规格：(W424*D420)mm±5mm.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23.5.坐垫人体工程学设计，坐垫前端需有流线型下垂设计，人体功能设计，分散上半身的所有重量，坐感舒适。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25.6.椅架材质：采用SPCC光亮眼管折弯焊接而成，表面经脱脂、磷化、水洗、烘干工艺处理，耐腐蚀、防锈；上管表面采用颗粒粉末，静电粉末喷涂，附着力特强，不脱漆，涂层无漏喷、锈蚀，光滑均匀，色泽一致，无流挂、疙瘩、皱皮、飞漆、无明显粒子、涨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25.7.椅架主管采用（34*16*1.8）mm±1mm ，上托管采用20mm*20mm*2mm方管冲孔、冲弧焊接而成，中间带有加强钢板，尺寸为240mm*108mm*3mm,增强椅架的牢固度。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25.8.功能：固定弓形课椅。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25.9.底扣、压条材质：ABS全新注塑一体成型；规格（W382*D180*H42）mm±2mm上面带有4个φ16圆孔装配压条用；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25.10.压条规格：（162*24*32）mm±2mm带有2个孔径φ11mm螺丝柱，螺丝柱内凹23mm用M4.2*25燕尾螺丝固定，使椅子能平稳放置桌面上，方便打扫卫生。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25.11.脚垫：材质：需采用 PP+GF全新塑料注塑一体成型；规格：①前脚垫尺寸：（24*30*43）mm±2mm②后脚垫尺寸：（83*23*60）mm±2mm。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rPr>
                <w:rFonts w:ascii="宋体" w:hAnsi="宋体" w:cs="宋体"/>
                <w:b/>
                <w:color w:val="FF0000"/>
                <w:kern w:val="21"/>
                <w:szCs w:val="21"/>
              </w:rPr>
            </w:pPr>
            <w:r>
              <w:rPr>
                <w:rFonts w:hint="eastAsia" w:ascii="宋体" w:hAnsi="宋体" w:cs="宋体"/>
                <w:b/>
                <w:color w:val="FF0000"/>
                <w:szCs w:val="21"/>
              </w:rPr>
              <w:t>▲25.12.</w:t>
            </w:r>
            <w:r>
              <w:rPr>
                <w:rFonts w:hint="eastAsia" w:ascii="宋体" w:hAnsi="宋体" w:cs="宋体"/>
                <w:b/>
                <w:color w:val="FF0000"/>
                <w:kern w:val="21"/>
                <w:szCs w:val="21"/>
              </w:rPr>
              <w:t>可迁移元素锑(Sb)、砷(As)、钡(Ba)、镉(Cd)、铬(Cr)、铅(Pb)、汞(Hg)、硒(Se)未检出；吸水性0.0042%；弯曲强度≥52MPa；拉伸强度≥30MPa，拉伸断裂标称应变10-11%；负荷变形温度68-70°；燃烧性(水平燃烧)20-21mm/min。</w:t>
            </w:r>
          </w:p>
          <w:p>
            <w:pPr>
              <w:jc w:val="left"/>
              <w:rPr>
                <w:rFonts w:ascii="宋体" w:hAnsi="宋体" w:cs="宋体"/>
                <w:color w:val="000000" w:themeColor="text1"/>
                <w:szCs w:val="21"/>
                <w14:textFill>
                  <w14:solidFill>
                    <w14:schemeClr w14:val="tx1"/>
                  </w14:solidFill>
                </w14:textFill>
              </w:rPr>
            </w:pPr>
            <w:r>
              <w:rPr>
                <w:rFonts w:hint="eastAsia" w:ascii="宋体" w:hAnsi="宋体" w:cs="宋体"/>
                <w:b/>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color w:val="FF0000"/>
                <w:szCs w:val="21"/>
              </w:rPr>
              <w:t xml:space="preserve"> CNAS 标识的环保PP塑料检验报告（提供扫描件，原件备查）。检测依据为：GB6675.4-2014 《玩具安全 第4部分：特定元素的迁移》、GB/T1034-2008《吸水性》、GB/T9341-2008《弯曲强度》、GB/T 1040.1-2018</w:t>
            </w:r>
            <w:r>
              <w:rPr>
                <w:rFonts w:hint="eastAsia" w:ascii="宋体" w:hAnsi="宋体" w:cs="宋体"/>
                <w:b/>
                <w:color w:val="FF0000"/>
                <w:szCs w:val="21"/>
                <w:lang w:val="en-US" w:eastAsia="zh-CN"/>
              </w:rPr>
              <w:t xml:space="preserve"> </w:t>
            </w:r>
            <w:r>
              <w:rPr>
                <w:rFonts w:hint="eastAsia" w:ascii="宋体" w:hAnsi="宋体" w:cs="宋体"/>
                <w:b/>
                <w:color w:val="FF0000"/>
                <w:szCs w:val="21"/>
              </w:rPr>
              <w:t>GB/T 1040.2-2022《拉伸强度，</w:t>
            </w:r>
            <w:r>
              <w:rPr>
                <w:rFonts w:hint="eastAsia" w:ascii="宋体" w:hAnsi="宋体" w:cs="宋体"/>
                <w:b/>
                <w:color w:val="FF0000"/>
                <w:kern w:val="21"/>
                <w:szCs w:val="21"/>
              </w:rPr>
              <w:t>拉伸断裂标称应变》、GB/T1634.1-2019</w:t>
            </w:r>
            <w:r>
              <w:rPr>
                <w:rFonts w:hint="eastAsia" w:ascii="宋体" w:hAnsi="宋体" w:cs="宋体"/>
                <w:b/>
                <w:color w:val="FF0000"/>
                <w:kern w:val="21"/>
                <w:szCs w:val="21"/>
                <w:lang w:val="en-US" w:eastAsia="zh-CN"/>
              </w:rPr>
              <w:t xml:space="preserve"> G</w:t>
            </w:r>
            <w:r>
              <w:rPr>
                <w:rFonts w:hint="eastAsia" w:ascii="宋体" w:hAnsi="宋体" w:cs="宋体"/>
                <w:b/>
                <w:color w:val="FF0000"/>
                <w:kern w:val="21"/>
                <w:szCs w:val="21"/>
              </w:rPr>
              <w:t>B/T1634.2-2019《负荷变形温度》</w:t>
            </w:r>
            <w:r>
              <w:rPr>
                <w:rFonts w:hint="eastAsia" w:ascii="宋体" w:hAnsi="宋体" w:cs="宋体"/>
                <w:b/>
                <w:color w:val="FF0000"/>
                <w:kern w:val="21"/>
                <w:szCs w:val="21"/>
                <w:lang w:eastAsia="zh-CN"/>
              </w:rPr>
              <w:t>、GB/T 2408-2021《</w:t>
            </w:r>
            <w:r>
              <w:rPr>
                <w:rFonts w:ascii="Helvetica" w:hAnsi="Helvetica" w:eastAsia="Helvetica" w:cs="Helvetica"/>
                <w:b/>
                <w:bCs/>
                <w:i w:val="0"/>
                <w:iCs w:val="0"/>
                <w:caps w:val="0"/>
                <w:color w:val="FF0000"/>
                <w:spacing w:val="0"/>
                <w:sz w:val="21"/>
                <w:szCs w:val="21"/>
                <w:shd w:val="clear" w:fill="FFFFFF"/>
              </w:rPr>
              <w:t>塑料 燃烧性能的测定 水平法和垂直法</w:t>
            </w:r>
            <w:r>
              <w:rPr>
                <w:rFonts w:hint="eastAsia" w:ascii="宋体" w:hAnsi="宋体" w:cs="宋体"/>
                <w:b/>
                <w:color w:val="FF0000"/>
                <w:kern w:val="21"/>
                <w:szCs w:val="21"/>
                <w:lang w:eastAsia="zh-CN"/>
              </w:rPr>
              <w:t>》</w:t>
            </w:r>
            <w:r>
              <w:rPr>
                <w:rFonts w:hint="eastAsia" w:ascii="宋体" w:hAnsi="宋体" w:cs="宋体"/>
                <w:b/>
                <w:color w:val="FF0000"/>
                <w:kern w:val="21"/>
                <w:szCs w:val="21"/>
              </w:rPr>
              <w:t>技术要求：至少包含上述检测项目，</w:t>
            </w:r>
            <w:r>
              <w:rPr>
                <w:rFonts w:hint="eastAsia" w:ascii="宋体" w:hAnsi="宋体" w:cs="宋体"/>
                <w:b/>
                <w:color w:val="FF0000"/>
                <w:szCs w:val="21"/>
              </w:rPr>
              <w:t>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26</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屏风桌</w:t>
            </w:r>
          </w:p>
        </w:tc>
        <w:tc>
          <w:tcPr>
            <w:tcW w:w="6521" w:type="dxa"/>
          </w:tcPr>
          <w:p>
            <w:pPr>
              <w:spacing w:line="360" w:lineRule="auto"/>
              <w:rPr>
                <w:rFonts w:ascii="宋体" w:hAnsi="宋体" w:cs="宋体"/>
                <w:szCs w:val="21"/>
              </w:rPr>
            </w:pPr>
            <w:r>
              <w:rPr>
                <w:rFonts w:hint="eastAsia" w:ascii="宋体" w:hAnsi="宋体" w:cs="宋体"/>
                <w:szCs w:val="21"/>
              </w:rPr>
              <w:t>26.1.规格(W1400*D600*H1100)±5mm，工作台面高：745±5mm；中间净空高：≥720mm；屏风厚度：35±2mm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26.2.工艺:隔断屏风为三级间色，其中走线屏风：铝合金框架+桌下走线槽（86面板孔）+钢板；非走线屏风：铝合金框架+玻璃+钢板。主屏风可悬挂小笔架，以及铭牌。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26.3.采用三聚氰胺饰面刨花板，经防潮、防虫、防腐处理，强度高、刚性好、不变形，各种物理、化学性能指标均达到国家标准。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26.4.屏风框架：框架屏风，采用6063-T5铝合金，厚度≥1.2mm,纯度高,色泽明亮, 无针孔及砂眼现象，密度均匀，不易断裂，铝含量达到93%以上；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26.5.台面采用三聚氰胺饰面刨花板板≥25mm，2.0mmPVC封边，面材：采用三聚氰胺浸渍胶膜纸饰面，耐划痕、耐磨性强、耐香烟灼烧、耐干热、耐污染腐蚀。基材：采用环保刨花板。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26.6.封边：采用2.0mm环保PVC封边条，全自动封边机，压力均匀、稳定，封边平顺，无明显胶线、无脱胶、爆边；可选配ABS封边条用激光封边机进行封边，严密的ABS封边起到很好的防水作用，也堵住了甲醛等有害物质向外泄露的通道，减缓了板材内有害物质的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26.7.五金：采用优质品牌五金，海福乐三节缓冲导轨、三合一链接件等；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widowControl/>
              <w:spacing w:line="240" w:lineRule="auto"/>
              <w:jc w:val="left"/>
              <w:rPr>
                <w:rFonts w:ascii="宋体" w:hAnsi="宋体" w:cs="宋体"/>
                <w:b/>
                <w:color w:val="FF0000"/>
                <w:kern w:val="0"/>
                <w:szCs w:val="21"/>
                <w:lang w:bidi="ar"/>
              </w:rPr>
            </w:pPr>
            <w:r>
              <w:rPr>
                <w:rFonts w:hint="eastAsia" w:ascii="宋体" w:hAnsi="宋体" w:cs="宋体"/>
                <w:b/>
                <w:color w:val="FF0000"/>
                <w:szCs w:val="21"/>
              </w:rPr>
              <w:t>▲</w:t>
            </w:r>
            <w:r>
              <w:rPr>
                <w:rFonts w:hint="eastAsia" w:ascii="宋体" w:hAnsi="宋体" w:cs="宋体"/>
                <w:b/>
                <w:bCs/>
                <w:color w:val="FF0000"/>
                <w:szCs w:val="21"/>
              </w:rPr>
              <w:t>26.8.</w:t>
            </w:r>
            <w:r>
              <w:rPr>
                <w:rFonts w:hint="eastAsia" w:ascii="宋体" w:hAnsi="宋体" w:cs="宋体"/>
                <w:b/>
                <w:color w:val="FF0000"/>
                <w:szCs w:val="21"/>
              </w:rPr>
              <w:t>中性盐雾试验（≥200h）：保护等级：≥9级，耐蚀等级≥9级；抗菌性能测试：金黄色葡萄球菌＞99%、大肠杆菌＞99%、大肠埃希氏菌＞99%、肺炎克雷伯氏菌＞99%.甲醛释放量≤0.07mg/（m2·h），苯、甲苯、二甲苯均未检出。总挥发性有机化合物≤0.01mg/（m2·h）。</w:t>
            </w:r>
            <w:r>
              <w:rPr>
                <w:rFonts w:hint="eastAsia" w:ascii="宋体" w:hAnsi="宋体" w:cs="宋体"/>
                <w:b/>
                <w:color w:val="FF0000"/>
                <w:kern w:val="0"/>
                <w:szCs w:val="21"/>
                <w:lang w:bidi="ar"/>
              </w:rPr>
              <w:t>屈服强度</w:t>
            </w:r>
            <w:r>
              <w:rPr>
                <w:rFonts w:hint="eastAsia" w:ascii="宋体" w:hAnsi="宋体" w:cs="宋体"/>
                <w:b/>
                <w:color w:val="FF0000"/>
                <w:szCs w:val="21"/>
              </w:rPr>
              <w:t>≥260MPa,</w:t>
            </w:r>
            <w:r>
              <w:rPr>
                <w:rFonts w:hint="eastAsia" w:ascii="宋体" w:hAnsi="宋体" w:cs="宋体"/>
                <w:b/>
                <w:color w:val="FF0000"/>
                <w:kern w:val="0"/>
                <w:szCs w:val="21"/>
                <w:lang w:bidi="ar"/>
              </w:rPr>
              <w:t>抗拉强度</w:t>
            </w:r>
            <w:r>
              <w:rPr>
                <w:rFonts w:hint="eastAsia" w:ascii="宋体" w:hAnsi="宋体" w:cs="宋体"/>
                <w:b/>
                <w:color w:val="FF0000"/>
                <w:szCs w:val="21"/>
              </w:rPr>
              <w:t>≥300MPa,</w:t>
            </w:r>
            <w:r>
              <w:rPr>
                <w:rFonts w:hint="eastAsia" w:ascii="宋体" w:hAnsi="宋体" w:cs="宋体"/>
                <w:b/>
                <w:color w:val="FF0000"/>
                <w:kern w:val="0"/>
                <w:szCs w:val="21"/>
                <w:lang w:bidi="ar"/>
              </w:rPr>
              <w:t>断后伸长率</w:t>
            </w:r>
            <w:r>
              <w:rPr>
                <w:rFonts w:hint="eastAsia" w:ascii="宋体" w:hAnsi="宋体" w:cs="宋体"/>
                <w:b/>
                <w:color w:val="FF0000"/>
                <w:szCs w:val="21"/>
              </w:rPr>
              <w:t>≥</w:t>
            </w:r>
            <w:r>
              <w:rPr>
                <w:rFonts w:hint="eastAsia" w:ascii="宋体" w:hAnsi="宋体" w:cs="宋体"/>
                <w:b/>
                <w:color w:val="FF0000"/>
                <w:kern w:val="0"/>
                <w:szCs w:val="21"/>
                <w:lang w:bidi="ar"/>
              </w:rPr>
              <w:t>35.0%。晶粒度≤9.5级，显微组织为：铁素体。</w:t>
            </w:r>
          </w:p>
          <w:p>
            <w:pPr>
              <w:widowControl/>
              <w:jc w:val="left"/>
              <w:rPr>
                <w:rFonts w:ascii="宋体" w:hAnsi="宋体" w:cs="宋体"/>
                <w:b/>
                <w:color w:val="FF0000"/>
                <w:kern w:val="0"/>
                <w:szCs w:val="21"/>
                <w:lang w:bidi="ar"/>
              </w:rPr>
            </w:pPr>
            <w:r>
              <w:rPr>
                <w:rFonts w:hint="eastAsia" w:ascii="宋体" w:hAnsi="宋体" w:cs="宋体"/>
                <w:b/>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color w:val="FF0000"/>
                <w:szCs w:val="21"/>
              </w:rPr>
              <w:t xml:space="preserve"> CNAS 标识的屏风检验报告（提供扫描件，原件备查）。检测依据为：</w:t>
            </w:r>
            <w:r>
              <w:rPr>
                <w:rFonts w:hint="eastAsia" w:ascii="宋体" w:hAnsi="宋体" w:cs="宋体"/>
                <w:b/>
                <w:color w:val="FF0000"/>
                <w:kern w:val="0"/>
                <w:szCs w:val="21"/>
                <w:lang w:bidi="ar"/>
              </w:rPr>
              <w:t>GB/T 22792.1-2009《办公家具屏风第1部分：尺寸》</w:t>
            </w:r>
            <w:r>
              <w:rPr>
                <w:rFonts w:hint="eastAsia" w:ascii="宋体" w:hAnsi="宋体" w:cs="宋体"/>
                <w:b/>
                <w:color w:val="FF0000"/>
                <w:szCs w:val="21"/>
              </w:rPr>
              <w:t xml:space="preserve">、 </w:t>
            </w:r>
            <w:r>
              <w:rPr>
                <w:rFonts w:hint="eastAsia" w:ascii="宋体" w:hAnsi="宋体" w:cs="宋体"/>
                <w:b/>
                <w:color w:val="FF0000"/>
                <w:kern w:val="0"/>
                <w:szCs w:val="21"/>
                <w:lang w:bidi="ar"/>
              </w:rPr>
              <w:t>GB 22792.2-2008《办公家具屏风第2部分：安全要求》、</w:t>
            </w:r>
            <w:r>
              <w:rPr>
                <w:rFonts w:hint="eastAsia" w:ascii="宋体" w:hAnsi="宋体" w:cs="宋体"/>
                <w:b/>
                <w:color w:val="FF0000"/>
                <w:szCs w:val="21"/>
              </w:rPr>
              <w:t>GB/T22792.3-2008《办公家具屏风第3部分：试验方法》、</w:t>
            </w:r>
            <w:r>
              <w:rPr>
                <w:rFonts w:hint="eastAsia" w:ascii="宋体" w:hAnsi="宋体" w:cs="宋体"/>
                <w:b/>
                <w:color w:val="FF0000"/>
                <w:kern w:val="0"/>
                <w:szCs w:val="21"/>
                <w:lang w:bidi="ar"/>
              </w:rPr>
              <w:t>QB/T 3826-1999《轻工产 品金属镀层和化学处理层的耐腐蚀试验方法 中性盐雾试验（NSS）法》、QB/T 3832-1999《轻工产品金属镀层腐蚀试验结果的评价》、JGJ/T 436-2018 《住宅建筑室内装修污染控制技术标准》</w:t>
            </w:r>
            <w:r>
              <w:rPr>
                <w:rFonts w:hint="eastAsia" w:ascii="宋体" w:hAnsi="宋体" w:cs="宋体"/>
                <w:b/>
                <w:color w:val="FF0000"/>
                <w:szCs w:val="21"/>
              </w:rPr>
              <w:t>、</w:t>
            </w:r>
            <w:r>
              <w:rPr>
                <w:rFonts w:hint="eastAsia" w:ascii="宋体" w:hAnsi="宋体" w:cs="宋体"/>
                <w:b/>
                <w:color w:val="FF0000"/>
                <w:kern w:val="0"/>
                <w:szCs w:val="21"/>
                <w:lang w:bidi="ar"/>
              </w:rPr>
              <w:t>QB/T 4371-2012 《家具抗菌性能的评价》GB/T 228.1-2021《金属材料 拉伸试验第 1 部分:室温试验方法》、GB/T 6394-2017《金属平均晶粒度测定方法》、GB/T 13298-2015《金属显微组织检验方法》标准，</w:t>
            </w:r>
            <w:r>
              <w:rPr>
                <w:rFonts w:hint="eastAsia" w:ascii="宋体" w:hAnsi="宋体" w:cs="宋体"/>
                <w:b/>
                <w:color w:val="FF0000"/>
                <w:szCs w:val="21"/>
              </w:rPr>
              <w:t>检测项目</w:t>
            </w:r>
            <w:r>
              <w:rPr>
                <w:rFonts w:hint="eastAsia" w:ascii="宋体" w:hAnsi="宋体" w:cs="宋体"/>
                <w:b/>
                <w:bCs/>
                <w:color w:val="FF0000"/>
                <w:szCs w:val="21"/>
              </w:rPr>
              <w:t>至少包含上述内容</w:t>
            </w:r>
            <w:r>
              <w:rPr>
                <w:rFonts w:hint="eastAsia" w:ascii="宋体" w:hAnsi="宋体" w:cs="宋体"/>
                <w:b/>
                <w:color w:val="FF0000"/>
                <w:szCs w:val="21"/>
              </w:rPr>
              <w:t>，</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FF0000"/>
                <w:szCs w:val="21"/>
              </w:rPr>
              <w:t>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27</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办公椅</w:t>
            </w:r>
          </w:p>
        </w:tc>
        <w:tc>
          <w:tcPr>
            <w:tcW w:w="6521" w:type="dxa"/>
          </w:tcPr>
          <w:p>
            <w:pPr>
              <w:spacing w:line="360" w:lineRule="auto"/>
              <w:rPr>
                <w:rFonts w:ascii="宋体" w:hAnsi="宋体" w:cs="宋体"/>
                <w:szCs w:val="21"/>
              </w:rPr>
            </w:pPr>
            <w:r>
              <w:rPr>
                <w:rFonts w:hint="eastAsia" w:ascii="宋体" w:hAnsi="宋体" w:cs="宋体"/>
                <w:szCs w:val="21"/>
              </w:rPr>
              <w:t>27.1.</w:t>
            </w:r>
            <w:r>
              <w:rPr>
                <w:rFonts w:hint="eastAsia" w:ascii="宋体" w:hAnsi="宋体" w:cs="宋体"/>
                <w:bCs/>
                <w:szCs w:val="21"/>
              </w:rPr>
              <w:t>规格：（W</w:t>
            </w:r>
            <w:r>
              <w:rPr>
                <w:rFonts w:hint="eastAsia" w:ascii="宋体" w:hAnsi="宋体" w:cs="宋体"/>
                <w:szCs w:val="21"/>
              </w:rPr>
              <w:t>690*D615*H1130-1205）mm</w:t>
            </w:r>
            <w:r>
              <w:rPr>
                <w:rFonts w:hint="eastAsia" w:ascii="宋体" w:hAnsi="宋体" w:cs="宋体"/>
                <w:kern w:val="0"/>
                <w:szCs w:val="21"/>
              </w:rPr>
              <w:t>±5mm。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27.2.背部独特机构，专利3D腰托，调节旋钮可实现3D扭动及上下调节，减压护脊，专利弹性护腰腰托，匹配多种坐姿；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27.3.扶手，3D升降扶手；4.BIFMA标准 2.0mmT 优质三档同步底盘，三挡快调，体验舒适后仰。可调节座椅高度；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27.4.四级防爆气压杆，具备品牌认证；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27.5.五星脚具备人体工学坐具的自适应脚踩踏装置，脚踩踏装置表面注塑一体成型防滑条，纵向长度117.5mm</w:t>
            </w:r>
            <w:r>
              <w:rPr>
                <w:rFonts w:hint="eastAsia" w:ascii="宋体" w:hAnsi="宋体" w:cs="宋体"/>
                <w:kern w:val="0"/>
                <w:szCs w:val="21"/>
              </w:rPr>
              <w:t>±2mm</w:t>
            </w:r>
            <w:r>
              <w:rPr>
                <w:rFonts w:hint="eastAsia" w:ascii="宋体" w:hAnsi="宋体" w:cs="宋体"/>
                <w:szCs w:val="21"/>
              </w:rPr>
              <w:t>。横向宽度前端36.5mm</w:t>
            </w:r>
            <w:r>
              <w:rPr>
                <w:rFonts w:hint="eastAsia" w:ascii="宋体" w:hAnsi="宋体" w:cs="宋体"/>
                <w:kern w:val="0"/>
                <w:szCs w:val="21"/>
              </w:rPr>
              <w:t>±2mm</w:t>
            </w:r>
            <w:r>
              <w:rPr>
                <w:rFonts w:hint="eastAsia" w:ascii="宋体" w:hAnsi="宋体" w:cs="宋体"/>
                <w:szCs w:val="21"/>
              </w:rPr>
              <w:t>，后端宽度50mm</w:t>
            </w:r>
            <w:r>
              <w:rPr>
                <w:rFonts w:hint="eastAsia" w:ascii="宋体" w:hAnsi="宋体" w:cs="宋体"/>
                <w:kern w:val="0"/>
                <w:szCs w:val="21"/>
              </w:rPr>
              <w:t>±2mm</w:t>
            </w:r>
            <w:r>
              <w:rPr>
                <w:rFonts w:hint="eastAsia" w:ascii="宋体" w:hAnsi="宋体" w:cs="宋体"/>
                <w:szCs w:val="21"/>
              </w:rPr>
              <w:t>。斜坡形高度曲线，前端高度29mm</w:t>
            </w:r>
            <w:r>
              <w:rPr>
                <w:rFonts w:hint="eastAsia" w:ascii="宋体" w:hAnsi="宋体" w:cs="宋体"/>
                <w:kern w:val="0"/>
                <w:szCs w:val="21"/>
              </w:rPr>
              <w:t>±2mm</w:t>
            </w:r>
            <w:r>
              <w:rPr>
                <w:rFonts w:hint="eastAsia" w:ascii="宋体" w:hAnsi="宋体" w:cs="宋体"/>
                <w:szCs w:val="21"/>
              </w:rPr>
              <w:t>，后断高度42.3mm</w:t>
            </w:r>
            <w:r>
              <w:rPr>
                <w:rFonts w:hint="eastAsia" w:ascii="宋体" w:hAnsi="宋体" w:cs="宋体"/>
                <w:kern w:val="0"/>
                <w:szCs w:val="21"/>
              </w:rPr>
              <w:t>±2mm</w:t>
            </w:r>
            <w:r>
              <w:rPr>
                <w:rFonts w:hint="eastAsia" w:ascii="宋体" w:hAnsi="宋体" w:cs="宋体"/>
                <w:szCs w:val="21"/>
              </w:rPr>
              <w:t>。五星脚外围直径703.5mm</w:t>
            </w:r>
            <w:r>
              <w:rPr>
                <w:rFonts w:hint="eastAsia" w:ascii="宋体" w:hAnsi="宋体" w:cs="宋体"/>
                <w:kern w:val="0"/>
                <w:szCs w:val="21"/>
              </w:rPr>
              <w:t>±2mm</w:t>
            </w:r>
            <w:r>
              <w:rPr>
                <w:rFonts w:hint="eastAsia" w:ascii="宋体" w:hAnsi="宋体" w:cs="宋体"/>
                <w:szCs w:val="21"/>
              </w:rPr>
              <w:t>，总高117mm</w:t>
            </w:r>
            <w:r>
              <w:rPr>
                <w:rFonts w:hint="eastAsia" w:ascii="宋体" w:hAnsi="宋体" w:cs="宋体"/>
                <w:kern w:val="0"/>
                <w:szCs w:val="21"/>
              </w:rPr>
              <w:t>±2mm</w:t>
            </w:r>
            <w:r>
              <w:rPr>
                <w:rFonts w:hint="eastAsia" w:ascii="宋体" w:hAnsi="宋体" w:cs="宋体"/>
                <w:szCs w:val="21"/>
              </w:rPr>
              <w:t>。大直径软质PU静音脚轮，防滑耐磨更安静；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27.6.植绒特网，经过120度热缩工艺，久坐不变形，零压拱形网框座垫，透气网面，零压力，久坐更轻松舒适；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27.7.黑色椅框+五星脚，高分子70%PA（尼龙）+30%GF（玻纤），承重≥150kg。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jc w:val="left"/>
              <w:rPr>
                <w:rFonts w:ascii="宋体" w:hAnsi="宋体" w:cs="宋体"/>
                <w:b/>
                <w:color w:val="FF0000"/>
                <w:szCs w:val="21"/>
              </w:rPr>
            </w:pPr>
            <w:r>
              <w:rPr>
                <w:rFonts w:hint="eastAsia" w:ascii="宋体" w:hAnsi="宋体" w:cs="宋体"/>
                <w:b/>
                <w:color w:val="FF0000"/>
                <w:szCs w:val="21"/>
              </w:rPr>
              <w:t>▲27.8.甲醛释放量：≤0.028mg/m2*h；轮径：≥60mm；偏心距：≥25mm；轮宽：≥2*12mm；轮间距：19.0±0.5mm；外观及装配、抗冲击性、静载荷、耐低温性能均符合要求；抗盐雾：无锈点；安全性能符合要求；椅背偏心度：≤140mm；外形对称度：≤5mm，座面左右水平偏差：≤2mm；着地平稳性：≤0.02mm；外观符合要求；椅子向前倾翻试验、扶手椅侧向倾翻试验、椅子向后倾翻试验均符合要求、座面冲击试验、扶手垂直向下静载荷试验、扶手水平静载荷试验、脚轮往复磨损试验、底座静载荷试验、椅背往复耐久性试验、倾斜机构试验、座面往复冲击耐久性、座面左右弯曲交替负荷耐久性试验、跌落试验均符合要求；阻燃性符合要求；抗菌性能测试：金黄色葡萄球菌＞99%、大肠杆菌＞99%、大肠埃希氏菌＞99%、肺炎克雷伯氏菌＞99%.泡沫塑料：密度（座面）≥67.5kg/m³；回弹性：≥48%；75%压缩永久变形：≤8%；耐干摩擦色牢度：径向：4-5级、纬向：4-5级；金属件涂层：附着力不低于1级。</w:t>
            </w:r>
          </w:p>
          <w:p>
            <w:pPr>
              <w:jc w:val="left"/>
              <w:rPr>
                <w:rFonts w:ascii="宋体" w:hAnsi="宋体" w:cs="宋体"/>
                <w:color w:val="000000" w:themeColor="text1"/>
                <w:szCs w:val="21"/>
                <w14:textFill>
                  <w14:solidFill>
                    <w14:schemeClr w14:val="tx1"/>
                  </w14:solidFill>
                </w14:textFill>
              </w:rPr>
            </w:pPr>
            <w:r>
              <w:rPr>
                <w:rFonts w:hint="eastAsia" w:ascii="宋体" w:hAnsi="宋体" w:cs="宋体"/>
                <w:b/>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color w:val="FF0000"/>
                <w:szCs w:val="21"/>
              </w:rPr>
              <w:t xml:space="preserve"> CNAS 标识的办公椅检验报告（提供扫描件，原件备查）。检测依据为：QB/T 2280-2016《办公家具 办公椅》、GB/T 35607-2017 《绿色产品评价家具》、GB/T 39223.3-2020《健康家居的人类工效学要求 第 3 部分：办公桌椅》、、QB∕T 5224-2018《办公椅用脚轮》、QB/T 5619-2021 《转椅底盘》、QB/T 4371-2012 《家具抗菌性能的评价》、FZ/T 62011.3-2016 《布艺类产品 第 3 部分 家具用纺织品》、GB/T 35611-2017 《绿色产品评价 纺织产品》、GB18401-2010 《国家纺织产品基本安全技术规范》，检测项目</w:t>
            </w:r>
            <w:r>
              <w:rPr>
                <w:rFonts w:hint="eastAsia" w:ascii="宋体" w:hAnsi="宋体" w:cs="宋体"/>
                <w:b/>
                <w:bCs/>
                <w:color w:val="FF0000"/>
                <w:szCs w:val="21"/>
              </w:rPr>
              <w:t>至少包含上述内容</w:t>
            </w:r>
            <w:r>
              <w:rPr>
                <w:rFonts w:hint="eastAsia" w:ascii="宋体" w:hAnsi="宋体" w:cs="宋体"/>
                <w:b/>
                <w:color w:val="FF0000"/>
                <w:szCs w:val="21"/>
              </w:rPr>
              <w:t>，并提供检测报告在全国认证认可信息公共服务平台网站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vMerge w:val="restart"/>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28</w:t>
            </w:r>
          </w:p>
        </w:tc>
        <w:tc>
          <w:tcPr>
            <w:tcW w:w="1134" w:type="dxa"/>
            <w:vMerge w:val="restart"/>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cs="宋体"/>
                <w:bCs/>
                <w:szCs w:val="21"/>
              </w:rPr>
              <w:t>PVC线管</w:t>
            </w:r>
          </w:p>
        </w:tc>
        <w:tc>
          <w:tcPr>
            <w:tcW w:w="6521" w:type="dxa"/>
          </w:tcPr>
          <w:p>
            <w:pPr>
              <w:rPr>
                <w:rFonts w:ascii="宋体" w:hAnsi="宋体" w:cs="宋体"/>
                <w:bCs/>
                <w:szCs w:val="21"/>
              </w:rPr>
            </w:pPr>
            <w:r>
              <w:rPr>
                <w:rFonts w:hint="eastAsia" w:ascii="宋体" w:hAnsi="宋体" w:cs="宋体"/>
                <w:bCs/>
                <w:szCs w:val="21"/>
              </w:rPr>
              <w:t>28.1.主材成分‌：聚氯乙烯（PVC）树脂，密度1.38-1.43g/cm³，，辅以增塑剂‌：提升耐寒性，阻燃剂阻燃性能≥B1级。‌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vMerge w:val="continue"/>
          </w:tcPr>
          <w:p>
            <w:pPr>
              <w:jc w:val="center"/>
            </w:pPr>
          </w:p>
        </w:tc>
        <w:tc>
          <w:tcPr>
            <w:tcW w:w="1134" w:type="dxa"/>
            <w:vMerge w:val="continue"/>
          </w:tcPr>
          <w:p/>
        </w:tc>
        <w:tc>
          <w:tcPr>
            <w:tcW w:w="6521" w:type="dxa"/>
          </w:tcPr>
          <w:p>
            <w:pPr>
              <w:rPr>
                <w:rFonts w:ascii="宋体" w:hAnsi="宋体" w:cs="宋体"/>
                <w:bCs/>
                <w:szCs w:val="21"/>
              </w:rPr>
            </w:pPr>
            <w:r>
              <w:rPr>
                <w:rFonts w:hint="eastAsia" w:ascii="宋体" w:hAnsi="宋体" w:cs="宋体"/>
                <w:bCs/>
                <w:szCs w:val="21"/>
              </w:rPr>
              <w:t>28.2.机械强度‌：抗拉强度≥40MPa，断裂伸长率≥200%，抗压强度≥50MPa。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vMerge w:val="continue"/>
          </w:tcPr>
          <w:p>
            <w:pPr>
              <w:jc w:val="center"/>
              <w:rPr>
                <w:rFonts w:ascii="宋体" w:hAnsi="宋体" w:cs="宋体"/>
                <w:b/>
                <w:szCs w:val="21"/>
              </w:rPr>
            </w:pPr>
          </w:p>
        </w:tc>
        <w:tc>
          <w:tcPr>
            <w:tcW w:w="1134" w:type="dxa"/>
            <w:vMerge w:val="continue"/>
          </w:tcPr>
          <w:p>
            <w:pPr>
              <w:rPr>
                <w:rFonts w:ascii="宋体" w:hAnsi="宋体" w:cs="宋体"/>
                <w:b/>
                <w:szCs w:val="21"/>
              </w:rPr>
            </w:pPr>
          </w:p>
        </w:tc>
        <w:tc>
          <w:tcPr>
            <w:tcW w:w="6521" w:type="dxa"/>
          </w:tcPr>
          <w:p>
            <w:pPr>
              <w:rPr>
                <w:rFonts w:ascii="宋体" w:hAnsi="宋体" w:cs="宋体"/>
                <w:bCs/>
                <w:szCs w:val="21"/>
              </w:rPr>
            </w:pPr>
            <w:r>
              <w:rPr>
                <w:rFonts w:hint="eastAsia" w:ascii="宋体" w:hAnsi="宋体" w:cs="宋体"/>
                <w:bCs/>
                <w:szCs w:val="21"/>
              </w:rPr>
              <w:t>28.3.甲醛释放量≤0.5mg/L（E0级），符合‌GB 18582-2020‌，可回收率≥90%。‌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vMerge w:val="continue"/>
          </w:tcPr>
          <w:p>
            <w:pPr>
              <w:jc w:val="center"/>
              <w:rPr>
                <w:rFonts w:ascii="宋体" w:hAnsi="宋体" w:cs="宋体"/>
                <w:b/>
                <w:szCs w:val="21"/>
              </w:rPr>
            </w:pPr>
          </w:p>
        </w:tc>
        <w:tc>
          <w:tcPr>
            <w:tcW w:w="1134" w:type="dxa"/>
            <w:vMerge w:val="continue"/>
          </w:tcPr>
          <w:p>
            <w:pPr>
              <w:rPr>
                <w:rFonts w:ascii="宋体" w:hAnsi="宋体" w:cs="宋体"/>
                <w:b/>
                <w:szCs w:val="21"/>
              </w:rPr>
            </w:pPr>
          </w:p>
        </w:tc>
        <w:tc>
          <w:tcPr>
            <w:tcW w:w="6521" w:type="dxa"/>
          </w:tcPr>
          <w:p>
            <w:pPr>
              <w:rPr>
                <w:rFonts w:ascii="宋体" w:hAnsi="宋体" w:cs="宋体"/>
                <w:bCs/>
                <w:szCs w:val="21"/>
              </w:rPr>
            </w:pPr>
            <w:r>
              <w:rPr>
                <w:rFonts w:hint="eastAsia" w:ascii="宋体" w:hAnsi="宋体" w:cs="宋体"/>
                <w:bCs/>
                <w:szCs w:val="21"/>
              </w:rPr>
              <w:t>28.4.管身印刷品牌标识（油墨附着力≥3B），壁厚误差≤±0.1mm。‌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 w:hRule="atLeast"/>
        </w:trPr>
        <w:tc>
          <w:tcPr>
            <w:tcW w:w="817" w:type="dxa"/>
            <w:vMerge w:val="continue"/>
          </w:tcPr>
          <w:p>
            <w:pPr>
              <w:jc w:val="center"/>
              <w:rPr>
                <w:rFonts w:ascii="宋体" w:hAnsi="宋体" w:cs="宋体"/>
                <w:b/>
                <w:szCs w:val="21"/>
              </w:rPr>
            </w:pPr>
          </w:p>
        </w:tc>
        <w:tc>
          <w:tcPr>
            <w:tcW w:w="1134" w:type="dxa"/>
            <w:vMerge w:val="continue"/>
          </w:tcPr>
          <w:p>
            <w:pPr>
              <w:rPr>
                <w:rFonts w:ascii="宋体" w:hAnsi="宋体" w:cs="宋体"/>
                <w:b/>
                <w:szCs w:val="21"/>
              </w:rPr>
            </w:pPr>
          </w:p>
        </w:tc>
        <w:tc>
          <w:tcPr>
            <w:tcW w:w="6521" w:type="dxa"/>
          </w:tcPr>
          <w:p>
            <w:pPr>
              <w:rPr>
                <w:rFonts w:ascii="宋体" w:hAnsi="宋体" w:cs="宋体"/>
                <w:b/>
                <w:szCs w:val="21"/>
              </w:rPr>
            </w:pPr>
            <w:r>
              <w:rPr>
                <w:rFonts w:hint="eastAsia" w:ascii="宋体" w:hAnsi="宋体" w:cs="宋体"/>
                <w:bCs/>
                <w:szCs w:val="21"/>
              </w:rPr>
              <w:t>28.5.外观无气泡/裂纹、尺寸精度（误差≤±0.5%）、耐压测试1.5倍工作压力保压1min无泄漏。最小弯曲半径≥管径×6倍。</w:t>
            </w:r>
            <w:r>
              <w:rPr>
                <w:rFonts w:hint="eastAsia" w:ascii="宋体" w:hAnsi="宋体" w:cs="宋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29</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插座</w:t>
            </w:r>
          </w:p>
        </w:tc>
        <w:tc>
          <w:tcPr>
            <w:tcW w:w="6521" w:type="dxa"/>
          </w:tcPr>
          <w:p>
            <w:pPr>
              <w:rPr>
                <w:rFonts w:ascii="宋体" w:hAnsi="宋体" w:cs="宋体"/>
                <w:szCs w:val="21"/>
              </w:rPr>
            </w:pPr>
            <w:r>
              <w:rPr>
                <w:rFonts w:hint="eastAsia" w:ascii="宋体" w:hAnsi="宋体" w:cs="宋体"/>
                <w:szCs w:val="21"/>
              </w:rPr>
              <w:t>29.1.额定电压：250V，额定电流：10A/16A（根据型号要求），</w:t>
            </w:r>
          </w:p>
          <w:p>
            <w:pPr>
              <w:rPr>
                <w:rFonts w:ascii="宋体" w:hAnsi="宋体" w:cs="宋体"/>
                <w:szCs w:val="21"/>
              </w:rPr>
            </w:pPr>
            <w:r>
              <w:rPr>
                <w:rFonts w:hint="eastAsia" w:ascii="宋体" w:hAnsi="宋体" w:cs="宋体"/>
                <w:szCs w:val="21"/>
              </w:rPr>
              <w:t>额定功率：2500W/4000W（根据型号要求）。插孔类型：符合国家标准，支持两脚、三脚插头，部分型号支持USB充电接口（5V/2.4A）。阻燃性能：外壳材料需达到UL94 V-0级阻燃标准。</w:t>
            </w:r>
          </w:p>
          <w:p>
            <w:pPr>
              <w:spacing w:line="360" w:lineRule="auto"/>
              <w:rPr>
                <w:rFonts w:ascii="宋体" w:hAnsi="宋体" w:cs="宋体"/>
                <w:szCs w:val="21"/>
              </w:rPr>
            </w:pPr>
            <w:r>
              <w:rPr>
                <w:rFonts w:hint="eastAsia" w:ascii="宋体" w:hAnsi="宋体" w:cs="宋体"/>
                <w:szCs w:val="21"/>
              </w:rPr>
              <w:t>电气寿命：插拔次数≥10,000次。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rPr>
                <w:rFonts w:ascii="宋体" w:hAnsi="宋体" w:cs="宋体"/>
                <w:szCs w:val="21"/>
              </w:rPr>
            </w:pPr>
            <w:r>
              <w:rPr>
                <w:rFonts w:hint="eastAsia" w:ascii="宋体" w:hAnsi="宋体" w:cs="宋体"/>
                <w:szCs w:val="21"/>
              </w:rPr>
              <w:t>29.2.外壳材料：采用优质阻燃PC材料，耐高温、抗冲击、抗老化，内部导体：采用高纯度铜材，导电性能优异，厚度≥0.5mm。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29.3.焊接工艺：内部连接点采用无铅焊接，确保稳定性和环保性。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rPr>
                <w:rFonts w:ascii="宋体" w:hAnsi="宋体" w:cs="宋体"/>
                <w:szCs w:val="21"/>
              </w:rPr>
            </w:pPr>
            <w:r>
              <w:rPr>
                <w:rFonts w:hint="eastAsia" w:ascii="宋体" w:hAnsi="宋体" w:cs="宋体"/>
                <w:szCs w:val="21"/>
              </w:rPr>
              <w:t>29.4.开关设计：带独立开关控制，开关手感顺滑，寿命≥10,000次。指示灯：开关带电源指示灯，清晰直观。插孔间距≥42mm，避免插头相互干扰。5USB接口（可选）：支持智能识别设备，输出电流5V/2.4A，充电效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29.5.机械寿命：开关、插孔等机械部件寿命≥10,000次，在高温环境下（≥75℃）长期使用不变形，在潮湿环境下（湿度≥95%）长期使用不生锈。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29.6.</w:t>
            </w:r>
            <w:r>
              <w:rPr>
                <w:rStyle w:val="21"/>
                <w:rFonts w:hint="eastAsia" w:ascii="宋体" w:hAnsi="宋体" w:cs="宋体"/>
                <w:b w:val="0"/>
                <w:bCs w:val="0"/>
                <w:szCs w:val="21"/>
              </w:rPr>
              <w:t>安装要求：插座安装需符合国家电气安装规范(GB50303-2015)，确保接线正确、牢固。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30</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星球吊灯</w:t>
            </w:r>
          </w:p>
        </w:tc>
        <w:tc>
          <w:tcPr>
            <w:tcW w:w="6521" w:type="dxa"/>
          </w:tcPr>
          <w:p>
            <w:pPr>
              <w:spacing w:line="360" w:lineRule="auto"/>
              <w:rPr>
                <w:rFonts w:ascii="宋体" w:hAnsi="宋体" w:cs="宋体"/>
                <w:szCs w:val="21"/>
              </w:rPr>
            </w:pPr>
            <w:r>
              <w:rPr>
                <w:rFonts w:hint="eastAsia" w:ascii="宋体" w:hAnsi="宋体" w:cs="宋体"/>
                <w:szCs w:val="21"/>
              </w:rPr>
              <w:t>30.1.材质要求：主体框架采用优质金属材料(如不锈钢、铝合金等)，表面经过防锈、防腐处理(如电镀、烤漆)。星球灯罩材质可选亚克力、玻璃、树脂等，需透光性好、耐高温、易清洁。采用LED光源，色温可调(如3000K暖白光、4000K自然光、6000K冷白光)，显色指数。(CRI)≥80。光源寿命≥50000小时，光衰≤20%。电气元件:驱动电源需符合国家3C认证标准，效率≥90%，功率因数≥0.9。电线采用阻燃型铜芯线(如ZR-BV)，线径符合负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30.2.结构要求：整体结构稳固，承重能力强，无明显晃动。</w:t>
            </w:r>
          </w:p>
          <w:p>
            <w:pPr>
              <w:spacing w:line="360" w:lineRule="auto"/>
              <w:rPr>
                <w:rFonts w:ascii="宋体" w:hAnsi="宋体" w:cs="宋体"/>
                <w:szCs w:val="21"/>
              </w:rPr>
            </w:pPr>
            <w:r>
              <w:rPr>
                <w:rFonts w:hint="eastAsia" w:ascii="宋体" w:hAnsi="宋体" w:cs="宋体"/>
                <w:szCs w:val="21"/>
              </w:rPr>
              <w:t>星球吊灯直径可根据需求定制，常见规格为500mm-1500mm。</w:t>
            </w:r>
          </w:p>
          <w:p>
            <w:pPr>
              <w:spacing w:line="360" w:lineRule="auto"/>
              <w:rPr>
                <w:rFonts w:ascii="宋体" w:hAnsi="宋体" w:cs="宋体"/>
                <w:szCs w:val="21"/>
              </w:rPr>
            </w:pPr>
            <w:r>
              <w:rPr>
                <w:rFonts w:hint="eastAsia" w:ascii="宋体" w:hAnsi="宋体" w:cs="宋体"/>
                <w:szCs w:val="21"/>
              </w:rPr>
              <w:t>吊链或吊杆长度可调，安装高度符合设计要求(一般距地面≥2.2m)。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30.3.安装要求：安装位置需符合设计要求，确保灯具居中、水平。</w:t>
            </w:r>
          </w:p>
          <w:p>
            <w:pPr>
              <w:spacing w:line="360" w:lineRule="auto"/>
              <w:rPr>
                <w:rFonts w:ascii="宋体" w:hAnsi="宋体" w:cs="宋体"/>
                <w:szCs w:val="21"/>
              </w:rPr>
            </w:pPr>
            <w:r>
              <w:rPr>
                <w:rFonts w:hint="eastAsia" w:ascii="宋体" w:hAnsi="宋体" w:cs="宋体"/>
                <w:szCs w:val="21"/>
              </w:rPr>
              <w:t>吊链或吊杆安装牢固，承重能力≥灯具重量的2倍，电源接线规范，接地可靠，无裸露线头。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30.4.环保要求：所有材料需符合国家环保标准，提供相关检测报告(如RoHS认证)。LED光源需符合《普通照明用LED模块安全规范》(GB 24819-2009)要求。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31</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圆环吊灯</w:t>
            </w:r>
          </w:p>
        </w:tc>
        <w:tc>
          <w:tcPr>
            <w:tcW w:w="6521" w:type="dxa"/>
          </w:tcPr>
          <w:p>
            <w:pPr>
              <w:spacing w:line="360" w:lineRule="auto"/>
              <w:rPr>
                <w:rFonts w:ascii="宋体" w:hAnsi="宋体" w:cs="宋体"/>
                <w:szCs w:val="21"/>
              </w:rPr>
            </w:pPr>
            <w:r>
              <w:rPr>
                <w:rFonts w:hint="eastAsia" w:ascii="宋体" w:hAnsi="宋体" w:cs="宋体"/>
                <w:szCs w:val="21"/>
              </w:rPr>
              <w:t>31.1.灯体材质:主体框架采用优质金属材料(如不锈钢、铝合金等)，表面经过防锈、防腐处理(如电镀、烤漆)。灯罩材质可选玻璃、亚克力、水晶等，需透光性好、耐高温、易清洁。采用LED光源，色温可调(如3000K暖白光、4000K自然光、6000K冷白光)，显色指数(CRI)≥80。光源寿命≥50000小时，光衰≤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31.2.电气元件:驱动电源需符合国家3C认证标准，效率≥90%，功率因数≥0.9。电线采用阻燃型铜芯线(如ZR-BV)，线径符合负载要求。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31.3.结构要求：整体结构稳固，承重能力强，无明显晃动。</w:t>
            </w:r>
          </w:p>
          <w:p>
            <w:pPr>
              <w:spacing w:line="360" w:lineRule="auto"/>
              <w:rPr>
                <w:rFonts w:ascii="宋体" w:hAnsi="宋体" w:cs="宋体"/>
                <w:szCs w:val="21"/>
              </w:rPr>
            </w:pPr>
            <w:r>
              <w:rPr>
                <w:rFonts w:hint="eastAsia" w:ascii="宋体" w:hAnsi="宋体" w:cs="宋体"/>
                <w:szCs w:val="21"/>
              </w:rPr>
              <w:t>圆环吊灯直径可根据需求定制，常见规格为800mm-2000mm。</w:t>
            </w:r>
          </w:p>
          <w:p>
            <w:pPr>
              <w:spacing w:line="360" w:lineRule="auto"/>
              <w:rPr>
                <w:rFonts w:ascii="宋体" w:hAnsi="宋体" w:cs="宋体"/>
                <w:szCs w:val="21"/>
              </w:rPr>
            </w:pPr>
            <w:r>
              <w:rPr>
                <w:rFonts w:hint="eastAsia" w:ascii="宋体" w:hAnsi="宋体" w:cs="宋体"/>
                <w:szCs w:val="21"/>
              </w:rPr>
              <w:t>吊链或吊杆长度可调，安装高度符合设计要求(一般距地面≥2.2m)。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31.4.环保要求：所有材料需符合国家环保标准，提供相关检测报告(如RoHS认证)。LED光源需符合《普通照明用LED模块安全规范》(GB 24819-2009)要求。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17" w:type="dxa"/>
            <w:vMerge w:val="restart"/>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32</w:t>
            </w:r>
          </w:p>
        </w:tc>
        <w:tc>
          <w:tcPr>
            <w:tcW w:w="1134" w:type="dxa"/>
            <w:vMerge w:val="restart"/>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中纤板</w:t>
            </w:r>
          </w:p>
        </w:tc>
        <w:tc>
          <w:tcPr>
            <w:tcW w:w="6521" w:type="dxa"/>
          </w:tcPr>
          <w:p>
            <w:pPr>
              <w:spacing w:line="360" w:lineRule="auto"/>
              <w:rPr>
                <w:rFonts w:ascii="宋体" w:hAnsi="宋体" w:cs="宋体"/>
                <w:szCs w:val="21"/>
              </w:rPr>
            </w:pPr>
            <w:r>
              <w:rPr>
                <w:rFonts w:hint="eastAsia" w:ascii="宋体" w:hAnsi="宋体" w:cs="宋体"/>
                <w:szCs w:val="21"/>
              </w:rPr>
              <w:t>32.1.基材采用中密度纤维板≥18mm，面贴喷绘。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17" w:type="dxa"/>
            <w:vMerge w:val="continue"/>
          </w:tcPr>
          <w:p>
            <w:pPr>
              <w:spacing w:line="360" w:lineRule="auto"/>
              <w:jc w:val="center"/>
            </w:pPr>
          </w:p>
        </w:tc>
        <w:tc>
          <w:tcPr>
            <w:tcW w:w="1134" w:type="dxa"/>
            <w:vMerge w:val="continue"/>
          </w:tcPr>
          <w:p>
            <w:pPr>
              <w:spacing w:line="360" w:lineRule="auto"/>
            </w:pPr>
          </w:p>
        </w:tc>
        <w:tc>
          <w:tcPr>
            <w:tcW w:w="6521" w:type="dxa"/>
          </w:tcPr>
          <w:p>
            <w:pPr>
              <w:spacing w:line="360" w:lineRule="auto"/>
              <w:rPr>
                <w:rFonts w:ascii="宋体" w:hAnsi="宋体" w:cs="宋体"/>
                <w:szCs w:val="21"/>
              </w:rPr>
            </w:pPr>
            <w:r>
              <w:rPr>
                <w:rFonts w:hint="eastAsia" w:ascii="宋体" w:hAnsi="宋体" w:cs="宋体"/>
                <w:szCs w:val="21"/>
              </w:rPr>
              <w:t>32.2.印刷技术：采用高清UV喷绘或写真喷绘技术，分辨率≥720dpi。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hint="eastAsia" w:ascii="宋体" w:hAnsi="宋体" w:eastAsia="宋体" w:cs="宋体"/>
                <w:b/>
                <w:color w:val="FF0000"/>
                <w:szCs w:val="21"/>
                <w:lang w:eastAsia="zh-CN"/>
              </w:rPr>
            </w:pPr>
            <w:r>
              <w:rPr>
                <w:rFonts w:hint="eastAsia" w:ascii="宋体" w:hAnsi="宋体" w:cs="宋体"/>
                <w:b/>
                <w:color w:val="FF0000"/>
                <w:szCs w:val="21"/>
              </w:rPr>
              <w:t>▲32.3.含水率4%~5%，吸水厚度膨胀率≤4.5%，内胶合强度≥1.4Mpa，表面胶合强度≥0.9Mpa，静曲强度≥34Mpa，弹性模量≥4000Mpa，板面握钉力≥1800N，板边握钉力≥1100N，甲醛释放量(1m³ 气候箱法)未检出，苯、甲苯、二甲苯未检出，总挥发性有机物未检出。抗菌性能：金黄色葡萄球菌≥99%，大肠埃希氏菌(大肠杆菌)≥99%，鼠伤寒沙门氏菌≥99%</w:t>
            </w:r>
            <w:r>
              <w:rPr>
                <w:rFonts w:hint="eastAsia" w:ascii="宋体" w:hAnsi="宋体" w:cs="宋体"/>
                <w:b/>
                <w:color w:val="FF0000"/>
                <w:szCs w:val="21"/>
                <w:lang w:eastAsia="zh-CN"/>
              </w:rPr>
              <w:t>。</w:t>
            </w:r>
          </w:p>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b/>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color w:val="FF0000"/>
                <w:szCs w:val="21"/>
              </w:rPr>
              <w:t xml:space="preserve"> CNAS 标识的中密度纤维板检验报告（提供扫描件，原件备查）。检测依据为：GB/T11718-2021《中密度纤维板》GB18580-2017《室内装饰材料 人造板及其制品甲醛释装其制品中甲醛释放限量》 GB/T39600-2021《人造板及其甲醛释放量分级》GB/T 35601-2017《绿色产品评价 人造板和木质地板》 JC/T2039-2010《抗菌防霉木质装饰板》及《2024年家具及人造板产品抽样检验实施方案》标准，检测项目至少包含上述内容，并提供检测报告在全国认证认可信息公共服务平台网站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33</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蜂巢柜</w:t>
            </w:r>
          </w:p>
        </w:tc>
        <w:tc>
          <w:tcPr>
            <w:tcW w:w="6521" w:type="dxa"/>
          </w:tcPr>
          <w:p>
            <w:pPr>
              <w:spacing w:line="360" w:lineRule="auto"/>
              <w:rPr>
                <w:rFonts w:ascii="宋体" w:hAnsi="宋体" w:cs="宋体"/>
                <w:szCs w:val="21"/>
              </w:rPr>
            </w:pPr>
            <w:r>
              <w:rPr>
                <w:rFonts w:hint="eastAsia" w:ascii="宋体" w:hAnsi="宋体" w:cs="宋体"/>
                <w:szCs w:val="21"/>
              </w:rPr>
              <w:t>33.1.规格：（4371W*600D*900H）mm±5</w:t>
            </w:r>
            <w:r>
              <w:rPr>
                <w:rFonts w:hint="eastAsia" w:ascii="宋体" w:hAnsi="宋体" w:cs="宋体"/>
                <w:szCs w:val="21"/>
                <w:lang w:val="en-US" w:eastAsia="zh-CN"/>
              </w:rPr>
              <w:t>0</w:t>
            </w:r>
            <w:r>
              <w:rPr>
                <w:rFonts w:hint="eastAsia" w:ascii="宋体" w:hAnsi="宋体" w:cs="宋体"/>
                <w:szCs w:val="21"/>
              </w:rPr>
              <w:t>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33.2.</w:t>
            </w:r>
            <w:r>
              <w:rPr>
                <w:rStyle w:val="21"/>
                <w:rFonts w:hint="eastAsia" w:ascii="宋体" w:hAnsi="宋体" w:cs="宋体"/>
                <w:b w:val="0"/>
                <w:bCs w:val="0"/>
                <w:szCs w:val="21"/>
              </w:rPr>
              <w:t>基材</w:t>
            </w:r>
            <w:r>
              <w:rPr>
                <w:rFonts w:hint="eastAsia" w:ascii="宋体" w:hAnsi="宋体" w:cs="宋体"/>
                <w:szCs w:val="21"/>
              </w:rPr>
              <w:t>‌</w:t>
            </w:r>
            <w:r>
              <w:rPr>
                <w:rFonts w:hint="eastAsia" w:ascii="宋体" w:hAnsi="宋体" w:cs="宋体"/>
                <w:szCs w:val="21"/>
                <w:shd w:val="clear" w:color="auto" w:fill="FFFFFF"/>
              </w:rPr>
              <w:t>：采用E1级实木多层板，厚度≥18mm，表面白色烤漆层厚度≥1.0mm，平整度误差≤0.5mm/㎡。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33.3.</w:t>
            </w:r>
            <w:r>
              <w:rPr>
                <w:rFonts w:hint="eastAsia" w:ascii="宋体" w:hAnsi="宋体" w:cs="宋体"/>
                <w:szCs w:val="21"/>
                <w:shd w:val="clear" w:color="auto" w:fill="FFFFFF"/>
              </w:rPr>
              <w:t>烤漆工艺：6层喷涂（3底2面1光固化），哑光/亮光可选，光泽度≥90GU（60°光泽仪测试），无橘皮、流挂、颗粒，硬度≥2H，耐磨性≥500次。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33.4.表面烤漆工艺需均匀光滑，无色差，无划痕，烤漆层需具备防刮、耐污、易清洁等特性。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33.5.边缘及角落需进行圆滑处理，避免尖锐部分造成安全隐患。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34</w:t>
            </w:r>
          </w:p>
        </w:tc>
        <w:tc>
          <w:tcPr>
            <w:tcW w:w="1134" w:type="dxa"/>
            <w:vMerge w:val="restart"/>
          </w:tcPr>
          <w:p>
            <w:pPr>
              <w:spacing w:line="360" w:lineRule="auto"/>
              <w:jc w:val="center"/>
              <w:rPr>
                <w:rFonts w:ascii="宋体" w:hAnsi="宋体" w:cs="宋体"/>
                <w:bCs/>
                <w:szCs w:val="21"/>
              </w:rPr>
            </w:pPr>
            <w:r>
              <w:rPr>
                <w:rFonts w:hint="eastAsia" w:ascii="宋体" w:hAnsi="宋体" w:cs="宋体"/>
                <w:bCs/>
                <w:szCs w:val="21"/>
              </w:rPr>
              <w:t>讲台</w:t>
            </w:r>
          </w:p>
        </w:tc>
        <w:tc>
          <w:tcPr>
            <w:tcW w:w="6521" w:type="dxa"/>
          </w:tcPr>
          <w:p>
            <w:pPr>
              <w:spacing w:line="360" w:lineRule="auto"/>
              <w:rPr>
                <w:rFonts w:ascii="宋体" w:hAnsi="宋体" w:cs="宋体"/>
                <w:szCs w:val="21"/>
              </w:rPr>
            </w:pPr>
            <w:r>
              <w:rPr>
                <w:rFonts w:hint="eastAsia" w:ascii="宋体" w:hAnsi="宋体" w:cs="宋体"/>
                <w:szCs w:val="21"/>
              </w:rPr>
              <w:t>34.1.规格：（1000W*600D*900H）mm±5mm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34.2.主体材质：优质环保板材E1级多层夹板，表面贴防火板或烤漆处理，确保耐用、防潮、防火。耐磨、防滑、易清洁的材料（如防火板或抗倍特板）。不锈钢或冷轧钢，表面防锈处理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rPr>
                <w:rFonts w:ascii="宋体" w:hAnsi="宋体" w:cs="宋体"/>
                <w:szCs w:val="21"/>
              </w:rPr>
            </w:pPr>
            <w:r>
              <w:rPr>
                <w:rFonts w:hint="eastAsia" w:ascii="宋体" w:hAnsi="宋体" w:cs="宋体"/>
                <w:szCs w:val="21"/>
              </w:rPr>
              <w:t>34.3.结构要求：结构稳固，承重能力强，无明显晃动。预留线缆管理空间，方便电源线、数据线等布线。高度符合人体工程学设计，便于使用者长时间站立操作</w:t>
            </w:r>
            <w:r>
              <w:rPr>
                <w:rStyle w:val="21"/>
                <w:rFonts w:hint="eastAsia" w:ascii="宋体" w:hAnsi="宋体" w:cs="宋体"/>
                <w:b w:val="0"/>
                <w:bCs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34.4.外观要求：表面处理平整光滑，无色差、划痕、凹陷等缺陷。</w:t>
            </w:r>
          </w:p>
          <w:p>
            <w:pPr>
              <w:spacing w:line="360" w:lineRule="auto"/>
              <w:rPr>
                <w:rFonts w:ascii="宋体" w:hAnsi="宋体" w:cs="宋体"/>
                <w:szCs w:val="21"/>
              </w:rPr>
            </w:pPr>
            <w:r>
              <w:rPr>
                <w:rFonts w:hint="eastAsia" w:ascii="宋体" w:hAnsi="宋体" w:cs="宋体"/>
                <w:szCs w:val="21"/>
              </w:rPr>
              <w:t>边角处理圆滑，无毛刺，符合安全标准。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34.5.环保要求：所有材料需符合国家环保标准，表面涂料需为环保型，无毒无害，符合GB 18581-2020《室内装饰装修材料溶剂型木器涂料中有害物质限量》标准。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35</w:t>
            </w:r>
          </w:p>
        </w:tc>
        <w:tc>
          <w:tcPr>
            <w:tcW w:w="1134" w:type="dxa"/>
            <w:vMerge w:val="restart"/>
          </w:tcPr>
          <w:p>
            <w:pPr>
              <w:spacing w:line="360" w:lineRule="auto"/>
              <w:jc w:val="center"/>
              <w:rPr>
                <w:rFonts w:ascii="宋体" w:hAnsi="宋体" w:cs="宋体"/>
              </w:rPr>
            </w:pPr>
            <w:r>
              <w:rPr>
                <w:rFonts w:hint="eastAsia" w:ascii="宋体" w:hAnsi="宋体" w:cs="宋体"/>
              </w:rPr>
              <w:t>课桌2</w:t>
            </w:r>
          </w:p>
        </w:tc>
        <w:tc>
          <w:tcPr>
            <w:tcW w:w="6521" w:type="dxa"/>
          </w:tcPr>
          <w:p>
            <w:pPr>
              <w:spacing w:line="360" w:lineRule="auto"/>
              <w:rPr>
                <w:rFonts w:ascii="宋体" w:hAnsi="宋体" w:cs="宋体"/>
                <w:szCs w:val="21"/>
              </w:rPr>
            </w:pPr>
            <w:r>
              <w:rPr>
                <w:rFonts w:hint="eastAsia" w:ascii="宋体" w:hAnsi="宋体" w:cs="宋体"/>
                <w:szCs w:val="21"/>
              </w:rPr>
              <w:t>35.1.规格：（1000W*500D*625~775H）mm±5mm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35.2.桌面材质：面板采用E0级25mm厚MFC板， 含水率在3%-5%；整体板面正负误差在0.3mm以内,密度为0.85g/cm3、甲醛释放量≤0.05mg/m³，表面耐磨、防污、硬度高，不易变色；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35.3.钢脚：人字型钢脚上托采用3.5MM厚冷扎钢板一次冲压成型，前管为30*60*1.5八角冷扎钢管，后管为30*40*1.5八角冷扎钢管，整体焊接成人字型，焊接点少，表面经细致打磨处理，无痕无渣，接触人体或外露处部件无毛刺、刃口，整体轮廓感明显，更显美观，安全实用，钢架标准高度为725MM，底脚配刹车万向轮横梁：管材30*60*1.5MM（±0.1MM）椭圆管，铸铝合金接头与钢脚连接，紧密度高，灵活便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35.4.涂饰：磷化表面防锈，涂层厚度70-80um，高温流平</w:t>
            </w:r>
            <w:r>
              <w:rPr>
                <w:rFonts w:hint="eastAsia" w:ascii="宋体" w:hAnsi="宋体" w:cs="宋体"/>
                <w:szCs w:val="21"/>
                <w:lang w:eastAsia="zh-CN"/>
              </w:rPr>
              <w:t>、</w:t>
            </w:r>
            <w:r>
              <w:rPr>
                <w:rFonts w:hint="eastAsia" w:ascii="宋体" w:hAnsi="宋体" w:cs="宋体"/>
                <w:szCs w:val="21"/>
              </w:rPr>
              <w:t>固化，表面涂层耐蚀，耐酸，防锈。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36</w:t>
            </w:r>
          </w:p>
        </w:tc>
        <w:tc>
          <w:tcPr>
            <w:tcW w:w="1134" w:type="dxa"/>
            <w:vMerge w:val="restart"/>
          </w:tcPr>
          <w:p>
            <w:pPr>
              <w:spacing w:line="360" w:lineRule="auto"/>
              <w:jc w:val="center"/>
              <w:rPr>
                <w:rFonts w:ascii="宋体" w:hAnsi="宋体" w:cs="宋体"/>
              </w:rPr>
            </w:pPr>
            <w:r>
              <w:rPr>
                <w:rFonts w:hint="eastAsia" w:ascii="宋体" w:hAnsi="宋体" w:cs="宋体"/>
              </w:rPr>
              <w:t>椅子2</w:t>
            </w:r>
          </w:p>
        </w:tc>
        <w:tc>
          <w:tcPr>
            <w:tcW w:w="6521" w:type="dxa"/>
          </w:tcPr>
          <w:p>
            <w:pPr>
              <w:spacing w:line="360" w:lineRule="auto"/>
              <w:rPr>
                <w:rFonts w:ascii="宋体" w:hAnsi="宋体" w:cs="宋体"/>
                <w:szCs w:val="21"/>
              </w:rPr>
            </w:pPr>
            <w:r>
              <w:rPr>
                <w:rFonts w:hint="eastAsia" w:ascii="宋体" w:hAnsi="宋体" w:cs="宋体"/>
                <w:szCs w:val="21"/>
              </w:rPr>
              <w:t>36.1.规格：(W424*D420)mm±5mm.。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36.2.椅背材质：采用PP+GF塑料一级新料注塑一体成型；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36.3.椅座材质；采用PP+GF塑料一级新料注塑一体成型。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36.4.坐垫人体工程学设计，坐垫前端需有流线型下垂设计，人体功能设计，分散上半身的所有重量，坐感舒适。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36.5.椅架材质：采用SPCC光亮眼管折弯焊接而成，表面经脱脂、磷化、水洗、烘干工艺处理，耐腐蚀、防锈；上管表面颗粒粉末，静电粉末喷涂，附着力特强，不脱漆，涂层无漏喷、锈蚀，光滑均匀，色泽一致，无流挂、疙瘩、皱皮、飞漆、无明显粒子、涨边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36.6.椅架主管采用（34*16*1.8）mm±1mm ，上托管采用20mm*20mm*2mm方管冲孔、冲弧焊接而成，中间带有加强钢板，尺寸为240mm*108mm*3mm,增强椅架的牢固度。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36.7.功能：固定弓形课椅。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36.8.底扣、压条材质：ABS全新注塑一体成型；规格（W382*D180*H42）mm±2mm上面带有4个φ16圆孔装配压条用；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36.9.压条规格：（162*24*32）mm±2mm带有2个孔径φ11mm螺丝柱，螺丝柱内凹23mm用M4.2*25燕尾螺丝固定，使椅子能平稳放置桌面上，方便打扫卫生。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szCs w:val="21"/>
              </w:rPr>
              <w:t>36.10.脚垫：材质：需采用 PP+GF全新塑料注塑一体成型；规格：①前脚垫尺寸：（24*30*43）mm±2mm②后脚垫尺寸：（83*23*60）mm±2mm。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b/>
                <w:bCs/>
                <w:color w:val="FF0000"/>
                <w:kern w:val="21"/>
                <w:szCs w:val="21"/>
              </w:rPr>
            </w:pPr>
            <w:r>
              <w:rPr>
                <w:rFonts w:hint="eastAsia" w:ascii="宋体" w:hAnsi="宋体" w:cs="宋体"/>
                <w:b/>
                <w:bCs/>
                <w:color w:val="FF0000"/>
                <w:kern w:val="21"/>
                <w:szCs w:val="21"/>
              </w:rPr>
              <w:t>▲</w:t>
            </w:r>
            <w:r>
              <w:rPr>
                <w:rFonts w:hint="eastAsia" w:ascii="宋体" w:hAnsi="宋体" w:cs="宋体"/>
                <w:b/>
                <w:bCs/>
                <w:color w:val="FF0000"/>
                <w:szCs w:val="21"/>
              </w:rPr>
              <w:t>36.11.</w:t>
            </w:r>
            <w:r>
              <w:rPr>
                <w:rFonts w:hint="eastAsia" w:ascii="宋体" w:hAnsi="宋体" w:cs="宋体"/>
                <w:b/>
                <w:bCs/>
                <w:color w:val="FF0000"/>
                <w:kern w:val="21"/>
                <w:szCs w:val="21"/>
              </w:rPr>
              <w:t>着地平稳性，底脚与水平面的差值≤0.1；结构安全符合标准要求；产品涂层和覆面层的有害物质：可溶性铅、镉、铬、汞未检出；座面和椅背联合静载荷试验、座面前沿静载荷试验、座面、椅背联合耐久性试验50000次、椅腿前向静载荷试验、椅腿侧向静载荷试验、座面冲击试验、椅背冲击试验均符合标准要求；跌落试验：跌落高度200mm，无破损且符合标准求；椅子向前倾翻、侧向倾翻试验符合标准要求；椅子向后倾翻，水平加载≥163N未倾翻，符合标准要求；环保要求：邻苯二甲酸酯（6P)、可溶性铅、镉、铬、汞、苯并[a]芘、16种多环芳烃(PAH)总量、多溴联（PBB）以上有害物质未检出。</w:t>
            </w:r>
          </w:p>
          <w:p>
            <w:pPr>
              <w:spacing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b/>
                <w:bCs/>
                <w:color w:val="FF0000"/>
                <w:szCs w:val="21"/>
              </w:rPr>
              <w:t xml:space="preserve">要求投标时提供投标人或所投产品制造商（须与分项报价一致）2022年01月01日至本项目投标截止日之前第三方检测机构出具的具有 CMA </w:t>
            </w:r>
            <w:r>
              <w:rPr>
                <w:rFonts w:hint="eastAsia"/>
                <w:b/>
                <w:bCs/>
                <w:color w:val="FF0000"/>
                <w:lang w:eastAsia="zh-CN"/>
              </w:rPr>
              <w:t>或</w:t>
            </w:r>
            <w:r>
              <w:rPr>
                <w:rFonts w:hint="eastAsia" w:ascii="宋体" w:hAnsi="宋体" w:cs="宋体"/>
                <w:b/>
                <w:bCs/>
                <w:color w:val="FF0000"/>
                <w:szCs w:val="21"/>
              </w:rPr>
              <w:t xml:space="preserve"> CNAS 标识的塑料椅子检验报告（提供扫描件，原件备查）。检测依据为：</w:t>
            </w:r>
            <w:r>
              <w:rPr>
                <w:rFonts w:hint="eastAsia" w:ascii="宋体" w:hAnsi="宋体" w:cs="宋体"/>
                <w:b/>
                <w:bCs/>
                <w:color w:val="FF0000"/>
                <w:kern w:val="21"/>
                <w:szCs w:val="21"/>
              </w:rPr>
              <w:t>符合检测依据：GB 28481-2012《塑料家具中有害物质限量》、参照GB/T 3325-2017《金属家具通用技术条件》，检测项目至少包含上述内容，</w:t>
            </w:r>
            <w:r>
              <w:rPr>
                <w:rFonts w:hint="eastAsia" w:ascii="宋体" w:hAnsi="宋体" w:cs="宋体"/>
                <w:b/>
                <w:bCs/>
                <w:color w:val="FF0000"/>
                <w:szCs w:val="21"/>
              </w:rPr>
              <w:t>并提供检测报告在全国认证认可信息公共服务平台网站 (http://cx.cnca.cn/CertECloud/qts/qts/qtsPage)的查询结果截图证明。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37</w:t>
            </w:r>
          </w:p>
        </w:tc>
        <w:tc>
          <w:tcPr>
            <w:tcW w:w="1134" w:type="dxa"/>
            <w:vMerge w:val="restart"/>
          </w:tcPr>
          <w:p>
            <w:pPr>
              <w:spacing w:line="360" w:lineRule="auto"/>
              <w:jc w:val="center"/>
              <w:rPr>
                <w:rFonts w:ascii="宋体" w:hAnsi="宋体" w:cs="宋体"/>
              </w:rPr>
            </w:pPr>
            <w:r>
              <w:rPr>
                <w:rFonts w:hint="eastAsia" w:ascii="宋体" w:hAnsi="宋体" w:cs="宋体"/>
              </w:rPr>
              <w:t>无线音柱</w:t>
            </w:r>
          </w:p>
        </w:tc>
        <w:tc>
          <w:tcPr>
            <w:tcW w:w="6521" w:type="dxa"/>
          </w:tcPr>
          <w:p>
            <w:pPr>
              <w:spacing w:line="360" w:lineRule="auto"/>
              <w:rPr>
                <w:rFonts w:ascii="宋体" w:hAnsi="宋体" w:cs="宋体"/>
                <w:szCs w:val="21"/>
              </w:rPr>
            </w:pPr>
            <w:r>
              <w:rPr>
                <w:rFonts w:hint="eastAsia" w:ascii="宋体" w:hAnsi="宋体" w:cs="宋体"/>
                <w:szCs w:val="21"/>
              </w:rPr>
              <w:t>37.1.规格：（W185*D170*240H）mm±2mm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37.2.</w:t>
            </w:r>
            <w:r>
              <w:rPr>
                <w:rStyle w:val="21"/>
                <w:rFonts w:hint="eastAsia" w:ascii="宋体" w:hAnsi="宋体" w:cs="宋体"/>
                <w:b w:val="0"/>
                <w:bCs w:val="0"/>
                <w:szCs w:val="21"/>
                <w:shd w:val="clear" w:color="auto" w:fill="FFFFFF"/>
              </w:rPr>
              <w:t>额定功率：20W，电源电压：220V，灵敏度：87db，频率响应：80-16000Hz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37.3.扬声器：5寸单元喇叭跟1个小高音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38</w:t>
            </w:r>
          </w:p>
        </w:tc>
        <w:tc>
          <w:tcPr>
            <w:tcW w:w="1134" w:type="dxa"/>
            <w:vMerge w:val="restart"/>
          </w:tcPr>
          <w:p>
            <w:pPr>
              <w:spacing w:line="360" w:lineRule="auto"/>
              <w:jc w:val="center"/>
              <w:rPr>
                <w:rFonts w:ascii="宋体" w:hAnsi="宋体" w:cs="宋体"/>
              </w:rPr>
            </w:pPr>
            <w:r>
              <w:rPr>
                <w:rFonts w:hint="eastAsia" w:ascii="宋体" w:hAnsi="宋体" w:cs="宋体"/>
              </w:rPr>
              <w:t>无线主机</w:t>
            </w:r>
          </w:p>
        </w:tc>
        <w:tc>
          <w:tcPr>
            <w:tcW w:w="6521" w:type="dxa"/>
          </w:tcPr>
          <w:p>
            <w:pPr>
              <w:spacing w:line="360" w:lineRule="auto"/>
              <w:rPr>
                <w:rFonts w:ascii="宋体" w:hAnsi="宋体" w:cs="宋体"/>
                <w:szCs w:val="21"/>
              </w:rPr>
            </w:pPr>
            <w:r>
              <w:rPr>
                <w:rFonts w:hint="eastAsia" w:ascii="宋体" w:hAnsi="宋体" w:cs="宋体"/>
                <w:szCs w:val="21"/>
              </w:rPr>
              <w:t>38.1.通电即用，可连接N个设备，无需功放。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38.2.带蓝牙，U盘、SD卡，带收音，可插话筒，调节高低音，MP3播放。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restart"/>
          </w:tcPr>
          <w:p>
            <w:pPr>
              <w:spacing w:line="360" w:lineRule="auto"/>
              <w:jc w:val="center"/>
              <w:rPr>
                <w:rFonts w:ascii="宋体" w:hAnsi="宋体" w:cs="宋体"/>
                <w:bCs/>
                <w:szCs w:val="21"/>
              </w:rPr>
            </w:pPr>
            <w:r>
              <w:rPr>
                <w:rFonts w:hint="eastAsia" w:ascii="宋体" w:hAnsi="宋体" w:cs="宋体"/>
                <w:bCs/>
                <w:szCs w:val="21"/>
              </w:rPr>
              <w:t>39</w:t>
            </w:r>
          </w:p>
        </w:tc>
        <w:tc>
          <w:tcPr>
            <w:tcW w:w="1134" w:type="dxa"/>
            <w:vMerge w:val="restart"/>
          </w:tcPr>
          <w:p>
            <w:pPr>
              <w:spacing w:line="360" w:lineRule="auto"/>
              <w:jc w:val="center"/>
              <w:rPr>
                <w:rFonts w:ascii="宋体" w:hAnsi="宋体" w:cs="宋体"/>
              </w:rPr>
            </w:pPr>
            <w:r>
              <w:rPr>
                <w:rFonts w:hint="eastAsia" w:ascii="宋体" w:hAnsi="宋体" w:cs="宋体"/>
              </w:rPr>
              <w:t>无线麦克风</w:t>
            </w:r>
          </w:p>
        </w:tc>
        <w:tc>
          <w:tcPr>
            <w:tcW w:w="6521" w:type="dxa"/>
          </w:tcPr>
          <w:p>
            <w:pPr>
              <w:spacing w:line="360" w:lineRule="auto"/>
              <w:rPr>
                <w:rFonts w:ascii="宋体" w:hAnsi="宋体" w:cs="宋体"/>
                <w:szCs w:val="21"/>
              </w:rPr>
            </w:pPr>
            <w:r>
              <w:rPr>
                <w:rFonts w:hint="eastAsia" w:ascii="宋体" w:hAnsi="宋体" w:cs="宋体"/>
                <w:szCs w:val="21"/>
              </w:rPr>
              <w:t>39.1.使用VHF220-270MHz频段，采用石英振荡电路，稳定性能</w:t>
            </w:r>
            <w:r>
              <w:rPr>
                <w:rFonts w:hint="eastAsia" w:ascii="宋体" w:hAnsi="宋体" w:cs="宋体"/>
                <w:szCs w:val="21"/>
                <w:lang w:val="en-US" w:eastAsia="zh-CN"/>
              </w:rPr>
              <w:t>高</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pPr>
          </w:p>
        </w:tc>
        <w:tc>
          <w:tcPr>
            <w:tcW w:w="1134" w:type="dxa"/>
            <w:vMerge w:val="continue"/>
          </w:tcPr>
          <w:p>
            <w:pPr>
              <w:spacing w:line="360" w:lineRule="auto"/>
              <w:jc w:val="center"/>
            </w:pPr>
          </w:p>
        </w:tc>
        <w:tc>
          <w:tcPr>
            <w:tcW w:w="6521" w:type="dxa"/>
          </w:tcPr>
          <w:p>
            <w:pPr>
              <w:spacing w:line="360" w:lineRule="auto"/>
              <w:rPr>
                <w:rFonts w:ascii="宋体" w:hAnsi="宋体" w:cs="宋体"/>
                <w:szCs w:val="21"/>
              </w:rPr>
            </w:pPr>
            <w:r>
              <w:rPr>
                <w:rFonts w:hint="eastAsia" w:ascii="宋体" w:hAnsi="宋体" w:cs="宋体"/>
                <w:szCs w:val="21"/>
              </w:rPr>
              <w:t>39.2.双天线接收机设计。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39.3.静音控制功能。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39.4.金属接收机和金属尾管手咪，耐用防摔。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39.5.独立的音量调节旋扭。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39.6.两个独立的卡伦平衡输出口。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39.7.一个6.35mm的混合输出插口。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39.8.最大有效距离50米。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39.9.发射机有低电提醒功能。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17"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1134" w:type="dxa"/>
            <w:vMerge w:val="continue"/>
          </w:tcPr>
          <w:p>
            <w:pPr>
              <w:spacing w:line="360" w:lineRule="auto"/>
              <w:jc w:val="center"/>
              <w:rPr>
                <w:rFonts w:asciiTheme="minorEastAsia" w:hAnsiTheme="minorEastAsia" w:eastAsiaTheme="minorEastAsia" w:cstheme="minorEastAsia"/>
                <w:color w:val="000000" w:themeColor="text1"/>
                <w:szCs w:val="21"/>
                <w14:textFill>
                  <w14:solidFill>
                    <w14:schemeClr w14:val="tx1"/>
                  </w14:solidFill>
                </w14:textFill>
              </w:rPr>
            </w:pPr>
          </w:p>
        </w:tc>
        <w:tc>
          <w:tcPr>
            <w:tcW w:w="6521" w:type="dxa"/>
          </w:tcPr>
          <w:p>
            <w:pPr>
              <w:spacing w:line="360" w:lineRule="auto"/>
              <w:rPr>
                <w:rFonts w:ascii="宋体" w:hAnsi="宋体" w:cs="宋体"/>
                <w:szCs w:val="21"/>
              </w:rPr>
            </w:pPr>
            <w:r>
              <w:rPr>
                <w:rFonts w:hint="eastAsia" w:ascii="宋体" w:hAnsi="宋体" w:cs="宋体"/>
                <w:szCs w:val="21"/>
              </w:rPr>
              <w:t>39.10.面板有RF状态显示。</w:t>
            </w:r>
          </w:p>
        </w:tc>
      </w:tr>
      <w:bookmarkEnd w:id="1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817" w:type="dxa"/>
            <w:vMerge w:val="restart"/>
          </w:tcPr>
          <w:p>
            <w:pPr>
              <w:pStyle w:val="2"/>
              <w:jc w:val="center"/>
            </w:pPr>
            <w:r>
              <w:rPr>
                <w:rFonts w:hint="eastAsia"/>
              </w:rPr>
              <w:t>40</w:t>
            </w:r>
          </w:p>
        </w:tc>
        <w:tc>
          <w:tcPr>
            <w:tcW w:w="1134" w:type="dxa"/>
            <w:vMerge w:val="restart"/>
          </w:tcPr>
          <w:p>
            <w:pPr>
              <w:pStyle w:val="2"/>
              <w:jc w:val="center"/>
            </w:pPr>
            <w:r>
              <w:rPr>
                <w:rFonts w:hint="eastAsia"/>
              </w:rPr>
              <w:t>2.5㎡阻燃型多芯线</w:t>
            </w:r>
          </w:p>
        </w:tc>
        <w:tc>
          <w:tcPr>
            <w:tcW w:w="6521" w:type="dxa"/>
          </w:tcPr>
          <w:p>
            <w:pPr>
              <w:pStyle w:val="2"/>
              <w:rPr>
                <w:rFonts w:hAnsi="宋体" w:cs="宋体"/>
                <w:szCs w:val="21"/>
              </w:rPr>
            </w:pPr>
            <w:r>
              <w:rPr>
                <w:rFonts w:hint="eastAsia" w:hAnsi="宋体" w:cs="宋体"/>
                <w:szCs w:val="21"/>
              </w:rPr>
              <w:t>40.1电线采用国标铜芯聚氯乙烯绝缘电线（BV型）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dxa"/>
            <w:vMerge w:val="continue"/>
            <w:vAlign w:val="center"/>
          </w:tcPr>
          <w:p>
            <w:pPr>
              <w:pStyle w:val="2"/>
            </w:pPr>
          </w:p>
        </w:tc>
        <w:tc>
          <w:tcPr>
            <w:tcW w:w="1134" w:type="dxa"/>
            <w:vMerge w:val="continue"/>
            <w:vAlign w:val="center"/>
          </w:tcPr>
          <w:p>
            <w:pPr>
              <w:pStyle w:val="2"/>
            </w:pPr>
          </w:p>
        </w:tc>
        <w:tc>
          <w:tcPr>
            <w:tcW w:w="6521" w:type="dxa"/>
          </w:tcPr>
          <w:p>
            <w:pPr>
              <w:pStyle w:val="2"/>
              <w:rPr>
                <w:rFonts w:hAnsi="宋体" w:cs="宋体"/>
                <w:szCs w:val="21"/>
              </w:rPr>
            </w:pPr>
            <w:r>
              <w:rPr>
                <w:rFonts w:hint="eastAsia" w:hAnsi="宋体" w:cs="宋体"/>
                <w:szCs w:val="21"/>
              </w:rPr>
              <w:t xml:space="preserve">40.2规格要求：  </w:t>
            </w:r>
          </w:p>
          <w:p>
            <w:pPr>
              <w:pStyle w:val="2"/>
              <w:rPr>
                <w:rFonts w:hAnsi="宋体" w:cs="宋体"/>
                <w:szCs w:val="21"/>
              </w:rPr>
            </w:pPr>
            <w:r>
              <w:rPr>
                <w:rFonts w:hint="eastAsia" w:hAnsi="宋体" w:cs="宋体"/>
                <w:szCs w:val="21"/>
              </w:rPr>
              <w:t xml:space="preserve"> 照明回路：BV-450/750V 2.5</w:t>
            </w:r>
            <w:bookmarkStart w:id="17" w:name="OLE_LINK1"/>
            <w:bookmarkStart w:id="18" w:name="OLE_LINK2"/>
            <w:r>
              <w:rPr>
                <w:rFonts w:hint="eastAsia" w:hAnsi="宋体" w:cs="宋体"/>
                <w:szCs w:val="21"/>
              </w:rPr>
              <w:t xml:space="preserve">mm²； </w:t>
            </w:r>
            <w:bookmarkEnd w:id="17"/>
            <w:bookmarkEnd w:id="18"/>
            <w:r>
              <w:rPr>
                <w:rFonts w:hint="eastAsia" w:hAnsi="宋体" w:cs="宋体"/>
                <w:szCs w:val="21"/>
              </w:rPr>
              <w:t xml:space="preserve"> </w:t>
            </w:r>
          </w:p>
          <w:p>
            <w:pPr>
              <w:pStyle w:val="2"/>
              <w:rPr>
                <w:rFonts w:hAnsi="宋体" w:cs="宋体"/>
                <w:szCs w:val="21"/>
              </w:rPr>
            </w:pPr>
            <w:r>
              <w:rPr>
                <w:rFonts w:hint="eastAsia" w:hAnsi="宋体" w:cs="宋体"/>
                <w:szCs w:val="21"/>
              </w:rPr>
              <w:t xml:space="preserve"> 普通插座回路：BV-450/750V 2.5 mm²；   </w:t>
            </w:r>
          </w:p>
          <w:p>
            <w:pPr>
              <w:pStyle w:val="2"/>
              <w:rPr>
                <w:rFonts w:hAnsi="宋体" w:cs="宋体"/>
                <w:szCs w:val="21"/>
              </w:rPr>
            </w:pPr>
            <w:r>
              <w:rPr>
                <w:rFonts w:hint="eastAsia" w:hAnsi="宋体" w:cs="宋体"/>
                <w:szCs w:val="21"/>
              </w:rPr>
              <w:t xml:space="preserve"> 接地线：黄绿双色BV-450/750V 2.5mm²。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17" w:type="dxa"/>
            <w:vMerge w:val="continue"/>
            <w:vAlign w:val="center"/>
          </w:tcPr>
          <w:p>
            <w:pPr>
              <w:pStyle w:val="2"/>
            </w:pPr>
          </w:p>
        </w:tc>
        <w:tc>
          <w:tcPr>
            <w:tcW w:w="1134" w:type="dxa"/>
            <w:vMerge w:val="continue"/>
            <w:vAlign w:val="center"/>
          </w:tcPr>
          <w:p>
            <w:pPr>
              <w:pStyle w:val="2"/>
            </w:pPr>
          </w:p>
        </w:tc>
        <w:tc>
          <w:tcPr>
            <w:tcW w:w="6521" w:type="dxa"/>
          </w:tcPr>
          <w:p>
            <w:pPr>
              <w:pStyle w:val="2"/>
              <w:rPr>
                <w:rFonts w:hAnsi="宋体" w:cs="宋体"/>
                <w:szCs w:val="21"/>
              </w:rPr>
            </w:pPr>
            <w:r>
              <w:rPr>
                <w:rFonts w:hint="eastAsia" w:hAnsi="宋体" w:cs="宋体"/>
                <w:szCs w:val="21"/>
              </w:rPr>
              <w:t>40.3阻燃等级：公共区域需使用ZB-BV型阻燃电线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17" w:type="dxa"/>
            <w:vMerge w:val="continue"/>
            <w:vAlign w:val="center"/>
          </w:tcPr>
          <w:p>
            <w:pPr>
              <w:pStyle w:val="2"/>
            </w:pPr>
          </w:p>
        </w:tc>
        <w:tc>
          <w:tcPr>
            <w:tcW w:w="1134" w:type="dxa"/>
            <w:vMerge w:val="continue"/>
            <w:vAlign w:val="center"/>
          </w:tcPr>
          <w:p>
            <w:pPr>
              <w:pStyle w:val="2"/>
            </w:pPr>
          </w:p>
        </w:tc>
        <w:tc>
          <w:tcPr>
            <w:tcW w:w="6521" w:type="dxa"/>
          </w:tcPr>
          <w:p>
            <w:pPr>
              <w:pStyle w:val="2"/>
              <w:rPr>
                <w:rFonts w:hAnsi="宋体" w:cs="宋体"/>
                <w:szCs w:val="21"/>
              </w:rPr>
            </w:pPr>
            <w:r>
              <w:rPr>
                <w:rFonts w:hint="eastAsia" w:hAnsi="宋体" w:cs="宋体"/>
                <w:szCs w:val="21"/>
              </w:rPr>
              <w:t>40.4供应商需提供CCC认证、出厂检测报告</w:t>
            </w:r>
          </w:p>
        </w:tc>
      </w:tr>
    </w:tbl>
    <w:p>
      <w:pPr>
        <w:rPr>
          <w:rFonts w:hint="eastAsia" w:ascii="宋体" w:hAnsi="宋体" w:eastAsia="宋体" w:cs="Times New Roman"/>
          <w:b/>
          <w:color w:val="FF0000"/>
          <w:szCs w:val="21"/>
        </w:rPr>
      </w:pPr>
    </w:p>
    <w:p>
      <w:pPr>
        <w:rPr>
          <w:rFonts w:hint="eastAsia" w:ascii="宋体" w:hAnsi="宋体" w:eastAsia="宋体" w:cs="Times New Roman"/>
          <w:b/>
          <w:color w:val="FF0000"/>
          <w:szCs w:val="21"/>
          <w:highlight w:val="yellow"/>
        </w:rPr>
      </w:pPr>
      <w:r>
        <w:rPr>
          <w:rFonts w:hint="eastAsia" w:ascii="宋体" w:hAnsi="宋体" w:eastAsia="宋体" w:cs="Times New Roman"/>
          <w:b/>
          <w:color w:val="FF0000"/>
          <w:szCs w:val="21"/>
        </w:rPr>
        <w:t>1、带</w:t>
      </w:r>
      <w:r>
        <w:rPr>
          <w:rFonts w:hint="eastAsia" w:ascii="宋体" w:hAnsi="宋体" w:eastAsia="宋体" w:cs="Times New Roman"/>
          <w:b/>
          <w:bCs/>
          <w:color w:val="FF0000"/>
          <w:szCs w:val="21"/>
        </w:rPr>
        <w:t>★</w:t>
      </w:r>
      <w:r>
        <w:rPr>
          <w:rFonts w:hint="eastAsia" w:ascii="宋体" w:hAnsi="宋体" w:eastAsia="宋体" w:cs="Times New Roman"/>
          <w:b/>
          <w:color w:val="FF0000"/>
          <w:szCs w:val="21"/>
        </w:rPr>
        <w:t>号要求为不可偏离要求，如出现负偏离，将导致投标无效。带▲号参数为重要参数，其他参数（非▲号参数）为普通参数，如出现负偏离，将按照评分准则做扣分处理。</w:t>
      </w:r>
      <w:r>
        <w:rPr>
          <w:rFonts w:hint="eastAsia" w:ascii="宋体" w:hAnsi="宋体" w:eastAsia="宋体" w:cs="Times New Roman"/>
          <w:b/>
          <w:color w:val="FF0000"/>
          <w:szCs w:val="21"/>
          <w:highlight w:val="yellow"/>
        </w:rPr>
        <w:t>如注明要求提供相关佐证材料的，需以佐证材料作为是否偏离的依据。</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2、所列的技术</w:t>
      </w:r>
      <w:r>
        <w:rPr>
          <w:rFonts w:ascii="Calibri" w:hAnsi="Calibri" w:eastAsia="宋体" w:cs="Times New Roman"/>
          <w:color w:val="FF0000"/>
          <w:szCs w:val="21"/>
        </w:rPr>
        <w:t>参数</w:t>
      </w:r>
      <w:r>
        <w:rPr>
          <w:rFonts w:hint="eastAsia" w:ascii="Calibri" w:hAnsi="Calibri" w:eastAsia="宋体" w:cs="Times New Roman"/>
          <w:color w:val="FF0000"/>
          <w:szCs w:val="21"/>
        </w:rPr>
        <w:t>需求中如出现品牌信息仅供参考，不作为参数要求，目的只为投标人更清楚地了解采购需求，投标人可提供其他品牌设备投标。</w:t>
      </w:r>
    </w:p>
    <w:p>
      <w:pPr>
        <w:spacing w:after="78"/>
        <w:jc w:val="left"/>
        <w:rPr>
          <w:rFonts w:ascii="Calibri" w:hAnsi="Calibri" w:eastAsia="宋体" w:cs="Times New Roman"/>
          <w:color w:val="FF0000"/>
          <w:szCs w:val="21"/>
        </w:rPr>
      </w:pPr>
      <w:r>
        <w:rPr>
          <w:rFonts w:hint="eastAsia" w:ascii="Calibri" w:hAnsi="Calibri" w:eastAsia="宋体" w:cs="Times New Roman"/>
          <w:color w:val="FF0000"/>
          <w:szCs w:val="21"/>
        </w:rPr>
        <w:t>3、如有</w:t>
      </w:r>
      <w:r>
        <w:rPr>
          <w:rFonts w:ascii="Calibri" w:hAnsi="Calibri" w:eastAsia="宋体" w:cs="Times New Roman"/>
          <w:color w:val="FF0000"/>
          <w:szCs w:val="21"/>
        </w:rPr>
        <w:t>方案表述中有出现类似可实现、</w:t>
      </w:r>
      <w:r>
        <w:rPr>
          <w:rFonts w:hint="eastAsia" w:ascii="Calibri" w:hAnsi="Calibri" w:eastAsia="宋体" w:cs="Times New Roman"/>
          <w:color w:val="FF0000"/>
          <w:szCs w:val="21"/>
        </w:rPr>
        <w:t>实现</w:t>
      </w:r>
      <w:r>
        <w:rPr>
          <w:rFonts w:ascii="Calibri" w:hAnsi="Calibri" w:eastAsia="宋体" w:cs="Times New Roman"/>
          <w:color w:val="FF0000"/>
          <w:szCs w:val="21"/>
        </w:rPr>
        <w:t>、</w:t>
      </w:r>
      <w:r>
        <w:rPr>
          <w:rFonts w:hint="eastAsia" w:ascii="Calibri" w:hAnsi="Calibri" w:eastAsia="宋体" w:cs="Times New Roman"/>
          <w:color w:val="FF0000"/>
          <w:szCs w:val="21"/>
        </w:rPr>
        <w:t>可</w:t>
      </w:r>
      <w:r>
        <w:rPr>
          <w:rFonts w:ascii="Calibri" w:hAnsi="Calibri" w:eastAsia="宋体" w:cs="Times New Roman"/>
          <w:color w:val="FF0000"/>
          <w:szCs w:val="21"/>
        </w:rPr>
        <w:t>支持、支持</w:t>
      </w:r>
      <w:r>
        <w:rPr>
          <w:rFonts w:hint="eastAsia" w:ascii="Calibri" w:hAnsi="Calibri" w:eastAsia="宋体" w:cs="Times New Roman"/>
          <w:color w:val="FF0000"/>
          <w:szCs w:val="21"/>
        </w:rPr>
        <w:t>等</w:t>
      </w:r>
      <w:r>
        <w:rPr>
          <w:rFonts w:ascii="Calibri" w:hAnsi="Calibri" w:eastAsia="宋体" w:cs="Times New Roman"/>
          <w:color w:val="FF0000"/>
          <w:szCs w:val="21"/>
        </w:rPr>
        <w:t>描述的，均表示方案需要实现的功能或</w:t>
      </w:r>
      <w:r>
        <w:rPr>
          <w:rFonts w:hint="eastAsia" w:ascii="Calibri" w:hAnsi="Calibri" w:eastAsia="宋体" w:cs="Times New Roman"/>
          <w:color w:val="FF0000"/>
          <w:szCs w:val="21"/>
        </w:rPr>
        <w:t>应满足的</w:t>
      </w:r>
      <w:r>
        <w:rPr>
          <w:rFonts w:ascii="Calibri" w:hAnsi="Calibri" w:eastAsia="宋体" w:cs="Times New Roman"/>
          <w:color w:val="FF0000"/>
          <w:szCs w:val="21"/>
        </w:rPr>
        <w:t>要求，即项目在验收时无须增加其他</w:t>
      </w:r>
      <w:r>
        <w:rPr>
          <w:rFonts w:hint="eastAsia" w:ascii="Calibri" w:hAnsi="Calibri" w:eastAsia="宋体" w:cs="Times New Roman"/>
          <w:color w:val="FF0000"/>
          <w:szCs w:val="21"/>
        </w:rPr>
        <w:t>额外</w:t>
      </w:r>
      <w:r>
        <w:rPr>
          <w:rFonts w:ascii="Calibri" w:hAnsi="Calibri" w:eastAsia="宋体" w:cs="Times New Roman"/>
          <w:color w:val="FF0000"/>
          <w:szCs w:val="21"/>
        </w:rPr>
        <w:t>设备</w:t>
      </w:r>
      <w:r>
        <w:rPr>
          <w:rFonts w:hint="eastAsia" w:ascii="Calibri" w:hAnsi="Calibri" w:eastAsia="宋体" w:cs="Times New Roman"/>
          <w:color w:val="FF0000"/>
          <w:szCs w:val="21"/>
        </w:rPr>
        <w:t>或</w:t>
      </w:r>
      <w:r>
        <w:rPr>
          <w:rFonts w:ascii="Calibri" w:hAnsi="Calibri" w:eastAsia="宋体" w:cs="Times New Roman"/>
          <w:color w:val="FF0000"/>
          <w:szCs w:val="21"/>
        </w:rPr>
        <w:t>系统</w:t>
      </w:r>
      <w:r>
        <w:rPr>
          <w:rFonts w:hint="eastAsia" w:ascii="Calibri" w:hAnsi="Calibri" w:eastAsia="宋体" w:cs="Times New Roman"/>
          <w:color w:val="FF0000"/>
          <w:szCs w:val="21"/>
        </w:rPr>
        <w:t>，</w:t>
      </w:r>
      <w:r>
        <w:rPr>
          <w:rFonts w:ascii="Calibri" w:hAnsi="Calibri" w:eastAsia="宋体" w:cs="Times New Roman"/>
          <w:color w:val="FF0000"/>
          <w:szCs w:val="21"/>
        </w:rPr>
        <w:t>使用本项目中的设备或</w:t>
      </w:r>
      <w:r>
        <w:rPr>
          <w:rFonts w:hint="eastAsia" w:ascii="Calibri" w:hAnsi="Calibri" w:eastAsia="宋体" w:cs="Times New Roman"/>
          <w:color w:val="FF0000"/>
          <w:szCs w:val="21"/>
        </w:rPr>
        <w:t>系统</w:t>
      </w:r>
      <w:r>
        <w:rPr>
          <w:rFonts w:ascii="Calibri" w:hAnsi="Calibri" w:eastAsia="宋体" w:cs="Times New Roman"/>
          <w:color w:val="FF0000"/>
          <w:szCs w:val="21"/>
        </w:rPr>
        <w:t>即能实现</w:t>
      </w:r>
      <w:r>
        <w:rPr>
          <w:rFonts w:hint="eastAsia" w:ascii="Calibri" w:hAnsi="Calibri" w:eastAsia="宋体" w:cs="Times New Roman"/>
          <w:color w:val="FF0000"/>
          <w:szCs w:val="21"/>
        </w:rPr>
        <w:t>相应功能</w:t>
      </w:r>
      <w:r>
        <w:rPr>
          <w:rFonts w:ascii="Calibri" w:hAnsi="Calibri" w:eastAsia="宋体" w:cs="Times New Roman"/>
          <w:color w:val="FF0000"/>
          <w:szCs w:val="21"/>
        </w:rPr>
        <w:t>或</w:t>
      </w:r>
      <w:r>
        <w:rPr>
          <w:rFonts w:hint="eastAsia" w:ascii="Calibri" w:hAnsi="Calibri" w:eastAsia="宋体" w:cs="Times New Roman"/>
          <w:color w:val="FF0000"/>
          <w:szCs w:val="21"/>
        </w:rPr>
        <w:t>满足相关</w:t>
      </w:r>
      <w:r>
        <w:rPr>
          <w:rFonts w:ascii="Calibri" w:hAnsi="Calibri" w:eastAsia="宋体" w:cs="Times New Roman"/>
          <w:color w:val="FF0000"/>
          <w:szCs w:val="21"/>
        </w:rPr>
        <w:t>要求。</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4、针对招标文件产品技术参数如涉及相关既定值、单向范围值、区间范围值的，投标技术参数响应方式举例说明如下：</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（1）涉及相关既定值的，例：招标技术参数要求值为“20L”，投标技术参数响应值与“20L”不一致的，均视为负偏离；</w:t>
      </w:r>
    </w:p>
    <w:p>
      <w:pPr>
        <w:spacing w:after="78"/>
        <w:jc w:val="left"/>
        <w:rPr>
          <w:rFonts w:ascii="Calibri" w:hAnsi="Calibri" w:eastAsia="宋体" w:cs="Times New Roman"/>
          <w:color w:val="FF0000"/>
          <w:szCs w:val="21"/>
        </w:rPr>
      </w:pPr>
      <w:r>
        <w:rPr>
          <w:rFonts w:ascii="Calibri" w:hAnsi="Calibri" w:eastAsia="宋体" w:cs="Times New Roman"/>
          <w:color w:val="FF0000"/>
          <w:szCs w:val="21"/>
        </w:rPr>
        <w:t>（2）涉及相关单向范围值的，例：招标技术参数要求的单向范围值为“≥6m”，除有特别注明以外，投标技术参数响应值与招标技术参数要求范围值完全一致的（如响应为“≥6m”）或投标技术参数响应值大于招标技术参数要求范围值的（如响应为“≥5”或“＞5”等）或投标技术参数响应值为招标技术参数要求范围值内的任意值的（如响应为“7m”或“6.5m”等）均视为符合要求，投标技术参数响应值小于招标技术参数要求的（如响应为"＜6m"或“＜5m”或“5m”等）均视为负偏离；</w:t>
      </w:r>
    </w:p>
    <w:p>
      <w:pPr>
        <w:spacing w:after="78"/>
        <w:jc w:val="left"/>
        <w:rPr>
          <w:rFonts w:hint="eastAsia" w:eastAsia="黑体" w:cs="Times New Roman"/>
          <w:kern w:val="44"/>
          <w:szCs w:val="44"/>
        </w:rPr>
      </w:pPr>
      <w:r>
        <w:rPr>
          <w:rFonts w:ascii="Calibri" w:hAnsi="Calibri" w:eastAsia="宋体" w:cs="Times New Roman"/>
          <w:color w:val="FF0000"/>
          <w:szCs w:val="21"/>
        </w:rPr>
        <w:t>（3）涉及相关区间范围值的，例：招标技术参数要求的区间范围值为“0-20ML”，除有特别注明以外，投标技术参数响应值与招标技术参数要求范围值完全一致的（如响应为“0-20ML”）或投标技术参数响应值大于招标技术参数要求范围值的（如响应为“0-21ML”或“-1-20ML”或“0-25ML”等）均视为符合要求，投标技术参数响应值小于招标技术参数要求范围值的（如响应为“0-15ML”或“1-12ML ”或 “9-20ML”或“9ML” 等）均视为负偏离。</w:t>
      </w:r>
    </w:p>
    <w:p>
      <w:pPr>
        <w:pStyle w:val="5"/>
        <w:spacing w:before="156" w:beforeLines="50" w:after="156" w:afterLines="50" w:line="416" w:lineRule="auto"/>
        <w:jc w:val="center"/>
        <w:rPr>
          <w:rFonts w:hint="eastAsia"/>
          <w:szCs w:val="28"/>
        </w:rPr>
      </w:pPr>
      <w:r>
        <w:rPr>
          <w:rFonts w:hint="eastAsia"/>
          <w:szCs w:val="28"/>
        </w:rPr>
        <w:t>六、其他重要条款</w:t>
      </w:r>
    </w:p>
    <w:p>
      <w:pPr>
        <w:ind w:firstLine="420" w:firstLineChars="200"/>
        <w:rPr>
          <w:bCs/>
          <w:szCs w:val="21"/>
        </w:rPr>
      </w:pPr>
      <w:r>
        <w:rPr>
          <w:rFonts w:hint="eastAsia"/>
          <w:bCs/>
          <w:szCs w:val="21"/>
        </w:rPr>
        <w:t>1、本项目投标报价采用包干制，应包括成本、法定税费和相应的利润，应涵盖本项目招标范围和招标文件所列的各项内容中所述的全部。由投标人根据招标需求自行测算投标报价；一经中标，投标报价即作为中标单位与采购人签订的合同金额。</w:t>
      </w:r>
    </w:p>
    <w:p>
      <w:pPr>
        <w:ind w:firstLine="420" w:firstLineChars="200"/>
        <w:rPr>
          <w:bCs/>
          <w:szCs w:val="21"/>
        </w:rPr>
      </w:pPr>
      <w:r>
        <w:rPr>
          <w:rFonts w:hint="eastAsia"/>
          <w:bCs/>
          <w:szCs w:val="21"/>
        </w:rPr>
        <w:t>2、投标人应充分了解项目的位置、情况、道路及任何其它足以影响投标报价的情况，任何因忽视或误解项目情况而导致的索赔或服务期限延长申请将不获批准。</w:t>
      </w:r>
    </w:p>
    <w:p>
      <w:pPr>
        <w:ind w:firstLine="420" w:firstLineChars="200"/>
        <w:rPr>
          <w:bCs/>
          <w:szCs w:val="21"/>
        </w:rPr>
      </w:pPr>
      <w:r>
        <w:rPr>
          <w:rFonts w:hint="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pPr>
        <w:ind w:firstLine="420" w:firstLineChars="200"/>
        <w:rPr>
          <w:bCs/>
          <w:szCs w:val="21"/>
        </w:rPr>
      </w:pPr>
      <w:r>
        <w:rPr>
          <w:rFonts w:hint="eastAsia"/>
          <w:bCs/>
          <w:szCs w:val="21"/>
        </w:rPr>
        <w:t>4、除政府采购合同继续履行将损害国家利益和社会公共利益外，双方当事人不得擅自变更、中止或者终止合同。</w:t>
      </w:r>
    </w:p>
    <w:p>
      <w:pPr>
        <w:ind w:firstLine="420" w:firstLineChars="200"/>
        <w:rPr>
          <w:rFonts w:hint="eastAsia" w:ascii="宋体" w:hAnsi="宋体" w:eastAsia="宋体" w:cs="Times New Roman"/>
          <w:b/>
          <w:bCs/>
          <w:kern w:val="0"/>
          <w:sz w:val="28"/>
          <w:szCs w:val="28"/>
        </w:rPr>
      </w:pPr>
      <w:r>
        <w:rPr>
          <w:rFonts w:hint="eastAsia"/>
          <w:bCs/>
          <w:szCs w:val="21"/>
        </w:rPr>
        <w:t>5、“信用中国”中“信用服务”栏的“重大税收违法失信主体”“失信被执行人”，“中国政府采购网”中的“政府采购严重违法失信行为记录名单”，以及“深圳市政府采购监管网”为供应商信用信息的查询渠道，相关信息以开标当日的查询结果为准。</w:t>
      </w: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line="320" w:lineRule="atLeast"/>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第四章</w:t>
      </w:r>
      <w:r>
        <w:rPr>
          <w:rFonts w:ascii="宋体" w:hAnsi="宋体" w:eastAsia="宋体" w:cs="Times New Roman"/>
          <w:b/>
          <w:bCs/>
          <w:kern w:val="0"/>
          <w:sz w:val="28"/>
          <w:szCs w:val="28"/>
        </w:rPr>
        <w:t xml:space="preserve"> </w:t>
      </w:r>
      <w:r>
        <w:rPr>
          <w:rFonts w:hint="eastAsia" w:ascii="宋体" w:hAnsi="宋体" w:eastAsia="宋体" w:cs="Times New Roman"/>
          <w:b/>
          <w:bCs/>
          <w:kern w:val="0"/>
          <w:sz w:val="28"/>
          <w:szCs w:val="28"/>
        </w:rPr>
        <w:t xml:space="preserve"> 投标文件组成要求及格式</w:t>
      </w:r>
    </w:p>
    <w:p>
      <w:pPr>
        <w:pStyle w:val="10"/>
      </w:pPr>
      <w:bookmarkStart w:id="19" w:name="_Hlk72257167"/>
    </w:p>
    <w:bookmarkEnd w:id="19"/>
    <w:p>
      <w:pPr>
        <w:widowControl/>
        <w:spacing w:line="320" w:lineRule="atLeast"/>
        <w:jc w:val="left"/>
        <w:outlineLvl w:val="2"/>
        <w:rPr>
          <w:rFonts w:hint="eastAsia" w:ascii="宋体" w:hAnsi="宋体" w:eastAsia="黑体" w:cs="Times New Roman"/>
          <w:bCs/>
          <w:kern w:val="44"/>
          <w:sz w:val="24"/>
          <w:szCs w:val="24"/>
        </w:rPr>
      </w:pPr>
      <w:r>
        <w:rPr>
          <w:rFonts w:hint="eastAsia" w:ascii="宋体" w:hAnsi="宋体" w:eastAsia="黑体" w:cs="Times New Roman"/>
          <w:bCs/>
          <w:kern w:val="44"/>
          <w:sz w:val="24"/>
          <w:szCs w:val="24"/>
        </w:rPr>
        <w:t>投标文件组成：</w:t>
      </w:r>
    </w:p>
    <w:p>
      <w:pPr>
        <w:ind w:firstLine="1200" w:firstLineChars="500"/>
        <w:outlineLvl w:val="0"/>
        <w:rPr>
          <w:rFonts w:hint="eastAsia" w:ascii="宋体" w:hAnsi="宋体"/>
          <w:sz w:val="24"/>
        </w:rPr>
      </w:pPr>
      <w:bookmarkStart w:id="20" w:name="_Hlk72257771"/>
      <w:r>
        <w:rPr>
          <w:rFonts w:hint="eastAsia" w:ascii="宋体" w:hAnsi="宋体"/>
          <w:sz w:val="24"/>
        </w:rPr>
        <w:t>1.投标文件正文，主要包括以下内容：</w:t>
      </w:r>
    </w:p>
    <w:p>
      <w:pPr>
        <w:ind w:left="718" w:leftChars="342" w:firstLine="1417" w:firstLineChars="675"/>
        <w:rPr>
          <w:szCs w:val="21"/>
        </w:rPr>
      </w:pPr>
      <w:r>
        <w:rPr>
          <w:rFonts w:hint="eastAsia"/>
          <w:szCs w:val="21"/>
        </w:rPr>
        <w:t>（1）</w:t>
      </w:r>
      <w:bookmarkStart w:id="21" w:name="_Hlk72070784"/>
      <w:r>
        <w:rPr>
          <w:rFonts w:hint="eastAsia"/>
          <w:szCs w:val="21"/>
        </w:rPr>
        <w:t>投标函</w:t>
      </w:r>
      <w:bookmarkEnd w:id="21"/>
    </w:p>
    <w:p>
      <w:pPr>
        <w:ind w:left="718" w:leftChars="342" w:firstLine="1417" w:firstLineChars="675"/>
        <w:rPr>
          <w:szCs w:val="21"/>
        </w:rPr>
      </w:pPr>
      <w:r>
        <w:rPr>
          <w:rFonts w:hint="eastAsia"/>
          <w:szCs w:val="21"/>
        </w:rPr>
        <w:t>（2）</w:t>
      </w:r>
      <w:bookmarkStart w:id="22" w:name="_Hlk72062521"/>
      <w:r>
        <w:rPr>
          <w:rFonts w:hint="eastAsia"/>
          <w:szCs w:val="21"/>
        </w:rPr>
        <w:t>政府采购投标及履约承诺函</w:t>
      </w:r>
      <w:bookmarkEnd w:id="22"/>
    </w:p>
    <w:p>
      <w:pPr>
        <w:ind w:left="718" w:leftChars="342" w:firstLine="1417" w:firstLineChars="675"/>
        <w:rPr>
          <w:szCs w:val="21"/>
        </w:rPr>
      </w:pPr>
      <w:r>
        <w:rPr>
          <w:rFonts w:hint="eastAsia"/>
          <w:szCs w:val="21"/>
        </w:rPr>
        <w:t>（</w:t>
      </w:r>
      <w:r>
        <w:rPr>
          <w:szCs w:val="21"/>
        </w:rPr>
        <w:t>3</w:t>
      </w:r>
      <w:r>
        <w:rPr>
          <w:rFonts w:hint="eastAsia"/>
          <w:szCs w:val="21"/>
        </w:rPr>
        <w:t>）投标人情况及资格证明文件</w:t>
      </w:r>
    </w:p>
    <w:p>
      <w:pPr>
        <w:ind w:left="718" w:leftChars="342" w:firstLine="1417" w:firstLineChars="675"/>
        <w:rPr>
          <w:szCs w:val="21"/>
        </w:rPr>
      </w:pPr>
      <w:bookmarkStart w:id="23" w:name="_Hlk72257201"/>
      <w:r>
        <w:rPr>
          <w:rFonts w:hint="eastAsia"/>
          <w:szCs w:val="21"/>
        </w:rPr>
        <w:t>（</w:t>
      </w:r>
      <w:r>
        <w:rPr>
          <w:szCs w:val="21"/>
        </w:rPr>
        <w:t>4</w:t>
      </w:r>
      <w:r>
        <w:rPr>
          <w:rFonts w:hint="eastAsia"/>
          <w:szCs w:val="21"/>
        </w:rPr>
        <w:t>）项目详细报价</w:t>
      </w:r>
    </w:p>
    <w:bookmarkEnd w:id="23"/>
    <w:p>
      <w:pPr>
        <w:ind w:left="718" w:leftChars="342" w:firstLine="1417" w:firstLineChars="675"/>
        <w:rPr>
          <w:rFonts w:hint="eastAsia" w:eastAsiaTheme="minorEastAsia"/>
          <w:szCs w:val="21"/>
          <w:lang w:eastAsia="zh-CN"/>
        </w:rPr>
      </w:pPr>
      <w:r>
        <w:rPr>
          <w:rFonts w:hint="eastAsia"/>
          <w:szCs w:val="21"/>
        </w:rPr>
        <w:t>（5）</w:t>
      </w:r>
      <w:r>
        <w:rPr>
          <w:rFonts w:hint="eastAsia"/>
          <w:szCs w:val="21"/>
          <w:lang w:eastAsia="zh-CN"/>
        </w:rPr>
        <w:t>供应商情况表</w:t>
      </w:r>
    </w:p>
    <w:p>
      <w:pPr>
        <w:ind w:firstLine="1200" w:firstLineChars="500"/>
        <w:outlineLvl w:val="0"/>
        <w:rPr>
          <w:rFonts w:hint="eastAsia" w:ascii="宋体" w:hAnsi="宋体"/>
          <w:sz w:val="24"/>
        </w:rPr>
      </w:pPr>
      <w:r>
        <w:rPr>
          <w:rFonts w:hint="eastAsia" w:ascii="宋体" w:hAnsi="宋体"/>
          <w:sz w:val="24"/>
        </w:rPr>
        <w:t>2.投标文件附件：主要包括以下内容：</w:t>
      </w:r>
    </w:p>
    <w:p>
      <w:pPr>
        <w:ind w:firstLine="2100" w:firstLineChars="1000"/>
        <w:rPr>
          <w:szCs w:val="21"/>
        </w:rPr>
      </w:pPr>
      <w:r>
        <w:rPr>
          <w:rFonts w:hint="eastAsia"/>
          <w:szCs w:val="21"/>
        </w:rPr>
        <w:t>（1）法定代表人（负责人）证明书</w:t>
      </w:r>
    </w:p>
    <w:p>
      <w:pPr>
        <w:ind w:left="718" w:leftChars="342" w:firstLine="1417" w:firstLineChars="675"/>
        <w:rPr>
          <w:szCs w:val="21"/>
        </w:rPr>
      </w:pPr>
      <w:r>
        <w:rPr>
          <w:rFonts w:hint="eastAsia"/>
          <w:szCs w:val="21"/>
        </w:rPr>
        <w:t>（2）投标文件签署授权委托书</w:t>
      </w:r>
    </w:p>
    <w:p>
      <w:pPr>
        <w:ind w:left="718" w:leftChars="342" w:firstLine="1417" w:firstLineChars="675"/>
        <w:rPr>
          <w:szCs w:val="21"/>
        </w:rPr>
      </w:pPr>
      <w:r>
        <w:rPr>
          <w:rFonts w:hint="eastAsia"/>
          <w:szCs w:val="21"/>
        </w:rPr>
        <w:t>（3）实质性条款响应情况表</w:t>
      </w:r>
    </w:p>
    <w:p>
      <w:pPr>
        <w:ind w:left="718" w:leftChars="342" w:firstLine="1417" w:firstLineChars="675"/>
        <w:rPr>
          <w:szCs w:val="21"/>
        </w:rPr>
      </w:pPr>
      <w:r>
        <w:rPr>
          <w:rFonts w:hint="eastAsia"/>
          <w:szCs w:val="21"/>
        </w:rPr>
        <w:t>（</w:t>
      </w:r>
      <w:r>
        <w:rPr>
          <w:szCs w:val="21"/>
        </w:rPr>
        <w:t>4</w:t>
      </w:r>
      <w:r>
        <w:rPr>
          <w:rFonts w:hint="eastAsia"/>
          <w:szCs w:val="21"/>
        </w:rPr>
        <w:t>）商务要求偏离表</w:t>
      </w:r>
    </w:p>
    <w:p>
      <w:pPr>
        <w:ind w:left="718" w:leftChars="342" w:firstLine="1417" w:firstLineChars="675"/>
        <w:rPr>
          <w:szCs w:val="21"/>
        </w:rPr>
      </w:pPr>
      <w:r>
        <w:rPr>
          <w:rFonts w:hint="eastAsia"/>
          <w:szCs w:val="21"/>
        </w:rPr>
        <w:t>（</w:t>
      </w:r>
      <w:r>
        <w:rPr>
          <w:szCs w:val="21"/>
        </w:rPr>
        <w:t>5</w:t>
      </w:r>
      <w:r>
        <w:rPr>
          <w:rFonts w:hint="eastAsia"/>
          <w:szCs w:val="21"/>
        </w:rPr>
        <w:t>）技术要求偏离表</w:t>
      </w:r>
    </w:p>
    <w:p>
      <w:pPr>
        <w:ind w:left="718" w:leftChars="342" w:firstLine="1417" w:firstLineChars="675"/>
        <w:rPr>
          <w:rFonts w:hint="eastAsia" w:eastAsiaTheme="minorEastAsia"/>
          <w:szCs w:val="21"/>
          <w:lang w:eastAsia="zh-CN"/>
        </w:rPr>
      </w:pPr>
      <w:r>
        <w:rPr>
          <w:rFonts w:hint="eastAsia"/>
          <w:szCs w:val="21"/>
        </w:rPr>
        <w:t>（6）</w:t>
      </w:r>
      <w:r>
        <w:rPr>
          <w:rFonts w:hint="eastAsia"/>
          <w:szCs w:val="21"/>
          <w:lang w:eastAsia="zh-CN"/>
        </w:rPr>
        <w:t>技术</w:t>
      </w:r>
      <w:r>
        <w:rPr>
          <w:rFonts w:hint="eastAsia"/>
          <w:szCs w:val="21"/>
        </w:rPr>
        <w:t>保障措施</w:t>
      </w:r>
    </w:p>
    <w:p>
      <w:pPr>
        <w:ind w:left="718" w:leftChars="342" w:firstLine="1417" w:firstLineChars="675"/>
        <w:rPr>
          <w:rFonts w:hint="eastAsia" w:ascii="宋体" w:hAnsi="宋体"/>
          <w:szCs w:val="21"/>
        </w:rPr>
      </w:pPr>
      <w:r>
        <w:rPr>
          <w:rFonts w:hint="eastAsia"/>
          <w:szCs w:val="21"/>
          <w:lang w:val="en-US" w:eastAsia="zh-CN"/>
        </w:rPr>
        <w:t>（7</w:t>
      </w:r>
      <w:r>
        <w:rPr>
          <w:rFonts w:hint="eastAsia"/>
          <w:szCs w:val="21"/>
          <w:lang w:eastAsia="zh-CN"/>
        </w:rPr>
        <w:t>）</w:t>
      </w:r>
      <w:r>
        <w:rPr>
          <w:rFonts w:hint="eastAsia" w:ascii="宋体" w:hAnsi="宋体"/>
          <w:szCs w:val="21"/>
        </w:rPr>
        <w:t>设计方案</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8</w:t>
      </w:r>
      <w:r>
        <w:rPr>
          <w:rFonts w:hint="eastAsia"/>
          <w:szCs w:val="21"/>
          <w:lang w:eastAsia="zh-CN"/>
        </w:rPr>
        <w:t>）</w:t>
      </w:r>
      <w:r>
        <w:rPr>
          <w:rFonts w:hint="eastAsia" w:ascii="宋体" w:hAnsi="宋体"/>
          <w:szCs w:val="21"/>
        </w:rPr>
        <w:t>拟安排的项目负责人情况（仅限一人）</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9</w:t>
      </w:r>
      <w:r>
        <w:rPr>
          <w:rFonts w:hint="eastAsia"/>
          <w:szCs w:val="21"/>
          <w:lang w:eastAsia="zh-CN"/>
        </w:rPr>
        <w:t>）同类项目业绩</w:t>
      </w:r>
    </w:p>
    <w:p>
      <w:pPr>
        <w:ind w:left="718" w:leftChars="342" w:firstLine="1417" w:firstLineChars="675"/>
        <w:rPr>
          <w:rFonts w:hint="eastAsia"/>
          <w:szCs w:val="21"/>
          <w:lang w:eastAsia="zh-CN"/>
        </w:rPr>
      </w:pPr>
      <w:r>
        <w:rPr>
          <w:rFonts w:hint="eastAsia"/>
          <w:szCs w:val="21"/>
          <w:lang w:eastAsia="zh-CN"/>
        </w:rPr>
        <w:t>（</w:t>
      </w:r>
      <w:r>
        <w:rPr>
          <w:rFonts w:hint="eastAsia"/>
          <w:szCs w:val="21"/>
          <w:lang w:val="en-US" w:eastAsia="zh-CN"/>
        </w:rPr>
        <w:t>10</w:t>
      </w:r>
      <w:r>
        <w:rPr>
          <w:rFonts w:hint="eastAsia"/>
          <w:szCs w:val="21"/>
          <w:lang w:eastAsia="zh-CN"/>
        </w:rPr>
        <w:t>）</w:t>
      </w:r>
      <w:r>
        <w:rPr>
          <w:rFonts w:hint="eastAsia" w:ascii="宋体" w:hAnsi="宋体"/>
          <w:szCs w:val="21"/>
        </w:rPr>
        <w:t>资质证书</w:t>
      </w:r>
    </w:p>
    <w:p>
      <w:pPr>
        <w:ind w:left="718" w:leftChars="342" w:firstLine="1417" w:firstLineChars="675"/>
        <w:rPr>
          <w:szCs w:val="21"/>
        </w:rPr>
      </w:pPr>
      <w:r>
        <w:rPr>
          <w:rFonts w:hint="eastAsia"/>
          <w:szCs w:val="21"/>
          <w:lang w:eastAsia="zh-CN"/>
        </w:rPr>
        <w:t>（</w:t>
      </w:r>
      <w:r>
        <w:rPr>
          <w:rFonts w:hint="eastAsia"/>
          <w:szCs w:val="21"/>
          <w:lang w:val="en-US" w:eastAsia="zh-CN"/>
        </w:rPr>
        <w:t>11</w:t>
      </w:r>
      <w:r>
        <w:rPr>
          <w:rFonts w:hint="eastAsia"/>
          <w:szCs w:val="21"/>
          <w:lang w:eastAsia="zh-CN"/>
        </w:rPr>
        <w:t>）</w:t>
      </w:r>
      <w:r>
        <w:rPr>
          <w:rFonts w:hint="eastAsia"/>
          <w:szCs w:val="21"/>
        </w:rPr>
        <w:t>投标人认为需要加以说明的其他内容</w:t>
      </w:r>
    </w:p>
    <w:p>
      <w:pPr>
        <w:spacing w:line="320" w:lineRule="atLeast"/>
        <w:rPr>
          <w:rFonts w:hint="eastAsia" w:ascii="宋体" w:hAnsi="宋体"/>
          <w:b/>
          <w:sz w:val="24"/>
          <w:szCs w:val="24"/>
        </w:rPr>
      </w:pPr>
      <w:r>
        <w:rPr>
          <w:rFonts w:hint="eastAsia" w:ascii="宋体" w:hAnsi="宋体"/>
          <w:b/>
          <w:sz w:val="24"/>
          <w:szCs w:val="24"/>
        </w:rPr>
        <w:t>备注：</w:t>
      </w:r>
    </w:p>
    <w:p>
      <w:pPr>
        <w:snapToGrid w:val="0"/>
        <w:spacing w:line="320" w:lineRule="atLeast"/>
        <w:ind w:firstLine="482" w:firstLineChars="200"/>
        <w:rPr>
          <w:rFonts w:hint="eastAsia" w:ascii="宋体" w:hAnsi="宋体"/>
          <w:b/>
          <w:sz w:val="24"/>
          <w:szCs w:val="24"/>
        </w:rPr>
      </w:pPr>
      <w:r>
        <w:rPr>
          <w:rFonts w:hint="eastAsia" w:ascii="宋体" w:hAnsi="宋体"/>
          <w:b/>
          <w:sz w:val="24"/>
          <w:szCs w:val="24"/>
        </w:rPr>
        <w:t>1.本项目为网上电子投标项目，投标文件不需法人或授权委托人另行签字，无需加盖单位公章，招标文件另有规定的除外。</w:t>
      </w:r>
    </w:p>
    <w:p>
      <w:pPr>
        <w:snapToGrid w:val="0"/>
        <w:spacing w:after="78" w:afterLines="25"/>
        <w:ind w:firstLine="482" w:firstLineChars="200"/>
        <w:rPr>
          <w:rFonts w:hint="eastAsia" w:ascii="宋体" w:hAnsi="宋体" w:eastAsia="黑体" w:cs="Times New Roman"/>
          <w:bCs/>
          <w:kern w:val="44"/>
          <w:sz w:val="32"/>
          <w:szCs w:val="32"/>
        </w:rPr>
      </w:pPr>
      <w:bookmarkStart w:id="24" w:name="_Hlk72263559"/>
      <w:r>
        <w:rPr>
          <w:rFonts w:hint="eastAsia" w:ascii="宋体" w:hAnsi="宋体"/>
          <w:b/>
          <w:sz w:val="24"/>
          <w:szCs w:val="24"/>
        </w:rPr>
        <w:t>2.关于填写“开标一览表”的说明：“开标一览表”中除“投标总价”外，其他信息不作评审依据。</w:t>
      </w:r>
      <w:bookmarkEnd w:id="20"/>
      <w:bookmarkEnd w:id="24"/>
      <w:r>
        <w:rPr>
          <w:rFonts w:ascii="宋体" w:hAnsi="宋体" w:eastAsia="黑体" w:cs="Times New Roman"/>
          <w:bCs/>
          <w:kern w:val="44"/>
          <w:sz w:val="32"/>
          <w:szCs w:val="32"/>
        </w:rPr>
        <w:br w:type="page"/>
      </w:r>
    </w:p>
    <w:p>
      <w:pPr>
        <w:widowControl/>
        <w:jc w:val="left"/>
        <w:outlineLvl w:val="2"/>
        <w:rPr>
          <w:rFonts w:hint="eastAsia" w:ascii="宋体" w:hAnsi="宋体" w:eastAsia="宋体" w:cs="宋体"/>
          <w:b/>
          <w:color w:val="FF0000"/>
          <w:kern w:val="0"/>
          <w:sz w:val="32"/>
          <w:szCs w:val="32"/>
        </w:rPr>
      </w:pPr>
      <w:r>
        <w:rPr>
          <w:rFonts w:hint="eastAsia" w:ascii="宋体" w:hAnsi="宋体" w:eastAsia="宋体" w:cs="宋体"/>
          <w:b/>
          <w:color w:val="FF0000"/>
          <w:kern w:val="0"/>
          <w:sz w:val="32"/>
          <w:szCs w:val="32"/>
        </w:rPr>
        <w:t>（一）投标文件正文</w:t>
      </w:r>
    </w:p>
    <w:p>
      <w:pPr>
        <w:pStyle w:val="5"/>
        <w:jc w:val="center"/>
        <w:rPr>
          <w:rFonts w:hint="eastAsia" w:ascii="黑体" w:eastAsia="黑体"/>
          <w:b w:val="0"/>
          <w:sz w:val="24"/>
        </w:rPr>
      </w:pPr>
      <w:r>
        <w:rPr>
          <w:rFonts w:hint="eastAsia" w:ascii="黑体" w:eastAsia="黑体"/>
          <w:b w:val="0"/>
          <w:sz w:val="24"/>
        </w:rPr>
        <w:t>一、投标函</w:t>
      </w:r>
    </w:p>
    <w:p>
      <w:pPr>
        <w:spacing w:line="360" w:lineRule="auto"/>
        <w:rPr>
          <w:rFonts w:hint="eastAsia" w:ascii="宋体" w:hAnsi="宋体"/>
          <w:szCs w:val="21"/>
        </w:rPr>
      </w:pPr>
      <w:bookmarkStart w:id="25" w:name="_Hlk72257506"/>
      <w:r>
        <w:rPr>
          <w:rFonts w:hint="eastAsia" w:ascii="宋体" w:hAnsi="宋体"/>
          <w:szCs w:val="21"/>
        </w:rPr>
        <w:t>致：</w:t>
      </w:r>
      <w:r>
        <w:rPr>
          <w:rFonts w:hint="eastAsia" w:ascii="宋体" w:hAnsi="宋体"/>
          <w:szCs w:val="21"/>
          <w:u w:val="single"/>
        </w:rPr>
        <w:t xml:space="preserve">  </w:t>
      </w:r>
      <w:r>
        <w:rPr>
          <w:rFonts w:hint="eastAsia" w:ascii="宋体" w:hAnsi="宋体"/>
          <w:color w:val="FF0000"/>
          <w:szCs w:val="21"/>
          <w:u w:val="single"/>
        </w:rPr>
        <w:t>深圳公共资源交易中心</w:t>
      </w:r>
      <w:r>
        <w:rPr>
          <w:rFonts w:hint="eastAsia" w:ascii="宋体" w:hAnsi="宋体"/>
          <w:szCs w:val="21"/>
          <w:u w:val="single"/>
        </w:rPr>
        <w:t xml:space="preserve">  </w:t>
      </w:r>
    </w:p>
    <w:p>
      <w:pPr>
        <w:ind w:firstLine="420" w:firstLineChars="200"/>
        <w:rPr>
          <w:rFonts w:hint="eastAsia" w:ascii="宋体" w:hAnsi="宋体"/>
          <w:szCs w:val="21"/>
        </w:rPr>
      </w:pPr>
      <w:bookmarkStart w:id="26" w:name="_Hlk73818812"/>
      <w:r>
        <w:rPr>
          <w:rFonts w:hint="eastAsia"/>
          <w:szCs w:val="21"/>
        </w:rPr>
        <w:t>1、根据已收到贵单位的项目编号为</w:t>
      </w:r>
      <w:r>
        <w:rPr>
          <w:rFonts w:hint="eastAsia"/>
          <w:szCs w:val="21"/>
          <w:u w:val="thick"/>
        </w:rPr>
        <w:t xml:space="preserve">                 </w:t>
      </w:r>
      <w:r>
        <w:rPr>
          <w:rFonts w:hint="eastAsia"/>
          <w:szCs w:val="21"/>
        </w:rPr>
        <w:t>的</w:t>
      </w:r>
      <w:r>
        <w:rPr>
          <w:rFonts w:hint="eastAsia"/>
          <w:szCs w:val="21"/>
          <w:u w:val="thick"/>
        </w:rPr>
        <w:t xml:space="preserve">   （项目名称）   </w:t>
      </w:r>
      <w:r>
        <w:rPr>
          <w:rFonts w:hint="eastAsia"/>
          <w:szCs w:val="21"/>
        </w:rPr>
        <w:t>项目的招标文件，遵照《深圳经济特区政府采购条例》和《深圳网上政府采购管理暂行办法》等有关规定，我单位经研究上述招标文件的专用条款及通用条款后，</w:t>
      </w:r>
      <w:bookmarkStart w:id="27" w:name="_Hlk72263588"/>
      <w:r>
        <w:rPr>
          <w:rFonts w:hint="eastAsia"/>
          <w:szCs w:val="21"/>
        </w:rPr>
        <w:t>愿意按照招标文件要求承包上述项目并修补其任何缺陷。</w:t>
      </w:r>
      <w:bookmarkEnd w:id="27"/>
    </w:p>
    <w:p>
      <w:pPr>
        <w:ind w:firstLine="420" w:firstLineChars="200"/>
        <w:rPr>
          <w:rFonts w:hint="eastAsia" w:ascii="宋体" w:hAnsi="宋体"/>
          <w:szCs w:val="21"/>
        </w:rPr>
      </w:pPr>
      <w:r>
        <w:rPr>
          <w:rFonts w:ascii="宋体" w:hAnsi="宋体"/>
          <w:szCs w:val="21"/>
        </w:rPr>
        <w:t>2</w:t>
      </w:r>
      <w:r>
        <w:rPr>
          <w:rFonts w:hint="eastAsia" w:ascii="宋体" w:hAnsi="宋体"/>
          <w:szCs w:val="21"/>
        </w:rPr>
        <w:t>、</w:t>
      </w:r>
      <w:bookmarkStart w:id="28" w:name="_Hlk73819847"/>
      <w:r>
        <w:rPr>
          <w:rFonts w:hint="eastAsia" w:ascii="宋体" w:hAnsi="宋体"/>
          <w:szCs w:val="21"/>
        </w:rPr>
        <w:t>投标价格见</w:t>
      </w:r>
      <w:r>
        <w:rPr>
          <w:rFonts w:hint="eastAsia"/>
          <w:szCs w:val="21"/>
        </w:rPr>
        <w:t>投标书编制软件中《开标一览表》中填写的投标总价。</w:t>
      </w:r>
      <w:bookmarkEnd w:id="28"/>
    </w:p>
    <w:p>
      <w:pPr>
        <w:ind w:firstLine="420" w:firstLineChars="200"/>
        <w:rPr>
          <w:rFonts w:hint="eastAsia" w:ascii="宋体" w:hAnsi="宋体"/>
          <w:szCs w:val="21"/>
        </w:rPr>
      </w:pPr>
      <w:r>
        <w:rPr>
          <w:rFonts w:hint="eastAsia" w:ascii="宋体" w:hAnsi="宋体"/>
          <w:szCs w:val="21"/>
        </w:rPr>
        <w:t>3、如果我单位中标，我单位将按照招标文件的要求足额提交履约担保。</w:t>
      </w:r>
    </w:p>
    <w:p>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pPr>
        <w:ind w:left="420" w:leftChars="200"/>
        <w:rPr>
          <w:rFonts w:hint="eastAsia" w:ascii="宋体" w:hAnsi="宋体"/>
          <w:szCs w:val="21"/>
        </w:rPr>
      </w:pPr>
      <w:r>
        <w:rPr>
          <w:rFonts w:hint="eastAsia" w:ascii="宋体" w:hAnsi="宋体"/>
          <w:szCs w:val="21"/>
        </w:rPr>
        <w:t>6、我单位理解贵单位将不受必须接受所收到的最低报价或其它任何投标文件的约束。</w:t>
      </w:r>
      <w:bookmarkEnd w:id="26"/>
    </w:p>
    <w:p>
      <w:pPr>
        <w:ind w:left="420" w:leftChars="200"/>
        <w:rPr>
          <w:rFonts w:hint="eastAsia" w:ascii="宋体" w:hAnsi="宋体"/>
          <w:b/>
          <w:szCs w:val="21"/>
        </w:rPr>
      </w:pPr>
      <w:r>
        <w:rPr>
          <w:rFonts w:hint="eastAsia" w:ascii="宋体" w:hAnsi="宋体"/>
          <w:b/>
          <w:szCs w:val="21"/>
        </w:rPr>
        <w:t>7</w:t>
      </w:r>
      <w:r>
        <w:rPr>
          <w:rFonts w:ascii="宋体" w:hAnsi="宋体"/>
          <w:b/>
          <w:szCs w:val="21"/>
        </w:rPr>
        <w:t>、如我单位提交样品，且未在规定时间内取回样品的，视同放弃取回，同意深圳公共资源交易中心对我单位提交的样品进行清理。</w:t>
      </w:r>
    </w:p>
    <w:p>
      <w:pPr>
        <w:ind w:left="420" w:leftChars="200" w:firstLine="210" w:firstLineChars="100"/>
        <w:rPr>
          <w:szCs w:val="21"/>
        </w:rPr>
      </w:pPr>
    </w:p>
    <w:p>
      <w:pPr>
        <w:ind w:left="420" w:leftChars="200" w:firstLine="210" w:firstLineChars="100"/>
        <w:rPr>
          <w:szCs w:val="21"/>
        </w:rPr>
      </w:pPr>
      <w:r>
        <w:rPr>
          <w:rFonts w:hint="eastAsia"/>
          <w:szCs w:val="21"/>
        </w:rPr>
        <w:t>投标人：</w:t>
      </w:r>
      <w:r>
        <w:rPr>
          <w:rFonts w:hint="eastAsia"/>
          <w:szCs w:val="21"/>
          <w:u w:val="thick"/>
        </w:rPr>
        <w:t xml:space="preserve">                   </w:t>
      </w:r>
      <w:r>
        <w:rPr>
          <w:rFonts w:hint="eastAsia"/>
          <w:szCs w:val="21"/>
        </w:rPr>
        <w:t xml:space="preserve">  ；  </w:t>
      </w:r>
    </w:p>
    <w:p>
      <w:pPr>
        <w:ind w:left="420" w:leftChars="200" w:firstLine="210" w:firstLineChars="100"/>
        <w:rPr>
          <w:szCs w:val="21"/>
        </w:rPr>
      </w:pPr>
      <w:r>
        <w:rPr>
          <w:rFonts w:hint="eastAsia"/>
          <w:szCs w:val="21"/>
        </w:rPr>
        <w:t>单位地址：</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法定代表人（负责人）或其授权委托代理人：</w:t>
      </w:r>
      <w:r>
        <w:rPr>
          <w:rFonts w:hint="eastAsia"/>
          <w:szCs w:val="21"/>
          <w:u w:val="thick"/>
        </w:rPr>
        <w:t xml:space="preserve">                       </w:t>
      </w:r>
      <w:r>
        <w:rPr>
          <w:rFonts w:hint="eastAsia"/>
          <w:szCs w:val="21"/>
        </w:rPr>
        <w:t>；</w:t>
      </w:r>
    </w:p>
    <w:p>
      <w:pPr>
        <w:ind w:left="420" w:leftChars="200" w:firstLine="210" w:firstLineChars="100"/>
        <w:rPr>
          <w:szCs w:val="21"/>
        </w:rPr>
      </w:pPr>
      <w:r>
        <w:rPr>
          <w:rFonts w:hint="eastAsia"/>
          <w:szCs w:val="21"/>
        </w:rPr>
        <w:t>电话：</w:t>
      </w:r>
      <w:r>
        <w:rPr>
          <w:rFonts w:hint="eastAsia"/>
          <w:szCs w:val="21"/>
          <w:u w:val="thick"/>
        </w:rPr>
        <w:t xml:space="preserve">           </w:t>
      </w:r>
      <w:r>
        <w:rPr>
          <w:rFonts w:hint="eastAsia"/>
          <w:szCs w:val="21"/>
        </w:rPr>
        <w:t xml:space="preserve">；     </w:t>
      </w:r>
    </w:p>
    <w:p>
      <w:pPr>
        <w:ind w:left="420" w:leftChars="200" w:firstLine="210" w:firstLineChars="100"/>
        <w:rPr>
          <w:sz w:val="24"/>
        </w:rPr>
      </w:pPr>
      <w:r>
        <w:rPr>
          <w:rFonts w:hint="eastAsia" w:ascii="宋体" w:hAnsi="宋体"/>
          <w:szCs w:val="21"/>
        </w:rPr>
        <w:t>日期：</w:t>
      </w:r>
      <w:r>
        <w:rPr>
          <w:rFonts w:hint="eastAsia" w:ascii="宋体" w:hAnsi="宋体"/>
          <w:szCs w:val="21"/>
          <w:u w:val="thick"/>
        </w:rPr>
        <w:t xml:space="preserve">       </w:t>
      </w:r>
      <w:r>
        <w:rPr>
          <w:rFonts w:hint="eastAsia" w:ascii="宋体" w:hAnsi="宋体"/>
          <w:szCs w:val="21"/>
        </w:rPr>
        <w:t>年</w:t>
      </w:r>
      <w:r>
        <w:rPr>
          <w:rFonts w:hint="eastAsia" w:ascii="宋体" w:hAnsi="宋体"/>
          <w:szCs w:val="21"/>
          <w:u w:val="thick"/>
        </w:rPr>
        <w:t xml:space="preserve">     </w:t>
      </w:r>
      <w:r>
        <w:rPr>
          <w:rFonts w:hint="eastAsia" w:ascii="宋体" w:hAnsi="宋体"/>
          <w:szCs w:val="21"/>
        </w:rPr>
        <w:t>月</w:t>
      </w:r>
      <w:r>
        <w:rPr>
          <w:rFonts w:hint="eastAsia" w:ascii="宋体" w:hAnsi="宋体"/>
          <w:szCs w:val="21"/>
          <w:u w:val="thick"/>
        </w:rPr>
        <w:t xml:space="preserve">    </w:t>
      </w:r>
      <w:r>
        <w:rPr>
          <w:rFonts w:hint="eastAsia" w:ascii="宋体" w:hAnsi="宋体"/>
          <w:szCs w:val="21"/>
        </w:rPr>
        <w:t>日</w:t>
      </w:r>
      <w:r>
        <w:rPr>
          <w:rFonts w:hint="eastAsia"/>
          <w:sz w:val="24"/>
        </w:rPr>
        <w:t xml:space="preserve">                                </w:t>
      </w:r>
    </w:p>
    <w:p>
      <w:pPr>
        <w:rPr>
          <w:rFonts w:hint="eastAsia" w:ascii="黑体" w:hAnsi="宋体" w:eastAsia="黑体"/>
        </w:rPr>
      </w:pPr>
    </w:p>
    <w:p>
      <w:pPr>
        <w:rPr>
          <w:rFonts w:hint="eastAsia" w:ascii="黑体" w:hAnsi="宋体" w:eastAsia="黑体"/>
        </w:rPr>
      </w:pPr>
    </w:p>
    <w:bookmarkEnd w:id="25"/>
    <w:p>
      <w:pPr>
        <w:pStyle w:val="5"/>
        <w:jc w:val="center"/>
        <w:rPr>
          <w:rFonts w:hint="eastAsia" w:ascii="黑体" w:eastAsia="黑体"/>
          <w:b w:val="0"/>
          <w:sz w:val="24"/>
        </w:rPr>
      </w:pPr>
      <w:r>
        <w:rPr>
          <w:rFonts w:hint="eastAsia" w:ascii="黑体" w:eastAsia="黑体"/>
          <w:b w:val="0"/>
          <w:sz w:val="24"/>
        </w:rPr>
        <w:t>二、政府采购投标及履约承诺函</w:t>
      </w:r>
    </w:p>
    <w:p>
      <w:pPr>
        <w:rPr>
          <w:rFonts w:hint="eastAsia" w:ascii="宋体" w:hAnsi="宋体"/>
          <w:color w:val="FF0000"/>
          <w:szCs w:val="21"/>
        </w:rPr>
      </w:pPr>
      <w:bookmarkStart w:id="29" w:name="_Hlk72257530"/>
      <w:r>
        <w:rPr>
          <w:rFonts w:hint="eastAsia" w:ascii="宋体" w:hAnsi="宋体"/>
          <w:color w:val="FF0000"/>
          <w:szCs w:val="21"/>
        </w:rPr>
        <w:t>致：</w:t>
      </w:r>
      <w:r>
        <w:rPr>
          <w:rFonts w:hint="eastAsia" w:ascii="宋体" w:hAnsi="宋体"/>
          <w:color w:val="FF0000"/>
          <w:szCs w:val="21"/>
          <w:u w:val="single"/>
        </w:rPr>
        <w:t>深圳公共资源交易中心</w:t>
      </w:r>
    </w:p>
    <w:p>
      <w:pPr>
        <w:ind w:right="-815" w:firstLine="420" w:firstLineChars="200"/>
        <w:rPr>
          <w:rFonts w:ascii="宋体" w:hAnsi="宋体"/>
          <w:szCs w:val="21"/>
        </w:rPr>
      </w:pPr>
      <w:r>
        <w:rPr>
          <w:rFonts w:hint="eastAsia" w:ascii="宋体" w:hAnsi="宋体"/>
          <w:szCs w:val="21"/>
        </w:rPr>
        <w:t>我单位承诺：</w:t>
      </w:r>
    </w:p>
    <w:p>
      <w:pPr>
        <w:ind w:firstLine="420" w:firstLineChars="200"/>
        <w:rPr>
          <w:rFonts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pPr>
        <w:ind w:firstLine="420" w:firstLineChars="200"/>
        <w:rPr>
          <w:rFonts w:ascii="宋体" w:hAnsi="宋体"/>
          <w:szCs w:val="21"/>
        </w:rPr>
      </w:pPr>
      <w:r>
        <w:rPr>
          <w:rFonts w:hint="eastAsia" w:ascii="宋体" w:hAnsi="宋体"/>
          <w:szCs w:val="21"/>
        </w:rPr>
        <w:t>2.我单位参与本项目</w:t>
      </w:r>
      <w:r>
        <w:rPr>
          <w:rFonts w:hint="eastAsia"/>
        </w:rPr>
        <w:t>政府采购活动时不存在被有关部门禁止参与政府采购活动且在有效期内的情况。</w:t>
      </w:r>
    </w:p>
    <w:p>
      <w:pPr>
        <w:ind w:firstLine="420" w:firstLineChars="200"/>
        <w:rPr>
          <w:rFonts w:ascii="宋体" w:hAnsi="宋体"/>
          <w:szCs w:val="21"/>
        </w:rPr>
      </w:pPr>
      <w:r>
        <w:rPr>
          <w:rFonts w:hint="eastAsia" w:ascii="宋体" w:hAnsi="宋体"/>
          <w:szCs w:val="21"/>
        </w:rPr>
        <w:t>3.我单位具备《中华人民共和国政府采购法》第二十二条第一款规定的六项条件。</w:t>
      </w:r>
    </w:p>
    <w:p>
      <w:pPr>
        <w:ind w:firstLine="420" w:firstLineChars="200"/>
        <w:rPr>
          <w:rFonts w:hint="eastAsia"/>
          <w:lang w:eastAsia="zh-CN"/>
        </w:rPr>
      </w:pPr>
      <w:r>
        <w:rPr>
          <w:rFonts w:hint="eastAsia" w:ascii="宋体" w:hAnsi="宋体"/>
          <w:szCs w:val="21"/>
        </w:rPr>
        <w:t>4.我单位</w:t>
      </w:r>
      <w:r>
        <w:rPr>
          <w:rFonts w:hint="eastAsia"/>
        </w:rPr>
        <w:t>未被列入失信被执行人、重大税收违法案件当事人名单、政府采购严重违法失信行为记录名单</w:t>
      </w:r>
      <w:r>
        <w:rPr>
          <w:rFonts w:hint="eastAsia"/>
          <w:lang w:eastAsia="zh-CN"/>
        </w:rPr>
        <w:t>。</w:t>
      </w:r>
    </w:p>
    <w:p>
      <w:pPr>
        <w:ind w:firstLine="420" w:firstLineChars="200"/>
        <w:rPr>
          <w:rFonts w:hint="eastAsia"/>
          <w:lang w:eastAsia="zh-CN"/>
        </w:rPr>
      </w:pPr>
      <w:r>
        <w:rPr>
          <w:rFonts w:hint="eastAsia" w:ascii="Times New Roman" w:eastAsia="宋体"/>
          <w:color w:val="FF0000"/>
          <w:lang w:val="en-US" w:eastAsia="zh-CN"/>
        </w:rPr>
        <w:t>5.我单位不存在《深圳市财政局政府采购供应商信用信息管理办法》（深财规〔2023〕3号）列明的严重违法失信行为。</w:t>
      </w:r>
    </w:p>
    <w:p>
      <w:pPr>
        <w:ind w:firstLine="420" w:firstLineChars="200"/>
        <w:rPr>
          <w:rFonts w:ascii="宋体" w:hAnsi="宋体"/>
          <w:szCs w:val="21"/>
        </w:rPr>
      </w:pPr>
      <w:r>
        <w:rPr>
          <w:rFonts w:hint="eastAsia" w:ascii="宋体" w:hAnsi="宋体"/>
          <w:szCs w:val="21"/>
          <w:lang w:val="en-US" w:eastAsia="zh-CN"/>
        </w:rPr>
        <w:t>6</w:t>
      </w:r>
      <w:r>
        <w:rPr>
          <w:rFonts w:hint="eastAsia" w:ascii="宋体" w:hAnsi="宋体"/>
          <w:szCs w:val="21"/>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0" w:firstLineChars="200"/>
        <w:rPr>
          <w:rFonts w:ascii="宋体" w:hAnsi="宋体"/>
          <w:szCs w:val="21"/>
        </w:rPr>
      </w:pPr>
      <w:r>
        <w:rPr>
          <w:rFonts w:hint="eastAsia" w:ascii="宋体" w:hAnsi="宋体"/>
          <w:szCs w:val="21"/>
          <w:lang w:val="en-US" w:eastAsia="zh-CN"/>
        </w:rPr>
        <w:t>7</w:t>
      </w:r>
      <w:r>
        <w:rPr>
          <w:rFonts w:hint="eastAsia" w:ascii="宋体" w:hAnsi="宋体"/>
          <w:szCs w:val="21"/>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0" w:firstLineChars="200"/>
        <w:rPr>
          <w:rFonts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0" w:firstLineChars="200"/>
        <w:rPr>
          <w:rFonts w:ascii="宋体" w:hAnsi="宋体"/>
          <w:szCs w:val="21"/>
        </w:rPr>
      </w:pPr>
      <w:r>
        <w:rPr>
          <w:rFonts w:hint="eastAsia" w:ascii="宋体" w:hAnsi="宋体"/>
          <w:szCs w:val="21"/>
          <w:lang w:val="en-US" w:eastAsia="zh-CN"/>
        </w:rPr>
        <w:t>8</w:t>
      </w:r>
      <w:r>
        <w:rPr>
          <w:rFonts w:hint="eastAsia" w:ascii="宋体" w:hAnsi="宋体"/>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0" w:firstLineChars="200"/>
        <w:rPr>
          <w:rFonts w:ascii="宋体" w:hAnsi="宋体"/>
          <w:szCs w:val="21"/>
        </w:rPr>
      </w:pPr>
      <w:r>
        <w:rPr>
          <w:rFonts w:hint="eastAsia" w:ascii="宋体" w:hAnsi="宋体"/>
          <w:szCs w:val="21"/>
          <w:lang w:val="en-US" w:eastAsia="zh-CN"/>
        </w:rPr>
        <w:t>9</w:t>
      </w:r>
      <w:r>
        <w:rPr>
          <w:rFonts w:hint="eastAsia" w:ascii="宋体" w:hAnsi="宋体"/>
          <w:szCs w:val="21"/>
        </w:rPr>
        <w:t>.我单位承诺中标后项目不转包，未经采购人同意不进行分包。</w:t>
      </w:r>
    </w:p>
    <w:p>
      <w:pPr>
        <w:ind w:firstLine="420" w:firstLineChars="200"/>
        <w:rPr>
          <w:rFonts w:ascii="宋体" w:hAnsi="宋体"/>
        </w:rPr>
      </w:pPr>
      <w:r>
        <w:rPr>
          <w:rFonts w:hint="eastAsia" w:ascii="宋体" w:hAnsi="宋体"/>
          <w:szCs w:val="21"/>
          <w:lang w:val="en-US" w:eastAsia="zh-CN"/>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0" w:firstLineChars="200"/>
        <w:rPr>
          <w:rFonts w:ascii="宋体" w:hAnsi="宋体" w:cs="宋体"/>
          <w:b/>
          <w:kern w:val="0"/>
          <w:szCs w:val="21"/>
        </w:rPr>
      </w:pPr>
      <w:r>
        <w:rPr>
          <w:rFonts w:hint="eastAsia" w:ascii="宋体" w:hAnsi="宋体"/>
        </w:rPr>
        <w:t>1</w:t>
      </w:r>
      <w:r>
        <w:rPr>
          <w:rFonts w:hint="eastAsia" w:ascii="宋体" w:hAnsi="宋体"/>
          <w:lang w:val="en-US" w:eastAsia="zh-CN"/>
        </w:rPr>
        <w:t>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w:t>
      </w:r>
      <w:r>
        <w:rPr>
          <w:rFonts w:hint="eastAsia" w:ascii="宋体" w:hAnsi="宋体"/>
          <w:lang w:val="en-US" w:eastAsia="zh-CN"/>
        </w:rPr>
        <w:t>若所投产品包括数据中心相关设备的，应满足</w:t>
      </w:r>
      <w:r>
        <w:rPr>
          <w:rFonts w:hint="eastAsia"/>
        </w:rPr>
        <w:t>《财政部 生态环境部 工业和信息化部关于印发&lt;绿色数据中心政府采购需求标准（试行）&gt;的通知》</w:t>
      </w:r>
      <w:r>
        <w:rPr>
          <w:rFonts w:hint="eastAsia" w:eastAsia="宋体"/>
          <w:lang w:eastAsia="zh-CN"/>
        </w:rPr>
        <w:t>（</w:t>
      </w:r>
      <w:r>
        <w:rPr>
          <w:rFonts w:hint="eastAsia"/>
        </w:rPr>
        <w:t>财库〔2023〕7号）</w:t>
      </w:r>
      <w:r>
        <w:rPr>
          <w:rFonts w:hint="eastAsia" w:ascii="Times New Roman" w:eastAsia="宋体"/>
          <w:lang w:val="en-US" w:eastAsia="zh-CN"/>
        </w:rPr>
        <w:t>要求。若所投产品涉及国家强制性标准的，所投产品应符合国家强制性标准相关要求。</w:t>
      </w:r>
    </w:p>
    <w:p>
      <w:pPr>
        <w:ind w:firstLine="420" w:firstLineChars="200"/>
        <w:rPr>
          <w:rFonts w:hint="eastAsia" w:ascii="宋体" w:hAnsi="宋体"/>
          <w:b w:val="0"/>
          <w:bCs/>
        </w:rPr>
      </w:pPr>
      <w:r>
        <w:rPr>
          <w:rFonts w:hint="eastAsia" w:ascii="宋体" w:hAnsi="宋体" w:cs="宋体"/>
          <w:b w:val="0"/>
          <w:bCs/>
          <w:kern w:val="0"/>
          <w:szCs w:val="21"/>
        </w:rPr>
        <w:t>1</w:t>
      </w:r>
      <w:r>
        <w:rPr>
          <w:rFonts w:hint="eastAsia" w:ascii="宋体" w:hAnsi="宋体" w:cs="宋体"/>
          <w:b w:val="0"/>
          <w:bCs/>
          <w:kern w:val="0"/>
          <w:szCs w:val="21"/>
          <w:lang w:val="en-US" w:eastAsia="zh-CN"/>
        </w:rPr>
        <w:t>2</w:t>
      </w:r>
      <w:r>
        <w:rPr>
          <w:rFonts w:hint="eastAsia" w:ascii="宋体" w:hAnsi="宋体" w:cs="宋体"/>
          <w:b w:val="0"/>
          <w:bCs/>
          <w:kern w:val="0"/>
          <w:szCs w:val="21"/>
        </w:rPr>
        <w:t>.</w:t>
      </w:r>
      <w:r>
        <w:rPr>
          <w:rFonts w:hint="eastAsia" w:ascii="宋体" w:hAnsi="宋体"/>
          <w:b w:val="0"/>
          <w:bCs/>
        </w:rPr>
        <w:t>我单位已知悉并同意中标（成交）结果信息公示（公开）的内容。</w:t>
      </w:r>
    </w:p>
    <w:p>
      <w:pPr>
        <w:ind w:firstLine="420" w:firstLineChars="200"/>
        <w:rPr>
          <w:rFonts w:hint="eastAsia" w:ascii="宋体" w:hAnsi="宋体"/>
          <w:b w:val="0"/>
          <w:bCs/>
        </w:rPr>
      </w:pPr>
      <w:r>
        <w:rPr>
          <w:rFonts w:hint="eastAsia" w:ascii="宋体" w:hAnsi="宋体"/>
          <w:b w:val="0"/>
          <w:bCs/>
        </w:rPr>
        <w:t>1</w:t>
      </w:r>
      <w:r>
        <w:rPr>
          <w:rFonts w:hint="eastAsia" w:ascii="宋体" w:hAnsi="宋体"/>
          <w:b w:val="0"/>
          <w:bCs/>
          <w:lang w:val="en-US" w:eastAsia="zh-CN"/>
        </w:rPr>
        <w:t>3</w:t>
      </w:r>
      <w:r>
        <w:rPr>
          <w:rFonts w:hint="eastAsia" w:ascii="宋体" w:hAnsi="宋体"/>
          <w:b w:val="0"/>
          <w:bCs/>
        </w:rPr>
        <w:t>.</w:t>
      </w:r>
      <w:bookmarkStart w:id="30" w:name="OLE_LINK12"/>
      <w:bookmarkStart w:id="31" w:name="OLE_LINK3"/>
      <w:r>
        <w:rPr>
          <w:rFonts w:hint="eastAsia" w:ascii="宋体" w:hAnsi="宋体"/>
          <w:b w:val="0"/>
          <w:bCs/>
        </w:rPr>
        <w:t>我单位保证，符合《中华人民共和国政府采购法实施条例》第十八条规定，与其他投标供应商不存在单位负责人为同一人或者存在直接控股、管理关系；</w:t>
      </w:r>
      <w:r>
        <w:rPr>
          <w:rFonts w:hint="eastAsia" w:ascii="宋体" w:hAnsi="宋体"/>
          <w:b w:val="0"/>
          <w:bCs/>
          <w:color w:val="auto"/>
          <w:lang w:val="en-US" w:eastAsia="zh-CN"/>
        </w:rPr>
        <w:t>不存在为</w:t>
      </w:r>
      <w:r>
        <w:rPr>
          <w:rFonts w:hint="eastAsia" w:ascii="宋体" w:hAnsi="宋体"/>
          <w:b w:val="0"/>
          <w:bCs/>
        </w:rPr>
        <w:t>本次采购项目提供整体设计、规范编制或者项目管理、监理、检测等服务的情</w:t>
      </w:r>
      <w:r>
        <w:rPr>
          <w:rFonts w:hint="eastAsia" w:ascii="宋体" w:hAnsi="宋体"/>
          <w:b w:val="0"/>
          <w:bCs/>
          <w:color w:val="auto"/>
        </w:rPr>
        <w:t>形。</w:t>
      </w:r>
      <w:r>
        <w:rPr>
          <w:rFonts w:hint="eastAsia" w:ascii="宋体" w:hAnsi="宋体"/>
          <w:b w:val="0"/>
          <w:bCs/>
          <w:color w:val="auto"/>
          <w:lang w:val="en-US" w:eastAsia="zh-CN"/>
        </w:rPr>
        <w:t>若</w:t>
      </w:r>
      <w:r>
        <w:rPr>
          <w:rFonts w:hint="eastAsia" w:ascii="宋体" w:hAnsi="宋体"/>
          <w:b w:val="0"/>
          <w:bCs/>
          <w:color w:val="auto"/>
        </w:rPr>
        <w:t>存在“不同供应商的董事、股东或其他高级管理人员为同一人的”情形的，</w:t>
      </w:r>
      <w:r>
        <w:rPr>
          <w:rFonts w:hint="eastAsia" w:ascii="宋体" w:hAnsi="宋体"/>
          <w:b w:val="0"/>
          <w:bCs/>
          <w:color w:val="auto"/>
          <w:lang w:val="en-US" w:eastAsia="zh-CN"/>
        </w:rPr>
        <w:t>我单位保证</w:t>
      </w:r>
      <w:r>
        <w:rPr>
          <w:rFonts w:hint="eastAsia" w:ascii="宋体" w:hAnsi="宋体"/>
          <w:b w:val="0"/>
          <w:bCs/>
          <w:color w:val="auto"/>
        </w:rPr>
        <w:t>不存在串通投标、恶意串通或者视为串通投标的情形</w:t>
      </w:r>
      <w:bookmarkEnd w:id="30"/>
      <w:r>
        <w:rPr>
          <w:rFonts w:hint="eastAsia" w:ascii="宋体" w:hAnsi="宋体"/>
          <w:b w:val="0"/>
          <w:bCs/>
          <w:color w:val="auto"/>
          <w:lang w:eastAsia="zh-CN"/>
        </w:rPr>
        <w:t>。</w:t>
      </w:r>
      <w:bookmarkEnd w:id="31"/>
    </w:p>
    <w:p>
      <w:pPr>
        <w:ind w:firstLine="422" w:firstLineChars="200"/>
        <w:rPr>
          <w:rFonts w:hint="eastAsia" w:ascii="宋体" w:hAnsi="宋体"/>
          <w:b/>
          <w:bCs w:val="0"/>
          <w:sz w:val="21"/>
          <w:lang w:val="en-US" w:eastAsia="zh-CN"/>
        </w:rPr>
      </w:pPr>
      <w:r>
        <w:rPr>
          <w:rFonts w:hint="eastAsia" w:ascii="宋体" w:hAnsi="宋体"/>
          <w:b/>
          <w:bCs w:val="0"/>
          <w:sz w:val="21"/>
          <w:lang w:val="en-US" w:eastAsia="zh-CN"/>
        </w:rPr>
        <w:t>14.我单位清楚，如存在违反投标承诺行为情节严重的，将根据《深圳市财政局关于印发&lt;深圳市财政局政府采购供应商信用信息管理办法&gt;的通知》，依法被列入失信信息。</w:t>
      </w:r>
    </w:p>
    <w:p>
      <w:pPr>
        <w:ind w:firstLine="422" w:firstLineChars="200"/>
        <w:rPr>
          <w:rFonts w:hint="eastAsia" w:ascii="宋体" w:hAnsi="宋体"/>
          <w:b/>
          <w:bCs w:val="0"/>
          <w:sz w:val="21"/>
          <w:lang w:val="en-US" w:eastAsia="zh-CN"/>
        </w:rPr>
      </w:pPr>
    </w:p>
    <w:p>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pPr>
        <w:spacing w:before="78" w:beforeLines="25" w:after="78" w:afterLines="25"/>
        <w:ind w:firstLine="5460" w:firstLineChars="2600"/>
        <w:rPr>
          <w:rFonts w:hint="eastAsia" w:ascii="宋体" w:hAnsi="宋体"/>
          <w:szCs w:val="21"/>
        </w:rPr>
      </w:pPr>
      <w:r>
        <w:rPr>
          <w:rFonts w:hint="eastAsia" w:ascii="宋体" w:hAnsi="宋体"/>
          <w:szCs w:val="21"/>
        </w:rPr>
        <w:t xml:space="preserve">                                    </w:t>
      </w:r>
    </w:p>
    <w:bookmarkEnd w:id="29"/>
    <w:p>
      <w:pPr>
        <w:spacing w:before="78" w:beforeLines="25" w:after="78" w:afterLines="25"/>
        <w:jc w:val="right"/>
        <w:rPr>
          <w:rFonts w:eastAsia="宋体"/>
          <w:color w:val="FF0000"/>
        </w:rPr>
      </w:pPr>
      <w:r>
        <w:rPr>
          <w:rFonts w:hint="eastAsia"/>
          <w:color w:val="FF0000"/>
          <w:szCs w:val="21"/>
        </w:rPr>
        <w:t>投标人：</w:t>
      </w:r>
      <w:r>
        <w:rPr>
          <w:rFonts w:hint="eastAsia"/>
          <w:color w:val="FF0000"/>
          <w:szCs w:val="21"/>
          <w:u w:val="thick"/>
        </w:rPr>
        <w:t xml:space="preserve">                           </w:t>
      </w:r>
      <w:r>
        <w:rPr>
          <w:rFonts w:hint="eastAsia"/>
          <w:color w:val="FF0000"/>
          <w:szCs w:val="21"/>
        </w:rPr>
        <w:t>.</w:t>
      </w:r>
    </w:p>
    <w:p>
      <w:pPr>
        <w:jc w:val="right"/>
        <w:rPr>
          <w:rFonts w:hint="eastAsia" w:ascii="宋体" w:hAnsi="宋体"/>
          <w:color w:val="FF0000"/>
          <w:szCs w:val="21"/>
        </w:rPr>
      </w:pPr>
      <w:r>
        <w:rPr>
          <w:rFonts w:hint="eastAsia" w:ascii="宋体" w:hAnsi="宋体"/>
          <w:color w:val="FF0000"/>
          <w:szCs w:val="21"/>
        </w:rPr>
        <w:t>日期：</w:t>
      </w:r>
      <w:r>
        <w:rPr>
          <w:rFonts w:hint="eastAsia"/>
          <w:color w:val="FF0000"/>
          <w:szCs w:val="21"/>
          <w:u w:val="thick"/>
        </w:rPr>
        <w:t xml:space="preserve">        </w:t>
      </w:r>
      <w:r>
        <w:rPr>
          <w:rFonts w:hint="eastAsia" w:ascii="宋体" w:hAnsi="宋体"/>
          <w:color w:val="FF0000"/>
          <w:szCs w:val="21"/>
        </w:rPr>
        <w:t>年</w:t>
      </w:r>
      <w:r>
        <w:rPr>
          <w:rFonts w:hint="eastAsia"/>
          <w:color w:val="FF0000"/>
          <w:szCs w:val="21"/>
          <w:u w:val="thick"/>
        </w:rPr>
        <w:t xml:space="preserve">       </w:t>
      </w:r>
      <w:r>
        <w:rPr>
          <w:rFonts w:hint="eastAsia" w:ascii="宋体" w:hAnsi="宋体"/>
          <w:color w:val="FF0000"/>
          <w:szCs w:val="21"/>
        </w:rPr>
        <w:t>月</w:t>
      </w:r>
      <w:r>
        <w:rPr>
          <w:rFonts w:hint="eastAsia"/>
          <w:color w:val="FF0000"/>
          <w:szCs w:val="21"/>
          <w:u w:val="thick"/>
        </w:rPr>
        <w:t xml:space="preserve">       </w:t>
      </w:r>
      <w:r>
        <w:rPr>
          <w:rFonts w:hint="eastAsia" w:ascii="宋体" w:hAnsi="宋体"/>
          <w:color w:val="FF0000"/>
          <w:szCs w:val="21"/>
        </w:rPr>
        <w:t>日</w:t>
      </w:r>
    </w:p>
    <w:p>
      <w:pPr>
        <w:ind w:firstLine="645"/>
        <w:rPr>
          <w:rFonts w:hint="eastAsia" w:ascii="宋体" w:hAnsi="宋体"/>
          <w:szCs w:val="21"/>
        </w:rPr>
      </w:pPr>
    </w:p>
    <w:p>
      <w:pPr>
        <w:rPr>
          <w:rFonts w:ascii="宋体"/>
          <w:b/>
          <w:szCs w:val="21"/>
        </w:rPr>
      </w:pPr>
    </w:p>
    <w:p>
      <w:pPr>
        <w:ind w:firstLine="482" w:firstLineChars="200"/>
        <w:jc w:val="center"/>
        <w:rPr>
          <w:rFonts w:hint="eastAsia" w:hAnsi="宋体"/>
          <w:b/>
          <w:bCs/>
          <w:sz w:val="24"/>
        </w:rPr>
      </w:pPr>
    </w:p>
    <w:p>
      <w:pPr>
        <w:pStyle w:val="5"/>
        <w:jc w:val="center"/>
        <w:rPr>
          <w:rFonts w:hint="eastAsia" w:ascii="黑体" w:eastAsia="黑体"/>
          <w:b w:val="0"/>
          <w:sz w:val="24"/>
          <w:szCs w:val="24"/>
        </w:rPr>
      </w:pPr>
      <w:r>
        <w:rPr>
          <w:rFonts w:hint="eastAsia" w:ascii="黑体" w:eastAsia="黑体"/>
          <w:b w:val="0"/>
          <w:sz w:val="24"/>
          <w:szCs w:val="24"/>
        </w:rPr>
        <w:t>三、投标人情况及资格证明文件</w:t>
      </w:r>
    </w:p>
    <w:p>
      <w:pPr>
        <w:rPr>
          <w:b/>
          <w:bCs/>
          <w:sz w:val="24"/>
        </w:rPr>
      </w:pPr>
    </w:p>
    <w:p>
      <w:pPr>
        <w:ind w:firstLine="2640" w:firstLineChars="1100"/>
        <w:outlineLvl w:val="3"/>
        <w:rPr>
          <w:rFonts w:hint="eastAsia" w:ascii="黑体" w:hAnsi="宋体" w:eastAsia="黑体"/>
          <w:bCs/>
          <w:kern w:val="0"/>
          <w:sz w:val="24"/>
          <w:szCs w:val="32"/>
        </w:rPr>
      </w:pPr>
      <w:bookmarkStart w:id="32" w:name="_Hlk72257590"/>
      <w:r>
        <w:rPr>
          <w:rFonts w:hint="eastAsia" w:ascii="黑体" w:hAnsi="宋体" w:eastAsia="黑体"/>
          <w:bCs/>
          <w:kern w:val="0"/>
          <w:sz w:val="24"/>
          <w:szCs w:val="32"/>
        </w:rPr>
        <w:t>（一）投标人资格证明文件</w:t>
      </w:r>
    </w:p>
    <w:p>
      <w:pPr>
        <w:spacing w:before="156" w:beforeLines="50"/>
        <w:ind w:firstLine="422" w:firstLineChars="200"/>
        <w:rPr>
          <w:b/>
          <w:bCs/>
          <w:color w:val="FF0000"/>
        </w:rPr>
      </w:pPr>
      <w:r>
        <w:rPr>
          <w:rFonts w:hint="eastAsia"/>
          <w:b/>
          <w:bCs/>
          <w:color w:val="FF0000"/>
        </w:rPr>
        <w:t>（特别提示：投标人须按本招标文件第一册第一章招标公告 “申请人的资格要求”（即投标人资格要求）提供相关的资格证明资料，未提供或提供不完整、不符合要求的，将作投标无效处理，其中要求提供《政府采购投标及履约承诺函》且已在“二、政府采购投标及履约承诺函”章节中提供了，此处可不重复提供，《供应商基本情况表》为必填内容，须按照相应格式及节点在“信息不公开部分”提供。）</w:t>
      </w:r>
    </w:p>
    <w:p>
      <w:pPr>
        <w:rPr>
          <w:b/>
          <w:bCs/>
          <w:sz w:val="24"/>
        </w:rPr>
      </w:pPr>
    </w:p>
    <w:p>
      <w:pPr>
        <w:ind w:firstLine="480" w:firstLineChars="200"/>
        <w:outlineLvl w:val="3"/>
        <w:rPr>
          <w:rFonts w:hint="eastAsia" w:ascii="黑体" w:hAnsi="宋体" w:eastAsia="黑体"/>
          <w:bCs/>
          <w:kern w:val="0"/>
          <w:sz w:val="24"/>
          <w:szCs w:val="32"/>
        </w:rPr>
      </w:pPr>
      <w:bookmarkStart w:id="33" w:name="_Hlk72257908"/>
      <w:r>
        <w:rPr>
          <w:rFonts w:hint="eastAsia" w:ascii="黑体" w:hAnsi="宋体" w:eastAsia="黑体"/>
          <w:bCs/>
          <w:kern w:val="0"/>
          <w:sz w:val="24"/>
          <w:szCs w:val="32"/>
        </w:rPr>
        <w:t>（二）中小企业声明函、残疾人福利性单位声明函及监狱企业声明函</w:t>
      </w:r>
    </w:p>
    <w:bookmarkEnd w:id="32"/>
    <w:p>
      <w:pPr>
        <w:jc w:val="left"/>
        <w:outlineLvl w:val="3"/>
        <w:rPr>
          <w:rFonts w:hint="eastAsia" w:ascii="黑体" w:hAnsi="宋体" w:eastAsia="黑体"/>
          <w:bCs/>
          <w:kern w:val="0"/>
          <w:sz w:val="24"/>
          <w:szCs w:val="32"/>
        </w:rPr>
      </w:pP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填写指引：</w:t>
      </w:r>
    </w:p>
    <w:p>
      <w:pPr>
        <w:ind w:firstLine="420" w:firstLineChars="200"/>
        <w:outlineLvl w:val="3"/>
        <w:rPr>
          <w:rFonts w:ascii="黑体" w:hAnsi="黑体" w:eastAsia="黑体"/>
          <w:color w:val="FF0000"/>
          <w:szCs w:val="21"/>
        </w:rPr>
      </w:pPr>
      <w:r>
        <w:rPr>
          <w:rFonts w:hint="eastAsia" w:ascii="黑体" w:hAnsi="宋体" w:eastAsia="黑体"/>
          <w:bCs/>
          <w:color w:val="FF0000"/>
          <w:kern w:val="0"/>
          <w:szCs w:val="21"/>
        </w:rPr>
        <w:t>1、该部分内容由投标人根据自身实际情况填写，不符合要求的投标人可以不填写或直接删除相应的声明函。</w:t>
      </w:r>
      <w:r>
        <w:rPr>
          <w:rFonts w:hint="eastAsia" w:ascii="黑体" w:hAnsi="黑体" w:eastAsia="黑体"/>
          <w:color w:val="FF0000"/>
          <w:szCs w:val="21"/>
        </w:rPr>
        <w:t>投标人提供的声明函不属实的，属于提供虚假资料谋取中标，依照《中华人民共和国政府采购法》等国家有关规定追究相应责任。</w:t>
      </w:r>
    </w:p>
    <w:p>
      <w:pPr>
        <w:ind w:firstLine="420" w:firstLineChars="200"/>
        <w:outlineLvl w:val="3"/>
        <w:rPr>
          <w:rFonts w:ascii="黑体" w:hAnsi="黑体" w:eastAsia="黑体"/>
          <w:color w:val="FF0000"/>
          <w:szCs w:val="21"/>
        </w:rPr>
      </w:pPr>
      <w:r>
        <w:rPr>
          <w:rFonts w:hint="eastAsia" w:ascii="黑体" w:hAnsi="黑体" w:eastAsia="黑体"/>
          <w:color w:val="FF0000"/>
          <w:szCs w:val="21"/>
        </w:rPr>
        <w:t>2、该部分内容填写需要参考的相关文件：</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34"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《工业和信息化部、国家统计局、国家发展和改革委员会、财政部关于印发中小企业划型标准规定的通知》（工信部联企业〔2011〕300号</w:t>
      </w:r>
      <w:bookmarkEnd w:id="34"/>
      <w:r>
        <w:rPr>
          <w:rFonts w:hint="eastAsia" w:ascii="黑体" w:hAnsi="黑体" w:eastAsia="黑体"/>
          <w:color w:val="FF0000"/>
          <w:szCs w:val="21"/>
        </w:rPr>
        <w:t>）</w:t>
      </w:r>
    </w:p>
    <w:p>
      <w:pPr>
        <w:ind w:firstLine="420" w:firstLineChars="200"/>
        <w:outlineLvl w:val="3"/>
        <w:rPr>
          <w:rFonts w:ascii="黑体" w:hAnsi="黑体" w:eastAsia="黑体"/>
          <w:color w:val="FF0000"/>
          <w:szCs w:val="21"/>
        </w:rPr>
      </w:pPr>
      <w:r>
        <w:rPr>
          <w:rFonts w:hint="eastAsia" w:ascii="黑体" w:hAnsi="黑体" w:eastAsia="黑体"/>
          <w:color w:val="FF0000"/>
          <w:szCs w:val="21"/>
        </w:rPr>
        <w:t>(3)《统计上大中小微型企业划分办法(2017)》（国统字〔2017〕213号）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(4)《关于促进残疾人就业政府采购政策的通知》（财库〔2017〕141号）</w:t>
      </w:r>
    </w:p>
    <w:p>
      <w:pPr>
        <w:ind w:firstLine="420" w:firstLineChars="200"/>
        <w:outlineLvl w:val="3"/>
        <w:rPr>
          <w:rFonts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4、声明函具体填写要求：</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第一处，在“单位名称”下划线处如实填写采购人名称（深圳公共资源交易中心不是本项目的采购人，而是组织实施机构）；</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第二处，在“项目名称”下划线处如实填写采购</w:t>
      </w:r>
      <w:r>
        <w:rPr>
          <w:rFonts w:hint="eastAsia" w:ascii="黑体" w:hAnsi="宋体" w:eastAsia="黑体"/>
          <w:bCs/>
          <w:color w:val="FF0000"/>
          <w:kern w:val="0"/>
          <w:szCs w:val="21"/>
          <w:lang w:val="en-US" w:eastAsia="zh-CN"/>
        </w:rPr>
        <w:t>文件中确定的</w:t>
      </w:r>
      <w:r>
        <w:rPr>
          <w:rFonts w:hint="eastAsia" w:ascii="黑体" w:hAnsi="宋体" w:eastAsia="黑体"/>
          <w:bCs/>
          <w:color w:val="FF0000"/>
          <w:kern w:val="0"/>
          <w:szCs w:val="21"/>
        </w:rPr>
        <w:t>项目名称</w:t>
      </w:r>
      <w:r>
        <w:rPr>
          <w:rFonts w:hint="eastAsia" w:ascii="黑体" w:hAnsi="宋体" w:eastAsia="黑体"/>
          <w:bCs/>
          <w:color w:val="FF0000"/>
          <w:kern w:val="0"/>
          <w:szCs w:val="21"/>
          <w:lang w:eastAsia="zh-CN"/>
        </w:rPr>
        <w:t>。对于分包方式面向中小企业采购的项目，应标明中小企业的具体分包内容；对于以联合体方式面向中小企业采购的项目，应标明联合体中中小企业所承担的具体内容</w:t>
      </w:r>
      <w:r>
        <w:rPr>
          <w:rFonts w:hint="eastAsia" w:ascii="黑体" w:hAnsi="宋体" w:eastAsia="黑体"/>
          <w:bCs/>
          <w:color w:val="FF0000"/>
          <w:kern w:val="0"/>
          <w:szCs w:val="21"/>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第三处，在“标的名称”下划线处填写所采购标的具体名称（以招标文件第一册第三章用户需求书“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明细”的“服务需求名称（标的名称）”一栏为准）；如果涉及多项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（标的）为同一企业</w:t>
      </w:r>
      <w:r>
        <w:rPr>
          <w:rFonts w:hint="eastAsia" w:ascii="黑体" w:hAnsi="宋体" w:eastAsia="黑体"/>
          <w:bCs/>
          <w:color w:val="FF0000"/>
          <w:kern w:val="0"/>
          <w:szCs w:val="21"/>
          <w:lang w:val="en-US" w:eastAsia="zh-CN"/>
        </w:rPr>
        <w:t>承接的</w:t>
      </w:r>
      <w:r>
        <w:rPr>
          <w:rFonts w:hint="eastAsia" w:ascii="黑体" w:hAnsi="宋体" w:eastAsia="黑体"/>
          <w:bCs/>
          <w:color w:val="FF0000"/>
          <w:kern w:val="0"/>
          <w:szCs w:val="21"/>
        </w:rPr>
        <w:t>，“标的名称”下划线处可以如实填写多项</w:t>
      </w:r>
      <w:r>
        <w:rPr>
          <w:rFonts w:hint="eastAsia" w:ascii="黑体" w:hAnsi="宋体" w:eastAsia="黑体"/>
          <w:bCs/>
          <w:color w:val="FF0000"/>
          <w:kern w:val="0"/>
          <w:szCs w:val="21"/>
          <w:lang w:val="en-US" w:eastAsia="zh-CN"/>
        </w:rPr>
        <w:t>服务</w:t>
      </w:r>
      <w:r>
        <w:rPr>
          <w:rFonts w:hint="eastAsia" w:ascii="黑体" w:hAnsi="宋体" w:eastAsia="黑体"/>
          <w:bCs/>
          <w:color w:val="FF0000"/>
          <w:kern w:val="0"/>
          <w:szCs w:val="21"/>
        </w:rPr>
        <w:t>；对于分包方式面向中小企业采购的项目</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“标的名称”应填写采购文件中注明的分包给中小企业的采购标的名称；对于以联合体方式面向中小企业采购的项目“标的名称”应填写采购文件中注明的联合体中中小企业承担的采购标的名称。</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第四处，在“</w:t>
      </w:r>
      <w:r>
        <w:rPr>
          <w:rFonts w:hint="eastAsia" w:ascii="黑体" w:hAnsi="宋体" w:eastAsia="黑体"/>
          <w:bCs/>
          <w:color w:val="FF0000"/>
          <w:kern w:val="0"/>
          <w:szCs w:val="21"/>
          <w:lang w:val="en-US" w:eastAsia="zh-CN"/>
        </w:rPr>
        <w:t>采购</w:t>
      </w:r>
      <w:r>
        <w:rPr>
          <w:rFonts w:hint="eastAsia" w:ascii="黑体" w:hAnsi="宋体" w:eastAsia="黑体"/>
          <w:bCs/>
          <w:color w:val="FF0000"/>
          <w:kern w:val="0"/>
          <w:szCs w:val="21"/>
        </w:rPr>
        <w:t>文件中明确的所属行业”下划线处填写采购标的对应的中小企业划分标准所属行业（所属行业以招标文件第一册第三章用户需求书“</w:t>
      </w:r>
      <w:r>
        <w:rPr>
          <w:rFonts w:hint="eastAsia" w:ascii="黑体" w:hAnsi="宋体" w:eastAsia="黑体"/>
          <w:bCs/>
          <w:color w:val="FF0000"/>
          <w:kern w:val="0"/>
          <w:szCs w:val="21"/>
          <w:lang w:val="en-US" w:eastAsia="zh-CN"/>
        </w:rPr>
        <w:t>服务需求</w:t>
      </w:r>
      <w:r>
        <w:rPr>
          <w:rFonts w:hint="eastAsia" w:ascii="黑体" w:hAnsi="宋体" w:eastAsia="黑体"/>
          <w:bCs/>
          <w:color w:val="FF0000"/>
          <w:kern w:val="0"/>
          <w:szCs w:val="21"/>
        </w:rPr>
        <w:t>明细”的“</w:t>
      </w:r>
      <w:r>
        <w:rPr>
          <w:rFonts w:hint="eastAsia" w:ascii="黑体" w:hAnsi="宋体" w:eastAsia="黑体"/>
          <w:bCs/>
          <w:color w:val="FF0000"/>
          <w:kern w:val="0"/>
          <w:szCs w:val="21"/>
          <w:lang w:val="en-US" w:eastAsia="zh-CN"/>
        </w:rPr>
        <w:t>标的所属行业</w:t>
      </w:r>
      <w:r>
        <w:rPr>
          <w:rFonts w:hint="eastAsia" w:ascii="黑体" w:hAnsi="宋体" w:eastAsia="黑体"/>
          <w:bCs/>
          <w:color w:val="FF0000"/>
          <w:kern w:val="0"/>
          <w:szCs w:val="21"/>
        </w:rPr>
        <w:t>”一栏为准）</w:t>
      </w:r>
      <w:r>
        <w:rPr>
          <w:rFonts w:hint="eastAsia" w:ascii="黑体" w:hAnsi="宋体" w:eastAsia="黑体"/>
          <w:bCs/>
          <w:color w:val="FF0000"/>
          <w:kern w:val="0"/>
          <w:szCs w:val="21"/>
          <w:lang w:eastAsia="zh-CN"/>
        </w:rPr>
        <w:t>，并应确保与采购标的涉及的服务承接商本身的所属行业保持一致。对于分包方式面向中小企业采购的项目，“采购文件中明确的所属行业”应按照采购文件中注明的分包给中小企业的采购标的所属行业填写，并应确保与该分包部分采购标的涉及的服务承接商本身的所属行业保持一致；对于以联合体方式面向中小企业采购的项目，“采购文件中明确的所属行业”应按照采购文件中注明的联合体中中小企业承担的采购标的所属行业填写，并应确保与该分包部分采购标的涉及的服务承接商本身的所属行业保持一致；</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rPr>
        <w:t>第五处，在“企业名称”下划线处如实填写</w:t>
      </w:r>
      <w:r>
        <w:rPr>
          <w:rFonts w:hint="eastAsia" w:ascii="黑体" w:hAnsi="宋体" w:eastAsia="黑体"/>
          <w:b/>
          <w:bCs w:val="0"/>
          <w:color w:val="FF0000"/>
          <w:kern w:val="0"/>
          <w:szCs w:val="21"/>
          <w:lang w:eastAsia="zh-CN"/>
        </w:rPr>
        <w:t>服务承接商</w:t>
      </w:r>
      <w:r>
        <w:rPr>
          <w:rFonts w:hint="eastAsia" w:ascii="黑体" w:hAnsi="宋体" w:eastAsia="黑体"/>
          <w:b/>
          <w:bCs w:val="0"/>
          <w:color w:val="FF0000"/>
          <w:kern w:val="0"/>
          <w:szCs w:val="21"/>
        </w:rPr>
        <w:t>名称</w:t>
      </w:r>
      <w:r>
        <w:rPr>
          <w:rFonts w:hint="eastAsia" w:ascii="黑体" w:hAnsi="宋体" w:eastAsia="黑体"/>
          <w:b/>
          <w:bCs w:val="0"/>
          <w:color w:val="FF0000"/>
          <w:kern w:val="0"/>
          <w:szCs w:val="21"/>
          <w:lang w:eastAsia="zh-CN"/>
        </w:rPr>
        <w:t>。</w:t>
      </w:r>
      <w:r>
        <w:rPr>
          <w:rFonts w:hint="eastAsia" w:ascii="黑体" w:hAnsi="宋体" w:eastAsia="黑体"/>
          <w:bCs/>
          <w:color w:val="FF0000"/>
          <w:kern w:val="0"/>
          <w:szCs w:val="21"/>
          <w:lang w:eastAsia="zh-CN"/>
        </w:rPr>
        <w:t>对于分包方式面向中小企业采购的项目，“企业名称”应填写分包部分采购标的对应的服务承接商；对于以联合体方式面向中小企业采购的项目，“企业名称”应填写联合体中中小企业承担采购标的对应的服务承接商；</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cs="Times New Roman"/>
          <w:bCs/>
          <w:color w:val="FF0000"/>
          <w:kern w:val="0"/>
          <w:sz w:val="21"/>
          <w:szCs w:val="21"/>
          <w:lang w:val="en-US" w:eastAsia="zh-CN" w:bidi="ar-SA"/>
        </w:rPr>
        <w:t>第六、</w:t>
      </w:r>
      <w:r>
        <w:rPr>
          <w:rFonts w:hint="eastAsia" w:ascii="黑体" w:hAnsi="宋体" w:eastAsia="黑体"/>
          <w:bCs/>
          <w:color w:val="FF0000"/>
          <w:kern w:val="0"/>
          <w:szCs w:val="21"/>
          <w:lang w:val="en-US" w:eastAsia="zh-CN"/>
        </w:rPr>
        <w:t>七、八处，</w:t>
      </w:r>
      <w:r>
        <w:rPr>
          <w:rFonts w:hint="eastAsia" w:ascii="黑体" w:hAnsi="宋体" w:eastAsia="黑体"/>
          <w:bCs/>
          <w:color w:val="FF0000"/>
          <w:kern w:val="0"/>
          <w:szCs w:val="21"/>
        </w:rPr>
        <w:t>在“从业人员”、“营业收入”、“资产总额”下划线处如实填写从业人员、营业收入、资产总额</w:t>
      </w:r>
      <w:r>
        <w:rPr>
          <w:rFonts w:hint="eastAsia" w:ascii="黑体" w:hAnsi="宋体" w:eastAsia="黑体"/>
          <w:bCs/>
          <w:color w:val="FF0000"/>
          <w:kern w:val="0"/>
          <w:szCs w:val="21"/>
          <w:lang w:eastAsia="zh-CN"/>
        </w:rPr>
        <w:t>。从业人员、资产总额指标以上年度末数据为依据，营业收入指标以上年度累计数据为依据。无上年度数据的新成立企业可不填报。</w:t>
      </w:r>
    </w:p>
    <w:p>
      <w:pPr>
        <w:numPr>
          <w:ilvl w:val="0"/>
          <w:numId w:val="0"/>
        </w:num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lang w:val="en-US" w:eastAsia="zh-CN"/>
        </w:rPr>
        <w:t>第九处，</w:t>
      </w:r>
      <w:r>
        <w:rPr>
          <w:rFonts w:hint="eastAsia" w:ascii="黑体" w:hAnsi="宋体" w:eastAsia="黑体"/>
          <w:bCs/>
          <w:color w:val="FF0000"/>
          <w:kern w:val="0"/>
          <w:szCs w:val="21"/>
        </w:rPr>
        <w:t>在“中型企业、小型企业、微型企业”下划线处应依据企业上年度从业人员、营业收入、资产总额等指标</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按照《中小企业划型标准规定》（工信部联企业〔2011〕300号）、《金融业企业划型标准规定》（银发〔2015〕309号）</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判断《中小企业声明函》载明的</w:t>
      </w:r>
      <w:r>
        <w:rPr>
          <w:rFonts w:hint="eastAsia" w:ascii="黑体" w:hAnsi="宋体" w:eastAsia="黑体"/>
          <w:bCs/>
          <w:color w:val="FF0000"/>
          <w:kern w:val="0"/>
          <w:szCs w:val="21"/>
          <w:lang w:eastAsia="zh-CN"/>
        </w:rPr>
        <w:t>服务承接商</w:t>
      </w:r>
      <w:r>
        <w:rPr>
          <w:rFonts w:hint="eastAsia" w:ascii="黑体" w:hAnsi="宋体" w:eastAsia="黑体"/>
          <w:bCs/>
          <w:color w:val="FF0000"/>
          <w:kern w:val="0"/>
          <w:szCs w:val="21"/>
        </w:rPr>
        <w:t>是否属于采购文件所属行业的中型企业/小型企业/微型企业。</w:t>
      </w:r>
    </w:p>
    <w:p>
      <w:pPr>
        <w:pStyle w:val="51"/>
        <w:ind w:firstLine="420" w:firstLineChars="200"/>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2</w:t>
      </w:r>
      <w:r>
        <w:rPr>
          <w:rFonts w:hint="eastAsia" w:ascii="黑体" w:hAnsi="宋体" w:eastAsia="黑体"/>
          <w:bCs/>
          <w:color w:val="FF0000"/>
          <w:kern w:val="0"/>
          <w:szCs w:val="21"/>
          <w:lang w:eastAsia="zh-CN"/>
        </w:rPr>
        <w:t>）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pPr>
        <w:ind w:firstLine="420" w:firstLineChars="200"/>
        <w:outlineLvl w:val="3"/>
        <w:rPr>
          <w:rFonts w:hint="eastAsia" w:ascii="黑体" w:hAnsi="宋体" w:eastAsia="黑体"/>
          <w:bCs/>
          <w:color w:val="FF0000"/>
          <w:kern w:val="0"/>
          <w:szCs w:val="21"/>
          <w:lang w:eastAsia="zh-CN"/>
        </w:rPr>
      </w:pPr>
      <w:r>
        <w:rPr>
          <w:rFonts w:hint="eastAsia" w:ascii="黑体" w:hAnsi="宋体" w:eastAsia="黑体"/>
          <w:bCs/>
          <w:color w:val="FF0000"/>
          <w:kern w:val="0"/>
          <w:szCs w:val="21"/>
          <w:lang w:eastAsia="zh-CN"/>
        </w:rPr>
        <w:t>（</w:t>
      </w:r>
      <w:r>
        <w:rPr>
          <w:rFonts w:hint="eastAsia" w:ascii="黑体" w:hAnsi="宋体" w:eastAsia="黑体"/>
          <w:bCs/>
          <w:color w:val="FF0000"/>
          <w:kern w:val="0"/>
          <w:szCs w:val="21"/>
          <w:lang w:val="en-US" w:eastAsia="zh-CN"/>
        </w:rPr>
        <w:t>3</w:t>
      </w:r>
      <w:r>
        <w:rPr>
          <w:rFonts w:hint="eastAsia" w:ascii="黑体" w:hAnsi="宋体" w:eastAsia="黑体"/>
          <w:bCs/>
          <w:color w:val="FF0000"/>
          <w:kern w:val="0"/>
          <w:szCs w:val="21"/>
          <w:lang w:eastAsia="zh-CN"/>
        </w:rPr>
        <w:t>）</w:t>
      </w:r>
      <w:r>
        <w:rPr>
          <w:rFonts w:hint="eastAsia" w:ascii="黑体" w:hAnsi="宋体" w:eastAsia="黑体"/>
          <w:bCs/>
          <w:color w:val="FF0000"/>
          <w:kern w:val="0"/>
          <w:szCs w:val="21"/>
        </w:rPr>
        <w:t>事业单位、社会组织等非企业主体不享受中小企业扶持政策</w:t>
      </w:r>
      <w:r>
        <w:rPr>
          <w:rFonts w:hint="eastAsia" w:ascii="黑体" w:hAnsi="宋体" w:eastAsia="黑体"/>
          <w:bCs/>
          <w:color w:val="FF0000"/>
          <w:kern w:val="0"/>
          <w:szCs w:val="21"/>
          <w:lang w:eastAsia="zh-CN"/>
        </w:rPr>
        <w:t>。</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4</w:t>
      </w:r>
      <w:r>
        <w:rPr>
          <w:rFonts w:hint="eastAsia" w:ascii="黑体" w:hAnsi="宋体" w:eastAsia="黑体"/>
          <w:bCs/>
          <w:color w:val="FF0000"/>
          <w:kern w:val="0"/>
          <w:szCs w:val="21"/>
        </w:rPr>
        <w:t>）声明是残疾人福利性单位须填写《残疾人福利性单位声明函》的相关内容，具体参照以上《中小企业声明函》填写要求执行。</w:t>
      </w:r>
    </w:p>
    <w:p>
      <w:pPr>
        <w:ind w:firstLine="420" w:firstLineChars="200"/>
        <w:outlineLvl w:val="3"/>
        <w:rPr>
          <w:rFonts w:ascii="黑体" w:hAnsi="宋体" w:eastAsia="黑体"/>
          <w:bCs/>
          <w:color w:val="FF0000"/>
          <w:kern w:val="0"/>
          <w:szCs w:val="21"/>
        </w:rPr>
      </w:pPr>
      <w:r>
        <w:rPr>
          <w:rFonts w:hint="eastAsia" w:ascii="黑体" w:hAnsi="宋体" w:eastAsia="黑体"/>
          <w:bCs/>
          <w:color w:val="FF0000"/>
          <w:kern w:val="0"/>
          <w:szCs w:val="21"/>
        </w:rPr>
        <w:t>（</w:t>
      </w:r>
      <w:r>
        <w:rPr>
          <w:rFonts w:hint="eastAsia" w:ascii="黑体" w:hAnsi="宋体" w:eastAsia="黑体"/>
          <w:bCs/>
          <w:color w:val="FF0000"/>
          <w:kern w:val="0"/>
          <w:szCs w:val="21"/>
          <w:lang w:val="en-US" w:eastAsia="zh-CN"/>
        </w:rPr>
        <w:t>5</w:t>
      </w:r>
      <w:r>
        <w:rPr>
          <w:rFonts w:hint="eastAsia" w:ascii="黑体" w:hAnsi="宋体" w:eastAsia="黑体"/>
          <w:bCs/>
          <w:color w:val="FF0000"/>
          <w:kern w:val="0"/>
          <w:szCs w:val="21"/>
        </w:rPr>
        <w:t>）声明是监狱企业须填写《监狱企业声明函》的三项内容（填写位置的字体已加粗），具体参照以上《中小企业声明函》填写要求执行。</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5、本项目属于服务类项目，相关服务承接商应当为中小企业或残疾人福利性单位或监狱企业，如包含硬件设备、产品等货物采购的，不再对其中涉及的货物制造商作出要求。</w:t>
      </w:r>
    </w:p>
    <w:p>
      <w:pPr>
        <w:ind w:firstLine="420" w:firstLineChars="200"/>
        <w:outlineLvl w:val="3"/>
        <w:rPr>
          <w:rFonts w:hint="eastAsia" w:ascii="黑体" w:hAnsi="宋体" w:eastAsia="黑体"/>
          <w:bCs/>
          <w:color w:val="FF0000"/>
          <w:kern w:val="0"/>
          <w:szCs w:val="21"/>
          <w:lang w:val="en-US" w:eastAsia="zh-CN"/>
        </w:rPr>
      </w:pPr>
      <w:r>
        <w:rPr>
          <w:rFonts w:hint="eastAsia" w:ascii="黑体" w:hAnsi="宋体" w:eastAsia="黑体"/>
          <w:bCs/>
          <w:color w:val="FF0000"/>
          <w:kern w:val="0"/>
          <w:szCs w:val="21"/>
          <w:lang w:val="en-US" w:eastAsia="zh-CN"/>
        </w:rPr>
        <w:t>6、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pPr>
        <w:ind w:firstLine="420" w:firstLineChars="200"/>
      </w:pPr>
      <w:r>
        <w:rPr>
          <w:rFonts w:hint="eastAsia" w:ascii="黑体" w:hAnsi="宋体" w:eastAsia="黑体"/>
          <w:bCs/>
          <w:color w:val="FF0000"/>
          <w:kern w:val="0"/>
          <w:szCs w:val="21"/>
          <w:lang w:val="en-US" w:eastAsia="zh-CN"/>
        </w:rPr>
        <w:t>7、采购人、代理机构、评审委员会在依法进行资格审查、评审过程中，发现《中小企业声明函》存在明显笔误或含义不明确的，应按规定要求供应商进行澄清、说明或补正。澄清修改后符合中小企业条件的供应商，可以享受中小企业扶持政策。</w:t>
      </w:r>
    </w:p>
    <w:p>
      <w:pPr>
        <w:ind w:firstLine="420" w:firstLineChars="200"/>
      </w:pPr>
    </w:p>
    <w:p>
      <w:pPr>
        <w:numPr>
          <w:ilvl w:val="0"/>
          <w:numId w:val="3"/>
        </w:numPr>
        <w:jc w:val="center"/>
        <w:outlineLvl w:val="3"/>
        <w:rPr>
          <w:b/>
          <w:sz w:val="24"/>
        </w:rPr>
      </w:pPr>
      <w:r>
        <w:rPr>
          <w:b/>
          <w:sz w:val="24"/>
        </w:rPr>
        <w:t>中小企业声明函（货物）</w:t>
      </w:r>
    </w:p>
    <w:p>
      <w:pPr>
        <w:pStyle w:val="10"/>
      </w:pP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本公司（联合体）郑重声明，根据《政府采购促进中小企业发展管理办法》（财库﹝2020﹞46号）的规定，本公司（联合体）参加</w:t>
      </w:r>
      <w:r>
        <w:rPr>
          <w:rFonts w:hint="eastAsia" w:asciiTheme="minorEastAsia" w:hAnsiTheme="minorEastAsia" w:cstheme="minorEastAsia"/>
          <w:b/>
          <w:bCs/>
          <w:i/>
          <w:iCs/>
          <w:sz w:val="21"/>
          <w:szCs w:val="21"/>
          <w:u w:val="single"/>
        </w:rPr>
        <w:t xml:space="preserve">    （单位名称）    </w:t>
      </w:r>
      <w:r>
        <w:rPr>
          <w:rFonts w:hint="eastAsia" w:asciiTheme="minorEastAsia" w:hAnsiTheme="minorEastAsia" w:cstheme="minorEastAsia"/>
          <w:sz w:val="21"/>
          <w:szCs w:val="21"/>
        </w:rPr>
        <w:t>的</w:t>
      </w:r>
      <w:r>
        <w:rPr>
          <w:rFonts w:hint="eastAsia" w:asciiTheme="minorEastAsia" w:hAnsiTheme="minorEastAsia" w:cstheme="minorEastAsia"/>
          <w:b/>
          <w:bCs/>
          <w:i/>
          <w:iCs/>
          <w:sz w:val="21"/>
          <w:szCs w:val="21"/>
          <w:u w:val="single"/>
        </w:rPr>
        <w:t xml:space="preserve">    （项目名称）    </w:t>
      </w:r>
      <w:r>
        <w:rPr>
          <w:rFonts w:hint="eastAsia" w:asciiTheme="minorEastAsia" w:hAnsiTheme="minorEastAsia" w:cstheme="minorEastAsia"/>
          <w:sz w:val="21"/>
          <w:szCs w:val="21"/>
        </w:rPr>
        <w:t>采购活动，提供的货物全部由符合政策要求的中小企业制造。相关企业（含联合体中的中小企业、签订分包意向协议的中小企业）的具体情况如下：</w:t>
      </w: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1.</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2.</w:t>
      </w:r>
      <w:r>
        <w:rPr>
          <w:rFonts w:hint="eastAsia" w:asciiTheme="minorEastAsia" w:hAnsiTheme="minorEastAsia" w:cstheme="minorEastAsia"/>
          <w:b/>
          <w:bCs/>
          <w:i/>
          <w:iCs/>
          <w:sz w:val="21"/>
          <w:szCs w:val="21"/>
          <w:u w:val="single"/>
        </w:rPr>
        <w:t xml:space="preserve">    （标的名称）     </w:t>
      </w:r>
      <w:r>
        <w:rPr>
          <w:rFonts w:hint="eastAsia" w:asciiTheme="minorEastAsia" w:hAnsiTheme="minorEastAsia" w:cstheme="minorEastAsia"/>
          <w:sz w:val="21"/>
          <w:szCs w:val="21"/>
        </w:rPr>
        <w:t>，属于</w:t>
      </w:r>
      <w:r>
        <w:rPr>
          <w:rFonts w:hint="eastAsia" w:asciiTheme="minorEastAsia" w:hAnsiTheme="minorEastAsia" w:cstheme="minorEastAsia"/>
          <w:b/>
          <w:bCs/>
          <w:i/>
          <w:iCs/>
          <w:sz w:val="21"/>
          <w:szCs w:val="21"/>
          <w:u w:val="single"/>
        </w:rPr>
        <w:t xml:space="preserve">    （采购文件中明确的所属行业）    </w:t>
      </w:r>
      <w:r>
        <w:rPr>
          <w:rFonts w:hint="eastAsia" w:asciiTheme="minorEastAsia" w:hAnsiTheme="minorEastAsia" w:cstheme="minorEastAsia"/>
          <w:sz w:val="21"/>
          <w:szCs w:val="21"/>
        </w:rPr>
        <w:t>行业；制造商为</w:t>
      </w:r>
      <w:r>
        <w:rPr>
          <w:rFonts w:hint="eastAsia" w:asciiTheme="minorEastAsia" w:hAnsiTheme="minorEastAsia" w:cstheme="minorEastAsia"/>
          <w:b/>
          <w:bCs/>
          <w:i/>
          <w:iCs/>
          <w:sz w:val="21"/>
          <w:szCs w:val="21"/>
          <w:u w:val="single"/>
        </w:rPr>
        <w:t xml:space="preserve">    （企业名称，要求制造商本身所属行业应当与招标文件要求的行业相一致）    </w:t>
      </w:r>
      <w:r>
        <w:rPr>
          <w:rFonts w:hint="eastAsia" w:asciiTheme="minorEastAsia" w:hAnsiTheme="minorEastAsia" w:cstheme="minorEastAsia"/>
          <w:sz w:val="21"/>
          <w:szCs w:val="21"/>
        </w:rPr>
        <w:t>，从业人员</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人，营业收入为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万元，资产总额为</w:t>
      </w:r>
      <w:r>
        <w:rPr>
          <w:rFonts w:hint="eastAsia" w:asciiTheme="minorEastAsia" w:hAnsiTheme="minorEastAsia" w:cstheme="minorEastAsia"/>
          <w:b/>
          <w:bCs/>
          <w:i/>
          <w:iCs/>
          <w:sz w:val="21"/>
          <w:szCs w:val="21"/>
          <w:u w:val="single"/>
        </w:rPr>
        <w:t xml:space="preserve">         </w:t>
      </w:r>
      <w:r>
        <w:rPr>
          <w:rFonts w:hint="eastAsia" w:asciiTheme="minorEastAsia" w:hAnsiTheme="minorEastAsia" w:cstheme="minorEastAsia"/>
          <w:sz w:val="21"/>
          <w:szCs w:val="21"/>
        </w:rPr>
        <w:t>万元，属于</w:t>
      </w:r>
      <w:r>
        <w:rPr>
          <w:rFonts w:hint="eastAsia" w:asciiTheme="minorEastAsia" w:hAnsiTheme="minorEastAsia" w:cstheme="minorEastAsia"/>
          <w:b/>
          <w:bCs/>
          <w:i/>
          <w:iCs/>
          <w:sz w:val="21"/>
          <w:szCs w:val="21"/>
          <w:u w:val="single"/>
        </w:rPr>
        <w:t xml:space="preserve">    （中型企业、小型企业、微型企业）    </w:t>
      </w:r>
      <w:r>
        <w:rPr>
          <w:rFonts w:hint="eastAsia" w:asciiTheme="minorEastAsia" w:hAnsiTheme="minorEastAsia" w:cstheme="minorEastAsia"/>
          <w:sz w:val="21"/>
          <w:szCs w:val="21"/>
        </w:rPr>
        <w:t>；</w:t>
      </w:r>
    </w:p>
    <w:p>
      <w:pPr>
        <w:pStyle w:val="14"/>
        <w:ind w:firstLine="420" w:firstLineChars="200"/>
        <w:rPr>
          <w:rFonts w:hint="eastAsia" w:asciiTheme="minorEastAsia" w:hAnsiTheme="minorEastAsia" w:cstheme="minorEastAsia"/>
          <w:sz w:val="21"/>
          <w:szCs w:val="21"/>
        </w:rPr>
      </w:pPr>
      <w:r>
        <w:rPr>
          <w:rFonts w:hint="eastAsia" w:asciiTheme="minorEastAsia" w:hAnsiTheme="minorEastAsia" w:cstheme="minorEastAsia"/>
          <w:sz w:val="21"/>
          <w:szCs w:val="21"/>
        </w:rPr>
        <w:t>……</w:t>
      </w:r>
    </w:p>
    <w:p>
      <w:pPr>
        <w:pStyle w:val="14"/>
        <w:ind w:firstLine="420" w:firstLineChars="200"/>
        <w:rPr>
          <w:rFonts w:hint="eastAsia" w:asciiTheme="minorEastAsia" w:hAnsiTheme="minorEastAsia" w:cstheme="minorEastAsia"/>
          <w:sz w:val="21"/>
          <w:szCs w:val="21"/>
        </w:rPr>
      </w:pPr>
    </w:p>
    <w:p>
      <w:pPr>
        <w:spacing w:line="360" w:lineRule="auto"/>
        <w:ind w:firstLine="420" w:firstLineChars="200"/>
        <w:outlineLvl w:val="3"/>
        <w:rPr>
          <w:rFonts w:hint="eastAsia" w:asciiTheme="minorEastAsia" w:hAnsiTheme="minorEastAsia" w:cstheme="minorEastAsia"/>
          <w:szCs w:val="21"/>
        </w:rPr>
      </w:pPr>
      <w:r>
        <w:rPr>
          <w:rFonts w:hint="eastAsia" w:asciiTheme="minorEastAsia" w:hAnsiTheme="minorEastAsia" w:cstheme="minorEastAsia"/>
          <w:szCs w:val="21"/>
        </w:rPr>
        <w:t>以上企业，不属于大企业的分支机构，不存在控股股东为大企业的情形，也不存在与大企业的负责人为同一人的情形。</w:t>
      </w:r>
    </w:p>
    <w:p>
      <w:pPr>
        <w:spacing w:line="360" w:lineRule="auto"/>
        <w:ind w:firstLine="420" w:firstLineChars="200"/>
        <w:rPr>
          <w:rFonts w:hint="eastAsia" w:asciiTheme="minorEastAsia" w:hAnsiTheme="minorEastAsia" w:cstheme="minorEastAsia"/>
          <w:szCs w:val="21"/>
        </w:rPr>
      </w:pPr>
      <w:bookmarkStart w:id="35" w:name="_Hlk73562203"/>
      <w:r>
        <w:rPr>
          <w:rFonts w:hint="eastAsia" w:asciiTheme="minorEastAsia" w:hAnsiTheme="minorEastAsia" w:cstheme="minorEastAsia"/>
          <w:szCs w:val="21"/>
        </w:rPr>
        <w:t>本投标人对上述声明内容的真实性负责。如有虚假，将依法承担相应责任。</w:t>
      </w:r>
    </w:p>
    <w:p>
      <w:pPr>
        <w:spacing w:line="360" w:lineRule="auto"/>
        <w:ind w:firstLine="420" w:firstLineChars="200"/>
        <w:rPr>
          <w:rFonts w:ascii="Times New Roman" w:hAnsi="Times New Roman" w:eastAsia="宋体" w:cs="Times New Roman"/>
          <w:sz w:val="24"/>
          <w:szCs w:val="24"/>
        </w:rPr>
      </w:pPr>
      <w:r>
        <w:rPr>
          <w:rFonts w:hint="eastAsia" w:asciiTheme="minorEastAsia" w:hAnsi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35"/>
    </w:p>
    <w:p>
      <w:pPr>
        <w:ind w:firstLine="420" w:firstLineChars="200"/>
        <w:outlineLvl w:val="3"/>
        <w:rPr>
          <w:rFonts w:hint="eastAsia" w:ascii="宋体" w:hAnsi="宋体"/>
          <w:bCs/>
          <w:color w:val="FF0000"/>
          <w:kern w:val="0"/>
          <w:szCs w:val="21"/>
        </w:rPr>
      </w:pPr>
    </w:p>
    <w:p/>
    <w:p>
      <w:pPr>
        <w:ind w:firstLine="420" w:firstLineChars="200"/>
      </w:pPr>
    </w:p>
    <w:p>
      <w:pPr>
        <w:jc w:val="center"/>
        <w:outlineLvl w:val="3"/>
        <w:rPr>
          <w:b/>
          <w:sz w:val="24"/>
        </w:rPr>
      </w:pPr>
      <w:r>
        <w:rPr>
          <w:rFonts w:hint="eastAsia"/>
          <w:b/>
          <w:sz w:val="24"/>
        </w:rPr>
        <w:t>2、残疾人福利性单位声明函（货物类）</w:t>
      </w:r>
    </w:p>
    <w:p>
      <w:pPr>
        <w:rPr>
          <w:b/>
          <w:bCs/>
        </w:rPr>
      </w:pPr>
    </w:p>
    <w:p>
      <w:pPr>
        <w:spacing w:line="360" w:lineRule="auto"/>
        <w:ind w:firstLine="420" w:firstLineChars="200"/>
        <w:rPr>
          <w:rFonts w:hint="eastAsia" w:asciiTheme="minorEastAsia" w:hAnsiTheme="minorEastAsia" w:cstheme="minorEastAsia"/>
          <w:szCs w:val="21"/>
        </w:rPr>
      </w:pPr>
      <w:bookmarkStart w:id="36" w:name="_Hlk73562331"/>
      <w:bookmarkStart w:id="37" w:name="_Hlk73562245"/>
      <w:r>
        <w:rPr>
          <w:rFonts w:hint="eastAsia" w:asciiTheme="minorEastAsia" w:hAnsi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cstheme="minorEastAsia"/>
          <w:b/>
          <w:bCs/>
          <w:i/>
          <w:iCs/>
          <w:szCs w:val="21"/>
          <w:u w:val="single"/>
        </w:rPr>
        <w:t xml:space="preserve">    （单位名称）    </w:t>
      </w:r>
      <w:r>
        <w:rPr>
          <w:rFonts w:hint="eastAsia" w:asciiTheme="minorEastAsia" w:hAnsiTheme="minorEastAsia" w:cstheme="minorEastAsia"/>
          <w:szCs w:val="21"/>
        </w:rPr>
        <w:t>单位的</w:t>
      </w:r>
      <w:r>
        <w:rPr>
          <w:rFonts w:hint="eastAsia" w:asciiTheme="minorEastAsia" w:hAnsiTheme="minorEastAsia" w:cstheme="minorEastAsia"/>
          <w:b/>
          <w:bCs/>
          <w:i/>
          <w:iCs/>
          <w:szCs w:val="21"/>
          <w:u w:val="single"/>
        </w:rPr>
        <w:t xml:space="preserve">    （项目名称）    </w:t>
      </w:r>
      <w:r>
        <w:rPr>
          <w:rFonts w:hint="eastAsia" w:asciiTheme="minorEastAsia" w:hAnsiTheme="minorEastAsia" w:cstheme="minorEastAsia"/>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本单位对上述声明的真实性负责。如有虚假，将依法承担相应责任。</w:t>
      </w:r>
    </w:p>
    <w:p>
      <w:pPr>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36"/>
    </w:p>
    <w:bookmarkEnd w:id="37"/>
    <w:p>
      <w:pPr>
        <w:ind w:firstLine="420" w:firstLineChars="200"/>
        <w:rPr>
          <w:rFonts w:hint="eastAsia" w:ascii="宋体" w:hAnsi="宋体"/>
          <w:szCs w:val="21"/>
        </w:rPr>
      </w:pPr>
    </w:p>
    <w:p>
      <w:pPr>
        <w:ind w:firstLine="420" w:firstLineChars="200"/>
        <w:rPr>
          <w:rFonts w:hint="eastAsia" w:ascii="宋体" w:hAnsi="宋体"/>
          <w:szCs w:val="21"/>
        </w:rPr>
      </w:pPr>
    </w:p>
    <w:p>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pPr>
        <w:spacing w:line="360" w:lineRule="auto"/>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pPr>
        <w:spacing w:line="360" w:lineRule="auto"/>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pPr>
        <w:spacing w:line="360" w:lineRule="auto"/>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pPr>
        <w:spacing w:line="360" w:lineRule="auto"/>
        <w:ind w:firstLine="420" w:firstLineChars="200"/>
        <w:outlineLvl w:val="3"/>
        <w:rPr>
          <w:rFonts w:hint="eastAsia" w:ascii="宋体" w:hAnsi="宋体"/>
          <w:szCs w:val="21"/>
        </w:rPr>
      </w:pPr>
      <w:r>
        <w:rPr>
          <w:rFonts w:ascii="宋体" w:hAnsi="宋体"/>
          <w:szCs w:val="21"/>
        </w:rPr>
        <w:t xml:space="preserve">…… </w:t>
      </w:r>
    </w:p>
    <w:p>
      <w:pPr>
        <w:spacing w:line="360" w:lineRule="auto"/>
        <w:ind w:firstLine="420" w:firstLineChars="200"/>
        <w:rPr>
          <w:rFonts w:hint="eastAsia" w:ascii="宋体" w:hAnsi="宋体"/>
          <w:szCs w:val="21"/>
        </w:rPr>
      </w:pPr>
      <w:r>
        <w:rPr>
          <w:rFonts w:ascii="宋体" w:hAnsi="宋体"/>
          <w:szCs w:val="21"/>
        </w:rPr>
        <w:t>本</w:t>
      </w:r>
      <w:r>
        <w:rPr>
          <w:rFonts w:hint="eastAsia" w:ascii="宋体" w:hAnsi="宋体"/>
          <w:szCs w:val="21"/>
        </w:rPr>
        <w:t>投标人</w:t>
      </w:r>
      <w:r>
        <w:rPr>
          <w:rFonts w:ascii="宋体" w:hAnsi="宋体"/>
          <w:szCs w:val="21"/>
        </w:rPr>
        <w:t>对上述声明内容的真实性负责。如有虚假，将依法承担相应责任。</w:t>
      </w:r>
    </w:p>
    <w:p>
      <w:pPr>
        <w:spacing w:line="360" w:lineRule="auto"/>
        <w:ind w:firstLine="420" w:firstLineChars="200"/>
        <w:rPr>
          <w:b/>
          <w:bCs/>
          <w:color w:val="FF0000"/>
          <w:szCs w:val="21"/>
        </w:rPr>
      </w:pPr>
      <w:r>
        <w:rPr>
          <w:rFonts w:hint="eastAsia" w:ascii="宋体" w:hAnsi="宋体"/>
          <w:szCs w:val="21"/>
        </w:rPr>
        <w:t>附：省级以上监狱管理局、戒毒管理局（含新疆生产建设兵团）出具的监狱企业证明文件。</w:t>
      </w:r>
      <w:bookmarkEnd w:id="33"/>
    </w:p>
    <w:p>
      <w:pPr>
        <w:keepNext/>
        <w:keepLines/>
        <w:pageBreakBefore/>
        <w:adjustRightInd w:val="0"/>
        <w:snapToGrid w:val="0"/>
        <w:spacing w:line="360" w:lineRule="auto"/>
        <w:jc w:val="center"/>
        <w:textAlignment w:val="baseline"/>
        <w:outlineLvl w:val="3"/>
        <w:rPr>
          <w:rFonts w:hint="eastAsia" w:ascii="宋体" w:hAnsi="宋体" w:eastAsia="宋体" w:cs="Times New Roman"/>
          <w:b/>
          <w:bCs/>
          <w:kern w:val="0"/>
          <w:sz w:val="24"/>
          <w:szCs w:val="20"/>
        </w:rPr>
      </w:pPr>
      <w:r>
        <w:rPr>
          <w:rFonts w:hint="eastAsia" w:ascii="黑体" w:eastAsia="黑体"/>
          <w:sz w:val="24"/>
          <w:szCs w:val="24"/>
        </w:rPr>
        <w:t>四、</w:t>
      </w:r>
      <w:r>
        <w:rPr>
          <w:rFonts w:hint="eastAsia" w:ascii="宋体" w:hAnsi="宋体" w:eastAsia="宋体" w:cs="Times New Roman"/>
          <w:b/>
          <w:bCs/>
          <w:kern w:val="0"/>
          <w:sz w:val="24"/>
          <w:szCs w:val="20"/>
        </w:rPr>
        <w:t>分项报价清单</w:t>
      </w:r>
    </w:p>
    <w:p>
      <w:pPr>
        <w:spacing w:after="78" w:afterLines="25" w:line="300" w:lineRule="auto"/>
        <w:rPr>
          <w:rFonts w:ascii="Arial" w:hAnsi="Arial" w:eastAsia="宋体" w:cs="Arial"/>
          <w:szCs w:val="24"/>
        </w:rPr>
      </w:pPr>
      <w:r>
        <w:rPr>
          <w:rFonts w:hint="eastAsia" w:ascii="Arial" w:hAnsi="Arial" w:eastAsia="宋体" w:cs="Arial"/>
          <w:color w:val="000000"/>
          <w:szCs w:val="24"/>
        </w:rPr>
        <w:t>投标单位（投标人）名称：</w:t>
      </w:r>
      <w:r>
        <w:rPr>
          <w:rFonts w:ascii="Arial" w:hAnsi="Arial" w:eastAsia="宋体" w:cs="Arial"/>
          <w:color w:val="000000"/>
          <w:szCs w:val="24"/>
          <w:u w:val="single"/>
        </w:rPr>
        <w:t xml:space="preserve">                          </w:t>
      </w:r>
    </w:p>
    <w:p>
      <w:pPr>
        <w:tabs>
          <w:tab w:val="left" w:pos="720"/>
        </w:tabs>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（一）项目报价表</w:t>
      </w:r>
    </w:p>
    <w:tbl>
      <w:tblPr>
        <w:tblStyle w:val="1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519"/>
        <w:gridCol w:w="679"/>
        <w:gridCol w:w="796"/>
        <w:gridCol w:w="883"/>
        <w:gridCol w:w="660"/>
        <w:gridCol w:w="462"/>
        <w:gridCol w:w="462"/>
        <w:gridCol w:w="657"/>
        <w:gridCol w:w="880"/>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267" w:type="pct"/>
          </w:tcPr>
          <w:p>
            <w:pPr>
              <w:spacing w:line="300" w:lineRule="auto"/>
              <w:jc w:val="center"/>
              <w:rPr>
                <w:rFonts w:ascii="Arial" w:hAnsi="Arial" w:eastAsia="宋体" w:cs="Times New Roman"/>
                <w:szCs w:val="24"/>
              </w:rPr>
            </w:pPr>
            <w:r>
              <w:rPr>
                <w:rFonts w:hint="eastAsia" w:ascii="Arial" w:hAnsi="Arial" w:eastAsia="宋体" w:cs="Times New Roman"/>
                <w:szCs w:val="24"/>
              </w:rPr>
              <w:t>序号</w:t>
            </w:r>
          </w:p>
        </w:tc>
        <w:tc>
          <w:tcPr>
            <w:tcW w:w="903"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货物名称</w:t>
            </w:r>
          </w:p>
        </w:tc>
        <w:tc>
          <w:tcPr>
            <w:tcW w:w="409"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品牌</w:t>
            </w:r>
          </w:p>
        </w:tc>
        <w:tc>
          <w:tcPr>
            <w:tcW w:w="478"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规格/型号</w:t>
            </w:r>
          </w:p>
        </w:tc>
        <w:tc>
          <w:tcPr>
            <w:tcW w:w="529" w:type="pct"/>
            <w:vAlign w:val="center"/>
          </w:tcPr>
          <w:p>
            <w:pPr>
              <w:spacing w:line="300" w:lineRule="auto"/>
              <w:jc w:val="center"/>
              <w:rPr>
                <w:rFonts w:ascii="Arial" w:hAnsi="Arial" w:eastAsia="宋体" w:cs="Times New Roman"/>
                <w:b/>
                <w:szCs w:val="24"/>
              </w:rPr>
            </w:pPr>
            <w:r>
              <w:rPr>
                <w:rFonts w:hint="eastAsia" w:ascii="Arial" w:hAnsi="Arial" w:eastAsia="宋体" w:cs="Times New Roman"/>
                <w:bCs/>
                <w:szCs w:val="24"/>
              </w:rPr>
              <w:t>制造商名称</w:t>
            </w:r>
          </w:p>
        </w:tc>
        <w:tc>
          <w:tcPr>
            <w:tcW w:w="395"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原产地</w:t>
            </w:r>
          </w:p>
        </w:tc>
        <w:tc>
          <w:tcPr>
            <w:tcW w:w="282"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数量</w:t>
            </w:r>
          </w:p>
        </w:tc>
        <w:tc>
          <w:tcPr>
            <w:tcW w:w="282" w:type="pct"/>
          </w:tcPr>
          <w:p>
            <w:pPr>
              <w:spacing w:line="300" w:lineRule="auto"/>
              <w:jc w:val="center"/>
              <w:rPr>
                <w:rFonts w:ascii="Arial" w:hAnsi="Arial" w:eastAsia="宋体" w:cs="Times New Roman"/>
                <w:szCs w:val="24"/>
              </w:rPr>
            </w:pPr>
            <w:r>
              <w:rPr>
                <w:rFonts w:hint="eastAsia" w:ascii="Arial" w:hAnsi="Arial" w:eastAsia="宋体" w:cs="Times New Roman"/>
                <w:szCs w:val="24"/>
              </w:rPr>
              <w:t>单位</w:t>
            </w:r>
          </w:p>
        </w:tc>
        <w:tc>
          <w:tcPr>
            <w:tcW w:w="396"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单价(元)</w:t>
            </w:r>
          </w:p>
        </w:tc>
        <w:tc>
          <w:tcPr>
            <w:tcW w:w="527" w:type="pct"/>
            <w:vAlign w:val="center"/>
          </w:tcPr>
          <w:p>
            <w:pPr>
              <w:spacing w:line="300" w:lineRule="auto"/>
              <w:jc w:val="center"/>
              <w:rPr>
                <w:rFonts w:ascii="Arial" w:hAnsi="Arial" w:eastAsia="宋体" w:cs="Times New Roman"/>
                <w:szCs w:val="24"/>
              </w:rPr>
            </w:pPr>
            <w:r>
              <w:rPr>
                <w:rFonts w:hint="eastAsia" w:ascii="Arial" w:hAnsi="Arial" w:eastAsia="宋体" w:cs="Times New Roman"/>
                <w:szCs w:val="24"/>
              </w:rPr>
              <w:t>合价(元)</w:t>
            </w:r>
          </w:p>
        </w:tc>
        <w:tc>
          <w:tcPr>
            <w:tcW w:w="527" w:type="pct"/>
            <w:vAlign w:val="center"/>
          </w:tcPr>
          <w:p>
            <w:pPr>
              <w:spacing w:line="300" w:lineRule="auto"/>
              <w:jc w:val="center"/>
              <w:rPr>
                <w:rFonts w:ascii="Arial" w:hAnsi="Arial" w:eastAsia="宋体" w:cs="Times New Roman"/>
                <w:szCs w:val="24"/>
              </w:rPr>
            </w:pPr>
            <w:r>
              <w:rPr>
                <w:rFonts w:hint="eastAsia" w:ascii="Times New Roman" w:hAnsi="Times New Roman" w:eastAsia="宋体" w:cs="Times New Roman"/>
                <w:szCs w:val="21"/>
              </w:rPr>
              <w:t>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 w:type="pct"/>
            <w:vAlign w:val="center"/>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1</w:t>
            </w:r>
          </w:p>
        </w:tc>
        <w:tc>
          <w:tcPr>
            <w:tcW w:w="903" w:type="pct"/>
            <w:vAlign w:val="center"/>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restart"/>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67" w:type="pct"/>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2</w:t>
            </w:r>
          </w:p>
        </w:tc>
        <w:tc>
          <w:tcPr>
            <w:tcW w:w="903" w:type="pct"/>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continue"/>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267" w:type="pct"/>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3</w:t>
            </w:r>
          </w:p>
        </w:tc>
        <w:tc>
          <w:tcPr>
            <w:tcW w:w="903" w:type="pct"/>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continue"/>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267" w:type="pct"/>
          </w:tcPr>
          <w:p>
            <w:pPr>
              <w:spacing w:after="78" w:afterLines="25" w:line="300" w:lineRule="auto"/>
              <w:jc w:val="center"/>
              <w:rPr>
                <w:rFonts w:ascii="Arial" w:hAnsi="Arial" w:eastAsia="宋体" w:cs="Times New Roman"/>
                <w:szCs w:val="24"/>
              </w:rPr>
            </w:pPr>
            <w:r>
              <w:rPr>
                <w:rFonts w:hint="eastAsia" w:ascii="Arial" w:hAnsi="Arial" w:eastAsia="宋体" w:cs="Times New Roman"/>
                <w:szCs w:val="24"/>
              </w:rPr>
              <w:t>……</w:t>
            </w:r>
          </w:p>
        </w:tc>
        <w:tc>
          <w:tcPr>
            <w:tcW w:w="903" w:type="pct"/>
          </w:tcPr>
          <w:p>
            <w:pPr>
              <w:spacing w:after="78" w:afterLines="25" w:line="300" w:lineRule="auto"/>
              <w:rPr>
                <w:rFonts w:ascii="Arial" w:hAnsi="Arial" w:eastAsia="宋体" w:cs="Times New Roman"/>
                <w:b/>
                <w:szCs w:val="24"/>
              </w:rPr>
            </w:pPr>
          </w:p>
        </w:tc>
        <w:tc>
          <w:tcPr>
            <w:tcW w:w="409" w:type="pct"/>
          </w:tcPr>
          <w:p>
            <w:pPr>
              <w:spacing w:after="78" w:afterLines="25" w:line="300" w:lineRule="auto"/>
              <w:rPr>
                <w:rFonts w:ascii="Arial" w:hAnsi="Arial" w:eastAsia="宋体" w:cs="Times New Roman"/>
                <w:szCs w:val="24"/>
              </w:rPr>
            </w:pPr>
          </w:p>
        </w:tc>
        <w:tc>
          <w:tcPr>
            <w:tcW w:w="478" w:type="pct"/>
          </w:tcPr>
          <w:p>
            <w:pPr>
              <w:spacing w:after="78" w:afterLines="25" w:line="300" w:lineRule="auto"/>
              <w:rPr>
                <w:rFonts w:ascii="Arial" w:hAnsi="Arial" w:eastAsia="宋体" w:cs="Times New Roman"/>
                <w:szCs w:val="24"/>
              </w:rPr>
            </w:pPr>
          </w:p>
        </w:tc>
        <w:tc>
          <w:tcPr>
            <w:tcW w:w="529" w:type="pct"/>
          </w:tcPr>
          <w:p>
            <w:pPr>
              <w:spacing w:after="78" w:afterLines="25" w:line="300" w:lineRule="auto"/>
              <w:rPr>
                <w:rFonts w:ascii="Arial" w:hAnsi="Arial" w:eastAsia="宋体" w:cs="Times New Roman"/>
                <w:szCs w:val="24"/>
              </w:rPr>
            </w:pPr>
          </w:p>
        </w:tc>
        <w:tc>
          <w:tcPr>
            <w:tcW w:w="395"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282" w:type="pct"/>
          </w:tcPr>
          <w:p>
            <w:pPr>
              <w:spacing w:after="78" w:afterLines="25" w:line="300" w:lineRule="auto"/>
              <w:rPr>
                <w:rFonts w:ascii="Arial" w:hAnsi="Arial" w:eastAsia="宋体" w:cs="Times New Roman"/>
                <w:szCs w:val="24"/>
              </w:rPr>
            </w:pPr>
          </w:p>
        </w:tc>
        <w:tc>
          <w:tcPr>
            <w:tcW w:w="396" w:type="pct"/>
          </w:tcPr>
          <w:p>
            <w:pPr>
              <w:spacing w:after="78" w:afterLines="25" w:line="300" w:lineRule="auto"/>
              <w:rPr>
                <w:rFonts w:ascii="Arial" w:hAnsi="Arial" w:eastAsia="宋体" w:cs="Times New Roman"/>
                <w:szCs w:val="24"/>
              </w:rPr>
            </w:pPr>
          </w:p>
        </w:tc>
        <w:tc>
          <w:tcPr>
            <w:tcW w:w="527" w:type="pct"/>
          </w:tcPr>
          <w:p>
            <w:pPr>
              <w:spacing w:after="78" w:afterLines="25" w:line="300" w:lineRule="auto"/>
              <w:rPr>
                <w:rFonts w:ascii="Arial" w:hAnsi="Arial" w:eastAsia="宋体" w:cs="Times New Roman"/>
                <w:szCs w:val="24"/>
              </w:rPr>
            </w:pPr>
          </w:p>
        </w:tc>
        <w:tc>
          <w:tcPr>
            <w:tcW w:w="527" w:type="pct"/>
            <w:vMerge w:val="continue"/>
          </w:tcPr>
          <w:p>
            <w:pPr>
              <w:spacing w:after="78" w:afterLines="25" w:line="300" w:lineRule="auto"/>
              <w:rPr>
                <w:rFonts w:ascii="Arial" w:hAnsi="Arial"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2984" w:type="pct"/>
            <w:gridSpan w:val="6"/>
          </w:tcPr>
          <w:p>
            <w:pPr>
              <w:spacing w:after="78" w:afterLines="25" w:line="300" w:lineRule="auto"/>
              <w:jc w:val="center"/>
              <w:rPr>
                <w:rFonts w:ascii="Arial" w:hAnsi="Arial" w:eastAsia="宋体" w:cs="Times New Roman"/>
                <w:szCs w:val="24"/>
              </w:rPr>
            </w:pPr>
            <w:r>
              <w:rPr>
                <w:rFonts w:hint="eastAsia" w:ascii="Arial" w:hAnsi="Arial" w:eastAsia="宋体" w:cs="Times New Roman"/>
                <w:b/>
                <w:szCs w:val="24"/>
              </w:rPr>
              <w:t>投标总价</w:t>
            </w:r>
            <w:r>
              <w:rPr>
                <w:rFonts w:hint="eastAsia" w:ascii="Arial" w:hAnsi="Arial" w:eastAsia="宋体" w:cs="Times New Roman"/>
                <w:szCs w:val="24"/>
              </w:rPr>
              <w:t>（以上各项之和；币种：人民币；单位：元）</w:t>
            </w:r>
          </w:p>
        </w:tc>
        <w:tc>
          <w:tcPr>
            <w:tcW w:w="2015" w:type="pct"/>
            <w:gridSpan w:val="5"/>
          </w:tcPr>
          <w:p>
            <w:pPr>
              <w:spacing w:after="78" w:afterLines="25" w:line="300" w:lineRule="auto"/>
              <w:rPr>
                <w:rFonts w:ascii="Arial" w:hAnsi="Arial" w:eastAsia="宋体" w:cs="Times New Roman"/>
                <w:szCs w:val="24"/>
              </w:rPr>
            </w:pPr>
          </w:p>
        </w:tc>
      </w:tr>
    </w:tbl>
    <w:p>
      <w:pPr>
        <w:snapToGrid w:val="0"/>
        <w:rPr>
          <w:rFonts w:hint="eastAsia" w:cs="Times New Roman" w:asciiTheme="minorEastAsia" w:hAnsiTheme="minorEastAsia"/>
          <w:b/>
          <w:szCs w:val="24"/>
        </w:rPr>
      </w:pPr>
      <w:r>
        <w:rPr>
          <w:rFonts w:hint="eastAsia" w:cs="Times New Roman" w:asciiTheme="minorEastAsia" w:hAnsiTheme="minorEastAsia"/>
          <w:b/>
          <w:szCs w:val="24"/>
        </w:rPr>
        <w:t>填写说明：</w:t>
      </w:r>
    </w:p>
    <w:p>
      <w:pPr>
        <w:snapToGrid w:val="0"/>
        <w:rPr>
          <w:rFonts w:hint="eastAsia" w:cs="Times New Roman" w:asciiTheme="minorEastAsia" w:hAnsiTheme="minorEastAsia"/>
          <w:b/>
          <w:szCs w:val="24"/>
        </w:rPr>
      </w:pPr>
      <w:r>
        <w:rPr>
          <w:rFonts w:hint="eastAsia" w:cs="Times New Roman" w:asciiTheme="minorEastAsia" w:hAnsiTheme="minorEastAsia"/>
          <w:b/>
          <w:szCs w:val="24"/>
        </w:rPr>
        <w:t>1.本表可按同样格式扩展。</w:t>
      </w:r>
    </w:p>
    <w:p>
      <w:pPr>
        <w:snapToGrid w:val="0"/>
        <w:rPr>
          <w:rFonts w:hint="eastAsia" w:cs="Times New Roman" w:asciiTheme="minorEastAsia" w:hAnsiTheme="minorEastAsia"/>
          <w:b/>
          <w:szCs w:val="24"/>
        </w:rPr>
      </w:pPr>
      <w:r>
        <w:rPr>
          <w:rFonts w:hint="eastAsia" w:cs="Times New Roman" w:asciiTheme="minorEastAsia" w:hAnsiTheme="minorEastAsia"/>
          <w:b/>
          <w:szCs w:val="24"/>
        </w:rPr>
        <w:t>2. “品牌”可以与商标一致，也可以填写便于区分其他公司商品的制造商简称或者制造商认可的品牌名称。</w:t>
      </w:r>
    </w:p>
    <w:p>
      <w:pPr>
        <w:snapToGrid w:val="0"/>
        <w:rPr>
          <w:rFonts w:hint="eastAsia" w:cs="Times New Roman" w:asciiTheme="minorEastAsia" w:hAnsiTheme="minorEastAsia"/>
          <w:b/>
          <w:szCs w:val="24"/>
        </w:rPr>
      </w:pPr>
      <w:r>
        <w:rPr>
          <w:rFonts w:hint="eastAsia" w:cs="Times New Roman" w:asciiTheme="minorEastAsia" w:hAnsiTheme="minorEastAsia"/>
          <w:b/>
          <w:szCs w:val="24"/>
        </w:rPr>
        <w:t>3.如所投货物属于定制类的非量产货物或无具体型号的货物，可以在“规格/型号”一栏仅填写规格信息而不填写型号信息（型号信息用“定制”描述即可）；</w:t>
      </w:r>
      <w:bookmarkStart w:id="38" w:name="_Hlk73646428"/>
      <w:r>
        <w:rPr>
          <w:rFonts w:hint="eastAsia" w:cs="Times New Roman" w:asciiTheme="minorEastAsia" w:hAnsiTheme="minorEastAsia"/>
          <w:b/>
          <w:szCs w:val="24"/>
        </w:rPr>
        <w:t>此类填写错误或缺漏（所投货物为定制类的非量产货物但供应商却错误填报了型号）可能带来的不利后果由供应商承担。</w:t>
      </w:r>
      <w:bookmarkEnd w:id="38"/>
    </w:p>
    <w:p>
      <w:pPr>
        <w:snapToGrid w:val="0"/>
        <w:rPr>
          <w:rFonts w:hint="eastAsia" w:cs="Times New Roman" w:asciiTheme="minorEastAsia" w:hAnsiTheme="minorEastAsia"/>
          <w:b/>
          <w:szCs w:val="24"/>
        </w:rPr>
      </w:pPr>
      <w:r>
        <w:rPr>
          <w:rFonts w:hint="eastAsia" w:cs="Times New Roman" w:asciiTheme="minorEastAsia" w:hAnsiTheme="minorEastAsia"/>
          <w:b/>
          <w:szCs w:val="24"/>
        </w:rPr>
        <w:t>4.</w:t>
      </w:r>
      <w:bookmarkStart w:id="39" w:name="_Hlk72074795"/>
      <w:r>
        <w:rPr>
          <w:rFonts w:hint="eastAsia" w:cs="Times New Roman" w:asciiTheme="minorEastAsia" w:hAnsiTheme="minorEastAsia"/>
          <w:b/>
          <w:szCs w:val="24"/>
        </w:rPr>
        <w:t>“原产地”是指该货物的实际生产加工地，而非品牌所在地</w:t>
      </w:r>
      <w:bookmarkEnd w:id="39"/>
      <w:r>
        <w:rPr>
          <w:rFonts w:hint="eastAsia" w:cs="Times New Roman" w:asciiTheme="minorEastAsia" w:hAnsiTheme="minorEastAsia"/>
          <w:b/>
          <w:szCs w:val="24"/>
        </w:rPr>
        <w:t>。</w:t>
      </w:r>
    </w:p>
    <w:p>
      <w:pPr>
        <w:snapToGrid w:val="0"/>
        <w:rPr>
          <w:rFonts w:hint="eastAsia" w:cs="Times New Roman" w:asciiTheme="minorEastAsia" w:hAnsiTheme="minorEastAsia"/>
          <w:b/>
          <w:szCs w:val="24"/>
        </w:rPr>
      </w:pPr>
      <w:r>
        <w:rPr>
          <w:rFonts w:hint="eastAsia" w:cs="Times New Roman" w:asciiTheme="minorEastAsia" w:hAnsiTheme="minorEastAsia"/>
          <w:b/>
          <w:szCs w:val="24"/>
        </w:rPr>
        <w:t>5.所投货物均应填写制造商名称。“制造商”是指产品制造厂商，产品代工制造的，应填写接受委托生产制造的制造商。</w:t>
      </w:r>
    </w:p>
    <w:p>
      <w:pPr>
        <w:snapToGrid w:val="0"/>
        <w:rPr>
          <w:rFonts w:hint="eastAsia" w:cs="Times New Roman" w:asciiTheme="minorEastAsia" w:hAnsiTheme="minorEastAsia"/>
          <w:b/>
          <w:szCs w:val="24"/>
        </w:rPr>
      </w:pPr>
      <w:r>
        <w:rPr>
          <w:rFonts w:hint="eastAsia" w:cs="Times New Roman" w:asciiTheme="minorEastAsia" w:hAnsiTheme="minorEastAsia"/>
          <w:b/>
          <w:szCs w:val="24"/>
        </w:rPr>
        <w:t>6.以上分项报价表的投标总价应当与开标一览表的投标总价一致。</w:t>
      </w:r>
    </w:p>
    <w:p>
      <w:pPr>
        <w:snapToGrid w:val="0"/>
        <w:rPr>
          <w:rFonts w:hint="eastAsia" w:cs="Times New Roman" w:asciiTheme="minorEastAsia" w:hAnsiTheme="minorEastAsia"/>
          <w:b/>
          <w:szCs w:val="24"/>
        </w:rPr>
      </w:pPr>
      <w:r>
        <w:rPr>
          <w:rFonts w:hint="eastAsia" w:cs="Times New Roman" w:asciiTheme="minorEastAsia" w:hAnsiTheme="minorEastAsia"/>
          <w:b/>
          <w:szCs w:val="24"/>
        </w:rPr>
        <w:t>7.单价、合价和投标总价为包干价，即三者均应包含货物的价款、包装、运输、装卸、安装、调试、技术指导、培训、咨询、服务、保险、税费、检测、验收合格交付使用之前以及技术和售后服务等其他各项有关费用。</w:t>
      </w:r>
    </w:p>
    <w:p>
      <w:pPr>
        <w:snapToGrid w:val="0"/>
        <w:rPr>
          <w:rFonts w:hint="eastAsia" w:cs="Times New Roman" w:asciiTheme="minorEastAsia" w:hAnsiTheme="minorEastAsia"/>
          <w:b/>
          <w:szCs w:val="24"/>
        </w:rPr>
      </w:pPr>
      <w:r>
        <w:rPr>
          <w:rFonts w:hint="eastAsia" w:cs="Times New Roman" w:asciiTheme="minorEastAsia" w:hAnsiTheme="minorEastAsia"/>
          <w:b/>
          <w:szCs w:val="24"/>
        </w:rPr>
        <w:t>8.所有价格应按“招标文件”中规定的货币单位填写；投标总价应为以上各分项价格之和；投标总价和项目报价表中单个采购预算条目报价均不得超过对应的财政预算限额，否则将导致投标无效。</w:t>
      </w:r>
    </w:p>
    <w:p>
      <w:pPr>
        <w:snapToGrid w:val="0"/>
        <w:rPr>
          <w:rFonts w:hint="eastAsia" w:cs="Times New Roman" w:asciiTheme="minorEastAsia" w:hAnsiTheme="minorEastAsia"/>
          <w:b/>
          <w:szCs w:val="24"/>
        </w:rPr>
      </w:pPr>
    </w:p>
    <w:p>
      <w:pPr>
        <w:snapToGrid w:val="0"/>
        <w:rPr>
          <w:rFonts w:hint="eastAsia" w:cs="Times New Roman" w:asciiTheme="minorEastAsia" w:hAnsiTheme="minorEastAsia"/>
          <w:b/>
          <w:color w:val="FF0000"/>
          <w:szCs w:val="24"/>
        </w:rPr>
      </w:pPr>
      <w:r>
        <w:rPr>
          <w:rFonts w:hint="eastAsia" w:cs="Times New Roman" w:asciiTheme="minorEastAsia" w:hAnsiTheme="minorEastAsia"/>
          <w:bCs/>
          <w:color w:val="FF0000"/>
          <w:szCs w:val="24"/>
        </w:rPr>
        <w:t>★</w:t>
      </w:r>
      <w:r>
        <w:rPr>
          <w:rFonts w:hint="eastAsia" w:cs="Times New Roman" w:asciiTheme="minorEastAsia" w:hAnsiTheme="minorEastAsia"/>
          <w:b/>
          <w:color w:val="FF0000"/>
          <w:szCs w:val="24"/>
        </w:rPr>
        <w:t>填写</w:t>
      </w:r>
      <w:r>
        <w:rPr>
          <w:rFonts w:cs="Times New Roman" w:asciiTheme="minorEastAsia" w:hAnsiTheme="minorEastAsia"/>
          <w:b/>
          <w:color w:val="FF0000"/>
          <w:szCs w:val="24"/>
        </w:rPr>
        <w:t>要求：</w:t>
      </w:r>
    </w:p>
    <w:p>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1.</w:t>
      </w:r>
      <w:r>
        <w:rPr>
          <w:rFonts w:hint="eastAsia" w:cs="Times New Roman" w:asciiTheme="minorEastAsia" w:hAnsiTheme="minorEastAsia"/>
          <w:b/>
          <w:color w:val="FF0000"/>
          <w:szCs w:val="24"/>
        </w:rPr>
        <w:t>《分项报价清单》</w:t>
      </w:r>
      <w:r>
        <w:rPr>
          <w:rFonts w:cs="Times New Roman" w:asciiTheme="minorEastAsia" w:hAnsiTheme="minorEastAsia"/>
          <w:b/>
          <w:color w:val="FF0000"/>
          <w:szCs w:val="24"/>
        </w:rPr>
        <w:t>所有价格应</w:t>
      </w:r>
      <w:r>
        <w:rPr>
          <w:rFonts w:hint="eastAsia" w:cs="Times New Roman" w:asciiTheme="minorEastAsia" w:hAnsiTheme="minorEastAsia"/>
          <w:b/>
          <w:color w:val="FF0000"/>
          <w:szCs w:val="24"/>
        </w:rPr>
        <w:t>以人民币为结算单位填写</w:t>
      </w:r>
      <w:r>
        <w:rPr>
          <w:rFonts w:cs="Times New Roman" w:asciiTheme="minorEastAsia" w:hAnsiTheme="minorEastAsia"/>
          <w:b/>
          <w:color w:val="FF0000"/>
          <w:szCs w:val="24"/>
        </w:rPr>
        <w:t>；</w:t>
      </w:r>
    </w:p>
    <w:p>
      <w:pPr>
        <w:snapToGrid w:val="0"/>
        <w:rPr>
          <w:rFonts w:hint="eastAsia" w:cs="Times New Roman" w:asciiTheme="minorEastAsia" w:hAnsiTheme="minorEastAsia"/>
          <w:b/>
          <w:color w:val="FF0000"/>
          <w:szCs w:val="24"/>
        </w:rPr>
      </w:pPr>
      <w:r>
        <w:rPr>
          <w:rFonts w:cs="Times New Roman" w:asciiTheme="minorEastAsia" w:hAnsiTheme="minorEastAsia"/>
          <w:b/>
          <w:color w:val="FF0000"/>
          <w:szCs w:val="24"/>
        </w:rPr>
        <w:t>2.</w:t>
      </w:r>
      <w:r>
        <w:rPr>
          <w:rFonts w:hint="eastAsia" w:cs="Times New Roman" w:asciiTheme="minorEastAsia" w:hAnsiTheme="minorEastAsia"/>
          <w:b/>
          <w:color w:val="FF0000"/>
          <w:szCs w:val="24"/>
        </w:rPr>
        <w:t>《（一）项目报价表》</w:t>
      </w:r>
      <w:r>
        <w:rPr>
          <w:rFonts w:cs="Times New Roman" w:asciiTheme="minorEastAsia" w:hAnsiTheme="minorEastAsia"/>
          <w:b/>
          <w:color w:val="FF0000"/>
          <w:szCs w:val="24"/>
        </w:rPr>
        <w:t>可根据</w:t>
      </w:r>
      <w:r>
        <w:rPr>
          <w:rFonts w:hint="eastAsia" w:cs="Times New Roman" w:asciiTheme="minorEastAsia" w:hAnsiTheme="minorEastAsia"/>
          <w:b/>
          <w:color w:val="FF0000"/>
          <w:szCs w:val="24"/>
        </w:rPr>
        <w:t>实际需要</w:t>
      </w:r>
      <w:r>
        <w:rPr>
          <w:rFonts w:cs="Times New Roman" w:asciiTheme="minorEastAsia" w:hAnsiTheme="minorEastAsia"/>
          <w:b/>
          <w:color w:val="FF0000"/>
          <w:szCs w:val="24"/>
        </w:rPr>
        <w:t>增加</w:t>
      </w:r>
      <w:r>
        <w:rPr>
          <w:rFonts w:hint="eastAsia" w:cs="Times New Roman" w:asciiTheme="minorEastAsia" w:hAnsiTheme="minorEastAsia"/>
          <w:b/>
          <w:color w:val="FF0000"/>
          <w:szCs w:val="24"/>
        </w:rPr>
        <w:t>相关</w:t>
      </w:r>
      <w:r>
        <w:rPr>
          <w:rFonts w:cs="Times New Roman" w:asciiTheme="minorEastAsia" w:hAnsiTheme="minorEastAsia"/>
          <w:b/>
          <w:color w:val="FF0000"/>
          <w:szCs w:val="24"/>
        </w:rPr>
        <w:t>内容，但原</w:t>
      </w:r>
      <w:r>
        <w:rPr>
          <w:rFonts w:hint="eastAsia" w:cs="Times New Roman" w:asciiTheme="minorEastAsia" w:hAnsiTheme="minorEastAsia"/>
          <w:b/>
          <w:color w:val="FF0000"/>
          <w:szCs w:val="24"/>
        </w:rPr>
        <w:t>有</w:t>
      </w:r>
      <w:r>
        <w:rPr>
          <w:rFonts w:cs="Times New Roman" w:asciiTheme="minorEastAsia" w:hAnsiTheme="minorEastAsia"/>
          <w:b/>
          <w:color w:val="FF0000"/>
          <w:szCs w:val="24"/>
        </w:rPr>
        <w:t>的格式</w:t>
      </w:r>
      <w:r>
        <w:rPr>
          <w:rFonts w:hint="eastAsia" w:cs="Times New Roman" w:asciiTheme="minorEastAsia" w:hAnsiTheme="minorEastAsia"/>
          <w:b/>
          <w:color w:val="FF0000"/>
          <w:szCs w:val="24"/>
        </w:rPr>
        <w:t>内容</w:t>
      </w:r>
      <w:r>
        <w:rPr>
          <w:rFonts w:cs="Times New Roman" w:asciiTheme="minorEastAsia" w:hAnsiTheme="minorEastAsia"/>
          <w:b/>
          <w:color w:val="FF0000"/>
          <w:szCs w:val="24"/>
        </w:rPr>
        <w:t>不得删减；</w:t>
      </w:r>
    </w:p>
    <w:p>
      <w:pPr>
        <w:snapToGrid w:val="0"/>
        <w:rPr>
          <w:rFonts w:hint="eastAsia" w:cs="Times New Roman" w:asciiTheme="minorEastAsia" w:hAnsiTheme="minorEastAsia"/>
          <w:b/>
          <w:color w:val="FF0000"/>
          <w:szCs w:val="24"/>
        </w:rPr>
      </w:pPr>
      <w:r>
        <w:rPr>
          <w:rFonts w:hint="eastAsia" w:cs="Times New Roman" w:asciiTheme="minorEastAsia" w:hAnsiTheme="minorEastAsia"/>
          <w:b/>
          <w:color w:val="FF0000"/>
          <w:szCs w:val="24"/>
        </w:rPr>
        <w:t>3.</w:t>
      </w:r>
      <w:r>
        <w:rPr>
          <w:rFonts w:cs="Times New Roman" w:asciiTheme="minorEastAsia" w:hAnsiTheme="minorEastAsia"/>
          <w:b/>
          <w:color w:val="FF0000"/>
          <w:szCs w:val="24"/>
        </w:rPr>
        <w:t>如</w:t>
      </w:r>
      <w:r>
        <w:rPr>
          <w:rFonts w:hint="eastAsia" w:cs="Times New Roman" w:asciiTheme="minorEastAsia" w:hAnsiTheme="minorEastAsia"/>
          <w:b/>
          <w:color w:val="FF0000"/>
          <w:szCs w:val="24"/>
        </w:rPr>
        <w:t>未提供《（一）项目报价表》或者</w:t>
      </w:r>
      <w:r>
        <w:rPr>
          <w:rFonts w:cs="Times New Roman" w:asciiTheme="minorEastAsia" w:hAnsiTheme="minorEastAsia"/>
          <w:b/>
          <w:color w:val="FF0000"/>
          <w:szCs w:val="24"/>
        </w:rPr>
        <w:t>不按</w:t>
      </w:r>
      <w:r>
        <w:rPr>
          <w:rFonts w:hint="eastAsia" w:cs="Times New Roman" w:asciiTheme="minorEastAsia" w:hAnsiTheme="minorEastAsia"/>
          <w:b/>
          <w:color w:val="FF0000"/>
          <w:szCs w:val="24"/>
        </w:rPr>
        <w:t>《第三章 用户需求书：二、货物需求明细》</w:t>
      </w:r>
      <w:r>
        <w:rPr>
          <w:rFonts w:cs="Times New Roman" w:asciiTheme="minorEastAsia" w:hAnsiTheme="minorEastAsia"/>
          <w:b/>
          <w:color w:val="FF0000"/>
          <w:szCs w:val="24"/>
        </w:rPr>
        <w:t>要求填报、漏报或错报</w:t>
      </w:r>
      <w:r>
        <w:rPr>
          <w:rFonts w:hint="eastAsia" w:cs="Times New Roman" w:asciiTheme="minorEastAsia" w:hAnsiTheme="minorEastAsia"/>
          <w:b/>
          <w:color w:val="FF0000"/>
          <w:szCs w:val="24"/>
        </w:rPr>
        <w:t>的将作</w:t>
      </w:r>
      <w:r>
        <w:rPr>
          <w:rFonts w:cs="Times New Roman" w:asciiTheme="minorEastAsia" w:hAnsiTheme="minorEastAsia"/>
          <w:b/>
          <w:color w:val="FF0000"/>
          <w:szCs w:val="24"/>
        </w:rPr>
        <w:t>投标无效处理。</w:t>
      </w:r>
    </w:p>
    <w:p>
      <w:pPr>
        <w:tabs>
          <w:tab w:val="left" w:pos="720"/>
        </w:tabs>
        <w:rPr>
          <w:rFonts w:ascii="Times New Roman" w:hAnsi="Times New Roman" w:eastAsia="宋体" w:cs="Times New Roman"/>
          <w:b/>
          <w:sz w:val="24"/>
          <w:szCs w:val="24"/>
        </w:rPr>
      </w:pPr>
    </w:p>
    <w:p>
      <w:pPr>
        <w:tabs>
          <w:tab w:val="left" w:pos="720"/>
        </w:tabs>
        <w:rPr>
          <w:rFonts w:ascii="Times New Roman" w:hAnsi="Times New Roman" w:eastAsia="宋体" w:cs="Times New Roman"/>
          <w:b/>
          <w:color w:val="FF0000"/>
          <w:sz w:val="24"/>
          <w:szCs w:val="24"/>
        </w:rPr>
      </w:pPr>
      <w:r>
        <w:rPr>
          <w:rFonts w:hint="eastAsia" w:ascii="Times New Roman" w:hAnsi="Times New Roman" w:eastAsia="宋体" w:cs="Times New Roman"/>
          <w:b/>
          <w:color w:val="FF0000"/>
          <w:sz w:val="24"/>
          <w:szCs w:val="24"/>
        </w:rPr>
        <w:t>（二）核心产品品牌</w:t>
      </w:r>
    </w:p>
    <w:p>
      <w:pPr>
        <w:rPr>
          <w:rFonts w:ascii="Times New Roman" w:hAnsi="Times New Roman" w:eastAsia="宋体" w:cs="Times New Roman"/>
          <w:color w:val="FF0000"/>
          <w:sz w:val="24"/>
          <w:szCs w:val="24"/>
        </w:rPr>
      </w:pPr>
      <w:r>
        <w:rPr>
          <w:rFonts w:hint="eastAsia" w:ascii="Times New Roman" w:hAnsi="Times New Roman" w:eastAsia="宋体" w:cs="Times New Roman"/>
          <w:b/>
          <w:color w:val="FF0000"/>
          <w:sz w:val="24"/>
          <w:szCs w:val="24"/>
        </w:rPr>
        <w:t>我单位所投核心产品的品牌为：</w:t>
      </w:r>
      <w:r>
        <w:rPr>
          <w:rFonts w:hint="eastAsia" w:ascii="Times New Roman" w:hAnsi="Times New Roman" w:eastAsia="宋体" w:cs="Times New Roman"/>
          <w:color w:val="FF0000"/>
          <w:sz w:val="24"/>
          <w:szCs w:val="24"/>
          <w:u w:val="single"/>
        </w:rPr>
        <w:t xml:space="preserve">               </w:t>
      </w:r>
      <w:r>
        <w:rPr>
          <w:rFonts w:hint="eastAsia" w:ascii="Times New Roman" w:hAnsi="Times New Roman" w:eastAsia="宋体" w:cs="Times New Roman"/>
          <w:color w:val="FF0000"/>
          <w:sz w:val="24"/>
          <w:szCs w:val="24"/>
        </w:rPr>
        <w:t>。</w:t>
      </w:r>
    </w:p>
    <w:p>
      <w:pPr>
        <w:rPr>
          <w:rFonts w:ascii="Arial" w:hAnsi="Arial" w:eastAsia="宋体" w:cs="Times New Roman"/>
          <w:b/>
          <w:szCs w:val="24"/>
        </w:rPr>
      </w:pPr>
      <w:r>
        <w:rPr>
          <w:rFonts w:hint="eastAsia" w:ascii="宋体" w:hAnsi="宋体" w:eastAsia="宋体" w:cs="Times New Roman"/>
          <w:color w:val="FF0000"/>
          <w:sz w:val="24"/>
          <w:szCs w:val="24"/>
        </w:rPr>
        <w:t>备注：单一产品采购项目，核心产品即为该单一产品。</w:t>
      </w:r>
    </w:p>
    <w:p>
      <w:pPr>
        <w:spacing w:after="78" w:afterLines="25" w:line="300" w:lineRule="auto"/>
        <w:rPr>
          <w:rFonts w:ascii="Arial" w:hAnsi="Arial" w:eastAsia="宋体" w:cs="Times New Roman"/>
          <w:b/>
          <w:szCs w:val="24"/>
        </w:rPr>
      </w:pPr>
    </w:p>
    <w:p>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（三）可选配件报价清单（非项目需求要求的必备配件，此部分不包括在总报价内）</w:t>
      </w:r>
    </w:p>
    <w:p>
      <w:pPr>
        <w:ind w:firstLine="422" w:firstLineChars="200"/>
        <w:rPr>
          <w:rFonts w:hint="eastAsia" w:hAnsi="宋体"/>
          <w:b/>
          <w:bCs/>
          <w:szCs w:val="21"/>
        </w:rPr>
      </w:pPr>
      <w:r>
        <w:rPr>
          <w:rFonts w:hint="eastAsia" w:hAnsi="宋体"/>
          <w:b/>
          <w:bCs/>
          <w:szCs w:val="21"/>
        </w:rPr>
        <w:t>注：格式可以参照《（一）项目报价表》表格，并提供相应的品牌/规格/型号、原产地、制造商信息（没有品牌、型号的，用“定制”描述即可）、单价等详细信息</w:t>
      </w:r>
    </w:p>
    <w:p>
      <w:pPr>
        <w:ind w:firstLine="422" w:firstLineChars="200"/>
        <w:rPr>
          <w:rFonts w:hint="eastAsia" w:hAnsi="宋体"/>
          <w:b/>
          <w:bCs/>
          <w:szCs w:val="21"/>
        </w:rPr>
      </w:pPr>
    </w:p>
    <w:p>
      <w:pPr>
        <w:spacing w:after="78" w:afterLines="25" w:line="300" w:lineRule="auto"/>
        <w:rPr>
          <w:rFonts w:ascii="Arial" w:hAnsi="Arial" w:eastAsia="宋体" w:cs="Times New Roman"/>
          <w:b/>
          <w:sz w:val="24"/>
          <w:szCs w:val="24"/>
        </w:rPr>
      </w:pPr>
      <w:r>
        <w:rPr>
          <w:rFonts w:hint="eastAsia" w:ascii="Arial" w:hAnsi="Arial" w:eastAsia="宋体" w:cs="Times New Roman"/>
          <w:b/>
          <w:sz w:val="24"/>
          <w:szCs w:val="24"/>
        </w:rPr>
        <w:t>（四）供应商认为需要涉及的其他内容报价清单</w:t>
      </w:r>
    </w:p>
    <w:p>
      <w:pPr>
        <w:jc w:val="both"/>
        <w:rPr>
          <w:b/>
          <w:bCs/>
          <w:color w:val="FF0000"/>
          <w:sz w:val="24"/>
        </w:rPr>
      </w:pPr>
    </w:p>
    <w:p>
      <w:pPr>
        <w:jc w:val="center"/>
        <w:rPr>
          <w:rFonts w:hint="eastAsia" w:ascii="宋体" w:hAnsi="宋体"/>
        </w:rPr>
      </w:pPr>
      <w:r>
        <w:rPr>
          <w:rFonts w:hint="eastAsia"/>
          <w:b/>
          <w:bCs/>
          <w:color w:val="FF0000"/>
          <w:sz w:val="24"/>
        </w:rPr>
        <w:t>★</w:t>
      </w:r>
      <w:r>
        <w:rPr>
          <w:rFonts w:hint="eastAsia" w:ascii="黑体" w:eastAsia="黑体"/>
          <w:sz w:val="24"/>
          <w:szCs w:val="24"/>
        </w:rPr>
        <w:t>五、供应商基本情况表</w:t>
      </w:r>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0"/>
        <w:gridCol w:w="644"/>
        <w:gridCol w:w="1528"/>
        <w:gridCol w:w="903"/>
        <w:gridCol w:w="751"/>
        <w:gridCol w:w="1145"/>
        <w:gridCol w:w="1428"/>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9"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投标（响应）供应商</w:t>
            </w:r>
          </w:p>
        </w:tc>
        <w:tc>
          <w:tcPr>
            <w:tcW w:w="1427"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项目名称及编号</w:t>
            </w:r>
          </w:p>
        </w:tc>
        <w:tc>
          <w:tcPr>
            <w:tcW w:w="1669" w:type="pct"/>
            <w:gridSpan w:val="2"/>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职务</w:t>
            </w:r>
          </w:p>
        </w:tc>
        <w:tc>
          <w:tcPr>
            <w:tcW w:w="529"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姓名</w:t>
            </w:r>
          </w:p>
        </w:tc>
        <w:tc>
          <w:tcPr>
            <w:tcW w:w="1113" w:type="pct"/>
            <w:gridSpan w:val="2"/>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身份证号码</w:t>
            </w:r>
          </w:p>
        </w:tc>
        <w:tc>
          <w:tcPr>
            <w:tcW w:w="838"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劳动合同</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关系单位</w:t>
            </w:r>
          </w:p>
        </w:tc>
        <w:tc>
          <w:tcPr>
            <w:tcW w:w="830" w:type="pct"/>
            <w:tcBorders>
              <w:bottom w:val="single" w:color="auto" w:sz="4" w:space="0"/>
            </w:tcBorders>
            <w:noWrap w:val="0"/>
            <w:vAlign w:val="center"/>
          </w:tcPr>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缴纳社会</w:t>
            </w:r>
          </w:p>
          <w:p>
            <w:pPr>
              <w:snapToGrid w:val="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val="en-US" w:eastAsia="zh-CN"/>
              </w:rPr>
              <w:t>/单位负责人/主要经营负责人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项目投标授权代表人</w:t>
            </w:r>
          </w:p>
        </w:tc>
        <w:tc>
          <w:tcPr>
            <w:tcW w:w="5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tcBorders>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3</w:t>
            </w:r>
          </w:p>
        </w:tc>
        <w:tc>
          <w:tcPr>
            <w:tcW w:w="1275"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项目负责人</w:t>
            </w:r>
          </w:p>
        </w:tc>
        <w:tc>
          <w:tcPr>
            <w:tcW w:w="529"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tcBorders>
              <w:top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4</w:t>
            </w:r>
          </w:p>
        </w:tc>
        <w:tc>
          <w:tcPr>
            <w:tcW w:w="1275" w:type="pct"/>
            <w:gridSpan w:val="2"/>
            <w:noWrap w:val="0"/>
            <w:vAlign w:val="center"/>
          </w:tcPr>
          <w:p>
            <w:pPr>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highlight w:val="none"/>
              </w:rPr>
              <w:t>主要技术人员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noWrap w:val="0"/>
            <w:vAlign w:val="center"/>
          </w:tcPr>
          <w:p>
            <w:pPr>
              <w:spacing w:beforeLines="0" w:afterLines="0"/>
              <w:jc w:val="center"/>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lang w:bidi="ar"/>
              </w:rPr>
              <w:t>5</w:t>
            </w:r>
          </w:p>
        </w:tc>
        <w:tc>
          <w:tcPr>
            <w:tcW w:w="1275" w:type="pct"/>
            <w:gridSpan w:val="2"/>
            <w:noWrap w:val="0"/>
            <w:vAlign w:val="center"/>
          </w:tcPr>
          <w:p>
            <w:pPr>
              <w:widowControl w:val="0"/>
              <w:snapToGrid w:val="0"/>
              <w:ind w:left="0" w:leftChars="0" w:firstLine="0" w:firstLineChars="0"/>
              <w:jc w:val="center"/>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投标文件编制人员</w:t>
            </w:r>
          </w:p>
        </w:tc>
        <w:tc>
          <w:tcPr>
            <w:tcW w:w="529" w:type="pct"/>
            <w:noWrap w:val="0"/>
            <w:vAlign w:val="center"/>
          </w:tcPr>
          <w:p>
            <w:pPr>
              <w:jc w:val="center"/>
              <w:rPr>
                <w:rFonts w:hint="eastAsia" w:ascii="宋体" w:hAnsi="宋体" w:eastAsia="宋体" w:cs="宋体"/>
                <w:color w:val="auto"/>
                <w:sz w:val="21"/>
                <w:szCs w:val="21"/>
                <w:vertAlign w:val="baseline"/>
                <w:lang w:val="en-US" w:eastAsia="zh-CN"/>
              </w:rPr>
            </w:pPr>
          </w:p>
        </w:tc>
        <w:tc>
          <w:tcPr>
            <w:tcW w:w="1113" w:type="pct"/>
            <w:gridSpan w:val="2"/>
            <w:noWrap w:val="0"/>
            <w:vAlign w:val="center"/>
          </w:tcPr>
          <w:p>
            <w:pPr>
              <w:jc w:val="center"/>
              <w:rPr>
                <w:rFonts w:hint="eastAsia" w:ascii="宋体" w:hAnsi="宋体" w:eastAsia="宋体" w:cs="宋体"/>
                <w:color w:val="auto"/>
                <w:sz w:val="21"/>
                <w:szCs w:val="21"/>
                <w:vertAlign w:val="baseline"/>
                <w:lang w:val="en-US" w:eastAsia="zh-CN"/>
              </w:rPr>
            </w:pPr>
          </w:p>
        </w:tc>
        <w:tc>
          <w:tcPr>
            <w:tcW w:w="838" w:type="pct"/>
            <w:noWrap w:val="0"/>
            <w:vAlign w:val="center"/>
          </w:tcPr>
          <w:p>
            <w:pPr>
              <w:jc w:val="center"/>
              <w:rPr>
                <w:rFonts w:hint="eastAsia" w:ascii="宋体" w:hAnsi="宋体" w:eastAsia="宋体" w:cs="宋体"/>
                <w:color w:val="auto"/>
                <w:sz w:val="21"/>
                <w:szCs w:val="21"/>
                <w:vertAlign w:val="baseline"/>
                <w:lang w:val="en-US" w:eastAsia="zh-CN"/>
              </w:rPr>
            </w:pPr>
          </w:p>
        </w:tc>
        <w:tc>
          <w:tcPr>
            <w:tcW w:w="830" w:type="pct"/>
            <w:noWrap w:val="0"/>
            <w:vAlign w:val="center"/>
          </w:tcPr>
          <w:p>
            <w:pPr>
              <w:jc w:val="center"/>
              <w:rPr>
                <w:rFonts w:hint="eastAsia" w:ascii="宋体" w:hAnsi="宋体" w:eastAsia="宋体" w:cs="宋体"/>
                <w:color w:val="auto"/>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8"/>
            <w:noWrap w:val="0"/>
            <w:vAlign w:val="center"/>
          </w:tcPr>
          <w:p>
            <w:pPr>
              <w:jc w:val="left"/>
              <w:rPr>
                <w:rFonts w:hint="eastAsia" w:ascii="宋体" w:hAnsi="宋体" w:eastAsia="宋体" w:cs="宋体"/>
                <w:color w:val="auto"/>
                <w:sz w:val="21"/>
                <w:szCs w:val="21"/>
                <w:vertAlign w:val="baseline"/>
                <w:lang w:val="en-US" w:eastAsia="zh-CN"/>
              </w:rPr>
            </w:pPr>
            <w:r>
              <w:rPr>
                <w:rFonts w:hint="eastAsia" w:ascii="宋体" w:hAnsi="宋体" w:eastAsia="宋体" w:cs="宋体"/>
                <w:b/>
                <w:bCs/>
                <w:color w:val="auto"/>
                <w:sz w:val="21"/>
                <w:szCs w:val="21"/>
                <w:highlight w:val="none"/>
                <w:vertAlign w:val="baseline"/>
                <w:lang w:val="en-US" w:eastAsia="zh-CN"/>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000" w:type="pct"/>
            <w:gridSpan w:val="8"/>
            <w:noWrap w:val="0"/>
            <w:vAlign w:val="center"/>
          </w:tcPr>
          <w:p>
            <w:pPr>
              <w:jc w:val="center"/>
              <w:rPr>
                <w:rFonts w:hint="eastAsia" w:ascii="宋体" w:hAnsi="宋体" w:eastAsia="宋体" w:cs="宋体"/>
                <w:b/>
                <w:bCs/>
                <w:color w:val="auto"/>
                <w:sz w:val="21"/>
                <w:szCs w:val="21"/>
                <w:vertAlign w:val="baseline"/>
                <w:lang w:val="en-US" w:eastAsia="zh-CN"/>
              </w:rPr>
            </w:pPr>
            <w:r>
              <w:rPr>
                <w:rFonts w:hint="eastAsia" w:ascii="宋体" w:hAnsi="宋体" w:eastAsia="宋体" w:cs="宋体"/>
                <w:b/>
                <w:bCs/>
                <w:color w:val="auto"/>
                <w:sz w:val="21"/>
                <w:szCs w:val="21"/>
                <w:vertAlign w:val="baseline"/>
                <w:lang w:val="en-US" w:eastAsia="zh-CN"/>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bottom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序号</w:t>
            </w:r>
          </w:p>
        </w:tc>
        <w:tc>
          <w:tcPr>
            <w:tcW w:w="1275"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vertAlign w:val="baseline"/>
                <w:lang w:val="en-US" w:eastAsia="zh-CN"/>
              </w:rPr>
              <w:t>关联关系类型</w:t>
            </w:r>
          </w:p>
        </w:tc>
        <w:tc>
          <w:tcPr>
            <w:tcW w:w="971" w:type="pct"/>
            <w:gridSpan w:val="2"/>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关联主体名称</w:t>
            </w:r>
          </w:p>
        </w:tc>
        <w:tc>
          <w:tcPr>
            <w:tcW w:w="2340" w:type="pct"/>
            <w:gridSpan w:val="3"/>
            <w:tcBorders>
              <w:bottom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1</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控股股东</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jc w:val="center"/>
        </w:trPr>
        <w:tc>
          <w:tcPr>
            <w:tcW w:w="411"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vertAlign w:val="baseline"/>
                <w:lang w:val="en-US" w:eastAsia="zh-CN" w:bidi="ar"/>
              </w:rPr>
            </w:pPr>
            <w:r>
              <w:rPr>
                <w:rFonts w:hint="eastAsia" w:ascii="宋体" w:hAnsi="宋体" w:eastAsia="宋体" w:cs="宋体"/>
                <w:color w:val="auto"/>
                <w:sz w:val="21"/>
                <w:szCs w:val="21"/>
                <w:vertAlign w:val="baseline"/>
                <w:lang w:val="en-US" w:eastAsia="zh-CN" w:bidi="ar"/>
              </w:rPr>
              <w:t>2</w:t>
            </w:r>
          </w:p>
        </w:tc>
        <w:tc>
          <w:tcPr>
            <w:tcW w:w="1275"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管理关系</w:t>
            </w:r>
          </w:p>
        </w:tc>
        <w:tc>
          <w:tcPr>
            <w:tcW w:w="97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1"/>
                <w:szCs w:val="21"/>
                <w:highlight w:val="none"/>
                <w:vertAlign w:val="baseline"/>
                <w:lang w:val="en-US" w:eastAsia="zh-CN"/>
              </w:rPr>
            </w:pPr>
          </w:p>
        </w:tc>
        <w:tc>
          <w:tcPr>
            <w:tcW w:w="2340" w:type="pct"/>
            <w:gridSpan w:val="3"/>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5000" w:type="pct"/>
            <w:gridSpan w:val="8"/>
            <w:tcBorders>
              <w:top w:val="single" w:color="auto" w:sz="4" w:space="0"/>
              <w:left w:val="single" w:color="auto" w:sz="4" w:space="0"/>
              <w:bottom w:val="single" w:color="auto" w:sz="4" w:space="0"/>
              <w:right w:val="single" w:color="auto" w:sz="4" w:space="0"/>
            </w:tcBorders>
            <w:noWrap w:val="0"/>
            <w:vAlign w:val="center"/>
          </w:tcPr>
          <w:p>
            <w:pPr>
              <w:snapToGrid w:val="0"/>
              <w:jc w:val="left"/>
              <w:rPr>
                <w:rFonts w:hint="default" w:ascii="宋体" w:hAnsi="宋体" w:eastAsia="宋体" w:cs="宋体"/>
                <w:b/>
                <w:bCs/>
                <w:color w:val="FF0000"/>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说明：1.同一关联关系类型有多个主体的，应分行填写。</w:t>
            </w:r>
          </w:p>
          <w:p>
            <w:pPr>
              <w:snapToGrid w:val="0"/>
              <w:jc w:val="left"/>
              <w:rPr>
                <w:rFonts w:hint="eastAsia" w:ascii="宋体" w:hAnsi="宋体" w:eastAsia="宋体" w:cs="宋体"/>
                <w:color w:val="auto"/>
                <w:sz w:val="21"/>
                <w:szCs w:val="21"/>
                <w:highlight w:val="none"/>
                <w:vertAlign w:val="baseline"/>
                <w:lang w:val="en-US" w:eastAsia="zh-CN"/>
              </w:rPr>
            </w:pPr>
            <w:r>
              <w:rPr>
                <w:rFonts w:hint="default" w:ascii="宋体" w:hAnsi="宋体" w:eastAsia="宋体" w:cs="宋体"/>
                <w:b/>
                <w:bCs/>
                <w:color w:val="FF0000"/>
                <w:sz w:val="21"/>
                <w:szCs w:val="21"/>
                <w:highlight w:val="none"/>
                <w:vertAlign w:val="baseline"/>
                <w:lang w:val="en-US" w:eastAsia="zh-CN"/>
              </w:rPr>
              <w:t>2.《供应商基本情况表》为必填内容，若存在异常且不符合要求的供应商资格性审查将不予通过，作投标无效处理。</w:t>
            </w:r>
          </w:p>
        </w:tc>
      </w:tr>
    </w:tbl>
    <w:p>
      <w:pPr>
        <w:autoSpaceDE w:val="0"/>
        <w:autoSpaceDN w:val="0"/>
        <w:adjustRightInd w:val="0"/>
        <w:snapToGrid w:val="0"/>
        <w:jc w:val="left"/>
        <w:rPr>
          <w:rFonts w:ascii="Arial" w:hAnsi="Arial" w:eastAsia="宋体" w:cs="Times New Roman"/>
          <w:b/>
          <w:sz w:val="24"/>
          <w:szCs w:val="24"/>
        </w:rPr>
      </w:pPr>
    </w:p>
    <w:p>
      <w:pPr>
        <w:widowControl/>
        <w:jc w:val="center"/>
        <w:rPr>
          <w:rFonts w:ascii="Arial" w:hAnsi="Arial" w:eastAsia="宋体" w:cs="Times New Roman"/>
          <w:b/>
          <w:sz w:val="24"/>
          <w:szCs w:val="24"/>
        </w:rPr>
      </w:pPr>
    </w:p>
    <w:p>
      <w:pPr>
        <w:widowControl/>
        <w:jc w:val="center"/>
        <w:rPr>
          <w:rFonts w:ascii="Arial" w:hAnsi="Arial" w:eastAsia="宋体" w:cs="Times New Roman"/>
          <w:b/>
          <w:sz w:val="24"/>
          <w:szCs w:val="24"/>
        </w:rPr>
      </w:pPr>
      <w:r>
        <w:rPr>
          <w:rFonts w:hint="eastAsia" w:ascii="Arial" w:hAnsi="Arial" w:eastAsia="宋体" w:cs="Times New Roman"/>
          <w:b/>
          <w:sz w:val="24"/>
          <w:szCs w:val="24"/>
        </w:rPr>
        <w:t>（本章未提供的招标要求的其他文件格式由供应商自拟）</w:t>
      </w:r>
    </w:p>
    <w:p>
      <w:pPr>
        <w:widowControl/>
        <w:jc w:val="center"/>
        <w:rPr>
          <w:rFonts w:ascii="Arial" w:hAnsi="Arial" w:eastAsia="宋体" w:cs="Times New Roman"/>
          <w:szCs w:val="24"/>
        </w:rPr>
      </w:pPr>
      <w:r>
        <w:rPr>
          <w:rFonts w:ascii="Arial" w:hAnsi="Arial" w:eastAsia="宋体" w:cs="Times New Roman"/>
          <w:szCs w:val="24"/>
        </w:rPr>
        <w:br w:type="page"/>
      </w:r>
    </w:p>
    <w:p>
      <w:pPr>
        <w:spacing w:after="78" w:afterLines="25" w:line="300" w:lineRule="auto"/>
        <w:outlineLvl w:val="2"/>
        <w:rPr>
          <w:rFonts w:ascii="Arial" w:hAnsi="Arial" w:eastAsia="宋体" w:cs="Times New Roman"/>
          <w:b/>
          <w:color w:val="FF0000"/>
          <w:sz w:val="32"/>
          <w:szCs w:val="32"/>
        </w:rPr>
      </w:pPr>
      <w:r>
        <w:rPr>
          <w:rFonts w:hint="eastAsia" w:ascii="Arial" w:hAnsi="Arial" w:eastAsia="宋体" w:cs="Times New Roman"/>
          <w:b/>
          <w:color w:val="FF0000"/>
          <w:sz w:val="32"/>
          <w:szCs w:val="32"/>
        </w:rPr>
        <w:t>（二）投标文件附件</w:t>
      </w:r>
    </w:p>
    <w:p>
      <w:pPr>
        <w:pStyle w:val="5"/>
        <w:jc w:val="center"/>
        <w:rPr>
          <w:rFonts w:hint="eastAsia" w:ascii="黑体" w:eastAsia="黑体"/>
          <w:b w:val="0"/>
          <w:sz w:val="24"/>
        </w:rPr>
      </w:pPr>
      <w:r>
        <w:rPr>
          <w:rFonts w:hint="eastAsia" w:ascii="黑体" w:eastAsia="黑体"/>
          <w:b w:val="0"/>
          <w:sz w:val="24"/>
        </w:rPr>
        <w:t>一、</w:t>
      </w:r>
      <w:bookmarkStart w:id="40" w:name="_Hlk72092499"/>
      <w:r>
        <w:rPr>
          <w:rFonts w:hint="eastAsia" w:ascii="黑体" w:eastAsia="黑体"/>
          <w:b w:val="0"/>
          <w:sz w:val="24"/>
        </w:rPr>
        <w:t>法定代表人（负责人）证明书</w:t>
      </w:r>
      <w:bookmarkEnd w:id="40"/>
    </w:p>
    <w:p>
      <w:pPr>
        <w:rPr>
          <w:sz w:val="24"/>
        </w:rPr>
      </w:pPr>
    </w:p>
    <w:p>
      <w:pPr>
        <w:spacing w:line="360" w:lineRule="auto"/>
        <w:ind w:firstLine="420" w:firstLineChars="200"/>
        <w:rPr>
          <w:rFonts w:eastAsia="宋体"/>
          <w:szCs w:val="21"/>
        </w:rPr>
      </w:pP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特此证明。</w:t>
      </w:r>
    </w:p>
    <w:p>
      <w:pPr>
        <w:spacing w:line="360" w:lineRule="auto"/>
        <w:ind w:firstLine="420" w:firstLineChars="200"/>
        <w:rPr>
          <w:szCs w:val="21"/>
        </w:rPr>
      </w:pPr>
      <w:r>
        <w:rPr>
          <w:rFonts w:hint="eastAsia"/>
          <w:szCs w:val="21"/>
        </w:rPr>
        <w:t>说明：1、法定代表人为投标人（企业事业单位、国家机关、社会团体）的主要行政负责人。</w:t>
      </w:r>
    </w:p>
    <w:p>
      <w:pPr>
        <w:numPr>
          <w:ilvl w:val="0"/>
          <w:numId w:val="4"/>
        </w:numPr>
        <w:spacing w:line="360" w:lineRule="auto"/>
        <w:ind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pPr>
        <w:numPr>
          <w:ilvl w:val="0"/>
          <w:numId w:val="4"/>
        </w:numPr>
        <w:spacing w:line="360" w:lineRule="auto"/>
        <w:ind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pPr>
        <w:numPr>
          <w:ilvl w:val="0"/>
          <w:numId w:val="4"/>
        </w:numPr>
        <w:spacing w:line="360" w:lineRule="auto"/>
        <w:ind w:firstLine="420" w:firstLineChars="200"/>
        <w:rPr>
          <w:szCs w:val="21"/>
        </w:rPr>
      </w:pPr>
      <w:r>
        <w:rPr>
          <w:rFonts w:hint="eastAsia"/>
          <w:szCs w:val="21"/>
        </w:rPr>
        <w:t>内容必须填写真实、清楚，涂改无效，不得转让、买卖。</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rPr>
              <w:t>证件扫描件正面</w:t>
            </w:r>
          </w:p>
          <w:p>
            <w:pPr>
              <w:pStyle w:val="10"/>
              <w:jc w:val="center"/>
            </w:pPr>
          </w:p>
          <w:p>
            <w:pPr>
              <w:pStyle w:val="14"/>
              <w:jc w:val="center"/>
            </w:pPr>
          </w:p>
        </w:tc>
        <w:tc>
          <w:tcPr>
            <w:tcW w:w="4265" w:type="dxa"/>
          </w:tcPr>
          <w:p>
            <w:pPr>
              <w:jc w:val="center"/>
            </w:pPr>
            <w:r>
              <w:rPr>
                <w:rFonts w:hint="eastAsia"/>
              </w:rPr>
              <w:t>证件扫描件反面</w:t>
            </w:r>
          </w:p>
          <w:p>
            <w:pPr>
              <w:pStyle w:val="10"/>
              <w:jc w:val="center"/>
            </w:pPr>
          </w:p>
          <w:p>
            <w:pPr>
              <w:pStyle w:val="14"/>
              <w:jc w:val="center"/>
            </w:pPr>
          </w:p>
        </w:tc>
      </w:tr>
    </w:tbl>
    <w:p>
      <w:pPr>
        <w:rPr>
          <w:rFonts w:hint="eastAsia"/>
          <w:b/>
          <w:bCs/>
          <w:color w:val="FF0000"/>
          <w:szCs w:val="21"/>
          <w:u w:val="none"/>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rPr>
          <w:rFonts w:hint="eastAsia"/>
          <w:b/>
          <w:bCs/>
          <w:color w:val="FF0000"/>
          <w:szCs w:val="21"/>
          <w:u w:val="none"/>
        </w:rPr>
      </w:pPr>
    </w:p>
    <w:p>
      <w:pPr>
        <w:pStyle w:val="5"/>
        <w:spacing w:before="120" w:after="120"/>
        <w:jc w:val="center"/>
        <w:rPr>
          <w:rFonts w:hint="eastAsia" w:ascii="黑体" w:eastAsia="黑体"/>
          <w:b w:val="0"/>
          <w:sz w:val="24"/>
        </w:rPr>
      </w:pPr>
      <w:r>
        <w:rPr>
          <w:rFonts w:hint="eastAsia" w:ascii="黑体" w:eastAsia="黑体"/>
          <w:b w:val="0"/>
          <w:sz w:val="24"/>
        </w:rPr>
        <w:t>二、投标文件签署授权委托书</w:t>
      </w:r>
    </w:p>
    <w:p>
      <w:pPr>
        <w:spacing w:line="360" w:lineRule="auto"/>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pPr>
        <w:spacing w:line="360" w:lineRule="auto"/>
        <w:ind w:firstLine="420" w:firstLineChars="200"/>
        <w:rPr>
          <w:szCs w:val="21"/>
        </w:rPr>
      </w:pPr>
      <w:r>
        <w:rPr>
          <w:rFonts w:hint="eastAsia"/>
          <w:szCs w:val="21"/>
        </w:rPr>
        <w:t>代理人无转委托权，特此委托。</w:t>
      </w:r>
    </w:p>
    <w:p>
      <w:pPr>
        <w:spacing w:line="360" w:lineRule="auto"/>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pPr>
        <w:spacing w:line="360" w:lineRule="auto"/>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eastAsia="宋体"/>
          <w:szCs w:val="21"/>
        </w:rPr>
        <w:t>；</w:t>
      </w:r>
    </w:p>
    <w:p>
      <w:pPr>
        <w:spacing w:line="360" w:lineRule="auto"/>
        <w:ind w:firstLine="420" w:firstLineChars="200"/>
        <w:rPr>
          <w:rFonts w:eastAsia="宋体"/>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pPr>
        <w:spacing w:line="360" w:lineRule="auto"/>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19"/>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pPr>
              <w:jc w:val="center"/>
            </w:pPr>
            <w:r>
              <w:rPr>
                <w:rFonts w:hint="eastAsia" w:ascii="Times New Roman" w:eastAsia="宋体"/>
              </w:rPr>
              <w:t>证件扫描件正面</w:t>
            </w:r>
          </w:p>
          <w:p>
            <w:pPr>
              <w:pStyle w:val="10"/>
              <w:jc w:val="center"/>
            </w:pPr>
          </w:p>
          <w:p>
            <w:pPr>
              <w:pStyle w:val="14"/>
              <w:jc w:val="center"/>
            </w:pPr>
          </w:p>
        </w:tc>
        <w:tc>
          <w:tcPr>
            <w:tcW w:w="4265" w:type="dxa"/>
          </w:tcPr>
          <w:p>
            <w:pPr>
              <w:jc w:val="center"/>
            </w:pPr>
            <w:r>
              <w:rPr>
                <w:rFonts w:hint="eastAsia" w:ascii="Times New Roman" w:eastAsia="宋体"/>
              </w:rPr>
              <w:t>证件扫描件反面</w:t>
            </w:r>
          </w:p>
          <w:p>
            <w:pPr>
              <w:pStyle w:val="10"/>
              <w:jc w:val="center"/>
            </w:pPr>
          </w:p>
          <w:p>
            <w:pPr>
              <w:pStyle w:val="14"/>
              <w:jc w:val="center"/>
            </w:pPr>
          </w:p>
        </w:tc>
      </w:tr>
    </w:tbl>
    <w:p>
      <w:pPr>
        <w:tabs>
          <w:tab w:val="left" w:pos="651"/>
        </w:tabs>
        <w:snapToGrid w:val="0"/>
        <w:jc w:val="both"/>
        <w:rPr>
          <w:rFonts w:ascii="黑体" w:eastAsia="黑体"/>
          <w:kern w:val="0"/>
          <w:sz w:val="24"/>
          <w:szCs w:val="24"/>
        </w:rPr>
      </w:pPr>
      <w:r>
        <w:rPr>
          <w:rFonts w:hint="eastAsia"/>
          <w:b/>
          <w:bCs/>
          <w:color w:val="FF0000"/>
          <w:szCs w:val="21"/>
          <w:u w:val="none"/>
        </w:rPr>
        <w:t>温馨提示：为避免出现《深圳经济特区政府采购条例实施细则》第七十五条第二项所列情形，请投标供应商核实你单位法定代表人、本项目投标授权代表人、项目负责人（如有）、主要技术人员（如有）等是否在贵公司缴纳社会保险。</w:t>
      </w:r>
    </w:p>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ascii="黑体" w:eastAsia="黑体"/>
          <w:kern w:val="0"/>
          <w:sz w:val="24"/>
          <w:szCs w:val="24"/>
        </w:rPr>
      </w:pPr>
    </w:p>
    <w:p>
      <w:pPr>
        <w:tabs>
          <w:tab w:val="left" w:pos="651"/>
        </w:tabs>
        <w:snapToGrid w:val="0"/>
        <w:jc w:val="center"/>
        <w:rPr>
          <w:rFonts w:hint="eastAsia" w:ascii="宋体" w:hAnsi="宋体" w:eastAsia="宋体" w:cs="Times New Roman"/>
          <w:b/>
          <w:bCs/>
          <w:kern w:val="0"/>
          <w:sz w:val="24"/>
          <w:szCs w:val="20"/>
        </w:rPr>
      </w:pPr>
      <w:r>
        <w:rPr>
          <w:rFonts w:hint="eastAsia" w:ascii="黑体" w:eastAsia="黑体"/>
          <w:kern w:val="0"/>
          <w:sz w:val="24"/>
          <w:szCs w:val="24"/>
        </w:rPr>
        <w:t>三、</w:t>
      </w:r>
      <w:bookmarkStart w:id="41" w:name="_Hlk72092634"/>
      <w:r>
        <w:rPr>
          <w:rFonts w:hint="eastAsia" w:ascii="黑体" w:eastAsia="黑体"/>
          <w:kern w:val="0"/>
          <w:sz w:val="24"/>
          <w:szCs w:val="24"/>
        </w:rPr>
        <w:t>实质性条款响应情况表</w:t>
      </w:r>
      <w:bookmarkEnd w:id="41"/>
    </w:p>
    <w:p>
      <w:pPr>
        <w:snapToGrid w:val="0"/>
        <w:rPr>
          <w:rFonts w:ascii="Arial" w:hAnsi="Arial" w:eastAsia="宋体" w:cs="Arial"/>
          <w:sz w:val="24"/>
          <w:szCs w:val="24"/>
        </w:rPr>
      </w:pPr>
      <w:r>
        <w:rPr>
          <w:rFonts w:hint="eastAsia" w:ascii="Arial" w:hAnsi="Arial" w:eastAsia="宋体" w:cs="Arial"/>
          <w:color w:val="000000"/>
          <w:sz w:val="24"/>
          <w:szCs w:val="24"/>
        </w:rPr>
        <w:t>投标单位（投标人）名称：</w:t>
      </w:r>
      <w:r>
        <w:rPr>
          <w:rFonts w:ascii="Arial" w:hAnsi="Arial" w:eastAsia="宋体" w:cs="Arial"/>
          <w:color w:val="000000"/>
          <w:sz w:val="24"/>
          <w:szCs w:val="24"/>
          <w:u w:val="single"/>
        </w:rPr>
        <w:t xml:space="preserve">                         </w:t>
      </w:r>
    </w:p>
    <w:p>
      <w:pPr>
        <w:snapToGrid w:val="0"/>
        <w:rPr>
          <w:rFonts w:hint="eastAsia" w:cs="Times New Roman" w:asciiTheme="minorEastAsia" w:hAnsiTheme="minorEastAsia"/>
          <w:b/>
          <w:sz w:val="24"/>
          <w:szCs w:val="24"/>
        </w:rPr>
      </w:pPr>
    </w:p>
    <w:tbl>
      <w:tblPr>
        <w:tblStyle w:val="18"/>
        <w:tblW w:w="940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602"/>
        <w:gridCol w:w="3901"/>
        <w:gridCol w:w="2176"/>
        <w:gridCol w:w="1732"/>
        <w:gridCol w:w="992"/>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529" w:hRule="atLeast"/>
          <w:jc w:val="center"/>
        </w:trPr>
        <w:tc>
          <w:tcPr>
            <w:tcW w:w="602" w:type="dxa"/>
            <w:vAlign w:val="center"/>
          </w:tcPr>
          <w:p>
            <w:pPr>
              <w:jc w:val="center"/>
              <w:rPr>
                <w:rFonts w:hint="eastAsia" w:ascii="宋体" w:hAnsi="宋体" w:eastAsia="宋体" w:cs="Arial"/>
                <w:b/>
                <w:szCs w:val="21"/>
              </w:rPr>
            </w:pPr>
            <w:r>
              <w:rPr>
                <w:rFonts w:hint="eastAsia" w:ascii="宋体" w:hAnsi="宋体" w:eastAsia="宋体" w:cs="Arial"/>
                <w:b/>
                <w:szCs w:val="21"/>
              </w:rPr>
              <w:t>序号</w:t>
            </w:r>
          </w:p>
        </w:tc>
        <w:tc>
          <w:tcPr>
            <w:tcW w:w="3901" w:type="dxa"/>
            <w:vAlign w:val="center"/>
          </w:tcPr>
          <w:p>
            <w:pPr>
              <w:jc w:val="center"/>
              <w:rPr>
                <w:rFonts w:hint="eastAsia" w:ascii="宋体" w:hAnsi="宋体" w:eastAsia="宋体" w:cs="Arial"/>
                <w:b/>
                <w:szCs w:val="21"/>
              </w:rPr>
            </w:pPr>
            <w:r>
              <w:rPr>
                <w:rFonts w:hint="eastAsia" w:ascii="宋体" w:hAnsi="宋体" w:eastAsia="宋体" w:cs="Arial"/>
                <w:b/>
                <w:szCs w:val="21"/>
              </w:rPr>
              <w:t>实质性条款具体内容</w:t>
            </w:r>
          </w:p>
        </w:tc>
        <w:tc>
          <w:tcPr>
            <w:tcW w:w="2176" w:type="dxa"/>
            <w:vAlign w:val="center"/>
          </w:tcPr>
          <w:p>
            <w:pPr>
              <w:jc w:val="center"/>
              <w:rPr>
                <w:rFonts w:hint="eastAsia" w:ascii="宋体" w:hAnsi="宋体" w:eastAsia="宋体" w:cs="Arial"/>
                <w:b/>
                <w:szCs w:val="21"/>
              </w:rPr>
            </w:pPr>
            <w:r>
              <w:rPr>
                <w:rFonts w:hint="eastAsia" w:ascii="宋体" w:hAnsi="宋体" w:eastAsia="宋体" w:cs="Arial"/>
                <w:b/>
                <w:szCs w:val="21"/>
              </w:rPr>
              <w:t>投标文件响应</w:t>
            </w:r>
          </w:p>
        </w:tc>
        <w:tc>
          <w:tcPr>
            <w:tcW w:w="1732" w:type="dxa"/>
          </w:tcPr>
          <w:p>
            <w:pPr>
              <w:spacing w:before="156" w:beforeLines="50"/>
              <w:jc w:val="center"/>
              <w:rPr>
                <w:rFonts w:hint="eastAsia" w:ascii="宋体" w:hAnsi="宋体" w:eastAsia="宋体" w:cs="Arial"/>
                <w:b/>
                <w:szCs w:val="21"/>
              </w:rPr>
            </w:pPr>
            <w:r>
              <w:rPr>
                <w:rFonts w:hint="eastAsia" w:ascii="宋体" w:hAnsi="宋体" w:eastAsia="宋体" w:cs="Arial"/>
                <w:b/>
                <w:szCs w:val="21"/>
              </w:rPr>
              <w:t>偏离情况</w:t>
            </w:r>
          </w:p>
        </w:tc>
        <w:tc>
          <w:tcPr>
            <w:tcW w:w="992" w:type="dxa"/>
            <w:vAlign w:val="center"/>
          </w:tcPr>
          <w:p>
            <w:pPr>
              <w:jc w:val="center"/>
              <w:rPr>
                <w:rFonts w:hint="eastAsia" w:ascii="宋体" w:hAnsi="宋体" w:eastAsia="宋体" w:cs="Arial"/>
                <w:b/>
                <w:szCs w:val="21"/>
              </w:rPr>
            </w:pPr>
            <w:r>
              <w:rPr>
                <w:rFonts w:hint="eastAsia" w:ascii="宋体" w:hAnsi="宋体" w:eastAsia="宋体" w:cs="Arial"/>
                <w:b/>
                <w:szCs w:val="21"/>
              </w:rPr>
              <w:t>说明</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trHeight w:val="1060" w:hRule="atLeast"/>
          <w:jc w:val="center"/>
        </w:trPr>
        <w:tc>
          <w:tcPr>
            <w:tcW w:w="602"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1</w:t>
            </w:r>
          </w:p>
        </w:tc>
        <w:tc>
          <w:tcPr>
            <w:tcW w:w="3901" w:type="dxa"/>
            <w:vAlign w:val="center"/>
          </w:tcPr>
          <w:p>
            <w:pPr>
              <w:spacing w:line="300" w:lineRule="auto"/>
              <w:jc w:val="center"/>
              <w:rPr>
                <w:rFonts w:hint="eastAsia" w:ascii="宋体" w:hAnsi="宋体" w:eastAsia="宋体" w:cs="Times New Roman"/>
                <w:b/>
                <w:color w:val="FF0000"/>
                <w:kern w:val="0"/>
                <w:szCs w:val="21"/>
              </w:rPr>
            </w:pPr>
            <w:r>
              <w:rPr>
                <w:rFonts w:hint="eastAsia" w:ascii="宋体" w:hAnsi="宋体" w:eastAsia="宋体" w:cs="Times New Roman"/>
                <w:b/>
                <w:color w:val="FF0000"/>
                <w:kern w:val="0"/>
                <w:szCs w:val="21"/>
              </w:rPr>
              <w:t>本项目招标文件中所有带★号条款内容</w:t>
            </w:r>
          </w:p>
        </w:tc>
        <w:tc>
          <w:tcPr>
            <w:tcW w:w="2176"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完全响应</w:t>
            </w:r>
          </w:p>
        </w:tc>
        <w:tc>
          <w:tcPr>
            <w:tcW w:w="1732" w:type="dxa"/>
            <w:vAlign w:val="center"/>
          </w:tcPr>
          <w:p>
            <w:pPr>
              <w:spacing w:line="300" w:lineRule="auto"/>
              <w:jc w:val="center"/>
              <w:rPr>
                <w:rFonts w:hint="eastAsia" w:ascii="宋体" w:hAnsi="宋体" w:eastAsia="宋体" w:cs="Times New Roman"/>
                <w:b/>
                <w:kern w:val="0"/>
                <w:szCs w:val="21"/>
              </w:rPr>
            </w:pPr>
            <w:r>
              <w:rPr>
                <w:rFonts w:hint="eastAsia" w:ascii="宋体" w:hAnsi="宋体" w:eastAsia="宋体" w:cs="Times New Roman"/>
                <w:b/>
                <w:kern w:val="0"/>
                <w:szCs w:val="21"/>
              </w:rPr>
              <w:t>无偏离</w:t>
            </w:r>
          </w:p>
        </w:tc>
        <w:tc>
          <w:tcPr>
            <w:tcW w:w="992" w:type="dxa"/>
            <w:vAlign w:val="center"/>
          </w:tcPr>
          <w:p>
            <w:pPr>
              <w:spacing w:line="300" w:lineRule="auto"/>
              <w:jc w:val="center"/>
              <w:rPr>
                <w:rFonts w:hint="eastAsia" w:ascii="宋体" w:hAnsi="宋体" w:eastAsia="宋体" w:cs="Times New Roman"/>
                <w:b/>
                <w:color w:val="FF0000"/>
                <w:kern w:val="0"/>
                <w:szCs w:val="21"/>
              </w:rPr>
            </w:pPr>
          </w:p>
        </w:tc>
      </w:tr>
    </w:tbl>
    <w:p>
      <w:pPr>
        <w:snapToGrid w:val="0"/>
        <w:rPr>
          <w:rFonts w:hint="eastAsia" w:cs="Times New Roman" w:asciiTheme="minorEastAsia" w:hAnsiTheme="minorEastAsia"/>
          <w:b/>
          <w:sz w:val="24"/>
          <w:szCs w:val="24"/>
        </w:rPr>
      </w:pPr>
      <w:r>
        <w:rPr>
          <w:rFonts w:hint="eastAsia" w:ascii="宋体" w:hAnsi="宋体" w:eastAsia="宋体" w:cs="Times New Roman"/>
          <w:b/>
          <w:sz w:val="24"/>
          <w:szCs w:val="24"/>
        </w:rPr>
        <w:t>填写说明：</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1、上表所列各项均为不可负偏离条款。</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2、“投标文件响应”一栏应当详细填写投标人自身响应情况，而不能不合理照搬照抄招标文件实质性条款具体内容。</w:t>
      </w:r>
      <w:r>
        <w:rPr>
          <w:rFonts w:hint="eastAsia" w:ascii="宋体" w:hAnsi="宋体" w:cs="宋体"/>
          <w:b/>
          <w:bCs/>
          <w:sz w:val="24"/>
          <w:szCs w:val="24"/>
        </w:rPr>
        <w:t>如完全满足实质性条款具体内容可填写“完全响应”，除招标文件另有注明外，不强制要求逐条列出响应。</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3、“偏离情况”一栏应填写</w:t>
      </w:r>
      <w:r>
        <w:rPr>
          <w:rFonts w:hint="eastAsia" w:ascii="宋体" w:hAnsi="宋体" w:cs="宋体"/>
          <w:sz w:val="24"/>
          <w:szCs w:val="24"/>
        </w:rPr>
        <w:t>“</w:t>
      </w:r>
      <w:r>
        <w:rPr>
          <w:rFonts w:hint="eastAsia" w:ascii="宋体" w:hAnsi="宋体" w:cs="宋体"/>
          <w:b/>
          <w:bCs/>
          <w:sz w:val="24"/>
          <w:szCs w:val="24"/>
        </w:rPr>
        <w:t>正偏离</w:t>
      </w:r>
      <w:r>
        <w:rPr>
          <w:rFonts w:hint="eastAsia" w:ascii="宋体" w:hAnsi="宋体" w:cs="宋体"/>
          <w:sz w:val="24"/>
          <w:szCs w:val="24"/>
        </w:rPr>
        <w:t>”或“</w:t>
      </w:r>
      <w:r>
        <w:rPr>
          <w:rFonts w:hint="eastAsia" w:ascii="宋体" w:hAnsi="宋体" w:cs="宋体"/>
          <w:b/>
          <w:bCs/>
          <w:sz w:val="24"/>
          <w:szCs w:val="24"/>
        </w:rPr>
        <w:t>负偏离</w:t>
      </w:r>
      <w:r>
        <w:rPr>
          <w:rFonts w:hint="eastAsia" w:ascii="宋体" w:hAnsi="宋体" w:cs="宋体"/>
          <w:sz w:val="24"/>
          <w:szCs w:val="24"/>
        </w:rPr>
        <w:t>”或“</w:t>
      </w:r>
      <w:r>
        <w:rPr>
          <w:rFonts w:hint="eastAsia" w:ascii="宋体" w:hAnsi="宋体" w:cs="宋体"/>
          <w:b/>
          <w:bCs/>
          <w:sz w:val="24"/>
          <w:szCs w:val="24"/>
        </w:rPr>
        <w:t>无偏离</w:t>
      </w:r>
      <w:r>
        <w:rPr>
          <w:rFonts w:hint="eastAsia" w:ascii="宋体" w:hAnsi="宋体" w:cs="宋体"/>
          <w:sz w:val="24"/>
          <w:szCs w:val="24"/>
        </w:rPr>
        <w:t>”</w:t>
      </w:r>
      <w:r>
        <w:rPr>
          <w:rFonts w:hint="eastAsia" w:ascii="宋体" w:hAnsi="宋体" w:cs="宋体"/>
          <w:bCs/>
          <w:sz w:val="24"/>
          <w:szCs w:val="24"/>
        </w:rPr>
        <w:t>，“正偏离”表示“投标响应优于实质性条款具体内容要求”，“负偏离”表示“投标响应不满足实质性条款具体内容要求”，“无偏离”表示“投标响应与实质性条款具体内容要求一致”。</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4、评审委员会有权对投标响应情况作出判断。</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5、实质性响应条款“投标响应情况”与投标文件其它内容冲突的，以实质性响应条款“投标响应情况”为准。</w:t>
      </w:r>
    </w:p>
    <w:p>
      <w:pPr>
        <w:spacing w:line="276" w:lineRule="auto"/>
        <w:ind w:firstLine="480" w:firstLineChars="200"/>
        <w:rPr>
          <w:rFonts w:hint="eastAsia" w:ascii="宋体" w:hAnsi="宋体" w:cs="宋体"/>
          <w:bCs/>
          <w:sz w:val="24"/>
          <w:szCs w:val="24"/>
        </w:rPr>
      </w:pPr>
      <w:r>
        <w:rPr>
          <w:rFonts w:hint="eastAsia" w:ascii="宋体" w:hAnsi="宋体" w:cs="宋体"/>
          <w:bCs/>
          <w:sz w:val="24"/>
          <w:szCs w:val="24"/>
        </w:rPr>
        <w:t>6、以上实质性条款中要求提供证明材料，需如实提供证明材料扫描件，在“说明”一栏中列明证明材料的位置，以便评审；未要求提供证明材料的，投标人可以不提供。</w:t>
      </w:r>
    </w:p>
    <w:p>
      <w:pPr>
        <w:rPr>
          <w:rFonts w:hint="eastAsia" w:ascii="宋体" w:hAnsi="宋体" w:eastAsia="宋体" w:cs="Times New Roman"/>
          <w:b/>
          <w:bCs/>
          <w:kern w:val="0"/>
          <w:sz w:val="24"/>
          <w:szCs w:val="20"/>
        </w:rPr>
      </w:pPr>
      <w:r>
        <w:rPr>
          <w:rFonts w:hint="eastAsia" w:ascii="宋体" w:hAnsi="宋体" w:eastAsia="宋体" w:cs="Times New Roman"/>
          <w:b/>
          <w:bCs/>
          <w:kern w:val="0"/>
          <w:sz w:val="24"/>
          <w:szCs w:val="20"/>
        </w:rPr>
        <w:br w:type="page"/>
      </w:r>
    </w:p>
    <w:p>
      <w:pPr>
        <w:pStyle w:val="5"/>
        <w:jc w:val="center"/>
        <w:rPr>
          <w:rFonts w:hint="eastAsia"/>
          <w:sz w:val="24"/>
        </w:rPr>
      </w:pPr>
      <w:r>
        <w:rPr>
          <w:rFonts w:hint="eastAsia" w:ascii="黑体" w:eastAsia="黑体"/>
          <w:b w:val="0"/>
          <w:bCs w:val="0"/>
          <w:sz w:val="24"/>
          <w:szCs w:val="20"/>
        </w:rPr>
        <w:t>四、商务要求偏离表</w:t>
      </w:r>
    </w:p>
    <w:tbl>
      <w:tblPr>
        <w:tblStyle w:val="18"/>
        <w:tblW w:w="9091" w:type="dxa"/>
        <w:tblInd w:w="-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408"/>
        <w:gridCol w:w="4918"/>
        <w:gridCol w:w="973"/>
        <w:gridCol w:w="642"/>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610" w:type="dxa"/>
            <w:vAlign w:val="center"/>
          </w:tcPr>
          <w:p>
            <w:pPr>
              <w:jc w:val="center"/>
              <w:rPr>
                <w:b/>
              </w:rPr>
            </w:pPr>
            <w:r>
              <w:rPr>
                <w:rFonts w:hint="eastAsia"/>
                <w:sz w:val="24"/>
              </w:rPr>
              <w:t>序号</w:t>
            </w:r>
          </w:p>
        </w:tc>
        <w:tc>
          <w:tcPr>
            <w:tcW w:w="1408" w:type="dxa"/>
            <w:vAlign w:val="center"/>
          </w:tcPr>
          <w:p>
            <w:pPr>
              <w:jc w:val="center"/>
              <w:rPr>
                <w:b/>
              </w:rPr>
            </w:pPr>
            <w:r>
              <w:rPr>
                <w:rFonts w:hint="eastAsia"/>
                <w:b/>
              </w:rPr>
              <w:t>商务需求项</w:t>
            </w:r>
          </w:p>
        </w:tc>
        <w:tc>
          <w:tcPr>
            <w:tcW w:w="4918" w:type="dxa"/>
            <w:vAlign w:val="center"/>
          </w:tcPr>
          <w:p>
            <w:pPr>
              <w:jc w:val="center"/>
              <w:rPr>
                <w:b/>
              </w:rPr>
            </w:pPr>
            <w:r>
              <w:rPr>
                <w:rFonts w:hint="eastAsia"/>
                <w:sz w:val="24"/>
              </w:rPr>
              <w:t>招标商务要求</w:t>
            </w:r>
          </w:p>
        </w:tc>
        <w:tc>
          <w:tcPr>
            <w:tcW w:w="973" w:type="dxa"/>
            <w:vAlign w:val="center"/>
          </w:tcPr>
          <w:p>
            <w:pPr>
              <w:jc w:val="center"/>
              <w:rPr>
                <w:b/>
              </w:rPr>
            </w:pPr>
            <w:r>
              <w:rPr>
                <w:rFonts w:hint="eastAsia"/>
                <w:sz w:val="24"/>
              </w:rPr>
              <w:t>投标商务响应</w:t>
            </w:r>
          </w:p>
        </w:tc>
        <w:tc>
          <w:tcPr>
            <w:tcW w:w="642" w:type="dxa"/>
            <w:vAlign w:val="center"/>
          </w:tcPr>
          <w:p>
            <w:pPr>
              <w:jc w:val="center"/>
              <w:rPr>
                <w:b/>
              </w:rPr>
            </w:pPr>
            <w:r>
              <w:rPr>
                <w:rFonts w:hint="eastAsia"/>
              </w:rPr>
              <w:t>偏离情况</w:t>
            </w:r>
          </w:p>
        </w:tc>
        <w:tc>
          <w:tcPr>
            <w:tcW w:w="540" w:type="dxa"/>
            <w:vAlign w:val="center"/>
          </w:tcPr>
          <w:p>
            <w:pPr>
              <w:jc w:val="center"/>
              <w:rPr>
                <w:b/>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9091" w:type="dxa"/>
            <w:gridSpan w:val="6"/>
          </w:tcPr>
          <w:p>
            <w:pPr>
              <w:rPr>
                <w:b/>
              </w:rPr>
            </w:pPr>
            <w:r>
              <w:rPr>
                <w:rFonts w:hint="eastAsia"/>
                <w:b/>
              </w:rPr>
              <w:t>（一）免费保修期内售后服务要求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jc w:val="center"/>
              <w:rPr>
                <w:bCs/>
              </w:rPr>
            </w:pPr>
            <w:r>
              <w:rPr>
                <w:rFonts w:hint="eastAsia"/>
                <w:bCs/>
              </w:rPr>
              <w:t>1</w:t>
            </w:r>
          </w:p>
        </w:tc>
        <w:tc>
          <w:tcPr>
            <w:tcW w:w="1408" w:type="dxa"/>
          </w:tcPr>
          <w:p>
            <w:pPr>
              <w:jc w:val="center"/>
            </w:pPr>
            <w:r>
              <w:rPr>
                <w:rFonts w:hint="eastAsia"/>
              </w:rPr>
              <w:t>*</w:t>
            </w:r>
            <w:r>
              <w:t>***</w:t>
            </w:r>
          </w:p>
        </w:tc>
        <w:tc>
          <w:tcPr>
            <w:tcW w:w="4918" w:type="dxa"/>
          </w:tcPr>
          <w:p>
            <w:pPr>
              <w:jc w:val="center"/>
              <w:rPr>
                <w:b/>
              </w:rPr>
            </w:pPr>
            <w:r>
              <w:rPr>
                <w:rFonts w:hint="eastAsia"/>
                <w:bCs/>
                <w:szCs w:val="21"/>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vAlign w:val="center"/>
          </w:tcPr>
          <w:p>
            <w:pPr>
              <w:jc w:val="center"/>
              <w:rPr>
                <w:bCs/>
              </w:rPr>
            </w:pPr>
            <w:r>
              <w:rPr>
                <w:bCs/>
              </w:rPr>
              <w:t>2</w:t>
            </w:r>
          </w:p>
        </w:tc>
        <w:tc>
          <w:tcPr>
            <w:tcW w:w="1408" w:type="dxa"/>
          </w:tcPr>
          <w:p>
            <w:pPr>
              <w:jc w:val="center"/>
            </w:pPr>
            <w:r>
              <w:rPr>
                <w:rFonts w:hint="eastAsia"/>
              </w:rPr>
              <w:t>****</w:t>
            </w:r>
          </w:p>
        </w:tc>
        <w:tc>
          <w:tcPr>
            <w:tcW w:w="4918" w:type="dxa"/>
          </w:tcPr>
          <w:p>
            <w:pPr>
              <w:jc w:val="center"/>
              <w:rPr>
                <w:bCs/>
                <w:szCs w:val="21"/>
              </w:rPr>
            </w:pPr>
            <w:r>
              <w:rPr>
                <w:rFonts w:hint="eastAsia"/>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vAlign w:val="center"/>
          </w:tcPr>
          <w:p>
            <w:pPr>
              <w:rPr>
                <w:bCs/>
                <w:szCs w:val="21"/>
              </w:rPr>
            </w:pPr>
            <w:r>
              <w:rPr>
                <w:rFonts w:hint="eastAsia"/>
                <w:b/>
              </w:rPr>
              <w:t>（二）免费保修期外售后服务要求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jc w:val="center"/>
              <w:rPr>
                <w:bCs/>
              </w:rPr>
            </w:pPr>
            <w:r>
              <w:rPr>
                <w:rFonts w:hint="eastAsia"/>
              </w:rPr>
              <w:t>1</w:t>
            </w:r>
          </w:p>
        </w:tc>
        <w:tc>
          <w:tcPr>
            <w:tcW w:w="1408" w:type="dxa"/>
          </w:tcPr>
          <w:p>
            <w:pPr>
              <w:jc w:val="center"/>
            </w:pPr>
            <w:r>
              <w:rPr>
                <w:rFonts w:hint="eastAsia"/>
              </w:rPr>
              <w:t>****</w:t>
            </w:r>
          </w:p>
        </w:tc>
        <w:tc>
          <w:tcPr>
            <w:tcW w:w="4918" w:type="dxa"/>
          </w:tcPr>
          <w:p>
            <w:pPr>
              <w:jc w:val="center"/>
            </w:pPr>
            <w:r>
              <w:rPr>
                <w:rFonts w:hint="eastAsia"/>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9091" w:type="dxa"/>
            <w:gridSpan w:val="6"/>
          </w:tcPr>
          <w:p>
            <w:pPr>
              <w:rPr>
                <w:bCs/>
                <w:szCs w:val="21"/>
              </w:rPr>
            </w:pPr>
            <w:r>
              <w:rPr>
                <w:rFonts w:hint="eastAsia"/>
                <w:b/>
              </w:rPr>
              <w:t>（三）其他商务要求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610" w:type="dxa"/>
          </w:tcPr>
          <w:p>
            <w:pPr>
              <w:jc w:val="center"/>
            </w:pPr>
            <w:r>
              <w:rPr>
                <w:rFonts w:hint="eastAsia"/>
              </w:rPr>
              <w:t>1</w:t>
            </w:r>
          </w:p>
        </w:tc>
        <w:tc>
          <w:tcPr>
            <w:tcW w:w="1408" w:type="dxa"/>
          </w:tcPr>
          <w:p>
            <w:pPr>
              <w:jc w:val="center"/>
            </w:pPr>
            <w:r>
              <w:rPr>
                <w:rFonts w:hint="eastAsia"/>
              </w:rPr>
              <w:t>****</w:t>
            </w:r>
          </w:p>
        </w:tc>
        <w:tc>
          <w:tcPr>
            <w:tcW w:w="4918" w:type="dxa"/>
          </w:tcPr>
          <w:p>
            <w:pPr>
              <w:jc w:val="center"/>
            </w:pPr>
            <w:r>
              <w:rPr>
                <w:rFonts w:hint="eastAsia"/>
              </w:rPr>
              <w:t>（填写相关内容）</w:t>
            </w:r>
          </w:p>
        </w:tc>
        <w:tc>
          <w:tcPr>
            <w:tcW w:w="973" w:type="dxa"/>
          </w:tcPr>
          <w:p>
            <w:pPr>
              <w:rPr>
                <w:bCs/>
                <w:szCs w:val="21"/>
              </w:rPr>
            </w:pPr>
          </w:p>
        </w:tc>
        <w:tc>
          <w:tcPr>
            <w:tcW w:w="642" w:type="dxa"/>
          </w:tcPr>
          <w:p>
            <w:pPr>
              <w:rPr>
                <w:bCs/>
                <w:szCs w:val="21"/>
              </w:rPr>
            </w:pPr>
          </w:p>
        </w:tc>
        <w:tc>
          <w:tcPr>
            <w:tcW w:w="540" w:type="dxa"/>
          </w:tcPr>
          <w:p>
            <w:pPr>
              <w:rPr>
                <w:bCs/>
                <w:szCs w:val="21"/>
              </w:rPr>
            </w:pPr>
          </w:p>
        </w:tc>
      </w:tr>
    </w:tbl>
    <w:p>
      <w:pPr>
        <w:ind w:firstLine="420" w:firstLineChars="200"/>
        <w:rPr>
          <w:bCs/>
          <w:szCs w:val="21"/>
        </w:rPr>
      </w:pPr>
      <w:r>
        <w:rPr>
          <w:rFonts w:hint="eastAsia"/>
          <w:bCs/>
          <w:szCs w:val="21"/>
        </w:rPr>
        <w:t>《商务要求偏离表》编制指引：</w:t>
      </w:r>
    </w:p>
    <w:p>
      <w:pPr>
        <w:ind w:firstLine="420" w:firstLineChars="200"/>
        <w:rPr>
          <w:bCs/>
          <w:szCs w:val="21"/>
        </w:rPr>
      </w:pPr>
      <w:r>
        <w:rPr>
          <w:rFonts w:hint="eastAsia"/>
          <w:bCs/>
          <w:szCs w:val="21"/>
        </w:rPr>
        <w:t>1、商务要求偏离表的序号、商务需求项、招标商务要求等栏目对应“用户需求书”中的“商务要求”章节相关内容。</w:t>
      </w:r>
    </w:p>
    <w:p>
      <w:pPr>
        <w:ind w:firstLine="420" w:firstLineChars="200"/>
        <w:rPr>
          <w:bCs/>
          <w:szCs w:val="21"/>
        </w:rPr>
      </w:pPr>
      <w:r>
        <w:rPr>
          <w:bCs/>
          <w:szCs w:val="21"/>
        </w:rPr>
        <w:t>2</w:t>
      </w:r>
      <w:r>
        <w:rPr>
          <w:rFonts w:hint="eastAsia"/>
          <w:bCs/>
          <w:szCs w:val="21"/>
        </w:rPr>
        <w:t>、“投标商务响应”一栏必须一一对照“招标商务要求”，详细填写自身响应情况，而不能不合理照搬照抄招标文件的商务要求，以体现具体响应情况。</w:t>
      </w:r>
    </w:p>
    <w:p>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招标商务要求”，“负偏离”表示“投标响应不满足招标商务要求”，“无偏离”表示“投标响应与招标商务要求一致”。</w:t>
      </w:r>
    </w:p>
    <w:p>
      <w:pPr>
        <w:rPr>
          <w:bCs/>
          <w:szCs w:val="21"/>
        </w:rPr>
      </w:pPr>
      <w:r>
        <w:rPr>
          <w:rFonts w:hint="eastAsia"/>
          <w:bCs/>
          <w:szCs w:val="21"/>
        </w:rPr>
        <w:t>“投标商务响应”对比“招标商务要求”存在响应不全（包括未响应整项招标商务要求或者未响应一项招标商务要求的部分内容），均视为“负偏离”。</w:t>
      </w:r>
    </w:p>
    <w:p>
      <w:pPr>
        <w:ind w:firstLine="420" w:firstLineChars="200"/>
        <w:rPr>
          <w:bCs/>
          <w:szCs w:val="21"/>
        </w:rPr>
      </w:pPr>
      <w:r>
        <w:rPr>
          <w:rFonts w:hint="eastAsia"/>
          <w:bCs/>
          <w:szCs w:val="21"/>
        </w:rPr>
        <w:t>4、带★号条款为不可偏离条款，如未响应或出现负偏离的，将作投标无效处理。</w:t>
      </w:r>
    </w:p>
    <w:p>
      <w:pPr>
        <w:widowControl/>
        <w:jc w:val="left"/>
        <w:rPr>
          <w:rFonts w:hint="eastAsia" w:ascii="宋体" w:hAnsi="宋体" w:eastAsia="宋体" w:cs="Times New Roman"/>
          <w:color w:val="FF0000"/>
          <w:sz w:val="32"/>
          <w:szCs w:val="32"/>
        </w:rPr>
      </w:pPr>
      <w:r>
        <w:rPr>
          <w:rFonts w:ascii="宋体" w:hAnsi="宋体" w:eastAsia="宋体" w:cs="Times New Roman"/>
          <w:color w:val="FF0000"/>
          <w:sz w:val="32"/>
          <w:szCs w:val="32"/>
        </w:rPr>
        <w:br w:type="page"/>
      </w:r>
    </w:p>
    <w:p>
      <w:pPr>
        <w:pStyle w:val="5"/>
        <w:jc w:val="center"/>
        <w:rPr>
          <w:rFonts w:hint="eastAsia"/>
          <w:sz w:val="24"/>
        </w:rPr>
      </w:pPr>
      <w:r>
        <w:rPr>
          <w:rFonts w:hint="eastAsia" w:ascii="黑体" w:eastAsia="黑体"/>
          <w:b w:val="0"/>
          <w:sz w:val="24"/>
          <w:szCs w:val="24"/>
        </w:rPr>
        <w:t>五、技术要求偏离表</w:t>
      </w:r>
    </w:p>
    <w:tbl>
      <w:tblPr>
        <w:tblStyle w:val="18"/>
        <w:tblW w:w="8754" w:type="dxa"/>
        <w:tblInd w:w="-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
        <w:gridCol w:w="772"/>
        <w:gridCol w:w="3795"/>
        <w:gridCol w:w="2623"/>
        <w:gridCol w:w="710"/>
        <w:gridCol w:w="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4" w:type="dxa"/>
            <w:vAlign w:val="center"/>
          </w:tcPr>
          <w:p>
            <w:pPr>
              <w:jc w:val="center"/>
              <w:rPr>
                <w:color w:val="000000" w:themeColor="text1"/>
                <w:szCs w:val="21"/>
                <w14:textFill>
                  <w14:solidFill>
                    <w14:schemeClr w14:val="tx1"/>
                  </w14:solidFill>
                </w14:textFill>
              </w:rPr>
            </w:pPr>
            <w:r>
              <w:rPr>
                <w:rFonts w:hint="eastAsia"/>
                <w:sz w:val="24"/>
              </w:rPr>
              <w:t>序号</w:t>
            </w:r>
          </w:p>
        </w:tc>
        <w:tc>
          <w:tcPr>
            <w:tcW w:w="772" w:type="dxa"/>
            <w:vAlign w:val="center"/>
          </w:tcPr>
          <w:p>
            <w:pPr>
              <w:jc w:val="center"/>
              <w:rPr>
                <w:color w:val="000000" w:themeColor="text1"/>
                <w:szCs w:val="21"/>
                <w14:textFill>
                  <w14:solidFill>
                    <w14:schemeClr w14:val="tx1"/>
                  </w14:solidFill>
                </w14:textFill>
              </w:rPr>
            </w:pPr>
            <w:r>
              <w:rPr>
                <w:rFonts w:hint="eastAsia"/>
                <w:sz w:val="24"/>
              </w:rPr>
              <w:t>货物名称</w:t>
            </w:r>
          </w:p>
        </w:tc>
        <w:tc>
          <w:tcPr>
            <w:tcW w:w="3795" w:type="dxa"/>
            <w:vAlign w:val="center"/>
          </w:tcPr>
          <w:p>
            <w:pPr>
              <w:jc w:val="center"/>
              <w:rPr>
                <w:color w:val="000000" w:themeColor="text1"/>
                <w:szCs w:val="21"/>
                <w14:textFill>
                  <w14:solidFill>
                    <w14:schemeClr w14:val="tx1"/>
                  </w14:solidFill>
                </w14:textFill>
              </w:rPr>
            </w:pPr>
            <w:r>
              <w:rPr>
                <w:rFonts w:hint="eastAsia"/>
                <w:sz w:val="24"/>
              </w:rPr>
              <w:t>招标技术要求</w:t>
            </w:r>
          </w:p>
        </w:tc>
        <w:tc>
          <w:tcPr>
            <w:tcW w:w="2623" w:type="dxa"/>
            <w:vAlign w:val="center"/>
          </w:tcPr>
          <w:p>
            <w:pPr>
              <w:jc w:val="center"/>
              <w:rPr>
                <w:color w:val="000000" w:themeColor="text1"/>
                <w:szCs w:val="21"/>
                <w14:textFill>
                  <w14:solidFill>
                    <w14:schemeClr w14:val="tx1"/>
                  </w14:solidFill>
                </w14:textFill>
              </w:rPr>
            </w:pPr>
            <w:r>
              <w:rPr>
                <w:rFonts w:hint="eastAsia"/>
                <w:sz w:val="24"/>
              </w:rPr>
              <w:t>投标技术响应</w:t>
            </w:r>
          </w:p>
        </w:tc>
        <w:tc>
          <w:tcPr>
            <w:tcW w:w="710" w:type="dxa"/>
            <w:vAlign w:val="center"/>
          </w:tcPr>
          <w:p>
            <w:pPr>
              <w:jc w:val="center"/>
              <w:rPr>
                <w:color w:val="000000" w:themeColor="text1"/>
                <w:szCs w:val="21"/>
                <w14:textFill>
                  <w14:solidFill>
                    <w14:schemeClr w14:val="tx1"/>
                  </w14:solidFill>
                </w14:textFill>
              </w:rPr>
            </w:pPr>
            <w:r>
              <w:rPr>
                <w:rFonts w:hint="eastAsia"/>
                <w:sz w:val="24"/>
              </w:rPr>
              <w:t>偏离情况</w:t>
            </w:r>
          </w:p>
        </w:tc>
        <w:tc>
          <w:tcPr>
            <w:tcW w:w="390" w:type="dxa"/>
            <w:vAlign w:val="center"/>
          </w:tcPr>
          <w:p>
            <w:pPr>
              <w:jc w:val="center"/>
              <w:rPr>
                <w:color w:val="000000" w:themeColor="text1"/>
                <w:szCs w:val="21"/>
                <w14:textFill>
                  <w14:solidFill>
                    <w14:schemeClr w14:val="tx1"/>
                  </w14:solidFill>
                </w14:textFill>
              </w:rPr>
            </w:pPr>
            <w:r>
              <w:rPr>
                <w:rFonts w:hint="eastAsia"/>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restart"/>
            <w:vAlign w:val="center"/>
          </w:tcPr>
          <w:p>
            <w:pPr>
              <w:jc w:val="center"/>
              <w:rPr>
                <w:color w:val="000000" w:themeColor="text1"/>
                <w:szCs w:val="21"/>
                <w14:textFill>
                  <w14:solidFill>
                    <w14:schemeClr w14:val="tx1"/>
                  </w14:solidFill>
                </w14:textFill>
              </w:rPr>
            </w:pPr>
            <w:r>
              <w:rPr>
                <w:color w:val="000000" w:themeColor="text1"/>
                <w:szCs w:val="21"/>
                <w14:textFill>
                  <w14:solidFill>
                    <w14:schemeClr w14:val="tx1"/>
                  </w14:solidFill>
                </w14:textFill>
              </w:rPr>
              <w:t>1</w:t>
            </w:r>
          </w:p>
        </w:tc>
        <w:tc>
          <w:tcPr>
            <w:tcW w:w="77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rStyle w:val="21"/>
                <w:b w:val="0"/>
                <w:bCs w:val="0"/>
                <w:color w:val="000000" w:themeColor="text1"/>
                <w:szCs w:val="21"/>
                <w14:textFill>
                  <w14:solidFill>
                    <w14:schemeClr w14:val="tx1"/>
                  </w14:solidFill>
                </w14:textFill>
              </w:rPr>
            </w:pPr>
          </w:p>
        </w:tc>
        <w:tc>
          <w:tcPr>
            <w:tcW w:w="710" w:type="dxa"/>
          </w:tcPr>
          <w:p>
            <w:pPr>
              <w:rPr>
                <w:rStyle w:val="21"/>
                <w:b w:val="0"/>
                <w:bCs w:val="0"/>
                <w:color w:val="000000" w:themeColor="text1"/>
                <w:szCs w:val="21"/>
                <w14:textFill>
                  <w14:solidFill>
                    <w14:schemeClr w14:val="tx1"/>
                  </w14:solidFill>
                </w14:textFill>
              </w:rPr>
            </w:pPr>
          </w:p>
        </w:tc>
        <w:tc>
          <w:tcPr>
            <w:tcW w:w="390" w:type="dxa"/>
          </w:tcPr>
          <w:p>
            <w:pPr>
              <w:rPr>
                <w:rStyle w:val="21"/>
                <w:b w:val="0"/>
                <w:bCs w:val="0"/>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b/>
                <w:bCs/>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b/>
                <w:bCs/>
                <w:color w:val="FF0000"/>
                <w:szCs w:val="21"/>
              </w:rPr>
            </w:pPr>
          </w:p>
        </w:tc>
        <w:tc>
          <w:tcPr>
            <w:tcW w:w="710" w:type="dxa"/>
          </w:tcPr>
          <w:p>
            <w:pPr>
              <w:rPr>
                <w:b/>
                <w:bCs/>
                <w:color w:val="FF0000"/>
                <w:szCs w:val="21"/>
              </w:rPr>
            </w:pPr>
          </w:p>
        </w:tc>
        <w:tc>
          <w:tcPr>
            <w:tcW w:w="390" w:type="dxa"/>
          </w:tcPr>
          <w:p>
            <w:pP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vAlign w:val="center"/>
          </w:tcPr>
          <w:p>
            <w:pPr>
              <w:jc w:val="center"/>
              <w:rPr>
                <w:color w:val="000000" w:themeColor="text1"/>
                <w:szCs w:val="21"/>
                <w14:textFill>
                  <w14:solidFill>
                    <w14:schemeClr w14:val="tx1"/>
                  </w14:solidFill>
                </w14:textFill>
              </w:rPr>
            </w:pPr>
          </w:p>
        </w:tc>
        <w:tc>
          <w:tcPr>
            <w:tcW w:w="772" w:type="dxa"/>
            <w:vMerge w:val="continue"/>
            <w:vAlign w:val="center"/>
          </w:tcPr>
          <w:p>
            <w:pPr>
              <w:jc w:val="cente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trPr>
        <w:tc>
          <w:tcPr>
            <w:tcW w:w="464"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p>
        </w:tc>
        <w:tc>
          <w:tcPr>
            <w:tcW w:w="772" w:type="dxa"/>
            <w:vMerge w:val="restart"/>
            <w:vAlign w:val="center"/>
          </w:tcPr>
          <w:p>
            <w:pPr>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设备</w:t>
            </w:r>
          </w:p>
        </w:tc>
        <w:tc>
          <w:tcPr>
            <w:tcW w:w="3795" w:type="dxa"/>
          </w:tcPr>
          <w:p>
            <w:pPr>
              <w:jc w:val="center"/>
              <w:rPr>
                <w:b/>
                <w:bCs/>
                <w:color w:val="000000" w:themeColor="text1"/>
                <w:szCs w:val="21"/>
                <w14:textFill>
                  <w14:solidFill>
                    <w14:schemeClr w14:val="tx1"/>
                  </w14:solidFill>
                </w14:textFill>
              </w:rPr>
            </w:pPr>
            <w:r>
              <w:rPr>
                <w:rFonts w:hint="eastAsia"/>
              </w:rPr>
              <w:t>（填写相关内容）</w:t>
            </w:r>
          </w:p>
        </w:tc>
        <w:tc>
          <w:tcPr>
            <w:tcW w:w="2623" w:type="dxa"/>
          </w:tcPr>
          <w:p>
            <w:pPr>
              <w:rPr>
                <w:b/>
                <w:bCs/>
                <w:color w:val="FF0000"/>
                <w:szCs w:val="21"/>
              </w:rPr>
            </w:pPr>
          </w:p>
        </w:tc>
        <w:tc>
          <w:tcPr>
            <w:tcW w:w="710" w:type="dxa"/>
          </w:tcPr>
          <w:p>
            <w:pPr>
              <w:rPr>
                <w:b/>
                <w:bCs/>
                <w:color w:val="FF0000"/>
                <w:szCs w:val="21"/>
              </w:rPr>
            </w:pPr>
          </w:p>
        </w:tc>
        <w:tc>
          <w:tcPr>
            <w:tcW w:w="390" w:type="dxa"/>
          </w:tcPr>
          <w:p>
            <w:pPr>
              <w:rPr>
                <w:b/>
                <w:bCs/>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trPr>
        <w:tc>
          <w:tcPr>
            <w:tcW w:w="464" w:type="dxa"/>
            <w:vMerge w:val="continue"/>
          </w:tcPr>
          <w:p>
            <w:pPr>
              <w:jc w:val="center"/>
              <w:rPr>
                <w:color w:val="000000" w:themeColor="text1"/>
                <w:szCs w:val="21"/>
                <w14:textFill>
                  <w14:solidFill>
                    <w14:schemeClr w14:val="tx1"/>
                  </w14:solidFill>
                </w14:textFill>
              </w:rPr>
            </w:pPr>
          </w:p>
        </w:tc>
        <w:tc>
          <w:tcPr>
            <w:tcW w:w="772" w:type="dxa"/>
            <w:vMerge w:val="continue"/>
          </w:tcPr>
          <w:p>
            <w:pP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 w:hRule="atLeast"/>
        </w:trPr>
        <w:tc>
          <w:tcPr>
            <w:tcW w:w="464" w:type="dxa"/>
            <w:vMerge w:val="continue"/>
          </w:tcPr>
          <w:p>
            <w:pPr>
              <w:jc w:val="center"/>
              <w:rPr>
                <w:color w:val="000000" w:themeColor="text1"/>
                <w:szCs w:val="21"/>
                <w14:textFill>
                  <w14:solidFill>
                    <w14:schemeClr w14:val="tx1"/>
                  </w14:solidFill>
                </w14:textFill>
              </w:rPr>
            </w:pPr>
          </w:p>
        </w:tc>
        <w:tc>
          <w:tcPr>
            <w:tcW w:w="772" w:type="dxa"/>
            <w:vMerge w:val="continue"/>
          </w:tcPr>
          <w:p>
            <w:pP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rPr>
              <w:t>（填写相关内容）</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64" w:type="dxa"/>
            <w:vMerge w:val="continue"/>
          </w:tcPr>
          <w:p>
            <w:pPr>
              <w:jc w:val="center"/>
              <w:rPr>
                <w:color w:val="000000" w:themeColor="text1"/>
                <w:szCs w:val="21"/>
                <w14:textFill>
                  <w14:solidFill>
                    <w14:schemeClr w14:val="tx1"/>
                  </w14:solidFill>
                </w14:textFill>
              </w:rPr>
            </w:pPr>
          </w:p>
        </w:tc>
        <w:tc>
          <w:tcPr>
            <w:tcW w:w="772" w:type="dxa"/>
            <w:vMerge w:val="continue"/>
          </w:tcPr>
          <w:p>
            <w:pPr>
              <w:rPr>
                <w:color w:val="000000" w:themeColor="text1"/>
                <w:szCs w:val="21"/>
                <w14:textFill>
                  <w14:solidFill>
                    <w14:schemeClr w14:val="tx1"/>
                  </w14:solidFill>
                </w14:textFill>
              </w:rPr>
            </w:pPr>
          </w:p>
        </w:tc>
        <w:tc>
          <w:tcPr>
            <w:tcW w:w="3795" w:type="dxa"/>
          </w:tcPr>
          <w:p>
            <w:pPr>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2623" w:type="dxa"/>
          </w:tcPr>
          <w:p>
            <w:pPr>
              <w:rPr>
                <w:color w:val="000000" w:themeColor="text1"/>
                <w:szCs w:val="21"/>
                <w14:textFill>
                  <w14:solidFill>
                    <w14:schemeClr w14:val="tx1"/>
                  </w14:solidFill>
                </w14:textFill>
              </w:rPr>
            </w:pPr>
          </w:p>
        </w:tc>
        <w:tc>
          <w:tcPr>
            <w:tcW w:w="710" w:type="dxa"/>
          </w:tcPr>
          <w:p>
            <w:pPr>
              <w:rPr>
                <w:color w:val="000000" w:themeColor="text1"/>
                <w:szCs w:val="21"/>
                <w14:textFill>
                  <w14:solidFill>
                    <w14:schemeClr w14:val="tx1"/>
                  </w14:solidFill>
                </w14:textFill>
              </w:rPr>
            </w:pPr>
          </w:p>
        </w:tc>
        <w:tc>
          <w:tcPr>
            <w:tcW w:w="390" w:type="dxa"/>
          </w:tcPr>
          <w:p>
            <w:pPr>
              <w:rPr>
                <w:color w:val="000000" w:themeColor="text1"/>
                <w:szCs w:val="21"/>
                <w14:textFill>
                  <w14:solidFill>
                    <w14:schemeClr w14:val="tx1"/>
                  </w14:solidFill>
                </w14:textFill>
              </w:rPr>
            </w:pPr>
          </w:p>
        </w:tc>
      </w:tr>
    </w:tbl>
    <w:p>
      <w:pPr>
        <w:rPr>
          <w:sz w:val="24"/>
        </w:rPr>
      </w:pPr>
    </w:p>
    <w:p>
      <w:pPr>
        <w:rPr>
          <w:szCs w:val="21"/>
        </w:rPr>
      </w:pPr>
      <w:bookmarkStart w:id="42" w:name="_Hlk72095977"/>
      <w:r>
        <w:rPr>
          <w:rFonts w:hint="eastAsia"/>
          <w:szCs w:val="21"/>
        </w:rPr>
        <w:t>证明资料【如有的话，提供的证明资料应统一编号（排序），格式自定】</w:t>
      </w:r>
      <w:bookmarkEnd w:id="42"/>
      <w:r>
        <w:rPr>
          <w:rFonts w:hint="eastAsia"/>
          <w:szCs w:val="21"/>
        </w:rPr>
        <w:t>：</w:t>
      </w:r>
    </w:p>
    <w:p>
      <w:pPr>
        <w:rPr>
          <w:b/>
          <w:szCs w:val="21"/>
        </w:rPr>
      </w:pPr>
    </w:p>
    <w:p>
      <w:pPr>
        <w:ind w:firstLine="420" w:firstLineChars="200"/>
        <w:rPr>
          <w:bCs/>
          <w:szCs w:val="21"/>
        </w:rPr>
      </w:pPr>
      <w:r>
        <w:rPr>
          <w:rFonts w:hint="eastAsia"/>
          <w:bCs/>
          <w:szCs w:val="21"/>
        </w:rPr>
        <w:t>《技术要求偏离表》编制指引：</w:t>
      </w:r>
    </w:p>
    <w:p>
      <w:pPr>
        <w:ind w:firstLine="420" w:firstLineChars="200"/>
        <w:rPr>
          <w:bCs/>
          <w:szCs w:val="21"/>
        </w:rPr>
      </w:pPr>
      <w:r>
        <w:rPr>
          <w:rFonts w:hint="eastAsia"/>
          <w:bCs/>
          <w:szCs w:val="21"/>
        </w:rPr>
        <w:t>1、技术要求偏离表的序号、货物名称、招标技术要求等栏目</w:t>
      </w:r>
      <w:bookmarkStart w:id="43" w:name="_Hlk72094407"/>
      <w:r>
        <w:rPr>
          <w:rFonts w:hint="eastAsia"/>
          <w:bCs/>
          <w:szCs w:val="21"/>
        </w:rPr>
        <w:t>对应“用户需求书”中的“技术要求”章节</w:t>
      </w:r>
      <w:bookmarkEnd w:id="43"/>
      <w:r>
        <w:rPr>
          <w:rFonts w:hint="eastAsia"/>
          <w:bCs/>
          <w:szCs w:val="21"/>
        </w:rPr>
        <w:t>相关内容。</w:t>
      </w:r>
    </w:p>
    <w:p>
      <w:pPr>
        <w:pStyle w:val="15"/>
        <w:spacing w:beforeAutospacing="0" w:afterAutospacing="0"/>
        <w:ind w:firstLine="420" w:firstLineChars="200"/>
        <w:jc w:val="both"/>
        <w:outlineLvl w:val="1"/>
        <w:rPr>
          <w:rFonts w:ascii="Times New Roman" w:hAnsi="Times New Roman" w:eastAsia="宋体" w:cs="Times New Roman"/>
          <w:bCs/>
          <w:color w:val="FF0000"/>
          <w:sz w:val="21"/>
          <w:szCs w:val="21"/>
        </w:rPr>
      </w:pPr>
      <w:r>
        <w:rPr>
          <w:bCs/>
          <w:sz w:val="21"/>
          <w:szCs w:val="21"/>
        </w:rPr>
        <w:t>2</w:t>
      </w:r>
      <w:r>
        <w:rPr>
          <w:rFonts w:hint="eastAsia"/>
          <w:bCs/>
          <w:sz w:val="21"/>
          <w:szCs w:val="21"/>
        </w:rPr>
        <w:t>、“投标技术响应”一栏必须一一对照“招标技术要求”，详细填写投标人自身投标货物的具体参数，而不能不合理照搬照抄招标文件的技术要求，以体现具体响应情况。</w:t>
      </w:r>
      <w:r>
        <w:rPr>
          <w:rFonts w:hint="eastAsia" w:ascii="Times New Roman" w:hAnsi="Times New Roman" w:eastAsia="宋体" w:cs="Times New Roman"/>
          <w:bCs/>
          <w:color w:val="FF0000"/>
          <w:sz w:val="21"/>
          <w:szCs w:val="21"/>
        </w:rPr>
        <w:t>“投标技术响应”必须与</w:t>
      </w:r>
      <w:r>
        <w:rPr>
          <w:rFonts w:hint="eastAsia" w:cs="Times New Roman"/>
          <w:bCs/>
          <w:color w:val="FF0000"/>
          <w:sz w:val="21"/>
          <w:szCs w:val="21"/>
        </w:rPr>
        <w:t>所投产品</w:t>
      </w:r>
      <w:r>
        <w:rPr>
          <w:rFonts w:hint="eastAsia" w:ascii="Times New Roman" w:hAnsi="Times New Roman" w:eastAsia="宋体" w:cs="Times New Roman"/>
          <w:bCs/>
          <w:color w:val="FF0000"/>
          <w:sz w:val="21"/>
          <w:szCs w:val="21"/>
        </w:rPr>
        <w:t>客观实际保持一致，响应不实且情节严重的，经查实，将依法记入供应商诚信档案或受到行政处罚。</w:t>
      </w:r>
    </w:p>
    <w:p>
      <w:pPr>
        <w:ind w:firstLine="420" w:firstLineChars="200"/>
        <w:rPr>
          <w:rFonts w:ascii="Times New Roman" w:hAnsi="Times New Roman" w:eastAsia="宋体" w:cs="Times New Roman"/>
          <w:bCs/>
          <w:color w:val="FF0000"/>
          <w:szCs w:val="21"/>
        </w:rPr>
      </w:pPr>
      <w:r>
        <w:rPr>
          <w:bCs/>
          <w:szCs w:val="21"/>
        </w:rPr>
        <w:t>3</w:t>
      </w:r>
      <w:r>
        <w:rPr>
          <w:rFonts w:hint="eastAsia"/>
          <w:bCs/>
          <w:szCs w:val="21"/>
        </w:rPr>
        <w:t>、</w:t>
      </w:r>
      <w:bookmarkStart w:id="44" w:name="_Hlk72158270"/>
      <w:r>
        <w:rPr>
          <w:rFonts w:hint="eastAsia"/>
          <w:bCs/>
          <w:szCs w:val="21"/>
        </w:rPr>
        <w:t>“偏离情况”</w:t>
      </w:r>
      <w:bookmarkEnd w:id="44"/>
      <w:r>
        <w:rPr>
          <w:rFonts w:hint="eastAsia"/>
          <w:bCs/>
          <w:szCs w:val="21"/>
        </w:rPr>
        <w:t>一栏填写如实填写“正偏离”、“负偏离”或“无偏离”，其中：</w:t>
      </w:r>
      <w:bookmarkStart w:id="45" w:name="_Hlk72093866"/>
      <w:r>
        <w:rPr>
          <w:rFonts w:hint="eastAsia"/>
          <w:bCs/>
          <w:szCs w:val="21"/>
        </w:rPr>
        <w:t>“正偏离”表示“投标响应优于招标技术要求”，“负偏离”表示“投标响应不满足招标技术要求”，“无偏离”表示“投标响应与招标技术要求一致”</w:t>
      </w:r>
      <w:bookmarkEnd w:id="45"/>
      <w:r>
        <w:rPr>
          <w:rFonts w:hint="eastAsia"/>
          <w:bCs/>
          <w:szCs w:val="21"/>
        </w:rPr>
        <w:t>。“投标技术响应”对比“招标技术要求”存在响应不全（包括未响应整项招标技术要求或者未响应一项招标技术要求的部分内容），均视为“负偏离”。带★号条款为不可负偏离条款，不作为评分准则中的评分内容</w:t>
      </w:r>
      <w:r>
        <w:rPr>
          <w:rFonts w:hint="eastAsia" w:eastAsia="宋体"/>
          <w:bCs/>
          <w:szCs w:val="21"/>
        </w:rPr>
        <w:t>，</w:t>
      </w:r>
      <w:r>
        <w:rPr>
          <w:rFonts w:hint="eastAsia"/>
          <w:bCs/>
          <w:szCs w:val="21"/>
        </w:rPr>
        <w:t>如未响应或出现负偏离的，将做投标无效处理。</w:t>
      </w:r>
      <w:r>
        <w:rPr>
          <w:rFonts w:hint="eastAsia" w:ascii="Times New Roman" w:hAnsi="Times New Roman" w:eastAsia="宋体" w:cs="Times New Roman"/>
          <w:bCs/>
          <w:color w:val="FF0000"/>
          <w:szCs w:val="21"/>
        </w:rPr>
        <w:t>“偏离情况”必须与所投产品客观实际保持一致，响应不实且情节严重的，经查实，将依法记入供应商诚信档案或受到行政处罚。</w:t>
      </w:r>
    </w:p>
    <w:p>
      <w:pPr>
        <w:ind w:firstLine="420" w:firstLineChars="200"/>
        <w:rPr>
          <w:bCs/>
          <w:szCs w:val="21"/>
        </w:rPr>
      </w:pPr>
      <w:r>
        <w:rPr>
          <w:bCs/>
          <w:szCs w:val="21"/>
        </w:rPr>
        <w:t>4</w:t>
      </w:r>
      <w:r>
        <w:rPr>
          <w:rFonts w:hint="eastAsia"/>
          <w:bCs/>
          <w:szCs w:val="21"/>
        </w:rPr>
        <w:t>、未要求提供证明资料的招标技术要求，可以不提供证明资料（如实响应即可）。</w:t>
      </w:r>
    </w:p>
    <w:p>
      <w:pPr>
        <w:ind w:firstLine="420" w:firstLineChars="200"/>
        <w:rPr>
          <w:bCs/>
          <w:szCs w:val="21"/>
        </w:rPr>
      </w:pPr>
      <w:r>
        <w:rPr>
          <w:rFonts w:hint="eastAsia"/>
          <w:bCs/>
          <w:szCs w:val="21"/>
        </w:rPr>
        <w:t>5、</w:t>
      </w:r>
      <w:bookmarkStart w:id="46" w:name="_Hlk72096106"/>
      <w:r>
        <w:rPr>
          <w:rFonts w:hint="eastAsia"/>
          <w:bCs/>
          <w:szCs w:val="21"/>
        </w:rPr>
        <w:t>证明资料条款响应要求</w:t>
      </w:r>
      <w:bookmarkEnd w:id="46"/>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47" w:name="_Hlk73558782"/>
      <w:r>
        <w:rPr>
          <w:rFonts w:hint="eastAsia"/>
          <w:bCs/>
          <w:szCs w:val="21"/>
        </w:rPr>
        <w:t>此类条款应严格依照要求的形式、内容提供证明资料，如未提供证明资料（或：证明资料的形式、内容等不符合要求；证明资料显示不符合招标技术要求；证明资料模糊不清无法判断或未显示是否满足招标技术要求），</w:t>
      </w:r>
      <w:bookmarkStart w:id="48" w:name="_Hlk73558164"/>
      <w:r>
        <w:rPr>
          <w:rFonts w:hint="eastAsia"/>
          <w:bCs/>
          <w:szCs w:val="21"/>
        </w:rPr>
        <w:t>且投标人在“偏离情况”一栏响应为“正偏离”或“无偏离”的，经评审委员会认定，将判定为负偏离。</w:t>
      </w:r>
      <w:bookmarkEnd w:id="47"/>
      <w:bookmarkEnd w:id="48"/>
    </w:p>
    <w:p>
      <w:pPr>
        <w:ind w:firstLine="420" w:firstLineChars="200"/>
        <w:rPr>
          <w:bCs/>
          <w:szCs w:val="21"/>
        </w:rPr>
      </w:pPr>
      <w:r>
        <w:rPr>
          <w:rFonts w:hint="eastAsia"/>
          <w:bCs/>
          <w:szCs w:val="21"/>
        </w:rPr>
        <w:t>6、</w:t>
      </w:r>
      <w:bookmarkStart w:id="49" w:name="_Hlk72096137"/>
      <w:r>
        <w:rPr>
          <w:rFonts w:hint="eastAsia"/>
          <w:bCs/>
          <w:szCs w:val="21"/>
        </w:rPr>
        <w:t>表后“证明资料”部分内容的编制</w:t>
      </w:r>
      <w:bookmarkEnd w:id="49"/>
      <w:r>
        <w:rPr>
          <w:rFonts w:hint="eastAsia"/>
          <w:bCs/>
          <w:szCs w:val="21"/>
        </w:rPr>
        <w:t>：提供的所有证明资料应当统一编号（排序），且证明资料的编号（顺序）、数量和名称（形式）均应与“说明”一栏所填内容保持一致（一一对应），以便评审委员会查看。</w:t>
      </w:r>
      <w:bookmarkStart w:id="50" w:name="_Hlk73558180"/>
      <w:r>
        <w:rPr>
          <w:rFonts w:hint="eastAsia"/>
          <w:bCs/>
          <w:szCs w:val="21"/>
        </w:rPr>
        <w:t>未按照招标文件要求在表后放置证明材料的供应商将承担不利后果，经评审委员会认定，相关技术要求将判定为负偏离。</w:t>
      </w:r>
      <w:bookmarkEnd w:id="50"/>
    </w:p>
    <w:p>
      <w:pPr>
        <w:ind w:firstLine="420" w:firstLineChars="200"/>
        <w:rPr>
          <w:bCs/>
          <w:szCs w:val="21"/>
        </w:rPr>
      </w:pPr>
      <w:r>
        <w:rPr>
          <w:rFonts w:hint="eastAsia"/>
          <w:bCs/>
          <w:szCs w:val="21"/>
        </w:rPr>
        <w:t>7、</w:t>
      </w:r>
      <w:bookmarkStart w:id="51" w:name="_Hlk72096176"/>
      <w:r>
        <w:rPr>
          <w:rFonts w:hint="eastAsia"/>
          <w:bCs/>
          <w:szCs w:val="21"/>
        </w:rPr>
        <w:t>证明资料的形式及其它具体要求</w:t>
      </w:r>
      <w:bookmarkEnd w:id="51"/>
      <w:r>
        <w:rPr>
          <w:rFonts w:hint="eastAsia"/>
          <w:bCs/>
          <w:szCs w:val="21"/>
        </w:rPr>
        <w:t>：</w:t>
      </w:r>
    </w:p>
    <w:p>
      <w:pPr>
        <w:ind w:firstLine="420" w:firstLineChars="200"/>
        <w:rPr>
          <w:bCs/>
          <w:szCs w:val="21"/>
        </w:rPr>
      </w:pPr>
      <w:r>
        <w:rPr>
          <w:rFonts w:hint="eastAsia"/>
          <w:bCs/>
          <w:szCs w:val="21"/>
        </w:rPr>
        <w:t>（1）除照片、图片（截图）及不需加盖公章的文字说明（技术说明）外，其它证明资料均要求为原件扫描件；</w:t>
      </w:r>
    </w:p>
    <w:p>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pPr>
        <w:ind w:firstLine="420" w:firstLineChars="200"/>
        <w:rPr>
          <w:bCs/>
          <w:szCs w:val="21"/>
        </w:rPr>
      </w:pPr>
      <w:r>
        <w:rPr>
          <w:rFonts w:hint="eastAsia"/>
          <w:bCs/>
          <w:szCs w:val="21"/>
        </w:rPr>
        <w:t>其它证明资料的形式要求参照以上要求执行；</w:t>
      </w:r>
    </w:p>
    <w:p>
      <w:pPr>
        <w:ind w:firstLine="420" w:firstLineChars="200"/>
        <w:rPr>
          <w:bCs/>
          <w:szCs w:val="21"/>
        </w:rPr>
      </w:pPr>
      <w:r>
        <w:rPr>
          <w:rFonts w:hint="eastAsia"/>
          <w:bCs/>
          <w:szCs w:val="21"/>
        </w:rPr>
        <w:t>（4）证明资料均要求原件备查。</w:t>
      </w:r>
    </w:p>
    <w:p>
      <w:pPr>
        <w:ind w:firstLine="420" w:firstLineChars="200"/>
        <w:rPr>
          <w:bCs/>
          <w:szCs w:val="21"/>
        </w:rPr>
      </w:pPr>
      <w:r>
        <w:rPr>
          <w:rFonts w:hint="eastAsia"/>
          <w:bCs/>
          <w:szCs w:val="21"/>
        </w:rPr>
        <w:t>8、其它注意事项：</w:t>
      </w:r>
    </w:p>
    <w:p>
      <w:pPr>
        <w:ind w:firstLine="420" w:firstLineChars="200"/>
        <w:rPr>
          <w:bCs/>
          <w:szCs w:val="21"/>
        </w:rPr>
      </w:pPr>
      <w:r>
        <w:rPr>
          <w:rFonts w:hint="eastAsia"/>
          <w:bCs/>
          <w:szCs w:val="21"/>
        </w:rPr>
        <w:t>（1）评审委员会有权对投标人的响应情况作出判断（评审结论）；</w:t>
      </w:r>
    </w:p>
    <w:p>
      <w:pPr>
        <w:ind w:firstLine="420" w:firstLineChars="200"/>
        <w:rPr>
          <w:bCs/>
          <w:szCs w:val="21"/>
        </w:rPr>
      </w:pPr>
      <w:r>
        <w:rPr>
          <w:rFonts w:hint="eastAsia"/>
          <w:bCs/>
          <w:szCs w:val="21"/>
        </w:rPr>
        <w:t>（2）</w:t>
      </w:r>
      <w:bookmarkStart w:id="52" w:name="_Hlk72158213"/>
      <w:r>
        <w:rPr>
          <w:rFonts w:hint="eastAsia"/>
          <w:bCs/>
          <w:szCs w:val="21"/>
        </w:rPr>
        <w:t>评审委员会有权对以谋取中标为目的的技术规格模糊响应（如有意不合理照搬照抄招标文件的技术要求）或虚假响应予以认定，并视情况经政府集中采购机构报主管部门进行处理。</w:t>
      </w:r>
      <w:bookmarkEnd w:id="52"/>
    </w:p>
    <w:p>
      <w:pPr>
        <w:ind w:firstLine="482" w:firstLineChars="200"/>
        <w:rPr>
          <w:b/>
          <w:sz w:val="24"/>
        </w:rPr>
      </w:pPr>
    </w:p>
    <w:p>
      <w:pPr>
        <w:ind w:firstLine="482" w:firstLineChars="200"/>
        <w:rPr>
          <w:b/>
          <w:sz w:val="24"/>
        </w:rPr>
      </w:pPr>
    </w:p>
    <w:p>
      <w:pPr>
        <w:ind w:firstLine="482" w:firstLineChars="200"/>
        <w:rPr>
          <w:b/>
          <w:sz w:val="24"/>
        </w:rPr>
      </w:pPr>
    </w:p>
    <w:p>
      <w:pPr>
        <w:rPr>
          <w:rFonts w:hint="eastAsia" w:ascii="宋体" w:hAnsi="宋体"/>
        </w:rPr>
      </w:pPr>
      <w:r>
        <w:rPr>
          <w:rFonts w:ascii="宋体" w:hAnsi="宋体" w:eastAsia="宋体" w:cs="Times New Roman"/>
          <w:color w:val="FF0000"/>
          <w:sz w:val="32"/>
          <w:szCs w:val="32"/>
        </w:rPr>
        <w:br w:type="page"/>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六、技术保障措施</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七、设计方案</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八、拟安排的项目负责人情况（仅限一人）</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九、同类项目业绩</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十、资质证书</w:t>
      </w:r>
    </w:p>
    <w:p>
      <w:pPr>
        <w:ind w:left="718" w:leftChars="342" w:firstLine="1620" w:firstLineChars="675"/>
        <w:rPr>
          <w:rFonts w:hint="eastAsia" w:ascii="黑体" w:hAnsi="宋体" w:eastAsia="黑体" w:cstheme="minorBidi"/>
          <w:b w:val="0"/>
          <w:bCs w:val="0"/>
          <w:kern w:val="2"/>
          <w:sz w:val="24"/>
          <w:szCs w:val="20"/>
          <w:lang w:val="en-US" w:eastAsia="zh-CN" w:bidi="ar-SA"/>
        </w:rPr>
      </w:pPr>
      <w:r>
        <w:rPr>
          <w:rFonts w:hint="eastAsia" w:ascii="黑体" w:hAnsi="宋体" w:eastAsia="黑体" w:cstheme="minorBidi"/>
          <w:b w:val="0"/>
          <w:bCs w:val="0"/>
          <w:kern w:val="2"/>
          <w:sz w:val="24"/>
          <w:szCs w:val="20"/>
          <w:lang w:val="en-US" w:eastAsia="zh-CN" w:bidi="ar-SA"/>
        </w:rPr>
        <w:t>十一、投标人认为需要加以说明的其他内容</w:t>
      </w:r>
    </w:p>
    <w:p>
      <w:pPr>
        <w:widowControl/>
        <w:jc w:val="center"/>
        <w:rPr>
          <w:rFonts w:hint="eastAsia" w:ascii="黑体" w:hAnsi="宋体" w:eastAsia="黑体"/>
          <w:kern w:val="0"/>
          <w:sz w:val="24"/>
          <w:szCs w:val="20"/>
        </w:rPr>
      </w:pPr>
    </w:p>
    <w:p>
      <w:pPr>
        <w:widowControl/>
        <w:jc w:val="center"/>
        <w:rPr>
          <w:rFonts w:ascii="黑体" w:hAnsi="宋体" w:eastAsia="黑体"/>
          <w:kern w:val="0"/>
          <w:sz w:val="24"/>
          <w:szCs w:val="20"/>
        </w:rPr>
      </w:pPr>
      <w:r>
        <w:rPr>
          <w:rFonts w:hint="eastAsia" w:ascii="黑体" w:hAnsi="宋体" w:eastAsia="黑体"/>
          <w:kern w:val="0"/>
          <w:sz w:val="24"/>
          <w:szCs w:val="20"/>
        </w:rPr>
        <w:t>（一）</w:t>
      </w:r>
      <w:r>
        <w:rPr>
          <w:rFonts w:hint="eastAsia" w:ascii="黑体" w:hAnsi="宋体" w:eastAsia="黑体"/>
          <w:kern w:val="0"/>
          <w:sz w:val="24"/>
          <w:szCs w:val="20"/>
          <w:highlight w:val="yellow"/>
        </w:rPr>
        <w:t>政府采购违法行为风险知悉确认书</w:t>
      </w:r>
    </w:p>
    <w:p>
      <w:pPr>
        <w:widowControl/>
        <w:jc w:val="center"/>
        <w:rPr>
          <w:rFonts w:ascii="黑体" w:hAnsi="宋体" w:eastAsia="黑体"/>
          <w:kern w:val="0"/>
          <w:sz w:val="24"/>
          <w:szCs w:val="20"/>
        </w:rPr>
      </w:pPr>
    </w:p>
    <w:p>
      <w:pPr>
        <w:spacing w:before="0" w:beforeLines="0" w:after="157" w:afterLines="50" w:line="360" w:lineRule="exact"/>
        <w:ind w:firstLine="482" w:firstLineChars="200"/>
        <w:rPr>
          <w:rFonts w:hint="eastAsia" w:eastAsia="宋体" w:cs="Times New Roman"/>
          <w:b/>
          <w:bCs/>
          <w:color w:val="auto"/>
          <w:sz w:val="24"/>
          <w:lang w:val="en-US" w:eastAsia="zh-CN"/>
        </w:rPr>
      </w:pPr>
      <w:r>
        <w:rPr>
          <w:rFonts w:hint="eastAsia"/>
          <w:b/>
          <w:bCs/>
          <w:color w:val="auto"/>
          <w:sz w:val="24"/>
          <w:lang w:eastAsia="zh-CN"/>
        </w:rPr>
        <w:t>我</w:t>
      </w:r>
      <w:r>
        <w:rPr>
          <w:rFonts w:hint="eastAsia" w:ascii="Calibri" w:hAnsi="Calibri" w:eastAsia="宋体" w:cs="Times New Roman"/>
          <w:b/>
          <w:bCs/>
          <w:color w:val="auto"/>
          <w:sz w:val="24"/>
          <w:szCs w:val="24"/>
          <w:lang w:val="en-US" w:eastAsia="zh-CN"/>
        </w:rPr>
        <w:t>单位</w:t>
      </w:r>
      <w:r>
        <w:rPr>
          <w:rFonts w:hint="eastAsia" w:eastAsia="宋体"/>
          <w:b/>
          <w:bCs/>
          <w:color w:val="auto"/>
          <w:sz w:val="24"/>
        </w:rPr>
        <w:t>在</w:t>
      </w:r>
      <w:r>
        <w:rPr>
          <w:rFonts w:hint="eastAsia"/>
          <w:b/>
          <w:bCs/>
          <w:color w:val="auto"/>
          <w:sz w:val="24"/>
        </w:rPr>
        <w:t>投标前已充分知悉以下情形为参与政府采购活动时的重大风险事项，并承诺已对下述风险提示事项重点排查，</w:t>
      </w:r>
      <w:r>
        <w:rPr>
          <w:rFonts w:hint="eastAsia" w:eastAsia="宋体" w:cs="Times New Roman"/>
          <w:b/>
          <w:bCs/>
          <w:color w:val="auto"/>
          <w:sz w:val="24"/>
          <w:lang w:val="en-US" w:eastAsia="zh-CN"/>
        </w:rPr>
        <w:t>若存在下述情况，我单位愿意依法承担被记入供应商诚信档案、罚款、取消参与政府采购资格、吊销营业执照等处罚；构成犯罪的，依法承担刑事责任。</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序号</w:t>
            </w:r>
          </w:p>
        </w:tc>
        <w:tc>
          <w:tcPr>
            <w:tcW w:w="78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供应商参与投标禁止情形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1</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与其他投标供应商的法定代表人、主要经营负责人、投标授权代表人、项目负责人、主要技术人员为</w:t>
            </w:r>
            <w:r>
              <w:rPr>
                <w:rFonts w:hint="eastAsia" w:ascii="仿宋_GB2312" w:hAnsi="仿宋_GB2312" w:eastAsia="仿宋_GB2312" w:cs="仿宋_GB2312"/>
                <w:b/>
                <w:bCs/>
                <w:color w:val="auto"/>
                <w:sz w:val="24"/>
                <w:szCs w:val="24"/>
                <w:highlight w:val="none"/>
                <w:lang w:val="en-US" w:eastAsia="zh-CN"/>
              </w:rPr>
              <w:t>同一人、属同一单位或者在同一单位缴纳社会保险</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参与本项目政府采购活动时，与其他投标供应商存在单位负责人为</w:t>
            </w:r>
            <w:r>
              <w:rPr>
                <w:rFonts w:hint="eastAsia" w:ascii="仿宋_GB2312" w:hAnsi="仿宋_GB2312" w:eastAsia="仿宋_GB2312" w:cs="仿宋_GB2312"/>
                <w:b/>
                <w:bCs/>
                <w:color w:val="auto"/>
                <w:sz w:val="24"/>
                <w:szCs w:val="24"/>
                <w:highlight w:val="none"/>
                <w:lang w:val="en-US" w:eastAsia="zh-CN"/>
              </w:rPr>
              <w:t>同一人或直接控股、管理关系</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3</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与其他投标供应商的投标文件或部分投标文件</w:t>
            </w:r>
            <w:r>
              <w:rPr>
                <w:rFonts w:hint="eastAsia" w:ascii="仿宋_GB2312" w:hAnsi="仿宋_GB2312" w:eastAsia="仿宋_GB2312" w:cs="仿宋_GB2312"/>
                <w:b/>
                <w:bCs/>
                <w:color w:val="auto"/>
                <w:sz w:val="24"/>
                <w:szCs w:val="24"/>
                <w:highlight w:val="none"/>
                <w:lang w:val="en-US" w:eastAsia="zh-CN"/>
              </w:rPr>
              <w:t>相互混装或存在非正常一致</w:t>
            </w:r>
            <w:r>
              <w:rPr>
                <w:rFonts w:hint="eastAsia" w:ascii="仿宋_GB2312" w:hAnsi="仿宋_GB2312" w:eastAsia="仿宋_GB2312" w:cs="仿宋_GB2312"/>
                <w:color w:val="auto"/>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4</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与其他投标供应商的投标文件由</w:t>
            </w:r>
            <w:r>
              <w:rPr>
                <w:rFonts w:hint="eastAsia" w:ascii="仿宋_GB2312" w:hAnsi="仿宋_GB2312" w:eastAsia="仿宋_GB2312" w:cs="仿宋_GB2312"/>
                <w:b/>
                <w:bCs/>
                <w:color w:val="auto"/>
                <w:sz w:val="24"/>
                <w:szCs w:val="24"/>
                <w:highlight w:val="none"/>
                <w:lang w:val="en-US" w:eastAsia="zh-CN"/>
              </w:rPr>
              <w:t>同一单位或者同一人编制</w:t>
            </w:r>
            <w:r>
              <w:rPr>
                <w:rFonts w:hint="eastAsia" w:ascii="仿宋_GB2312" w:hAnsi="仿宋_GB2312" w:eastAsia="仿宋_GB2312" w:cs="仿宋_GB2312"/>
                <w:color w:val="auto"/>
                <w:sz w:val="24"/>
                <w:szCs w:val="24"/>
                <w:highlight w:val="none"/>
                <w:lang w:val="en-US" w:eastAsia="zh-CN"/>
              </w:rPr>
              <w:t>，或者使用</w:t>
            </w:r>
            <w:r>
              <w:rPr>
                <w:rFonts w:hint="eastAsia" w:ascii="仿宋_GB2312" w:hAnsi="仿宋_GB2312" w:eastAsia="仿宋_GB2312" w:cs="仿宋_GB2312"/>
                <w:b/>
                <w:bCs/>
                <w:color w:val="auto"/>
                <w:sz w:val="24"/>
                <w:szCs w:val="24"/>
                <w:highlight w:val="none"/>
                <w:lang w:val="en-US" w:eastAsia="zh-CN"/>
              </w:rPr>
              <w:t>同一设备编制</w:t>
            </w:r>
            <w:r>
              <w:rPr>
                <w:rFonts w:hint="eastAsia" w:ascii="仿宋_GB2312" w:hAnsi="仿宋_GB2312" w:eastAsia="仿宋_GB2312" w:cs="仿宋_GB2312"/>
                <w:color w:val="auto"/>
                <w:sz w:val="24"/>
                <w:szCs w:val="24"/>
                <w:highlight w:val="none"/>
                <w:lang w:val="en-US" w:eastAsia="zh-CN"/>
              </w:rPr>
              <w:t>（“文件制作机器码”“文件创建标识码”一致）。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5</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提供</w:t>
            </w:r>
            <w:r>
              <w:rPr>
                <w:rFonts w:hint="eastAsia" w:ascii="仿宋_GB2312" w:hAnsi="仿宋_GB2312" w:eastAsia="仿宋_GB2312" w:cs="仿宋_GB2312"/>
                <w:b/>
                <w:bCs/>
                <w:color w:val="auto"/>
                <w:sz w:val="24"/>
                <w:szCs w:val="24"/>
                <w:highlight w:val="none"/>
                <w:lang w:val="en-US" w:eastAsia="zh-CN"/>
              </w:rPr>
              <w:t>未经出具机构核实</w:t>
            </w:r>
            <w:r>
              <w:rPr>
                <w:rFonts w:hint="eastAsia" w:ascii="仿宋_GB2312" w:hAnsi="仿宋_GB2312" w:eastAsia="仿宋_GB2312" w:cs="仿宋_GB2312"/>
                <w:color w:val="auto"/>
                <w:sz w:val="24"/>
                <w:szCs w:val="24"/>
                <w:highlight w:val="none"/>
                <w:lang w:val="en-US" w:eastAsia="zh-CN"/>
              </w:rPr>
              <w:t>的虚假的检验检测报告、业绩材料、社保缴纳证明、学历学位证书、职称认证证书等材料。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6</w:t>
            </w:r>
          </w:p>
        </w:tc>
        <w:tc>
          <w:tcPr>
            <w:tcW w:w="781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擅自将投标密钥或电子营业执照出借他人使用或未妥善保管。</w:t>
            </w:r>
          </w:p>
        </w:tc>
      </w:tr>
    </w:tbl>
    <w:p>
      <w:pPr>
        <w:spacing w:before="157" w:beforeLines="50" w:line="380" w:lineRule="exact"/>
        <w:ind w:firstLine="422" w:firstLineChars="200"/>
        <w:rPr>
          <w:b/>
          <w:color w:val="auto"/>
        </w:rPr>
      </w:pPr>
      <w:r>
        <w:rPr>
          <w:rFonts w:hint="eastAsia"/>
          <w:b/>
          <w:color w:val="auto"/>
        </w:rPr>
        <w:t>一、</w:t>
      </w:r>
      <w:r>
        <w:rPr>
          <w:rFonts w:hint="eastAsia"/>
          <w:b/>
          <w:color w:val="auto"/>
          <w:lang w:eastAsia="zh-CN"/>
        </w:rPr>
        <w:t>我</w:t>
      </w:r>
      <w:r>
        <w:rPr>
          <w:rFonts w:hint="eastAsia"/>
          <w:b/>
          <w:color w:val="auto"/>
          <w:lang w:val="en-US" w:eastAsia="zh-CN"/>
        </w:rPr>
        <w:t>单位</w:t>
      </w:r>
      <w:r>
        <w:rPr>
          <w:rFonts w:hint="eastAsia"/>
          <w:b/>
          <w:color w:val="auto"/>
        </w:rPr>
        <w:t>已充分知悉“隐瞒真实情况，提供虚假资料”的法定情形，包括但不限于：</w:t>
      </w:r>
    </w:p>
    <w:p>
      <w:pPr>
        <w:spacing w:beforeLines="0" w:line="380" w:lineRule="exact"/>
        <w:ind w:firstLine="420" w:firstLineChars="200"/>
        <w:rPr>
          <w:color w:val="auto"/>
        </w:rPr>
      </w:pPr>
      <w:r>
        <w:rPr>
          <w:rFonts w:hint="eastAsia"/>
          <w:color w:val="auto"/>
        </w:rPr>
        <w:t>（一）通过转让或者租借等方式从其他单位获取资格或者资质证书投标的</w:t>
      </w:r>
      <w:r>
        <w:rPr>
          <w:rFonts w:hint="eastAsia"/>
          <w:color w:val="auto"/>
          <w:highlight w:val="none"/>
        </w:rPr>
        <w:t>。</w:t>
      </w:r>
    </w:p>
    <w:p>
      <w:pPr>
        <w:spacing w:beforeLines="0" w:line="380" w:lineRule="exact"/>
        <w:ind w:firstLine="420" w:firstLineChars="200"/>
        <w:rPr>
          <w:color w:val="auto"/>
        </w:rPr>
      </w:pPr>
      <w:r>
        <w:rPr>
          <w:rFonts w:hint="eastAsia"/>
          <w:color w:val="auto"/>
        </w:rPr>
        <w:t>（二）由其他单位或者其他单位负责人在投标供应商编制的投标文件上加盖印章或者签字的。</w:t>
      </w:r>
    </w:p>
    <w:p>
      <w:pPr>
        <w:spacing w:beforeLines="0" w:line="380" w:lineRule="exact"/>
        <w:ind w:firstLine="420" w:firstLineChars="200"/>
        <w:rPr>
          <w:color w:val="auto"/>
        </w:rPr>
      </w:pPr>
      <w:r>
        <w:rPr>
          <w:rFonts w:hint="eastAsia"/>
          <w:color w:val="auto"/>
        </w:rPr>
        <w:t>（三）项目负责人或者主要技术人员不是本单位人员的。</w:t>
      </w:r>
    </w:p>
    <w:p>
      <w:pPr>
        <w:spacing w:beforeLines="0" w:line="380" w:lineRule="exact"/>
        <w:ind w:firstLine="420" w:firstLineChars="200"/>
        <w:rPr>
          <w:color w:val="auto"/>
        </w:rPr>
      </w:pPr>
      <w:r>
        <w:rPr>
          <w:rFonts w:hint="eastAsia"/>
          <w:color w:val="auto"/>
        </w:rPr>
        <w:t>（四）投标保证金不是从投标供应商基本账户转出的。</w:t>
      </w:r>
    </w:p>
    <w:p>
      <w:pPr>
        <w:spacing w:beforeLines="0" w:line="380" w:lineRule="exact"/>
        <w:ind w:firstLine="420" w:firstLineChars="200"/>
        <w:rPr>
          <w:color w:val="auto"/>
        </w:rPr>
      </w:pPr>
      <w:r>
        <w:rPr>
          <w:rFonts w:hint="eastAsia"/>
          <w:color w:val="auto"/>
        </w:rPr>
        <w:t>（五）其他隐瞒真实情况、提供虚假资料的行为。</w:t>
      </w:r>
    </w:p>
    <w:p>
      <w:pPr>
        <w:spacing w:beforeLines="0" w:line="380" w:lineRule="exact"/>
        <w:ind w:firstLine="422" w:firstLineChars="200"/>
        <w:rPr>
          <w:b/>
          <w:color w:val="auto"/>
        </w:rPr>
      </w:pPr>
      <w:r>
        <w:rPr>
          <w:rFonts w:hint="eastAsia"/>
          <w:b/>
          <w:color w:val="auto"/>
        </w:rPr>
        <w:t>二、</w:t>
      </w:r>
      <w:r>
        <w:rPr>
          <w:rFonts w:hint="eastAsia"/>
          <w:b/>
          <w:color w:val="auto"/>
          <w:lang w:eastAsia="zh-CN"/>
        </w:rPr>
        <w:t>我</w:t>
      </w:r>
      <w:r>
        <w:rPr>
          <w:rFonts w:hint="eastAsia"/>
          <w:b/>
          <w:color w:val="auto"/>
          <w:lang w:val="en-US" w:eastAsia="zh-CN"/>
        </w:rPr>
        <w:t>单位</w:t>
      </w:r>
      <w:r>
        <w:rPr>
          <w:rFonts w:hint="eastAsia"/>
          <w:b/>
          <w:color w:val="auto"/>
        </w:rPr>
        <w:t>已充分知悉“与其他采购参加人串通投标”的法定情形，包括但不限于：</w:t>
      </w:r>
    </w:p>
    <w:p>
      <w:pPr>
        <w:spacing w:beforeLines="0" w:line="380" w:lineRule="exact"/>
        <w:ind w:firstLine="420" w:firstLineChars="200"/>
        <w:rPr>
          <w:color w:val="auto"/>
        </w:rPr>
      </w:pPr>
      <w:r>
        <w:rPr>
          <w:rFonts w:hint="eastAsia"/>
          <w:color w:val="auto"/>
        </w:rPr>
        <w:t>（一）投标供应商之间相互约定给予未中标的供应商利益补偿。</w:t>
      </w:r>
    </w:p>
    <w:p>
      <w:pPr>
        <w:spacing w:beforeLines="0" w:line="380" w:lineRule="exact"/>
        <w:ind w:firstLine="420" w:firstLineChars="200"/>
        <w:rPr>
          <w:color w:val="auto"/>
        </w:rPr>
      </w:pPr>
      <w:r>
        <w:rPr>
          <w:rFonts w:hint="eastAsia"/>
          <w:color w:val="auto"/>
        </w:rPr>
        <w:t>（二）不同投标供应商的法定代表人、主要经营负责人、项目投标授权代表人、项目负责人、主要技术人员为同一人、属同一单位或者在同一单位缴纳社会保险。</w:t>
      </w:r>
    </w:p>
    <w:p>
      <w:pPr>
        <w:spacing w:beforeLines="0" w:line="340" w:lineRule="exact"/>
        <w:ind w:firstLine="420" w:firstLineChars="200"/>
        <w:rPr>
          <w:color w:val="auto"/>
        </w:rPr>
      </w:pPr>
      <w:r>
        <w:rPr>
          <w:rFonts w:hint="eastAsia"/>
          <w:color w:val="auto"/>
        </w:rPr>
        <w:t>（三）不同投标供应商的投标文件由同一单位或者同一人编制，或者由同一人分阶段参与编制的。</w:t>
      </w:r>
    </w:p>
    <w:p>
      <w:pPr>
        <w:spacing w:beforeLines="0" w:line="340" w:lineRule="exact"/>
        <w:ind w:firstLine="420" w:firstLineChars="200"/>
        <w:rPr>
          <w:color w:val="auto"/>
        </w:rPr>
      </w:pPr>
      <w:r>
        <w:rPr>
          <w:rFonts w:hint="eastAsia"/>
          <w:color w:val="auto"/>
        </w:rPr>
        <w:t>（四）不同投标供应商的投标文件或部分投标文件相互混装。</w:t>
      </w:r>
    </w:p>
    <w:p>
      <w:pPr>
        <w:spacing w:beforeLines="0" w:line="340" w:lineRule="exact"/>
        <w:ind w:firstLine="420" w:firstLineChars="200"/>
        <w:rPr>
          <w:color w:val="auto"/>
        </w:rPr>
      </w:pPr>
      <w:r>
        <w:rPr>
          <w:rFonts w:hint="eastAsia"/>
          <w:color w:val="auto"/>
        </w:rPr>
        <w:t>（五）不同投标供应商的投标文件内容存在非正常一致。</w:t>
      </w:r>
    </w:p>
    <w:p>
      <w:pPr>
        <w:spacing w:beforeLines="0" w:line="340" w:lineRule="exact"/>
        <w:ind w:firstLine="420" w:firstLineChars="200"/>
        <w:rPr>
          <w:color w:val="auto"/>
        </w:rPr>
      </w:pPr>
      <w:r>
        <w:rPr>
          <w:rFonts w:hint="eastAsia"/>
          <w:color w:val="auto"/>
        </w:rPr>
        <w:t>（六）由同一单位工作人员为两家以上（含两家）供应商进行同一项投标活动的。</w:t>
      </w:r>
    </w:p>
    <w:p>
      <w:pPr>
        <w:spacing w:beforeLines="0" w:line="340" w:lineRule="exact"/>
        <w:ind w:firstLine="420" w:firstLineChars="200"/>
        <w:rPr>
          <w:color w:val="auto"/>
        </w:rPr>
      </w:pPr>
      <w:r>
        <w:rPr>
          <w:rFonts w:hint="eastAsia"/>
          <w:color w:val="auto"/>
        </w:rPr>
        <w:t>（七）不同投标人的投标报价呈规律性差异。</w:t>
      </w:r>
    </w:p>
    <w:p>
      <w:pPr>
        <w:spacing w:beforeLines="0" w:line="340" w:lineRule="exact"/>
        <w:ind w:firstLine="420" w:firstLineChars="200"/>
        <w:rPr>
          <w:color w:val="auto"/>
        </w:rPr>
      </w:pPr>
      <w:r>
        <w:rPr>
          <w:rFonts w:hint="eastAsia"/>
          <w:color w:val="auto"/>
        </w:rPr>
        <w:t>（八）不同投标人的投标保证金从同一单位或者个人的账户转出。</w:t>
      </w:r>
    </w:p>
    <w:p>
      <w:pPr>
        <w:spacing w:beforeLines="0" w:line="340" w:lineRule="exact"/>
        <w:ind w:firstLine="420" w:firstLineChars="200"/>
        <w:rPr>
          <w:color w:val="auto"/>
        </w:rPr>
      </w:pPr>
      <w:r>
        <w:rPr>
          <w:rFonts w:hint="eastAsia"/>
          <w:color w:val="auto"/>
        </w:rPr>
        <w:t>（九）主管部门依照法律、法规认定的其他情形。</w:t>
      </w:r>
    </w:p>
    <w:p>
      <w:pPr>
        <w:spacing w:beforeLines="0" w:line="340" w:lineRule="exact"/>
        <w:ind w:firstLine="422" w:firstLineChars="200"/>
        <w:rPr>
          <w:b/>
          <w:color w:val="auto"/>
        </w:rPr>
      </w:pPr>
      <w:r>
        <w:rPr>
          <w:rFonts w:hint="eastAsia"/>
          <w:b/>
          <w:color w:val="auto"/>
        </w:rPr>
        <w:t>三、</w:t>
      </w:r>
      <w:r>
        <w:rPr>
          <w:rFonts w:hint="eastAsia"/>
          <w:b/>
          <w:color w:val="auto"/>
          <w:lang w:eastAsia="zh-CN"/>
        </w:rPr>
        <w:t>我</w:t>
      </w:r>
      <w:r>
        <w:rPr>
          <w:rFonts w:hint="eastAsia"/>
          <w:b/>
          <w:color w:val="auto"/>
          <w:lang w:val="en-US" w:eastAsia="zh-CN"/>
        </w:rPr>
        <w:t>单位</w:t>
      </w:r>
      <w:r>
        <w:rPr>
          <w:rFonts w:hint="eastAsia"/>
          <w:b/>
          <w:color w:val="auto"/>
        </w:rPr>
        <w:t>已充分知悉下列情形</w:t>
      </w:r>
      <w:r>
        <w:rPr>
          <w:rFonts w:hint="eastAsia"/>
          <w:b/>
          <w:color w:val="auto"/>
          <w:lang w:eastAsia="zh-CN"/>
        </w:rPr>
        <w:t>存在</w:t>
      </w:r>
      <w:r>
        <w:rPr>
          <w:rFonts w:hint="eastAsia"/>
          <w:b/>
          <w:color w:val="auto"/>
        </w:rPr>
        <w:t>法律风险，在投标前已对相关风险事项进行排</w:t>
      </w:r>
      <w:r>
        <w:rPr>
          <w:rFonts w:hint="eastAsia"/>
          <w:b/>
          <w:color w:val="auto"/>
          <w:highlight w:val="none"/>
        </w:rPr>
        <w:t>查。</w:t>
      </w:r>
    </w:p>
    <w:p>
      <w:pPr>
        <w:spacing w:beforeLines="0" w:line="340" w:lineRule="exact"/>
        <w:ind w:firstLine="420" w:firstLineChars="200"/>
        <w:rPr>
          <w:b/>
          <w:color w:val="auto"/>
        </w:rPr>
      </w:pPr>
      <w:r>
        <w:rPr>
          <w:rFonts w:hint="eastAsia"/>
          <w:color w:val="auto"/>
        </w:rPr>
        <w:t>（一）对于从其他主体获取的投标资料，</w:t>
      </w:r>
      <w:r>
        <w:rPr>
          <w:rFonts w:hint="eastAsia"/>
          <w:color w:val="auto"/>
          <w:lang w:eastAsia="zh-CN"/>
        </w:rPr>
        <w:t>我</w:t>
      </w:r>
      <w:r>
        <w:rPr>
          <w:rFonts w:hint="eastAsia"/>
          <w:color w:val="auto"/>
          <w:lang w:val="en-US" w:eastAsia="zh-CN"/>
        </w:rPr>
        <w:t>单位</w:t>
      </w:r>
      <w:r>
        <w:rPr>
          <w:rFonts w:hint="eastAsia"/>
          <w:color w:val="auto"/>
        </w:rPr>
        <w:t>应审慎核查，确保</w:t>
      </w:r>
      <w:r>
        <w:rPr>
          <w:rFonts w:hint="eastAsia"/>
          <w:color w:val="auto"/>
          <w:lang w:eastAsia="zh-CN"/>
        </w:rPr>
        <w:t>其</w:t>
      </w:r>
      <w:r>
        <w:rPr>
          <w:rFonts w:hint="eastAsia"/>
          <w:color w:val="auto"/>
        </w:rPr>
        <w:t>真实性。</w:t>
      </w:r>
      <w:r>
        <w:rPr>
          <w:rFonts w:hint="eastAsia"/>
          <w:b/>
          <w:color w:val="auto"/>
        </w:rPr>
        <w:t>如主管部门查实投标文件中存在虚假资料的，无论相关资料是否由第三方或本公司员工提供，均不影响主管部门对供应商存在“隐瞒真实情况，提供虚假资料”违法行为的认定。</w:t>
      </w:r>
    </w:p>
    <w:p>
      <w:pPr>
        <w:spacing w:beforeLines="0" w:line="340" w:lineRule="exact"/>
        <w:ind w:firstLine="420" w:firstLineChars="200"/>
        <w:rPr>
          <w:color w:val="auto"/>
        </w:rPr>
      </w:pPr>
      <w:r>
        <w:rPr>
          <w:rFonts w:hint="eastAsia"/>
          <w:color w:val="auto"/>
        </w:rPr>
        <w:t>（二）对于涉及国家机关出具的公文、证件、证明材料等文件，一旦涉嫌虚假，经查实，主管部门将依法从严处理，并移送有关部门追究法律责任；涉嫌犯罪的，移送司法机关</w:t>
      </w:r>
      <w:r>
        <w:rPr>
          <w:rFonts w:hint="eastAsia"/>
          <w:color w:val="auto"/>
          <w:lang w:eastAsia="zh-CN"/>
        </w:rPr>
        <w:t>处理</w:t>
      </w:r>
      <w:r>
        <w:rPr>
          <w:rFonts w:hint="eastAsia"/>
          <w:color w:val="auto"/>
        </w:rPr>
        <w:t>。</w:t>
      </w:r>
    </w:p>
    <w:p>
      <w:pPr>
        <w:spacing w:beforeLines="0" w:line="340" w:lineRule="exact"/>
        <w:ind w:firstLine="420" w:firstLineChars="200"/>
        <w:rPr>
          <w:color w:val="auto"/>
        </w:rPr>
      </w:pPr>
      <w:r>
        <w:rPr>
          <w:rFonts w:hint="eastAsia"/>
          <w:color w:val="auto"/>
        </w:rPr>
        <w:t>（</w:t>
      </w:r>
      <w:r>
        <w:rPr>
          <w:rFonts w:hint="eastAsia"/>
          <w:color w:val="auto"/>
          <w:lang w:eastAsia="zh-CN"/>
        </w:rPr>
        <w:t>三</w:t>
      </w:r>
      <w:r>
        <w:rPr>
          <w:rFonts w:hint="eastAsia"/>
          <w:color w:val="auto"/>
        </w:rPr>
        <w:t>）</w:t>
      </w:r>
      <w:r>
        <w:rPr>
          <w:rFonts w:hint="eastAsia"/>
          <w:color w:val="auto"/>
          <w:lang w:eastAsia="zh-CN"/>
        </w:rPr>
        <w:t>我</w:t>
      </w:r>
      <w:r>
        <w:rPr>
          <w:rFonts w:hint="eastAsia"/>
          <w:color w:val="auto"/>
          <w:lang w:val="en-US" w:eastAsia="zh-CN"/>
        </w:rPr>
        <w:t>单位</w:t>
      </w:r>
      <w:r>
        <w:rPr>
          <w:rFonts w:hint="eastAsia"/>
          <w:color w:val="auto"/>
        </w:rPr>
        <w:t>对投标电子密钥</w:t>
      </w:r>
      <w:r>
        <w:rPr>
          <w:rFonts w:hint="eastAsia"/>
          <w:color w:val="auto"/>
          <w:lang w:eastAsia="zh-CN"/>
        </w:rPr>
        <w:t>或</w:t>
      </w:r>
      <w:r>
        <w:rPr>
          <w:rFonts w:hint="eastAsia"/>
          <w:color w:val="auto"/>
          <w:lang w:val="en-US" w:eastAsia="zh-CN"/>
        </w:rPr>
        <w:t>电子营业执照</w:t>
      </w:r>
      <w:r>
        <w:rPr>
          <w:rFonts w:hint="eastAsia"/>
          <w:color w:val="auto"/>
        </w:rPr>
        <w:t>负有妥善保管、及时变更和续期等主体责任</w:t>
      </w:r>
      <w:r>
        <w:rPr>
          <w:rFonts w:hint="eastAsia"/>
          <w:color w:val="auto"/>
          <w:lang w:eastAsia="zh-CN"/>
        </w:rPr>
        <w:t>；</w:t>
      </w:r>
      <w:r>
        <w:rPr>
          <w:rFonts w:hint="eastAsia"/>
          <w:color w:val="auto"/>
        </w:rPr>
        <w:t>使用电子密钥</w:t>
      </w:r>
      <w:r>
        <w:rPr>
          <w:rFonts w:hint="eastAsia"/>
          <w:color w:val="auto"/>
          <w:lang w:eastAsia="zh-CN"/>
        </w:rPr>
        <w:t>或</w:t>
      </w:r>
      <w:r>
        <w:rPr>
          <w:rFonts w:hint="eastAsia"/>
          <w:color w:val="auto"/>
          <w:lang w:val="en-US" w:eastAsia="zh-CN"/>
        </w:rPr>
        <w:t>电子营业执照</w:t>
      </w:r>
      <w:r>
        <w:rPr>
          <w:rFonts w:hint="eastAsia"/>
          <w:color w:val="auto"/>
        </w:rPr>
        <w:t>在深圳政府采购网站进行的活动，均具有法律效力，须承担相应的法律后果。</w:t>
      </w:r>
      <w:r>
        <w:rPr>
          <w:rFonts w:hint="eastAsia"/>
          <w:color w:val="auto"/>
          <w:lang w:eastAsia="zh-CN"/>
        </w:rPr>
        <w:t>若</w:t>
      </w:r>
      <w:r>
        <w:rPr>
          <w:rFonts w:hint="eastAsia"/>
          <w:b/>
          <w:bCs/>
          <w:color w:val="auto"/>
        </w:rPr>
        <w:t>擅自将投标密钥</w:t>
      </w:r>
      <w:r>
        <w:rPr>
          <w:rFonts w:hint="eastAsia"/>
          <w:b/>
          <w:bCs/>
          <w:color w:val="auto"/>
          <w:lang w:eastAsia="zh-CN"/>
        </w:rPr>
        <w:t>或</w:t>
      </w:r>
      <w:r>
        <w:rPr>
          <w:rFonts w:hint="eastAsia"/>
          <w:b/>
          <w:bCs/>
          <w:color w:val="auto"/>
          <w:lang w:val="en-US" w:eastAsia="zh-CN"/>
        </w:rPr>
        <w:t>电子营业执照</w:t>
      </w:r>
      <w:r>
        <w:rPr>
          <w:rFonts w:hint="eastAsia"/>
          <w:b/>
          <w:bCs/>
          <w:color w:val="auto"/>
        </w:rPr>
        <w:t>出借他人使用所造成的法律后果，由</w:t>
      </w:r>
      <w:r>
        <w:rPr>
          <w:rFonts w:hint="eastAsia"/>
          <w:b/>
          <w:bCs/>
          <w:color w:val="auto"/>
          <w:lang w:eastAsia="zh-CN"/>
        </w:rPr>
        <w:t>我</w:t>
      </w:r>
      <w:r>
        <w:rPr>
          <w:rFonts w:hint="eastAsia"/>
          <w:b/>
          <w:bCs/>
          <w:color w:val="auto"/>
          <w:lang w:val="en-US" w:eastAsia="zh-CN"/>
        </w:rPr>
        <w:t>单位</w:t>
      </w:r>
      <w:r>
        <w:rPr>
          <w:rFonts w:hint="eastAsia"/>
          <w:b/>
          <w:bCs/>
          <w:color w:val="auto"/>
        </w:rPr>
        <w:t>自行承担</w:t>
      </w:r>
      <w:r>
        <w:rPr>
          <w:rFonts w:hint="eastAsia"/>
          <w:color w:val="auto"/>
        </w:rPr>
        <w:t>。</w:t>
      </w:r>
    </w:p>
    <w:p>
      <w:pPr>
        <w:spacing w:beforeLines="0" w:line="340" w:lineRule="exact"/>
        <w:ind w:firstLine="422" w:firstLineChars="200"/>
        <w:rPr>
          <w:b/>
          <w:color w:val="auto"/>
        </w:rPr>
      </w:pPr>
      <w:r>
        <w:rPr>
          <w:rFonts w:hint="eastAsia"/>
          <w:b/>
          <w:color w:val="auto"/>
        </w:rPr>
        <w:t>四、</w:t>
      </w:r>
      <w:r>
        <w:rPr>
          <w:rFonts w:hint="eastAsia"/>
          <w:b/>
          <w:color w:val="auto"/>
          <w:lang w:eastAsia="zh-CN"/>
        </w:rPr>
        <w:t>我</w:t>
      </w:r>
      <w:r>
        <w:rPr>
          <w:rFonts w:hint="eastAsia"/>
          <w:b/>
          <w:color w:val="auto"/>
          <w:lang w:val="en-US" w:eastAsia="zh-CN"/>
        </w:rPr>
        <w:t>单位</w:t>
      </w:r>
      <w:r>
        <w:rPr>
          <w:rFonts w:hint="eastAsia"/>
          <w:b/>
          <w:color w:val="auto"/>
        </w:rPr>
        <w:t>已充分知悉政府采购违法、违规行为的法律</w:t>
      </w:r>
      <w:r>
        <w:rPr>
          <w:rFonts w:hint="eastAsia"/>
          <w:b/>
          <w:color w:val="auto"/>
          <w:highlight w:val="none"/>
        </w:rPr>
        <w:t>后果。</w:t>
      </w:r>
    </w:p>
    <w:p>
      <w:pPr>
        <w:spacing w:beforeLines="0" w:line="340" w:lineRule="exact"/>
        <w:ind w:firstLine="420" w:firstLineChars="200"/>
        <w:rPr>
          <w:color w:val="auto"/>
          <w:highlight w:val="none"/>
        </w:rPr>
      </w:pPr>
      <w:r>
        <w:rPr>
          <w:rFonts w:hint="eastAsia"/>
          <w:color w:val="auto"/>
        </w:rPr>
        <w:t>经查实，若</w:t>
      </w:r>
      <w:r>
        <w:rPr>
          <w:rFonts w:hint="eastAsia"/>
          <w:color w:val="auto"/>
          <w:lang w:eastAsia="zh-CN"/>
        </w:rPr>
        <w:t>我</w:t>
      </w:r>
      <w:r>
        <w:rPr>
          <w:rFonts w:hint="eastAsia"/>
          <w:color w:val="auto"/>
          <w:lang w:val="en-US" w:eastAsia="zh-CN"/>
        </w:rPr>
        <w:t>单位</w:t>
      </w:r>
      <w:r>
        <w:rPr>
          <w:rFonts w:hint="eastAsia"/>
          <w:color w:val="auto"/>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color w:val="auto"/>
          <w:highlight w:val="none"/>
        </w:rPr>
        <w:t>分之二十以上千分之三十以下罚款，由市场监管部门依法吊销营业执照。</w:t>
      </w:r>
    </w:p>
    <w:p>
      <w:pPr>
        <w:spacing w:beforeLines="0" w:line="340" w:lineRule="exact"/>
        <w:ind w:firstLine="420" w:firstLineChars="200"/>
        <w:rPr>
          <w:color w:val="auto"/>
          <w:highlight w:val="yellow"/>
        </w:rPr>
      </w:pPr>
      <w:r>
        <w:rPr>
          <w:rFonts w:hint="eastAsia"/>
          <w:color w:val="auto"/>
          <w:highlight w:val="yellow"/>
        </w:rPr>
        <w:t>以下文字请投标供应商抄写并确认：“</w:t>
      </w:r>
      <w:r>
        <w:rPr>
          <w:rFonts w:hint="eastAsia"/>
          <w:color w:val="auto"/>
          <w:highlight w:val="yellow"/>
          <w:lang w:eastAsia="zh-CN"/>
        </w:rPr>
        <w:t>我</w:t>
      </w:r>
      <w:r>
        <w:rPr>
          <w:rFonts w:hint="eastAsia"/>
          <w:color w:val="auto"/>
          <w:highlight w:val="yellow"/>
          <w:lang w:val="en-US" w:eastAsia="zh-CN"/>
        </w:rPr>
        <w:t>单位</w:t>
      </w:r>
      <w:r>
        <w:rPr>
          <w:rFonts w:hint="eastAsia"/>
          <w:color w:val="auto"/>
          <w:highlight w:val="yellow"/>
        </w:rPr>
        <w:t>已仔细阅读《政府采购违法行为风险知悉确认书》，充分知悉违法行为的法律后果，并承诺将严谨、诚信、依法依规参与政府采购活动”。</w:t>
      </w:r>
    </w:p>
    <w:tbl>
      <w:tblPr>
        <w:tblStyle w:val="39"/>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highlight w:val="none"/>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r>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pPr>
              <w:autoSpaceDE w:val="0"/>
              <w:autoSpaceDN w:val="0"/>
              <w:spacing w:beforeLines="0" w:line="340" w:lineRule="exact"/>
              <w:ind w:firstLine="1866"/>
              <w:rPr>
                <w:rFonts w:ascii="宋体" w:hAnsi="宋体" w:eastAsia="宋体"/>
                <w:color w:val="auto"/>
                <w:spacing w:val="-4"/>
                <w:kern w:val="0"/>
                <w:szCs w:val="21"/>
              </w:rPr>
            </w:pPr>
          </w:p>
        </w:tc>
      </w:tr>
    </w:tbl>
    <w:p>
      <w:pPr>
        <w:widowControl/>
        <w:wordWrap w:val="0"/>
        <w:autoSpaceDE w:val="0"/>
        <w:autoSpaceDN w:val="0"/>
        <w:spacing w:beforeLines="0" w:line="340" w:lineRule="exact"/>
        <w:ind w:right="808" w:firstLine="404" w:firstLineChars="200"/>
        <w:jc w:val="right"/>
        <w:rPr>
          <w:rFonts w:hint="eastAsia" w:ascii="宋体" w:hAnsi="宋体" w:eastAsia="宋体"/>
          <w:color w:val="auto"/>
          <w:spacing w:val="-4"/>
          <w:kern w:val="0"/>
          <w:szCs w:val="21"/>
        </w:rPr>
      </w:pP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lang w:eastAsia="zh-CN"/>
        </w:rPr>
        <w:t>单位</w:t>
      </w:r>
      <w:r>
        <w:rPr>
          <w:rFonts w:hint="eastAsia" w:ascii="宋体" w:hAnsi="宋体" w:eastAsia="宋体"/>
          <w:color w:val="auto"/>
          <w:spacing w:val="-4"/>
          <w:kern w:val="0"/>
          <w:szCs w:val="21"/>
        </w:rPr>
        <w:t>负责人签名：</w:t>
      </w:r>
      <w:r>
        <w:rPr>
          <w:rFonts w:hint="eastAsia" w:ascii="宋体" w:hAnsi="宋体" w:eastAsia="宋体"/>
          <w:color w:val="auto"/>
          <w:spacing w:val="-4"/>
          <w:kern w:val="0"/>
          <w:szCs w:val="21"/>
          <w:u w:val="single"/>
        </w:rPr>
        <w:t xml:space="preserve">              </w:t>
      </w:r>
    </w:p>
    <w:p>
      <w:pPr>
        <w:widowControl/>
        <w:wordWrap w:val="0"/>
        <w:autoSpaceDE w:val="0"/>
        <w:autoSpaceDN w:val="0"/>
        <w:spacing w:beforeLines="0" w:line="340" w:lineRule="exact"/>
        <w:ind w:right="808" w:firstLine="404" w:firstLineChars="200"/>
        <w:jc w:val="center"/>
        <w:rPr>
          <w:rFonts w:ascii="宋体" w:hAnsi="宋体" w:eastAsia="宋体"/>
          <w:color w:val="auto"/>
          <w:spacing w:val="-4"/>
          <w:kern w:val="0"/>
          <w:szCs w:val="21"/>
          <w:u w:val="single"/>
        </w:rPr>
      </w:pPr>
      <w:r>
        <w:rPr>
          <w:rFonts w:hint="eastAsia" w:ascii="宋体" w:hAnsi="宋体" w:eastAsia="宋体"/>
          <w:color w:val="auto"/>
          <w:spacing w:val="-4"/>
          <w:kern w:val="0"/>
          <w:szCs w:val="21"/>
          <w:lang w:val="en-US" w:eastAsia="zh-CN"/>
        </w:rPr>
        <w:t xml:space="preserve">                                 </w:t>
      </w:r>
      <w:r>
        <w:rPr>
          <w:rFonts w:hint="eastAsia" w:ascii="宋体" w:hAnsi="宋体" w:eastAsia="宋体"/>
          <w:color w:val="auto"/>
          <w:spacing w:val="-4"/>
          <w:kern w:val="0"/>
          <w:szCs w:val="21"/>
          <w:lang w:eastAsia="zh-CN"/>
        </w:rPr>
        <w:t>（加盖</w:t>
      </w:r>
      <w:r>
        <w:rPr>
          <w:rFonts w:hint="eastAsia" w:ascii="宋体" w:hAnsi="宋体" w:eastAsia="宋体"/>
          <w:color w:val="auto"/>
          <w:spacing w:val="-4"/>
          <w:kern w:val="0"/>
          <w:szCs w:val="21"/>
        </w:rPr>
        <w:t>公章</w:t>
      </w:r>
      <w:r>
        <w:rPr>
          <w:rFonts w:hint="eastAsia" w:ascii="宋体" w:hAnsi="宋体" w:eastAsia="宋体"/>
          <w:color w:val="auto"/>
          <w:spacing w:val="-4"/>
          <w:kern w:val="0"/>
          <w:szCs w:val="21"/>
          <w:lang w:eastAsia="zh-CN"/>
        </w:rPr>
        <w:t>）</w:t>
      </w:r>
    </w:p>
    <w:p>
      <w:pPr>
        <w:widowControl/>
        <w:wordWrap w:val="0"/>
        <w:autoSpaceDE w:val="0"/>
        <w:autoSpaceDN w:val="0"/>
        <w:spacing w:beforeLines="0" w:line="340" w:lineRule="exact"/>
        <w:ind w:right="808" w:firstLine="404" w:firstLineChars="200"/>
        <w:jc w:val="right"/>
        <w:rPr>
          <w:rFonts w:ascii="宋体" w:hAnsi="宋体" w:eastAsia="宋体"/>
          <w:color w:val="auto"/>
          <w:spacing w:val="-4"/>
          <w:kern w:val="0"/>
          <w:szCs w:val="21"/>
          <w:u w:val="single"/>
        </w:rPr>
      </w:pPr>
      <w:r>
        <w:rPr>
          <w:rFonts w:hint="eastAsia" w:ascii="宋体" w:hAnsi="宋体" w:eastAsia="宋体"/>
          <w:color w:val="auto"/>
          <w:spacing w:val="-4"/>
          <w:kern w:val="0"/>
          <w:szCs w:val="21"/>
        </w:rPr>
        <w:t xml:space="preserve">     日期：</w:t>
      </w:r>
      <w:r>
        <w:rPr>
          <w:rFonts w:hint="eastAsia" w:ascii="宋体" w:hAnsi="宋体" w:eastAsia="宋体"/>
          <w:color w:val="auto"/>
          <w:spacing w:val="-4"/>
          <w:kern w:val="0"/>
          <w:szCs w:val="21"/>
          <w:u w:val="single"/>
        </w:rPr>
        <w:t xml:space="preserve">              </w:t>
      </w:r>
    </w:p>
    <w:p>
      <w:pPr>
        <w:widowControl/>
        <w:autoSpaceDE w:val="0"/>
        <w:autoSpaceDN w:val="0"/>
        <w:spacing w:beforeLines="0" w:line="340" w:lineRule="exact"/>
        <w:ind w:firstLine="406" w:firstLineChars="200"/>
        <w:jc w:val="left"/>
        <w:rPr>
          <w:rFonts w:hint="eastAsia" w:ascii="宋体" w:hAnsi="宋体" w:eastAsia="宋体"/>
          <w:b/>
          <w:bCs/>
          <w:color w:val="auto"/>
          <w:spacing w:val="-4"/>
          <w:kern w:val="0"/>
          <w:szCs w:val="21"/>
        </w:rPr>
      </w:pPr>
    </w:p>
    <w:p>
      <w:pPr>
        <w:keepNext w:val="0"/>
        <w:keepLines w:val="0"/>
        <w:pageBreakBefore w:val="0"/>
        <w:widowControl/>
        <w:suppressLineNumbers w:val="0"/>
        <w:kinsoku/>
        <w:wordWrap/>
        <w:overflowPunct/>
        <w:topLinePunct w:val="0"/>
        <w:autoSpaceDE w:val="0"/>
        <w:autoSpaceDN w:val="0"/>
        <w:bidi w:val="0"/>
        <w:adjustRightInd/>
        <w:snapToGrid/>
        <w:spacing w:beforeLines="0" w:line="340" w:lineRule="exact"/>
        <w:ind w:firstLine="406" w:firstLineChars="200"/>
        <w:jc w:val="left"/>
        <w:textAlignment w:val="auto"/>
        <w:rPr>
          <w:rFonts w:hint="eastAsia" w:ascii="宋体" w:hAnsi="宋体" w:eastAsia="宋体"/>
          <w:b/>
          <w:bCs/>
          <w:color w:val="auto"/>
          <w:spacing w:val="-4"/>
          <w:kern w:val="0"/>
          <w:szCs w:val="21"/>
          <w:highlight w:val="none"/>
        </w:rPr>
      </w:pPr>
      <w:r>
        <w:rPr>
          <w:rFonts w:hint="eastAsia" w:ascii="宋体" w:hAnsi="宋体" w:eastAsia="宋体"/>
          <w:b/>
          <w:bCs/>
          <w:color w:val="auto"/>
          <w:spacing w:val="-4"/>
          <w:kern w:val="0"/>
          <w:szCs w:val="21"/>
        </w:rPr>
        <w:t>注：</w:t>
      </w:r>
      <w:r>
        <w:rPr>
          <w:rFonts w:hint="eastAsia" w:ascii="宋体" w:hAnsi="宋体"/>
          <w:b/>
          <w:bCs/>
          <w:color w:val="auto"/>
          <w:spacing w:val="-4"/>
          <w:kern w:val="0"/>
          <w:szCs w:val="21"/>
          <w:lang w:val="en-US" w:eastAsia="zh-CN"/>
        </w:rPr>
        <w:t>1.</w:t>
      </w:r>
      <w:r>
        <w:rPr>
          <w:rFonts w:hint="eastAsia" w:ascii="宋体" w:hAnsi="宋体" w:eastAsia="宋体"/>
          <w:b/>
          <w:bCs/>
          <w:color w:val="auto"/>
          <w:spacing w:val="-4"/>
          <w:kern w:val="0"/>
          <w:szCs w:val="21"/>
          <w:lang w:eastAsia="zh-CN"/>
        </w:rPr>
        <w:t>《</w:t>
      </w:r>
      <w:r>
        <w:rPr>
          <w:rFonts w:hint="eastAsia" w:ascii="宋体" w:hAnsi="宋体" w:eastAsia="宋体"/>
          <w:b/>
          <w:bCs/>
          <w:color w:val="auto"/>
          <w:spacing w:val="-4"/>
          <w:kern w:val="0"/>
          <w:szCs w:val="21"/>
          <w:lang w:val="en-US" w:eastAsia="zh-CN"/>
        </w:rPr>
        <w:t>政府采购违法行为风险知悉确认书</w:t>
      </w:r>
      <w:r>
        <w:rPr>
          <w:rFonts w:hint="eastAsia" w:ascii="宋体" w:hAnsi="宋体" w:eastAsia="宋体"/>
          <w:b/>
          <w:bCs/>
          <w:color w:val="auto"/>
          <w:spacing w:val="-4"/>
          <w:kern w:val="0"/>
          <w:szCs w:val="21"/>
          <w:lang w:eastAsia="zh-CN"/>
        </w:rPr>
        <w:t>》需由</w:t>
      </w:r>
      <w:r>
        <w:rPr>
          <w:rFonts w:hint="eastAsia" w:ascii="宋体" w:hAnsi="宋体" w:eastAsia="宋体"/>
          <w:b/>
          <w:bCs/>
          <w:color w:val="auto"/>
          <w:spacing w:val="-4"/>
          <w:kern w:val="0"/>
          <w:szCs w:val="21"/>
          <w:highlight w:val="none"/>
        </w:rPr>
        <w:t>投标供应商负责人签字并加盖单位公章后，扫描上传至投标文件一并提交。</w:t>
      </w:r>
    </w:p>
    <w:p>
      <w:pPr>
        <w:pStyle w:val="51"/>
        <w:keepNext w:val="0"/>
        <w:keepLines w:val="0"/>
        <w:pageBreakBefore w:val="0"/>
        <w:kinsoku/>
        <w:wordWrap/>
        <w:overflowPunct/>
        <w:topLinePunct w:val="0"/>
        <w:bidi w:val="0"/>
        <w:adjustRightInd/>
        <w:snapToGrid/>
        <w:ind w:firstLine="422" w:firstLineChars="200"/>
        <w:textAlignment w:val="auto"/>
        <w:rPr>
          <w:b/>
          <w:bCs/>
          <w:color w:val="auto"/>
          <w:lang w:val="en-US" w:eastAsia="zh-CN"/>
        </w:rPr>
      </w:pPr>
      <w:r>
        <w:rPr>
          <w:rFonts w:hint="eastAsia"/>
          <w:b/>
          <w:bCs/>
          <w:color w:val="auto"/>
          <w:lang w:val="en-US" w:eastAsia="zh-CN"/>
        </w:rPr>
        <w:t>2.根据《深圳市财政局关于在采购文件及深圳政府采购智慧平台增设供应商投标特别警示条款等事宜的通知》（深财购〔2025〕7号）的要求，《政府采购违法行为风险知悉确认书》用于对供应商违法行为的提醒，不作为供应商资格性审查及符合性审查条件。</w:t>
      </w:r>
    </w:p>
    <w:p>
      <w:pPr>
        <w:widowControl/>
        <w:wordWrap/>
        <w:autoSpaceDE w:val="0"/>
        <w:autoSpaceDN w:val="0"/>
        <w:spacing w:line="400" w:lineRule="exact"/>
        <w:ind w:right="1414" w:firstLine="480" w:firstLineChars="200"/>
        <w:jc w:val="right"/>
        <w:rPr>
          <w:rFonts w:eastAsiaTheme="minorEastAsia"/>
          <w:kern w:val="0"/>
          <w:sz w:val="24"/>
        </w:rPr>
      </w:pPr>
    </w:p>
    <w:p>
      <w:pPr>
        <w:jc w:val="center"/>
        <w:rPr>
          <w:rFonts w:hint="eastAsia" w:ascii="黑体" w:eastAsia="黑体"/>
          <w:b w:val="0"/>
          <w:bCs w:val="0"/>
          <w:sz w:val="24"/>
          <w:szCs w:val="20"/>
          <w:lang w:val="en-US" w:eastAsia="zh-CN"/>
        </w:rPr>
      </w:pPr>
      <w:r>
        <w:rPr>
          <w:rFonts w:hint="eastAsia" w:ascii="黑体" w:eastAsia="黑体"/>
          <w:b w:val="0"/>
          <w:bCs w:val="0"/>
          <w:sz w:val="24"/>
          <w:szCs w:val="20"/>
          <w:lang w:val="en-US" w:eastAsia="zh-CN"/>
        </w:rPr>
        <w:t>（二）订单融资情况</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ascii="宋体" w:hAnsi="宋体" w:cs="宋体"/>
          <w:b/>
          <w:bCs/>
        </w:rPr>
      </w:pPr>
      <w:r>
        <w:rPr>
          <w:rFonts w:hint="eastAsia" w:ascii="宋体" w:hAnsi="宋体" w:cs="宋体"/>
          <w:b/>
          <w:bCs/>
          <w:lang w:val="en-US" w:eastAsia="zh-CN"/>
        </w:rPr>
        <w:t>1</w:t>
      </w:r>
      <w:r>
        <w:rPr>
          <w:rFonts w:hint="eastAsia" w:ascii="宋体" w:hAnsi="宋体" w:cs="宋体"/>
          <w:b/>
          <w:bCs/>
          <w:lang w:eastAsia="zh-CN"/>
        </w:rPr>
        <w:t>、</w:t>
      </w:r>
      <w:r>
        <w:rPr>
          <w:rFonts w:hint="eastAsia" w:ascii="宋体" w:hAnsi="宋体" w:cs="宋体"/>
          <w:b/>
          <w:bCs/>
        </w:rPr>
        <w:t>关于政府采购订单融资政策</w:t>
      </w:r>
    </w:p>
    <w:p>
      <w:pPr>
        <w:pStyle w:val="10"/>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b w:val="0"/>
          <w:bCs/>
          <w:kern w:val="2"/>
          <w:sz w:val="21"/>
          <w:szCs w:val="21"/>
          <w:lang w:val="en-US" w:eastAsia="zh-CN" w:bidi="ar-SA"/>
        </w:rPr>
      </w:pPr>
      <w:r>
        <w:rPr>
          <w:rFonts w:hint="eastAsia" w:ascii="Times New Roman" w:hAnsi="Times New Roman" w:eastAsia="宋体" w:cs="Times New Roman"/>
          <w:b w:val="0"/>
          <w:bCs/>
          <w:kern w:val="2"/>
          <w:sz w:val="21"/>
          <w:szCs w:val="21"/>
          <w:lang w:val="en-US" w:eastAsia="zh-CN" w:bidi="ar-SA"/>
        </w:rPr>
        <w:t>为深入贯彻落实国家深化政府采购制度改革精神，充分发挥政府采购扶持中小企业发展的政策功能，缓解中小微企业融资难、融资贵的问题，根据《深圳市财政局关于加大力度运用政府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pPr>
        <w:keepNext w:val="0"/>
        <w:keepLines w:val="0"/>
        <w:pageBreakBefore w:val="0"/>
        <w:widowControl w:val="0"/>
        <w:kinsoku/>
        <w:wordWrap/>
        <w:overflowPunct/>
        <w:topLinePunct w:val="0"/>
        <w:autoSpaceDE/>
        <w:autoSpaceDN/>
        <w:bidi w:val="0"/>
        <w:adjustRightInd/>
        <w:snapToGrid/>
        <w:spacing w:line="240" w:lineRule="auto"/>
        <w:ind w:firstLine="422" w:firstLineChars="200"/>
        <w:textAlignment w:val="auto"/>
        <w:rPr>
          <w:rFonts w:hint="eastAsia" w:ascii="宋体" w:hAnsi="宋体" w:cs="宋体"/>
          <w:b/>
          <w:bCs/>
          <w:lang w:val="en-US" w:eastAsia="zh-CN"/>
        </w:rPr>
      </w:pPr>
      <w:r>
        <w:rPr>
          <w:rFonts w:hint="eastAsia" w:ascii="宋体" w:hAnsi="宋体" w:cs="宋体"/>
          <w:b/>
          <w:bCs/>
          <w:lang w:val="en-US" w:eastAsia="zh-CN"/>
        </w:rPr>
        <w:t>2</w:t>
      </w:r>
      <w:r>
        <w:rPr>
          <w:rFonts w:hint="eastAsia" w:ascii="宋体" w:hAnsi="宋体" w:cs="宋体"/>
          <w:b/>
          <w:bCs/>
          <w:lang w:eastAsia="zh-CN"/>
        </w:rPr>
        <w:t>、</w:t>
      </w:r>
      <w:r>
        <w:rPr>
          <w:rFonts w:hint="eastAsia" w:ascii="宋体" w:hAnsi="宋体" w:cs="宋体"/>
          <w:b/>
          <w:bCs/>
          <w:lang w:val="en-US" w:eastAsia="zh-CN"/>
        </w:rPr>
        <w:t>供应商账户信息</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rPr>
      </w:pPr>
      <w:r>
        <w:rPr>
          <w:rFonts w:hint="eastAsia"/>
          <w:szCs w:val="21"/>
        </w:rPr>
        <w:t>投标人</w:t>
      </w:r>
      <w:r>
        <w:rPr>
          <w:rFonts w:hint="eastAsia"/>
          <w:szCs w:val="21"/>
          <w:lang w:eastAsia="zh-CN"/>
        </w:rPr>
        <w:t>（</w:t>
      </w:r>
      <w:r>
        <w:rPr>
          <w:rFonts w:hint="eastAsia"/>
          <w:szCs w:val="21"/>
          <w:lang w:val="en-US" w:eastAsia="zh-CN"/>
        </w:rPr>
        <w:t>单位全称</w:t>
      </w:r>
      <w:r>
        <w:rPr>
          <w:rFonts w:hint="eastAsia"/>
          <w:szCs w:val="21"/>
          <w:lang w:eastAsia="zh-CN"/>
        </w:rPr>
        <w:t>）</w:t>
      </w:r>
      <w:r>
        <w:rPr>
          <w:rFonts w:hint="eastAsia"/>
          <w:szCs w:val="21"/>
        </w:rPr>
        <w:t>：</w:t>
      </w:r>
      <w:r>
        <w:rPr>
          <w:rFonts w:hint="eastAsia"/>
          <w:szCs w:val="21"/>
          <w:u w:val="thick"/>
        </w:rPr>
        <w:t xml:space="preserve">      </w:t>
      </w:r>
      <w:r>
        <w:rPr>
          <w:rFonts w:hint="eastAsia"/>
          <w:szCs w:val="21"/>
          <w:u w:val="thick"/>
          <w:lang w:val="en-US" w:eastAsia="zh-CN"/>
        </w:rPr>
        <w:t xml:space="preserve">                            </w:t>
      </w:r>
      <w:r>
        <w:rPr>
          <w:rFonts w:hint="eastAsia" w:eastAsia="宋体"/>
          <w:szCs w:val="21"/>
          <w:lang w:eastAsia="zh-CN"/>
        </w:rPr>
        <w:t>；</w:t>
      </w:r>
      <w:r>
        <w:rPr>
          <w:rFonts w:hint="eastAsia"/>
          <w:szCs w:val="21"/>
        </w:rPr>
        <w:t xml:space="preserve">  </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lang w:val="en-US" w:eastAsia="zh-CN"/>
        </w:rPr>
        <w:t>投标人</w:t>
      </w:r>
      <w:r>
        <w:rPr>
          <w:rFonts w:hint="eastAsia"/>
          <w:szCs w:val="21"/>
        </w:rPr>
        <w:t>单位地址：</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ascii="Times New Roman" w:eastAsia="宋体"/>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rPr>
        <w:t>法定代表人（负责人）或其</w:t>
      </w:r>
      <w:r>
        <w:rPr>
          <w:rFonts w:hint="eastAsia" w:ascii="Times New Roman" w:eastAsia="宋体"/>
          <w:szCs w:val="21"/>
          <w:lang w:val="en-US" w:eastAsia="zh-CN"/>
        </w:rPr>
        <w:t>授权</w:t>
      </w:r>
      <w:r>
        <w:rPr>
          <w:rFonts w:hint="eastAsia"/>
          <w:szCs w:val="21"/>
        </w:rPr>
        <w:t>委托代理人：</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rPr>
      </w:pPr>
      <w:r>
        <w:rPr>
          <w:rFonts w:hint="eastAsia"/>
          <w:szCs w:val="21"/>
          <w:lang w:val="en-US" w:eastAsia="zh-CN"/>
        </w:rPr>
        <w:t>联系</w:t>
      </w:r>
      <w:r>
        <w:rPr>
          <w:rFonts w:hint="eastAsia"/>
          <w:szCs w:val="21"/>
        </w:rPr>
        <w:t>电话</w:t>
      </w:r>
      <w:r>
        <w:rPr>
          <w:rFonts w:hint="eastAsia"/>
          <w:szCs w:val="21"/>
          <w:u w:val="none"/>
        </w:rPr>
        <w:t>：</w:t>
      </w:r>
      <w:r>
        <w:rPr>
          <w:rFonts w:hint="eastAsia"/>
          <w:szCs w:val="21"/>
          <w:u w:val="thick"/>
        </w:rPr>
        <w:t xml:space="preserve">        </w:t>
      </w:r>
      <w:r>
        <w:rPr>
          <w:rFonts w:hint="eastAsia" w:ascii="Times New Roman" w:eastAsia="宋体"/>
          <w:szCs w:val="21"/>
          <w:u w:val="thick"/>
          <w:lang w:val="en-US" w:eastAsia="zh-CN"/>
        </w:rPr>
        <w:t xml:space="preserve">      </w:t>
      </w:r>
      <w:r>
        <w:rPr>
          <w:rFonts w:hint="eastAsia"/>
          <w:szCs w:val="21"/>
          <w:u w:val="thick"/>
          <w:lang w:val="en-US" w:eastAsia="zh-CN"/>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ascii="Times New Roman" w:eastAsia="宋体"/>
          <w:szCs w:val="21"/>
          <w:lang w:val="en-US" w:eastAsia="zh-CN"/>
        </w:rPr>
        <w:t>开户银行名称：</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eastAsia="宋体"/>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thick"/>
          <w:lang w:eastAsia="zh-CN"/>
        </w:rPr>
      </w:pPr>
      <w:r>
        <w:rPr>
          <w:rFonts w:hint="eastAsia"/>
          <w:szCs w:val="21"/>
          <w:u w:val="none"/>
          <w:lang w:val="en-US" w:eastAsia="zh-CN"/>
        </w:rPr>
        <w:t>开户银行账号：</w:t>
      </w:r>
      <w:r>
        <w:rPr>
          <w:rFonts w:hint="eastAsia"/>
          <w:szCs w:val="21"/>
          <w:u w:val="thick"/>
        </w:rPr>
        <w:t xml:space="preserve">      </w:t>
      </w:r>
      <w:r>
        <w:rPr>
          <w:rFonts w:hint="eastAsia"/>
          <w:szCs w:val="21"/>
          <w:u w:val="thick"/>
          <w:lang w:val="en-US" w:eastAsia="zh-CN"/>
        </w:rPr>
        <w:t xml:space="preserve">              </w:t>
      </w:r>
      <w:r>
        <w:rPr>
          <w:rFonts w:hint="eastAsia"/>
          <w:szCs w:val="21"/>
          <w:u w:val="thick"/>
        </w:rPr>
        <w:t xml:space="preserve"> </w:t>
      </w:r>
      <w:r>
        <w:rPr>
          <w:rFonts w:hint="eastAsia"/>
          <w:szCs w:val="21"/>
          <w:u w:val="none"/>
          <w:lang w:eastAsia="zh-CN"/>
        </w:rPr>
        <w:t>；</w:t>
      </w:r>
    </w:p>
    <w:p>
      <w:pPr>
        <w:keepNext w:val="0"/>
        <w:keepLines w:val="0"/>
        <w:pageBreakBefore w:val="0"/>
        <w:widowControl w:val="0"/>
        <w:kinsoku/>
        <w:wordWrap w:val="0"/>
        <w:overflowPunct/>
        <w:topLinePunct w:val="0"/>
        <w:autoSpaceDE/>
        <w:autoSpaceDN/>
        <w:bidi w:val="0"/>
        <w:adjustRightInd/>
        <w:snapToGrid/>
        <w:ind w:left="420" w:leftChars="200" w:firstLine="210" w:firstLineChars="100"/>
        <w:textAlignment w:val="auto"/>
        <w:rPr>
          <w:rFonts w:hint="eastAsia"/>
          <w:szCs w:val="21"/>
          <w:u w:val="none"/>
          <w:lang w:eastAsia="zh-CN"/>
        </w:rPr>
      </w:pPr>
      <w:r>
        <w:rPr>
          <w:rFonts w:hint="eastAsia"/>
          <w:szCs w:val="21"/>
          <w:u w:val="none"/>
          <w:lang w:val="en-US" w:eastAsia="zh-CN"/>
        </w:rPr>
        <w:t>开户银行地址：</w:t>
      </w:r>
      <w:r>
        <w:rPr>
          <w:rFonts w:hint="eastAsia"/>
          <w:szCs w:val="21"/>
          <w:u w:val="thick"/>
        </w:rPr>
        <w:t xml:space="preserve">    </w:t>
      </w:r>
      <w:r>
        <w:rPr>
          <w:rFonts w:hint="eastAsia"/>
          <w:szCs w:val="21"/>
          <w:u w:val="thick"/>
          <w:lang w:val="en-US" w:eastAsia="zh-CN"/>
        </w:rPr>
        <w:t xml:space="preserve">                 </w:t>
      </w:r>
      <w:r>
        <w:rPr>
          <w:rFonts w:hint="eastAsia"/>
          <w:szCs w:val="21"/>
          <w:u w:val="none"/>
          <w:lang w:eastAsia="zh-CN"/>
        </w:rPr>
        <w:t>。</w:t>
      </w:r>
    </w:p>
    <w:p>
      <w:pPr>
        <w:ind w:left="420" w:leftChars="200" w:firstLine="210" w:firstLineChars="100"/>
        <w:rPr>
          <w:rFonts w:hint="eastAsia"/>
          <w:szCs w:val="21"/>
          <w:u w:val="none"/>
        </w:rPr>
      </w:pPr>
      <w:r>
        <w:rPr>
          <w:rFonts w:hint="eastAsia"/>
          <w:szCs w:val="21"/>
          <w:u w:val="none"/>
        </w:rPr>
        <w:t xml:space="preserve"> </w:t>
      </w:r>
      <w:r>
        <w:rPr>
          <w:rFonts w:hint="eastAsia" w:ascii="宋体" w:hAnsi="宋体" w:eastAsiaTheme="minorEastAsia"/>
          <w:b/>
          <w:bCs/>
          <w:color w:val="FF0000"/>
          <w:spacing w:val="-4"/>
          <w:kern w:val="0"/>
          <w:szCs w:val="21"/>
          <w:lang w:val="en-US" w:eastAsia="zh-CN"/>
        </w:rPr>
        <w:t>注：本项填写内容作为订单融资开展的参考信息，</w:t>
      </w:r>
      <w:r>
        <w:rPr>
          <w:rFonts w:hint="eastAsia" w:ascii="宋体" w:hAnsi="宋体" w:eastAsiaTheme="minorEastAsia"/>
          <w:b/>
          <w:bCs/>
          <w:color w:val="FF0000"/>
          <w:spacing w:val="-4"/>
          <w:kern w:val="0"/>
          <w:szCs w:val="21"/>
        </w:rPr>
        <w:t>不作为供应商资格性审查及符合性审查条件。</w:t>
      </w:r>
    </w:p>
    <w:p>
      <w:pPr>
        <w:widowControl/>
        <w:tabs>
          <w:tab w:val="left" w:pos="8200"/>
        </w:tabs>
        <w:wordWrap/>
        <w:autoSpaceDE w:val="0"/>
        <w:autoSpaceDN w:val="0"/>
        <w:spacing w:line="400" w:lineRule="exact"/>
        <w:ind w:right="1414" w:firstLine="406" w:firstLineChars="200"/>
        <w:jc w:val="both"/>
        <w:rPr>
          <w:rFonts w:hint="eastAsia" w:ascii="宋体" w:hAnsi="宋体" w:eastAsiaTheme="minorEastAsia"/>
          <w:b/>
          <w:bCs/>
          <w:color w:val="FF0000"/>
          <w:spacing w:val="-4"/>
          <w:kern w:val="0"/>
          <w:szCs w:val="21"/>
          <w:lang w:val="en-US" w:eastAsia="zh-CN"/>
        </w:rPr>
      </w:pPr>
    </w:p>
    <w:p>
      <w:pPr>
        <w:ind w:firstLine="720" w:firstLineChars="300"/>
        <w:rPr>
          <w:sz w:val="24"/>
        </w:rPr>
      </w:pPr>
    </w:p>
    <w:p>
      <w:pPr>
        <w:widowControl/>
        <w:spacing w:line="360" w:lineRule="auto"/>
        <w:jc w:val="left"/>
        <w:rPr>
          <w:rFonts w:eastAsiaTheme="minorEastAsia"/>
          <w:b/>
          <w:bCs/>
          <w:kern w:val="0"/>
          <w:sz w:val="24"/>
        </w:rPr>
      </w:pPr>
    </w:p>
    <w:p>
      <w:pPr>
        <w:widowControl/>
        <w:jc w:val="center"/>
        <w:rPr>
          <w:rFonts w:ascii="黑体" w:hAnsi="宋体" w:eastAsia="黑体"/>
          <w:kern w:val="0"/>
          <w:sz w:val="24"/>
          <w:szCs w:val="20"/>
        </w:rPr>
      </w:pPr>
      <w:r>
        <w:rPr>
          <w:rFonts w:hint="eastAsia" w:ascii="黑体" w:hAnsi="宋体" w:eastAsia="黑体"/>
          <w:kern w:val="0"/>
          <w:sz w:val="24"/>
          <w:szCs w:val="20"/>
        </w:rPr>
        <w:t>（</w:t>
      </w:r>
      <w:r>
        <w:rPr>
          <w:rFonts w:hint="eastAsia" w:ascii="黑体" w:hAnsi="宋体" w:eastAsia="黑体"/>
          <w:kern w:val="0"/>
          <w:sz w:val="24"/>
          <w:szCs w:val="20"/>
          <w:lang w:val="en-US" w:eastAsia="zh-CN"/>
        </w:rPr>
        <w:t>三</w:t>
      </w:r>
      <w:r>
        <w:rPr>
          <w:rFonts w:hint="eastAsia" w:ascii="黑体" w:hAnsi="宋体" w:eastAsia="黑体"/>
          <w:kern w:val="0"/>
          <w:sz w:val="24"/>
          <w:szCs w:val="20"/>
        </w:rPr>
        <w:t>）投标人认为需要加以说明的其他内容（格式自定）</w:t>
      </w:r>
    </w:p>
    <w:p>
      <w:pPr>
        <w:widowControl/>
        <w:jc w:val="center"/>
        <w:rPr>
          <w:rFonts w:ascii="黑体" w:hAnsi="宋体" w:eastAsia="黑体"/>
          <w:kern w:val="0"/>
          <w:sz w:val="24"/>
          <w:szCs w:val="20"/>
        </w:rPr>
      </w:pPr>
    </w:p>
    <w:p>
      <w:pPr>
        <w:spacing w:after="78" w:afterLines="25" w:line="300" w:lineRule="auto"/>
        <w:rPr>
          <w:rFonts w:ascii="Arial" w:hAnsi="Arial" w:eastAsia="宋体" w:cs="Times New Roman"/>
          <w:sz w:val="24"/>
          <w:szCs w:val="24"/>
        </w:rPr>
      </w:pPr>
    </w:p>
    <w:p>
      <w:pPr>
        <w:spacing w:after="78" w:afterLines="25" w:line="300" w:lineRule="auto"/>
        <w:rPr>
          <w:rFonts w:ascii="Arial" w:hAnsi="Arial" w:eastAsia="宋体" w:cs="Times New Roman"/>
          <w:sz w:val="24"/>
          <w:szCs w:val="24"/>
        </w:rPr>
      </w:pPr>
    </w:p>
    <w:p>
      <w:pPr>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br w:type="page"/>
      </w:r>
    </w:p>
    <w:p>
      <w:pPr>
        <w:keepNext/>
        <w:keepLines/>
        <w:adjustRightInd w:val="0"/>
        <w:spacing w:before="260" w:after="260"/>
        <w:jc w:val="center"/>
        <w:textAlignment w:val="baseline"/>
        <w:outlineLvl w:val="1"/>
        <w:rPr>
          <w:rFonts w:hint="eastAsia" w:ascii="宋体" w:hAnsi="宋体" w:eastAsia="宋体" w:cs="Times New Roman"/>
          <w:b/>
          <w:bCs/>
          <w:kern w:val="0"/>
          <w:sz w:val="28"/>
          <w:szCs w:val="28"/>
        </w:rPr>
      </w:pPr>
      <w:r>
        <w:rPr>
          <w:rFonts w:hint="eastAsia" w:ascii="宋体" w:hAnsi="宋体" w:eastAsia="宋体" w:cs="Times New Roman"/>
          <w:b/>
          <w:bCs/>
          <w:kern w:val="0"/>
          <w:sz w:val="28"/>
          <w:szCs w:val="28"/>
        </w:rPr>
        <w:t>第五章  合同条款及格式</w:t>
      </w:r>
    </w:p>
    <w:p>
      <w:pPr>
        <w:widowControl/>
        <w:jc w:val="center"/>
        <w:rPr>
          <w:rFonts w:hint="eastAsia" w:ascii="宋体" w:hAnsi="宋体" w:eastAsia="黑体" w:cs="Times New Roman"/>
          <w:bCs/>
          <w:kern w:val="44"/>
          <w:sz w:val="28"/>
          <w:szCs w:val="44"/>
        </w:rPr>
      </w:pPr>
      <w:bookmarkStart w:id="53" w:name="_Hlk72574405"/>
      <w:r>
        <w:rPr>
          <w:rFonts w:hint="eastAsia"/>
          <w:b/>
          <w:sz w:val="24"/>
        </w:rPr>
        <w:t>（仅供参考，具体以项目需求及采购结果为准）</w:t>
      </w:r>
      <w:bookmarkEnd w:id="53"/>
    </w:p>
    <w:p>
      <w:pPr>
        <w:snapToGrid w:val="0"/>
        <w:spacing w:line="300" w:lineRule="auto"/>
        <w:jc w:val="center"/>
        <w:rPr>
          <w:rFonts w:hint="eastAsia" w:ascii="仿宋" w:hAnsi="仿宋" w:eastAsia="仿宋" w:cs="Times New Roman"/>
          <w:sz w:val="28"/>
          <w:szCs w:val="28"/>
        </w:rPr>
      </w:pPr>
    </w:p>
    <w:p>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政府采购货物买卖合同</w:t>
      </w:r>
    </w:p>
    <w:p>
      <w:pPr>
        <w:jc w:val="center"/>
        <w:rPr>
          <w:rFonts w:hint="eastAsia" w:ascii="宋体" w:hAnsi="宋体" w:eastAsia="宋体" w:cs="宋体"/>
          <w:b/>
          <w:bCs/>
          <w:spacing w:val="-20"/>
          <w:kern w:val="44"/>
          <w:sz w:val="48"/>
          <w:szCs w:val="48"/>
        </w:rPr>
      </w:pPr>
      <w:r>
        <w:rPr>
          <w:rFonts w:hint="eastAsia" w:ascii="宋体" w:hAnsi="宋体" w:eastAsia="宋体" w:cs="宋体"/>
          <w:b/>
          <w:bCs/>
          <w:spacing w:val="-20"/>
          <w:kern w:val="44"/>
          <w:sz w:val="48"/>
          <w:szCs w:val="48"/>
        </w:rPr>
        <w:t>（试行）</w:t>
      </w: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rPr>
          <w:rFonts w:hint="eastAsia" w:ascii="宋体" w:hAnsi="宋体" w:eastAsia="宋体" w:cs="宋体"/>
          <w:b/>
          <w:bCs/>
          <w:spacing w:val="-20"/>
          <w:kern w:val="44"/>
          <w:sz w:val="40"/>
          <w:szCs w:val="40"/>
        </w:rPr>
      </w:pPr>
    </w:p>
    <w:p>
      <w:pPr>
        <w:spacing w:line="360" w:lineRule="auto"/>
        <w:ind w:left="420" w:leftChars="200"/>
        <w:rPr>
          <w:rFonts w:eastAsia="宋体"/>
          <w:sz w:val="32"/>
          <w:szCs w:val="32"/>
        </w:rPr>
      </w:pPr>
      <w:r>
        <w:rPr>
          <w:rFonts w:hint="eastAsia" w:ascii="宋体" w:hAnsi="宋体" w:eastAsia="宋体" w:cs="宋体"/>
          <w:kern w:val="0"/>
          <w:sz w:val="32"/>
          <w:szCs w:val="32"/>
        </w:rPr>
        <w:t>项目名称：</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合同编号：</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甲    方：</w:t>
      </w:r>
      <w:r>
        <w:rPr>
          <w:rFonts w:hint="eastAsia" w:eastAsia="宋体"/>
          <w:sz w:val="32"/>
          <w:szCs w:val="32"/>
          <w:u w:val="single"/>
        </w:rPr>
        <w:t xml:space="preserve">                             </w:t>
      </w:r>
    </w:p>
    <w:p>
      <w:pPr>
        <w:spacing w:line="360" w:lineRule="auto"/>
        <w:ind w:left="420" w:leftChars="200"/>
        <w:rPr>
          <w:rFonts w:eastAsia="宋体"/>
          <w:sz w:val="32"/>
          <w:szCs w:val="32"/>
          <w:u w:val="single"/>
        </w:rPr>
      </w:pPr>
      <w:r>
        <w:rPr>
          <w:rFonts w:hint="eastAsia" w:eastAsia="宋体"/>
          <w:sz w:val="32"/>
          <w:szCs w:val="32"/>
        </w:rPr>
        <w:t>乙    方：</w:t>
      </w:r>
      <w:r>
        <w:rPr>
          <w:rFonts w:hint="eastAsia" w:eastAsia="宋体"/>
          <w:sz w:val="32"/>
          <w:szCs w:val="32"/>
          <w:u w:val="single"/>
        </w:rPr>
        <w:t xml:space="preserve">                             </w:t>
      </w:r>
    </w:p>
    <w:p>
      <w:pPr>
        <w:spacing w:line="360" w:lineRule="auto"/>
        <w:ind w:left="420" w:leftChars="200"/>
        <w:rPr>
          <w:rFonts w:eastAsia="宋体"/>
          <w:sz w:val="32"/>
          <w:szCs w:val="32"/>
        </w:rPr>
      </w:pPr>
      <w:r>
        <w:rPr>
          <w:rFonts w:hint="eastAsia" w:eastAsia="宋体"/>
          <w:sz w:val="32"/>
          <w:szCs w:val="32"/>
        </w:rPr>
        <w:t>签订时间：</w:t>
      </w:r>
      <w:r>
        <w:rPr>
          <w:rFonts w:hint="eastAsia" w:eastAsia="宋体"/>
          <w:sz w:val="32"/>
          <w:szCs w:val="32"/>
          <w:u w:val="single"/>
        </w:rPr>
        <w:t xml:space="preserve">      </w:t>
      </w:r>
      <w:r>
        <w:rPr>
          <w:rFonts w:eastAsia="宋体"/>
          <w:sz w:val="32"/>
          <w:szCs w:val="32"/>
          <w:u w:val="single"/>
        </w:rPr>
        <w:t xml:space="preserve">           </w:t>
      </w:r>
      <w:r>
        <w:rPr>
          <w:rFonts w:hint="eastAsia" w:eastAsia="宋体"/>
          <w:sz w:val="32"/>
          <w:szCs w:val="32"/>
          <w:u w:val="single"/>
        </w:rPr>
        <w:t xml:space="preserve">            </w:t>
      </w:r>
    </w:p>
    <w:p>
      <w:pPr>
        <w:rPr>
          <w:rFonts w:eastAsia="宋体"/>
        </w:rPr>
      </w:pPr>
    </w:p>
    <w:p>
      <w:pPr>
        <w:rPr>
          <w:rFonts w:eastAsia="黑体"/>
          <w:sz w:val="44"/>
          <w:szCs w:val="44"/>
        </w:rPr>
      </w:pPr>
      <w:r>
        <w:rPr>
          <w:rFonts w:eastAsia="黑体"/>
          <w:sz w:val="44"/>
          <w:szCs w:val="44"/>
        </w:rPr>
        <w:br w:type="page"/>
      </w:r>
    </w:p>
    <w:p>
      <w:pPr>
        <w:rPr>
          <w:rFonts w:eastAsia="黑体"/>
          <w:sz w:val="44"/>
          <w:szCs w:val="44"/>
        </w:rPr>
      </w:pPr>
    </w:p>
    <w:p>
      <w:pPr>
        <w:rPr>
          <w:rFonts w:eastAsia="黑体"/>
          <w:sz w:val="44"/>
          <w:szCs w:val="44"/>
        </w:rPr>
      </w:pPr>
    </w:p>
    <w:p>
      <w:pPr>
        <w:jc w:val="center"/>
        <w:rPr>
          <w:rFonts w:eastAsia="黑体"/>
          <w:sz w:val="44"/>
          <w:szCs w:val="44"/>
        </w:rPr>
      </w:pPr>
      <w:r>
        <w:rPr>
          <w:rFonts w:hint="eastAsia" w:eastAsia="黑体"/>
          <w:sz w:val="44"/>
          <w:szCs w:val="44"/>
        </w:rPr>
        <w:t>使 用 说 明</w:t>
      </w:r>
    </w:p>
    <w:p>
      <w:pPr>
        <w:ind w:firstLine="640" w:firstLineChars="200"/>
        <w:rPr>
          <w:rFonts w:hint="eastAsia" w:ascii="仿宋_GB2312" w:hAnsi="仿宋_GB2312" w:eastAsia="仿宋_GB2312" w:cs="仿宋_GB2312"/>
          <w:sz w:val="32"/>
          <w:szCs w:val="32"/>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pPr>
        <w:ind w:firstLine="640" w:firstLineChars="200"/>
        <w:rPr>
          <w:rFonts w:eastAsia="黑体"/>
          <w:sz w:val="44"/>
          <w:szCs w:val="44"/>
        </w:rPr>
      </w:pPr>
      <w:r>
        <w:rPr>
          <w:rFonts w:hint="eastAsia" w:ascii="仿宋_GB2312" w:hAnsi="仿宋_GB2312" w:eastAsia="仿宋_GB2312" w:cs="仿宋_GB2312"/>
          <w:sz w:val="32"/>
          <w:szCs w:val="32"/>
        </w:rPr>
        <w:t>2.本合同标准文本为政府采购货物买卖合同编制提供参考，可以结合采购项目具体情况，对文本作必要的调整修订后使用。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pPr>
        <w:ind w:firstLine="880" w:firstLineChars="200"/>
        <w:rPr>
          <w:rFonts w:eastAsia="黑体"/>
          <w:sz w:val="44"/>
          <w:szCs w:val="44"/>
        </w:rPr>
        <w:sectPr>
          <w:headerReference r:id="rId6" w:type="default"/>
          <w:footerReference r:id="rId7" w:type="default"/>
          <w:pgSz w:w="11906" w:h="16838"/>
          <w:pgMar w:top="1440" w:right="1800" w:bottom="1440" w:left="1800" w:header="851" w:footer="992" w:gutter="0"/>
          <w:cols w:space="425" w:num="1"/>
          <w:docGrid w:type="lines" w:linePitch="312" w:charSpace="0"/>
        </w:sectPr>
      </w:pPr>
    </w:p>
    <w:p>
      <w:pPr>
        <w:keepNext/>
        <w:keepLines/>
        <w:adjustRightInd w:val="0"/>
        <w:snapToGrid w:val="0"/>
        <w:spacing w:line="400" w:lineRule="exact"/>
        <w:jc w:val="center"/>
        <w:outlineLvl w:val="1"/>
        <w:rPr>
          <w:rFonts w:hint="eastAsia" w:ascii="黑体" w:hAnsi="黑体" w:eastAsia="黑体" w:cs="Times New Roman"/>
          <w:b/>
          <w:bCs/>
          <w:sz w:val="28"/>
          <w:szCs w:val="28"/>
        </w:rPr>
      </w:pPr>
      <w:bookmarkStart w:id="54" w:name="_Toc22209"/>
    </w:p>
    <w:p>
      <w:pPr>
        <w:keepNext/>
        <w:keepLines/>
        <w:adjustRightInd w:val="0"/>
        <w:snapToGrid w:val="0"/>
        <w:spacing w:line="400" w:lineRule="exact"/>
        <w:jc w:val="center"/>
        <w:outlineLvl w:val="1"/>
        <w:rPr>
          <w:rFonts w:hint="eastAsia" w:ascii="黑体" w:hAnsi="华文中宋" w:eastAsia="黑体" w:cs="Times New Roman"/>
          <w:sz w:val="28"/>
          <w:szCs w:val="28"/>
        </w:rPr>
      </w:pPr>
      <w:r>
        <w:rPr>
          <w:rFonts w:hint="eastAsia" w:ascii="黑体" w:hAnsi="黑体" w:eastAsia="黑体" w:cs="Times New Roman"/>
          <w:sz w:val="28"/>
          <w:szCs w:val="28"/>
        </w:rPr>
        <w:t xml:space="preserve">第一节 </w:t>
      </w:r>
      <w:r>
        <w:rPr>
          <w:rFonts w:hint="eastAsia" w:ascii="黑体" w:hAnsi="华文中宋" w:eastAsia="黑体" w:cs="Times New Roman"/>
          <w:sz w:val="28"/>
          <w:szCs w:val="28"/>
        </w:rPr>
        <w:t>政府采购合同协议书</w:t>
      </w:r>
      <w:bookmarkEnd w:id="54"/>
    </w:p>
    <w:p>
      <w:pPr>
        <w:keepNext/>
        <w:keepLines/>
        <w:adjustRightInd w:val="0"/>
        <w:snapToGrid w:val="0"/>
        <w:spacing w:line="400" w:lineRule="exact"/>
        <w:jc w:val="center"/>
        <w:outlineLvl w:val="1"/>
        <w:rPr>
          <w:rFonts w:hint="eastAsia" w:ascii="黑体" w:hAnsi="华文中宋" w:eastAsia="黑体" w:cs="Times New Roman"/>
          <w:sz w:val="28"/>
          <w:szCs w:val="28"/>
        </w:rPr>
      </w:pPr>
    </w:p>
    <w:p>
      <w:pPr>
        <w:adjustRightInd w:val="0"/>
        <w:snapToGrid w:val="0"/>
        <w:spacing w:line="400" w:lineRule="exact"/>
        <w:rPr>
          <w:rFonts w:hint="eastAsia" w:ascii="宋体" w:hAnsi="宋体" w:eastAsia="宋体"/>
          <w:szCs w:val="21"/>
        </w:rPr>
      </w:pPr>
      <w:r>
        <w:rPr>
          <w:rFonts w:hint="eastAsia" w:ascii="宋体" w:hAnsi="宋体" w:eastAsia="宋体"/>
          <w:szCs w:val="21"/>
        </w:rPr>
        <w:t>甲方（全称）：</w:t>
      </w:r>
      <w:r>
        <w:rPr>
          <w:rFonts w:hint="eastAsia" w:ascii="宋体" w:hAnsi="宋体" w:eastAsia="宋体"/>
          <w:szCs w:val="21"/>
          <w:u w:val="single"/>
        </w:rPr>
        <w:t xml:space="preserve">                       </w:t>
      </w:r>
      <w:r>
        <w:rPr>
          <w:rFonts w:hint="eastAsia" w:ascii="宋体" w:hAnsi="宋体" w:eastAsia="宋体"/>
          <w:szCs w:val="21"/>
        </w:rPr>
        <w:t>（采购人、受采购人委托签订合同的单位或采购</w:t>
      </w:r>
      <w:r>
        <w:rPr>
          <w:rFonts w:hint="eastAsia" w:ascii="宋体" w:hAnsi="宋体" w:eastAsia="宋体"/>
          <w:szCs w:val="21"/>
        </w:rPr>
        <w:tab/>
      </w:r>
      <w:r>
        <w:rPr>
          <w:rFonts w:hint="eastAsia" w:ascii="宋体" w:hAnsi="宋体" w:eastAsia="宋体"/>
          <w:szCs w:val="21"/>
        </w:rPr>
        <w:t xml:space="preserve">                                   文件约定的合同甲方）</w:t>
      </w:r>
    </w:p>
    <w:p>
      <w:pPr>
        <w:adjustRightInd w:val="0"/>
        <w:snapToGrid w:val="0"/>
        <w:spacing w:line="400" w:lineRule="exact"/>
        <w:rPr>
          <w:rFonts w:hint="eastAsia" w:ascii="宋体" w:hAnsi="宋体" w:eastAsia="宋体"/>
          <w:szCs w:val="21"/>
        </w:rPr>
      </w:pPr>
      <w:r>
        <w:rPr>
          <w:rFonts w:hint="eastAsia" w:ascii="宋体" w:hAnsi="宋体" w:eastAsia="宋体"/>
          <w:szCs w:val="21"/>
        </w:rPr>
        <w:t>乙方1（全称）：</w:t>
      </w:r>
      <w:r>
        <w:rPr>
          <w:rFonts w:hint="eastAsia" w:ascii="宋体" w:hAnsi="宋体" w:eastAsia="宋体"/>
          <w:szCs w:val="21"/>
          <w:u w:val="single"/>
        </w:rPr>
        <w:t xml:space="preserve">                       </w:t>
      </w:r>
      <w:r>
        <w:rPr>
          <w:rFonts w:hint="eastAsia" w:ascii="宋体" w:hAnsi="宋体" w:eastAsia="宋体"/>
          <w:szCs w:val="21"/>
        </w:rPr>
        <w:t>（供应商）</w:t>
      </w:r>
    </w:p>
    <w:p>
      <w:pPr>
        <w:adjustRightInd w:val="0"/>
        <w:snapToGrid w:val="0"/>
        <w:spacing w:line="400" w:lineRule="exact"/>
        <w:rPr>
          <w:rFonts w:hint="eastAsia" w:ascii="宋体" w:hAnsi="宋体" w:eastAsia="宋体"/>
          <w:szCs w:val="21"/>
        </w:rPr>
      </w:pPr>
      <w:r>
        <w:rPr>
          <w:rFonts w:hint="eastAsia" w:ascii="宋体" w:hAnsi="宋体" w:eastAsia="宋体"/>
          <w:szCs w:val="21"/>
        </w:rPr>
        <w:t>乙方2（全称）：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adjustRightInd w:val="0"/>
        <w:snapToGrid w:val="0"/>
        <w:spacing w:line="400" w:lineRule="exact"/>
        <w:rPr>
          <w:rFonts w:hint="eastAsia" w:ascii="宋体" w:hAnsi="宋体" w:eastAsia="宋体"/>
          <w:szCs w:val="21"/>
        </w:rPr>
      </w:pPr>
      <w:r>
        <w:rPr>
          <w:rFonts w:hint="eastAsia" w:eastAsia="宋体"/>
        </w:rPr>
        <w:t>乙方</w:t>
      </w:r>
      <w:r>
        <w:rPr>
          <w:rFonts w:hint="eastAsia" w:ascii="宋体" w:hAnsi="宋体" w:eastAsia="宋体"/>
          <w:szCs w:val="21"/>
        </w:rPr>
        <w:t>3</w:t>
      </w:r>
      <w:r>
        <w:rPr>
          <w:rFonts w:hint="eastAsia" w:eastAsia="宋体"/>
        </w:rPr>
        <w:t>（全称）</w:t>
      </w:r>
      <w:r>
        <w:rPr>
          <w:rFonts w:hint="eastAsia" w:ascii="宋体" w:hAnsi="宋体" w:eastAsia="宋体"/>
          <w:szCs w:val="21"/>
          <w:u w:val="single"/>
        </w:rPr>
        <w:t xml:space="preserve">                          </w:t>
      </w:r>
      <w:r>
        <w:rPr>
          <w:rFonts w:hint="eastAsia" w:ascii="宋体" w:hAnsi="宋体" w:eastAsia="宋体"/>
          <w:szCs w:val="21"/>
        </w:rPr>
        <w:t>（联合体成员供应商或其他合同主体）（如有）</w:t>
      </w:r>
    </w:p>
    <w:p>
      <w:pPr>
        <w:spacing w:line="400" w:lineRule="exact"/>
        <w:rPr>
          <w:rFonts w:eastAsia="宋体"/>
        </w:rPr>
      </w:pPr>
    </w:p>
    <w:p>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项目信息</w:t>
      </w:r>
    </w:p>
    <w:p>
      <w:pPr>
        <w:numPr>
          <w:ilvl w:val="0"/>
          <w:numId w:val="6"/>
        </w:numPr>
        <w:adjustRightInd w:val="0"/>
        <w:snapToGrid w:val="0"/>
        <w:spacing w:line="400" w:lineRule="exact"/>
        <w:ind w:firstLine="420" w:firstLineChars="200"/>
        <w:rPr>
          <w:rFonts w:hint="eastAsia" w:ascii="宋体" w:hAnsi="宋体" w:eastAsia="宋体" w:cs="Times New Roman"/>
          <w:szCs w:val="21"/>
          <w:u w:val="single"/>
        </w:rPr>
      </w:pPr>
      <w:r>
        <w:rPr>
          <w:rFonts w:hint="eastAsia" w:ascii="宋体" w:hAnsi="宋体" w:eastAsia="宋体" w:cs="Times New Roman"/>
          <w:szCs w:val="21"/>
        </w:rPr>
        <w:t>采购项目名称：</w:t>
      </w:r>
      <w:r>
        <w:rPr>
          <w:rFonts w:hint="eastAsia" w:ascii="宋体" w:hAnsi="宋体" w:eastAsia="宋体"/>
          <w:szCs w:val="21"/>
          <w:u w:val="single"/>
        </w:rPr>
        <w:t xml:space="preserve">                                            </w:t>
      </w:r>
    </w:p>
    <w:p>
      <w:pPr>
        <w:numPr>
          <w:ilvl w:val="255"/>
          <w:numId w:val="0"/>
        </w:numPr>
        <w:tabs>
          <w:tab w:val="left" w:pos="999"/>
        </w:tabs>
        <w:adjustRightInd w:val="0"/>
        <w:snapToGrid w:val="0"/>
        <w:spacing w:line="400" w:lineRule="exact"/>
        <w:rPr>
          <w:rFonts w:hint="eastAsia" w:ascii="宋体" w:hAnsi="宋体" w:eastAsia="宋体" w:cs="Times New Roman"/>
          <w:szCs w:val="21"/>
        </w:rPr>
      </w:pPr>
      <w:r>
        <w:rPr>
          <w:rFonts w:hint="eastAsia" w:ascii="宋体" w:hAnsi="宋体" w:eastAsia="宋体" w:cs="Times New Roman"/>
          <w:szCs w:val="21"/>
        </w:rPr>
        <w:t xml:space="preserve">         采购项目编号：</w:t>
      </w:r>
      <w:r>
        <w:rPr>
          <w:rFonts w:ascii="宋体" w:hAnsi="宋体" w:eastAsia="宋体" w:cs="Times New Roman"/>
          <w:szCs w:val="21"/>
          <w:u w:val="single"/>
        </w:rPr>
        <w:t xml:space="preserve">                                          </w:t>
      </w:r>
    </w:p>
    <w:p>
      <w:pPr>
        <w:adjustRightInd w:val="0"/>
        <w:snapToGrid w:val="0"/>
        <w:spacing w:line="400" w:lineRule="exact"/>
        <w:ind w:firstLine="420" w:firstLineChars="200"/>
        <w:rPr>
          <w:rFonts w:hint="eastAsia" w:ascii="宋体" w:hAnsi="宋体" w:eastAsia="宋体" w:cs="Times New Roman"/>
          <w:szCs w:val="21"/>
        </w:rPr>
      </w:pPr>
      <w:r>
        <w:rPr>
          <w:rFonts w:hint="eastAsia" w:ascii="宋体" w:hAnsi="宋体" w:eastAsia="宋体" w:cs="Times New Roman"/>
          <w:szCs w:val="21"/>
        </w:rPr>
        <w:t>（2）采购计划编号：</w:t>
      </w:r>
      <w:r>
        <w:rPr>
          <w:rFonts w:ascii="宋体" w:hAnsi="宋体" w:eastAsia="宋体" w:cs="Times New Roman"/>
          <w:szCs w:val="21"/>
          <w:u w:val="single"/>
        </w:rPr>
        <w:t xml:space="preserve">                     </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ascii="宋体" w:hAnsi="宋体" w:eastAsia="宋体" w:cs="Times New Roman"/>
          <w:szCs w:val="21"/>
        </w:rPr>
        <w:t xml:space="preserve"> </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（3）项目内容：</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 xml:space="preserve">     采购标的及数量（台/套</w:t>
      </w:r>
      <w:r>
        <w:rPr>
          <w:rFonts w:ascii="宋体" w:hAnsi="宋体" w:eastAsia="宋体"/>
          <w:szCs w:val="21"/>
          <w:lang w:val="en"/>
        </w:rPr>
        <w:t>/</w:t>
      </w:r>
      <w:r>
        <w:rPr>
          <w:rFonts w:hint="eastAsia" w:ascii="宋体" w:hAnsi="宋体" w:eastAsia="宋体"/>
          <w:szCs w:val="21"/>
          <w:lang w:val="en"/>
        </w:rPr>
        <w:t>个</w:t>
      </w:r>
      <w:r>
        <w:rPr>
          <w:rFonts w:ascii="宋体" w:hAnsi="宋体" w:eastAsia="宋体"/>
          <w:szCs w:val="21"/>
          <w:lang w:val="en"/>
        </w:rPr>
        <w:t>/</w:t>
      </w:r>
      <w:r>
        <w:rPr>
          <w:rFonts w:hint="eastAsia" w:ascii="宋体" w:hAnsi="宋体" w:eastAsia="宋体"/>
          <w:szCs w:val="21"/>
          <w:lang w:val="en"/>
        </w:rPr>
        <w:t>架</w:t>
      </w:r>
      <w:r>
        <w:rPr>
          <w:rFonts w:ascii="宋体" w:hAnsi="宋体" w:eastAsia="宋体"/>
          <w:szCs w:val="21"/>
          <w:lang w:val="en"/>
        </w:rPr>
        <w:t>/</w:t>
      </w:r>
      <w:r>
        <w:rPr>
          <w:rFonts w:hint="eastAsia" w:ascii="宋体" w:hAnsi="宋体" w:eastAsia="宋体"/>
          <w:szCs w:val="21"/>
          <w:lang w:val="en"/>
        </w:rPr>
        <w:t>组等</w:t>
      </w:r>
      <w:r>
        <w:rPr>
          <w:rFonts w:hint="eastAsia" w:ascii="宋体" w:hAnsi="宋体" w:eastAsia="宋体"/>
          <w:szCs w:val="21"/>
        </w:rPr>
        <w:t>）：</w:t>
      </w:r>
      <w:r>
        <w:rPr>
          <w:rFonts w:hint="eastAsia" w:ascii="宋体" w:hAnsi="宋体" w:eastAsia="宋体"/>
          <w:szCs w:val="21"/>
          <w:u w:val="single"/>
        </w:rPr>
        <w:t xml:space="preserve">                       </w:t>
      </w:r>
      <w:r>
        <w:rPr>
          <w:rFonts w:hint="eastAsia" w:ascii="宋体" w:hAnsi="宋体" w:eastAsia="宋体"/>
          <w:szCs w:val="21"/>
        </w:rPr>
        <w:t xml:space="preserve">            </w:t>
      </w:r>
      <w:r>
        <w:rPr>
          <w:rFonts w:hint="eastAsia" w:ascii="宋体" w:hAnsi="宋体" w:eastAsia="宋体"/>
          <w:szCs w:val="21"/>
          <w:u w:val="single"/>
        </w:rPr>
        <w:t xml:space="preserve">                  </w:t>
      </w:r>
      <w:r>
        <w:rPr>
          <w:rFonts w:hint="eastAsia" w:ascii="宋体" w:hAnsi="宋体" w:eastAsia="宋体"/>
          <w:szCs w:val="21"/>
        </w:rPr>
        <w:t xml:space="preserve"> </w:t>
      </w:r>
    </w:p>
    <w:p>
      <w:pPr>
        <w:numPr>
          <w:ilvl w:val="255"/>
          <w:numId w:val="0"/>
        </w:numPr>
        <w:adjustRightInd w:val="0"/>
        <w:snapToGrid w:val="0"/>
        <w:spacing w:line="400" w:lineRule="exact"/>
        <w:ind w:firstLine="420" w:firstLineChars="200"/>
        <w:rPr>
          <w:rFonts w:hint="eastAsia" w:ascii="宋体" w:hAnsi="宋体" w:eastAsia="宋体" w:cs="宋体"/>
          <w:szCs w:val="21"/>
          <w:lang w:val="en"/>
        </w:rPr>
      </w:pPr>
      <w:r>
        <w:rPr>
          <w:rFonts w:hint="eastAsia" w:ascii="宋体" w:hAnsi="宋体" w:eastAsia="宋体"/>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lang w:val="en"/>
        </w:rPr>
        <w:t xml:space="preserve">     </w:t>
      </w:r>
      <w:r>
        <w:rPr>
          <w:rFonts w:hint="eastAsia" w:ascii="宋体" w:hAnsi="宋体" w:eastAsia="宋体" w:cs="宋体"/>
          <w:szCs w:val="21"/>
        </w:rPr>
        <w:t>规格型号：</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r>
        <w:rPr>
          <w:rFonts w:hint="eastAsia" w:ascii="宋体" w:hAnsi="宋体" w:eastAsia="宋体" w:cs="宋体"/>
          <w:szCs w:val="21"/>
          <w:u w:val="single"/>
        </w:rPr>
        <w:t xml:space="preserve">       </w:t>
      </w:r>
      <w:r>
        <w:rPr>
          <w:rFonts w:ascii="宋体" w:hAnsi="宋体" w:eastAsia="宋体" w:cs="宋体"/>
          <w:szCs w:val="21"/>
          <w:u w:val="single"/>
          <w:lang w:val="en"/>
        </w:rPr>
        <w:t xml:space="preserve">   </w:t>
      </w:r>
    </w:p>
    <w:p>
      <w:pPr>
        <w:adjustRightInd w:val="0"/>
        <w:snapToGrid w:val="0"/>
        <w:spacing w:line="400" w:lineRule="exact"/>
        <w:ind w:firstLine="945" w:firstLineChars="450"/>
        <w:rPr>
          <w:rFonts w:hint="eastAsia" w:ascii="宋体" w:hAnsi="宋体" w:eastAsia="宋体"/>
          <w:szCs w:val="21"/>
          <w:u w:val="single"/>
        </w:rPr>
      </w:pPr>
      <w:r>
        <w:rPr>
          <w:rFonts w:hint="eastAsia" w:ascii="宋体" w:hAnsi="宋体" w:eastAsia="宋体"/>
          <w:szCs w:val="21"/>
        </w:rPr>
        <w:t>采购标的的技术要求、商务要求具体见附件。</w:t>
      </w:r>
    </w:p>
    <w:p>
      <w:pPr>
        <w:numPr>
          <w:ilvl w:val="255"/>
          <w:numId w:val="0"/>
        </w:numPr>
        <w:adjustRightInd w:val="0"/>
        <w:snapToGrid w:val="0"/>
        <w:spacing w:line="400" w:lineRule="exact"/>
        <w:ind w:firstLine="945" w:firstLineChars="450"/>
        <w:rPr>
          <w:rFonts w:hint="eastAsia" w:ascii="宋体" w:hAnsi="宋体" w:eastAsia="宋体" w:cs="宋体"/>
          <w:szCs w:val="21"/>
        </w:rPr>
      </w:pPr>
      <w:r>
        <w:rPr>
          <w:rFonts w:hint="eastAsia" w:ascii="汉仪书宋二S" w:hAnsi="汉仪书宋二S" w:eastAsia="汉仪书宋二S" w:cs="汉仪书宋二S"/>
          <w:szCs w:val="21"/>
        </w:rPr>
        <w:t>①</w:t>
      </w:r>
      <w:r>
        <w:rPr>
          <w:rFonts w:hint="eastAsia" w:ascii="宋体" w:hAnsi="宋体" w:eastAsia="宋体" w:cs="宋体"/>
          <w:szCs w:val="21"/>
        </w:rPr>
        <w:t>涉及信息类产品，请填写该产品关键部件的品牌、型号：</w:t>
      </w:r>
    </w:p>
    <w:p>
      <w:pPr>
        <w:numPr>
          <w:ilvl w:val="255"/>
          <w:numId w:val="0"/>
        </w:numPr>
        <w:adjustRightInd w:val="0"/>
        <w:snapToGrid w:val="0"/>
        <w:spacing w:line="400" w:lineRule="exact"/>
        <w:ind w:firstLine="420" w:firstLineChars="200"/>
        <w:rPr>
          <w:rFonts w:hint="eastAsia" w:ascii="宋体" w:hAnsi="宋体" w:eastAsia="宋体" w:cs="宋体"/>
          <w:kern w:val="0"/>
          <w:szCs w:val="21"/>
          <w:u w:val="single"/>
        </w:rPr>
      </w:pPr>
      <w:r>
        <w:rPr>
          <w:rFonts w:hint="eastAsia" w:ascii="宋体" w:hAnsi="宋体" w:eastAsia="宋体" w:cs="宋体"/>
          <w:szCs w:val="21"/>
        </w:rPr>
        <w:t xml:space="preserve">     标的名称：</w:t>
      </w:r>
      <w:r>
        <w:rPr>
          <w:rFonts w:hint="eastAsia" w:ascii="宋体" w:hAnsi="宋体" w:eastAsia="宋体" w:cs="宋体"/>
          <w:kern w:val="0"/>
          <w:szCs w:val="21"/>
          <w:u w:val="single"/>
        </w:rPr>
        <w:t xml:space="preserve">      </w:t>
      </w:r>
      <w:r>
        <w:rPr>
          <w:rFonts w:ascii="宋体" w:hAnsi="宋体" w:eastAsia="宋体" w:cs="宋体"/>
          <w:kern w:val="0"/>
          <w:szCs w:val="21"/>
          <w:u w:val="single"/>
          <w:lang w:val="en"/>
        </w:rPr>
        <w:t xml:space="preserve">               </w:t>
      </w:r>
      <w:r>
        <w:rPr>
          <w:rFonts w:hint="eastAsia" w:ascii="宋体" w:hAnsi="宋体" w:eastAsia="宋体" w:cs="宋体"/>
          <w:kern w:val="0"/>
          <w:szCs w:val="21"/>
          <w:u w:val="single"/>
        </w:rPr>
        <w:t xml:space="preserve">    </w:t>
      </w:r>
    </w:p>
    <w:p>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r>
        <w:rPr>
          <w:rFonts w:hint="eastAsia" w:ascii="宋体" w:hAnsi="宋体" w:eastAsia="宋体" w:cs="宋体"/>
          <w:szCs w:val="21"/>
        </w:rPr>
        <w:t>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关键部件：</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型号：</w:t>
      </w:r>
      <w:r>
        <w:rPr>
          <w:rFonts w:hint="eastAsia" w:ascii="宋体" w:hAnsi="宋体" w:eastAsia="宋体" w:cs="宋体"/>
          <w:szCs w:val="21"/>
          <w:u w:val="single"/>
        </w:rPr>
        <w:t xml:space="preserve">       </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（注：关键部件是指财政部会同有关部门发布的政府采购需求标准规定的需要通过国家有关部门指定的测评机构开展的安全可靠测评的软硬件，如CPU芯片、操作系统、数据库等。）</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汉仪书宋二S" w:hAnsi="汉仪书宋二S" w:eastAsia="汉仪书宋二S" w:cs="汉仪书宋二S"/>
          <w:szCs w:val="21"/>
        </w:rPr>
        <w:t>②</w:t>
      </w:r>
      <w:r>
        <w:rPr>
          <w:rFonts w:hint="eastAsia" w:ascii="宋体" w:hAnsi="宋体" w:eastAsia="宋体" w:cs="宋体"/>
          <w:szCs w:val="21"/>
        </w:rPr>
        <w:t>涉及车辆采购，请填写是否属于新能源汽车：</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数量：</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r>
        <w:rPr>
          <w:rFonts w:hint="eastAsia" w:ascii="宋体" w:hAnsi="宋体" w:eastAsia="宋体" w:cs="宋体"/>
          <w:szCs w:val="21"/>
        </w:rPr>
        <w:t xml:space="preserve"> </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否</w:t>
      </w:r>
    </w:p>
    <w:p>
      <w:pPr>
        <w:numPr>
          <w:ilvl w:val="255"/>
          <w:numId w:val="0"/>
        </w:numPr>
        <w:autoSpaceDE w:val="0"/>
        <w:autoSpaceDN w:val="0"/>
        <w:adjustRightInd w:val="0"/>
        <w:snapToGrid w:val="0"/>
        <w:spacing w:line="400" w:lineRule="exact"/>
        <w:rPr>
          <w:rFonts w:hint="eastAsia"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lang w:val="en"/>
        </w:rPr>
        <w:t>4</w:t>
      </w:r>
      <w:r>
        <w:rPr>
          <w:rFonts w:hint="eastAsia" w:ascii="宋体" w:hAnsi="宋体" w:eastAsia="宋体" w:cs="宋体"/>
          <w:szCs w:val="21"/>
        </w:rPr>
        <w:t>）政府采购组织形式：</w:t>
      </w:r>
      <w:r>
        <w:rPr>
          <w:rFonts w:hint="eastAsia" w:ascii="宋体" w:hAnsi="宋体" w:eastAsia="宋体" w:cs="宋体"/>
          <w:szCs w:val="21"/>
        </w:rPr>
        <w:sym w:font="Wingdings" w:char="00A8"/>
      </w:r>
      <w:r>
        <w:rPr>
          <w:rFonts w:hint="eastAsia" w:ascii="宋体" w:hAnsi="宋体" w:eastAsia="宋体" w:cs="宋体"/>
          <w:szCs w:val="21"/>
        </w:rPr>
        <w:t xml:space="preserve">集中采购    </w:t>
      </w:r>
      <w:r>
        <w:rPr>
          <w:rFonts w:hint="eastAsia" w:ascii="宋体" w:hAnsi="宋体" w:eastAsia="宋体" w:cs="宋体"/>
          <w:szCs w:val="21"/>
        </w:rPr>
        <w:sym w:font="Wingdings" w:char="00A8"/>
      </w:r>
      <w:r>
        <w:rPr>
          <w:rFonts w:hint="eastAsia" w:ascii="宋体" w:hAnsi="宋体" w:eastAsia="宋体" w:cs="宋体"/>
          <w:szCs w:val="21"/>
        </w:rPr>
        <w:t>自行采购</w:t>
      </w:r>
    </w:p>
    <w:p>
      <w:pPr>
        <w:numPr>
          <w:ilvl w:val="255"/>
          <w:numId w:val="0"/>
        </w:numPr>
        <w:autoSpaceDE w:val="0"/>
        <w:autoSpaceDN w:val="0"/>
        <w:adjustRightInd w:val="0"/>
        <w:snapToGrid w:val="0"/>
        <w:spacing w:line="400" w:lineRule="exact"/>
        <w:ind w:left="210" w:leftChars="100" w:firstLine="210" w:firstLineChars="100"/>
        <w:rPr>
          <w:rFonts w:hint="eastAsia" w:ascii="宋体" w:hAnsi="宋体" w:eastAsia="宋体" w:cs="宋体"/>
          <w:szCs w:val="21"/>
          <w:u w:val="single"/>
        </w:rPr>
      </w:pPr>
      <w:r>
        <w:rPr>
          <w:rFonts w:hint="eastAsia" w:ascii="宋体" w:hAnsi="宋体" w:eastAsia="宋体" w:cs="宋体"/>
          <w:szCs w:val="21"/>
        </w:rPr>
        <w:t>（</w:t>
      </w:r>
      <w:r>
        <w:rPr>
          <w:rFonts w:ascii="宋体" w:hAnsi="宋体" w:eastAsia="宋体" w:cs="宋体"/>
          <w:szCs w:val="21"/>
          <w:lang w:val="en"/>
        </w:rPr>
        <w:t>5</w:t>
      </w:r>
      <w:r>
        <w:rPr>
          <w:rFonts w:hint="eastAsia" w:ascii="宋体" w:hAnsi="宋体" w:eastAsia="宋体" w:cs="宋体"/>
          <w:szCs w:val="21"/>
        </w:rPr>
        <w:t>）政府采购方式：</w:t>
      </w:r>
      <w:r>
        <w:rPr>
          <w:rFonts w:hint="eastAsia" w:ascii="宋体" w:hAnsi="宋体" w:eastAsia="宋体" w:cs="宋体"/>
          <w:szCs w:val="21"/>
        </w:rPr>
        <w:sym w:font="Wingdings" w:char="00A8"/>
      </w:r>
      <w:r>
        <w:rPr>
          <w:rFonts w:hint="eastAsia" w:ascii="宋体" w:hAnsi="宋体" w:eastAsia="宋体" w:cs="宋体"/>
          <w:szCs w:val="21"/>
        </w:rPr>
        <w:t xml:space="preserve">公开招标  </w:t>
      </w:r>
      <w:r>
        <w:rPr>
          <w:rFonts w:hint="eastAsia" w:ascii="宋体" w:hAnsi="宋体" w:eastAsia="宋体" w:cs="宋体"/>
          <w:szCs w:val="21"/>
        </w:rPr>
        <w:sym w:font="Wingdings" w:char="00A8"/>
      </w:r>
      <w:r>
        <w:rPr>
          <w:rFonts w:hint="eastAsia" w:ascii="宋体" w:hAnsi="宋体" w:eastAsia="宋体" w:cs="宋体"/>
          <w:szCs w:val="21"/>
        </w:rPr>
        <w:t>竞争性谈判</w:t>
      </w:r>
      <w:r>
        <w:rPr>
          <w:rFonts w:hint="eastAsia" w:ascii="宋体" w:hAnsi="宋体" w:eastAsia="华文楷体" w:cs="宋体"/>
          <w:sz w:val="22"/>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 xml:space="preserve">单一来源  </w:t>
      </w:r>
      <w:r>
        <w:rPr>
          <w:rFonts w:hint="eastAsia" w:ascii="宋体" w:hAnsi="宋体" w:eastAsia="宋体" w:cs="宋体"/>
          <w:szCs w:val="21"/>
        </w:rPr>
        <w:sym w:font="Wingdings" w:char="00A8"/>
      </w:r>
      <w:r>
        <w:rPr>
          <w:rFonts w:hint="eastAsia" w:ascii="宋体" w:hAnsi="宋体" w:eastAsia="宋体" w:cs="宋体"/>
          <w:szCs w:val="21"/>
        </w:rPr>
        <w:t xml:space="preserve">竞价  </w:t>
      </w:r>
      <w:r>
        <w:rPr>
          <w:rFonts w:hint="eastAsia" w:ascii="宋体" w:hAnsi="宋体" w:eastAsia="宋体" w:cs="宋体"/>
          <w:szCs w:val="21"/>
        </w:rPr>
        <w:sym w:font="Wingdings" w:char="00A8"/>
      </w:r>
      <w:r>
        <w:rPr>
          <w:rFonts w:hint="eastAsia" w:ascii="宋体" w:hAnsi="宋体" w:eastAsia="宋体" w:cs="宋体"/>
          <w:szCs w:val="21"/>
        </w:rPr>
        <w:t xml:space="preserve">框架协议 </w:t>
      </w:r>
      <w:r>
        <w:rPr>
          <w:rFonts w:hint="eastAsia" w:ascii="宋体" w:hAnsi="宋体" w:eastAsia="宋体" w:cs="宋体"/>
          <w:szCs w:val="21"/>
        </w:rPr>
        <w:sym w:font="Wingdings" w:char="00A8"/>
      </w:r>
      <w:r>
        <w:rPr>
          <w:rFonts w:hint="eastAsia" w:ascii="宋体" w:hAnsi="宋体" w:eastAsia="宋体" w:cs="宋体"/>
          <w:szCs w:val="21"/>
        </w:rPr>
        <w:t>其他：</w:t>
      </w:r>
      <w:r>
        <w:rPr>
          <w:rFonts w:hint="eastAsia" w:ascii="宋体" w:hAnsi="宋体" w:eastAsia="宋体" w:cs="宋体"/>
          <w:szCs w:val="21"/>
          <w:u w:val="single"/>
        </w:rPr>
        <w:t xml:space="preserve">          </w:t>
      </w:r>
    </w:p>
    <w:p>
      <w:pPr>
        <w:numPr>
          <w:ilvl w:val="255"/>
          <w:numId w:val="0"/>
        </w:numPr>
        <w:autoSpaceDE w:val="0"/>
        <w:autoSpaceDN w:val="0"/>
        <w:adjustRightInd w:val="0"/>
        <w:snapToGrid w:val="0"/>
        <w:spacing w:line="400" w:lineRule="exact"/>
        <w:ind w:firstLine="420"/>
        <w:rPr>
          <w:rFonts w:hint="eastAsia" w:ascii="宋体" w:hAnsi="宋体" w:eastAsia="宋体" w:cs="宋体"/>
          <w:szCs w:val="21"/>
        </w:rPr>
      </w:pPr>
      <w:r>
        <w:rPr>
          <w:rFonts w:hint="eastAsia" w:ascii="宋体" w:hAnsi="宋体" w:eastAsia="宋体" w:cs="宋体"/>
          <w:szCs w:val="21"/>
        </w:rPr>
        <w:t>（注：在框架协议采购的第二阶段，可选择使用该合同文本）</w:t>
      </w:r>
    </w:p>
    <w:p>
      <w:pPr>
        <w:numPr>
          <w:ilvl w:val="255"/>
          <w:numId w:val="0"/>
        </w:numPr>
        <w:autoSpaceDE w:val="0"/>
        <w:autoSpaceDN w:val="0"/>
        <w:adjustRightInd w:val="0"/>
        <w:snapToGrid w:val="0"/>
        <w:spacing w:line="400" w:lineRule="exact"/>
        <w:ind w:firstLine="220" w:firstLineChars="100"/>
        <w:rPr>
          <w:rFonts w:hint="eastAsia" w:ascii="宋体" w:hAnsi="宋体" w:eastAsia="宋体" w:cs="Times New Roman"/>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eastAsia="宋体" w:cs="Times New Roman"/>
          <w:szCs w:val="21"/>
        </w:rPr>
        <w:t>中标（成交）采购标的制造商是否为中小企业：</w:t>
      </w:r>
      <w:r>
        <w:rPr>
          <w:rFonts w:hint="eastAsia" w:ascii="宋体" w:hAnsi="宋体" w:eastAsia="宋体" w:cs="Times New Roman"/>
          <w:szCs w:val="21"/>
        </w:rPr>
        <w:sym w:font="Wingdings" w:char="00A8"/>
      </w:r>
      <w:r>
        <w:rPr>
          <w:rFonts w:hint="eastAsia" w:ascii="宋体" w:hAnsi="宋体" w:eastAsia="宋体" w:cs="Times New Roman"/>
          <w:szCs w:val="21"/>
        </w:rPr>
        <w:t xml:space="preserve">是      </w:t>
      </w:r>
      <w:r>
        <w:rPr>
          <w:rFonts w:hint="eastAsia" w:ascii="宋体" w:hAnsi="宋体" w:eastAsia="宋体" w:cs="Times New Roman"/>
          <w:szCs w:val="21"/>
        </w:rPr>
        <w:sym w:font="Wingdings" w:char="00A8"/>
      </w:r>
      <w:r>
        <w:rPr>
          <w:rFonts w:hint="eastAsia" w:ascii="宋体" w:hAnsi="宋体" w:eastAsia="宋体" w:cs="Times New Roman"/>
          <w:szCs w:val="21"/>
        </w:rPr>
        <w:t>否</w:t>
      </w:r>
    </w:p>
    <w:p>
      <w:pPr>
        <w:numPr>
          <w:ilvl w:val="255"/>
          <w:numId w:val="0"/>
        </w:numPr>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本合同是否为专门面向中小企业的采购合同（中小企业预留合同）：</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若本项目不专门面向中小企业采购，是否给予小微企业评审优惠：</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numPr>
          <w:ilvl w:val="255"/>
          <w:numId w:val="0"/>
        </w:numPr>
        <w:adjustRightInd w:val="0"/>
        <w:snapToGrid w:val="0"/>
        <w:spacing w:line="400" w:lineRule="exact"/>
        <w:rPr>
          <w:rFonts w:hint="eastAsia" w:ascii="宋体" w:hAnsi="宋体" w:eastAsia="宋体"/>
          <w:iCs/>
          <w:szCs w:val="21"/>
        </w:rPr>
      </w:pPr>
      <w:r>
        <w:rPr>
          <w:rFonts w:hint="eastAsia" w:eastAsia="宋体"/>
        </w:rPr>
        <w:t xml:space="preserve">         中标（成交）采购标的制造商是否为残疾人福利性单位：</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snapToGrid w:val="0"/>
        <w:spacing w:line="400" w:lineRule="exact"/>
        <w:rPr>
          <w:rFonts w:eastAsia="宋体"/>
        </w:rPr>
      </w:pPr>
      <w:r>
        <w:rPr>
          <w:rFonts w:hint="eastAsia" w:eastAsia="宋体"/>
        </w:rPr>
        <w:t xml:space="preserve">         中标（成交）采购标的制造商是否为监狱企业：</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w:t>
      </w:r>
      <w:r>
        <w:rPr>
          <w:rFonts w:ascii="宋体" w:hAnsi="宋体" w:eastAsia="宋体"/>
          <w:szCs w:val="21"/>
          <w:lang w:val="en"/>
        </w:rPr>
        <w:t>7</w:t>
      </w:r>
      <w:r>
        <w:rPr>
          <w:rFonts w:hint="eastAsia" w:ascii="宋体" w:hAnsi="宋体" w:eastAsia="宋体"/>
          <w:szCs w:val="21"/>
        </w:rPr>
        <w:t>）合同是否分包：</w:t>
      </w:r>
      <w:r>
        <w:rPr>
          <w:rFonts w:hint="eastAsia" w:ascii="宋体" w:hAnsi="宋体" w:eastAsia="宋体"/>
          <w:iCs/>
          <w:szCs w:val="21"/>
        </w:rPr>
        <w:sym w:font="Wingdings" w:char="00A8"/>
      </w:r>
      <w:r>
        <w:rPr>
          <w:rFonts w:hint="eastAsia" w:ascii="宋体" w:hAnsi="宋体" w:eastAsia="宋体"/>
          <w:iCs/>
          <w:szCs w:val="21"/>
        </w:rPr>
        <w:t xml:space="preserve">是       </w:t>
      </w:r>
      <w:r>
        <w:rPr>
          <w:rFonts w:hint="eastAsia" w:ascii="宋体" w:hAnsi="宋体" w:eastAsia="宋体"/>
          <w:iCs/>
          <w:szCs w:val="21"/>
        </w:rPr>
        <w:sym w:font="Wingdings" w:char="00A8"/>
      </w:r>
      <w:r>
        <w:rPr>
          <w:rFonts w:hint="eastAsia" w:ascii="宋体" w:hAnsi="宋体" w:eastAsia="宋体"/>
          <w:iCs/>
          <w:szCs w:val="21"/>
        </w:rPr>
        <w:t>否</w:t>
      </w:r>
    </w:p>
    <w:p>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分包主要内容：</w:t>
      </w:r>
      <w:r>
        <w:rPr>
          <w:rFonts w:hint="eastAsia" w:ascii="宋体" w:hAnsi="宋体" w:eastAsia="宋体"/>
          <w:szCs w:val="21"/>
          <w:u w:val="single"/>
        </w:rPr>
        <w:t xml:space="preserve">                                            </w:t>
      </w:r>
    </w:p>
    <w:p>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分包供应商/制造商名称（如供应商和制造商不同，请分别填写）：</w:t>
      </w:r>
    </w:p>
    <w:p>
      <w:pPr>
        <w:adjustRightInd w:val="0"/>
        <w:snapToGrid w:val="0"/>
        <w:spacing w:line="400" w:lineRule="exact"/>
        <w:ind w:firstLine="840" w:firstLineChars="400"/>
        <w:rPr>
          <w:rFonts w:hint="eastAsia" w:ascii="宋体" w:hAnsi="宋体" w:eastAsia="宋体"/>
          <w:szCs w:val="21"/>
          <w:u w:val="single"/>
        </w:rPr>
      </w:pPr>
      <w:r>
        <w:rPr>
          <w:rFonts w:hint="eastAsia" w:ascii="宋体" w:hAnsi="宋体" w:eastAsia="宋体"/>
          <w:szCs w:val="21"/>
        </w:rPr>
        <w:t xml:space="preserve"> </w:t>
      </w:r>
      <w:r>
        <w:rPr>
          <w:rFonts w:hint="eastAsia" w:ascii="宋体" w:hAnsi="宋体" w:eastAsia="宋体"/>
          <w:szCs w:val="21"/>
          <w:u w:val="single"/>
        </w:rPr>
        <w:t xml:space="preserve">                                                          </w:t>
      </w:r>
    </w:p>
    <w:p>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分包供应商/制造商类型（如果供应商和制造商不同，只填写制造商类型）：</w:t>
      </w:r>
    </w:p>
    <w:p>
      <w:pPr>
        <w:adjustRightInd w:val="0"/>
        <w:snapToGrid w:val="0"/>
        <w:spacing w:line="400" w:lineRule="exact"/>
        <w:ind w:firstLine="840" w:firstLineChars="400"/>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大型企业  </w:t>
      </w:r>
      <w:r>
        <w:rPr>
          <w:rFonts w:hint="eastAsia" w:ascii="宋体" w:hAnsi="宋体" w:eastAsia="宋体"/>
          <w:iCs/>
          <w:szCs w:val="21"/>
        </w:rPr>
        <w:sym w:font="Wingdings" w:char="00A8"/>
      </w:r>
      <w:r>
        <w:rPr>
          <w:rFonts w:hint="eastAsia" w:ascii="宋体" w:hAnsi="宋体" w:eastAsia="宋体"/>
          <w:iCs/>
          <w:szCs w:val="21"/>
        </w:rPr>
        <w:t xml:space="preserve">中型企业  </w:t>
      </w:r>
      <w:r>
        <w:rPr>
          <w:rFonts w:hint="eastAsia" w:ascii="宋体" w:hAnsi="宋体" w:eastAsia="宋体"/>
          <w:iCs/>
          <w:szCs w:val="21"/>
        </w:rPr>
        <w:sym w:font="Wingdings" w:char="00A8"/>
      </w:r>
      <w:r>
        <w:rPr>
          <w:rFonts w:hint="eastAsia" w:ascii="宋体" w:hAnsi="宋体" w:eastAsia="宋体"/>
          <w:iCs/>
          <w:szCs w:val="21"/>
        </w:rPr>
        <w:t xml:space="preserve">小微型企业  </w:t>
      </w:r>
    </w:p>
    <w:p>
      <w:pPr>
        <w:adjustRightInd w:val="0"/>
        <w:snapToGrid w:val="0"/>
        <w:spacing w:line="400" w:lineRule="exact"/>
        <w:ind w:firstLine="840" w:firstLineChars="400"/>
        <w:rPr>
          <w:rFonts w:eastAsia="华文楷体"/>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残疾人福利性单位 </w:t>
      </w:r>
      <w:r>
        <w:rPr>
          <w:rFonts w:hint="eastAsia" w:ascii="宋体" w:hAnsi="宋体" w:eastAsia="宋体"/>
          <w:iCs/>
          <w:szCs w:val="21"/>
        </w:rPr>
        <w:sym w:font="Wingdings" w:char="00A8"/>
      </w:r>
      <w:r>
        <w:rPr>
          <w:rFonts w:hint="eastAsia" w:ascii="宋体" w:hAnsi="宋体" w:eastAsia="宋体"/>
          <w:iCs/>
          <w:szCs w:val="21"/>
        </w:rPr>
        <w:t xml:space="preserve">监狱企业 </w:t>
      </w:r>
      <w:r>
        <w:rPr>
          <w:rFonts w:hint="eastAsia" w:ascii="宋体" w:hAnsi="宋体" w:eastAsia="宋体"/>
          <w:iCs/>
          <w:szCs w:val="21"/>
        </w:rPr>
        <w:sym w:font="Wingdings" w:char="00A8"/>
      </w:r>
      <w:r>
        <w:rPr>
          <w:rFonts w:hint="eastAsia" w:ascii="宋体" w:hAnsi="宋体" w:eastAsia="宋体"/>
          <w:iCs/>
          <w:szCs w:val="21"/>
        </w:rPr>
        <w:t>其他</w:t>
      </w:r>
    </w:p>
    <w:p>
      <w:pPr>
        <w:numPr>
          <w:ilvl w:val="255"/>
          <w:numId w:val="0"/>
        </w:numPr>
        <w:adjustRightInd w:val="0"/>
        <w:snapToGrid w:val="0"/>
        <w:spacing w:line="400" w:lineRule="exact"/>
        <w:rPr>
          <w:rFonts w:hint="eastAsia" w:ascii="宋体" w:hAnsi="宋体" w:eastAsia="宋体" w:cs="宋体"/>
          <w:iCs/>
          <w:szCs w:val="21"/>
        </w:rPr>
      </w:pPr>
      <w:r>
        <w:rPr>
          <w:rFonts w:hint="eastAsia" w:ascii="宋体" w:hAnsi="宋体" w:eastAsia="宋体"/>
          <w:szCs w:val="21"/>
        </w:rPr>
        <w:t xml:space="preserve">    </w:t>
      </w:r>
      <w:r>
        <w:rPr>
          <w:rFonts w:hint="eastAsia" w:ascii="宋体" w:hAnsi="宋体" w:eastAsia="宋体" w:cs="宋体"/>
          <w:szCs w:val="21"/>
        </w:rPr>
        <w:t>（</w:t>
      </w:r>
      <w:r>
        <w:rPr>
          <w:rFonts w:ascii="宋体" w:hAnsi="宋体" w:eastAsia="宋体" w:cs="宋体"/>
          <w:szCs w:val="21"/>
          <w:lang w:val="en"/>
        </w:rPr>
        <w:t>8</w:t>
      </w:r>
      <w:r>
        <w:rPr>
          <w:rFonts w:hint="eastAsia" w:ascii="宋体" w:hAnsi="宋体" w:eastAsia="宋体" w:cs="宋体"/>
          <w:szCs w:val="21"/>
        </w:rPr>
        <w:t>）中标（成交）供应商是否为外商投资企业：</w:t>
      </w:r>
      <w:r>
        <w:rPr>
          <w:rFonts w:hint="eastAsia" w:ascii="宋体" w:hAnsi="宋体" w:eastAsia="宋体" w:cs="宋体"/>
          <w:iCs/>
          <w:szCs w:val="21"/>
        </w:rPr>
        <w:sym w:font="Wingdings" w:char="00A8"/>
      </w:r>
      <w:r>
        <w:rPr>
          <w:rFonts w:hint="eastAsia" w:ascii="宋体" w:hAnsi="宋体" w:eastAsia="宋体" w:cs="宋体"/>
          <w:iCs/>
          <w:szCs w:val="21"/>
        </w:rPr>
        <w:t xml:space="preserve">是       </w:t>
      </w:r>
      <w:r>
        <w:rPr>
          <w:rFonts w:hint="eastAsia" w:ascii="宋体" w:hAnsi="宋体" w:eastAsia="宋体" w:cs="宋体"/>
          <w:iCs/>
          <w:szCs w:val="21"/>
        </w:rPr>
        <w:sym w:font="Wingdings" w:char="00A8"/>
      </w:r>
      <w:r>
        <w:rPr>
          <w:rFonts w:hint="eastAsia" w:ascii="宋体" w:hAnsi="宋体" w:eastAsia="宋体" w:cs="宋体"/>
          <w:iCs/>
          <w:szCs w:val="21"/>
        </w:rPr>
        <w:t>否</w:t>
      </w:r>
    </w:p>
    <w:p>
      <w:pPr>
        <w:tabs>
          <w:tab w:val="left" w:pos="1340"/>
        </w:tabs>
        <w:autoSpaceDE w:val="0"/>
        <w:autoSpaceDN w:val="0"/>
        <w:adjustRightIn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 xml:space="preserve">     外商投资企业类型：</w:t>
      </w:r>
      <w:r>
        <w:rPr>
          <w:rFonts w:hint="eastAsia" w:ascii="宋体" w:hAnsi="宋体" w:eastAsia="宋体" w:cs="宋体"/>
          <w:iCs/>
          <w:szCs w:val="21"/>
        </w:rPr>
        <w:sym w:font="Wingdings" w:char="00A8"/>
      </w:r>
      <w:r>
        <w:rPr>
          <w:rFonts w:hint="eastAsia" w:ascii="宋体" w:hAnsi="宋体" w:eastAsia="宋体" w:cs="宋体"/>
          <w:szCs w:val="21"/>
        </w:rPr>
        <w:t xml:space="preserve">全部由外国投资者投资  </w:t>
      </w:r>
      <w:r>
        <w:rPr>
          <w:rFonts w:hint="eastAsia" w:ascii="宋体" w:hAnsi="宋体" w:eastAsia="宋体" w:cs="宋体"/>
          <w:iCs/>
          <w:szCs w:val="21"/>
        </w:rPr>
        <w:sym w:font="Wingdings" w:char="00A8"/>
      </w:r>
      <w:r>
        <w:rPr>
          <w:rFonts w:hint="eastAsia" w:ascii="宋体" w:hAnsi="宋体" w:eastAsia="宋体" w:cs="宋体"/>
          <w:iCs/>
          <w:szCs w:val="21"/>
        </w:rPr>
        <w:t>部分由外国投资者投资</w:t>
      </w:r>
    </w:p>
    <w:p>
      <w:pPr>
        <w:numPr>
          <w:ilvl w:val="255"/>
          <w:numId w:val="0"/>
        </w:num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w:t>
      </w:r>
      <w:r>
        <w:rPr>
          <w:rFonts w:ascii="宋体" w:hAnsi="宋体" w:eastAsia="宋体" w:cs="宋体"/>
          <w:szCs w:val="21"/>
          <w:lang w:val="en"/>
        </w:rPr>
        <w:t>9</w:t>
      </w:r>
      <w:r>
        <w:rPr>
          <w:rFonts w:hint="eastAsia" w:ascii="宋体" w:hAnsi="宋体" w:eastAsia="宋体" w:cs="宋体"/>
          <w:szCs w:val="21"/>
        </w:rPr>
        <w:t>）是否涉及进口产品：</w:t>
      </w:r>
    </w:p>
    <w:p>
      <w:pPr>
        <w:numPr>
          <w:ilvl w:val="255"/>
          <w:numId w:val="0"/>
        </w:numPr>
        <w:adjustRightInd w:val="0"/>
        <w:snapToGrid w:val="0"/>
        <w:spacing w:line="400" w:lineRule="exact"/>
        <w:ind w:firstLine="840" w:firstLineChars="400"/>
        <w:rPr>
          <w:rFonts w:hint="eastAsia" w:ascii="宋体" w:hAnsi="宋体" w:eastAsia="宋体" w:cs="宋体"/>
          <w:szCs w:val="21"/>
          <w:u w:val="single"/>
        </w:rPr>
      </w:pPr>
      <w:r>
        <w:rPr>
          <w:rFonts w:hint="eastAsia" w:ascii="宋体" w:hAnsi="宋体" w:eastAsia="宋体" w:cs="宋体"/>
          <w:szCs w:val="21"/>
        </w:rPr>
        <w:t xml:space="preserve"> </w:t>
      </w:r>
      <w:r>
        <w:rPr>
          <w:rFonts w:hint="eastAsia" w:ascii="宋体" w:hAnsi="宋体" w:eastAsia="宋体" w:cs="宋体"/>
          <w:szCs w:val="21"/>
        </w:rPr>
        <w:sym w:font="Wingdings" w:char="00A8"/>
      </w:r>
      <w:r>
        <w:rPr>
          <w:rFonts w:hint="eastAsia" w:ascii="宋体" w:hAnsi="宋体" w:eastAsia="宋体" w:cs="宋体"/>
          <w:szCs w:val="21"/>
        </w:rPr>
        <w:t>是，《政府采购品目分类目录》底级品目名称：</w:t>
      </w:r>
      <w:r>
        <w:rPr>
          <w:rFonts w:hint="eastAsia" w:ascii="宋体" w:hAnsi="宋体" w:eastAsia="宋体" w:cs="宋体"/>
          <w:szCs w:val="21"/>
          <w:u w:val="single"/>
        </w:rPr>
        <w:t xml:space="preserve">         </w:t>
      </w:r>
      <w:r>
        <w:rPr>
          <w:rFonts w:hint="eastAsia" w:ascii="宋体" w:hAnsi="宋体" w:eastAsia="宋体" w:cs="宋体"/>
          <w:szCs w:val="21"/>
        </w:rPr>
        <w:t xml:space="preserve"> 金额：</w:t>
      </w:r>
      <w:r>
        <w:rPr>
          <w:rFonts w:hint="eastAsia" w:ascii="宋体" w:hAnsi="宋体" w:eastAsia="宋体" w:cs="宋体"/>
          <w:szCs w:val="21"/>
          <w:u w:val="single"/>
        </w:rPr>
        <w:t xml:space="preserve">        </w:t>
      </w:r>
    </w:p>
    <w:p>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cs="宋体"/>
          <w:szCs w:val="21"/>
        </w:rPr>
        <w:t xml:space="preserve">        国别：</w:t>
      </w:r>
      <w:r>
        <w:rPr>
          <w:rFonts w:hint="eastAsia" w:ascii="宋体" w:hAnsi="宋体" w:eastAsia="宋体" w:cs="宋体"/>
          <w:szCs w:val="21"/>
          <w:u w:val="single"/>
        </w:rPr>
        <w:t xml:space="preserve">        </w:t>
      </w:r>
      <w:r>
        <w:rPr>
          <w:rFonts w:hint="eastAsia" w:ascii="宋体" w:hAnsi="宋体" w:eastAsia="宋体" w:cs="宋体"/>
          <w:szCs w:val="21"/>
        </w:rPr>
        <w:t xml:space="preserve"> 品牌：</w:t>
      </w:r>
      <w:r>
        <w:rPr>
          <w:rFonts w:hint="eastAsia" w:ascii="宋体" w:hAnsi="宋体" w:eastAsia="宋体" w:cs="宋体"/>
          <w:szCs w:val="21"/>
          <w:u w:val="single"/>
        </w:rPr>
        <w:t xml:space="preserve">        </w:t>
      </w:r>
      <w:r>
        <w:rPr>
          <w:rFonts w:hint="eastAsia" w:ascii="宋体" w:hAnsi="宋体" w:eastAsia="宋体" w:cs="宋体"/>
          <w:szCs w:val="21"/>
        </w:rPr>
        <w:t xml:space="preserve"> 规格型号：</w:t>
      </w:r>
      <w:r>
        <w:rPr>
          <w:rFonts w:hint="eastAsia" w:ascii="宋体" w:hAnsi="宋体" w:eastAsia="宋体" w:cs="宋体"/>
          <w:szCs w:val="21"/>
          <w:u w:val="single"/>
        </w:rPr>
        <w:t xml:space="preserve">        </w:t>
      </w:r>
      <w:r>
        <w:rPr>
          <w:rFonts w:hint="eastAsia" w:ascii="宋体" w:hAnsi="宋体" w:eastAsia="宋体"/>
          <w:szCs w:val="21"/>
        </w:rPr>
        <w:t xml:space="preserve">      </w:t>
      </w:r>
    </w:p>
    <w:p>
      <w:p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0</w:t>
      </w:r>
      <w:r>
        <w:rPr>
          <w:rFonts w:hint="eastAsia" w:ascii="宋体" w:hAnsi="宋体" w:eastAsia="宋体"/>
          <w:szCs w:val="21"/>
        </w:rPr>
        <w:t>）是否涉及节能产品：</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是，《节能产品政府采购品目清单》的底级品目名称：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是否涉及环境标志产品：</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szCs w:val="21"/>
        </w:rPr>
        <w:t xml:space="preserve">         </w:t>
      </w:r>
      <w:r>
        <w:rPr>
          <w:rFonts w:hint="eastAsia" w:ascii="宋体" w:hAnsi="宋体" w:eastAsia="宋体"/>
          <w:szCs w:val="21"/>
        </w:rPr>
        <w:sym w:font="Wingdings" w:char="00A8"/>
      </w:r>
      <w:r>
        <w:rPr>
          <w:rFonts w:hint="eastAsia" w:ascii="宋体" w:hAnsi="宋体" w:eastAsia="宋体"/>
          <w:szCs w:val="21"/>
        </w:rPr>
        <w:t>是，《环境标志产品政府采购品目清单》的底级品目名称：</w:t>
      </w:r>
      <w:r>
        <w:rPr>
          <w:rFonts w:hint="eastAsia" w:ascii="宋体" w:hAnsi="宋体" w:eastAsia="宋体"/>
          <w:szCs w:val="21"/>
          <w:u w:val="single"/>
        </w:rPr>
        <w:t xml:space="preserve">         </w:t>
      </w:r>
      <w:r>
        <w:rPr>
          <w:rFonts w:hint="eastAsia" w:ascii="宋体" w:hAnsi="宋体" w:eastAsia="宋体"/>
          <w:iCs/>
          <w:szCs w:val="21"/>
        </w:rPr>
        <w:t xml:space="preserve"> </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pPr>
        <w:numPr>
          <w:ilvl w:val="255"/>
          <w:numId w:val="0"/>
        </w:numPr>
        <w:tabs>
          <w:tab w:val="left" w:pos="740"/>
        </w:tabs>
        <w:adjustRightInd w:val="0"/>
        <w:snapToGrid w:val="0"/>
        <w:spacing w:line="400" w:lineRule="exact"/>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szCs w:val="21"/>
        </w:rPr>
        <w:sym w:font="Wingdings" w:char="00A8"/>
      </w:r>
      <w:r>
        <w:rPr>
          <w:rFonts w:hint="eastAsia" w:ascii="宋体" w:hAnsi="宋体" w:eastAsia="宋体"/>
          <w:szCs w:val="21"/>
        </w:rPr>
        <w:t>否</w:t>
      </w:r>
    </w:p>
    <w:p>
      <w:pPr>
        <w:numPr>
          <w:ilvl w:val="255"/>
          <w:numId w:val="0"/>
        </w:numPr>
        <w:autoSpaceDE w:val="0"/>
        <w:autoSpaceDN w:val="0"/>
        <w:adjustRightInd w:val="0"/>
        <w:snapToGrid w:val="0"/>
        <w:spacing w:line="400" w:lineRule="exact"/>
        <w:rPr>
          <w:rFonts w:hint="eastAsia" w:ascii="宋体" w:hAnsi="宋体" w:eastAsia="宋体" w:cs="Times New Roman"/>
          <w:szCs w:val="21"/>
        </w:rPr>
      </w:pPr>
      <w:r>
        <w:rPr>
          <w:rFonts w:hint="eastAsia" w:ascii="宋体" w:hAnsi="宋体" w:eastAsia="华文楷体" w:cs="华文楷体"/>
          <w:szCs w:val="21"/>
        </w:rPr>
        <w:t xml:space="preserve">          </w:t>
      </w:r>
      <w:r>
        <w:rPr>
          <w:rFonts w:hint="eastAsia" w:ascii="宋体" w:hAnsi="宋体" w:eastAsia="宋体" w:cs="Times New Roman"/>
          <w:szCs w:val="21"/>
        </w:rPr>
        <w:t xml:space="preserve">是否涉及绿色产品： </w:t>
      </w:r>
    </w:p>
    <w:p>
      <w:pPr>
        <w:autoSpaceDE w:val="0"/>
        <w:autoSpaceDN w:val="0"/>
        <w:adjustRightInd w:val="0"/>
        <w:spacing w:line="400" w:lineRule="exact"/>
        <w:ind w:firstLine="420"/>
        <w:rPr>
          <w:rFonts w:hint="eastAsia" w:ascii="宋体" w:hAnsi="宋体" w:eastAsia="宋体" w:cs="华文楷体"/>
          <w:sz w:val="22"/>
          <w:szCs w:val="21"/>
          <w:u w:val="single"/>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是，绿色产品政府采购相关政策确定的底级品目名称：</w:t>
      </w:r>
      <w:r>
        <w:rPr>
          <w:rFonts w:hint="eastAsia" w:ascii="宋体" w:hAnsi="宋体" w:eastAsia="宋体" w:cs="华文楷体"/>
          <w:sz w:val="22"/>
          <w:szCs w:val="21"/>
          <w:u w:val="single"/>
        </w:rPr>
        <w:t xml:space="preserve">         </w:t>
      </w:r>
    </w:p>
    <w:p>
      <w:pPr>
        <w:numPr>
          <w:ilvl w:val="255"/>
          <w:numId w:val="0"/>
        </w:numPr>
        <w:tabs>
          <w:tab w:val="left" w:pos="740"/>
        </w:tabs>
        <w:adjustRightInd w:val="0"/>
        <w:snapToGrid w:val="0"/>
        <w:spacing w:line="400" w:lineRule="exact"/>
        <w:rPr>
          <w:rFonts w:hint="eastAsia" w:ascii="宋体" w:hAnsi="宋体" w:eastAsia="宋体"/>
          <w:iCs/>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强制采购       </w:t>
      </w:r>
      <w:r>
        <w:rPr>
          <w:rFonts w:hint="eastAsia" w:ascii="宋体" w:hAnsi="宋体" w:eastAsia="宋体"/>
          <w:iCs/>
          <w:szCs w:val="21"/>
        </w:rPr>
        <w:sym w:font="Wingdings" w:char="00A8"/>
      </w:r>
      <w:r>
        <w:rPr>
          <w:rFonts w:hint="eastAsia" w:ascii="宋体" w:hAnsi="宋体" w:eastAsia="宋体"/>
          <w:iCs/>
          <w:szCs w:val="21"/>
        </w:rPr>
        <w:t xml:space="preserve">优先采购    </w:t>
      </w:r>
    </w:p>
    <w:p>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eastAsia="宋体" w:cs="Times New Roman"/>
          <w:szCs w:val="21"/>
        </w:rPr>
        <w:t xml:space="preserve">     </w:t>
      </w:r>
      <w:r>
        <w:rPr>
          <w:rFonts w:hint="eastAsia" w:ascii="宋体" w:hAnsi="宋体" w:eastAsia="宋体" w:cs="Times New Roman"/>
          <w:szCs w:val="21"/>
        </w:rPr>
        <w:sym w:font="Wingdings" w:char="00A8"/>
      </w:r>
      <w:r>
        <w:rPr>
          <w:rFonts w:hint="eastAsia" w:ascii="宋体" w:hAnsi="宋体" w:eastAsia="宋体" w:cs="Times New Roman"/>
          <w:szCs w:val="21"/>
        </w:rPr>
        <w:t>否</w:t>
      </w:r>
    </w:p>
    <w:p>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（1</w:t>
      </w:r>
      <w:r>
        <w:rPr>
          <w:rFonts w:ascii="宋体" w:hAnsi="宋体" w:eastAsia="宋体"/>
          <w:szCs w:val="21"/>
          <w:lang w:val="en"/>
        </w:rPr>
        <w:t>1</w:t>
      </w:r>
      <w:r>
        <w:rPr>
          <w:rFonts w:hint="eastAsia" w:ascii="宋体" w:hAnsi="宋体" w:eastAsia="宋体"/>
          <w:szCs w:val="21"/>
        </w:rPr>
        <w:t>）涉及商品包装和快递包装的，是否参考《商品包装政府采购需求标准（试行）》、《快递包装政府采购需求标准（试行）》明确产品及相关快递服务的具体包装要求：</w:t>
      </w:r>
    </w:p>
    <w:p>
      <w:pPr>
        <w:numPr>
          <w:ilvl w:val="255"/>
          <w:numId w:val="0"/>
        </w:numPr>
        <w:adjustRightInd w:val="0"/>
        <w:snapToGrid w:val="0"/>
        <w:spacing w:line="400" w:lineRule="exact"/>
        <w:ind w:firstLine="840" w:firstLineChars="4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 xml:space="preserve">是       </w:t>
      </w:r>
      <w:r>
        <w:rPr>
          <w:rFonts w:hint="eastAsia" w:ascii="宋体" w:hAnsi="宋体" w:eastAsia="宋体"/>
          <w:szCs w:val="21"/>
        </w:rPr>
        <w:sym w:font="Wingdings" w:char="00A8"/>
      </w:r>
      <w:r>
        <w:rPr>
          <w:rFonts w:hint="eastAsia" w:ascii="宋体" w:hAnsi="宋体" w:eastAsia="宋体"/>
          <w:szCs w:val="21"/>
        </w:rPr>
        <w:t xml:space="preserve">否      </w:t>
      </w:r>
      <w:r>
        <w:rPr>
          <w:rFonts w:hint="eastAsia" w:ascii="宋体" w:hAnsi="宋体" w:eastAsia="宋体"/>
          <w:szCs w:val="21"/>
        </w:rPr>
        <w:sym w:font="Wingdings" w:char="00A8"/>
      </w:r>
      <w:r>
        <w:rPr>
          <w:rFonts w:hint="eastAsia" w:ascii="宋体" w:hAnsi="宋体" w:eastAsia="宋体"/>
          <w:szCs w:val="21"/>
        </w:rPr>
        <w:t>不涉及</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合同金额</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（1）合同金额小写：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分包金额（如有）小写：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u w:val="single"/>
        </w:rPr>
      </w:pPr>
      <w:r>
        <w:rPr>
          <w:rFonts w:hint="eastAsia" w:ascii="宋体" w:hAnsi="宋体" w:eastAsia="宋体"/>
          <w:szCs w:val="21"/>
        </w:rPr>
        <w:t xml:space="preserve">                     大写：</w:t>
      </w:r>
      <w:r>
        <w:rPr>
          <w:rFonts w:hint="eastAsia" w:ascii="宋体" w:hAnsi="宋体" w:eastAsia="宋体"/>
          <w:szCs w:val="21"/>
          <w:u w:val="single"/>
        </w:rPr>
        <w:t xml:space="preserve">                       </w:t>
      </w:r>
    </w:p>
    <w:p>
      <w:pPr>
        <w:adjustRightInd w:val="0"/>
        <w:snapToGrid w:val="0"/>
        <w:spacing w:line="400" w:lineRule="exact"/>
        <w:rPr>
          <w:rFonts w:hint="eastAsia" w:ascii="宋体" w:hAnsi="宋体" w:eastAsia="宋体"/>
          <w:szCs w:val="21"/>
        </w:rPr>
      </w:pPr>
      <w:r>
        <w:rPr>
          <w:rFonts w:hint="eastAsia" w:ascii="宋体" w:hAnsi="宋体" w:eastAsia="宋体"/>
          <w:szCs w:val="21"/>
        </w:rPr>
        <w:t xml:space="preserve">    （注：固定单价合同应填写单价和最高限价）</w:t>
      </w:r>
    </w:p>
    <w:p>
      <w:pPr>
        <w:numPr>
          <w:ilvl w:val="255"/>
          <w:numId w:val="0"/>
        </w:numPr>
        <w:adjustRightInd w:val="0"/>
        <w:snapToGrid w:val="0"/>
        <w:spacing w:line="400" w:lineRule="exact"/>
        <w:rPr>
          <w:rFonts w:hint="eastAsia" w:ascii="宋体" w:hAnsi="宋体" w:eastAsia="宋体"/>
          <w:szCs w:val="21"/>
        </w:rPr>
      </w:pPr>
      <w:r>
        <w:rPr>
          <w:rFonts w:hint="eastAsia" w:ascii="宋体" w:hAnsi="宋体" w:eastAsia="宋体"/>
          <w:szCs w:val="21"/>
        </w:rPr>
        <w:t xml:space="preserve">    （2）合同定价方式（采用组合定价方式的，可以勾选多项）：</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iCs/>
          <w:szCs w:val="21"/>
        </w:rPr>
        <w:t xml:space="preserve">  </w:t>
      </w:r>
      <w:r>
        <w:rPr>
          <w:rFonts w:hint="eastAsia" w:ascii="宋体" w:hAnsi="宋体" w:eastAsia="宋体"/>
          <w:iCs/>
          <w:szCs w:val="21"/>
        </w:rPr>
        <w:sym w:font="Wingdings" w:char="00A8"/>
      </w:r>
      <w:r>
        <w:rPr>
          <w:rFonts w:hint="eastAsia" w:ascii="宋体" w:hAnsi="宋体" w:eastAsia="宋体"/>
          <w:iCs/>
          <w:szCs w:val="21"/>
        </w:rPr>
        <w:t xml:space="preserve">固定总价 </w:t>
      </w:r>
      <w:r>
        <w:rPr>
          <w:rFonts w:hint="eastAsia" w:ascii="宋体" w:hAnsi="宋体" w:eastAsia="宋体"/>
          <w:iCs/>
          <w:szCs w:val="21"/>
        </w:rPr>
        <w:sym w:font="Wingdings" w:char="00A8"/>
      </w:r>
      <w:r>
        <w:rPr>
          <w:rFonts w:hint="eastAsia" w:ascii="宋体" w:hAnsi="宋体" w:eastAsia="宋体"/>
          <w:iCs/>
          <w:szCs w:val="21"/>
        </w:rPr>
        <w:t xml:space="preserve">固定单价 </w:t>
      </w:r>
      <w:r>
        <w:rPr>
          <w:rFonts w:hint="eastAsia" w:ascii="宋体" w:hAnsi="宋体" w:eastAsia="宋体"/>
          <w:iCs/>
          <w:szCs w:val="21"/>
        </w:rPr>
        <w:sym w:font="Wingdings" w:char="00A8"/>
      </w:r>
      <w:r>
        <w:rPr>
          <w:rFonts w:hint="eastAsia" w:ascii="宋体" w:hAnsi="宋体" w:eastAsia="宋体"/>
          <w:iCs/>
          <w:szCs w:val="21"/>
        </w:rPr>
        <w:t xml:space="preserve">固定费率 </w:t>
      </w:r>
      <w:r>
        <w:rPr>
          <w:rFonts w:hint="eastAsia" w:ascii="宋体" w:hAnsi="宋体" w:eastAsia="宋体"/>
          <w:iCs/>
          <w:szCs w:val="21"/>
        </w:rPr>
        <w:sym w:font="Wingdings" w:char="00A8"/>
      </w:r>
      <w:r>
        <w:rPr>
          <w:rFonts w:hint="eastAsia" w:ascii="宋体" w:hAnsi="宋体" w:eastAsia="宋体"/>
          <w:iCs/>
          <w:szCs w:val="21"/>
        </w:rPr>
        <w:t xml:space="preserve">成本补偿 </w:t>
      </w:r>
      <w:r>
        <w:rPr>
          <w:rFonts w:hint="eastAsia" w:ascii="宋体" w:hAnsi="宋体" w:eastAsia="宋体"/>
          <w:iCs/>
          <w:szCs w:val="21"/>
        </w:rPr>
        <w:sym w:font="Wingdings" w:char="00A8"/>
      </w:r>
      <w:r>
        <w:rPr>
          <w:rFonts w:hint="eastAsia" w:ascii="宋体" w:hAnsi="宋体" w:eastAsia="宋体"/>
          <w:iCs/>
          <w:szCs w:val="21"/>
        </w:rPr>
        <w:t xml:space="preserve">绩效激励 </w:t>
      </w:r>
      <w:r>
        <w:rPr>
          <w:rFonts w:hint="eastAsia" w:ascii="宋体" w:hAnsi="宋体" w:eastAsia="宋体"/>
          <w:iCs/>
          <w:szCs w:val="21"/>
        </w:rPr>
        <w:sym w:font="Wingdings" w:char="00A8"/>
      </w:r>
      <w:r>
        <w:rPr>
          <w:rFonts w:hint="eastAsia" w:ascii="宋体" w:hAnsi="宋体" w:eastAsia="宋体"/>
          <w:iCs/>
          <w:szCs w:val="21"/>
        </w:rPr>
        <w:t>其他</w:t>
      </w:r>
      <w:r>
        <w:rPr>
          <w:rFonts w:hint="eastAsia" w:ascii="宋体" w:hAnsi="宋体" w:eastAsia="宋体"/>
          <w:szCs w:val="21"/>
          <w:u w:val="single"/>
        </w:rPr>
        <w:t xml:space="preserve">       </w:t>
      </w:r>
    </w:p>
    <w:p>
      <w:pPr>
        <w:spacing w:line="400" w:lineRule="exact"/>
        <w:ind w:firstLine="420" w:firstLineChars="200"/>
        <w:rPr>
          <w:rFonts w:ascii="Times New Roman" w:hAnsi="Times New Roman" w:eastAsia="宋体" w:cs="Times New Roman"/>
          <w:szCs w:val="21"/>
        </w:rPr>
      </w:pPr>
      <w:r>
        <w:rPr>
          <w:rFonts w:hint="eastAsia" w:ascii="宋体" w:hAnsi="宋体" w:eastAsia="宋体" w:cs="Times New Roman"/>
          <w:szCs w:val="21"/>
        </w:rPr>
        <w:t>（3）付款方式（按项目实际勾选填写）：</w:t>
      </w:r>
    </w:p>
    <w:p>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全额付款：</w:t>
      </w:r>
      <w:r>
        <w:rPr>
          <w:rFonts w:hint="eastAsia" w:ascii="宋体" w:hAnsi="宋体" w:eastAsia="宋体"/>
          <w:szCs w:val="21"/>
          <w:u w:val="single"/>
        </w:rPr>
        <w:t xml:space="preserve">     （应明确一次性支付合同款项的条件）                    </w:t>
      </w:r>
    </w:p>
    <w:p>
      <w:pPr>
        <w:snapToGrid w:val="0"/>
        <w:spacing w:line="400" w:lineRule="exact"/>
        <w:ind w:firstLine="630" w:firstLineChars="300"/>
        <w:rPr>
          <w:rFonts w:eastAsia="宋体"/>
        </w:rPr>
      </w:pPr>
      <w:r>
        <w:rPr>
          <w:rFonts w:hint="eastAsia" w:ascii="宋体" w:hAnsi="宋体" w:eastAsia="宋体"/>
          <w:szCs w:val="21"/>
        </w:rPr>
        <w:sym w:font="Wingdings" w:char="00A8"/>
      </w:r>
      <w:r>
        <w:rPr>
          <w:rFonts w:hint="eastAsia" w:ascii="宋体" w:hAnsi="宋体" w:eastAsia="宋体"/>
          <w:szCs w:val="21"/>
        </w:rPr>
        <w:t>分期付款：</w:t>
      </w:r>
      <w:r>
        <w:rPr>
          <w:rFonts w:hint="eastAsia" w:ascii="宋体" w:hAnsi="宋体" w:eastAsia="宋体"/>
          <w:szCs w:val="21"/>
          <w:u w:val="single"/>
        </w:rPr>
        <w:t xml:space="preserve">  （应明确分期支付合同款项的各期比例和支付条件，各期支付条件应与分期履约验收情况挂钩） </w:t>
      </w:r>
      <w:r>
        <w:rPr>
          <w:rFonts w:hint="eastAsia" w:ascii="宋体" w:hAnsi="宋体" w:eastAsia="宋体"/>
          <w:szCs w:val="21"/>
        </w:rPr>
        <w:t>，其中涉及预付款的：</w:t>
      </w:r>
      <w:r>
        <w:rPr>
          <w:rFonts w:hint="eastAsia" w:ascii="宋体" w:hAnsi="宋体" w:eastAsia="宋体"/>
          <w:szCs w:val="21"/>
          <w:u w:val="single"/>
        </w:rPr>
        <w:t xml:space="preserve"> （应明确预付款的支付比例和支付条件） </w:t>
      </w:r>
    </w:p>
    <w:p>
      <w:pPr>
        <w:adjustRightInd w:val="0"/>
        <w:snapToGrid w:val="0"/>
        <w:spacing w:line="400" w:lineRule="exact"/>
        <w:ind w:firstLine="630" w:firstLineChars="300"/>
        <w:rPr>
          <w:rFonts w:hint="eastAsia" w:ascii="宋体" w:hAnsi="宋体" w:eastAsia="宋体"/>
          <w:szCs w:val="21"/>
          <w:u w:val="single"/>
        </w:rPr>
      </w:pPr>
      <w:r>
        <w:rPr>
          <w:rFonts w:hint="eastAsia" w:ascii="宋体" w:hAnsi="宋体" w:eastAsia="宋体"/>
          <w:szCs w:val="21"/>
        </w:rPr>
        <w:sym w:font="Wingdings" w:char="00A8"/>
      </w:r>
      <w:r>
        <w:rPr>
          <w:rFonts w:hint="eastAsia" w:ascii="宋体" w:hAnsi="宋体" w:eastAsia="宋体"/>
          <w:szCs w:val="21"/>
        </w:rPr>
        <w:t>成本补偿：</w:t>
      </w:r>
      <w:r>
        <w:rPr>
          <w:rFonts w:hint="eastAsia" w:ascii="宋体" w:hAnsi="宋体" w:eastAsia="宋体"/>
          <w:szCs w:val="21"/>
          <w:u w:val="single"/>
        </w:rPr>
        <w:t xml:space="preserve">      （应明确按照成本补偿方式的支付方式和支付条件）   </w:t>
      </w:r>
    </w:p>
    <w:p>
      <w:pPr>
        <w:adjustRightInd w:val="0"/>
        <w:snapToGrid w:val="0"/>
        <w:spacing w:line="400" w:lineRule="exact"/>
        <w:ind w:firstLine="630" w:firstLineChars="300"/>
        <w:rPr>
          <w:rFonts w:hint="eastAsia" w:ascii="宋体" w:hAnsi="宋体" w:eastAsia="宋体"/>
          <w:szCs w:val="21"/>
        </w:rPr>
      </w:pPr>
      <w:r>
        <w:rPr>
          <w:rFonts w:hint="eastAsia" w:ascii="宋体" w:hAnsi="宋体" w:eastAsia="宋体"/>
          <w:szCs w:val="21"/>
        </w:rPr>
        <w:sym w:font="Wingdings" w:char="00A8"/>
      </w:r>
      <w:r>
        <w:rPr>
          <w:rFonts w:hint="eastAsia" w:ascii="宋体" w:hAnsi="宋体" w:eastAsia="宋体"/>
          <w:szCs w:val="21"/>
        </w:rPr>
        <w:t>绩效激励：</w:t>
      </w:r>
      <w:r>
        <w:rPr>
          <w:rFonts w:hint="eastAsia" w:ascii="宋体" w:hAnsi="宋体" w:eastAsia="宋体"/>
          <w:szCs w:val="21"/>
          <w:u w:val="single"/>
        </w:rPr>
        <w:t xml:space="preserve">      （应明确按照绩效激励方式的支付方式和支付条件）   </w:t>
      </w:r>
    </w:p>
    <w:p>
      <w:pPr>
        <w:numPr>
          <w:ilvl w:val="0"/>
          <w:numId w:val="5"/>
        </w:numPr>
        <w:adjustRightInd w:val="0"/>
        <w:snapToGrid w:val="0"/>
        <w:spacing w:line="400" w:lineRule="exact"/>
        <w:ind w:firstLine="422" w:firstLineChars="200"/>
        <w:rPr>
          <w:rFonts w:hint="eastAsia" w:ascii="宋体" w:hAnsi="宋体" w:eastAsia="宋体"/>
          <w:b/>
          <w:szCs w:val="21"/>
          <w:u w:val="single"/>
        </w:rPr>
      </w:pPr>
      <w:r>
        <w:rPr>
          <w:rFonts w:hint="eastAsia" w:ascii="宋体" w:hAnsi="宋体" w:eastAsia="宋体"/>
          <w:b/>
          <w:szCs w:val="21"/>
        </w:rPr>
        <w:t>合同履行</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（1）起始日期：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日，完成日期：</w:t>
      </w:r>
      <w:r>
        <w:rPr>
          <w:rFonts w:hint="eastAsia"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hint="eastAsia" w:ascii="宋体" w:hAnsi="宋体" w:eastAsia="宋体" w:cs="宋体"/>
          <w:szCs w:val="21"/>
        </w:rPr>
        <w:t>日。</w:t>
      </w:r>
    </w:p>
    <w:p>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szCs w:val="21"/>
        </w:rPr>
        <w:t>（2）履约地点</w:t>
      </w:r>
      <w:r>
        <w:rPr>
          <w:rFonts w:hint="eastAsia" w:ascii="宋体" w:hAnsi="宋体" w:eastAsia="宋体" w:cs="宋体"/>
          <w:bCs/>
          <w:szCs w:val="21"/>
        </w:rPr>
        <w:t>：</w:t>
      </w:r>
      <w:r>
        <w:rPr>
          <w:rFonts w:hint="eastAsia" w:ascii="宋体" w:hAnsi="宋体" w:eastAsia="宋体" w:cs="宋体"/>
          <w:szCs w:val="21"/>
          <w:u w:val="single"/>
        </w:rPr>
        <w:t xml:space="preserve">                             </w:t>
      </w:r>
    </w:p>
    <w:p>
      <w:pPr>
        <w:adjustRightInd w:val="0"/>
        <w:snapToGri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（3）履约担保：</w:t>
      </w:r>
      <w:r>
        <w:rPr>
          <w:rFonts w:hint="eastAsia" w:ascii="宋体" w:hAnsi="宋体" w:eastAsia="宋体" w:cs="宋体"/>
        </w:rPr>
        <w:t>是否收取履约保证金：</w:t>
      </w:r>
      <w:r>
        <w:rPr>
          <w:rFonts w:hint="eastAsia" w:ascii="宋体" w:hAnsi="宋体" w:eastAsia="宋体" w:cs="宋体"/>
          <w:szCs w:val="21"/>
        </w:rPr>
        <w:sym w:font="Wingdings" w:char="00A8"/>
      </w:r>
      <w:r>
        <w:rPr>
          <w:rFonts w:hint="eastAsia" w:ascii="宋体" w:hAnsi="宋体" w:eastAsia="宋体" w:cs="宋体"/>
          <w:szCs w:val="21"/>
        </w:rPr>
        <w:t xml:space="preserve">是    </w:t>
      </w:r>
      <w:r>
        <w:rPr>
          <w:rFonts w:hint="eastAsia" w:ascii="宋体" w:hAnsi="宋体" w:eastAsia="宋体" w:cs="宋体"/>
          <w:szCs w:val="21"/>
        </w:rPr>
        <w:sym w:font="Wingdings" w:char="00A8"/>
      </w:r>
      <w:r>
        <w:rPr>
          <w:rFonts w:hint="eastAsia" w:ascii="宋体" w:hAnsi="宋体" w:eastAsia="宋体" w:cs="宋体"/>
          <w:szCs w:val="21"/>
        </w:rPr>
        <w:t>否</w:t>
      </w:r>
    </w:p>
    <w:p>
      <w:pPr>
        <w:autoSpaceDE w:val="0"/>
        <w:autoSpaceDN w:val="0"/>
        <w:adjustRightInd w:val="0"/>
        <w:spacing w:line="400" w:lineRule="exact"/>
        <w:ind w:firstLine="440" w:firstLineChars="200"/>
        <w:rPr>
          <w:rFonts w:hint="eastAsia" w:ascii="宋体" w:hAnsi="宋体" w:eastAsia="宋体" w:cs="宋体"/>
          <w:szCs w:val="21"/>
        </w:rPr>
      </w:pPr>
      <w:r>
        <w:rPr>
          <w:rFonts w:hint="eastAsia" w:ascii="宋体" w:hAnsi="宋体" w:eastAsia="华文楷体" w:cs="宋体"/>
          <w:bCs/>
          <w:sz w:val="22"/>
          <w:szCs w:val="21"/>
        </w:rPr>
        <w:t xml:space="preserve">  </w:t>
      </w:r>
      <w:r>
        <w:rPr>
          <w:rFonts w:hint="eastAsia" w:ascii="宋体" w:hAnsi="宋体" w:eastAsia="宋体" w:cs="宋体"/>
          <w:szCs w:val="21"/>
        </w:rPr>
        <w:t xml:space="preserve">  收取履约保证金形式：</w:t>
      </w:r>
      <w:r>
        <w:rPr>
          <w:rFonts w:hint="eastAsia" w:ascii="宋体" w:hAnsi="宋体" w:eastAsia="宋体" w:cs="宋体"/>
          <w:bCs/>
          <w:szCs w:val="21"/>
          <w:u w:val="single"/>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 xml:space="preserve">    收取履约保证金金额：</w:t>
      </w:r>
      <w:r>
        <w:rPr>
          <w:rFonts w:hint="eastAsia" w:ascii="宋体" w:hAnsi="宋体" w:eastAsia="宋体" w:cs="宋体"/>
          <w:bCs/>
          <w:szCs w:val="21"/>
          <w:u w:val="single"/>
        </w:rPr>
        <w:t xml:space="preserve">                            </w:t>
      </w:r>
    </w:p>
    <w:p>
      <w:pPr>
        <w:snapToGrid w:val="0"/>
        <w:spacing w:line="400" w:lineRule="exact"/>
        <w:ind w:firstLine="420" w:firstLineChars="200"/>
        <w:rPr>
          <w:rFonts w:hint="eastAsia" w:ascii="宋体" w:hAnsi="宋体" w:eastAsia="宋体" w:cs="宋体"/>
        </w:rPr>
      </w:pPr>
      <w:r>
        <w:rPr>
          <w:rFonts w:hint="eastAsia" w:ascii="宋体" w:hAnsi="宋体" w:eastAsia="宋体" w:cs="宋体"/>
          <w:bCs/>
          <w:szCs w:val="21"/>
        </w:rPr>
        <w:t xml:space="preserve">    履约担保期限：</w:t>
      </w:r>
      <w:r>
        <w:rPr>
          <w:rFonts w:hint="eastAsia" w:ascii="宋体" w:hAnsi="宋体" w:eastAsia="宋体" w:cs="宋体"/>
          <w:bCs/>
          <w:szCs w:val="21"/>
          <w:u w:val="single"/>
        </w:rPr>
        <w:t xml:space="preserve">                                  </w:t>
      </w:r>
    </w:p>
    <w:p>
      <w:pPr>
        <w:adjustRightInd w:val="0"/>
        <w:snapToGrid w:val="0"/>
        <w:spacing w:line="400" w:lineRule="exact"/>
        <w:ind w:firstLine="420" w:firstLineChars="200"/>
        <w:rPr>
          <w:rFonts w:hint="eastAsia" w:ascii="宋体" w:hAnsi="宋体" w:eastAsia="宋体" w:cs="宋体"/>
          <w:bCs/>
          <w:szCs w:val="21"/>
        </w:rPr>
      </w:pPr>
      <w:r>
        <w:rPr>
          <w:rFonts w:hint="eastAsia" w:ascii="宋体" w:hAnsi="宋体" w:eastAsia="宋体" w:cs="宋体"/>
          <w:bCs/>
          <w:szCs w:val="21"/>
        </w:rPr>
        <w:t>（4）分期履行要求：</w:t>
      </w:r>
      <w:r>
        <w:rPr>
          <w:rFonts w:hint="eastAsia" w:ascii="宋体" w:hAnsi="宋体" w:eastAsia="宋体" w:cs="宋体"/>
          <w:bCs/>
          <w:szCs w:val="21"/>
          <w:u w:val="single"/>
        </w:rPr>
        <w:t xml:space="preserve">                                                        </w:t>
      </w:r>
    </w:p>
    <w:p>
      <w:pPr>
        <w:adjustRightInd w:val="0"/>
        <w:snapToGrid w:val="0"/>
        <w:spacing w:line="400" w:lineRule="exact"/>
        <w:ind w:firstLine="420" w:firstLineChars="200"/>
        <w:rPr>
          <w:rFonts w:hint="eastAsia" w:ascii="宋体" w:hAnsi="宋体" w:eastAsia="宋体" w:cs="宋体"/>
          <w:szCs w:val="21"/>
          <w:u w:val="single"/>
        </w:rPr>
      </w:pPr>
      <w:r>
        <w:rPr>
          <w:rFonts w:hint="eastAsia" w:ascii="宋体" w:hAnsi="宋体" w:eastAsia="宋体" w:cs="宋体"/>
          <w:bCs/>
          <w:szCs w:val="21"/>
        </w:rPr>
        <w:t>（5）风险处置措施和替代方案：</w:t>
      </w:r>
      <w:r>
        <w:rPr>
          <w:rFonts w:hint="eastAsia" w:ascii="宋体" w:hAnsi="宋体" w:eastAsia="宋体" w:cs="宋体"/>
          <w:color w:val="0000FF"/>
          <w:szCs w:val="21"/>
          <w:u w:val="single"/>
        </w:rPr>
        <w:t xml:space="preserve"> </w:t>
      </w:r>
      <w:r>
        <w:rPr>
          <w:rFonts w:hint="eastAsia" w:ascii="宋体" w:hAnsi="宋体" w:eastAsia="宋体" w:cs="宋体"/>
          <w:color w:val="000000"/>
          <w:szCs w:val="21"/>
          <w:u w:val="single"/>
        </w:rPr>
        <w:t xml:space="preserve">              </w:t>
      </w:r>
      <w:r>
        <w:rPr>
          <w:rFonts w:hint="eastAsia" w:ascii="宋体" w:hAnsi="宋体" w:eastAsia="宋体" w:cs="宋体"/>
          <w:szCs w:val="21"/>
          <w:u w:val="single"/>
        </w:rPr>
        <w:t xml:space="preserve">                                                </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合同验收</w:t>
      </w:r>
    </w:p>
    <w:p>
      <w:pPr>
        <w:numPr>
          <w:ilvl w:val="0"/>
          <w:numId w:val="7"/>
        </w:num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验收组织方式：</w:t>
      </w:r>
      <w:r>
        <w:rPr>
          <w:rFonts w:hint="eastAsia" w:ascii="宋体" w:hAnsi="宋体" w:eastAsia="宋体" w:cs="宋体"/>
          <w:szCs w:val="21"/>
        </w:rPr>
        <w:sym w:font="Wingdings" w:char="00A8"/>
      </w:r>
      <w:r>
        <w:rPr>
          <w:rFonts w:hint="eastAsia" w:ascii="宋体" w:hAnsi="宋体" w:eastAsia="宋体"/>
          <w:bCs/>
          <w:szCs w:val="21"/>
        </w:rPr>
        <w:t xml:space="preserve">自行组织 </w:t>
      </w:r>
      <w:r>
        <w:rPr>
          <w:rFonts w:hint="eastAsia" w:ascii="宋体" w:hAnsi="宋体" w:eastAsia="宋体" w:cs="宋体"/>
          <w:szCs w:val="21"/>
        </w:rPr>
        <w:sym w:font="Wingdings" w:char="00A8"/>
      </w:r>
      <w:r>
        <w:rPr>
          <w:rFonts w:hint="eastAsia" w:ascii="宋体" w:hAnsi="宋体" w:eastAsia="宋体"/>
          <w:bCs/>
          <w:szCs w:val="21"/>
        </w:rPr>
        <w:t>委托第三方组织</w:t>
      </w:r>
    </w:p>
    <w:p>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验收主体：</w:t>
      </w:r>
      <w:r>
        <w:rPr>
          <w:rFonts w:hint="eastAsia" w:ascii="宋体" w:hAnsi="宋体" w:eastAsia="宋体"/>
          <w:bCs/>
          <w:szCs w:val="21"/>
          <w:u w:val="single"/>
        </w:rPr>
        <w:t xml:space="preserve">                  </w:t>
      </w:r>
    </w:p>
    <w:p>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是否邀请本项目的其他供应商参加验收：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是否邀请专家参加验收：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是否邀请服务对象参加验收：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是否邀请第三方检测机构参加验收：</w:t>
      </w:r>
      <w:r>
        <w:rPr>
          <w:rFonts w:hint="eastAsia" w:ascii="宋体" w:hAnsi="宋体" w:eastAsia="宋体" w:cs="宋体"/>
          <w:szCs w:val="21"/>
        </w:rPr>
        <w:sym w:font="Wingdings" w:char="00A8"/>
      </w:r>
      <w:r>
        <w:rPr>
          <w:rFonts w:hint="eastAsia" w:ascii="宋体" w:hAnsi="宋体" w:eastAsia="宋体"/>
          <w:bCs/>
          <w:szCs w:val="21"/>
        </w:rPr>
        <w:t xml:space="preserve">是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是否进行抽查检测：</w:t>
      </w:r>
      <w:r>
        <w:rPr>
          <w:rFonts w:hint="eastAsia" w:ascii="宋体" w:hAnsi="宋体" w:eastAsia="宋体" w:cs="宋体"/>
          <w:szCs w:val="21"/>
        </w:rPr>
        <w:sym w:font="Wingdings" w:char="00A8"/>
      </w:r>
      <w:r>
        <w:rPr>
          <w:rFonts w:hint="eastAsia" w:ascii="宋体" w:hAnsi="宋体" w:eastAsia="宋体"/>
          <w:bCs/>
          <w:szCs w:val="21"/>
        </w:rPr>
        <w:t>是，抽查比例：</w:t>
      </w:r>
      <w:r>
        <w:rPr>
          <w:rFonts w:hint="eastAsia" w:ascii="宋体" w:hAnsi="宋体" w:eastAsia="宋体"/>
          <w:bCs/>
          <w:szCs w:val="21"/>
          <w:u w:val="single"/>
        </w:rPr>
        <w:t xml:space="preserve">        </w:t>
      </w: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是否存在破坏性检测：</w:t>
      </w:r>
      <w:r>
        <w:rPr>
          <w:rFonts w:hint="eastAsia" w:ascii="宋体" w:hAnsi="宋体" w:eastAsia="宋体" w:cs="宋体"/>
          <w:szCs w:val="21"/>
        </w:rPr>
        <w:sym w:font="Wingdings" w:char="00A8"/>
      </w:r>
      <w:r>
        <w:rPr>
          <w:rFonts w:hint="eastAsia" w:ascii="宋体" w:hAnsi="宋体" w:eastAsia="宋体"/>
          <w:bCs/>
          <w:szCs w:val="21"/>
        </w:rPr>
        <w:t>是，</w:t>
      </w:r>
      <w:r>
        <w:rPr>
          <w:rFonts w:hint="eastAsia" w:ascii="宋体" w:hAnsi="宋体" w:eastAsia="宋体"/>
          <w:bCs/>
          <w:szCs w:val="21"/>
          <w:u w:val="single"/>
        </w:rPr>
        <w:t>（应明确对被破坏的检测产品的处理方式）</w:t>
      </w:r>
    </w:p>
    <w:p>
      <w:pPr>
        <w:adjustRightInd w:val="0"/>
        <w:snapToGrid w:val="0"/>
        <w:spacing w:line="400" w:lineRule="exact"/>
        <w:ind w:firstLine="840" w:firstLineChars="400"/>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否</w:t>
      </w:r>
    </w:p>
    <w:p>
      <w:pPr>
        <w:adjustRightInd w:val="0"/>
        <w:snapToGrid w:val="0"/>
        <w:spacing w:line="400" w:lineRule="exact"/>
        <w:ind w:firstLine="840" w:firstLineChars="400"/>
        <w:rPr>
          <w:rFonts w:hint="eastAsia" w:ascii="宋体" w:hAnsi="宋体" w:eastAsia="宋体"/>
          <w:bCs/>
          <w:szCs w:val="21"/>
          <w:u w:val="single"/>
        </w:rPr>
      </w:pPr>
      <w:r>
        <w:rPr>
          <w:rFonts w:hint="eastAsia" w:ascii="宋体" w:hAnsi="宋体" w:eastAsia="宋体"/>
          <w:bCs/>
          <w:szCs w:val="21"/>
        </w:rPr>
        <w:t>验收组织的其他事项：</w:t>
      </w:r>
      <w:r>
        <w:rPr>
          <w:rFonts w:hint="eastAsia" w:ascii="宋体" w:hAnsi="宋体" w:eastAsia="宋体"/>
          <w:bCs/>
          <w:szCs w:val="21"/>
          <w:u w:val="single"/>
        </w:rPr>
        <w:t xml:space="preserve">                </w:t>
      </w:r>
    </w:p>
    <w:p>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（2）履约验收时间：</w:t>
      </w:r>
      <w:r>
        <w:rPr>
          <w:rFonts w:hint="eastAsia" w:ascii="宋体" w:hAnsi="宋体" w:eastAsia="宋体"/>
          <w:bCs/>
          <w:szCs w:val="21"/>
          <w:u w:val="single"/>
        </w:rPr>
        <w:t xml:space="preserve">（计划于何时验收/供应商提出验收申请之日起   日内组织验收） </w:t>
      </w:r>
    </w:p>
    <w:p>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（3）履约验收方式：</w:t>
      </w:r>
      <w:r>
        <w:rPr>
          <w:rFonts w:hint="eastAsia" w:ascii="宋体" w:hAnsi="宋体" w:eastAsia="宋体" w:cs="宋体"/>
          <w:szCs w:val="21"/>
        </w:rPr>
        <w:sym w:font="Wingdings" w:char="00A8"/>
      </w:r>
      <w:r>
        <w:rPr>
          <w:rFonts w:hint="eastAsia" w:ascii="宋体" w:hAnsi="宋体" w:eastAsia="宋体"/>
          <w:bCs/>
          <w:szCs w:val="21"/>
        </w:rPr>
        <w:t xml:space="preserve">一次性验收         </w:t>
      </w:r>
    </w:p>
    <w:p>
      <w:pPr>
        <w:adjustRightInd w:val="0"/>
        <w:snapToGrid w:val="0"/>
        <w:spacing w:line="400" w:lineRule="exact"/>
        <w:rPr>
          <w:rFonts w:hint="eastAsia" w:ascii="宋体" w:hAnsi="宋体" w:eastAsia="宋体"/>
          <w:bCs/>
          <w:szCs w:val="21"/>
        </w:rPr>
      </w:pPr>
      <w:r>
        <w:rPr>
          <w:rFonts w:hint="eastAsia" w:ascii="宋体" w:hAnsi="宋体" w:eastAsia="宋体"/>
          <w:bCs/>
          <w:szCs w:val="21"/>
        </w:rPr>
        <w:t xml:space="preserve">                       </w:t>
      </w:r>
      <w:r>
        <w:rPr>
          <w:rFonts w:hint="eastAsia" w:ascii="宋体" w:hAnsi="宋体" w:eastAsia="宋体" w:cs="宋体"/>
          <w:szCs w:val="21"/>
        </w:rPr>
        <w:sym w:font="Wingdings" w:char="00A8"/>
      </w:r>
      <w:r>
        <w:rPr>
          <w:rFonts w:hint="eastAsia" w:ascii="宋体" w:hAnsi="宋体" w:eastAsia="宋体"/>
          <w:bCs/>
          <w:szCs w:val="21"/>
        </w:rPr>
        <w:t>分期/分项验收：</w:t>
      </w:r>
      <w:r>
        <w:rPr>
          <w:rFonts w:hint="eastAsia" w:ascii="宋体" w:hAnsi="宋体" w:eastAsia="宋体"/>
          <w:bCs/>
          <w:szCs w:val="21"/>
          <w:u w:val="single"/>
        </w:rPr>
        <w:t xml:space="preserve"> （应明确分期</w:t>
      </w:r>
      <w:r>
        <w:rPr>
          <w:rFonts w:ascii="宋体" w:hAnsi="宋体" w:eastAsia="宋体"/>
          <w:bCs/>
          <w:szCs w:val="21"/>
          <w:u w:val="single"/>
          <w:lang w:val="en"/>
        </w:rPr>
        <w:t>/</w:t>
      </w:r>
      <w:r>
        <w:rPr>
          <w:rFonts w:hint="eastAsia" w:ascii="宋体" w:hAnsi="宋体" w:eastAsia="宋体"/>
          <w:bCs/>
          <w:szCs w:val="21"/>
          <w:u w:val="single"/>
          <w:lang w:val="en"/>
        </w:rPr>
        <w:t>分项验收的工作安排</w:t>
      </w:r>
      <w:r>
        <w:rPr>
          <w:rFonts w:hint="eastAsia" w:ascii="宋体" w:hAnsi="宋体" w:eastAsia="宋体"/>
          <w:bCs/>
          <w:szCs w:val="21"/>
          <w:u w:val="single"/>
        </w:rPr>
        <w:t xml:space="preserve">）  </w:t>
      </w:r>
    </w:p>
    <w:p>
      <w:pPr>
        <w:adjustRightInd w:val="0"/>
        <w:snapToGrid w:val="0"/>
        <w:spacing w:line="400" w:lineRule="exact"/>
        <w:ind w:firstLine="420" w:firstLineChars="200"/>
        <w:rPr>
          <w:rFonts w:hint="eastAsia" w:ascii="宋体" w:hAnsi="宋体" w:eastAsia="宋体"/>
          <w:bCs/>
          <w:szCs w:val="21"/>
        </w:rPr>
      </w:pPr>
      <w:r>
        <w:rPr>
          <w:rFonts w:hint="eastAsia" w:ascii="宋体" w:hAnsi="宋体" w:eastAsia="宋体"/>
          <w:bCs/>
          <w:szCs w:val="21"/>
        </w:rPr>
        <w:t>（4）履约验收程序：</w:t>
      </w:r>
      <w:r>
        <w:rPr>
          <w:rFonts w:hint="eastAsia" w:ascii="宋体" w:hAnsi="宋体" w:eastAsia="宋体"/>
          <w:bCs/>
          <w:szCs w:val="21"/>
          <w:u w:val="single"/>
        </w:rPr>
        <w:t xml:space="preserve">                                         </w:t>
      </w:r>
    </w:p>
    <w:p>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（5）履约验收的内容：</w:t>
      </w:r>
      <w:r>
        <w:rPr>
          <w:rFonts w:hint="eastAsia" w:ascii="宋体" w:hAnsi="宋体" w:eastAsia="宋体"/>
          <w:bCs/>
          <w:szCs w:val="21"/>
          <w:u w:val="single"/>
        </w:rPr>
        <w:t xml:space="preserve"> （应当包括每一项技术和商务要求的履约情况，特别是落实政府采购扶持中小企业，支持绿色发展和乡村振兴等政策情况）                                      </w:t>
      </w:r>
    </w:p>
    <w:p>
      <w:pPr>
        <w:adjustRightInd w:val="0"/>
        <w:snapToGrid w:val="0"/>
        <w:spacing w:line="400" w:lineRule="exact"/>
        <w:ind w:firstLine="420" w:firstLineChars="200"/>
        <w:rPr>
          <w:rFonts w:hint="eastAsia" w:ascii="宋体" w:hAnsi="宋体" w:eastAsia="宋体"/>
          <w:bCs/>
          <w:szCs w:val="21"/>
          <w:u w:val="single"/>
        </w:rPr>
      </w:pPr>
      <w:r>
        <w:rPr>
          <w:rFonts w:hint="eastAsia" w:ascii="宋体" w:hAnsi="宋体" w:eastAsia="宋体"/>
          <w:bCs/>
          <w:szCs w:val="21"/>
        </w:rPr>
        <w:t>（6）履约验收标准：</w:t>
      </w:r>
      <w:r>
        <w:rPr>
          <w:rFonts w:hint="eastAsia" w:ascii="宋体" w:hAnsi="宋体" w:eastAsia="宋体"/>
          <w:bCs/>
          <w:szCs w:val="21"/>
          <w:u w:val="single"/>
        </w:rPr>
        <w:t xml:space="preserve">                                         </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bCs/>
          <w:szCs w:val="21"/>
        </w:rPr>
        <w:t>（7）是否以采购活动中供应商提供的样品作为参考：</w:t>
      </w:r>
      <w:r>
        <w:rPr>
          <w:rFonts w:hint="eastAsia" w:ascii="宋体" w:hAnsi="宋体" w:eastAsia="宋体" w:cs="宋体"/>
          <w:szCs w:val="21"/>
        </w:rPr>
        <w:sym w:font="Wingdings" w:char="00A8"/>
      </w:r>
      <w:r>
        <w:rPr>
          <w:rFonts w:hint="eastAsia" w:ascii="宋体" w:hAnsi="宋体" w:eastAsia="宋体" w:cs="宋体"/>
          <w:bCs/>
          <w:szCs w:val="21"/>
        </w:rPr>
        <w:t xml:space="preserve">是  </w:t>
      </w:r>
      <w:r>
        <w:rPr>
          <w:rFonts w:hint="eastAsia" w:ascii="宋体" w:hAnsi="宋体" w:eastAsia="宋体" w:cs="宋体"/>
          <w:szCs w:val="21"/>
        </w:rPr>
        <w:sym w:font="Wingdings" w:char="00A8"/>
      </w:r>
      <w:r>
        <w:rPr>
          <w:rFonts w:hint="eastAsia" w:ascii="宋体" w:hAnsi="宋体" w:eastAsia="宋体" w:cs="宋体"/>
          <w:bCs/>
          <w:szCs w:val="21"/>
        </w:rPr>
        <w:t>否</w:t>
      </w:r>
    </w:p>
    <w:p>
      <w:pPr>
        <w:adjustRightInd w:val="0"/>
        <w:snapToGrid w:val="0"/>
        <w:spacing w:line="400" w:lineRule="exact"/>
        <w:ind w:firstLine="420" w:firstLineChars="200"/>
        <w:rPr>
          <w:rFonts w:hint="eastAsia" w:ascii="宋体" w:hAnsi="宋体" w:eastAsia="宋体" w:cs="宋体"/>
          <w:bCs/>
          <w:szCs w:val="21"/>
          <w:u w:val="single"/>
        </w:rPr>
      </w:pPr>
      <w:r>
        <w:rPr>
          <w:rFonts w:hint="eastAsia" w:ascii="宋体" w:hAnsi="宋体" w:eastAsia="宋体" w:cs="宋体"/>
          <w:bCs/>
          <w:szCs w:val="21"/>
        </w:rPr>
        <w:t>（8）履约验收其他事项：</w:t>
      </w:r>
      <w:r>
        <w:rPr>
          <w:rFonts w:hint="eastAsia" w:ascii="宋体" w:hAnsi="宋体" w:eastAsia="宋体" w:cs="宋体"/>
          <w:bCs/>
          <w:szCs w:val="21"/>
          <w:u w:val="single"/>
        </w:rPr>
        <w:t xml:space="preserve">      （产权过户登记等）          </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组成合同的文件</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本协议书与下列文件一起构成合同文件，如下述文件之间有任何抵触、矛盾或歧义，应按以下顺序解释：</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（1）政府采购合同协议书及其变更、补充协议</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（2）政府采购合同专用条款</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（3）政府采购合同通用条款</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（4）中标（成交）通知书</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（5）投标（响应）文件</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（6）采购文件</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（7）有关技术文件，图纸</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（8）</w:t>
      </w:r>
      <w:r>
        <w:rPr>
          <w:rFonts w:hint="eastAsia" w:ascii="宋体" w:hAnsi="宋体" w:eastAsia="宋体" w:cs="宋体"/>
          <w:color w:val="000000"/>
          <w:szCs w:val="21"/>
        </w:rPr>
        <w:t>国家法律、行政法规和规章制度规定或合同约定的作为合同组成部分的其他文件</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合同生效</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本合同自</w:t>
      </w:r>
      <w:r>
        <w:rPr>
          <w:rFonts w:hint="eastAsia" w:ascii="宋体" w:hAnsi="宋体" w:eastAsia="宋体"/>
          <w:szCs w:val="21"/>
          <w:u w:val="single"/>
        </w:rPr>
        <w:t xml:space="preserve">                             </w:t>
      </w:r>
      <w:r>
        <w:rPr>
          <w:rFonts w:hint="eastAsia" w:ascii="宋体" w:hAnsi="宋体" w:eastAsia="宋体"/>
          <w:szCs w:val="21"/>
        </w:rPr>
        <w:t>生效。</w:t>
      </w:r>
    </w:p>
    <w:p>
      <w:pPr>
        <w:numPr>
          <w:ilvl w:val="0"/>
          <w:numId w:val="5"/>
        </w:numPr>
        <w:adjustRightInd w:val="0"/>
        <w:snapToGrid w:val="0"/>
        <w:spacing w:line="400" w:lineRule="exact"/>
        <w:ind w:firstLine="422" w:firstLineChars="200"/>
        <w:rPr>
          <w:rFonts w:hint="eastAsia" w:ascii="宋体" w:hAnsi="宋体" w:eastAsia="宋体"/>
          <w:b/>
          <w:szCs w:val="21"/>
        </w:rPr>
      </w:pPr>
      <w:r>
        <w:rPr>
          <w:rFonts w:hint="eastAsia" w:ascii="宋体" w:hAnsi="宋体" w:eastAsia="宋体"/>
          <w:b/>
          <w:szCs w:val="21"/>
        </w:rPr>
        <w:t>合同份数</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本合同一式</w:t>
      </w:r>
      <w:r>
        <w:rPr>
          <w:rFonts w:hint="eastAsia" w:ascii="宋体" w:hAnsi="宋体" w:eastAsia="宋体"/>
          <w:szCs w:val="21"/>
          <w:u w:val="single"/>
        </w:rPr>
        <w:t xml:space="preserve">    </w:t>
      </w:r>
      <w:r>
        <w:rPr>
          <w:rFonts w:hint="eastAsia" w:ascii="宋体" w:hAnsi="宋体" w:eastAsia="宋体"/>
          <w:szCs w:val="21"/>
        </w:rPr>
        <w:t>份，甲方执</w:t>
      </w:r>
      <w:r>
        <w:rPr>
          <w:rFonts w:hint="eastAsia" w:ascii="宋体" w:hAnsi="宋体" w:eastAsia="宋体"/>
          <w:szCs w:val="21"/>
          <w:u w:val="single"/>
        </w:rPr>
        <w:t xml:space="preserve">    </w:t>
      </w:r>
      <w:r>
        <w:rPr>
          <w:rFonts w:hint="eastAsia" w:ascii="宋体" w:hAnsi="宋体" w:eastAsia="宋体"/>
          <w:szCs w:val="21"/>
        </w:rPr>
        <w:t>份，乙方执</w:t>
      </w:r>
      <w:r>
        <w:rPr>
          <w:rFonts w:hint="eastAsia" w:ascii="宋体" w:hAnsi="宋体" w:eastAsia="宋体"/>
          <w:szCs w:val="21"/>
          <w:u w:val="single"/>
        </w:rPr>
        <w:t xml:space="preserve">    </w:t>
      </w:r>
      <w:r>
        <w:rPr>
          <w:rFonts w:hint="eastAsia" w:ascii="宋体" w:hAnsi="宋体" w:eastAsia="宋体"/>
          <w:szCs w:val="21"/>
        </w:rPr>
        <w:t>份，均具有同等法律效力。</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合同订立时间：</w:t>
      </w:r>
      <w:r>
        <w:rPr>
          <w:rFonts w:hint="eastAsia" w:ascii="宋体" w:hAnsi="宋体" w:eastAsia="宋体"/>
          <w:szCs w:val="21"/>
          <w:u w:val="single"/>
        </w:rPr>
        <w:t xml:space="preserve">         </w:t>
      </w:r>
      <w:r>
        <w:rPr>
          <w:rFonts w:hint="eastAsia" w:ascii="宋体" w:hAnsi="宋体" w:eastAsia="宋体"/>
          <w:szCs w:val="21"/>
        </w:rPr>
        <w:t>年</w:t>
      </w:r>
      <w:r>
        <w:rPr>
          <w:rFonts w:hint="eastAsia" w:ascii="宋体" w:hAnsi="宋体" w:eastAsia="宋体"/>
          <w:szCs w:val="21"/>
          <w:u w:val="single"/>
        </w:rPr>
        <w:t xml:space="preserve">      </w:t>
      </w:r>
      <w:r>
        <w:rPr>
          <w:rFonts w:hint="eastAsia" w:ascii="宋体" w:hAnsi="宋体" w:eastAsia="宋体"/>
          <w:szCs w:val="21"/>
        </w:rPr>
        <w:t>月</w:t>
      </w:r>
      <w:r>
        <w:rPr>
          <w:rFonts w:hint="eastAsia" w:ascii="宋体" w:hAnsi="宋体" w:eastAsia="宋体"/>
          <w:szCs w:val="21"/>
          <w:u w:val="single"/>
        </w:rPr>
        <w:t xml:space="preserve">      </w:t>
      </w:r>
      <w:r>
        <w:rPr>
          <w:rFonts w:hint="eastAsia" w:ascii="宋体" w:hAnsi="宋体" w:eastAsia="宋体"/>
          <w:szCs w:val="21"/>
        </w:rPr>
        <w:t>日</w:t>
      </w:r>
    </w:p>
    <w:p>
      <w:pPr>
        <w:adjustRightInd w:val="0"/>
        <w:snapToGrid w:val="0"/>
        <w:spacing w:line="400" w:lineRule="exact"/>
        <w:ind w:firstLine="420" w:firstLineChars="200"/>
        <w:rPr>
          <w:rFonts w:hint="eastAsia" w:ascii="宋体" w:hAnsi="宋体" w:eastAsia="宋体"/>
          <w:szCs w:val="21"/>
        </w:rPr>
      </w:pPr>
      <w:r>
        <w:rPr>
          <w:rFonts w:hint="eastAsia" w:ascii="宋体" w:hAnsi="宋体" w:eastAsia="宋体"/>
          <w:szCs w:val="21"/>
        </w:rPr>
        <w:t>合同订立地点：</w:t>
      </w:r>
      <w:r>
        <w:rPr>
          <w:rFonts w:hint="eastAsia" w:ascii="宋体" w:hAnsi="宋体" w:eastAsia="宋体"/>
          <w:szCs w:val="21"/>
          <w:u w:val="single"/>
        </w:rPr>
        <w:t xml:space="preserve">                           </w:t>
      </w:r>
    </w:p>
    <w:p>
      <w:pPr>
        <w:adjustRightInd w:val="0"/>
        <w:snapToGrid w:val="0"/>
        <w:spacing w:line="400" w:lineRule="exact"/>
        <w:ind w:firstLine="420" w:firstLineChars="200"/>
        <w:rPr>
          <w:rFonts w:eastAsia="宋体"/>
        </w:rPr>
      </w:pPr>
      <w:r>
        <w:rPr>
          <w:rFonts w:hint="eastAsia" w:ascii="宋体" w:hAnsi="宋体" w:eastAsia="宋体"/>
          <w:szCs w:val="21"/>
        </w:rPr>
        <w:t>附件：具体标的及其技术要求和商务要求、联合协议、分包意向协议等。</w:t>
      </w:r>
    </w:p>
    <w:p>
      <w:pPr>
        <w:rPr>
          <w:rFonts w:eastAsia="宋体"/>
        </w:rPr>
      </w:pPr>
      <w:r>
        <w:rPr>
          <w:rFonts w:hint="eastAsia" w:eastAsia="宋体"/>
        </w:rPr>
        <w:br w:type="page"/>
      </w:r>
    </w:p>
    <w:p>
      <w:pPr>
        <w:ind w:firstLine="420" w:firstLineChars="200"/>
        <w:rPr>
          <w:rFonts w:ascii="Times New Roman" w:hAnsi="Times New Roman" w:eastAsia="宋体" w:cs="Times New Roman"/>
          <w:szCs w:val="21"/>
        </w:rPr>
      </w:pPr>
    </w:p>
    <w:tbl>
      <w:tblPr>
        <w:tblStyle w:val="18"/>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pPr>
              <w:adjustRightInd w:val="0"/>
              <w:snapToGrid w:val="0"/>
              <w:spacing w:line="300" w:lineRule="exact"/>
              <w:jc w:val="center"/>
              <w:rPr>
                <w:rFonts w:eastAsia="宋体"/>
              </w:rPr>
            </w:pPr>
            <w:r>
              <w:rPr>
                <w:rFonts w:eastAsia="宋体"/>
                <w:szCs w:val="21"/>
              </w:rPr>
              <w:t>甲方</w:t>
            </w:r>
            <w:r>
              <w:rPr>
                <w:rFonts w:hint="eastAsia" w:eastAsia="宋体"/>
                <w:szCs w:val="21"/>
              </w:rPr>
              <w:t>（采购人</w:t>
            </w:r>
            <w:r>
              <w:rPr>
                <w:rFonts w:hint="eastAsia" w:ascii="宋体" w:hAnsi="宋体" w:eastAsia="宋体"/>
                <w:szCs w:val="21"/>
              </w:rPr>
              <w:t>、受采购人委托签订合同的单位或</w:t>
            </w:r>
            <w:r>
              <w:rPr>
                <w:rFonts w:hint="eastAsia" w:eastAsia="宋体"/>
                <w:szCs w:val="21"/>
              </w:rPr>
              <w:t>采购文件约定的合同甲方）</w:t>
            </w:r>
          </w:p>
        </w:tc>
        <w:tc>
          <w:tcPr>
            <w:tcW w:w="4095" w:type="dxa"/>
            <w:gridSpan w:val="2"/>
            <w:tcBorders>
              <w:left w:val="single" w:color="auto" w:sz="2" w:space="0"/>
              <w:bottom w:val="single" w:color="auto" w:sz="2" w:space="0"/>
            </w:tcBorders>
            <w:vAlign w:val="center"/>
          </w:tcPr>
          <w:p>
            <w:pPr>
              <w:adjustRightInd w:val="0"/>
              <w:snapToGrid w:val="0"/>
              <w:spacing w:line="300" w:lineRule="exact"/>
              <w:jc w:val="center"/>
              <w:rPr>
                <w:rFonts w:eastAsia="宋体"/>
              </w:rPr>
            </w:pPr>
            <w:r>
              <w:rPr>
                <w:rFonts w:eastAsia="宋体"/>
                <w:szCs w:val="21"/>
              </w:rPr>
              <w:t>乙方</w:t>
            </w:r>
            <w:r>
              <w:rPr>
                <w:rFonts w:hint="eastAsia" w:eastAsia="宋体"/>
                <w:szCs w:val="21"/>
              </w:rPr>
              <w:t>（供应商）</w:t>
            </w: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单位名称</w:t>
            </w:r>
            <w:r>
              <w:rPr>
                <w:rFonts w:hint="eastAsia" w:eastAsia="宋体"/>
                <w:szCs w:val="21"/>
              </w:rPr>
              <w:t>（公章或合同章）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ind w:firstLine="100" w:firstLineChars="48"/>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412" w:type="dxa"/>
            <w:vMerge w:val="restart"/>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法定代表人</w:t>
            </w:r>
          </w:p>
          <w:p>
            <w:pPr>
              <w:adjustRightInd w:val="0"/>
              <w:snapToGrid w:val="0"/>
              <w:spacing w:line="300" w:lineRule="exact"/>
              <w:jc w:val="center"/>
              <w:rPr>
                <w:rFonts w:eastAsia="宋体"/>
                <w:szCs w:val="21"/>
              </w:rPr>
            </w:pPr>
            <w:r>
              <w:rPr>
                <w:rFonts w:hint="eastAsia" w:eastAsia="宋体"/>
                <w:szCs w:val="21"/>
              </w:rPr>
              <w:t>或其</w:t>
            </w:r>
            <w:r>
              <w:rPr>
                <w:rFonts w:eastAsia="宋体"/>
                <w:szCs w:val="21"/>
              </w:rPr>
              <w:t>委托代理人</w:t>
            </w:r>
            <w:r>
              <w:rPr>
                <w:rFonts w:hint="eastAsia" w:eastAsia="宋体"/>
                <w:szCs w:val="21"/>
              </w:rPr>
              <w:t>（签章）</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vMerge w:val="continue"/>
            <w:tcBorders>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拥有者性别</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住  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 系 人</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联系电话</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通信地址</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邮政编码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电子邮箱</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hint="eastAsia" w:eastAsia="宋体"/>
                <w:szCs w:val="21"/>
              </w:rPr>
              <w:t>统一社会信用代码</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开户名称</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开户银行</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2412"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p>
        </w:tc>
        <w:tc>
          <w:tcPr>
            <w:tcW w:w="1979" w:type="dxa"/>
            <w:tcBorders>
              <w:top w:val="single" w:color="auto" w:sz="2" w:space="0"/>
              <w:left w:val="single" w:color="auto" w:sz="2" w:space="0"/>
              <w:bottom w:val="single" w:color="auto" w:sz="2" w:space="0"/>
              <w:right w:val="single" w:color="auto" w:sz="2" w:space="0"/>
            </w:tcBorders>
            <w:vAlign w:val="center"/>
          </w:tcPr>
          <w:p>
            <w:pPr>
              <w:adjustRightInd w:val="0"/>
              <w:snapToGrid w:val="0"/>
              <w:spacing w:line="300" w:lineRule="exact"/>
              <w:jc w:val="center"/>
              <w:rPr>
                <w:rFonts w:eastAsia="宋体"/>
                <w:szCs w:val="21"/>
              </w:rPr>
            </w:pPr>
            <w:r>
              <w:rPr>
                <w:rFonts w:eastAsia="宋体"/>
                <w:szCs w:val="21"/>
              </w:rPr>
              <w:t>银行账号</w:t>
            </w:r>
          </w:p>
        </w:tc>
        <w:tc>
          <w:tcPr>
            <w:tcW w:w="2116" w:type="dxa"/>
            <w:tcBorders>
              <w:top w:val="single" w:color="auto" w:sz="2" w:space="0"/>
              <w:left w:val="single" w:color="auto" w:sz="2" w:space="0"/>
              <w:bottom w:val="single" w:color="auto" w:sz="2" w:space="0"/>
            </w:tcBorders>
            <w:vAlign w:val="center"/>
          </w:tcPr>
          <w:p>
            <w:pPr>
              <w:adjustRightInd w:val="0"/>
              <w:snapToGrid w:val="0"/>
              <w:spacing w:line="300" w:lineRule="exact"/>
              <w:jc w:val="center"/>
              <w:rPr>
                <w:rFonts w:eastAsia="宋体"/>
                <w:spacing w:val="20"/>
                <w:szCs w:val="21"/>
              </w:rPr>
            </w:pPr>
          </w:p>
        </w:tc>
      </w:tr>
      <w:tr>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pPr>
              <w:adjustRightInd w:val="0"/>
              <w:snapToGrid w:val="0"/>
              <w:spacing w:before="156" w:beforeLines="50" w:line="360" w:lineRule="auto"/>
              <w:jc w:val="left"/>
              <w:rPr>
                <w:rFonts w:ascii="Times New Roman" w:hAnsi="Times New Roman" w:eastAsia="宋体" w:cs="Times New Roman"/>
                <w:spacing w:val="20"/>
                <w:szCs w:val="21"/>
              </w:rPr>
            </w:pPr>
            <w:r>
              <w:rPr>
                <w:rFonts w:hint="eastAsia" w:ascii="宋体" w:hAnsi="宋体" w:eastAsia="宋体" w:cs="Times New Roman"/>
                <w:szCs w:val="21"/>
              </w:rPr>
              <w:t>注：涉及联合体或其他合同主体的信息应按上表格式加列。</w:t>
            </w:r>
          </w:p>
        </w:tc>
      </w:tr>
    </w:tbl>
    <w:p>
      <w:pPr>
        <w:ind w:firstLine="527" w:firstLineChars="250"/>
        <w:rPr>
          <w:rFonts w:hint="eastAsia" w:ascii="宋体" w:hAnsi="宋体"/>
          <w:b/>
          <w:szCs w:val="21"/>
        </w:rPr>
      </w:pPr>
    </w:p>
    <w:p>
      <w:pPr>
        <w:keepNext/>
        <w:keepLines/>
        <w:adjustRightInd w:val="0"/>
        <w:snapToGrid w:val="0"/>
        <w:spacing w:before="156" w:beforeLines="50" w:line="360" w:lineRule="auto"/>
        <w:jc w:val="center"/>
        <w:outlineLvl w:val="1"/>
        <w:rPr>
          <w:rFonts w:hint="eastAsia" w:ascii="黑体" w:hAnsi="黑体" w:eastAsia="黑体" w:cs="Times New Roman"/>
          <w:b/>
          <w:bCs/>
          <w:sz w:val="28"/>
          <w:szCs w:val="28"/>
        </w:rPr>
      </w:pPr>
      <w:bookmarkStart w:id="55" w:name="_Toc27624"/>
      <w:r>
        <w:rPr>
          <w:rFonts w:hint="eastAsia" w:ascii="黑体" w:hAnsi="黑体" w:eastAsia="黑体" w:cs="Times New Roman"/>
          <w:sz w:val="28"/>
          <w:szCs w:val="28"/>
        </w:rPr>
        <w:t>第二节 政府采购合同通用条款</w:t>
      </w:r>
      <w:bookmarkEnd w:id="55"/>
    </w:p>
    <w:p>
      <w:pPr>
        <w:tabs>
          <w:tab w:val="left" w:pos="8820"/>
          <w:tab w:val="left" w:pos="9345"/>
          <w:tab w:val="left" w:pos="9765"/>
        </w:tabs>
        <w:adjustRightInd w:val="0"/>
        <w:snapToGrid w:val="0"/>
        <w:spacing w:line="400" w:lineRule="exact"/>
        <w:jc w:val="left"/>
        <w:rPr>
          <w:rFonts w:hint="eastAsia" w:ascii="宋体" w:hAnsi="宋体" w:eastAsia="宋体"/>
          <w:b/>
          <w:bCs/>
          <w:sz w:val="24"/>
        </w:rPr>
      </w:pPr>
      <w:r>
        <w:rPr>
          <w:rFonts w:hint="eastAsia" w:ascii="宋体" w:hAnsi="宋体" w:eastAsia="宋体"/>
          <w:b/>
          <w:sz w:val="24"/>
        </w:rPr>
        <w:t xml:space="preserve">1. </w:t>
      </w:r>
      <w:r>
        <w:rPr>
          <w:rFonts w:hint="eastAsia" w:ascii="宋体" w:hAnsi="宋体" w:eastAsia="宋体"/>
          <w:b/>
          <w:bCs/>
          <w:sz w:val="24"/>
        </w:rPr>
        <w:t>定义</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1.1合同当事人</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（1）采购人（以下称甲方）是指使用财政性资金，通过政府采购方式向供应商购买货物及其相关服务的国家机关、事业单位、团体组织。</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（2）供应商（以下称乙方）是指参加政府采购活动并且中标（成交），向采购人提供合同约定的货物及其相关服务的法人、非法人组织或者自然人。</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（3）其他合同主体是指除采购人和供应商以外，</w:t>
      </w:r>
      <w:r>
        <w:rPr>
          <w:rFonts w:hint="eastAsia" w:ascii="宋体" w:hAnsi="宋体" w:eastAsia="宋体" w:cs="宋体"/>
          <w:bCs/>
          <w:color w:val="000000"/>
          <w:szCs w:val="21"/>
        </w:rPr>
        <w:t>依法参与合同缔结或履行，享有权利、承担义务的合同当事人</w:t>
      </w:r>
      <w:r>
        <w:rPr>
          <w:rFonts w:hint="eastAsia" w:ascii="宋体" w:hAnsi="宋体" w:eastAsia="宋体"/>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1.2本合同下列术语应解释为：</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（1）“合同”系指</w:t>
      </w:r>
      <w:r>
        <w:rPr>
          <w:rFonts w:hint="eastAsia" w:ascii="宋体" w:hAnsi="宋体" w:eastAsia="宋体" w:cs="宋体"/>
          <w:bCs/>
          <w:color w:val="000000"/>
          <w:szCs w:val="21"/>
        </w:rPr>
        <w:t>合同当事人意思表示达成一致的任何协议，包括签署的</w:t>
      </w:r>
      <w:r>
        <w:rPr>
          <w:rFonts w:hint="eastAsia" w:ascii="宋体" w:hAnsi="宋体" w:eastAsia="宋体"/>
          <w:szCs w:val="21"/>
        </w:rPr>
        <w:t>政府采购合同协议书及其变更、补充协议，政府采购合同专用条款，政府采购合同通用条款，中标（成交）通知书，投标（响应）文件，采购文件，有关技术文件和图纸，以及</w:t>
      </w:r>
      <w:r>
        <w:rPr>
          <w:rFonts w:hint="eastAsia" w:ascii="宋体" w:hAnsi="宋体" w:eastAsia="宋体" w:cs="宋体"/>
          <w:color w:val="000000"/>
          <w:szCs w:val="21"/>
        </w:rPr>
        <w:t>国家法律、行政法规和规章制度规定或合同约定的作为合同组成部分的其他文件</w:t>
      </w:r>
      <w:r>
        <w:rPr>
          <w:rFonts w:hint="eastAsia" w:ascii="宋体" w:hAnsi="宋体" w:eastAsia="宋体"/>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（2）“合同价款”系指根据本合同规定乙方在全面履行合同义务后甲方应支付给乙方的价款。</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szCs w:val="21"/>
        </w:rPr>
        <w:t>（3）“货物”系指乙方根据本合同规定须向甲方提供的各种形态和种类的物品，包括原材料、设备、产品（</w:t>
      </w:r>
      <w:r>
        <w:rPr>
          <w:rFonts w:hint="eastAsia" w:ascii="宋体" w:hAnsi="宋体" w:eastAsia="宋体"/>
          <w:color w:val="000000"/>
          <w:szCs w:val="21"/>
        </w:rPr>
        <w:t>包括软件）及相关的其备品备件、工具、手册及</w:t>
      </w:r>
      <w:r>
        <w:rPr>
          <w:rFonts w:ascii="宋体" w:hAnsi="宋体" w:eastAsia="宋体"/>
          <w:color w:val="000000"/>
          <w:szCs w:val="21"/>
          <w:lang w:val="en"/>
        </w:rPr>
        <w:t>其他</w:t>
      </w:r>
      <w:r>
        <w:rPr>
          <w:rFonts w:hint="eastAsia" w:ascii="宋体" w:hAnsi="宋体" w:eastAsia="宋体"/>
          <w:color w:val="000000"/>
          <w:szCs w:val="21"/>
        </w:rPr>
        <w:t>技术资料和材料等。</w:t>
      </w:r>
    </w:p>
    <w:p>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（4）“</w:t>
      </w:r>
      <w:r>
        <w:rPr>
          <w:rFonts w:hint="eastAsia" w:ascii="宋体" w:hAnsi="宋体" w:eastAsia="宋体"/>
          <w:szCs w:val="21"/>
        </w:rPr>
        <w:t>相关</w:t>
      </w:r>
      <w:r>
        <w:rPr>
          <w:rFonts w:hint="eastAsia" w:ascii="宋体" w:hAnsi="宋体" w:eastAsia="宋体"/>
          <w:color w:val="000000"/>
          <w:szCs w:val="21"/>
        </w:rPr>
        <w:t>服务”系指根据合同规定，乙方应提供的与货物有关的技术、管理和</w:t>
      </w:r>
      <w:r>
        <w:rPr>
          <w:rFonts w:ascii="宋体" w:hAnsi="宋体" w:eastAsia="宋体"/>
          <w:color w:val="000000"/>
          <w:szCs w:val="21"/>
          <w:lang w:val="en"/>
        </w:rPr>
        <w:t>其他</w:t>
      </w:r>
      <w:r>
        <w:rPr>
          <w:rFonts w:hint="eastAsia" w:ascii="宋体" w:hAnsi="宋体" w:eastAsia="宋体"/>
          <w:color w:val="000000"/>
          <w:szCs w:val="21"/>
        </w:rPr>
        <w:t>服务，包括但不限于：管理和质量保证、运输、保险、检验、现场准备、安装、集成、调试、培训、维修、废弃处置、技术支持等以及合同中规定乙方应承担的</w:t>
      </w:r>
      <w:r>
        <w:rPr>
          <w:rFonts w:ascii="宋体" w:hAnsi="宋体" w:eastAsia="宋体"/>
          <w:color w:val="000000"/>
          <w:szCs w:val="21"/>
          <w:lang w:val="en"/>
        </w:rPr>
        <w:t>其他</w:t>
      </w:r>
      <w:r>
        <w:rPr>
          <w:rFonts w:hint="eastAsia" w:ascii="宋体" w:hAnsi="宋体" w:eastAsia="宋体"/>
          <w:color w:val="000000"/>
          <w:szCs w:val="21"/>
        </w:rPr>
        <w:t>义务。</w:t>
      </w:r>
    </w:p>
    <w:p>
      <w:pPr>
        <w:adjustRightInd w:val="0"/>
        <w:snapToGrid w:val="0"/>
        <w:spacing w:line="400" w:lineRule="exact"/>
        <w:ind w:firstLine="420" w:firstLineChars="200"/>
        <w:jc w:val="left"/>
        <w:rPr>
          <w:rFonts w:hint="eastAsia" w:ascii="宋体" w:hAnsi="宋体" w:eastAsia="宋体"/>
          <w:color w:val="000000"/>
          <w:szCs w:val="21"/>
          <w:highlight w:val="yellow"/>
        </w:rPr>
      </w:pPr>
      <w:r>
        <w:rPr>
          <w:rFonts w:hint="eastAsia" w:ascii="宋体" w:hAnsi="宋体" w:eastAsia="宋体"/>
          <w:color w:val="000000"/>
          <w:szCs w:val="21"/>
        </w:rPr>
        <w:t>（5）“分包”系指中标（成交）供应商按采购文件、投标（响应）文件的规定，根据分包意向协议，将中标（成交）项目中的部分履约内容，分给具有相应资质条件的供应商履行合同的行为。</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w:t>
      </w:r>
      <w:r>
        <w:rPr>
          <w:rFonts w:hint="eastAsia" w:ascii="宋体" w:hAnsi="宋体" w:eastAsia="宋体"/>
          <w:szCs w:val="21"/>
        </w:rPr>
        <w:t>“联合体”系指由两个以上的自然人、法人或者非法人组织组成，以一个供应商的身份共同参加政府采购的主体</w:t>
      </w:r>
      <w:r>
        <w:rPr>
          <w:rFonts w:hint="eastAsia" w:ascii="宋体" w:hAnsi="宋体" w:eastAsia="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pPr>
        <w:tabs>
          <w:tab w:val="left" w:pos="570"/>
          <w:tab w:val="left" w:pos="9240"/>
          <w:tab w:val="left" w:pos="9555"/>
        </w:tabs>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（7）其他术语解释，见【</w:t>
      </w:r>
      <w:r>
        <w:rPr>
          <w:rFonts w:hint="eastAsia" w:ascii="宋体" w:hAnsi="宋体" w:eastAsia="宋体"/>
          <w:b/>
          <w:bCs/>
          <w:color w:val="000000"/>
          <w:szCs w:val="21"/>
        </w:rPr>
        <w:t>政府采购合同专用条款</w:t>
      </w:r>
      <w:r>
        <w:rPr>
          <w:rFonts w:hint="eastAsia" w:ascii="宋体" w:hAnsi="宋体" w:eastAsia="宋体"/>
          <w:color w:val="000000"/>
          <w:szCs w:val="21"/>
        </w:rPr>
        <w:t>】。</w:t>
      </w:r>
    </w:p>
    <w:p>
      <w:pPr>
        <w:numPr>
          <w:ilvl w:val="0"/>
          <w:numId w:val="8"/>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color w:val="000000"/>
          <w:sz w:val="24"/>
        </w:rPr>
        <w:t>合同标的及金额</w:t>
      </w:r>
    </w:p>
    <w:p>
      <w:pPr>
        <w:autoSpaceDE w:val="0"/>
        <w:autoSpaceDN w:val="0"/>
        <w:adjustRightInd w:val="0"/>
        <w:snapToGrid w:val="0"/>
        <w:spacing w:line="400" w:lineRule="exact"/>
        <w:ind w:firstLine="420" w:firstLineChars="200"/>
        <w:jc w:val="left"/>
        <w:rPr>
          <w:rFonts w:hint="eastAsia" w:ascii="宋体" w:hAnsi="宋体" w:eastAsia="宋体"/>
          <w:b/>
          <w:bCs/>
          <w:i/>
          <w:iCs/>
          <w:color w:val="000000"/>
          <w:szCs w:val="21"/>
        </w:rPr>
      </w:pPr>
      <w:r>
        <w:rPr>
          <w:rFonts w:hint="eastAsia" w:ascii="宋体" w:hAnsi="宋体" w:eastAsia="宋体"/>
          <w:color w:val="000000"/>
          <w:szCs w:val="21"/>
        </w:rPr>
        <w:t>2.1 合同标的及金额应与中标（成交）结果一致。乙方为履行本合同而发生的所有费用均应包含在合同价款中，甲方不再另行支付</w:t>
      </w:r>
      <w:r>
        <w:rPr>
          <w:rFonts w:ascii="宋体" w:hAnsi="宋体" w:eastAsia="宋体"/>
          <w:color w:val="000000"/>
          <w:szCs w:val="21"/>
          <w:lang w:val="en"/>
        </w:rPr>
        <w:t>其他</w:t>
      </w:r>
      <w:r>
        <w:rPr>
          <w:rFonts w:hint="eastAsia" w:ascii="宋体" w:hAnsi="宋体" w:eastAsia="宋体"/>
          <w:color w:val="000000"/>
          <w:szCs w:val="21"/>
        </w:rPr>
        <w:t>任何费用。</w:t>
      </w:r>
    </w:p>
    <w:p>
      <w:pPr>
        <w:adjustRightInd w:val="0"/>
        <w:snapToGrid w:val="0"/>
        <w:spacing w:line="400" w:lineRule="exact"/>
        <w:jc w:val="left"/>
        <w:rPr>
          <w:rFonts w:hint="eastAsia" w:ascii="宋体" w:hAnsi="宋体" w:eastAsia="宋体"/>
          <w:b/>
          <w:color w:val="000000"/>
          <w:sz w:val="24"/>
        </w:rPr>
      </w:pPr>
      <w:r>
        <w:rPr>
          <w:rFonts w:hint="eastAsia" w:ascii="宋体" w:hAnsi="宋体" w:eastAsia="宋体"/>
          <w:b/>
          <w:color w:val="000000"/>
          <w:sz w:val="24"/>
        </w:rPr>
        <w:t>3. 履行合同的时间、地点和方式</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3.1 </w:t>
      </w:r>
      <w:r>
        <w:rPr>
          <w:rFonts w:hint="eastAsia" w:ascii="宋体" w:hAnsi="宋体" w:eastAsia="宋体" w:cs="宋体"/>
          <w:szCs w:val="21"/>
        </w:rPr>
        <w:t>乙方应当在约定的时间、地点，按照约定方式履行合同。</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4. 甲方的权利和义务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4.1</w:t>
      </w:r>
      <w:r>
        <w:rPr>
          <w:rFonts w:ascii="宋体" w:hAnsi="宋体" w:eastAsia="宋体"/>
          <w:color w:val="000000"/>
          <w:szCs w:val="21"/>
        </w:rPr>
        <w:t xml:space="preserve"> 签署合同后，甲方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r>
        <w:rPr>
          <w:rFonts w:hint="eastAsia" w:ascii="宋体" w:hAnsi="宋体" w:eastAsia="宋体"/>
          <w:color w:val="000000"/>
          <w:szCs w:val="21"/>
        </w:rPr>
        <w:t>甲方有权对乙方的履约行为进行检查，并</w:t>
      </w:r>
      <w:r>
        <w:rPr>
          <w:rFonts w:ascii="宋体" w:hAnsi="宋体" w:eastAsia="宋体"/>
          <w:color w:val="000000"/>
          <w:szCs w:val="21"/>
        </w:rPr>
        <w:t>及时确认乙方提交的事项</w:t>
      </w:r>
      <w:r>
        <w:rPr>
          <w:rFonts w:hint="eastAsia" w:ascii="宋体" w:hAnsi="宋体" w:eastAsia="宋体"/>
          <w:color w:val="000000"/>
          <w:szCs w:val="21"/>
        </w:rPr>
        <w:t>。甲方应当</w:t>
      </w:r>
      <w:r>
        <w:rPr>
          <w:rFonts w:ascii="宋体" w:hAnsi="宋体" w:eastAsia="宋体"/>
          <w:color w:val="000000"/>
          <w:szCs w:val="21"/>
        </w:rPr>
        <w:t>配合乙方完成</w:t>
      </w:r>
      <w:r>
        <w:rPr>
          <w:rFonts w:hint="eastAsia" w:ascii="宋体" w:hAnsi="宋体" w:eastAsia="宋体"/>
          <w:color w:val="000000"/>
          <w:szCs w:val="21"/>
        </w:rPr>
        <w:t>相关项目</w:t>
      </w:r>
      <w:r>
        <w:rPr>
          <w:rFonts w:ascii="宋体" w:hAnsi="宋体" w:eastAsia="宋体"/>
          <w:color w:val="000000"/>
          <w:szCs w:val="21"/>
        </w:rPr>
        <w:t>实施工作。</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4.2 </w:t>
      </w:r>
      <w:r>
        <w:rPr>
          <w:rFonts w:ascii="宋体" w:hAnsi="宋体" w:eastAsia="宋体"/>
          <w:color w:val="000000"/>
          <w:szCs w:val="21"/>
        </w:rPr>
        <w:t>甲方有权要求乙方按时提交各阶段有关</w:t>
      </w:r>
      <w:r>
        <w:rPr>
          <w:rFonts w:hint="eastAsia" w:ascii="宋体" w:hAnsi="宋体" w:eastAsia="宋体"/>
          <w:color w:val="000000"/>
          <w:szCs w:val="21"/>
        </w:rPr>
        <w:t>安排计划</w:t>
      </w:r>
      <w:r>
        <w:rPr>
          <w:rFonts w:ascii="宋体" w:hAnsi="宋体" w:eastAsia="宋体"/>
          <w:color w:val="000000"/>
          <w:szCs w:val="21"/>
        </w:rPr>
        <w:t>，并有权</w:t>
      </w:r>
      <w:r>
        <w:rPr>
          <w:rFonts w:hint="eastAsia" w:ascii="宋体" w:hAnsi="宋体" w:eastAsia="宋体"/>
          <w:color w:val="000000"/>
          <w:szCs w:val="21"/>
        </w:rPr>
        <w:t>定期核对乙方提供货物数量、规格、质量等内容。甲方</w:t>
      </w:r>
      <w:r>
        <w:rPr>
          <w:rFonts w:ascii="宋体" w:hAnsi="宋体" w:eastAsia="宋体"/>
          <w:color w:val="000000"/>
          <w:szCs w:val="21"/>
        </w:rPr>
        <w:t>有权督促乙方工作并要求乙方</w:t>
      </w:r>
      <w:r>
        <w:rPr>
          <w:rFonts w:hint="eastAsia" w:ascii="宋体" w:hAnsi="宋体" w:eastAsia="宋体"/>
          <w:color w:val="000000"/>
          <w:szCs w:val="21"/>
        </w:rPr>
        <w:t>更</w:t>
      </w:r>
      <w:r>
        <w:rPr>
          <w:rFonts w:ascii="宋体" w:hAnsi="宋体" w:eastAsia="宋体"/>
          <w:color w:val="000000"/>
          <w:szCs w:val="21"/>
        </w:rPr>
        <w:t>换不符合要求的</w:t>
      </w:r>
      <w:r>
        <w:rPr>
          <w:rFonts w:hint="eastAsia" w:ascii="宋体" w:hAnsi="宋体" w:eastAsia="宋体"/>
          <w:color w:val="000000"/>
          <w:szCs w:val="21"/>
        </w:rPr>
        <w:t>货物</w:t>
      </w:r>
      <w:r>
        <w:rPr>
          <w:rFonts w:ascii="宋体" w:hAnsi="宋体" w:eastAsia="宋体"/>
          <w:color w:val="000000"/>
          <w:szCs w:val="21"/>
        </w:rPr>
        <w:t>。</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w:t>
      </w:r>
      <w:r>
        <w:rPr>
          <w:rFonts w:ascii="宋体" w:hAnsi="宋体" w:eastAsia="宋体"/>
          <w:color w:val="000000"/>
          <w:szCs w:val="21"/>
        </w:rPr>
        <w:t>3</w:t>
      </w:r>
      <w:r>
        <w:rPr>
          <w:rFonts w:hint="eastAsia" w:ascii="宋体" w:hAnsi="宋体" w:eastAsia="宋体"/>
          <w:color w:val="000000"/>
          <w:szCs w:val="21"/>
        </w:rPr>
        <w:t xml:space="preserve"> </w:t>
      </w:r>
      <w:r>
        <w:rPr>
          <w:rFonts w:ascii="宋体" w:hAnsi="宋体" w:eastAsia="宋体"/>
          <w:color w:val="000000"/>
          <w:szCs w:val="21"/>
        </w:rPr>
        <w:t>甲方</w:t>
      </w:r>
      <w:r>
        <w:rPr>
          <w:rFonts w:hint="eastAsia" w:ascii="宋体" w:hAnsi="宋体" w:eastAsia="宋体"/>
          <w:color w:val="000000"/>
          <w:szCs w:val="21"/>
        </w:rPr>
        <w:t>有权要求乙方对缺陷部分予以修复，并按合同约定享有货物保修及其他合同约定的权利。</w:t>
      </w:r>
    </w:p>
    <w:p>
      <w:pPr>
        <w:snapToGrid w:val="0"/>
        <w:spacing w:line="400" w:lineRule="exact"/>
        <w:ind w:firstLine="420" w:firstLineChars="200"/>
        <w:rPr>
          <w:rFonts w:eastAsia="华文楷体"/>
        </w:rPr>
      </w:pPr>
      <w:r>
        <w:rPr>
          <w:rFonts w:ascii="宋体" w:hAnsi="宋体" w:eastAsia="宋体"/>
          <w:color w:val="000000"/>
          <w:szCs w:val="21"/>
        </w:rPr>
        <w:t>4.4 甲方应当按照合同约定及时对交付的货物进行验收</w:t>
      </w:r>
      <w:r>
        <w:rPr>
          <w:rFonts w:hint="eastAsia" w:ascii="宋体" w:hAnsi="宋体" w:eastAsia="宋体"/>
          <w:color w:val="000000"/>
          <w:szCs w:val="21"/>
        </w:rPr>
        <w:t>，</w:t>
      </w:r>
      <w:r>
        <w:rPr>
          <w:rFonts w:hint="eastAsia" w:ascii="宋体" w:hAnsi="宋体" w:eastAsia="宋体" w:cs="宋体"/>
          <w:szCs w:val="21"/>
        </w:rPr>
        <w:t>未</w:t>
      </w:r>
      <w:r>
        <w:rPr>
          <w:rFonts w:hint="eastAsia" w:ascii="宋体" w:hAnsi="宋体" w:eastAsia="宋体"/>
          <w:color w:val="000000"/>
          <w:szCs w:val="21"/>
        </w:rPr>
        <w:t>在</w:t>
      </w:r>
      <w:r>
        <w:rPr>
          <w:rFonts w:hint="eastAsia" w:ascii="宋体" w:hAnsi="宋体" w:eastAsia="宋体" w:cs="宋体"/>
          <w:b/>
          <w:bCs/>
          <w:szCs w:val="21"/>
        </w:rPr>
        <w:t>【政府采购合同专用条款】</w:t>
      </w:r>
      <w:r>
        <w:rPr>
          <w:rFonts w:hint="eastAsia" w:ascii="宋体" w:hAnsi="宋体" w:eastAsia="宋体" w:cs="宋体"/>
          <w:szCs w:val="21"/>
        </w:rPr>
        <w:t>约定的期限内对乙方履约提出任何异议或者向乙方作出任何说明的，</w:t>
      </w:r>
      <w:r>
        <w:rPr>
          <w:rFonts w:hint="eastAsia" w:ascii="宋体" w:hAnsi="宋体" w:eastAsia="宋体"/>
          <w:color w:val="000000"/>
          <w:szCs w:val="21"/>
        </w:rPr>
        <w:t>视为验收通过。</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ascii="宋体" w:hAnsi="宋体" w:eastAsia="宋体"/>
          <w:color w:val="000000"/>
          <w:szCs w:val="21"/>
        </w:rPr>
        <w:t>4</w:t>
      </w:r>
      <w:r>
        <w:rPr>
          <w:rFonts w:hint="eastAsia" w:ascii="宋体" w:hAnsi="宋体" w:eastAsia="宋体"/>
          <w:color w:val="000000"/>
          <w:szCs w:val="21"/>
        </w:rPr>
        <w:t>.</w:t>
      </w:r>
      <w:r>
        <w:rPr>
          <w:rFonts w:ascii="宋体" w:hAnsi="宋体" w:eastAsia="宋体"/>
          <w:color w:val="000000"/>
          <w:szCs w:val="21"/>
        </w:rPr>
        <w:t xml:space="preserve">5 </w:t>
      </w:r>
      <w:r>
        <w:rPr>
          <w:rFonts w:hint="eastAsia" w:ascii="宋体" w:hAnsi="宋体" w:eastAsia="宋体"/>
          <w:color w:val="000000"/>
          <w:szCs w:val="21"/>
        </w:rPr>
        <w:t>甲方应当根据合同约定及时向乙方支付合同价款</w:t>
      </w:r>
      <w:r>
        <w:rPr>
          <w:rFonts w:ascii="宋体" w:hAnsi="宋体" w:eastAsia="宋体"/>
          <w:color w:val="000000"/>
          <w:szCs w:val="21"/>
        </w:rPr>
        <w:t>，不得以内部人员变更、履行内部付款流程等为由，拒绝或迟延支付。</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4.6</w:t>
      </w:r>
      <w:r>
        <w:rPr>
          <w:rFonts w:ascii="宋体" w:hAnsi="宋体" w:eastAsia="宋体"/>
          <w:color w:val="000000"/>
          <w:szCs w:val="21"/>
        </w:rPr>
        <w:t xml:space="preserve"> </w:t>
      </w:r>
      <w:r>
        <w:rPr>
          <w:rFonts w:hint="eastAsia" w:ascii="宋体" w:hAnsi="宋体" w:eastAsia="宋体"/>
          <w:color w:val="000000"/>
          <w:szCs w:val="21"/>
        </w:rPr>
        <w:t>国家法律法规规定及</w:t>
      </w:r>
      <w:r>
        <w:rPr>
          <w:rFonts w:hint="eastAsia" w:ascii="宋体" w:hAnsi="宋体" w:eastAsia="宋体" w:cs="宋体"/>
          <w:b/>
          <w:bCs/>
          <w:szCs w:val="21"/>
        </w:rPr>
        <w:t>【政府采购合同专用条款】</w:t>
      </w:r>
      <w:r>
        <w:rPr>
          <w:rFonts w:hint="eastAsia" w:ascii="宋体" w:hAnsi="宋体" w:eastAsia="宋体"/>
          <w:color w:val="000000"/>
          <w:szCs w:val="21"/>
        </w:rPr>
        <w:t>约定应由甲方承担的其他义务和责任。</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5. 乙方的权利和义务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5.1 </w:t>
      </w:r>
      <w:r>
        <w:rPr>
          <w:rFonts w:ascii="宋体" w:hAnsi="宋体" w:eastAsia="宋体"/>
          <w:color w:val="000000"/>
          <w:szCs w:val="21"/>
        </w:rPr>
        <w:t>签署合同后，乙方</w:t>
      </w:r>
      <w:r>
        <w:rPr>
          <w:rFonts w:hint="eastAsia" w:ascii="宋体" w:hAnsi="宋体" w:eastAsia="宋体"/>
          <w:color w:val="000000"/>
          <w:szCs w:val="21"/>
        </w:rPr>
        <w:t>应</w:t>
      </w:r>
      <w:r>
        <w:rPr>
          <w:rFonts w:ascii="宋体" w:hAnsi="宋体" w:eastAsia="宋体"/>
          <w:color w:val="000000"/>
          <w:szCs w:val="21"/>
        </w:rPr>
        <w:t>确定</w:t>
      </w:r>
      <w:r>
        <w:rPr>
          <w:rFonts w:hint="eastAsia" w:ascii="宋体" w:hAnsi="宋体" w:eastAsia="宋体"/>
          <w:color w:val="000000"/>
          <w:szCs w:val="21"/>
        </w:rPr>
        <w:t>项目负责人（或项目联系人）</w:t>
      </w:r>
      <w:r>
        <w:rPr>
          <w:rFonts w:ascii="宋体" w:hAnsi="宋体" w:eastAsia="宋体"/>
          <w:color w:val="000000"/>
          <w:szCs w:val="21"/>
        </w:rPr>
        <w:t>，负责与本合同有关的事务。</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5.</w:t>
      </w:r>
      <w:r>
        <w:rPr>
          <w:rFonts w:ascii="宋体" w:hAnsi="宋体" w:eastAsia="宋体"/>
          <w:color w:val="000000"/>
          <w:szCs w:val="21"/>
        </w:rPr>
        <w:t>2 乙方应按照合同要求</w:t>
      </w:r>
      <w:r>
        <w:rPr>
          <w:rFonts w:hint="eastAsia" w:ascii="宋体" w:hAnsi="宋体" w:eastAsia="宋体"/>
          <w:color w:val="000000"/>
          <w:szCs w:val="21"/>
        </w:rPr>
        <w:t>履约</w:t>
      </w:r>
      <w:r>
        <w:rPr>
          <w:rFonts w:ascii="宋体" w:hAnsi="宋体" w:eastAsia="宋体"/>
          <w:color w:val="000000"/>
          <w:szCs w:val="21"/>
        </w:rPr>
        <w:t>，充分合理安排，确保</w:t>
      </w:r>
      <w:r>
        <w:rPr>
          <w:rFonts w:hint="eastAsia" w:ascii="宋体" w:hAnsi="宋体" w:eastAsia="宋体"/>
          <w:color w:val="000000"/>
          <w:szCs w:val="21"/>
        </w:rPr>
        <w:t>提供的货物及相关服务符合合同有关</w:t>
      </w:r>
      <w:r>
        <w:rPr>
          <w:rFonts w:ascii="宋体" w:hAnsi="宋体" w:eastAsia="宋体"/>
          <w:color w:val="000000"/>
          <w:szCs w:val="21"/>
        </w:rPr>
        <w:t>要求</w:t>
      </w:r>
      <w:r>
        <w:rPr>
          <w:rFonts w:hint="eastAsia" w:ascii="宋体" w:hAnsi="宋体" w:eastAsia="宋体"/>
          <w:color w:val="000000"/>
          <w:szCs w:val="21"/>
        </w:rPr>
        <w:t>。接受项目行业管理部门及政府有关部门的指导，配合甲方的履约检查及验收，并</w:t>
      </w:r>
      <w:r>
        <w:rPr>
          <w:rFonts w:ascii="宋体" w:hAnsi="宋体" w:eastAsia="宋体"/>
          <w:color w:val="000000"/>
          <w:szCs w:val="21"/>
        </w:rPr>
        <w:t>负责项目实施过程中的所有协调工作。</w:t>
      </w:r>
    </w:p>
    <w:p>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3</w:t>
      </w:r>
      <w:r>
        <w:rPr>
          <w:rFonts w:hint="eastAsia" w:ascii="宋体" w:hAnsi="宋体" w:eastAsia="宋体" w:cs="Times New Roman"/>
          <w:color w:val="000000"/>
          <w:szCs w:val="21"/>
        </w:rPr>
        <w:t>乙方有权</w:t>
      </w:r>
      <w:r>
        <w:rPr>
          <w:rFonts w:hint="eastAsia" w:ascii="宋体" w:hAnsi="宋体" w:eastAsia="宋体" w:cs="宋体"/>
          <w:color w:val="000000"/>
          <w:szCs w:val="21"/>
        </w:rPr>
        <w:t>根据合同约定向甲方收取合同价款。</w:t>
      </w:r>
    </w:p>
    <w:p>
      <w:pPr>
        <w:spacing w:line="400" w:lineRule="exact"/>
        <w:ind w:firstLine="369" w:firstLineChars="176"/>
        <w:rPr>
          <w:rFonts w:hint="eastAsia" w:ascii="宋体" w:hAnsi="宋体" w:eastAsia="宋体" w:cs="宋体"/>
          <w:color w:val="000000"/>
          <w:szCs w:val="21"/>
        </w:rPr>
      </w:pPr>
      <w:r>
        <w:rPr>
          <w:rFonts w:hint="eastAsia" w:ascii="宋体" w:hAnsi="宋体" w:eastAsia="宋体" w:cs="Times New Roman"/>
          <w:color w:val="000000"/>
          <w:szCs w:val="21"/>
        </w:rPr>
        <w:t>5.</w:t>
      </w:r>
      <w:r>
        <w:rPr>
          <w:rFonts w:ascii="宋体" w:hAnsi="宋体" w:eastAsia="宋体" w:cs="Times New Roman"/>
          <w:color w:val="000000"/>
          <w:szCs w:val="21"/>
        </w:rPr>
        <w:t>4</w:t>
      </w:r>
      <w:r>
        <w:rPr>
          <w:rFonts w:hint="eastAsia" w:ascii="宋体" w:hAnsi="宋体" w:eastAsia="宋体" w:cs="宋体"/>
          <w:color w:val="000000"/>
          <w:szCs w:val="21"/>
        </w:rPr>
        <w:t>国家法律法规规定</w:t>
      </w:r>
      <w:r>
        <w:rPr>
          <w:rFonts w:hint="eastAsia" w:ascii="宋体" w:hAnsi="宋体" w:eastAsia="宋体" w:cs="Times New Roman"/>
          <w:color w:val="000000"/>
          <w:szCs w:val="21"/>
        </w:rPr>
        <w:t>及</w:t>
      </w:r>
      <w:r>
        <w:rPr>
          <w:rFonts w:hint="eastAsia" w:ascii="宋体" w:hAnsi="宋体" w:eastAsia="宋体" w:cs="宋体"/>
          <w:b/>
          <w:bCs/>
          <w:szCs w:val="21"/>
        </w:rPr>
        <w:t>【政府采购合同专用条款】</w:t>
      </w:r>
      <w:r>
        <w:rPr>
          <w:rFonts w:hint="eastAsia" w:ascii="宋体" w:hAnsi="宋体" w:eastAsia="宋体" w:cs="宋体"/>
          <w:szCs w:val="21"/>
        </w:rPr>
        <w:t>约定应</w:t>
      </w:r>
      <w:r>
        <w:rPr>
          <w:rFonts w:hint="eastAsia" w:ascii="宋体" w:hAnsi="宋体" w:eastAsia="宋体" w:cs="宋体"/>
          <w:color w:val="000000"/>
          <w:szCs w:val="21"/>
        </w:rPr>
        <w:t>由乙方承担的其他义务和责任。</w:t>
      </w:r>
    </w:p>
    <w:p>
      <w:pPr>
        <w:numPr>
          <w:ilvl w:val="0"/>
          <w:numId w:val="9"/>
        </w:num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合同履行</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6.1 甲乙双方应当按照</w:t>
      </w:r>
      <w:r>
        <w:rPr>
          <w:rFonts w:hint="eastAsia" w:ascii="宋体" w:hAnsi="宋体" w:eastAsia="宋体" w:cs="宋体"/>
          <w:b/>
          <w:bCs/>
          <w:szCs w:val="21"/>
        </w:rPr>
        <w:t>【政府采购合同专用条款】</w:t>
      </w:r>
      <w:r>
        <w:rPr>
          <w:rFonts w:hint="eastAsia" w:ascii="宋体" w:hAnsi="宋体" w:eastAsia="宋体"/>
          <w:color w:val="000000"/>
          <w:szCs w:val="21"/>
        </w:rPr>
        <w:t>约定顺序履行合同义务；如果没有先后顺序的，应当同时履行。</w:t>
      </w:r>
    </w:p>
    <w:p>
      <w:pPr>
        <w:autoSpaceDE w:val="0"/>
        <w:autoSpaceDN w:val="0"/>
        <w:adjustRightInd w:val="0"/>
        <w:snapToGrid w:val="0"/>
        <w:spacing w:line="400" w:lineRule="exact"/>
        <w:ind w:firstLine="420" w:firstLineChars="200"/>
        <w:jc w:val="left"/>
        <w:rPr>
          <w:rFonts w:eastAsia="宋体"/>
        </w:rPr>
      </w:pPr>
      <w:r>
        <w:rPr>
          <w:rFonts w:hint="eastAsia" w:ascii="宋体" w:hAnsi="宋体" w:eastAsia="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pPr>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7. 货物包装、运输、保险和交付要求</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7.1 本合同</w:t>
      </w:r>
      <w:r>
        <w:rPr>
          <w:rFonts w:hint="eastAsia" w:ascii="宋体" w:hAnsi="宋体" w:eastAsia="宋体"/>
          <w:bCs/>
          <w:color w:val="000000"/>
          <w:szCs w:val="21"/>
        </w:rPr>
        <w:t>涉及商品包装、快递包装的，</w:t>
      </w:r>
      <w:r>
        <w:rPr>
          <w:rFonts w:hint="eastAsia" w:ascii="宋体" w:hAnsi="宋体" w:eastAsia="宋体"/>
          <w:color w:val="000000"/>
          <w:szCs w:val="21"/>
        </w:rPr>
        <w:t>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包装应适应远距离运输、防潮、防震、防锈和防野蛮装卸等要求，确保货物安全无损地运抵</w:t>
      </w:r>
      <w:r>
        <w:rPr>
          <w:rFonts w:hint="eastAsia" w:ascii="宋体" w:hAnsi="宋体" w:eastAsia="宋体"/>
          <w:b/>
          <w:color w:val="000000"/>
          <w:szCs w:val="21"/>
        </w:rPr>
        <w:t>【政府采购合同专用条款】</w:t>
      </w:r>
      <w:r>
        <w:rPr>
          <w:rFonts w:hint="eastAsia" w:ascii="宋体" w:hAnsi="宋体" w:eastAsia="宋体"/>
          <w:bCs/>
          <w:color w:val="000000"/>
          <w:szCs w:val="21"/>
        </w:rPr>
        <w:t>约定的</w:t>
      </w:r>
      <w:r>
        <w:rPr>
          <w:rFonts w:hint="eastAsia" w:ascii="宋体" w:hAnsi="宋体" w:eastAsia="宋体"/>
          <w:color w:val="000000"/>
          <w:szCs w:val="21"/>
        </w:rPr>
        <w:t>指定现场。</w:t>
      </w:r>
    </w:p>
    <w:p>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7.2 除</w:t>
      </w:r>
      <w:r>
        <w:rPr>
          <w:rFonts w:hint="eastAsia" w:ascii="宋体" w:hAnsi="宋体" w:eastAsia="宋体"/>
          <w:b/>
          <w:color w:val="000000"/>
          <w:szCs w:val="21"/>
        </w:rPr>
        <w:t>【政府采购合同专用条款】</w:t>
      </w:r>
      <w:r>
        <w:rPr>
          <w:rFonts w:hint="eastAsia" w:ascii="宋体" w:hAnsi="宋体" w:eastAsia="宋体"/>
          <w:bCs/>
          <w:color w:val="000000"/>
          <w:szCs w:val="21"/>
        </w:rPr>
        <w:t>另有约定外，</w:t>
      </w:r>
      <w:r>
        <w:rPr>
          <w:rFonts w:hint="eastAsia" w:ascii="宋体" w:hAnsi="宋体" w:eastAsia="宋体"/>
          <w:color w:val="000000"/>
          <w:szCs w:val="21"/>
        </w:rPr>
        <w:t>乙方负责办理将货物运抵本合同规定的交货地点，并装卸、交付至甲方的一切运输事项，相关费用应包含在合同价款中。</w:t>
      </w:r>
    </w:p>
    <w:p>
      <w:pPr>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7.3 货物保险要求按</w:t>
      </w:r>
      <w:r>
        <w:rPr>
          <w:rFonts w:hint="eastAsia" w:ascii="宋体" w:hAnsi="宋体" w:eastAsia="宋体"/>
          <w:b/>
          <w:color w:val="000000"/>
          <w:szCs w:val="21"/>
        </w:rPr>
        <w:t>【政府采购合同专用条款】</w:t>
      </w:r>
      <w:r>
        <w:rPr>
          <w:rFonts w:hint="eastAsia" w:ascii="宋体" w:hAnsi="宋体" w:eastAsia="宋体"/>
          <w:bCs/>
          <w:color w:val="000000"/>
          <w:szCs w:val="21"/>
        </w:rPr>
        <w:t>规定执行</w:t>
      </w:r>
      <w:r>
        <w:rPr>
          <w:rFonts w:hint="eastAsia" w:ascii="宋体" w:hAnsi="宋体" w:eastAsia="宋体"/>
          <w:color w:val="000000"/>
          <w:szCs w:val="21"/>
        </w:rPr>
        <w:t>。</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7.5 </w:t>
      </w:r>
      <w:r>
        <w:rPr>
          <w:rFonts w:hint="eastAsia" w:ascii="宋体" w:hAnsi="宋体" w:eastAsia="宋体" w:cs="宋体"/>
          <w:color w:val="000000"/>
          <w:szCs w:val="21"/>
        </w:rPr>
        <w:t>乙方在运输到达之前应提前通知甲方，并提示货物运输装卸的注意事项，甲方配合乙方做好货物的接收工作。</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Times New Roman"/>
          <w:color w:val="000000"/>
          <w:szCs w:val="21"/>
        </w:rPr>
        <w:t>7.6 如因包装、运输问题导致货物损毁、丢失或者品质下降，甲方有权要求降价、换货、拒收部分或整批货物，由此产生的费用和损失，均由乙方承担。</w:t>
      </w:r>
    </w:p>
    <w:p>
      <w:pPr>
        <w:adjustRightInd w:val="0"/>
        <w:snapToGrid w:val="0"/>
        <w:spacing w:line="400" w:lineRule="exact"/>
        <w:jc w:val="left"/>
        <w:rPr>
          <w:rFonts w:hint="eastAsia" w:ascii="宋体" w:hAnsi="宋体" w:eastAsia="宋体"/>
          <w:b/>
          <w:sz w:val="24"/>
        </w:rPr>
      </w:pPr>
      <w:r>
        <w:rPr>
          <w:rFonts w:hint="eastAsia" w:ascii="宋体" w:hAnsi="宋体" w:eastAsia="宋体"/>
          <w:b/>
          <w:color w:val="000000"/>
          <w:sz w:val="24"/>
        </w:rPr>
        <w:t xml:space="preserve">8. </w:t>
      </w:r>
      <w:r>
        <w:rPr>
          <w:rFonts w:hint="eastAsia" w:ascii="宋体" w:hAnsi="宋体" w:eastAsia="宋体"/>
          <w:b/>
          <w:sz w:val="24"/>
        </w:rPr>
        <w:t>质量标准和保证</w:t>
      </w:r>
    </w:p>
    <w:p>
      <w:pPr>
        <w:adjustRightInd w:val="0"/>
        <w:snapToGrid w:val="0"/>
        <w:spacing w:line="400" w:lineRule="exact"/>
        <w:ind w:firstLine="420" w:firstLineChars="200"/>
        <w:jc w:val="left"/>
        <w:rPr>
          <w:rFonts w:hint="eastAsia" w:ascii="宋体" w:hAnsi="宋体" w:eastAsia="宋体" w:cs="Courier New"/>
          <w:b/>
          <w:szCs w:val="21"/>
        </w:rPr>
      </w:pPr>
      <w:r>
        <w:rPr>
          <w:rFonts w:hint="eastAsia" w:ascii="宋体" w:hAnsi="宋体" w:eastAsia="宋体" w:cs="Courier New"/>
          <w:szCs w:val="21"/>
        </w:rPr>
        <w:t>8.1 质量标准</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（1）本合同下提供的货物应符合合同</w:t>
      </w:r>
      <w:r>
        <w:rPr>
          <w:rFonts w:hint="eastAsia" w:ascii="宋体" w:hAnsi="宋体" w:eastAsia="宋体" w:cs="宋体"/>
          <w:color w:val="000000"/>
          <w:szCs w:val="21"/>
        </w:rPr>
        <w:t>约定的</w:t>
      </w:r>
      <w:r>
        <w:rPr>
          <w:rFonts w:hint="eastAsia" w:ascii="宋体" w:hAnsi="宋体" w:eastAsia="宋体" w:cs="宋体"/>
          <w:szCs w:val="21"/>
        </w:rPr>
        <w:t>品牌、规格型号、技术性能、配置、质量、数量等要求。</w:t>
      </w:r>
      <w:r>
        <w:rPr>
          <w:rFonts w:hint="eastAsia" w:ascii="宋体" w:hAnsi="宋体" w:eastAsia="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pPr>
        <w:adjustRightInd w:val="0"/>
        <w:snapToGrid w:val="0"/>
        <w:spacing w:line="400" w:lineRule="exact"/>
        <w:ind w:firstLine="420" w:firstLineChars="200"/>
        <w:jc w:val="left"/>
        <w:rPr>
          <w:rFonts w:hint="eastAsia" w:ascii="宋体" w:hAnsi="宋体" w:eastAsia="宋体" w:cs="Courier New"/>
          <w:szCs w:val="21"/>
        </w:rPr>
      </w:pPr>
      <w:r>
        <w:rPr>
          <w:rFonts w:hint="eastAsia" w:ascii="宋体" w:hAnsi="宋体" w:eastAsia="宋体" w:cs="Courier New"/>
          <w:szCs w:val="21"/>
        </w:rPr>
        <w:t>（2）采用中华人民共和国法定计量单位。</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（3）乙方所提供的货物应符合国家有关安全、环保、卫生的规定。</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（4）乙方应向甲方提交所提供货物的技术文件，包括相应的中文技术文件，如：产品目录、图纸、操作手册、使用说明、维护手册或服务指南等。上述文件应包装好随货物一同发运。</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8.2 保证</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（1）乙方应保证提供的货物完全符合合同规定的质量、规格和性能要求。乙方应保证货物在正确安装、正常使用和保养条件下，</w:t>
      </w:r>
      <w:r>
        <w:rPr>
          <w:rFonts w:hint="eastAsia" w:ascii="宋体" w:hAnsi="宋体" w:eastAsia="宋体" w:cs="宋体"/>
          <w:szCs w:val="21"/>
        </w:rPr>
        <w:t>在其使用寿命期内具备合同约定的性能</w:t>
      </w:r>
      <w:r>
        <w:rPr>
          <w:rFonts w:hint="eastAsia" w:ascii="宋体" w:hAnsi="宋体" w:eastAsia="宋体"/>
          <w:szCs w:val="21"/>
        </w:rPr>
        <w:t>。存在质量保证期的，货物最终交付验收合格后在</w:t>
      </w:r>
      <w:r>
        <w:rPr>
          <w:rFonts w:hint="eastAsia" w:ascii="宋体" w:hAnsi="宋体" w:eastAsia="宋体"/>
          <w:b/>
          <w:szCs w:val="21"/>
        </w:rPr>
        <w:t>【政府采购合同专用条款】</w:t>
      </w:r>
      <w:r>
        <w:rPr>
          <w:rFonts w:hint="eastAsia" w:ascii="宋体" w:hAnsi="宋体" w:eastAsia="宋体"/>
          <w:szCs w:val="21"/>
        </w:rPr>
        <w:t>规定或乙方书面承诺（两者以较长的为准）的质量保证期内，本保证保持有效。</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（2）在质量保证期内所发现的缺陷，甲方应尽快以书面形式通知乙方。</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（3）乙方收到通知后，应在</w:t>
      </w:r>
      <w:r>
        <w:rPr>
          <w:rFonts w:hint="eastAsia" w:ascii="宋体" w:hAnsi="宋体" w:eastAsia="宋体"/>
          <w:b/>
          <w:szCs w:val="21"/>
        </w:rPr>
        <w:t>【政府采购合同专用条款】</w:t>
      </w:r>
      <w:r>
        <w:rPr>
          <w:rFonts w:hint="eastAsia" w:ascii="宋体" w:hAnsi="宋体" w:eastAsia="宋体"/>
          <w:szCs w:val="21"/>
        </w:rPr>
        <w:t>规定的响应时间内以合理的速度免费维修或更换有缺陷的货物或部件。</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（4）在质量保证期内，如果货物的质量或规格与合同不符，或证实货物是有缺陷的，包括潜在的缺陷或使用不符合要求的材料等，甲方可以根据本合同第1</w:t>
      </w:r>
      <w:r>
        <w:rPr>
          <w:rFonts w:hint="eastAsia" w:ascii="宋体" w:hAnsi="宋体" w:eastAsia="宋体"/>
          <w:color w:val="000000"/>
          <w:szCs w:val="21"/>
        </w:rPr>
        <w:t>5</w:t>
      </w:r>
      <w:r>
        <w:rPr>
          <w:rFonts w:hint="eastAsia" w:ascii="宋体" w:hAnsi="宋体" w:eastAsia="宋体"/>
          <w:szCs w:val="21"/>
        </w:rPr>
        <w:t>.1条规定以书面形式</w:t>
      </w:r>
      <w:r>
        <w:rPr>
          <w:rFonts w:hint="eastAsia" w:ascii="宋体" w:hAnsi="宋体" w:eastAsia="宋体"/>
          <w:color w:val="000000"/>
          <w:szCs w:val="21"/>
        </w:rPr>
        <w:t>追究</w:t>
      </w:r>
      <w:r>
        <w:rPr>
          <w:rFonts w:hint="eastAsia" w:ascii="宋体" w:hAnsi="宋体" w:eastAsia="宋体"/>
          <w:szCs w:val="21"/>
        </w:rPr>
        <w:t>乙方</w:t>
      </w:r>
      <w:r>
        <w:rPr>
          <w:rFonts w:hint="eastAsia" w:ascii="宋体" w:hAnsi="宋体" w:eastAsia="宋体"/>
          <w:color w:val="000000"/>
          <w:szCs w:val="21"/>
        </w:rPr>
        <w:t>的违约责任</w:t>
      </w:r>
      <w:r>
        <w:rPr>
          <w:rFonts w:hint="eastAsia" w:ascii="宋体" w:hAnsi="宋体" w:eastAsia="宋体"/>
          <w:szCs w:val="21"/>
        </w:rPr>
        <w:t>。</w:t>
      </w:r>
    </w:p>
    <w:p>
      <w:pPr>
        <w:adjustRightInd w:val="0"/>
        <w:snapToGrid w:val="0"/>
        <w:spacing w:line="400" w:lineRule="exact"/>
        <w:ind w:firstLine="420" w:firstLineChars="200"/>
        <w:jc w:val="left"/>
        <w:rPr>
          <w:rFonts w:eastAsia="宋体"/>
        </w:rPr>
      </w:pPr>
      <w:r>
        <w:rPr>
          <w:rFonts w:hint="eastAsia" w:ascii="宋体" w:hAnsi="宋体" w:eastAsia="宋体"/>
          <w:szCs w:val="21"/>
        </w:rPr>
        <w:t>（5）乙方在约定的时间内未能弥补缺陷，甲方可采取必要的补救措施，但其风险和费用将由乙方承担，甲方根据合同约定对乙方行使的其他权利不受影响。</w:t>
      </w:r>
    </w:p>
    <w:p>
      <w:pPr>
        <w:adjustRightInd w:val="0"/>
        <w:snapToGrid w:val="0"/>
        <w:spacing w:line="400" w:lineRule="exact"/>
        <w:jc w:val="left"/>
        <w:rPr>
          <w:rFonts w:hint="eastAsia" w:ascii="宋体" w:hAnsi="宋体" w:eastAsia="宋体"/>
          <w:b/>
          <w:bCs/>
          <w:sz w:val="24"/>
        </w:rPr>
      </w:pPr>
      <w:r>
        <w:rPr>
          <w:rFonts w:hint="eastAsia" w:ascii="宋体" w:hAnsi="宋体" w:eastAsia="宋体"/>
          <w:b/>
          <w:bCs/>
          <w:color w:val="000000"/>
          <w:sz w:val="24"/>
        </w:rPr>
        <w:t>9</w:t>
      </w:r>
      <w:r>
        <w:rPr>
          <w:rFonts w:hint="eastAsia" w:ascii="宋体" w:hAnsi="宋体" w:eastAsia="宋体"/>
          <w:b/>
          <w:bCs/>
          <w:sz w:val="24"/>
        </w:rPr>
        <w:t>.</w:t>
      </w:r>
      <w:r>
        <w:rPr>
          <w:rFonts w:hint="eastAsia" w:ascii="宋体" w:hAnsi="宋体" w:eastAsia="宋体"/>
          <w:b/>
          <w:bCs/>
          <w:color w:val="000000"/>
          <w:sz w:val="24"/>
        </w:rPr>
        <w:t xml:space="preserve"> </w:t>
      </w:r>
      <w:r>
        <w:rPr>
          <w:rFonts w:hint="eastAsia" w:ascii="宋体" w:hAnsi="宋体" w:eastAsia="宋体"/>
          <w:b/>
          <w:bCs/>
          <w:sz w:val="24"/>
        </w:rPr>
        <w:t>权利瑕疵担保</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9.1 乙方保证对其出售的货物享有合法的权利。</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 xml:space="preserve">9.2 </w:t>
      </w:r>
      <w:r>
        <w:rPr>
          <w:rFonts w:hint="eastAsia" w:ascii="宋体" w:hAnsi="宋体" w:eastAsia="宋体" w:cs="宋体"/>
          <w:szCs w:val="15"/>
        </w:rPr>
        <w:t>乙方保证在交付的货物上不存在抵押权等担保物权。</w:t>
      </w:r>
    </w:p>
    <w:p>
      <w:pPr>
        <w:autoSpaceDE w:val="0"/>
        <w:autoSpaceDN w:val="0"/>
        <w:adjustRightInd w:val="0"/>
        <w:snapToGrid w:val="0"/>
        <w:spacing w:line="400" w:lineRule="exact"/>
        <w:ind w:firstLine="420" w:firstLineChars="200"/>
        <w:jc w:val="left"/>
        <w:rPr>
          <w:rFonts w:hint="eastAsia" w:ascii="宋体" w:hAnsi="宋体" w:eastAsia="宋体"/>
          <w:color w:val="000000"/>
          <w:szCs w:val="21"/>
        </w:rPr>
      </w:pPr>
      <w:r>
        <w:rPr>
          <w:rFonts w:hint="eastAsia" w:ascii="宋体" w:hAnsi="宋体" w:eastAsia="宋体"/>
          <w:color w:val="000000"/>
          <w:szCs w:val="21"/>
        </w:rPr>
        <w:t>9.3 如甲方使用上述货物构成对第三人侵权的，则由乙方承担全部责任。</w:t>
      </w:r>
    </w:p>
    <w:p>
      <w:pPr>
        <w:autoSpaceDE w:val="0"/>
        <w:autoSpaceDN w:val="0"/>
        <w:adjustRightInd w:val="0"/>
        <w:snapToGrid w:val="0"/>
        <w:spacing w:line="400" w:lineRule="exact"/>
        <w:jc w:val="left"/>
        <w:rPr>
          <w:rFonts w:hint="eastAsia" w:ascii="宋体" w:hAnsi="宋体" w:eastAsia="宋体"/>
          <w:b/>
          <w:bCs/>
          <w:color w:val="000000"/>
          <w:sz w:val="24"/>
        </w:rPr>
      </w:pPr>
      <w:r>
        <w:rPr>
          <w:rFonts w:hint="eastAsia" w:ascii="宋体" w:hAnsi="宋体" w:eastAsia="宋体"/>
          <w:b/>
          <w:bCs/>
          <w:color w:val="000000"/>
          <w:sz w:val="24"/>
        </w:rPr>
        <w:t>10. 知识产权保护</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color w:val="000000"/>
          <w:szCs w:val="21"/>
        </w:rPr>
        <w:t>10.1 乙方对其所销售的货物应当享有知识产权或经权利人合法授权，保证没有侵犯任</w:t>
      </w:r>
      <w:r>
        <w:rPr>
          <w:rFonts w:hint="eastAsia" w:ascii="宋体" w:hAnsi="宋体" w:eastAsia="宋体"/>
          <w:szCs w:val="21"/>
        </w:rPr>
        <w:t>何第三人的知识产权等权利。</w:t>
      </w:r>
      <w:bookmarkStart w:id="56" w:name="_Hlk163047038"/>
      <w:r>
        <w:rPr>
          <w:rFonts w:hint="eastAsia" w:ascii="宋体" w:hAnsi="宋体" w:eastAsia="宋体" w:cs="宋体"/>
          <w:szCs w:val="15"/>
        </w:rPr>
        <w:t>因违反前述约定对第三人构成侵权的，应当由乙方向第三人承担法律责任；甲方依法向第三人赔偿后，有权向乙方追偿。甲方有其他损失的，乙方应当赔偿</w:t>
      </w:r>
      <w:bookmarkEnd w:id="56"/>
      <w:r>
        <w:rPr>
          <w:rFonts w:hint="eastAsia" w:ascii="宋体" w:hAnsi="宋体" w:eastAsia="宋体"/>
          <w:szCs w:val="21"/>
        </w:rPr>
        <w:t>。</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11. 保密义务</w:t>
      </w:r>
    </w:p>
    <w:p>
      <w:pPr>
        <w:autoSpaceDE w:val="0"/>
        <w:autoSpaceDN w:val="0"/>
        <w:adjustRightInd w:val="0"/>
        <w:snapToGrid w:val="0"/>
        <w:spacing w:line="400" w:lineRule="exact"/>
        <w:ind w:firstLine="420" w:firstLineChars="200"/>
        <w:jc w:val="left"/>
        <w:rPr>
          <w:rFonts w:hint="eastAsia" w:ascii="宋体" w:hAnsi="宋体" w:eastAsia="宋体" w:cs="宋体"/>
          <w:szCs w:val="15"/>
        </w:rPr>
      </w:pPr>
      <w:r>
        <w:rPr>
          <w:rFonts w:hint="eastAsia" w:ascii="宋体" w:hAnsi="宋体" w:eastAsia="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eastAsia="宋体" w:cs="宋体"/>
          <w:b/>
          <w:bCs/>
          <w:szCs w:val="15"/>
        </w:rPr>
        <w:t>【政府采购合同专用条款】</w:t>
      </w:r>
      <w:r>
        <w:rPr>
          <w:rFonts w:hint="eastAsia" w:ascii="宋体" w:hAnsi="宋体" w:eastAsia="宋体" w:cs="宋体"/>
          <w:szCs w:val="15"/>
        </w:rPr>
        <w:t>中约定。</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12. 合同价款支付</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12.1 合同价款支付按照国库集中支付制度及财政管理相关规定执行。</w:t>
      </w:r>
    </w:p>
    <w:p>
      <w:pPr>
        <w:keepNext/>
        <w:keepLines/>
        <w:spacing w:line="400" w:lineRule="exact"/>
        <w:ind w:firstLine="420" w:firstLineChars="200"/>
        <w:outlineLvl w:val="1"/>
        <w:rPr>
          <w:rFonts w:ascii="Arial" w:hAnsi="Arial" w:eastAsia="宋体" w:cs="Times New Roman"/>
          <w:b/>
          <w:bCs/>
          <w:sz w:val="24"/>
          <w:szCs w:val="32"/>
        </w:rPr>
      </w:pPr>
      <w:r>
        <w:rPr>
          <w:rFonts w:hint="eastAsia" w:ascii="宋体" w:hAnsi="宋体" w:eastAsia="宋体" w:cs="Times New Roman"/>
          <w:szCs w:val="21"/>
        </w:rPr>
        <w:t>12.2 对于满足合同约定支付条件的，甲方原则上应当自收到发票后10个工作日内将资金支付到合同约定的乙方账户，不得以机构变动、人员更替、政策调整等为由迟延付款，不得将采购文件和合同中未规定的义务作为向乙方付款的条件。具体合同价款支付时间在【</w:t>
      </w:r>
      <w:r>
        <w:rPr>
          <w:rFonts w:hint="eastAsia" w:ascii="宋体" w:hAnsi="宋体" w:eastAsia="宋体" w:cs="Times New Roman"/>
          <w:b/>
          <w:bCs/>
          <w:szCs w:val="21"/>
        </w:rPr>
        <w:t>政府采购合同专用条款</w:t>
      </w:r>
      <w:r>
        <w:rPr>
          <w:rFonts w:hint="eastAsia" w:ascii="宋体" w:hAnsi="宋体" w:eastAsia="宋体" w:cs="Times New Roman"/>
          <w:szCs w:val="21"/>
        </w:rPr>
        <w:t>】中约定。</w:t>
      </w:r>
    </w:p>
    <w:p>
      <w:pPr>
        <w:spacing w:line="400" w:lineRule="exact"/>
        <w:rPr>
          <w:rFonts w:hint="eastAsia" w:ascii="宋体" w:hAnsi="宋体" w:eastAsia="宋体" w:cs="Times New Roman"/>
          <w:b/>
          <w:bCs/>
          <w:sz w:val="24"/>
          <w:szCs w:val="24"/>
        </w:rPr>
      </w:pPr>
      <w:r>
        <w:rPr>
          <w:rFonts w:hint="eastAsia" w:ascii="宋体" w:hAnsi="宋体" w:eastAsia="宋体" w:cs="Times New Roman"/>
          <w:b/>
          <w:bCs/>
          <w:sz w:val="24"/>
          <w:szCs w:val="24"/>
        </w:rPr>
        <w:t>13. 履约保证金</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13.1 </w:t>
      </w:r>
      <w:r>
        <w:rPr>
          <w:rFonts w:hint="eastAsia" w:ascii="宋体" w:hAnsi="宋体" w:eastAsia="宋体" w:cs="宋体"/>
          <w:szCs w:val="15"/>
        </w:rPr>
        <w:t>乙方应当以支票、汇票、本票或者金融机构、担保机构出具的保函等非现金形式提交。</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13.2 如果乙方出现</w:t>
      </w:r>
      <w:r>
        <w:rPr>
          <w:rFonts w:hint="eastAsia" w:ascii="宋体" w:hAnsi="宋体" w:eastAsia="宋体" w:cs="宋体"/>
          <w:b/>
          <w:bCs/>
          <w:szCs w:val="15"/>
        </w:rPr>
        <w:t>【政府采购合同专用条款】</w:t>
      </w:r>
      <w:r>
        <w:rPr>
          <w:rFonts w:hint="eastAsia" w:ascii="宋体" w:hAnsi="宋体" w:eastAsia="宋体" w:cs="宋体"/>
          <w:szCs w:val="15"/>
        </w:rPr>
        <w:t>约定情形的</w:t>
      </w:r>
      <w:r>
        <w:rPr>
          <w:rFonts w:hint="eastAsia" w:ascii="宋体" w:hAnsi="宋体" w:eastAsia="宋体"/>
          <w:szCs w:val="21"/>
        </w:rPr>
        <w:t>，履约保证金不予退还；如果乙方未能按合同约定全面履行义务，甲方有权从履约保证金中取得补偿或赔偿，且不影响甲方要求乙方承担合同约定的超过履约保证金的违约责任的权利。</w:t>
      </w:r>
    </w:p>
    <w:p>
      <w:pPr>
        <w:spacing w:line="400" w:lineRule="exact"/>
        <w:ind w:firstLine="420"/>
        <w:rPr>
          <w:rFonts w:eastAsia="宋体"/>
        </w:rPr>
      </w:pPr>
      <w:r>
        <w:rPr>
          <w:rFonts w:hint="eastAsia" w:ascii="宋体" w:hAnsi="宋体" w:eastAsia="宋体"/>
          <w:szCs w:val="21"/>
        </w:rPr>
        <w:t>13.3 甲方在项目通过验收后按照</w:t>
      </w:r>
      <w:r>
        <w:rPr>
          <w:rFonts w:hint="eastAsia" w:ascii="宋体" w:hAnsi="宋体" w:eastAsia="宋体"/>
          <w:b/>
          <w:szCs w:val="21"/>
        </w:rPr>
        <w:t>【政府采购合同专用条款】</w:t>
      </w:r>
      <w:r>
        <w:rPr>
          <w:rFonts w:hint="eastAsia" w:ascii="宋体" w:hAnsi="宋体" w:eastAsia="宋体"/>
          <w:szCs w:val="21"/>
        </w:rPr>
        <w:t>规定的时间内将履约保证金退还乙方；逾期退还的，乙方可要求甲方支付违约金，违约金按照</w:t>
      </w:r>
      <w:r>
        <w:rPr>
          <w:rFonts w:hint="eastAsia" w:ascii="宋体" w:hAnsi="宋体" w:eastAsia="宋体"/>
          <w:b/>
          <w:szCs w:val="21"/>
        </w:rPr>
        <w:t>【政府采购合同专用条款】</w:t>
      </w:r>
      <w:r>
        <w:rPr>
          <w:rFonts w:hint="eastAsia" w:ascii="宋体" w:hAnsi="宋体" w:eastAsia="宋体"/>
          <w:szCs w:val="21"/>
        </w:rPr>
        <w:t>规定支付。</w:t>
      </w:r>
    </w:p>
    <w:p>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bCs/>
          <w:sz w:val="24"/>
        </w:rPr>
        <w:t xml:space="preserve">14. </w:t>
      </w:r>
      <w:r>
        <w:rPr>
          <w:rFonts w:hint="eastAsia" w:eastAsia="宋体"/>
          <w:b/>
          <w:sz w:val="24"/>
        </w:rPr>
        <w:t>售后</w:t>
      </w:r>
      <w:r>
        <w:rPr>
          <w:rFonts w:hint="eastAsia" w:ascii="宋体" w:hAnsi="宋体" w:eastAsia="宋体"/>
          <w:b/>
          <w:sz w:val="24"/>
        </w:rPr>
        <w:t>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14.1 除项目不涉及或采购活动中明确约定无须承担外，乙方还应提供下列服务：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（1）货物的现场移动、安装、调试、启动监督及技术支持；</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（2）提供货物组装和维修所需的专用工具和辅助材料；</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（3）在</w:t>
      </w:r>
      <w:r>
        <w:rPr>
          <w:rFonts w:hint="eastAsia" w:ascii="宋体" w:hAnsi="宋体" w:eastAsia="宋体" w:cs="宋体"/>
          <w:b/>
          <w:bCs/>
          <w:szCs w:val="15"/>
        </w:rPr>
        <w:t>【政府采购合同专用条款】</w:t>
      </w:r>
      <w:r>
        <w:rPr>
          <w:rFonts w:hint="eastAsia" w:ascii="宋体" w:hAnsi="宋体" w:eastAsia="宋体"/>
          <w:szCs w:val="21"/>
        </w:rPr>
        <w:t>约定的期限内对所有的货物实施运行监督、维修，但前提条件是该服务并不能免除乙方在质量保证期内所承担的义务；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（4）在制造商所在地或指定现场就货物的安装、启动、运营、维护、废弃处置等对甲方操作人员进行培训</w:t>
      </w:r>
      <w:r>
        <w:rPr>
          <w:rFonts w:hint="eastAsia" w:ascii="宋体" w:hAnsi="宋体" w:eastAsia="宋体" w:cs="宋体"/>
          <w:szCs w:val="15"/>
        </w:rPr>
        <w:t>；</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（5）依照法律、行政法规的规定或者按照</w:t>
      </w:r>
      <w:r>
        <w:rPr>
          <w:rFonts w:hint="eastAsia" w:ascii="宋体" w:hAnsi="宋体" w:eastAsia="宋体" w:cs="宋体"/>
          <w:b/>
          <w:bCs/>
          <w:szCs w:val="21"/>
        </w:rPr>
        <w:t>【政府采购合同专用条款】</w:t>
      </w:r>
      <w:r>
        <w:rPr>
          <w:rFonts w:hint="eastAsia" w:ascii="宋体" w:hAnsi="宋体" w:eastAsia="宋体" w:cs="宋体"/>
          <w:szCs w:val="21"/>
        </w:rPr>
        <w:t>约定，货物在有效使用年限届满后应予回收的，乙方负有自行或者委托第三人对货物予以回收的义务；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（6）</w:t>
      </w:r>
      <w:r>
        <w:rPr>
          <w:rFonts w:hint="eastAsia" w:ascii="宋体" w:hAnsi="宋体" w:eastAsia="宋体"/>
          <w:b/>
          <w:szCs w:val="21"/>
        </w:rPr>
        <w:t>【政府采购合同专用条款】</w:t>
      </w:r>
      <w:r>
        <w:rPr>
          <w:rFonts w:hint="eastAsia" w:ascii="宋体" w:hAnsi="宋体" w:eastAsia="宋体"/>
          <w:szCs w:val="21"/>
        </w:rPr>
        <w:t>规定由乙方提供的其他服务。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14.2 乙方提供的售后服务的费用已包含在合同价款中，甲方不再另行支付。</w:t>
      </w:r>
    </w:p>
    <w:p>
      <w:p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15. 违约责任</w:t>
      </w:r>
    </w:p>
    <w:p>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15.1质量瑕疵的违约责任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乙方提供的产品不符合合同约定的质量标准或存在产品质量缺陷，甲方有权要求乙方根据</w:t>
      </w:r>
      <w:r>
        <w:rPr>
          <w:rFonts w:hint="eastAsia" w:ascii="宋体" w:hAnsi="宋体" w:eastAsia="宋体"/>
          <w:b/>
          <w:szCs w:val="21"/>
        </w:rPr>
        <w:t>【政府采购合同专用条款】</w:t>
      </w:r>
      <w:r>
        <w:rPr>
          <w:rFonts w:hint="eastAsia" w:ascii="宋体" w:hAnsi="宋体" w:eastAsia="宋体"/>
          <w:bCs/>
          <w:szCs w:val="21"/>
        </w:rPr>
        <w:t>要求</w:t>
      </w:r>
      <w:r>
        <w:rPr>
          <w:rFonts w:hint="eastAsia" w:ascii="宋体" w:hAnsi="宋体" w:eastAsia="宋体"/>
          <w:szCs w:val="21"/>
        </w:rPr>
        <w:t>及时修理、重作、更换，并承担由此给甲方造成的损失。</w:t>
      </w:r>
    </w:p>
    <w:p>
      <w:pPr>
        <w:autoSpaceDE w:val="0"/>
        <w:autoSpaceDN w:val="0"/>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15.2 迟延交货的违约责任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（2）如果乙方没有按照合同规定的时间交货和提供相关服务，甲方有权从货款中扣除误期赔偿费而不影响合同项下的其他补救方法，赔偿费按</w:t>
      </w:r>
      <w:r>
        <w:rPr>
          <w:rFonts w:hint="eastAsia" w:ascii="宋体" w:hAnsi="宋体" w:eastAsia="宋体"/>
          <w:b/>
          <w:szCs w:val="21"/>
        </w:rPr>
        <w:t>【政府采购合同专用条款】</w:t>
      </w:r>
      <w:r>
        <w:rPr>
          <w:rFonts w:hint="eastAsia" w:ascii="宋体" w:hAnsi="宋体" w:eastAsia="宋体"/>
          <w:szCs w:val="21"/>
        </w:rPr>
        <w:t>规定执行。如果涉及公共利益，且赔偿金额无法弥补公共利益损失，甲方可要求继续履行或者采取其他补救措施。</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15.3 迟延支付的违约责任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甲方存在迟延支付乙方合同款项的，应当承担</w:t>
      </w:r>
      <w:r>
        <w:rPr>
          <w:rFonts w:hint="eastAsia" w:ascii="宋体" w:hAnsi="宋体" w:eastAsia="宋体"/>
          <w:b/>
          <w:bCs/>
          <w:szCs w:val="21"/>
        </w:rPr>
        <w:t>【政府采购合同专用条款】</w:t>
      </w:r>
      <w:r>
        <w:rPr>
          <w:rFonts w:hint="eastAsia" w:ascii="宋体" w:hAnsi="宋体" w:eastAsia="宋体"/>
          <w:szCs w:val="21"/>
        </w:rPr>
        <w:t>规定的逾期付款利息。</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bCs/>
          <w:szCs w:val="21"/>
        </w:rPr>
        <w:t>15.4其他违约责任根据项目实际需要按</w:t>
      </w:r>
      <w:r>
        <w:rPr>
          <w:rFonts w:hint="eastAsia" w:ascii="宋体" w:hAnsi="宋体" w:eastAsia="宋体"/>
          <w:b/>
          <w:bCs/>
          <w:szCs w:val="21"/>
        </w:rPr>
        <w:t>【政府采购合同专用条款】</w:t>
      </w:r>
      <w:r>
        <w:rPr>
          <w:rFonts w:hint="eastAsia" w:ascii="宋体" w:hAnsi="宋体" w:eastAsia="宋体"/>
          <w:szCs w:val="21"/>
        </w:rPr>
        <w:t>规定执行。</w:t>
      </w:r>
    </w:p>
    <w:p>
      <w:pPr>
        <w:numPr>
          <w:ilvl w:val="0"/>
          <w:numId w:val="1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合同变更、中止与终止</w:t>
      </w:r>
    </w:p>
    <w:p>
      <w:pPr>
        <w:adjustRightInd w:val="0"/>
        <w:snapToGrid w:val="0"/>
        <w:spacing w:line="400" w:lineRule="exact"/>
        <w:jc w:val="left"/>
        <w:rPr>
          <w:rFonts w:hint="eastAsia" w:ascii="宋体" w:hAnsi="宋体" w:eastAsia="宋体"/>
          <w:szCs w:val="21"/>
        </w:rPr>
      </w:pPr>
      <w:r>
        <w:rPr>
          <w:rFonts w:hint="eastAsia" w:ascii="宋体" w:hAnsi="宋体" w:eastAsia="宋体"/>
          <w:szCs w:val="21"/>
        </w:rPr>
        <w:t xml:space="preserve">    16.1合同的变更</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政府采购合同履行中，在不改变合同其他条款的前提下，甲方可以在合同价款10%的范围内追加与合同标的相同的货物，并就此与乙方协商一致后签订补充协议。</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16.2合同的中止</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（1）合同履行过程中因供应商就采购文件、采购过程或结果提起投诉的，甲方认为有必要的，可以中止合同的履行。</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（3）乙方分立、合并或者变更住所的，应当及时以书面形式告知甲方。乙方没有及时告知甲方，致使合同履行发生困难的，甲方可以中止合同履行并要求乙方承担由此给甲方造成的损失。</w:t>
      </w:r>
    </w:p>
    <w:p>
      <w:pPr>
        <w:snapToGrid w:val="0"/>
        <w:spacing w:line="400" w:lineRule="exact"/>
        <w:ind w:firstLine="420" w:firstLineChars="200"/>
        <w:jc w:val="left"/>
        <w:rPr>
          <w:rFonts w:eastAsia="宋体"/>
        </w:rPr>
      </w:pPr>
      <w:r>
        <w:rPr>
          <w:rFonts w:hint="eastAsia" w:ascii="宋体" w:hAnsi="宋体" w:eastAsia="宋体"/>
          <w:szCs w:val="21"/>
        </w:rPr>
        <w:t>（4）甲方不得以行政区划调整、政府换届、机构或者职能调整以及相关责任人更替为由中止合同。</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16.3合同的终止</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（1）合同因有效期限届满而终止；</w:t>
      </w:r>
    </w:p>
    <w:p>
      <w:pPr>
        <w:snapToGrid w:val="0"/>
        <w:spacing w:line="400" w:lineRule="exact"/>
        <w:ind w:firstLine="420" w:firstLineChars="200"/>
        <w:rPr>
          <w:rFonts w:hint="eastAsia" w:ascii="宋体" w:hAnsi="宋体" w:eastAsia="宋体" w:cs="宋体"/>
          <w:szCs w:val="21"/>
        </w:rPr>
      </w:pPr>
      <w:r>
        <w:rPr>
          <w:rFonts w:hint="eastAsia" w:ascii="宋体" w:hAnsi="宋体" w:eastAsia="宋体"/>
          <w:szCs w:val="21"/>
        </w:rPr>
        <w:t>（2）乙方未按合同约定履行，构成根本性违约的，甲方有权终止合同，</w:t>
      </w:r>
      <w:r>
        <w:rPr>
          <w:rFonts w:hint="eastAsia" w:ascii="宋体" w:hAnsi="宋体" w:eastAsia="宋体" w:cs="宋体"/>
          <w:szCs w:val="21"/>
        </w:rPr>
        <w:t>并追究乙方的违约责任</w:t>
      </w:r>
      <w:r>
        <w:rPr>
          <w:rFonts w:hint="eastAsia" w:ascii="宋体" w:hAnsi="宋体" w:eastAsia="宋体"/>
          <w:szCs w:val="21"/>
        </w:rPr>
        <w:t>。</w:t>
      </w:r>
    </w:p>
    <w:p>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eastAsia="宋体" w:cs="Times New Roman"/>
          <w:szCs w:val="21"/>
        </w:rPr>
        <w:t>涉及国家利益、社会公共利益的情形</w:t>
      </w:r>
    </w:p>
    <w:p>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eastAsia="宋体" w:cs="宋体"/>
          <w:szCs w:val="21"/>
        </w:rPr>
        <w:t>政府采购合同继续履行将损害国家利益和社会公共利益的，双方当事人应当变更、中止或者终止合同。有过错的一方应当承担赔偿责任，双方都有过错的，各自承担相应的责任。</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17. 合同分包</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17.1 乙方不得将合同转包给其他供应商。涉及合同分包的，乙方应根据采购文件和投标（响应）文件规定进行合同分包。</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17.2 乙方执行政府采购政策向中小企业依法分包的，乙方应当按采购文件和投标（响应）文件签订分包意向协议，分包意向协议属于本合同组成部分。</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18. 不可抗力</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18.1 不可抗力是指合同双方不能预见、不能避免且不能克服的客观情况。</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18.2 任何一方对由于不可抗力造成的部分或全部不能履行合同不承担违约责任。但迟延履行后发生不可抗力的，不能免除责任。</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pPr>
        <w:autoSpaceDE w:val="0"/>
        <w:autoSpaceDN w:val="0"/>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19. 解决争议的方法</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19.2 选择仲裁的，应在</w:t>
      </w:r>
      <w:r>
        <w:rPr>
          <w:rFonts w:hint="eastAsia" w:ascii="宋体" w:hAnsi="宋体" w:eastAsia="宋体" w:cs="宋体"/>
          <w:b/>
          <w:bCs/>
          <w:szCs w:val="21"/>
        </w:rPr>
        <w:t>【政府采购合同专用条款】</w:t>
      </w:r>
      <w:r>
        <w:rPr>
          <w:rFonts w:hint="eastAsia" w:ascii="宋体" w:hAnsi="宋体" w:eastAsia="宋体" w:cs="宋体"/>
          <w:szCs w:val="21"/>
        </w:rPr>
        <w:t>中明确仲裁机构及仲裁地；通过诉讼方式解决的，可以在</w:t>
      </w:r>
      <w:r>
        <w:rPr>
          <w:rFonts w:hint="eastAsia" w:ascii="宋体" w:hAnsi="宋体" w:eastAsia="宋体" w:cs="宋体"/>
          <w:b/>
          <w:bCs/>
          <w:szCs w:val="21"/>
        </w:rPr>
        <w:t>【政府采购合同专用条款】</w:t>
      </w:r>
      <w:r>
        <w:rPr>
          <w:rFonts w:hint="eastAsia" w:ascii="宋体" w:hAnsi="宋体" w:eastAsia="宋体" w:cs="宋体"/>
          <w:szCs w:val="21"/>
        </w:rPr>
        <w:t>中进一步约定选择与争议有实际联系的地点的人民法院管辖，但管辖法院的约定不得违反级别管辖和专属管辖的规定。</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19.3 如甲乙双方有争议的事项不影响合同其他部分的履行，在争议解决期间，合同其他部分应当继续履行。</w:t>
      </w:r>
    </w:p>
    <w:p>
      <w:pPr>
        <w:autoSpaceDE w:val="0"/>
        <w:autoSpaceDN w:val="0"/>
        <w:adjustRightInd w:val="0"/>
        <w:snapToGrid w:val="0"/>
        <w:spacing w:line="400" w:lineRule="exact"/>
        <w:jc w:val="left"/>
        <w:rPr>
          <w:rFonts w:hint="eastAsia" w:ascii="宋体" w:hAnsi="宋体" w:eastAsia="宋体"/>
          <w:sz w:val="24"/>
        </w:rPr>
      </w:pPr>
      <w:r>
        <w:rPr>
          <w:rFonts w:hint="eastAsia" w:ascii="宋体" w:hAnsi="宋体" w:eastAsia="宋体"/>
          <w:b/>
          <w:sz w:val="24"/>
        </w:rPr>
        <w:t>20. 政府采购政策</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 xml:space="preserve">20.1 </w:t>
      </w:r>
      <w:r>
        <w:rPr>
          <w:rFonts w:hint="eastAsia" w:ascii="宋体" w:hAnsi="宋体" w:eastAsia="宋体" w:cs="宋体"/>
          <w:lang w:val="en-GB"/>
        </w:rPr>
        <w:t>本合同应当按照规定执行政府采购政策。</w:t>
      </w:r>
    </w:p>
    <w:p>
      <w:pPr>
        <w:autoSpaceDE w:val="0"/>
        <w:autoSpaceDN w:val="0"/>
        <w:adjustRightInd w:val="0"/>
        <w:snapToGrid w:val="0"/>
        <w:spacing w:line="400" w:lineRule="exact"/>
        <w:ind w:firstLine="420" w:firstLineChars="200"/>
        <w:jc w:val="left"/>
        <w:rPr>
          <w:rFonts w:hint="eastAsia" w:ascii="宋体" w:hAnsi="宋体" w:eastAsia="宋体"/>
          <w:szCs w:val="21"/>
        </w:rPr>
      </w:pPr>
      <w:r>
        <w:rPr>
          <w:rFonts w:ascii="宋体" w:hAnsi="宋体" w:eastAsia="宋体"/>
          <w:szCs w:val="21"/>
        </w:rPr>
        <w:t>2</w:t>
      </w:r>
      <w:r>
        <w:rPr>
          <w:rFonts w:hint="eastAsia" w:ascii="宋体" w:hAnsi="宋体" w:eastAsia="宋体"/>
          <w:szCs w:val="21"/>
        </w:rPr>
        <w:t>0.2 本合同依法执行政府采购政策的方式和内容，属于合同履约验收的范围。</w:t>
      </w:r>
      <w:r>
        <w:rPr>
          <w:rFonts w:hint="eastAsia" w:ascii="宋体" w:hAnsi="宋体" w:eastAsia="宋体" w:cs="宋体"/>
        </w:rPr>
        <w:t>甲乙双方</w:t>
      </w:r>
      <w:r>
        <w:rPr>
          <w:rFonts w:hint="eastAsia" w:ascii="宋体" w:hAnsi="宋体" w:eastAsia="宋体" w:cs="宋体"/>
          <w:lang w:val="en-GB"/>
        </w:rPr>
        <w:t>未按规定要求执行政府采购政策造成损失的</w:t>
      </w:r>
      <w:r>
        <w:rPr>
          <w:rFonts w:hint="eastAsia" w:ascii="宋体" w:hAnsi="宋体" w:eastAsia="宋体"/>
          <w:szCs w:val="21"/>
        </w:rPr>
        <w:t>，有过错的一方应当承担赔偿责任，双方都有过错的，各自承担相应的责任。</w:t>
      </w:r>
    </w:p>
    <w:p>
      <w:pPr>
        <w:spacing w:line="400" w:lineRule="exact"/>
        <w:ind w:firstLine="420" w:firstLineChars="200"/>
        <w:rPr>
          <w:rFonts w:ascii="Calibri" w:hAnsi="Calibri" w:eastAsia="宋体" w:cs="Times New Roman"/>
        </w:rPr>
      </w:pPr>
      <w:r>
        <w:rPr>
          <w:rFonts w:ascii="宋体" w:hAnsi="宋体" w:eastAsia="宋体" w:cs="Times New Roman"/>
          <w:szCs w:val="21"/>
        </w:rPr>
        <w:t>2</w:t>
      </w:r>
      <w:r>
        <w:rPr>
          <w:rFonts w:hint="eastAsia" w:ascii="宋体" w:hAnsi="宋体" w:eastAsia="宋体" w:cs="Times New Roman"/>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p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21. 法律适用</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21.1 本合同的订立、生效、解释、履行及与本合同有关的争议解决，均适用法律、行政法规。</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21.2 本合同条款与法律、行政法规的强制性规定不一致的，双方当事人应按照法律、行政法规的强制性规定修改本合同的相关条款。</w:t>
      </w:r>
    </w:p>
    <w:p>
      <w:pPr>
        <w:numPr>
          <w:ilvl w:val="255"/>
          <w:numId w:val="0"/>
        </w:numPr>
        <w:autoSpaceDE w:val="0"/>
        <w:autoSpaceDN w:val="0"/>
        <w:adjustRightInd w:val="0"/>
        <w:snapToGrid w:val="0"/>
        <w:spacing w:line="400" w:lineRule="exact"/>
        <w:jc w:val="left"/>
        <w:rPr>
          <w:rFonts w:hint="eastAsia" w:ascii="宋体" w:hAnsi="宋体" w:eastAsia="宋体"/>
          <w:b/>
          <w:sz w:val="24"/>
        </w:rPr>
      </w:pPr>
      <w:r>
        <w:rPr>
          <w:rFonts w:hint="eastAsia" w:ascii="宋体" w:hAnsi="宋体" w:eastAsia="宋体"/>
          <w:b/>
          <w:sz w:val="24"/>
        </w:rPr>
        <w:t>22. 通知</w:t>
      </w:r>
    </w:p>
    <w:p>
      <w:pPr>
        <w:autoSpaceDE w:val="0"/>
        <w:autoSpaceDN w:val="0"/>
        <w:adjustRightInd w:val="0"/>
        <w:spacing w:line="400" w:lineRule="exact"/>
        <w:ind w:firstLine="420" w:firstLineChars="200"/>
        <w:rPr>
          <w:rFonts w:hint="eastAsia" w:ascii="宋体" w:hAnsi="宋体" w:eastAsia="宋体" w:cs="宋体"/>
          <w:szCs w:val="21"/>
        </w:rPr>
      </w:pPr>
      <w:r>
        <w:rPr>
          <w:rFonts w:hint="eastAsia" w:ascii="宋体" w:hAnsi="宋体" w:eastAsia="宋体" w:cs="宋体"/>
          <w:szCs w:val="21"/>
        </w:rPr>
        <w:t>22.1 本合同任何一方向对方发出的通知、信件、数据电文等，应当发送至本合同第一部分《政府采购合同协议书》所约定的通讯地址、联系人、联系电话或电子邮箱。</w:t>
      </w:r>
    </w:p>
    <w:p>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eastAsia="宋体" w:cs="宋体"/>
          <w:szCs w:val="21"/>
        </w:rPr>
        <w:t xml:space="preserve">    22.2 一方当事人变更名称、住所、联系人、联系电话或电子邮箱等信息的，应当在变更后3日内及时书面通知对方，对方实际收到变更通知前的送达仍为有效送达。</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22.3本合同一方给另一方的通知均应采用书面形式，传真或快递送到本合同中规定的对方的地址和办理签收手续。</w:t>
      </w:r>
    </w:p>
    <w:p>
      <w:pPr>
        <w:adjustRightInd w:val="0"/>
        <w:snapToGrid w:val="0"/>
        <w:spacing w:line="400" w:lineRule="exact"/>
        <w:ind w:firstLine="420" w:firstLineChars="200"/>
        <w:jc w:val="left"/>
        <w:rPr>
          <w:rFonts w:hint="eastAsia" w:ascii="宋体" w:hAnsi="宋体" w:eastAsia="宋体"/>
          <w:szCs w:val="21"/>
        </w:rPr>
      </w:pPr>
      <w:r>
        <w:rPr>
          <w:rFonts w:hint="eastAsia" w:ascii="宋体" w:hAnsi="宋体" w:eastAsia="宋体"/>
          <w:szCs w:val="21"/>
        </w:rPr>
        <w:t>22.4通知以送达之日或通知书中规定的生效之日起生效，两者中以较迟之日为准。</w:t>
      </w:r>
    </w:p>
    <w:p>
      <w:pPr>
        <w:numPr>
          <w:ilvl w:val="0"/>
          <w:numId w:val="11"/>
        </w:numPr>
        <w:adjustRightInd w:val="0"/>
        <w:snapToGrid w:val="0"/>
        <w:spacing w:line="400" w:lineRule="exact"/>
        <w:jc w:val="left"/>
        <w:rPr>
          <w:rFonts w:hint="eastAsia" w:ascii="宋体" w:hAnsi="宋体" w:eastAsia="宋体"/>
          <w:b/>
          <w:bCs/>
          <w:sz w:val="24"/>
        </w:rPr>
      </w:pPr>
      <w:r>
        <w:rPr>
          <w:rFonts w:hint="eastAsia" w:ascii="宋体" w:hAnsi="宋体" w:eastAsia="宋体"/>
          <w:b/>
          <w:bCs/>
          <w:sz w:val="24"/>
        </w:rPr>
        <w:t>合同未尽事项</w:t>
      </w:r>
    </w:p>
    <w:p>
      <w:pPr>
        <w:adjustRightInd w:val="0"/>
        <w:snapToGrid w:val="0"/>
        <w:spacing w:line="400" w:lineRule="exact"/>
        <w:ind w:firstLine="420" w:firstLineChars="200"/>
        <w:jc w:val="left"/>
        <w:rPr>
          <w:rFonts w:hint="eastAsia" w:ascii="宋体" w:hAnsi="宋体" w:eastAsia="宋体"/>
          <w:bCs/>
          <w:szCs w:val="21"/>
        </w:rPr>
      </w:pPr>
      <w:r>
        <w:rPr>
          <w:rFonts w:hint="eastAsia" w:ascii="宋体" w:hAnsi="宋体" w:eastAsia="宋体"/>
          <w:bCs/>
          <w:szCs w:val="21"/>
        </w:rPr>
        <w:t>23.1合同未尽事项见</w:t>
      </w:r>
      <w:r>
        <w:rPr>
          <w:rFonts w:hint="eastAsia" w:ascii="宋体" w:hAnsi="宋体" w:eastAsia="宋体"/>
          <w:b/>
          <w:szCs w:val="21"/>
        </w:rPr>
        <w:t>【政府采购合同专用条款】</w:t>
      </w:r>
      <w:r>
        <w:rPr>
          <w:rFonts w:hint="eastAsia" w:ascii="宋体" w:hAnsi="宋体" w:eastAsia="宋体"/>
          <w:bCs/>
          <w:szCs w:val="21"/>
        </w:rPr>
        <w:t>。</w:t>
      </w:r>
    </w:p>
    <w:p>
      <w:pPr>
        <w:adjustRightInd w:val="0"/>
        <w:snapToGrid w:val="0"/>
        <w:spacing w:line="400" w:lineRule="exact"/>
        <w:jc w:val="left"/>
        <w:rPr>
          <w:rFonts w:hint="eastAsia" w:ascii="黑体" w:hAnsi="华文中宋" w:eastAsia="黑体"/>
          <w:sz w:val="28"/>
          <w:szCs w:val="28"/>
        </w:rPr>
      </w:pPr>
      <w:r>
        <w:rPr>
          <w:rFonts w:hint="eastAsia" w:ascii="宋体" w:hAnsi="宋体" w:eastAsia="宋体"/>
          <w:bCs/>
          <w:szCs w:val="21"/>
        </w:rPr>
        <w:t xml:space="preserve">    23.2 合同附件与合同正文具有同等的法律效力。</w:t>
      </w:r>
      <w:bookmarkStart w:id="57" w:name="_Toc20313"/>
    </w:p>
    <w:p>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pPr>
        <w:keepNext/>
        <w:keepLines/>
        <w:adjustRightInd w:val="0"/>
        <w:snapToGrid w:val="0"/>
        <w:spacing w:line="360" w:lineRule="auto"/>
        <w:jc w:val="center"/>
        <w:outlineLvl w:val="1"/>
        <w:rPr>
          <w:rFonts w:hint="eastAsia" w:ascii="黑体" w:hAnsi="华文中宋" w:eastAsia="黑体" w:cs="Times New Roman"/>
          <w:sz w:val="28"/>
          <w:szCs w:val="28"/>
        </w:rPr>
      </w:pPr>
      <w:r>
        <w:rPr>
          <w:rFonts w:hint="eastAsia" w:ascii="黑体" w:hAnsi="华文中宋" w:eastAsia="黑体" w:cs="Times New Roman"/>
          <w:sz w:val="28"/>
          <w:szCs w:val="28"/>
        </w:rPr>
        <w:t>第三节 政府采购合同专用条款</w:t>
      </w:r>
      <w:bookmarkEnd w:id="57"/>
    </w:p>
    <w:tbl>
      <w:tblPr>
        <w:tblStyle w:val="18"/>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第1.2（6）项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联合体具体要求</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cs="Times New Roman"/>
                <w:szCs w:val="21"/>
              </w:rPr>
            </w:pPr>
            <w:r>
              <w:rPr>
                <w:rFonts w:hint="eastAsia" w:ascii="宋体" w:hAnsi="宋体" w:eastAsia="宋体"/>
                <w:szCs w:val="21"/>
              </w:rPr>
              <w:t>第1.2（7）项</w:t>
            </w:r>
          </w:p>
        </w:tc>
        <w:tc>
          <w:tcPr>
            <w:tcW w:w="1742" w:type="dxa"/>
            <w:vAlign w:val="center"/>
          </w:tcPr>
          <w:p>
            <w:pPr>
              <w:adjustRightInd w:val="0"/>
              <w:snapToGrid w:val="0"/>
              <w:jc w:val="left"/>
              <w:rPr>
                <w:rFonts w:hint="eastAsia" w:ascii="宋体" w:hAnsi="宋体" w:eastAsia="宋体" w:cs="Times New Roman"/>
                <w:szCs w:val="21"/>
              </w:rPr>
            </w:pPr>
            <w:r>
              <w:rPr>
                <w:rFonts w:hint="eastAsia" w:ascii="宋体" w:hAnsi="宋体" w:eastAsia="宋体"/>
                <w:szCs w:val="21"/>
              </w:rPr>
              <w:t>其他术语解释</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第4.4款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履约验收中甲方提出异议或作出说明的期限</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第4.6款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约定甲方承担的其他义务和责任</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snapToGrid w:val="0"/>
              <w:jc w:val="center"/>
              <w:rPr>
                <w:rFonts w:eastAsia="宋体"/>
              </w:rPr>
            </w:pPr>
            <w:r>
              <w:rPr>
                <w:rFonts w:hint="eastAsia" w:ascii="宋体" w:hAnsi="宋体" w:eastAsia="宋体"/>
                <w:szCs w:val="21"/>
              </w:rPr>
              <w:t>第5.4款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约定乙方承担的其他义务和责任</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snapToGrid w:val="0"/>
              <w:jc w:val="center"/>
              <w:rPr>
                <w:rFonts w:hint="eastAsia" w:ascii="宋体" w:hAnsi="宋体" w:eastAsia="宋体"/>
                <w:szCs w:val="21"/>
              </w:rPr>
            </w:pPr>
            <w:r>
              <w:rPr>
                <w:rFonts w:hint="eastAsia" w:ascii="宋体" w:hAnsi="宋体" w:eastAsia="宋体"/>
                <w:szCs w:val="21"/>
              </w:rPr>
              <w:t>第6.1款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履行合同义务的顺序</w:t>
            </w:r>
          </w:p>
        </w:tc>
        <w:tc>
          <w:tcPr>
            <w:tcW w:w="5170" w:type="dxa"/>
            <w:vAlign w:val="center"/>
          </w:tcPr>
          <w:p>
            <w:pPr>
              <w:adjustRightInd w:val="0"/>
              <w:snapToGrid w:val="0"/>
              <w:jc w:val="left"/>
              <w:rPr>
                <w:rFonts w:hint="eastAsia" w:ascii="宋体" w:hAnsi="宋体" w:eastAsia="宋体" w:cs="Times New Roman"/>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包装特殊要求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pPr>
              <w:adjustRightInd w:val="0"/>
              <w:snapToGrid w:val="0"/>
              <w:jc w:val="center"/>
              <w:rPr>
                <w:rFonts w:hint="eastAsia" w:ascii="宋体" w:hAnsi="宋体" w:eastAsia="宋体"/>
                <w:szCs w:val="21"/>
              </w:rPr>
            </w:pP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指定现场</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运输特殊要求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第7.3款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保险要求</w:t>
            </w:r>
          </w:p>
        </w:tc>
        <w:tc>
          <w:tcPr>
            <w:tcW w:w="5170" w:type="dxa"/>
            <w:vAlign w:val="center"/>
          </w:tcPr>
          <w:p>
            <w:pPr>
              <w:rPr>
                <w:rFonts w:eastAsia="宋体"/>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第8.2（1）项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质量保证期</w:t>
            </w:r>
          </w:p>
        </w:tc>
        <w:tc>
          <w:tcPr>
            <w:tcW w:w="5170" w:type="dxa"/>
            <w:vAlign w:val="center"/>
          </w:tcPr>
          <w:p>
            <w:pPr>
              <w:autoSpaceDE w:val="0"/>
              <w:autoSpaceDN w:val="0"/>
              <w:adjustRightInd w:val="0"/>
              <w:snapToGrid w:val="0"/>
              <w:ind w:firstLine="420" w:firstLineChars="20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第8.2（3）项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货物质量缺陷</w:t>
            </w:r>
          </w:p>
          <w:p>
            <w:pPr>
              <w:adjustRightInd w:val="0"/>
              <w:snapToGrid w:val="0"/>
              <w:jc w:val="left"/>
              <w:rPr>
                <w:rFonts w:hint="eastAsia" w:ascii="宋体" w:hAnsi="宋体" w:eastAsia="宋体"/>
                <w:szCs w:val="21"/>
              </w:rPr>
            </w:pPr>
            <w:r>
              <w:rPr>
                <w:rFonts w:hint="eastAsia" w:ascii="宋体" w:hAnsi="宋体" w:eastAsia="宋体"/>
                <w:szCs w:val="21"/>
              </w:rPr>
              <w:t>响应时间</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snapToGrid w:val="0"/>
              <w:jc w:val="center"/>
              <w:rPr>
                <w:rFonts w:hint="eastAsia" w:ascii="宋体" w:hAnsi="宋体" w:eastAsia="宋体" w:cs="宋体"/>
                <w:szCs w:val="21"/>
              </w:rPr>
            </w:pPr>
            <w:r>
              <w:rPr>
                <w:rFonts w:hint="eastAsia" w:ascii="宋体" w:hAnsi="宋体" w:eastAsia="宋体" w:cs="宋体"/>
                <w:szCs w:val="21"/>
              </w:rPr>
              <w:t>第二节</w:t>
            </w:r>
          </w:p>
          <w:p>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eastAsia="宋体" w:cs="宋体"/>
                <w:sz w:val="22"/>
                <w:szCs w:val="21"/>
              </w:rPr>
              <w:t>第11.1款</w:t>
            </w:r>
          </w:p>
        </w:tc>
        <w:tc>
          <w:tcPr>
            <w:tcW w:w="1742" w:type="dxa"/>
            <w:vAlign w:val="center"/>
          </w:tcPr>
          <w:p>
            <w:pPr>
              <w:adjustRightInd w:val="0"/>
              <w:snapToGrid w:val="0"/>
              <w:rPr>
                <w:rFonts w:hint="eastAsia" w:ascii="宋体" w:hAnsi="宋体" w:eastAsia="宋体"/>
                <w:szCs w:val="21"/>
              </w:rPr>
            </w:pPr>
            <w:r>
              <w:rPr>
                <w:rFonts w:hint="eastAsia" w:ascii="宋体" w:hAnsi="宋体" w:eastAsia="宋体"/>
                <w:szCs w:val="21"/>
              </w:rPr>
              <w:t>其他应当保密的信息</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第12.2款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合同价款支付时间</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第13.2款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履约保证金不予退还的情形</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第13.3款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履约保证金退还时间及逾期退还的违约金</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第14.1（3）项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运行监督、维修期限</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第14.1（5）项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货物回收的约定</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第14.1（6）项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乙方提供的其他服务</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修理、重作、更换相关具体规定</w:t>
            </w:r>
          </w:p>
        </w:tc>
        <w:tc>
          <w:tcPr>
            <w:tcW w:w="5170" w:type="dxa"/>
            <w:vAlign w:val="center"/>
          </w:tcPr>
          <w:p>
            <w:pPr>
              <w:adjustRightInd w:val="0"/>
              <w:snapToGrid w:val="0"/>
              <w:jc w:val="left"/>
              <w:rPr>
                <w:rFonts w:hint="eastAsia" w:ascii="宋体" w:hAnsi="宋体" w:eastAsia="宋体"/>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第15.2（2）项</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迟延交货赔偿费</w:t>
            </w:r>
          </w:p>
        </w:tc>
        <w:tc>
          <w:tcPr>
            <w:tcW w:w="5170" w:type="dxa"/>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第15.3款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szCs w:val="21"/>
              </w:rPr>
              <w:t>逾期付款利息</w:t>
            </w:r>
          </w:p>
        </w:tc>
        <w:tc>
          <w:tcPr>
            <w:tcW w:w="5170" w:type="dxa"/>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第15.4款</w:t>
            </w:r>
          </w:p>
        </w:tc>
        <w:tc>
          <w:tcPr>
            <w:tcW w:w="1742" w:type="dxa"/>
            <w:tcBorders>
              <w:left w:val="single" w:color="auto" w:sz="2" w:space="0"/>
              <w:bottom w:val="single" w:color="auto" w:sz="2" w:space="0"/>
              <w:right w:val="single" w:color="auto" w:sz="2" w:space="0"/>
            </w:tcBorders>
            <w:vAlign w:val="center"/>
          </w:tcPr>
          <w:p>
            <w:pPr>
              <w:adjustRightInd w:val="0"/>
              <w:snapToGrid w:val="0"/>
              <w:jc w:val="left"/>
              <w:rPr>
                <w:rFonts w:hint="eastAsia" w:ascii="宋体" w:hAnsi="宋体" w:eastAsia="宋体"/>
                <w:szCs w:val="21"/>
              </w:rPr>
            </w:pPr>
            <w:r>
              <w:rPr>
                <w:rFonts w:hint="eastAsia" w:ascii="宋体" w:hAnsi="宋体" w:eastAsia="宋体"/>
                <w:szCs w:val="21"/>
              </w:rPr>
              <w:t>其他违约责任</w:t>
            </w:r>
          </w:p>
        </w:tc>
        <w:tc>
          <w:tcPr>
            <w:tcW w:w="5170" w:type="dxa"/>
            <w:tcBorders>
              <w:left w:val="single" w:color="auto" w:sz="2" w:space="0"/>
              <w:bottom w:val="single" w:color="auto" w:sz="2" w:space="0"/>
            </w:tcBorders>
            <w:vAlign w:val="center"/>
          </w:tcPr>
          <w:p>
            <w:pPr>
              <w:adjustRightInd w:val="0"/>
              <w:snapToGrid w:val="0"/>
              <w:jc w:val="left"/>
              <w:rPr>
                <w:rFonts w:hint="eastAsia" w:ascii="宋体" w:hAnsi="宋体" w:eastAsia="宋体"/>
                <w:szCs w:val="21"/>
                <w:u w:val="single"/>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第19.2款</w:t>
            </w:r>
          </w:p>
        </w:tc>
        <w:tc>
          <w:tcPr>
            <w:tcW w:w="1742" w:type="dxa"/>
            <w:tcBorders>
              <w:top w:val="single" w:color="auto" w:sz="2" w:space="0"/>
              <w:left w:val="single" w:color="auto" w:sz="2" w:space="0"/>
              <w:right w:val="single" w:color="auto" w:sz="2" w:space="0"/>
            </w:tcBorders>
            <w:vAlign w:val="center"/>
          </w:tcPr>
          <w:p>
            <w:pPr>
              <w:adjustRightInd w:val="0"/>
              <w:snapToGrid w:val="0"/>
              <w:jc w:val="left"/>
              <w:rPr>
                <w:rFonts w:hint="eastAsia" w:ascii="宋体" w:hAnsi="宋体" w:eastAsia="宋体"/>
                <w:szCs w:val="21"/>
              </w:rPr>
            </w:pPr>
            <w:r>
              <w:rPr>
                <w:rFonts w:hint="eastAsia" w:ascii="宋体" w:hAnsi="宋体" w:eastAsia="宋体"/>
                <w:szCs w:val="21"/>
              </w:rPr>
              <w:t>解决争议的方法</w:t>
            </w:r>
          </w:p>
        </w:tc>
        <w:tc>
          <w:tcPr>
            <w:tcW w:w="5170" w:type="dxa"/>
            <w:tcBorders>
              <w:top w:val="single" w:color="auto" w:sz="2" w:space="0"/>
              <w:left w:val="single" w:color="auto" w:sz="2" w:space="0"/>
            </w:tcBorders>
            <w:vAlign w:val="center"/>
          </w:tcPr>
          <w:p>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因本合同及合同有关事项发生的争议，按下列第</w:t>
            </w:r>
            <w:r>
              <w:rPr>
                <w:rFonts w:hint="eastAsia" w:ascii="宋体" w:hAnsi="宋体" w:eastAsia="宋体" w:cs="宋体"/>
                <w:iCs/>
                <w:szCs w:val="21"/>
                <w:u w:val="single"/>
              </w:rPr>
              <w:t xml:space="preserve">   </w:t>
            </w:r>
            <w:r>
              <w:rPr>
                <w:rFonts w:hint="eastAsia" w:ascii="宋体" w:hAnsi="宋体" w:eastAsia="宋体" w:cs="宋体"/>
                <w:iCs/>
                <w:szCs w:val="21"/>
              </w:rPr>
              <w:t>种方式解决：</w:t>
            </w:r>
          </w:p>
          <w:p>
            <w:pPr>
              <w:autoSpaceDE w:val="0"/>
              <w:autoSpaceDN w:val="0"/>
              <w:adjustRightInd w:val="0"/>
              <w:snapToGrid w:val="0"/>
              <w:spacing w:line="400" w:lineRule="exact"/>
              <w:jc w:val="left"/>
              <w:rPr>
                <w:rFonts w:hint="eastAsia" w:ascii="宋体" w:hAnsi="宋体" w:eastAsia="宋体" w:cs="宋体"/>
                <w:iCs/>
                <w:szCs w:val="21"/>
              </w:rPr>
            </w:pPr>
            <w:r>
              <w:rPr>
                <w:rFonts w:hint="eastAsia" w:ascii="宋体" w:hAnsi="宋体" w:eastAsia="宋体" w:cs="宋体"/>
                <w:iCs/>
                <w:szCs w:val="21"/>
              </w:rPr>
              <w:t>（1）向</w:t>
            </w:r>
            <w:r>
              <w:rPr>
                <w:rFonts w:hint="eastAsia" w:ascii="宋体" w:hAnsi="宋体" w:eastAsia="宋体" w:cs="宋体"/>
                <w:iCs/>
                <w:szCs w:val="21"/>
                <w:u w:val="single"/>
              </w:rPr>
              <w:t xml:space="preserve">                    </w:t>
            </w:r>
            <w:r>
              <w:rPr>
                <w:rFonts w:hint="eastAsia" w:ascii="宋体" w:hAnsi="宋体" w:eastAsia="宋体" w:cs="宋体"/>
                <w:iCs/>
                <w:szCs w:val="21"/>
              </w:rPr>
              <w:t>仲裁委员会申请仲裁，仲裁地点为</w:t>
            </w:r>
            <w:r>
              <w:rPr>
                <w:rFonts w:hint="eastAsia" w:ascii="宋体" w:hAnsi="宋体" w:eastAsia="宋体" w:cs="宋体"/>
                <w:iCs/>
                <w:szCs w:val="21"/>
                <w:u w:val="single"/>
              </w:rPr>
              <w:t xml:space="preserve">           </w:t>
            </w:r>
            <w:r>
              <w:rPr>
                <w:rFonts w:hint="eastAsia" w:ascii="宋体" w:hAnsi="宋体" w:eastAsia="宋体" w:cs="宋体"/>
                <w:iCs/>
                <w:szCs w:val="21"/>
              </w:rPr>
              <w:t>；</w:t>
            </w:r>
          </w:p>
          <w:p>
            <w:pPr>
              <w:adjustRightInd w:val="0"/>
              <w:snapToGrid w:val="0"/>
              <w:jc w:val="left"/>
              <w:rPr>
                <w:rFonts w:hint="eastAsia" w:ascii="宋体" w:hAnsi="宋体" w:eastAsia="宋体"/>
                <w:szCs w:val="21"/>
                <w:u w:val="single"/>
              </w:rPr>
            </w:pPr>
            <w:r>
              <w:rPr>
                <w:rFonts w:hint="eastAsia" w:ascii="宋体" w:hAnsi="宋体" w:eastAsia="宋体" w:cs="宋体"/>
                <w:iCs/>
                <w:szCs w:val="21"/>
              </w:rPr>
              <w:t>（2）向</w:t>
            </w:r>
            <w:r>
              <w:rPr>
                <w:rFonts w:hint="eastAsia" w:ascii="宋体" w:hAnsi="宋体" w:eastAsia="宋体" w:cs="宋体"/>
                <w:iCs/>
                <w:szCs w:val="21"/>
                <w:u w:val="single"/>
              </w:rPr>
              <w:t xml:space="preserve">                    </w:t>
            </w:r>
            <w:r>
              <w:rPr>
                <w:rFonts w:hint="eastAsia" w:ascii="宋体" w:hAnsi="宋体" w:eastAsia="宋体" w:cs="宋体"/>
                <w:iCs/>
                <w:szCs w:val="21"/>
              </w:rPr>
              <w:t>人民法院起诉。</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pPr>
              <w:adjustRightInd w:val="0"/>
              <w:snapToGrid w:val="0"/>
              <w:jc w:val="center"/>
              <w:rPr>
                <w:rFonts w:hint="eastAsia" w:ascii="宋体" w:hAnsi="宋体" w:eastAsia="宋体"/>
                <w:szCs w:val="21"/>
              </w:rPr>
            </w:pPr>
            <w:r>
              <w:rPr>
                <w:rFonts w:hint="eastAsia" w:ascii="宋体" w:hAnsi="宋体" w:eastAsia="宋体"/>
                <w:szCs w:val="21"/>
              </w:rPr>
              <w:t>第二节</w:t>
            </w:r>
          </w:p>
          <w:p>
            <w:pPr>
              <w:adjustRightInd w:val="0"/>
              <w:snapToGrid w:val="0"/>
              <w:jc w:val="center"/>
              <w:rPr>
                <w:rFonts w:hint="eastAsia" w:ascii="宋体" w:hAnsi="宋体" w:eastAsia="宋体"/>
                <w:szCs w:val="21"/>
              </w:rPr>
            </w:pPr>
            <w:r>
              <w:rPr>
                <w:rFonts w:hint="eastAsia" w:ascii="宋体" w:hAnsi="宋体" w:eastAsia="宋体"/>
                <w:szCs w:val="21"/>
              </w:rPr>
              <w:t>第23.1款</w:t>
            </w:r>
          </w:p>
        </w:tc>
        <w:tc>
          <w:tcPr>
            <w:tcW w:w="1742" w:type="dxa"/>
            <w:vAlign w:val="center"/>
          </w:tcPr>
          <w:p>
            <w:pPr>
              <w:adjustRightInd w:val="0"/>
              <w:snapToGrid w:val="0"/>
              <w:jc w:val="left"/>
              <w:rPr>
                <w:rFonts w:hint="eastAsia" w:ascii="宋体" w:hAnsi="宋体" w:eastAsia="宋体"/>
                <w:szCs w:val="21"/>
              </w:rPr>
            </w:pPr>
            <w:r>
              <w:rPr>
                <w:rFonts w:hint="eastAsia" w:ascii="宋体" w:hAnsi="宋体" w:eastAsia="宋体"/>
                <w:bCs/>
                <w:szCs w:val="21"/>
              </w:rPr>
              <w:t>其他专用条款</w:t>
            </w:r>
          </w:p>
        </w:tc>
        <w:tc>
          <w:tcPr>
            <w:tcW w:w="5170" w:type="dxa"/>
            <w:vAlign w:val="center"/>
          </w:tcPr>
          <w:p>
            <w:pPr>
              <w:adjustRightInd w:val="0"/>
              <w:snapToGrid w:val="0"/>
              <w:jc w:val="left"/>
              <w:rPr>
                <w:rFonts w:hint="eastAsia" w:ascii="宋体" w:hAnsi="宋体" w:eastAsia="宋体"/>
                <w:szCs w:val="21"/>
              </w:rPr>
            </w:pPr>
          </w:p>
        </w:tc>
      </w:tr>
    </w:tbl>
    <w:p>
      <w:pPr>
        <w:rPr>
          <w:rFonts w:eastAsia="宋体"/>
        </w:rPr>
      </w:pPr>
    </w:p>
    <w:p>
      <w:pPr>
        <w:widowControl/>
        <w:jc w:val="left"/>
        <w:rPr>
          <w:rFonts w:ascii="Arial" w:hAnsi="Arial" w:eastAsia="宋体" w:cs="Times New Roman"/>
          <w:color w:val="FF0000"/>
          <w:szCs w:val="24"/>
        </w:rPr>
      </w:pPr>
    </w:p>
    <w:p>
      <w:pPr>
        <w:widowControl/>
        <w:jc w:val="left"/>
        <w:rPr>
          <w:rFonts w:hint="eastAsia" w:ascii="宋体" w:hAnsi="宋体" w:eastAsia="黑体" w:cs="Times New Roman"/>
          <w:b/>
          <w:bCs/>
          <w:color w:val="0000FF"/>
          <w:kern w:val="44"/>
          <w:sz w:val="36"/>
          <w:szCs w:val="44"/>
        </w:rPr>
      </w:pPr>
      <w:r>
        <w:rPr>
          <w:rFonts w:ascii="宋体" w:hAnsi="宋体" w:eastAsia="黑体" w:cs="Times New Roman"/>
          <w:b/>
          <w:bCs/>
          <w:color w:val="0000FF"/>
          <w:kern w:val="44"/>
          <w:sz w:val="36"/>
          <w:szCs w:val="44"/>
        </w:rPr>
        <w:br w:type="page"/>
      </w:r>
    </w:p>
    <w:p>
      <w:pPr>
        <w:keepNext/>
        <w:keepLines/>
        <w:spacing w:before="340" w:after="78" w:afterLines="25" w:line="578" w:lineRule="auto"/>
        <w:jc w:val="center"/>
        <w:outlineLvl w:val="0"/>
        <w:rPr>
          <w:rFonts w:ascii="Arial" w:hAnsi="Arial" w:eastAsia="宋体" w:cs="Times New Roman"/>
          <w:b/>
          <w:bCs/>
          <w:kern w:val="44"/>
          <w:sz w:val="32"/>
          <w:szCs w:val="32"/>
        </w:rPr>
      </w:pPr>
      <w:r>
        <w:rPr>
          <w:rFonts w:hint="eastAsia" w:ascii="Arial" w:hAnsi="Arial" w:eastAsia="宋体" w:cs="Times New Roman"/>
          <w:b/>
          <w:bCs/>
          <w:kern w:val="44"/>
          <w:sz w:val="32"/>
          <w:szCs w:val="32"/>
        </w:rPr>
        <w:t>第二册  通用条款（公开招标）</w:t>
      </w:r>
    </w:p>
    <w:p>
      <w:pPr>
        <w:pStyle w:val="33"/>
        <w:keepNext/>
        <w:keepLines/>
        <w:numPr>
          <w:ilvl w:val="0"/>
          <w:numId w:val="12"/>
        </w:numPr>
        <w:tabs>
          <w:tab w:val="left" w:pos="720"/>
        </w:tabs>
        <w:adjustRightInd w:val="0"/>
        <w:spacing w:before="156" w:beforeLines="50" w:after="156" w:afterLines="50"/>
        <w:ind w:firstLineChars="0"/>
        <w:jc w:val="center"/>
        <w:textAlignment w:val="baseline"/>
        <w:outlineLvl w:val="1"/>
        <w:rPr>
          <w:rFonts w:asciiTheme="majorHAnsi" w:hAnsiTheme="majorHAnsi" w:eastAsiaTheme="majorEastAsia" w:cstheme="majorBidi"/>
          <w:b/>
          <w:bCs/>
          <w:sz w:val="28"/>
          <w:szCs w:val="28"/>
        </w:rPr>
      </w:pPr>
      <w:bookmarkStart w:id="58" w:name="_Hlk72399513"/>
      <w:r>
        <w:rPr>
          <w:rFonts w:hint="eastAsia" w:asciiTheme="majorHAnsi" w:hAnsiTheme="majorHAnsi" w:eastAsiaTheme="majorEastAsia" w:cstheme="majorBidi"/>
          <w:b/>
          <w:bCs/>
          <w:sz w:val="28"/>
          <w:szCs w:val="28"/>
        </w:rPr>
        <w:t>总则</w:t>
      </w:r>
    </w:p>
    <w:bookmarkEnd w:id="58"/>
    <w:p>
      <w:pPr>
        <w:rPr>
          <w:rFonts w:hint="eastAsia" w:ascii="黑体" w:hAnsi="宋体" w:eastAsia="黑体"/>
          <w:sz w:val="24"/>
        </w:rPr>
      </w:pPr>
      <w:bookmarkStart w:id="59" w:name="_Hlk72439706"/>
      <w:r>
        <w:rPr>
          <w:rFonts w:hint="eastAsia" w:ascii="黑体" w:hAnsi="宋体" w:eastAsia="黑体"/>
          <w:sz w:val="24"/>
        </w:rPr>
        <w:t>1. 通用条款说明</w:t>
      </w:r>
    </w:p>
    <w:p>
      <w:pPr>
        <w:ind w:firstLine="411" w:firstLineChars="196"/>
        <w:rPr>
          <w:rFonts w:hint="eastAsia" w:ascii="宋体" w:hAnsi="宋体"/>
          <w:szCs w:val="21"/>
        </w:rPr>
      </w:pPr>
      <w:r>
        <w:rPr>
          <w:rFonts w:hint="eastAsia" w:ascii="宋体" w:hAnsi="宋体"/>
          <w:szCs w:val="21"/>
        </w:rPr>
        <w:t>1.1政府集中采购机构发出招标文件通用条款版本，列出深圳市政府采购项目进行招标采购所适用的通用条款内容。</w:t>
      </w:r>
      <w:bookmarkStart w:id="60" w:name="_Hlk72399729"/>
      <w:r>
        <w:rPr>
          <w:rFonts w:hint="eastAsia" w:ascii="宋体" w:hAnsi="宋体"/>
          <w:szCs w:val="21"/>
        </w:rPr>
        <w:t>如有需要，政府集中采购机构可以对通用条款的内容进行补充。</w:t>
      </w:r>
      <w:bookmarkEnd w:id="60"/>
    </w:p>
    <w:p>
      <w:pPr>
        <w:ind w:firstLine="411" w:firstLineChars="196"/>
        <w:rPr>
          <w:rFonts w:hint="eastAsia" w:ascii="宋体" w:hAnsi="宋体"/>
          <w:szCs w:val="21"/>
        </w:rPr>
      </w:pPr>
      <w:r>
        <w:rPr>
          <w:rFonts w:hint="eastAsia" w:ascii="宋体" w:hAnsi="宋体"/>
          <w:szCs w:val="21"/>
        </w:rPr>
        <w:t>1.2招标文件分为第一册“专用条款”和第二册“通用条款”。</w:t>
      </w:r>
    </w:p>
    <w:p>
      <w:pPr>
        <w:ind w:firstLine="411" w:firstLineChars="196"/>
        <w:rPr>
          <w:rFonts w:hint="eastAsia" w:ascii="宋体" w:hAnsi="宋体"/>
          <w:szCs w:val="21"/>
        </w:rPr>
      </w:pPr>
      <w:r>
        <w:rPr>
          <w:rFonts w:hint="eastAsia" w:ascii="宋体" w:hAnsi="宋体"/>
          <w:szCs w:val="21"/>
        </w:rPr>
        <w:t>1.3“专用条款”是对本次采购项目的具体要求，包含招标公告、对通用条款的补充内容及其他关键信息、用户需求书、投标文件格式及附件、合同条款及格式等内容。</w:t>
      </w:r>
    </w:p>
    <w:p>
      <w:pPr>
        <w:ind w:firstLine="411" w:firstLineChars="196"/>
        <w:rPr>
          <w:rFonts w:hint="eastAsia" w:ascii="宋体" w:hAnsi="宋体"/>
          <w:szCs w:val="21"/>
        </w:rPr>
      </w:pPr>
      <w:r>
        <w:rPr>
          <w:rFonts w:hint="eastAsia" w:ascii="宋体" w:hAnsi="宋体"/>
          <w:szCs w:val="21"/>
        </w:rPr>
        <w:t>1.4“通用条款”是适用于政府采购公开招标项目的基础性条款，具有普遍性和通用性。</w:t>
      </w:r>
    </w:p>
    <w:p>
      <w:pPr>
        <w:ind w:firstLine="411" w:firstLineChars="196"/>
        <w:rPr>
          <w:rFonts w:hint="eastAsia" w:ascii="宋体" w:hAnsi="宋体"/>
          <w:szCs w:val="21"/>
        </w:rPr>
      </w:pPr>
      <w:r>
        <w:rPr>
          <w:rFonts w:hint="eastAsia" w:ascii="宋体" w:hAnsi="宋体"/>
          <w:szCs w:val="21"/>
        </w:rPr>
        <w:t>1.5 “专用条款”和“通用条款”表述不一致或有冲突时，以“专用条款”为准。</w:t>
      </w:r>
    </w:p>
    <w:p>
      <w:pPr>
        <w:rPr>
          <w:rFonts w:hint="eastAsia" w:ascii="黑体" w:hAnsi="宋体" w:eastAsia="黑体"/>
          <w:sz w:val="24"/>
        </w:rPr>
      </w:pPr>
      <w:r>
        <w:rPr>
          <w:rFonts w:hint="eastAsia" w:ascii="黑体" w:hAnsi="宋体" w:eastAsia="黑体"/>
          <w:sz w:val="24"/>
        </w:rPr>
        <w:t>2</w:t>
      </w:r>
      <w:r>
        <w:rPr>
          <w:rFonts w:ascii="黑体" w:hAnsi="宋体" w:eastAsia="黑体"/>
          <w:sz w:val="24"/>
        </w:rPr>
        <w:t>．</w:t>
      </w:r>
      <w:r>
        <w:rPr>
          <w:rFonts w:hint="eastAsia" w:ascii="黑体" w:hAnsi="宋体" w:eastAsia="黑体"/>
          <w:sz w:val="24"/>
        </w:rPr>
        <w:t>招标说明</w:t>
      </w:r>
    </w:p>
    <w:p>
      <w:pPr>
        <w:ind w:firstLine="411" w:firstLineChars="196"/>
        <w:rPr>
          <w:rFonts w:hint="eastAsia" w:ascii="宋体" w:hAnsi="宋体"/>
          <w:szCs w:val="21"/>
        </w:rPr>
      </w:pPr>
      <w:r>
        <w:rPr>
          <w:rFonts w:hint="eastAsia" w:ascii="宋体" w:hAnsi="宋体"/>
          <w:szCs w:val="21"/>
        </w:rPr>
        <w:t>本项目参照《深圳经济特区政府采购条例》、《深圳经济特区政府采购条例实施细则》及政府采购其他法律法规，通过公开招标方式确定中标供应商。</w:t>
      </w:r>
    </w:p>
    <w:p>
      <w:pPr>
        <w:rPr>
          <w:rFonts w:hint="eastAsia" w:ascii="黑体" w:hAnsi="宋体" w:eastAsia="黑体"/>
          <w:sz w:val="24"/>
        </w:rPr>
      </w:pPr>
      <w:r>
        <w:rPr>
          <w:rFonts w:hint="eastAsia" w:ascii="黑体" w:hAnsi="宋体" w:eastAsia="黑体"/>
          <w:sz w:val="24"/>
        </w:rPr>
        <w:t>3．定义</w:t>
      </w:r>
    </w:p>
    <w:p>
      <w:pPr>
        <w:ind w:firstLine="420" w:firstLineChars="200"/>
        <w:rPr>
          <w:rFonts w:hint="eastAsia" w:ascii="宋体" w:hAnsi="宋体"/>
          <w:szCs w:val="21"/>
        </w:rPr>
      </w:pPr>
      <w:r>
        <w:rPr>
          <w:rFonts w:ascii="宋体" w:hAnsi="宋体"/>
          <w:szCs w:val="21"/>
        </w:rPr>
        <w:t>招标文件中下列术语应解释为：</w:t>
      </w:r>
    </w:p>
    <w:p>
      <w:pPr>
        <w:ind w:firstLine="411" w:firstLineChars="196"/>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“采购人”：指利用财政性资金依法进行政府采购的国家机关、事业单位、团体组织；</w:t>
      </w:r>
      <w:r>
        <w:rPr>
          <w:rFonts w:ascii="宋体" w:hAnsi="宋体"/>
          <w:szCs w:val="21"/>
        </w:rPr>
        <w:t xml:space="preserve"> </w:t>
      </w:r>
    </w:p>
    <w:p>
      <w:pPr>
        <w:ind w:firstLine="411" w:firstLineChars="196"/>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是指市政府设立的，组织实施政府采购项目，并对政府采购活动提供服务的专门机构；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3.3“投标人”，即供应商，指参加投标竞争并愿意按照招标文件要求向采购人提供货物、工程或者服务的依法成立的法人、其他组织或者自然人；</w:t>
      </w:r>
    </w:p>
    <w:p>
      <w:pPr>
        <w:ind w:firstLine="411" w:firstLineChars="196"/>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3.4“评审委员会”是依据《深圳经济特区政府采购条例》、《深圳经济特区政府采购条例实施细则》等有关规定组建的专门负责本次招标其评审工作的临时性机构；</w:t>
      </w:r>
    </w:p>
    <w:p>
      <w:pPr>
        <w:ind w:firstLine="411" w:firstLineChars="196"/>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pPr>
        <w:ind w:firstLine="411" w:firstLineChars="196"/>
        <w:rPr>
          <w:rFonts w:hint="eastAsia" w:ascii="宋体" w:hAnsi="宋体"/>
          <w:szCs w:val="21"/>
        </w:rPr>
      </w:pPr>
      <w:r>
        <w:rPr>
          <w:rFonts w:hint="eastAsia" w:ascii="宋体" w:hAnsi="宋体"/>
          <w:szCs w:val="21"/>
        </w:rPr>
        <w:t>3.6“合同”指由本次招标所产生的合同或合约文件；</w:t>
      </w:r>
    </w:p>
    <w:p>
      <w:pPr>
        <w:ind w:firstLine="411" w:firstLineChars="196"/>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深圳公共资源交易中心（深圳交易集团有限公司龙华分公司）</w:t>
      </w:r>
      <w:r>
        <w:rPr>
          <w:rFonts w:hint="eastAsia" w:ascii="宋体" w:hAnsi="宋体"/>
          <w:szCs w:val="21"/>
        </w:rPr>
        <w:t>网站提供的深圳智慧采购平台投标文件制作专用软件（以下简称：投标文件制作软件）制作并加密的投标文件,适用于网上投标；（投标文件制作软件可从“下载地址：http://zfcg.szggzy.com:8081/cgxy/013002/20210923/173e0b2c-7a4c-4246-a0c7-e0ea75d84dd6.html深圳智慧采购平台投标文件制作专用软件.zip”下载）</w:t>
      </w:r>
    </w:p>
    <w:p>
      <w:pPr>
        <w:ind w:firstLine="411" w:firstLineChars="196"/>
        <w:rPr>
          <w:rFonts w:hint="eastAsia" w:ascii="宋体" w:hAnsi="宋体"/>
          <w:szCs w:val="21"/>
        </w:rPr>
      </w:pPr>
      <w:r>
        <w:rPr>
          <w:rFonts w:hint="eastAsia" w:ascii="宋体" w:hAnsi="宋体"/>
          <w:szCs w:val="21"/>
        </w:rPr>
        <w:t>3.8“网上投标”指通过</w:t>
      </w:r>
      <w:r>
        <w:rPr>
          <w:rFonts w:hint="eastAsia" w:ascii="宋体" w:hAnsi="宋体"/>
          <w:b/>
          <w:bCs/>
          <w:color w:val="FF0000"/>
          <w:szCs w:val="21"/>
        </w:rPr>
        <w:t>深圳公共资源交易中心（深圳交易集团有限公司龙华分公司）</w:t>
      </w:r>
      <w:r>
        <w:rPr>
          <w:rFonts w:hint="eastAsia" w:ascii="宋体" w:hAnsi="宋体"/>
          <w:szCs w:val="21"/>
        </w:rPr>
        <w:t>网站上传电子投标文件；</w:t>
      </w:r>
    </w:p>
    <w:p>
      <w:pPr>
        <w:ind w:firstLine="411" w:firstLineChars="196"/>
        <w:rPr>
          <w:rFonts w:hint="eastAsia" w:ascii="宋体" w:hAnsi="宋体"/>
          <w:szCs w:val="21"/>
        </w:rPr>
      </w:pPr>
      <w:r>
        <w:rPr>
          <w:rFonts w:hint="eastAsia" w:ascii="宋体" w:hAnsi="宋体"/>
          <w:szCs w:val="21"/>
        </w:rPr>
        <w:t>3.9招标文件中的标题或题名仅起引导作用，而不应视为对招标文件内容的理解和解释。</w:t>
      </w:r>
    </w:p>
    <w:p>
      <w:pPr>
        <w:rPr>
          <w:rFonts w:hint="eastAsia" w:ascii="黑体" w:hAnsi="宋体" w:eastAsia="黑体"/>
          <w:sz w:val="24"/>
        </w:rPr>
      </w:pPr>
      <w:r>
        <w:rPr>
          <w:rFonts w:hint="eastAsia" w:ascii="黑体" w:hAnsi="宋体" w:eastAsia="黑体"/>
          <w:sz w:val="24"/>
        </w:rPr>
        <w:t xml:space="preserve">4. </w:t>
      </w:r>
      <w:bookmarkStart w:id="61" w:name="_Hlk72398643"/>
      <w:r>
        <w:rPr>
          <w:rFonts w:hint="eastAsia" w:ascii="黑体" w:hAnsi="宋体" w:eastAsia="黑体"/>
          <w:sz w:val="24"/>
        </w:rPr>
        <w:t>政府采购供应商责任</w:t>
      </w:r>
    </w:p>
    <w:p>
      <w:pPr>
        <w:ind w:firstLine="411" w:firstLineChars="196"/>
        <w:rPr>
          <w:rFonts w:hint="eastAsia" w:ascii="宋体" w:hAnsi="宋体"/>
          <w:szCs w:val="21"/>
        </w:rPr>
      </w:pPr>
      <w:r>
        <w:rPr>
          <w:rFonts w:hint="eastAsia" w:ascii="宋体" w:hAnsi="宋体"/>
          <w:szCs w:val="21"/>
        </w:rPr>
        <w:t>4.1欢迎诚信、有实力和有社会责任心的供应商参与政府采购事业。</w:t>
      </w:r>
    </w:p>
    <w:p>
      <w:pPr>
        <w:ind w:firstLine="411" w:firstLineChars="196"/>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pPr>
        <w:rPr>
          <w:rFonts w:hint="eastAsia" w:ascii="黑体" w:hAnsi="宋体" w:eastAsia="黑体"/>
          <w:sz w:val="24"/>
        </w:rPr>
      </w:pPr>
      <w:r>
        <w:rPr>
          <w:rFonts w:hint="eastAsia" w:ascii="黑体" w:hAnsi="宋体" w:eastAsia="黑体"/>
          <w:sz w:val="24"/>
        </w:rPr>
        <w:t>5．投标人参加政府采购的条件</w:t>
      </w:r>
    </w:p>
    <w:p>
      <w:pPr>
        <w:ind w:firstLine="411" w:firstLineChars="196"/>
        <w:jc w:val="left"/>
        <w:rPr>
          <w:rFonts w:hint="eastAsia" w:ascii="宋体" w:hAnsi="宋体"/>
          <w:szCs w:val="21"/>
        </w:rPr>
      </w:pPr>
      <w:r>
        <w:rPr>
          <w:rFonts w:hint="eastAsia" w:ascii="宋体" w:hAnsi="宋体"/>
          <w:szCs w:val="21"/>
        </w:rPr>
        <w:t>5.1投标人应在投标前到</w:t>
      </w:r>
      <w:r>
        <w:rPr>
          <w:rFonts w:hint="eastAsia" w:ascii="宋体" w:hAnsi="宋体"/>
          <w:b/>
          <w:bCs/>
          <w:szCs w:val="21"/>
        </w:rPr>
        <w:t>深圳公共资源交易中心（具体在深圳交易集团有限公司政府采购业务分公司进行办理）</w:t>
      </w:r>
      <w:r>
        <w:rPr>
          <w:rFonts w:hint="eastAsia" w:ascii="宋体" w:hAnsi="宋体"/>
          <w:szCs w:val="21"/>
        </w:rPr>
        <w:t>进行注册并办理电子密钥。《供应商注册及信息变更指引》详见www.szggzy.com网站“交易服务指南-政府采购”。</w:t>
      </w:r>
    </w:p>
    <w:p>
      <w:pPr>
        <w:ind w:firstLine="411" w:firstLineChars="196"/>
        <w:rPr>
          <w:rFonts w:hint="eastAsia" w:ascii="宋体" w:hAnsi="宋体"/>
          <w:szCs w:val="21"/>
        </w:rPr>
      </w:pPr>
      <w:r>
        <w:rPr>
          <w:rFonts w:hint="eastAsia" w:ascii="宋体" w:hAnsi="宋体"/>
          <w:szCs w:val="21"/>
        </w:rPr>
        <w:t>5.2投标人资格要求</w:t>
      </w:r>
    </w:p>
    <w:p>
      <w:pPr>
        <w:ind w:firstLine="411" w:firstLineChars="196"/>
        <w:rPr>
          <w:rFonts w:hint="eastAsia" w:ascii="宋体" w:hAnsi="宋体"/>
          <w:szCs w:val="21"/>
        </w:rPr>
      </w:pPr>
      <w:r>
        <w:rPr>
          <w:rFonts w:hint="eastAsia" w:ascii="宋体" w:hAnsi="宋体"/>
          <w:szCs w:val="21"/>
        </w:rPr>
        <w:t>参加本项目的投标人应具备的资格条件详见本项目招标公告中 “投标人资格要求”（即申请人的资格要求）的内容。</w:t>
      </w:r>
    </w:p>
    <w:p>
      <w:pPr>
        <w:ind w:firstLine="411" w:firstLineChars="196"/>
        <w:rPr>
          <w:rFonts w:hint="eastAsia" w:ascii="宋体" w:hAnsi="宋体"/>
          <w:szCs w:val="21"/>
        </w:rPr>
      </w:pPr>
      <w:r>
        <w:rPr>
          <w:rFonts w:hint="eastAsia" w:ascii="宋体" w:hAnsi="宋体"/>
          <w:szCs w:val="21"/>
        </w:rPr>
        <w:t>5.3联合体投标</w:t>
      </w:r>
    </w:p>
    <w:p>
      <w:pPr>
        <w:ind w:firstLine="411" w:firstLineChars="196"/>
        <w:rPr>
          <w:rFonts w:hint="eastAsia" w:ascii="宋体" w:hAnsi="宋体"/>
          <w:szCs w:val="21"/>
        </w:rPr>
      </w:pPr>
      <w:r>
        <w:rPr>
          <w:rFonts w:hint="eastAsia" w:ascii="宋体" w:hAnsi="宋体"/>
          <w:szCs w:val="21"/>
        </w:rPr>
        <w:t>5.3.1　以下有关联合体投标的条款仅适用于允许投标人组成联合体投标的项目。</w:t>
      </w:r>
    </w:p>
    <w:p>
      <w:pPr>
        <w:ind w:firstLine="411" w:firstLineChars="196"/>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pPr>
        <w:ind w:firstLine="411" w:firstLineChars="196"/>
        <w:rPr>
          <w:rFonts w:hint="eastAsia" w:ascii="宋体" w:hAnsi="宋体"/>
        </w:rPr>
      </w:pPr>
      <w:r>
        <w:rPr>
          <w:rFonts w:hint="eastAsia" w:ascii="宋体" w:hAnsi="宋体"/>
        </w:rPr>
        <w:t>（1）投标联合体各方参加政府采购活动应当具备下列条件：</w:t>
      </w:r>
      <w:r>
        <w:rPr>
          <w:rFonts w:ascii="宋体" w:hAnsi="宋体"/>
        </w:rPr>
        <w:t xml:space="preserve"> </w:t>
      </w:r>
    </w:p>
    <w:p>
      <w:pPr>
        <w:ind w:left="420" w:leftChars="200" w:firstLine="411" w:firstLineChars="196"/>
        <w:rPr>
          <w:rFonts w:hint="eastAsia" w:ascii="宋体" w:hAnsi="宋体"/>
        </w:rPr>
      </w:pPr>
      <w:r>
        <w:rPr>
          <w:rFonts w:hint="eastAsia" w:ascii="宋体" w:hAnsi="宋体"/>
        </w:rPr>
        <w:t>1、具有独立承担民事责任的能力；</w:t>
      </w:r>
      <w:r>
        <w:rPr>
          <w:rFonts w:ascii="宋体" w:hAnsi="宋体"/>
        </w:rPr>
        <w:t xml:space="preserve"> </w:t>
      </w:r>
    </w:p>
    <w:p>
      <w:pPr>
        <w:ind w:left="420" w:firstLine="411" w:firstLineChars="196"/>
        <w:rPr>
          <w:rFonts w:hint="eastAsia" w:ascii="宋体" w:hAnsi="宋体"/>
        </w:rPr>
      </w:pPr>
      <w:r>
        <w:rPr>
          <w:rFonts w:hint="eastAsia" w:ascii="宋体" w:hAnsi="宋体"/>
        </w:rPr>
        <w:t>2、有良好的商业信誉和健全的财务会计制度；</w:t>
      </w:r>
      <w:r>
        <w:rPr>
          <w:rFonts w:ascii="宋体" w:hAnsi="宋体"/>
        </w:rPr>
        <w:t xml:space="preserve"> </w:t>
      </w:r>
    </w:p>
    <w:p>
      <w:pPr>
        <w:ind w:left="420" w:leftChars="200" w:firstLine="411" w:firstLineChars="196"/>
        <w:rPr>
          <w:rFonts w:hint="eastAsia" w:ascii="宋体" w:hAnsi="宋体"/>
        </w:rPr>
      </w:pPr>
      <w:r>
        <w:rPr>
          <w:rFonts w:hint="eastAsia" w:ascii="宋体" w:hAnsi="宋体"/>
        </w:rPr>
        <w:t>3、具有履行合同所必需的设备和专业技术能力；</w:t>
      </w:r>
      <w:r>
        <w:rPr>
          <w:rFonts w:ascii="宋体" w:hAnsi="宋体"/>
        </w:rPr>
        <w:t xml:space="preserve"> </w:t>
      </w:r>
    </w:p>
    <w:p>
      <w:pPr>
        <w:ind w:left="420" w:leftChars="200" w:firstLine="411" w:firstLineChars="196"/>
        <w:rPr>
          <w:rFonts w:hint="eastAsia" w:ascii="宋体" w:hAnsi="宋体"/>
        </w:rPr>
      </w:pPr>
      <w:r>
        <w:rPr>
          <w:rFonts w:hint="eastAsia" w:ascii="宋体" w:hAnsi="宋体"/>
        </w:rPr>
        <w:t>4、有依法缴纳税收和社会保障资金的良好记录；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5、参加政府采购活动前三年内，在经营活动中没有重大违法记录；</w:t>
      </w:r>
      <w:r>
        <w:rPr>
          <w:rFonts w:ascii="宋体" w:hAnsi="宋体"/>
        </w:rPr>
        <w:t xml:space="preserve"> </w:t>
      </w:r>
    </w:p>
    <w:p>
      <w:pPr>
        <w:ind w:left="420" w:leftChars="200" w:firstLine="411" w:firstLineChars="196"/>
        <w:rPr>
          <w:rFonts w:hint="eastAsia" w:ascii="宋体" w:hAnsi="宋体"/>
        </w:rPr>
      </w:pPr>
      <w:r>
        <w:rPr>
          <w:rFonts w:hint="eastAsia" w:ascii="宋体" w:hAnsi="宋体"/>
        </w:rPr>
        <w:t>6、法律、行政法规规定的其他条件。</w:t>
      </w:r>
      <w:r>
        <w:rPr>
          <w:rFonts w:ascii="宋体" w:hAnsi="宋体"/>
        </w:rPr>
        <w:t xml:space="preserve"> </w:t>
      </w:r>
    </w:p>
    <w:p>
      <w:pPr>
        <w:ind w:firstLine="411" w:firstLineChars="196"/>
        <w:rPr>
          <w:rFonts w:hint="eastAsia" w:ascii="宋体" w:hAnsi="宋体"/>
        </w:rPr>
      </w:pPr>
      <w:r>
        <w:rPr>
          <w:rFonts w:hint="eastAsia" w:ascii="宋体" w:hAnsi="宋体"/>
        </w:rPr>
        <w:t>（2）在投标截止前，投标联合体各方均应注册成政府集中采购机构供应商；</w:t>
      </w:r>
    </w:p>
    <w:p>
      <w:pPr>
        <w:ind w:firstLine="411" w:firstLineChars="196"/>
        <w:rPr>
          <w:rFonts w:hint="eastAsia" w:ascii="宋体" w:hAnsi="宋体"/>
        </w:rPr>
      </w:pPr>
      <w:r>
        <w:rPr>
          <w:rFonts w:hint="eastAsia" w:ascii="宋体" w:hAnsi="宋体"/>
        </w:rPr>
        <w:t>（3）联合体中有同类资质的供应商按照联合体分工承担相同工作的，应当按照资质等级较低的供应商确定资质等级；</w:t>
      </w:r>
    </w:p>
    <w:p>
      <w:pPr>
        <w:ind w:firstLine="411" w:firstLineChars="196"/>
      </w:pPr>
      <w:r>
        <w:rPr>
          <w:rFonts w:hint="eastAsia"/>
        </w:rPr>
        <w:t>（4）是否允许联合体参加投标，应当由采购人和采购代理机构根据项目的实际情况和潜在供应商的数量自主决定，如果决定接受联合体投标则应当在招标公告中明示；</w:t>
      </w:r>
    </w:p>
    <w:p>
      <w:pPr>
        <w:ind w:firstLine="411" w:firstLineChars="196"/>
        <w:rPr>
          <w:rFonts w:hint="eastAsia" w:ascii="宋体" w:hAnsi="宋体"/>
        </w:rPr>
      </w:pPr>
      <w:r>
        <w:rPr>
          <w:rFonts w:hint="eastAsia" w:ascii="宋体" w:hAnsi="宋体"/>
        </w:rPr>
        <w:t>（5）投标人的投标文件及中标后签署的合同协议对联合体各方均具法律约束力；</w:t>
      </w:r>
    </w:p>
    <w:p>
      <w:pPr>
        <w:ind w:firstLine="411" w:firstLineChars="196"/>
        <w:rPr>
          <w:rFonts w:hint="eastAsia" w:ascii="宋体" w:hAnsi="宋体"/>
        </w:rPr>
      </w:pPr>
      <w:r>
        <w:rPr>
          <w:rFonts w:hint="eastAsia" w:ascii="宋体" w:hAnsi="宋体"/>
        </w:rPr>
        <w:t>（6）联合体各方应当签订联合体投标协议，明确约定各方拟承担的工作和责任，并将该协议随投标文件一并递交给政府集中采购机构；</w:t>
      </w:r>
    </w:p>
    <w:p>
      <w:pPr>
        <w:ind w:firstLine="411" w:firstLineChars="196"/>
        <w:rPr>
          <w:rFonts w:hint="eastAsia" w:ascii="宋体" w:hAnsi="宋体"/>
        </w:rPr>
      </w:pPr>
      <w:r>
        <w:rPr>
          <w:rFonts w:hint="eastAsia" w:ascii="宋体" w:hAnsi="宋体"/>
        </w:rPr>
        <w:t>（7）联合体中标后，联合体各方应当共同与采购人签订合同，就中标项目向采购人承担连带责任；</w:t>
      </w:r>
    </w:p>
    <w:p>
      <w:pPr>
        <w:ind w:firstLine="411" w:firstLineChars="196"/>
        <w:rPr>
          <w:rFonts w:hint="eastAsia" w:ascii="宋体" w:hAnsi="宋体"/>
        </w:rPr>
      </w:pPr>
      <w:r>
        <w:rPr>
          <w:rFonts w:hint="eastAsia" w:ascii="宋体" w:hAnsi="宋体"/>
        </w:rPr>
        <w:t>（8）以联合体形式参加政府采购活动的，联合体各方不得再单独参加或者与其他供应商另外组成联合体参加同一合同项下的政府采购活动，出现上述情况者，其投标和与此有关联合体、总包单位的投标将被拒绝；</w:t>
      </w:r>
    </w:p>
    <w:p>
      <w:pPr>
        <w:ind w:firstLine="411" w:firstLineChars="196"/>
        <w:rPr>
          <w:rFonts w:hint="eastAsia" w:ascii="宋体" w:hAnsi="宋体"/>
          <w:szCs w:val="21"/>
        </w:rPr>
      </w:pPr>
      <w:r>
        <w:rPr>
          <w:rFonts w:hint="eastAsia" w:ascii="宋体" w:hAnsi="宋体"/>
        </w:rPr>
        <w:t>（9）本通用条款中“投标人”一词亦指联合体各方，专用条款另有规定或说明的除外。</w:t>
      </w:r>
    </w:p>
    <w:p>
      <w:pPr>
        <w:rPr>
          <w:rFonts w:hint="eastAsia" w:ascii="黑体" w:hAnsi="宋体" w:eastAsia="黑体"/>
          <w:sz w:val="24"/>
        </w:rPr>
      </w:pPr>
      <w:r>
        <w:rPr>
          <w:rFonts w:hint="eastAsia" w:ascii="黑体" w:hAnsi="宋体" w:eastAsia="黑体"/>
          <w:sz w:val="24"/>
        </w:rPr>
        <w:t>6．政策导向</w:t>
      </w:r>
    </w:p>
    <w:p>
      <w:pPr>
        <w:ind w:firstLine="411" w:firstLineChars="196"/>
        <w:rPr>
          <w:rFonts w:hint="eastAsia" w:ascii="宋体" w:hAnsi="宋体"/>
        </w:rPr>
      </w:pPr>
      <w:r>
        <w:rPr>
          <w:rFonts w:hint="eastAsia" w:ascii="宋体" w:hAnsi="宋体"/>
        </w:rPr>
        <w:t>6.1</w:t>
      </w:r>
      <w:r>
        <w:rPr>
          <w:rFonts w:ascii="宋体" w:hAnsi="宋体"/>
        </w:rPr>
        <w:t xml:space="preserve">  </w:t>
      </w:r>
      <w:r>
        <w:rPr>
          <w:rFonts w:hint="eastAsia" w:ascii="宋体" w:hAnsi="宋体"/>
        </w:rPr>
        <w:t>政府采购支持本国产品、支持中小企业、监狱企业和残疾人福利性单位发展，支持乡村产业振兴，支持创新、节能减排、绿色环保等。</w:t>
      </w:r>
    </w:p>
    <w:p>
      <w:pPr>
        <w:ind w:firstLine="405"/>
        <w:rPr>
          <w:rFonts w:hint="eastAsia" w:ascii="宋体" w:hAnsi="宋体"/>
        </w:rPr>
      </w:pPr>
      <w:r>
        <w:rPr>
          <w:rFonts w:hint="eastAsia" w:ascii="宋体" w:hAnsi="宋体"/>
        </w:rPr>
        <w:t>6.2</w:t>
      </w:r>
      <w:r>
        <w:rPr>
          <w:rFonts w:ascii="宋体" w:hAnsi="宋体"/>
        </w:rPr>
        <w:t xml:space="preserve">  </w:t>
      </w:r>
      <w:r>
        <w:rPr>
          <w:rFonts w:hint="eastAsia" w:ascii="宋体" w:hAnsi="宋体"/>
        </w:rPr>
        <w:t>本项目落实深圳市政府采购供应商诚信管理政策要求。</w:t>
      </w:r>
    </w:p>
    <w:p>
      <w:pPr>
        <w:ind w:firstLine="405"/>
        <w:rPr>
          <w:rFonts w:eastAsia="宋体"/>
        </w:rPr>
      </w:pPr>
      <w:r>
        <w:rPr>
          <w:rFonts w:hint="eastAsia" w:ascii="宋体" w:hAnsi="宋体"/>
        </w:rPr>
        <w:t>6.3  本项目支持投标人性别平等的相关政策。</w:t>
      </w:r>
    </w:p>
    <w:p>
      <w:pPr>
        <w:rPr>
          <w:rFonts w:hint="eastAsia" w:ascii="黑体" w:hAnsi="宋体" w:eastAsia="黑体"/>
          <w:sz w:val="24"/>
        </w:rPr>
      </w:pPr>
      <w:r>
        <w:rPr>
          <w:rFonts w:hint="eastAsia" w:ascii="黑体" w:hAnsi="宋体" w:eastAsia="黑体"/>
          <w:sz w:val="24"/>
        </w:rPr>
        <w:t>7. 本项目若涉及采购货物，则合格的货物及相应服务应满足以下要求：</w:t>
      </w:r>
    </w:p>
    <w:p>
      <w:pPr>
        <w:ind w:firstLine="411" w:firstLineChars="196"/>
        <w:rPr>
          <w:rFonts w:hint="eastAsia" w:ascii="宋体" w:hAnsi="宋体"/>
        </w:rPr>
      </w:pPr>
      <w:r>
        <w:rPr>
          <w:rFonts w:hint="eastAsia" w:ascii="宋体" w:hAnsi="宋体"/>
        </w:rPr>
        <w:t>7</w:t>
      </w:r>
      <w:r>
        <w:rPr>
          <w:rFonts w:ascii="宋体" w:hAnsi="宋体"/>
        </w:rPr>
        <w:t xml:space="preserve">.1  </w:t>
      </w:r>
      <w:r>
        <w:rPr>
          <w:rFonts w:hint="eastAsia" w:ascii="宋体" w:hAnsi="宋体"/>
        </w:rPr>
        <w:t>必须是全新、未使用过的原装合格正品（包括零部件），如安装或配置了软件的，须为正版软件。</w:t>
      </w:r>
    </w:p>
    <w:p>
      <w:pPr>
        <w:ind w:firstLine="411" w:firstLineChars="196"/>
        <w:rPr>
          <w:rFonts w:hint="eastAsia" w:ascii="宋体" w:hAnsi="宋体"/>
        </w:rPr>
      </w:pPr>
      <w:r>
        <w:rPr>
          <w:rFonts w:hint="eastAsia" w:ascii="宋体" w:hAnsi="宋体"/>
        </w:rPr>
        <w:t>7.2  国产的货物及其有关服务必须符合中华人民共和国的设计、制造生产标准及行业标准。招标公告有其他要求的，亦应符合其要求。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3</w:t>
      </w:r>
      <w:r>
        <w:rPr>
          <w:rFonts w:ascii="宋体" w:hAnsi="宋体"/>
        </w:rPr>
        <w:t xml:space="preserve">  </w:t>
      </w:r>
      <w:r>
        <w:rPr>
          <w:rFonts w:hint="eastAsia" w:ascii="宋体" w:hAnsi="宋体"/>
        </w:rPr>
        <w:t>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pPr>
        <w:ind w:firstLine="411" w:firstLineChars="196"/>
        <w:rPr>
          <w:rFonts w:hint="eastAsia" w:ascii="宋体" w:hAnsi="宋体"/>
        </w:rPr>
      </w:pPr>
      <w:r>
        <w:rPr>
          <w:rFonts w:hint="eastAsia" w:ascii="宋体" w:hAnsi="宋体"/>
        </w:rPr>
        <w:t>7</w:t>
      </w:r>
      <w:r>
        <w:rPr>
          <w:rFonts w:ascii="宋体" w:hAnsi="宋体"/>
        </w:rPr>
        <w:t>.</w:t>
      </w:r>
      <w:r>
        <w:rPr>
          <w:rFonts w:hint="eastAsia" w:ascii="宋体" w:hAnsi="宋体"/>
        </w:rPr>
        <w:t>4</w:t>
      </w:r>
      <w:r>
        <w:rPr>
          <w:rFonts w:ascii="宋体" w:hAnsi="宋体"/>
        </w:rPr>
        <w:t xml:space="preserve">  </w:t>
      </w:r>
      <w:r>
        <w:rPr>
          <w:rFonts w:hint="eastAsia" w:ascii="宋体" w:hAnsi="宋体"/>
        </w:rPr>
        <w:t>投标人</w:t>
      </w:r>
      <w:bookmarkStart w:id="62" w:name="_Hlk72152753"/>
      <w:r>
        <w:rPr>
          <w:rFonts w:hint="eastAsia" w:ascii="宋体" w:hAnsi="宋体"/>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62"/>
    </w:p>
    <w:p>
      <w:pPr>
        <w:ind w:firstLine="411" w:firstLineChars="196"/>
        <w:rPr>
          <w:rFonts w:hint="eastAsia" w:ascii="宋体" w:hAnsi="宋体"/>
        </w:rPr>
      </w:pPr>
      <w:r>
        <w:rPr>
          <w:rFonts w:hint="eastAsia" w:ascii="宋体" w:hAnsi="宋体"/>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pPr>
        <w:ind w:firstLine="411" w:firstLineChars="196"/>
        <w:rPr>
          <w:rFonts w:hint="eastAsia" w:ascii="宋体" w:hAnsi="宋体"/>
        </w:rPr>
      </w:pPr>
      <w:r>
        <w:rPr>
          <w:rFonts w:hint="eastAsia" w:ascii="宋体" w:hAnsi="宋体"/>
        </w:rPr>
        <w:t>7.6  工期要求：投标人在投标时对其所投项目应提交交货进度、交货计划等，在合同规定的时间内完成项目实施工作。</w:t>
      </w:r>
    </w:p>
    <w:p>
      <w:pPr>
        <w:ind w:firstLine="411" w:firstLineChars="196"/>
        <w:rPr>
          <w:rFonts w:hint="eastAsia" w:ascii="宋体" w:hAnsi="宋体"/>
        </w:rPr>
      </w:pPr>
      <w:r>
        <w:rPr>
          <w:rFonts w:hint="eastAsia" w:ascii="宋体" w:hAnsi="宋体"/>
        </w:rPr>
        <w:t>7.7  投标人必须承担的设备运输、安装调试、验收检测和提供设备操作说明书、图纸等其他相关及类似的义务。</w:t>
      </w:r>
    </w:p>
    <w:p>
      <w:pPr>
        <w:rPr>
          <w:rFonts w:hint="eastAsia" w:ascii="黑体" w:hAnsi="宋体" w:eastAsia="黑体"/>
          <w:sz w:val="24"/>
        </w:rPr>
      </w:pPr>
      <w:r>
        <w:rPr>
          <w:rFonts w:hint="eastAsia" w:ascii="黑体" w:hAnsi="宋体" w:eastAsia="黑体"/>
          <w:sz w:val="24"/>
        </w:rPr>
        <w:t>8．投标费用</w:t>
      </w:r>
    </w:p>
    <w:p>
      <w:pPr>
        <w:ind w:firstLine="411" w:firstLineChars="196"/>
        <w:rPr>
          <w:rFonts w:hint="eastAsia" w:ascii="宋体" w:hAnsi="宋体"/>
          <w:szCs w:val="21"/>
        </w:rPr>
      </w:pPr>
      <w:r>
        <w:rPr>
          <w:rFonts w:hint="eastAsia" w:ascii="宋体" w:hAnsi="宋体"/>
          <w:szCs w:val="21"/>
        </w:rPr>
        <w:t>不论投标结果如何，投标人应承担其编制投标文件与递交投标文件所涉及的一切费用。</w:t>
      </w:r>
    </w:p>
    <w:p>
      <w:pPr>
        <w:rPr>
          <w:rFonts w:hint="eastAsia" w:ascii="黑体" w:hAnsi="宋体" w:eastAsia="黑体"/>
          <w:sz w:val="24"/>
        </w:rPr>
      </w:pPr>
      <w:r>
        <w:rPr>
          <w:rFonts w:hint="eastAsia" w:ascii="黑体" w:hAnsi="宋体" w:eastAsia="黑体"/>
          <w:sz w:val="24"/>
        </w:rPr>
        <w:t>9．踏勘现场</w:t>
      </w:r>
    </w:p>
    <w:p>
      <w:pPr>
        <w:ind w:firstLine="411" w:firstLineChars="196"/>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招标文件所约定的时间、地点踏勘现场。</w:t>
      </w:r>
    </w:p>
    <w:p>
      <w:pPr>
        <w:ind w:firstLine="411" w:firstLineChars="196"/>
        <w:rPr>
          <w:rFonts w:hint="eastAsia" w:ascii="宋体" w:hAnsi="宋体"/>
        </w:rPr>
      </w:pPr>
      <w:r>
        <w:rPr>
          <w:rFonts w:hint="eastAsia" w:ascii="宋体" w:hAnsi="宋体"/>
        </w:rPr>
        <w:t>9.2投标人及其人员经过采购人的允许，可以进入采购人的项目现场踏勘。若招标文件要求投标人于统一时间地点踏勘现场的，投标人应当按时前往。</w:t>
      </w:r>
    </w:p>
    <w:p>
      <w:pPr>
        <w:ind w:firstLine="411" w:firstLineChars="196"/>
        <w:rPr>
          <w:rFonts w:hint="eastAsia" w:ascii="宋体" w:hAnsi="宋体"/>
        </w:rPr>
      </w:pPr>
      <w:r>
        <w:rPr>
          <w:rFonts w:hint="eastAsia" w:ascii="宋体" w:hAnsi="宋体"/>
        </w:rPr>
        <w:t>9.3采购人应当通过政府集中采购机构向投标人提供有关现场的书面资料和数据。</w:t>
      </w:r>
    </w:p>
    <w:p>
      <w:pPr>
        <w:ind w:firstLine="411" w:firstLineChars="196"/>
        <w:rPr>
          <w:rFonts w:hint="eastAsia" w:ascii="宋体" w:hAnsi="宋体"/>
        </w:rPr>
      </w:pPr>
      <w:r>
        <w:rPr>
          <w:rFonts w:hint="eastAsia" w:ascii="宋体" w:hAnsi="宋体"/>
        </w:rPr>
        <w:t>9.4任何人或任何组织在踏勘现场时向投标人提供的任何书面资料或口头承诺，未经政府集中采购机构在网上发布或书面通知，均作无效处理。</w:t>
      </w:r>
    </w:p>
    <w:p>
      <w:pPr>
        <w:ind w:firstLine="411" w:firstLineChars="196"/>
        <w:rPr>
          <w:rFonts w:hint="eastAsia" w:ascii="宋体" w:hAnsi="宋体"/>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pPr>
        <w:rPr>
          <w:rFonts w:hint="eastAsia" w:ascii="宋体" w:hAnsi="宋体"/>
          <w:szCs w:val="21"/>
        </w:rPr>
      </w:pPr>
      <w:r>
        <w:rPr>
          <w:rFonts w:hint="eastAsia" w:ascii="黑体" w:hAnsi="宋体" w:eastAsia="黑体"/>
          <w:sz w:val="24"/>
        </w:rPr>
        <w:t>1</w:t>
      </w:r>
      <w:r>
        <w:rPr>
          <w:rFonts w:ascii="黑体" w:hAnsi="宋体" w:eastAsia="黑体"/>
          <w:sz w:val="24"/>
        </w:rPr>
        <w:t>0</w:t>
      </w:r>
      <w:r>
        <w:rPr>
          <w:rFonts w:hint="eastAsia" w:ascii="黑体" w:hAnsi="宋体" w:eastAsia="黑体"/>
          <w:sz w:val="24"/>
        </w:rPr>
        <w:t>．标前会议</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招标文件规定的时间或政府集中采购机构另行书面通知（包括政府集中采购机构网站发布方式，如更正公告等）的时间和地点，参与标前会议。</w:t>
      </w:r>
    </w:p>
    <w:p>
      <w:pPr>
        <w:ind w:firstLine="411" w:firstLineChars="196"/>
        <w:rPr>
          <w:rFonts w:hint="eastAsia" w:ascii="宋体" w:hAnsi="宋体"/>
          <w:szCs w:val="21"/>
        </w:rPr>
      </w:pPr>
      <w:r>
        <w:rPr>
          <w:rFonts w:ascii="宋体" w:hAnsi="宋体"/>
        </w:rPr>
        <w:t>10</w:t>
      </w:r>
      <w:r>
        <w:rPr>
          <w:rFonts w:hint="eastAsia" w:ascii="宋体" w:hAnsi="宋体"/>
        </w:rPr>
        <w:t>.</w:t>
      </w:r>
      <w:r>
        <w:rPr>
          <w:rFonts w:ascii="宋体" w:hAnsi="宋体"/>
        </w:rPr>
        <w:t>2</w:t>
      </w:r>
      <w:r>
        <w:rPr>
          <w:rFonts w:hint="eastAsia" w:ascii="宋体" w:hAnsi="宋体"/>
        </w:rPr>
        <w:t>任何人或任何组织在标前会议时向投标人提供的任何书面资料或口头承诺，未经政府集中采购机构在网上发布或书面通知，均作无效处理。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61"/>
    <w:p>
      <w:pPr>
        <w:ind w:firstLine="411" w:firstLineChars="196"/>
        <w:rPr>
          <w:rFonts w:hint="eastAsia" w:ascii="宋体" w:hAnsi="宋体"/>
        </w:rPr>
      </w:pPr>
    </w:p>
    <w:p>
      <w:pPr>
        <w:pStyle w:val="4"/>
        <w:numPr>
          <w:ilvl w:val="0"/>
          <w:numId w:val="13"/>
        </w:numPr>
        <w:spacing w:before="156" w:beforeLines="50" w:after="156" w:afterLines="50"/>
        <w:ind w:left="562" w:hanging="562"/>
        <w:rPr>
          <w:sz w:val="28"/>
          <w:szCs w:val="28"/>
        </w:rPr>
      </w:pPr>
      <w:r>
        <w:rPr>
          <w:rFonts w:hint="eastAsia"/>
          <w:sz w:val="28"/>
          <w:szCs w:val="28"/>
        </w:rPr>
        <w:t>招标文件</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1</w:t>
      </w:r>
      <w:r>
        <w:rPr>
          <w:rFonts w:hint="eastAsia" w:ascii="黑体" w:hAnsi="宋体" w:eastAsia="黑体"/>
          <w:sz w:val="24"/>
        </w:rPr>
        <w:t>．</w:t>
      </w:r>
      <w:bookmarkStart w:id="63" w:name="_Hlk72399819"/>
      <w:r>
        <w:rPr>
          <w:rFonts w:hint="eastAsia" w:ascii="黑体" w:hAnsi="宋体" w:eastAsia="黑体"/>
          <w:sz w:val="24"/>
        </w:rPr>
        <w:t>招标文件的编制与组成</w:t>
      </w:r>
    </w:p>
    <w:p>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.1招标文件除以下内容外，政府集中采购机构在招标期间发出的澄清或修改等相关公告或通知内容，均是招标文件的组成部分，对投标人起约束作用；</w:t>
      </w:r>
    </w:p>
    <w:p>
      <w:pPr>
        <w:ind w:firstLine="411" w:firstLineChars="196"/>
        <w:rPr>
          <w:rFonts w:hint="eastAsia" w:ascii="宋体" w:hAnsi="宋体"/>
          <w:szCs w:val="21"/>
        </w:rPr>
      </w:pPr>
      <w:r>
        <w:rPr>
          <w:rFonts w:hint="eastAsia" w:ascii="宋体" w:hAnsi="宋体"/>
          <w:szCs w:val="21"/>
        </w:rPr>
        <w:t>招标文件包括下列内容：</w:t>
      </w:r>
    </w:p>
    <w:p>
      <w:pPr>
        <w:ind w:left="420" w:leftChars="200" w:firstLine="413" w:firstLineChars="196"/>
        <w:rPr>
          <w:rFonts w:hint="eastAsia" w:ascii="宋体" w:hAnsi="宋体"/>
          <w:b/>
          <w:szCs w:val="21"/>
        </w:rPr>
      </w:pPr>
      <w:r>
        <w:rPr>
          <w:rFonts w:hint="eastAsia" w:ascii="宋体" w:hAnsi="宋体"/>
          <w:b/>
          <w:szCs w:val="21"/>
        </w:rPr>
        <w:t>第一册  专用条款</w:t>
      </w:r>
    </w:p>
    <w:p>
      <w:pPr>
        <w:ind w:left="1079" w:leftChars="514"/>
        <w:rPr>
          <w:rFonts w:hint="eastAsia" w:ascii="宋体" w:hAnsi="宋体"/>
          <w:b/>
          <w:szCs w:val="21"/>
        </w:rPr>
      </w:pPr>
      <w:r>
        <w:rPr>
          <w:rFonts w:hint="eastAsia" w:ascii="宋体" w:hAnsi="宋体"/>
          <w:b/>
          <w:szCs w:val="21"/>
        </w:rPr>
        <w:t>关键信息</w:t>
      </w:r>
    </w:p>
    <w:p>
      <w:pPr>
        <w:ind w:left="630" w:leftChars="300" w:firstLine="411" w:firstLineChars="196"/>
        <w:rPr>
          <w:rFonts w:hint="eastAsia" w:ascii="宋体" w:hAnsi="宋体"/>
          <w:szCs w:val="21"/>
        </w:rPr>
      </w:pPr>
      <w:r>
        <w:rPr>
          <w:rFonts w:hint="eastAsia" w:ascii="宋体" w:hAnsi="宋体"/>
          <w:szCs w:val="21"/>
        </w:rPr>
        <w:t>第一章  招标公告</w:t>
      </w:r>
    </w:p>
    <w:p>
      <w:pPr>
        <w:ind w:left="630" w:leftChars="300" w:firstLine="411" w:firstLineChars="196"/>
        <w:rPr>
          <w:rFonts w:hint="eastAsia" w:ascii="宋体" w:hAnsi="宋体"/>
          <w:szCs w:val="21"/>
        </w:rPr>
      </w:pPr>
      <w:r>
        <w:rPr>
          <w:rFonts w:hint="eastAsia" w:ascii="宋体" w:hAnsi="宋体"/>
          <w:szCs w:val="21"/>
        </w:rPr>
        <w:t>第二章  对通用条款的补充内容及其他关键信息</w:t>
      </w:r>
    </w:p>
    <w:p>
      <w:pPr>
        <w:ind w:left="630" w:leftChars="300" w:firstLine="411" w:firstLineChars="196"/>
        <w:rPr>
          <w:rFonts w:hint="eastAsia" w:ascii="宋体" w:hAnsi="宋体"/>
          <w:szCs w:val="21"/>
        </w:rPr>
      </w:pPr>
      <w:r>
        <w:rPr>
          <w:rFonts w:hint="eastAsia" w:ascii="宋体" w:hAnsi="宋体"/>
          <w:szCs w:val="21"/>
        </w:rPr>
        <w:t>第三章  用户需求书</w:t>
      </w:r>
    </w:p>
    <w:p>
      <w:pPr>
        <w:ind w:left="630" w:leftChars="300" w:firstLine="411" w:firstLineChars="196"/>
        <w:rPr>
          <w:rFonts w:hint="eastAsia" w:ascii="宋体" w:hAnsi="宋体"/>
          <w:szCs w:val="21"/>
        </w:rPr>
      </w:pPr>
      <w:r>
        <w:rPr>
          <w:rFonts w:hint="eastAsia"/>
        </w:rPr>
        <w:t xml:space="preserve">第四章 </w:t>
      </w:r>
      <w:r>
        <w:t xml:space="preserve"> </w:t>
      </w:r>
      <w:r>
        <w:rPr>
          <w:rFonts w:hint="eastAsia"/>
        </w:rPr>
        <w:t>投标文件格式及附件</w:t>
      </w:r>
    </w:p>
    <w:p>
      <w:pPr>
        <w:ind w:left="630" w:leftChars="300" w:firstLine="411" w:firstLineChars="196"/>
        <w:rPr>
          <w:rFonts w:hint="eastAsia" w:ascii="宋体" w:hAnsi="宋体"/>
          <w:szCs w:val="21"/>
        </w:rPr>
      </w:pPr>
      <w:r>
        <w:rPr>
          <w:rFonts w:hint="eastAsia" w:ascii="宋体" w:hAnsi="宋体"/>
          <w:szCs w:val="21"/>
        </w:rPr>
        <w:t>第五章  合同条款及格式</w:t>
      </w:r>
    </w:p>
    <w:p>
      <w:pPr>
        <w:ind w:left="420" w:leftChars="200" w:firstLine="413" w:firstLineChars="196"/>
        <w:rPr>
          <w:rFonts w:hint="eastAsia" w:ascii="宋体" w:hAnsi="宋体"/>
          <w:b/>
          <w:szCs w:val="21"/>
        </w:rPr>
      </w:pPr>
      <w:r>
        <w:rPr>
          <w:rFonts w:hint="eastAsia" w:ascii="宋体" w:hAnsi="宋体"/>
          <w:b/>
          <w:szCs w:val="21"/>
        </w:rPr>
        <w:t>第二册  通用条款</w:t>
      </w:r>
    </w:p>
    <w:p>
      <w:pPr>
        <w:ind w:left="630" w:leftChars="300" w:firstLine="411" w:firstLineChars="196"/>
        <w:rPr>
          <w:rFonts w:hint="eastAsia" w:ascii="宋体" w:hAnsi="宋体"/>
          <w:szCs w:val="21"/>
        </w:rPr>
      </w:pPr>
      <w:r>
        <w:rPr>
          <w:rFonts w:hint="eastAsia" w:ascii="宋体" w:hAnsi="宋体"/>
          <w:szCs w:val="21"/>
        </w:rPr>
        <w:t>第一章  总则</w:t>
      </w:r>
    </w:p>
    <w:p>
      <w:pPr>
        <w:ind w:left="630" w:leftChars="300" w:firstLine="411" w:firstLineChars="196"/>
        <w:rPr>
          <w:rFonts w:hint="eastAsia" w:ascii="宋体" w:hAnsi="宋体"/>
          <w:szCs w:val="21"/>
        </w:rPr>
      </w:pPr>
      <w:r>
        <w:rPr>
          <w:rFonts w:hint="eastAsia" w:ascii="宋体" w:hAnsi="宋体"/>
          <w:szCs w:val="21"/>
        </w:rPr>
        <w:t>第二章  招标文件</w:t>
      </w:r>
    </w:p>
    <w:p>
      <w:pPr>
        <w:ind w:left="630" w:leftChars="300" w:firstLine="411" w:firstLineChars="196"/>
        <w:rPr>
          <w:rFonts w:hint="eastAsia" w:ascii="宋体" w:hAnsi="宋体"/>
          <w:szCs w:val="21"/>
        </w:rPr>
      </w:pPr>
      <w:r>
        <w:rPr>
          <w:rFonts w:hint="eastAsia" w:ascii="宋体" w:hAnsi="宋体"/>
          <w:szCs w:val="21"/>
        </w:rPr>
        <w:t>第三章  投标文件的编制</w:t>
      </w:r>
    </w:p>
    <w:p>
      <w:pPr>
        <w:ind w:left="630" w:leftChars="300" w:firstLine="411" w:firstLineChars="196"/>
        <w:rPr>
          <w:rFonts w:hint="eastAsia" w:ascii="宋体" w:hAnsi="宋体"/>
          <w:szCs w:val="21"/>
        </w:rPr>
      </w:pPr>
      <w:r>
        <w:rPr>
          <w:rFonts w:hint="eastAsia" w:ascii="宋体" w:hAnsi="宋体"/>
          <w:szCs w:val="21"/>
        </w:rPr>
        <w:t>第四章  投标文件的递交</w:t>
      </w:r>
    </w:p>
    <w:p>
      <w:pPr>
        <w:ind w:left="630" w:leftChars="300" w:firstLine="411" w:firstLineChars="196"/>
        <w:rPr>
          <w:rFonts w:hint="eastAsia" w:ascii="宋体" w:hAnsi="宋体"/>
          <w:szCs w:val="21"/>
        </w:rPr>
      </w:pPr>
      <w:r>
        <w:rPr>
          <w:rFonts w:hint="eastAsia" w:ascii="宋体" w:hAnsi="宋体"/>
          <w:szCs w:val="21"/>
        </w:rPr>
        <w:t>第五章  开标</w:t>
      </w:r>
    </w:p>
    <w:p>
      <w:pPr>
        <w:ind w:left="630" w:leftChars="300" w:firstLine="411" w:firstLineChars="196"/>
        <w:rPr>
          <w:rFonts w:hint="eastAsia" w:ascii="宋体" w:hAnsi="宋体"/>
          <w:szCs w:val="21"/>
        </w:rPr>
      </w:pPr>
      <w:r>
        <w:rPr>
          <w:rFonts w:hint="eastAsia" w:ascii="宋体" w:hAnsi="宋体"/>
          <w:szCs w:val="21"/>
        </w:rPr>
        <w:t>第六章  评审要求</w:t>
      </w:r>
    </w:p>
    <w:p>
      <w:pPr>
        <w:ind w:left="630" w:leftChars="300" w:firstLine="411" w:firstLineChars="196"/>
        <w:rPr>
          <w:rFonts w:hint="eastAsia" w:ascii="宋体" w:hAnsi="宋体"/>
          <w:szCs w:val="21"/>
        </w:rPr>
      </w:pPr>
      <w:r>
        <w:rPr>
          <w:rFonts w:hint="eastAsia" w:ascii="宋体" w:hAnsi="宋体"/>
          <w:szCs w:val="21"/>
        </w:rPr>
        <w:t>第七章  评审程序及评审方法</w:t>
      </w:r>
    </w:p>
    <w:p>
      <w:pPr>
        <w:ind w:left="630" w:leftChars="300" w:firstLine="411" w:firstLineChars="196"/>
        <w:rPr>
          <w:rFonts w:hint="eastAsia" w:ascii="宋体" w:hAnsi="宋体"/>
          <w:szCs w:val="21"/>
        </w:rPr>
      </w:pPr>
      <w:r>
        <w:rPr>
          <w:rFonts w:hint="eastAsia" w:ascii="宋体" w:hAnsi="宋体"/>
          <w:szCs w:val="21"/>
        </w:rPr>
        <w:t>第八章  定标及公示</w:t>
      </w:r>
    </w:p>
    <w:p>
      <w:pPr>
        <w:ind w:left="630" w:leftChars="300" w:firstLine="411" w:firstLineChars="196"/>
        <w:rPr>
          <w:rFonts w:hint="eastAsia" w:ascii="宋体" w:hAnsi="宋体"/>
          <w:szCs w:val="21"/>
        </w:rPr>
      </w:pPr>
      <w:r>
        <w:rPr>
          <w:rFonts w:hint="eastAsia" w:ascii="宋体" w:hAnsi="宋体"/>
          <w:szCs w:val="21"/>
        </w:rPr>
        <w:t>第九章  公开招标失败的后续处理</w:t>
      </w:r>
    </w:p>
    <w:p>
      <w:pPr>
        <w:ind w:left="630" w:leftChars="300" w:firstLine="411" w:firstLineChars="196"/>
        <w:rPr>
          <w:rFonts w:hint="eastAsia" w:ascii="宋体" w:hAnsi="宋体"/>
          <w:szCs w:val="21"/>
        </w:rPr>
      </w:pPr>
      <w:r>
        <w:rPr>
          <w:rFonts w:hint="eastAsia" w:ascii="宋体" w:hAnsi="宋体"/>
          <w:szCs w:val="21"/>
        </w:rPr>
        <w:t>第十章  合同的授予与备案</w:t>
      </w:r>
    </w:p>
    <w:p>
      <w:pPr>
        <w:ind w:left="630" w:leftChars="300" w:firstLine="411" w:firstLineChars="196"/>
        <w:rPr>
          <w:rFonts w:hint="eastAsia" w:ascii="宋体" w:hAnsi="宋体"/>
          <w:szCs w:val="21"/>
        </w:rPr>
      </w:pPr>
      <w:r>
        <w:rPr>
          <w:rFonts w:hint="eastAsia" w:ascii="宋体" w:hAnsi="宋体"/>
          <w:szCs w:val="21"/>
        </w:rPr>
        <w:t>第十一章  质疑处理</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招标文件后，应仔细检查招标文件的所有内容，如有疑问应在答疑截止时间之前向政府集中采购机构提出，否则，由此引起的投标损失自负；投标人同时应认真审阅招标文件所有的事项、格式、条款和规范要求等，如果投标人的投标文件未按招标文件要求提交全部资料或者投标文件未对招标文件做出实质性响应，其风险由投标人自行承担。</w:t>
      </w:r>
    </w:p>
    <w:p>
      <w:pPr>
        <w:ind w:firstLine="411" w:firstLineChars="196"/>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w:t>
      </w:r>
      <w:r>
        <w:rPr>
          <w:rFonts w:hint="eastAsia" w:ascii="宋体" w:hAnsi="宋体"/>
        </w:rPr>
        <w:t>任何人或任何组织向投标人提交的任何书面或口头资料，未经政府集中采购机构在网上发布或书面通知，均作无效处理，不得作为招标文件的组成部分。政府集中采购机构对投标人由此而做出的推论、理解和结论概不负责。</w:t>
      </w:r>
    </w:p>
    <w:p>
      <w:pPr>
        <w:rPr>
          <w:rFonts w:hint="eastAsia" w:ascii="黑体" w:hAnsi="宋体" w:eastAsia="黑体"/>
          <w:sz w:val="24"/>
        </w:rPr>
      </w:pPr>
      <w:r>
        <w:rPr>
          <w:rFonts w:hint="eastAsia" w:ascii="黑体" w:hAnsi="宋体" w:eastAsia="黑体"/>
          <w:sz w:val="24"/>
        </w:rPr>
        <w:t>1</w:t>
      </w:r>
      <w:r>
        <w:rPr>
          <w:rFonts w:ascii="黑体" w:hAnsi="宋体" w:eastAsia="黑体"/>
          <w:sz w:val="24"/>
        </w:rPr>
        <w:t>2</w:t>
      </w:r>
      <w:r>
        <w:rPr>
          <w:rFonts w:hint="eastAsia" w:ascii="黑体" w:hAnsi="宋体" w:eastAsia="黑体"/>
          <w:sz w:val="24"/>
        </w:rPr>
        <w:t>．招标文件的澄清</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.1招标文件澄清的目的是澄清、解答投标人在查阅招标文件后或现场踏勘中可能提出的与投标有关的疑问或询问。</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.2投标人如对招标文件内容有疑问，应当在招标公告规定的澄清（提问）截止时间前以网上提问的形式通过网上政府采购系统提交政府集中采购机构。</w:t>
      </w:r>
    </w:p>
    <w:p>
      <w:pPr>
        <w:ind w:firstLine="411" w:firstLineChars="196"/>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招标文件进行必要的澄清或是根据投标人的要求对招标文件做出澄清，政府集中采购机构都将在投标截止日期前以书面形式（包括政府集中采购机构网站发布方式）答复或发送给所有投标人。答复内容是招标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pPr>
        <w:rPr>
          <w:rFonts w:hint="eastAsia" w:ascii="黑体" w:hAnsi="宋体" w:eastAsia="黑体"/>
          <w:sz w:val="24"/>
        </w:rPr>
      </w:pPr>
      <w:r>
        <w:rPr>
          <w:rFonts w:ascii="黑体" w:hAnsi="宋体" w:eastAsia="黑体"/>
          <w:sz w:val="24"/>
        </w:rPr>
        <w:t>1</w:t>
      </w:r>
      <w:r>
        <w:rPr>
          <w:rFonts w:hint="eastAsia" w:ascii="黑体" w:hAnsi="宋体" w:eastAsia="黑体"/>
          <w:sz w:val="24"/>
        </w:rPr>
        <w:t>3．招标文件的修改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3.1招标文件发出后，在投标截止日期前任何时候，确需要变更招标文件内容的，政府集中采购机构可主动或在解答投标人提出的澄清问题时对招标文件进行修改。</w:t>
      </w:r>
    </w:p>
    <w:p>
      <w:pPr>
        <w:ind w:firstLine="411" w:firstLineChars="196"/>
        <w:rPr>
          <w:rFonts w:hint="eastAsia" w:ascii="宋体" w:hAnsi="宋体"/>
          <w:szCs w:val="21"/>
        </w:rPr>
      </w:pPr>
      <w:r>
        <w:rPr>
          <w:rFonts w:ascii="宋体" w:hAnsi="宋体"/>
          <w:szCs w:val="21"/>
        </w:rPr>
        <w:t>1</w:t>
      </w:r>
      <w:r>
        <w:rPr>
          <w:rFonts w:hint="eastAsia" w:ascii="宋体" w:hAnsi="宋体"/>
          <w:szCs w:val="21"/>
        </w:rPr>
        <w:t>3.2招标文件的修改以书面形式（包括政府集中采购机构网站发布方式，如更正公告等）发送给所有投标人，招标文件的修改内容作为招标文件的组成部分，并具有约束力。</w:t>
      </w:r>
    </w:p>
    <w:p>
      <w:pPr>
        <w:ind w:firstLine="411" w:firstLineChars="196"/>
        <w:rPr>
          <w:rFonts w:hint="eastAsia" w:ascii="宋体" w:hAnsi="宋体"/>
          <w:szCs w:val="21"/>
        </w:rPr>
      </w:pPr>
      <w:r>
        <w:rPr>
          <w:rFonts w:ascii="宋体" w:hAnsi="宋体"/>
          <w:szCs w:val="21"/>
        </w:rPr>
        <w:t>1</w:t>
      </w:r>
      <w:r>
        <w:rPr>
          <w:rFonts w:hint="eastAsia" w:ascii="宋体" w:hAnsi="宋体"/>
          <w:szCs w:val="21"/>
        </w:rPr>
        <w:t>3.3招标文件、招标文件澄清答复内容、招标文件修改补充内容均以书面形式（包括政府集中采购机构网站公开发布方式，如更正公告等）明确的内容为准。当招标文件、修改补充通知、招标文件澄清答复内容相互矛盾时，以最后发出的内容为准。</w:t>
      </w:r>
    </w:p>
    <w:p>
      <w:pPr>
        <w:ind w:firstLine="411" w:firstLineChars="196"/>
        <w:rPr>
          <w:rFonts w:hint="eastAsia" w:ascii="宋体" w:hAnsi="宋体"/>
          <w:szCs w:val="21"/>
        </w:rPr>
      </w:pPr>
      <w:r>
        <w:rPr>
          <w:rFonts w:ascii="宋体" w:hAnsi="宋体"/>
          <w:szCs w:val="21"/>
        </w:rPr>
        <w:t>1</w:t>
      </w:r>
      <w:r>
        <w:rPr>
          <w:rFonts w:hint="eastAsia" w:ascii="宋体" w:hAnsi="宋体"/>
          <w:szCs w:val="21"/>
        </w:rPr>
        <w:t>3.4政府集中采购机构保证招标文件澄清答复内容和招标文件修改补充内容在投标截止时间前以书面形式（包括政府集中采购机构网站发布方式，如更正公告等）发送给所有投标人。为使投标人在编制投标文件时有充分时间对招标文件的修改部分进行研究，政府集中采购机构可以酌情延长递交投标文件的截止日期。</w:t>
      </w:r>
      <w:bookmarkEnd w:id="63"/>
    </w:p>
    <w:p>
      <w:pPr>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投标文件的编制</w:t>
      </w:r>
    </w:p>
    <w:p>
      <w:pPr>
        <w:rPr>
          <w:rFonts w:hint="eastAsia" w:ascii="黑体" w:hAnsi="宋体" w:eastAsia="黑体"/>
          <w:sz w:val="24"/>
        </w:rPr>
      </w:pPr>
      <w:r>
        <w:rPr>
          <w:rFonts w:hint="eastAsia" w:ascii="黑体" w:hAnsi="宋体" w:eastAsia="黑体"/>
          <w:sz w:val="24"/>
        </w:rPr>
        <w:t>14．</w:t>
      </w:r>
      <w:bookmarkStart w:id="64" w:name="_Hlk72400236"/>
      <w:r>
        <w:rPr>
          <w:rFonts w:hint="eastAsia" w:ascii="黑体" w:hAnsi="宋体" w:eastAsia="黑体"/>
          <w:sz w:val="24"/>
        </w:rPr>
        <w:t>投标文件的语言及度量单位</w:t>
      </w:r>
    </w:p>
    <w:p>
      <w:pPr>
        <w:ind w:firstLine="411" w:firstLineChars="196"/>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pPr>
        <w:ind w:firstLine="411" w:firstLineChars="196"/>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64"/>
    <w:p>
      <w:pPr>
        <w:rPr>
          <w:rFonts w:hint="eastAsia" w:ascii="黑体" w:hAnsi="宋体" w:eastAsia="黑体"/>
          <w:sz w:val="24"/>
        </w:rPr>
      </w:pPr>
      <w:r>
        <w:rPr>
          <w:rFonts w:hint="eastAsia" w:ascii="黑体" w:hAnsi="宋体" w:eastAsia="黑体"/>
          <w:sz w:val="24"/>
        </w:rPr>
        <w:t>15．</w:t>
      </w:r>
      <w:bookmarkStart w:id="65" w:name="_Hlk72401567"/>
      <w:r>
        <w:rPr>
          <w:rFonts w:hint="eastAsia" w:ascii="黑体" w:hAnsi="宋体" w:eastAsia="黑体"/>
          <w:sz w:val="24"/>
        </w:rPr>
        <w:t>投标文件的组成</w:t>
      </w:r>
    </w:p>
    <w:p>
      <w:pPr>
        <w:ind w:firstLine="411" w:firstLineChars="196"/>
        <w:rPr>
          <w:rFonts w:hint="eastAsia" w:ascii="宋体" w:hAnsi="宋体"/>
          <w:szCs w:val="21"/>
        </w:rPr>
      </w:pPr>
      <w:r>
        <w:rPr>
          <w:rFonts w:hint="eastAsia" w:ascii="宋体" w:hAnsi="宋体"/>
          <w:szCs w:val="21"/>
        </w:rPr>
        <w:t>具体内容在招标文件专用条款中进行规定。</w:t>
      </w:r>
    </w:p>
    <w:p>
      <w:pPr>
        <w:rPr>
          <w:rFonts w:hint="eastAsia" w:ascii="黑体" w:hAnsi="宋体" w:eastAsia="黑体"/>
          <w:sz w:val="24"/>
        </w:rPr>
      </w:pPr>
      <w:r>
        <w:rPr>
          <w:rFonts w:ascii="黑体" w:hAnsi="宋体" w:eastAsia="黑体"/>
          <w:sz w:val="24"/>
        </w:rPr>
        <w:t>16．投标文件格式</w:t>
      </w:r>
    </w:p>
    <w:p>
      <w:pPr>
        <w:ind w:firstLine="411" w:firstLineChars="196"/>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15条中规定的内容。如招标文件提供了投标文件格式，则</w:t>
      </w:r>
      <w:r>
        <w:rPr>
          <w:rFonts w:hint="eastAsia" w:ascii="宋体" w:hAnsi="宋体"/>
          <w:b/>
          <w:bCs/>
          <w:szCs w:val="21"/>
        </w:rPr>
        <w:t>投标人提交的投标文件应毫无例外地使用招标文件所提供的相应格式</w:t>
      </w:r>
      <w:r>
        <w:rPr>
          <w:rFonts w:hint="eastAsia" w:ascii="宋体" w:hAnsi="宋体"/>
          <w:szCs w:val="21"/>
        </w:rPr>
        <w:t>（表格均可按同样格式扩展）。</w:t>
      </w:r>
    </w:p>
    <w:p>
      <w:pPr>
        <w:rPr>
          <w:rFonts w:hint="eastAsia" w:ascii="黑体" w:hAnsi="宋体" w:eastAsia="黑体"/>
          <w:sz w:val="24"/>
        </w:rPr>
      </w:pPr>
      <w:r>
        <w:rPr>
          <w:rFonts w:hint="eastAsia" w:ascii="黑体" w:hAnsi="宋体" w:eastAsia="黑体"/>
          <w:sz w:val="24"/>
        </w:rPr>
        <w:t>17．投标货币</w:t>
      </w:r>
    </w:p>
    <w:p>
      <w:pPr>
        <w:ind w:firstLine="411" w:firstLineChars="196"/>
        <w:rPr>
          <w:rFonts w:hint="eastAsia" w:ascii="宋体" w:hAnsi="宋体"/>
          <w:szCs w:val="21"/>
        </w:rPr>
      </w:pPr>
      <w:r>
        <w:rPr>
          <w:rFonts w:hint="eastAsia" w:ascii="宋体" w:hAnsi="宋体"/>
          <w:szCs w:val="21"/>
        </w:rPr>
        <w:t>本项目的投标报价应以人民币计。</w:t>
      </w:r>
    </w:p>
    <w:bookmarkEnd w:id="65"/>
    <w:p>
      <w:pPr>
        <w:rPr>
          <w:rFonts w:hint="eastAsia" w:ascii="黑体" w:hAnsi="宋体" w:eastAsia="黑体"/>
          <w:sz w:val="24"/>
        </w:rPr>
      </w:pPr>
      <w:r>
        <w:rPr>
          <w:rFonts w:hint="eastAsia" w:ascii="黑体" w:hAnsi="宋体" w:eastAsia="黑体"/>
          <w:sz w:val="24"/>
        </w:rPr>
        <w:t>18．</w:t>
      </w:r>
      <w:bookmarkStart w:id="66" w:name="_Hlk72401735"/>
      <w:r>
        <w:rPr>
          <w:rFonts w:hint="eastAsia" w:ascii="黑体" w:hAnsi="宋体" w:eastAsia="黑体"/>
          <w:sz w:val="24"/>
        </w:rPr>
        <w:t>证明投标文件投标技术方案的合格性和符合招标文件规定的文件要求</w:t>
      </w:r>
    </w:p>
    <w:p>
      <w:pPr>
        <w:ind w:firstLine="411" w:firstLineChars="196"/>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投标人应提交证明文件，证明其投标技术方案项下的货物和服务的合格性符合招标文件规定。该投标技术方案及其证明文件均作为投标文件组成部分。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招标文件的要求相一致的文件，可以是文字资料、图纸、数据或数码照片、制造商公布的产品说明书、产品彩页和我国政府机构出具的产品检验和核准证件等，提供的文件应符合以下要求：</w:t>
      </w:r>
    </w:p>
    <w:p>
      <w:pPr>
        <w:ind w:firstLine="411" w:firstLineChars="196"/>
        <w:rPr>
          <w:rFonts w:hint="eastAsia" w:ascii="宋体" w:hAnsi="宋体"/>
          <w:szCs w:val="21"/>
        </w:rPr>
      </w:pPr>
      <w:r>
        <w:rPr>
          <w:rFonts w:hint="eastAsia" w:ascii="宋体" w:hAnsi="宋体"/>
          <w:szCs w:val="21"/>
        </w:rPr>
        <w:t>18.2.1主要技术指标和性能的详细说明。</w:t>
      </w:r>
    </w:p>
    <w:p>
      <w:pPr>
        <w:ind w:firstLine="411" w:firstLineChars="196"/>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投标产品从采购人开始使用至招标文件中规定的周期内正常、连续地使用所必须的备件和专用工具清单，包括备件和专用工具的货源及现行价格。</w:t>
      </w:r>
    </w:p>
    <w:p>
      <w:pPr>
        <w:ind w:firstLine="411" w:firstLineChars="196"/>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招标文件技术规格，逐条说明投标技术方案已对采购人的技术规格做出了实质性的响应，或申明与技术规格条文的偏差和例外。投标人应详细说明投标技术方案中产品的具体参数，不得不合理照搬照抄招标文件的技术要求。</w:t>
      </w:r>
    </w:p>
    <w:p>
      <w:pPr>
        <w:ind w:firstLine="411" w:firstLineChars="196"/>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pPr>
        <w:ind w:firstLine="411" w:firstLineChars="196"/>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pPr>
        <w:ind w:firstLine="411" w:firstLineChars="196"/>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hint="eastAsia" w:ascii="宋体" w:hAnsi="宋体"/>
          <w:szCs w:val="21"/>
        </w:rPr>
        <w:t>，由评审委员会来评判。</w:t>
      </w:r>
    </w:p>
    <w:p>
      <w:pPr>
        <w:ind w:firstLine="411" w:firstLineChars="196"/>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66"/>
    <w:p>
      <w:pPr>
        <w:rPr>
          <w:rFonts w:hint="eastAsia" w:ascii="黑体" w:hAnsi="宋体" w:eastAsia="黑体"/>
          <w:sz w:val="24"/>
        </w:rPr>
      </w:pPr>
      <w:r>
        <w:rPr>
          <w:rFonts w:hint="eastAsia" w:ascii="黑体" w:hAnsi="宋体" w:eastAsia="黑体"/>
          <w:sz w:val="24"/>
        </w:rPr>
        <w:t>19．</w:t>
      </w:r>
      <w:bookmarkStart w:id="67" w:name="_Hlk72402034"/>
      <w:r>
        <w:rPr>
          <w:rFonts w:hint="eastAsia" w:ascii="黑体" w:hAnsi="宋体" w:eastAsia="黑体"/>
          <w:sz w:val="24"/>
        </w:rPr>
        <w:t>投标文件其他证明文件的要求</w:t>
      </w:r>
    </w:p>
    <w:p>
      <w:pPr>
        <w:rPr>
          <w:rFonts w:hint="eastAsia" w:ascii="宋体" w:hAnsi="宋体"/>
          <w:color w:val="FF0000"/>
          <w:szCs w:val="21"/>
        </w:rPr>
      </w:pPr>
      <w:r>
        <w:rPr>
          <w:rFonts w:hint="eastAsia" w:ascii="黑体" w:hAnsi="宋体" w:eastAsia="黑体"/>
          <w:sz w:val="24"/>
        </w:rPr>
        <w:t xml:space="preserve">    </w:t>
      </w:r>
      <w:r>
        <w:rPr>
          <w:rFonts w:hint="eastAsia" w:ascii="宋体" w:hAnsi="宋体"/>
          <w:szCs w:val="21"/>
        </w:rPr>
        <w:t>19.1</w:t>
      </w:r>
      <w:bookmarkStart w:id="68" w:name="_Hlk71407299"/>
      <w:r>
        <w:rPr>
          <w:rFonts w:hint="eastAsia" w:ascii="宋体" w:hAnsi="宋体"/>
          <w:szCs w:val="21"/>
        </w:rPr>
        <w:t>采用综合评分法的项目，对项目招标文件《评标信息》评分项中涉及的相关业绩、社保情况等内容以及《资格性审查表》和《符合性审查表》中涉及的证明材料，投标人应提供相关部门出具的证明材料扫描件或照片，原件备查。有关扫描件（或照片）的尺寸和清晰度要求能够使用电脑阅读、识别和判断。若投标人未按要求提供证明材料或提供的是部分证明材料或提供不清晰的扫描件（或照片）的，采购人、代理机构及评审委员会依据各自审查范围，有权认定其投标文件未对招标文件有关需求进行响应，涉及资格性审查或符合性审查的予以投标无效处理，涉及《评标信息》打分项的则该项评分予以0分处理。对供应商投标资料是否异常、是否有效问题进行核查和判定，如认为供应商投标资料有异常或无效的，若涉及资格性审查或符合性审查条款的，则应作投标无效处理；若涉及评分的，则作不得分处理。</w:t>
      </w:r>
    </w:p>
    <w:bookmarkEnd w:id="68"/>
    <w:p>
      <w:pPr>
        <w:ind w:firstLine="411" w:firstLineChars="196"/>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pPr>
        <w:rPr>
          <w:rFonts w:hint="eastAsia" w:ascii="黑体" w:hAnsi="宋体" w:eastAsia="黑体"/>
          <w:sz w:val="24"/>
        </w:rPr>
      </w:pPr>
      <w:r>
        <w:rPr>
          <w:rFonts w:hint="eastAsia" w:ascii="黑体" w:hAnsi="宋体" w:eastAsia="黑体"/>
          <w:sz w:val="24"/>
        </w:rPr>
        <w:t>20．投标有效期</w:t>
      </w:r>
    </w:p>
    <w:bookmarkEnd w:id="67"/>
    <w:p>
      <w:pPr>
        <w:ind w:firstLine="411" w:firstLineChars="196"/>
        <w:rPr>
          <w:rFonts w:hint="eastAsia" w:ascii="宋体" w:hAnsi="宋体"/>
          <w:szCs w:val="21"/>
        </w:rPr>
      </w:pPr>
      <w:bookmarkStart w:id="69"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pPr>
        <w:ind w:firstLine="411" w:firstLineChars="196"/>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pPr>
        <w:ind w:firstLine="411" w:firstLineChars="196"/>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中标供应商的投标文件有效期，截止于完成本招标文件规定的全部项目内容，并通过竣工验收及保修期结束。</w:t>
      </w:r>
    </w:p>
    <w:bookmarkEnd w:id="69"/>
    <w:p>
      <w:pPr>
        <w:rPr>
          <w:rFonts w:hint="eastAsia" w:ascii="黑体" w:hAnsi="宋体" w:eastAsia="黑体"/>
          <w:sz w:val="24"/>
        </w:rPr>
      </w:pPr>
      <w:r>
        <w:rPr>
          <w:rFonts w:hint="eastAsia" w:ascii="黑体" w:hAnsi="宋体" w:eastAsia="黑体"/>
          <w:sz w:val="24"/>
        </w:rPr>
        <w:t>21．</w:t>
      </w:r>
      <w:bookmarkStart w:id="70" w:name="_Hlk72402325"/>
      <w:r>
        <w:rPr>
          <w:rFonts w:hint="eastAsia" w:ascii="黑体" w:hAnsi="宋体" w:eastAsia="黑体"/>
          <w:sz w:val="24"/>
        </w:rPr>
        <w:t xml:space="preserve">关于投标保证金 </w:t>
      </w:r>
    </w:p>
    <w:p>
      <w:pPr>
        <w:rPr>
          <w:rFonts w:hint="eastAsia" w:ascii="宋体" w:hAnsi="宋体"/>
          <w:szCs w:val="21"/>
        </w:rPr>
      </w:pPr>
      <w:r>
        <w:rPr>
          <w:rFonts w:hint="eastAsia" w:ascii="宋体" w:hAnsi="宋体"/>
          <w:szCs w:val="21"/>
        </w:rPr>
        <w:t xml:space="preserve">    21.1</w:t>
      </w:r>
      <w:r>
        <w:rPr>
          <w:rFonts w:hint="eastAsia"/>
        </w:rPr>
        <w:t>根据《深圳市财政局关于调整政府采购投标（响应）保证金管理政策的通知》（深财购〔2021〕51号）文的规定，本项目不收取投标保证金。</w:t>
      </w:r>
    </w:p>
    <w:p>
      <w:pPr>
        <w:rPr>
          <w:rFonts w:hint="eastAsia" w:ascii="黑体" w:hAnsi="宋体" w:eastAsia="黑体"/>
          <w:sz w:val="24"/>
        </w:rPr>
      </w:pPr>
      <w:r>
        <w:rPr>
          <w:rFonts w:hint="eastAsia" w:ascii="黑体" w:hAnsi="宋体" w:eastAsia="黑体"/>
          <w:sz w:val="24"/>
        </w:rPr>
        <w:t>22．投标人的替代方案</w:t>
      </w:r>
    </w:p>
    <w:p>
      <w:pPr>
        <w:ind w:firstLine="411" w:firstLineChars="196"/>
        <w:rPr>
          <w:rFonts w:hint="eastAsia" w:ascii="宋体" w:hAnsi="宋体"/>
          <w:szCs w:val="21"/>
        </w:rPr>
      </w:pPr>
      <w:r>
        <w:rPr>
          <w:rFonts w:hint="eastAsia" w:ascii="宋体" w:hAnsi="宋体"/>
          <w:szCs w:val="21"/>
        </w:rPr>
        <w:t>22.1投标人所提交的投标文件应完全满足招标文件（包括图纸和技术规范所示的基本技术设计）的要求。除非项目明确允许投标人提交替代方案，否则投标人有关替代方案的条款将初审不通过，作投标无效处理。</w:t>
      </w:r>
    </w:p>
    <w:p>
      <w:pPr>
        <w:ind w:firstLine="411" w:firstLineChars="196"/>
        <w:rPr>
          <w:rFonts w:hint="eastAsia" w:ascii="宋体" w:hAnsi="宋体"/>
          <w:szCs w:val="21"/>
        </w:rPr>
      </w:pPr>
      <w:r>
        <w:rPr>
          <w:rFonts w:hint="eastAsia" w:ascii="宋体" w:hAnsi="宋体"/>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bookmarkEnd w:id="70"/>
    <w:p>
      <w:pPr>
        <w:rPr>
          <w:rFonts w:hint="eastAsia" w:ascii="黑体" w:hAnsi="宋体" w:eastAsia="黑体"/>
          <w:sz w:val="24"/>
        </w:rPr>
      </w:pPr>
      <w:r>
        <w:rPr>
          <w:rFonts w:hint="eastAsia" w:ascii="黑体" w:hAnsi="宋体" w:eastAsia="黑体"/>
          <w:sz w:val="24"/>
        </w:rPr>
        <w:t>23．</w:t>
      </w:r>
      <w:bookmarkStart w:id="71" w:name="_Hlk72402860"/>
      <w:r>
        <w:rPr>
          <w:rFonts w:ascii="黑体" w:hAnsi="宋体" w:eastAsia="黑体"/>
          <w:sz w:val="24"/>
        </w:rPr>
        <w:t>投标文件的</w:t>
      </w:r>
      <w:r>
        <w:rPr>
          <w:rFonts w:hint="eastAsia" w:ascii="黑体" w:hAnsi="宋体" w:eastAsia="黑体"/>
          <w:sz w:val="24"/>
        </w:rPr>
        <w:t>制作</w:t>
      </w:r>
      <w:r>
        <w:rPr>
          <w:rFonts w:ascii="黑体" w:hAnsi="宋体" w:eastAsia="黑体"/>
          <w:sz w:val="24"/>
        </w:rPr>
        <w:t>要求</w:t>
      </w:r>
    </w:p>
    <w:p>
      <w:pPr>
        <w:ind w:firstLine="411" w:firstLineChars="196"/>
        <w:rPr>
          <w:rFonts w:hint="eastAsia" w:ascii="宋体" w:hAnsi="宋体"/>
        </w:rPr>
      </w:pPr>
      <w:r>
        <w:rPr>
          <w:rFonts w:hint="eastAsia" w:ascii="宋体" w:hAnsi="宋体"/>
        </w:rPr>
        <w:t>23.1投标人应准备所投项目的电子投标文件一份。</w:t>
      </w:r>
    </w:p>
    <w:p>
      <w:pPr>
        <w:ind w:firstLine="411" w:firstLineChars="196"/>
        <w:rPr>
          <w:rFonts w:hint="eastAsia" w:ascii="宋体" w:hAnsi="宋体"/>
        </w:rPr>
      </w:pPr>
      <w:r>
        <w:rPr>
          <w:rFonts w:hint="eastAsia" w:ascii="宋体" w:hAnsi="宋体"/>
        </w:rPr>
        <w:t>23.2投标人在使用《投标书编制软件》编制投标书时须注意：</w:t>
      </w:r>
    </w:p>
    <w:p>
      <w:pPr>
        <w:ind w:firstLine="411" w:firstLineChars="196"/>
        <w:rPr>
          <w:rFonts w:hint="eastAsia" w:ascii="宋体" w:hAnsi="宋体"/>
        </w:rPr>
      </w:pPr>
      <w:r>
        <w:rPr>
          <w:rFonts w:hint="eastAsia" w:ascii="宋体" w:hAnsi="宋体"/>
        </w:rPr>
        <w:t>23.2.1导入《投标书编制软件》的招标文件项目编号、包号应与以此制作的投标文件项目编号、包号一致。例如，不能将甲项目A包的招标书导入《投标书编制软件》，制作乙项目B包的投标书。</w:t>
      </w:r>
    </w:p>
    <w:p>
      <w:pPr>
        <w:ind w:firstLine="411" w:firstLineChars="196"/>
        <w:rPr>
          <w:rFonts w:hint="eastAsia" w:ascii="宋体" w:hAnsi="宋体"/>
        </w:rPr>
      </w:pPr>
      <w:r>
        <w:rPr>
          <w:rFonts w:hint="eastAsia" w:ascii="宋体" w:hAnsi="宋体"/>
        </w:rPr>
        <w:t>23.2.2不能用非本公司的电子密钥加密本公司的投标文件，或者用其它公司的登录用户上传本公司的投标文件。</w:t>
      </w:r>
    </w:p>
    <w:p>
      <w:pPr>
        <w:ind w:firstLine="411" w:firstLineChars="196"/>
        <w:rPr>
          <w:rFonts w:hint="eastAsia" w:ascii="宋体" w:hAnsi="宋体"/>
        </w:rPr>
      </w:pPr>
      <w:r>
        <w:rPr>
          <w:rFonts w:hint="eastAsia" w:ascii="宋体" w:hAnsi="宋体"/>
        </w:rPr>
        <w:t>23.2.3要求用《投标书编制软件》编制投标书的包，不能用其它方式编制投标书。编制投标文件时，电脑须连通互联网。</w:t>
      </w:r>
    </w:p>
    <w:p>
      <w:pPr>
        <w:ind w:firstLine="411" w:firstLineChars="196"/>
        <w:rPr>
          <w:rFonts w:hint="eastAsia" w:ascii="宋体" w:hAnsi="宋体"/>
        </w:rPr>
      </w:pPr>
      <w:r>
        <w:rPr>
          <w:rFonts w:hint="eastAsia" w:ascii="宋体" w:hAnsi="宋体"/>
        </w:rPr>
        <w:t>23.2.4投标文件不能带病毒。政府集中采购机构将用专业杀毒软件对投标文件进行病毒检测，如果这两种软件均报告发现病毒，则政府集中采购机构认为该投标文件带病毒。</w:t>
      </w:r>
    </w:p>
    <w:p>
      <w:pPr>
        <w:ind w:firstLine="411" w:firstLineChars="196"/>
        <w:rPr>
          <w:rFonts w:hint="eastAsia" w:ascii="宋体" w:hAnsi="宋体"/>
        </w:rPr>
      </w:pPr>
      <w:r>
        <w:rPr>
          <w:rFonts w:hint="eastAsia" w:ascii="宋体" w:hAnsi="宋体"/>
        </w:rPr>
        <w:t>23.2.6投标人在编辑投标文件时，</w:t>
      </w:r>
      <w:r>
        <w:rPr>
          <w:rFonts w:hint="eastAsia" w:ascii="宋体" w:hAnsi="宋体"/>
          <w:b/>
        </w:rPr>
        <w:t>在投标文件目录中属于本节点内容的必须在本节点中填写，填写到其他节点或附件，</w:t>
      </w:r>
      <w:r>
        <w:rPr>
          <w:rFonts w:hint="eastAsia" w:ascii="宋体" w:hAnsi="宋体"/>
        </w:rPr>
        <w:t>一切后果由供应商自行承担。</w:t>
      </w:r>
    </w:p>
    <w:p>
      <w:pPr>
        <w:ind w:firstLine="411" w:firstLineChars="196"/>
        <w:rPr>
          <w:rFonts w:hint="eastAsia" w:ascii="宋体" w:hAnsi="宋体"/>
        </w:rPr>
      </w:pPr>
      <w:r>
        <w:rPr>
          <w:rFonts w:hint="eastAsia" w:ascii="宋体" w:hAnsi="宋体"/>
        </w:rPr>
        <w:t>23.2.7投标文件编写完成后，</w:t>
      </w:r>
      <w:r>
        <w:rPr>
          <w:rFonts w:hint="eastAsia" w:ascii="宋体" w:hAnsi="宋体"/>
          <w:b/>
        </w:rPr>
        <w:t>必须用属于投标人的电子密钥或电子营业执照进行加密，否则视同未盖公章，将导致投标文件无效。</w:t>
      </w:r>
    </w:p>
    <w:p>
      <w:pPr>
        <w:ind w:firstLine="411" w:firstLineChars="196"/>
        <w:rPr>
          <w:rFonts w:hint="eastAsia" w:ascii="宋体" w:hAnsi="宋体"/>
        </w:rPr>
      </w:pPr>
      <w:r>
        <w:rPr>
          <w:rFonts w:hint="eastAsia" w:ascii="宋体" w:hAnsi="宋体"/>
        </w:rPr>
        <w:t>23.2.8政府集中采购机构不接受投标截止时间后递交的纸质、电子、传真等所有形式的投标文件。由于对网上政府采购系统操作不熟悉或自身电脑、网络等原因导致不能在投标截止时间之前上传投标文件，政府集中采购机构概不负责。建议于开标前一个工作日完成投标文件的制作与上传，如上传确有困难，请及时咨询。</w:t>
      </w:r>
    </w:p>
    <w:p>
      <w:pPr>
        <w:ind w:firstLine="411" w:firstLineChars="196"/>
        <w:rPr>
          <w:rFonts w:hint="eastAsia" w:ascii="宋体" w:hAnsi="宋体"/>
        </w:rPr>
      </w:pPr>
      <w:r>
        <w:rPr>
          <w:rFonts w:hint="eastAsia" w:ascii="宋体" w:hAnsi="宋体"/>
        </w:rPr>
        <w:t>23.2.9如果开标时出现网络故障、技术故障，影响了政府采购活动，政府集中采购机构有权采取措施如延期、接受无法从网上上传的投标书等，以保障政府采购活动的公开、公平和公正。</w:t>
      </w:r>
    </w:p>
    <w:p>
      <w:pPr>
        <w:ind w:firstLine="411" w:firstLineChars="196"/>
        <w:rPr>
          <w:rFonts w:hint="eastAsia" w:ascii="宋体" w:hAnsi="宋体"/>
        </w:rPr>
      </w:pPr>
      <w:r>
        <w:rPr>
          <w:rFonts w:hint="eastAsia" w:ascii="宋体" w:hAnsi="宋体"/>
        </w:rPr>
        <w:t>23.3电报、电话、传真形式的投标概不接受。</w:t>
      </w:r>
    </w:p>
    <w:p>
      <w:pPr>
        <w:ind w:firstLine="413" w:firstLineChars="196"/>
        <w:rPr>
          <w:rFonts w:hint="eastAsia" w:ascii="宋体" w:hAnsi="宋体"/>
          <w:b/>
        </w:rPr>
      </w:pPr>
      <w:r>
        <w:rPr>
          <w:rFonts w:hint="eastAsia" w:ascii="宋体" w:hAnsi="宋体"/>
          <w:b/>
        </w:rPr>
        <w:t>23.4经投标人电子密钥或电子营业执照加密的投标文件无须盖章或签字，</w:t>
      </w:r>
      <w:r>
        <w:rPr>
          <w:rFonts w:hint="eastAsia" w:ascii="宋体" w:hAnsi="宋体"/>
        </w:rPr>
        <w:t>专用条款另有要求的除外。</w:t>
      </w:r>
    </w:p>
    <w:p>
      <w:pPr>
        <w:ind w:firstLine="413" w:firstLineChars="196"/>
        <w:rPr>
          <w:rFonts w:hint="eastAsia" w:ascii="宋体" w:hAnsi="宋体"/>
        </w:rPr>
      </w:pPr>
      <w:r>
        <w:rPr>
          <w:rFonts w:hint="eastAsia" w:ascii="宋体" w:hAnsi="宋体"/>
          <w:b/>
        </w:rPr>
        <w:t>23.5</w:t>
      </w:r>
      <w:r>
        <w:rPr>
          <w:rFonts w:hint="eastAsia" w:ascii="宋体" w:hAnsi="宋体"/>
        </w:rPr>
        <w:t xml:space="preserve"> 各类资格（资质）文件提供扫描件，专用条款另有要求的除外。</w:t>
      </w:r>
      <w:bookmarkEnd w:id="71"/>
    </w:p>
    <w:p>
      <w:pPr>
        <w:ind w:firstLine="411" w:firstLineChars="196"/>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投标文件的递交</w:t>
      </w:r>
    </w:p>
    <w:p>
      <w:pPr>
        <w:rPr>
          <w:rFonts w:hint="eastAsia" w:ascii="黑体" w:hAnsi="宋体" w:eastAsia="黑体"/>
          <w:sz w:val="24"/>
        </w:rPr>
      </w:pPr>
      <w:bookmarkStart w:id="72" w:name="_Hlk72405459"/>
      <w:r>
        <w:rPr>
          <w:rFonts w:hint="eastAsia" w:ascii="黑体" w:hAnsi="宋体" w:eastAsia="黑体"/>
          <w:sz w:val="24"/>
        </w:rPr>
        <w:t>24．投标文件的保密</w:t>
      </w:r>
    </w:p>
    <w:p>
      <w:pPr>
        <w:ind w:firstLine="411" w:firstLineChars="196"/>
        <w:rPr>
          <w:rFonts w:hint="eastAsia" w:ascii="宋体" w:hAnsi="宋体"/>
        </w:rPr>
      </w:pPr>
      <w:r>
        <w:rPr>
          <w:rFonts w:hint="eastAsia" w:ascii="宋体" w:hAnsi="宋体"/>
        </w:rPr>
        <w:t>24.1在投标文件制作完成后，生成后会选择是否加密投标文件，如不加密则直接点击生成文件即可，如需加密请插入CA锁，点击加密后生成文件，需输入CA锁密码即可加密成功。加密后会提示文件生成成功！</w:t>
      </w:r>
      <w:r>
        <w:rPr>
          <w:rFonts w:hint="eastAsia" w:ascii="宋体" w:hAnsi="宋体"/>
          <w:highlight w:val="yellow"/>
        </w:rPr>
        <w:t>(注意：加密的投标文件开标时须使用加密文件时使用的锁在项目规定时间内解密！)</w:t>
      </w:r>
    </w:p>
    <w:p>
      <w:pPr>
        <w:rPr>
          <w:rFonts w:hint="eastAsia" w:ascii="宋体" w:hAnsi="宋体"/>
          <w:b/>
        </w:rPr>
      </w:pPr>
      <w:r>
        <w:rPr>
          <w:rFonts w:hint="eastAsia" w:ascii="宋体" w:hAnsi="宋体"/>
          <w:b/>
        </w:rPr>
        <w:t>24.2若采购项目出现延期情况：</w:t>
      </w:r>
    </w:p>
    <w:p>
      <w:pPr>
        <w:ind w:firstLine="422" w:firstLineChars="200"/>
        <w:rPr>
          <w:rFonts w:hint="eastAsia" w:ascii="黑体" w:hAnsi="宋体" w:eastAsia="黑体"/>
          <w:b/>
          <w:sz w:val="24"/>
        </w:rPr>
      </w:pPr>
      <w:r>
        <w:rPr>
          <w:rFonts w:hint="eastAsia" w:ascii="宋体" w:hAnsi="宋体"/>
          <w:b/>
        </w:rPr>
        <w:t>如果供下载的招标文件有更新，投标人必须重新下载招标文件、重新制作投标文件、重新加密投标文件、重新上传投标文件。</w:t>
      </w:r>
    </w:p>
    <w:p>
      <w:pPr>
        <w:rPr>
          <w:rFonts w:hint="eastAsia" w:ascii="黑体" w:hAnsi="宋体" w:eastAsia="黑体"/>
          <w:sz w:val="24"/>
        </w:rPr>
      </w:pPr>
      <w:r>
        <w:rPr>
          <w:rFonts w:hint="eastAsia" w:ascii="黑体" w:hAnsi="宋体" w:eastAsia="黑体"/>
          <w:sz w:val="24"/>
        </w:rPr>
        <w:t>25．上传投标文件及投标截止日期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1实行网上投标，</w:t>
      </w:r>
      <w:r>
        <w:rPr>
          <w:rFonts w:ascii="宋体" w:hAnsi="宋体"/>
        </w:rPr>
        <w:t>投标人必须</w:t>
      </w:r>
      <w:r>
        <w:rPr>
          <w:rFonts w:hint="eastAsia" w:ascii="宋体" w:hAnsi="宋体"/>
        </w:rPr>
        <w:t>在招标</w:t>
      </w:r>
      <w:r>
        <w:rPr>
          <w:rFonts w:ascii="宋体" w:hAnsi="宋体"/>
        </w:rPr>
        <w:t>文件规定的投标截止时间前</w:t>
      </w:r>
      <w:r>
        <w:rPr>
          <w:rFonts w:hint="eastAsia" w:ascii="宋体" w:hAnsi="宋体"/>
        </w:rPr>
        <w:t>用电子密钥登录“深圳政府采购自行采购系统（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龙华分公司）（地址：深圳市龙华区观湖街道大和社区大和路288号宝观城锦鲤大厦办公楼22楼）协助上传，但上传过程中投标截止时间到达仍无法上传成功的，由投标人自行负责</w:t>
      </w:r>
      <w:r>
        <w:rPr>
          <w:rFonts w:hint="eastAsia" w:ascii="宋体" w:hAnsi="宋体"/>
        </w:rPr>
        <w:t>。</w:t>
      </w:r>
    </w:p>
    <w:p>
      <w:pPr>
        <w:ind w:firstLine="411" w:firstLineChars="196"/>
        <w:rPr>
          <w:rFonts w:hint="eastAsia" w:ascii="宋体" w:hAnsi="宋体"/>
        </w:rPr>
      </w:pPr>
      <w:r>
        <w:rPr>
          <w:rFonts w:hint="eastAsia" w:ascii="宋体" w:hAnsi="宋体"/>
        </w:rPr>
        <w:t>25.2政府集中采购机构可以按本通用条款第13条规定，通过修改招标文件自行决定酌情延长投标截止期。在此情况下，政府集中采购机构、采购人和投标人受投标截止期制约的所有权利和义务均应延长至新的截止期。</w:t>
      </w:r>
    </w:p>
    <w:p>
      <w:pPr>
        <w:ind w:firstLine="411" w:firstLineChars="196"/>
        <w:rPr>
          <w:rFonts w:hint="eastAsia" w:ascii="宋体" w:hAnsi="宋体"/>
        </w:rPr>
      </w:pPr>
      <w:r>
        <w:rPr>
          <w:rFonts w:hint="eastAsia" w:ascii="宋体" w:hAnsi="宋体"/>
        </w:rPr>
        <w:t>25</w:t>
      </w:r>
      <w:r>
        <w:rPr>
          <w:rFonts w:ascii="宋体" w:hAnsi="宋体"/>
        </w:rPr>
        <w:t>.</w:t>
      </w:r>
      <w:r>
        <w:rPr>
          <w:rFonts w:hint="eastAsia" w:ascii="宋体" w:hAnsi="宋体"/>
        </w:rPr>
        <w:t>3投标截止时间以后不得上传投标文件。</w:t>
      </w:r>
    </w:p>
    <w:p>
      <w:pPr>
        <w:ind w:firstLine="411" w:firstLineChars="196"/>
        <w:rPr>
          <w:rFonts w:hint="eastAsia" w:ascii="宋体" w:hAnsi="宋体"/>
        </w:rPr>
      </w:pPr>
    </w:p>
    <w:p>
      <w:pPr>
        <w:ind w:firstLine="411" w:firstLineChars="196"/>
        <w:rPr>
          <w:rFonts w:hint="eastAsia" w:ascii="宋体" w:hAnsi="宋体"/>
        </w:rPr>
      </w:pPr>
    </w:p>
    <w:bookmarkEnd w:id="72"/>
    <w:p>
      <w:pPr>
        <w:rPr>
          <w:rFonts w:hint="eastAsia" w:ascii="黑体" w:hAnsi="宋体" w:eastAsia="黑体"/>
          <w:sz w:val="24"/>
        </w:rPr>
      </w:pPr>
      <w:r>
        <w:rPr>
          <w:rFonts w:hint="eastAsia" w:ascii="黑体" w:hAnsi="宋体" w:eastAsia="黑体"/>
          <w:sz w:val="24"/>
        </w:rPr>
        <w:t>26. 样品、现场演示、方案讲解</w:t>
      </w:r>
    </w:p>
    <w:p>
      <w:pPr>
        <w:ind w:firstLine="411" w:firstLineChars="196"/>
        <w:rPr>
          <w:rFonts w:hint="eastAsia" w:ascii="宋体" w:hAnsi="宋体"/>
          <w:szCs w:val="21"/>
        </w:rPr>
      </w:pPr>
      <w:r>
        <w:rPr>
          <w:rFonts w:hint="eastAsia" w:ascii="宋体" w:hAnsi="宋体"/>
          <w:szCs w:val="21"/>
        </w:rPr>
        <w:t>26.1 样品、现场演示、方案讲解等事项在招标文件专用条款中进行规定。</w:t>
      </w:r>
    </w:p>
    <w:p>
      <w:pPr>
        <w:rPr>
          <w:rFonts w:hint="eastAsia" w:ascii="黑体" w:hAnsi="宋体" w:eastAsia="黑体"/>
          <w:sz w:val="24"/>
        </w:rPr>
      </w:pPr>
      <w:bookmarkStart w:id="73" w:name="_Hlk72428346"/>
      <w:r>
        <w:rPr>
          <w:rFonts w:ascii="黑体" w:hAnsi="宋体" w:eastAsia="黑体"/>
          <w:sz w:val="24"/>
        </w:rPr>
        <w:t>2</w:t>
      </w:r>
      <w:r>
        <w:rPr>
          <w:rFonts w:hint="eastAsia" w:ascii="黑体" w:hAnsi="宋体" w:eastAsia="黑体"/>
          <w:sz w:val="24"/>
        </w:rPr>
        <w:t>7．</w:t>
      </w:r>
      <w:r>
        <w:rPr>
          <w:rFonts w:ascii="黑体" w:hAnsi="宋体" w:eastAsia="黑体"/>
          <w:sz w:val="24"/>
        </w:rPr>
        <w:t>投标文件的修改和撤销</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1</w:t>
      </w:r>
      <w:r>
        <w:rPr>
          <w:rFonts w:ascii="宋体" w:hAnsi="宋体"/>
        </w:rPr>
        <w:t>投标方在提交投标文件后可对其投标文件进行修改</w:t>
      </w:r>
      <w:r>
        <w:rPr>
          <w:rFonts w:hint="eastAsia" w:ascii="宋体" w:hAnsi="宋体"/>
        </w:rPr>
        <w:t>并重新上传投标文件</w:t>
      </w:r>
      <w:r>
        <w:rPr>
          <w:rFonts w:ascii="宋体" w:hAnsi="宋体"/>
        </w:rPr>
        <w:t>或</w:t>
      </w:r>
      <w:r>
        <w:rPr>
          <w:rFonts w:hint="eastAsia" w:ascii="宋体" w:hAnsi="宋体"/>
        </w:rPr>
        <w:t>在网上进行</w:t>
      </w:r>
      <w:r>
        <w:rPr>
          <w:rFonts w:ascii="宋体" w:hAnsi="宋体"/>
        </w:rPr>
        <w:t>撤销</w:t>
      </w:r>
      <w:r>
        <w:rPr>
          <w:rFonts w:hint="eastAsia" w:ascii="宋体" w:hAnsi="宋体"/>
        </w:rPr>
        <w:t>投标的操作</w:t>
      </w:r>
      <w:r>
        <w:rPr>
          <w:rFonts w:ascii="宋体" w:hAnsi="宋体"/>
        </w:rPr>
        <w:t>。</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2</w:t>
      </w:r>
      <w:r>
        <w:rPr>
          <w:rFonts w:ascii="宋体" w:hAnsi="宋体"/>
        </w:rPr>
        <w:t>投标截止时间以后不得修改投标文件。</w:t>
      </w:r>
    </w:p>
    <w:p>
      <w:pPr>
        <w:ind w:firstLine="411" w:firstLineChars="196"/>
        <w:rPr>
          <w:rFonts w:hint="eastAsia" w:ascii="宋体" w:hAnsi="宋体"/>
        </w:rPr>
      </w:pPr>
      <w:r>
        <w:rPr>
          <w:rFonts w:ascii="宋体" w:hAnsi="宋体"/>
        </w:rPr>
        <w:t>2</w:t>
      </w:r>
      <w:r>
        <w:rPr>
          <w:rFonts w:hint="eastAsia" w:ascii="宋体" w:hAnsi="宋体"/>
        </w:rPr>
        <w:t>7</w:t>
      </w:r>
      <w:r>
        <w:rPr>
          <w:rFonts w:ascii="宋体" w:hAnsi="宋体"/>
        </w:rPr>
        <w:t>.</w:t>
      </w:r>
      <w:r>
        <w:rPr>
          <w:rFonts w:hint="eastAsia" w:ascii="宋体" w:hAnsi="宋体"/>
        </w:rPr>
        <w:t>3从投标截止期至投标人在投标文件中确定的投标有效期之间的这段时间内，投标人不得撤回其投标。</w:t>
      </w:r>
    </w:p>
    <w:p>
      <w:pPr>
        <w:ind w:firstLine="411" w:firstLineChars="196"/>
        <w:rPr>
          <w:rFonts w:hint="eastAsia" w:ascii="宋体" w:hAnsi="宋体"/>
          <w:szCs w:val="21"/>
        </w:rPr>
      </w:pPr>
      <w:r>
        <w:rPr>
          <w:rFonts w:hint="eastAsia" w:ascii="宋体" w:hAnsi="宋体"/>
          <w:szCs w:val="21"/>
        </w:rPr>
        <w:t>27.4政府集中采购机构不退还投标文件，专用条款另有规定的除外。</w:t>
      </w:r>
    </w:p>
    <w:bookmarkEnd w:id="73"/>
    <w:p>
      <w:pPr>
        <w:pStyle w:val="4"/>
        <w:numPr>
          <w:ilvl w:val="0"/>
          <w:numId w:val="13"/>
        </w:numPr>
        <w:spacing w:before="156" w:beforeLines="50" w:after="156" w:afterLines="50"/>
        <w:ind w:left="562" w:hanging="562"/>
        <w:rPr>
          <w:sz w:val="28"/>
          <w:szCs w:val="28"/>
        </w:rPr>
      </w:pPr>
      <w:r>
        <w:rPr>
          <w:rFonts w:hint="eastAsia"/>
          <w:sz w:val="28"/>
          <w:szCs w:val="28"/>
        </w:rPr>
        <w:t>开标</w:t>
      </w:r>
    </w:p>
    <w:p>
      <w:pPr>
        <w:rPr>
          <w:rFonts w:hint="eastAsia" w:ascii="黑体" w:hAnsi="宋体" w:eastAsia="黑体"/>
          <w:sz w:val="24"/>
        </w:rPr>
      </w:pPr>
      <w:r>
        <w:rPr>
          <w:rFonts w:hint="eastAsia" w:ascii="黑体" w:hAnsi="宋体" w:eastAsia="黑体"/>
          <w:sz w:val="24"/>
        </w:rPr>
        <w:t>28．开标</w:t>
      </w:r>
    </w:p>
    <w:p>
      <w:pPr>
        <w:ind w:firstLine="359" w:firstLineChars="171"/>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rPr>
        <w:t>深圳政府采购自行采购系统（https://trade.szggzy.com/ggzy/center/#/login）</w:t>
      </w:r>
      <w:r>
        <w:rPr>
          <w:rFonts w:hint="eastAsia" w:ascii="宋体" w:hAnsi="宋体"/>
          <w:szCs w:val="21"/>
        </w:rPr>
        <w:t>”，使用本单位制作电子投标文件同一个电子密钥进行在线解密、查询开标情况。</w:t>
      </w:r>
    </w:p>
    <w:p>
      <w:pPr>
        <w:ind w:firstLine="315" w:firstLineChars="150"/>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pPr>
        <w:ind w:firstLine="315" w:firstLineChars="150"/>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评审要求</w:t>
      </w:r>
    </w:p>
    <w:p>
      <w:pPr>
        <w:rPr>
          <w:rFonts w:hint="eastAsia" w:ascii="黑体" w:hAnsi="宋体" w:eastAsia="黑体"/>
          <w:sz w:val="24"/>
        </w:rPr>
      </w:pPr>
      <w:r>
        <w:rPr>
          <w:rFonts w:hint="eastAsia" w:ascii="黑体" w:hAnsi="宋体" w:eastAsia="黑体"/>
          <w:sz w:val="24"/>
        </w:rPr>
        <w:t>29．评审委员会组成</w:t>
      </w:r>
    </w:p>
    <w:p>
      <w:pPr>
        <w:ind w:firstLine="411" w:firstLineChars="196"/>
        <w:rPr>
          <w:rFonts w:hint="eastAsia" w:ascii="宋体" w:hAnsi="宋体"/>
        </w:rPr>
      </w:pPr>
      <w:r>
        <w:rPr>
          <w:rFonts w:hint="eastAsia" w:ascii="宋体" w:hAnsi="宋体"/>
        </w:rPr>
        <w:t>29.1网上开标结束后召开评审会议，</w:t>
      </w:r>
      <w:r>
        <w:rPr>
          <w:rFonts w:hint="eastAsia" w:ascii="宋体" w:hAnsi="宋体"/>
          <w:szCs w:val="21"/>
        </w:rPr>
        <w:t>评审委员会</w:t>
      </w:r>
      <w:r>
        <w:rPr>
          <w:rFonts w:hint="eastAsia" w:ascii="宋体" w:hAnsi="宋体"/>
        </w:rPr>
        <w:t>由政府集中采购机构依法组建，负责评审活动。</w:t>
      </w:r>
    </w:p>
    <w:p>
      <w:pPr>
        <w:ind w:firstLine="411" w:firstLineChars="196"/>
        <w:rPr>
          <w:rFonts w:hint="eastAsia" w:ascii="宋体" w:hAnsi="宋体"/>
        </w:rPr>
      </w:pPr>
      <w:bookmarkStart w:id="74" w:name="_Hlk72436580"/>
      <w:r>
        <w:rPr>
          <w:rFonts w:hint="eastAsia" w:ascii="宋体" w:hAnsi="宋体"/>
        </w:rPr>
        <w:t>评审委员会由采购人代表和评审专家组成，成员人数应当为5人以上单数（部分条件下为7人以上单数），其中评审专家不得少于成员总数的三分之二。</w:t>
      </w:r>
      <w:bookmarkEnd w:id="74"/>
      <w:r>
        <w:rPr>
          <w:rFonts w:hint="eastAsia" w:ascii="宋体" w:hAnsi="宋体"/>
        </w:rPr>
        <w:t>评定</w:t>
      </w:r>
      <w:r>
        <w:rPr>
          <w:rFonts w:hint="eastAsia"/>
        </w:rPr>
        <w:t>分离项目</w:t>
      </w:r>
      <w:r>
        <w:t>评审专家</w:t>
      </w:r>
      <w:r>
        <w:rPr>
          <w:rFonts w:hint="eastAsia"/>
        </w:rPr>
        <w:t>均</w:t>
      </w:r>
      <w:r>
        <w:t>由</w:t>
      </w:r>
      <w:r>
        <w:rPr>
          <w:rFonts w:hint="eastAsia"/>
        </w:rPr>
        <w:t>评审专家组成。</w:t>
      </w:r>
      <w:r>
        <w:rPr>
          <w:rFonts w:hint="eastAsia" w:ascii="宋体" w:hAnsi="宋体"/>
          <w:szCs w:val="21"/>
        </w:rPr>
        <w:t>评审专家一般是</w:t>
      </w:r>
      <w:r>
        <w:rPr>
          <w:rFonts w:hint="eastAsia" w:ascii="宋体" w:hAnsi="宋体"/>
        </w:rPr>
        <w:t>从深圳市政府采购评审专家库中随机抽取。采购人代表须持本单位签发的《评审授权书》参加评审。</w:t>
      </w:r>
    </w:p>
    <w:p>
      <w:pPr>
        <w:ind w:firstLine="411" w:firstLineChars="196"/>
        <w:rPr>
          <w:rFonts w:hint="eastAsia" w:ascii="宋体" w:hAnsi="宋体"/>
        </w:rPr>
      </w:pPr>
      <w:r>
        <w:rPr>
          <w:rFonts w:hint="eastAsia" w:ascii="宋体" w:hAnsi="宋体"/>
        </w:rPr>
        <w:t>29.2评审定标应当遵循公平、公正、科学、择优的原则。</w:t>
      </w:r>
    </w:p>
    <w:p>
      <w:pPr>
        <w:ind w:firstLine="411" w:firstLineChars="196"/>
        <w:rPr>
          <w:rFonts w:hint="eastAsia" w:ascii="宋体" w:hAnsi="宋体"/>
        </w:rPr>
      </w:pPr>
      <w:r>
        <w:rPr>
          <w:rFonts w:hint="eastAsia" w:ascii="宋体" w:hAnsi="宋体"/>
        </w:rPr>
        <w:t>29.3评审活动依法进行，任何单位和个人不得非法干预评标过程和结果。</w:t>
      </w:r>
    </w:p>
    <w:p>
      <w:pPr>
        <w:ind w:firstLine="411" w:firstLineChars="196"/>
        <w:rPr>
          <w:rFonts w:hint="eastAsia" w:ascii="宋体" w:hAnsi="宋体"/>
        </w:rPr>
      </w:pPr>
      <w:r>
        <w:rPr>
          <w:rFonts w:hint="eastAsia" w:ascii="宋体" w:hAnsi="宋体"/>
        </w:rPr>
        <w:t>29.4评审过程中不允许违背评标程序或采用招标文件未载明的评标方法或评标因素进行评标。</w:t>
      </w:r>
    </w:p>
    <w:p>
      <w:pPr>
        <w:ind w:firstLine="411" w:firstLineChars="196"/>
        <w:rPr>
          <w:rFonts w:hint="eastAsia" w:ascii="宋体" w:hAnsi="宋体"/>
          <w:bCs/>
        </w:rPr>
      </w:pPr>
      <w:r>
        <w:rPr>
          <w:rFonts w:hint="eastAsia" w:ascii="宋体" w:hAnsi="宋体"/>
          <w:bCs/>
        </w:rPr>
        <w:t>29.5 开标后，直到签订合同为止，凡属于对投标文件的审查、澄清、评价和比较的有关资料以及中标候选人的推荐情况、与评审有关的其他任何情况均严格保密（</w:t>
      </w:r>
      <w:r>
        <w:rPr>
          <w:rFonts w:hint="eastAsia"/>
        </w:rPr>
        <w:t>信息公开的内容除外</w:t>
      </w:r>
      <w:r>
        <w:rPr>
          <w:rFonts w:hint="eastAsia" w:ascii="宋体" w:hAnsi="宋体"/>
          <w:bCs/>
        </w:rPr>
        <w:t>）。</w:t>
      </w:r>
    </w:p>
    <w:p>
      <w:pPr>
        <w:rPr>
          <w:rFonts w:hint="eastAsia" w:ascii="黑体" w:hAnsi="宋体" w:eastAsia="黑体"/>
          <w:sz w:val="24"/>
        </w:rPr>
      </w:pPr>
      <w:r>
        <w:rPr>
          <w:rFonts w:hint="eastAsia" w:ascii="黑体" w:hAnsi="宋体" w:eastAsia="黑体"/>
          <w:sz w:val="24"/>
        </w:rPr>
        <w:t>30．向评审委员会提供的资料</w:t>
      </w:r>
    </w:p>
    <w:p>
      <w:pPr>
        <w:ind w:firstLine="411" w:firstLineChars="196"/>
        <w:rPr>
          <w:rFonts w:hint="eastAsia" w:ascii="宋体" w:hAnsi="宋体"/>
        </w:rPr>
      </w:pPr>
      <w:r>
        <w:rPr>
          <w:rFonts w:hint="eastAsia" w:ascii="宋体" w:hAnsi="宋体"/>
        </w:rPr>
        <w:t>30.1公开发布的招标文件，包括图纸、服务清单、答疑文件等；</w:t>
      </w:r>
    </w:p>
    <w:p>
      <w:pPr>
        <w:ind w:firstLine="411" w:firstLineChars="196"/>
        <w:rPr>
          <w:rFonts w:hint="eastAsia" w:ascii="宋体" w:hAnsi="宋体"/>
        </w:rPr>
      </w:pPr>
      <w:r>
        <w:rPr>
          <w:rFonts w:hint="eastAsia" w:ascii="宋体" w:hAnsi="宋体"/>
        </w:rPr>
        <w:t>30.2其他评标必须的资料。</w:t>
      </w:r>
    </w:p>
    <w:p>
      <w:pPr>
        <w:ind w:firstLine="411" w:firstLineChars="196"/>
        <w:rPr>
          <w:rFonts w:hint="eastAsia" w:ascii="宋体" w:hAnsi="宋体"/>
        </w:rPr>
      </w:pPr>
      <w:r>
        <w:rPr>
          <w:rFonts w:hint="eastAsia" w:ascii="宋体" w:hAnsi="宋体"/>
        </w:rPr>
        <w:t>30.3</w:t>
      </w:r>
      <w:r>
        <w:rPr>
          <w:rFonts w:hint="eastAsia" w:ascii="宋体" w:hAnsi="宋体"/>
          <w:szCs w:val="21"/>
        </w:rPr>
        <w:t>评审委员会</w:t>
      </w:r>
      <w:r>
        <w:rPr>
          <w:rFonts w:hint="eastAsia" w:ascii="宋体" w:hAnsi="宋体"/>
        </w:rPr>
        <w:t>应当认真研究招标文件，至少应了解熟悉以下内容：</w:t>
      </w:r>
    </w:p>
    <w:p>
      <w:pPr>
        <w:ind w:firstLine="411" w:firstLineChars="196"/>
        <w:rPr>
          <w:rFonts w:hint="eastAsia" w:ascii="宋体" w:hAnsi="宋体"/>
        </w:rPr>
      </w:pPr>
      <w:r>
        <w:rPr>
          <w:rFonts w:hint="eastAsia" w:ascii="宋体" w:hAnsi="宋体"/>
        </w:rPr>
        <w:t>（1）招标的目的；</w:t>
      </w:r>
    </w:p>
    <w:p>
      <w:pPr>
        <w:ind w:firstLine="411" w:firstLineChars="196"/>
        <w:rPr>
          <w:rFonts w:hint="eastAsia" w:ascii="宋体" w:hAnsi="宋体"/>
        </w:rPr>
      </w:pPr>
      <w:r>
        <w:rPr>
          <w:rFonts w:hint="eastAsia" w:ascii="宋体" w:hAnsi="宋体"/>
        </w:rPr>
        <w:t>（2）招标项目需求的范围和性质；</w:t>
      </w:r>
    </w:p>
    <w:p>
      <w:pPr>
        <w:ind w:firstLine="411" w:firstLineChars="196"/>
        <w:rPr>
          <w:rFonts w:hint="eastAsia" w:ascii="宋体" w:hAnsi="宋体"/>
        </w:rPr>
      </w:pPr>
      <w:r>
        <w:rPr>
          <w:rFonts w:hint="eastAsia" w:ascii="宋体" w:hAnsi="宋体"/>
        </w:rPr>
        <w:t>（3）招标文件规定的投标人的资格、财政预算限额、商务条款；</w:t>
      </w:r>
    </w:p>
    <w:p>
      <w:pPr>
        <w:ind w:firstLine="411" w:firstLineChars="196"/>
        <w:rPr>
          <w:rFonts w:hint="eastAsia" w:ascii="宋体" w:hAnsi="宋体"/>
        </w:rPr>
      </w:pPr>
      <w:r>
        <w:rPr>
          <w:rFonts w:hint="eastAsia" w:ascii="宋体" w:hAnsi="宋体"/>
        </w:rPr>
        <w:t>（4）招标文件规定的评标程序、评标方法和评标因素；</w:t>
      </w:r>
    </w:p>
    <w:p>
      <w:pPr>
        <w:ind w:firstLine="411" w:firstLineChars="196"/>
        <w:rPr>
          <w:rFonts w:hint="eastAsia" w:ascii="宋体" w:hAnsi="宋体"/>
        </w:rPr>
      </w:pPr>
      <w:r>
        <w:rPr>
          <w:rFonts w:hint="eastAsia" w:ascii="宋体" w:hAnsi="宋体"/>
        </w:rPr>
        <w:t>（5）招标文件所列示的资格性审查表及符合性审查表。</w:t>
      </w:r>
    </w:p>
    <w:p>
      <w:pPr>
        <w:rPr>
          <w:rFonts w:hint="eastAsia" w:ascii="黑体" w:hAnsi="宋体" w:eastAsia="黑体"/>
          <w:sz w:val="24"/>
        </w:rPr>
      </w:pPr>
      <w:r>
        <w:rPr>
          <w:rFonts w:hint="eastAsia" w:ascii="黑体" w:hAnsi="宋体" w:eastAsia="黑体"/>
          <w:sz w:val="24"/>
        </w:rPr>
        <w:t>31．独立评审</w:t>
      </w:r>
    </w:p>
    <w:p>
      <w:pPr>
        <w:ind w:firstLine="411" w:firstLineChars="196"/>
        <w:rPr>
          <w:rFonts w:hint="eastAsia" w:ascii="宋体" w:hAnsi="宋体"/>
          <w:bCs/>
        </w:rPr>
      </w:pPr>
      <w:r>
        <w:rPr>
          <w:rFonts w:hint="eastAsia" w:ascii="宋体" w:hAnsi="宋体"/>
          <w:bCs/>
        </w:rPr>
        <w:t>3</w:t>
      </w:r>
      <w:r>
        <w:rPr>
          <w:rFonts w:ascii="宋体" w:hAnsi="宋体"/>
          <w:bCs/>
        </w:rPr>
        <w:t>1</w:t>
      </w:r>
      <w:r>
        <w:rPr>
          <w:rFonts w:hint="eastAsia" w:ascii="宋体" w:hAnsi="宋体"/>
          <w:bCs/>
        </w:rPr>
        <w:t>.1</w:t>
      </w:r>
      <w:r>
        <w:rPr>
          <w:rFonts w:hint="eastAsia" w:ascii="宋体" w:hAnsi="宋体"/>
          <w:szCs w:val="21"/>
        </w:rPr>
        <w:t>评审委员会</w:t>
      </w:r>
      <w:r>
        <w:rPr>
          <w:rFonts w:hint="eastAsia" w:ascii="宋体" w:hAnsi="宋体"/>
          <w:bCs/>
        </w:rPr>
        <w:t>成员的评标活动应当独立进行，并应遵循投标文件初审、澄清有关问题、比较与评价、确定中标供应商、编写评审报告的工作程序。</w:t>
      </w:r>
    </w:p>
    <w:p>
      <w:pPr>
        <w:ind w:firstLine="411" w:firstLineChars="196"/>
        <w:rPr>
          <w:rFonts w:hint="eastAsia" w:ascii="宋体" w:hAnsi="宋体"/>
          <w:bCs/>
          <w:szCs w:val="21"/>
        </w:rPr>
      </w:pPr>
    </w:p>
    <w:p>
      <w:pPr>
        <w:pStyle w:val="4"/>
        <w:numPr>
          <w:ilvl w:val="0"/>
          <w:numId w:val="13"/>
        </w:numPr>
        <w:spacing w:before="156" w:beforeLines="50" w:after="156" w:afterLines="50"/>
        <w:ind w:left="562" w:hanging="562"/>
        <w:rPr>
          <w:sz w:val="28"/>
          <w:szCs w:val="28"/>
        </w:rPr>
      </w:pPr>
      <w:r>
        <w:rPr>
          <w:rFonts w:hint="eastAsia"/>
          <w:sz w:val="28"/>
          <w:szCs w:val="28"/>
        </w:rPr>
        <w:t>评审程序及评审方法</w:t>
      </w:r>
    </w:p>
    <w:p>
      <w:pPr>
        <w:rPr>
          <w:rFonts w:hint="eastAsia" w:ascii="黑体" w:hAnsi="宋体" w:eastAsia="黑体"/>
          <w:sz w:val="24"/>
        </w:rPr>
      </w:pPr>
      <w:r>
        <w:rPr>
          <w:rFonts w:hint="eastAsia" w:ascii="黑体" w:hAnsi="宋体" w:eastAsia="黑体"/>
          <w:sz w:val="24"/>
        </w:rPr>
        <w:t>32．投标文件初审</w:t>
      </w:r>
    </w:p>
    <w:p>
      <w:pPr>
        <w:ind w:firstLine="411" w:firstLineChars="196"/>
        <w:rPr>
          <w:rFonts w:hint="eastAsia" w:ascii="宋体" w:hAnsi="宋体"/>
        </w:rPr>
      </w:pPr>
      <w:r>
        <w:rPr>
          <w:rFonts w:hint="eastAsia" w:ascii="宋体" w:hAnsi="宋体"/>
        </w:rPr>
        <w:t>32.1投标文件初审包括资格性审查和符合性审查。</w:t>
      </w:r>
    </w:p>
    <w:p>
      <w:pPr>
        <w:ind w:firstLine="411" w:firstLineChars="196"/>
        <w:rPr>
          <w:rFonts w:hint="eastAsia" w:ascii="宋体" w:hAnsi="宋体"/>
        </w:rPr>
      </w:pPr>
      <w:r>
        <w:rPr>
          <w:rFonts w:hint="eastAsia" w:ascii="宋体" w:hAnsi="宋体"/>
        </w:rPr>
        <w:t>资格性审查：依据法律法规和招标文件的规定，对投标文件中的资格证明等进行审查，以确定投标供应商是否具备投标资格。</w:t>
      </w:r>
    </w:p>
    <w:p>
      <w:pPr>
        <w:ind w:firstLine="411" w:firstLineChars="196"/>
        <w:rPr>
          <w:rFonts w:hint="eastAsia" w:ascii="宋体" w:hAnsi="宋体"/>
        </w:rPr>
      </w:pPr>
      <w:r>
        <w:rPr>
          <w:rFonts w:hint="eastAsia" w:ascii="宋体" w:hAnsi="宋体"/>
        </w:rPr>
        <w:t>符合性审查：依据招标文件的规定，对投标文件的有效性、完整性和对招标文件的响应程度进行审查，以确定是否满足符合性审查的要求。</w:t>
      </w:r>
    </w:p>
    <w:p>
      <w:pPr>
        <w:ind w:firstLine="411" w:firstLineChars="196"/>
        <w:rPr>
          <w:rFonts w:hint="eastAsia" w:ascii="宋体" w:hAnsi="宋体"/>
        </w:rPr>
      </w:pPr>
      <w:r>
        <w:rPr>
          <w:rFonts w:hint="eastAsia" w:ascii="宋体" w:hAnsi="宋体"/>
        </w:rPr>
        <w:t>32.2 投标文件初审内容请详见《资格性审查表》和《符合性审查表》部分。投标人若有一条审查不通过则按投标无效处理。</w:t>
      </w:r>
    </w:p>
    <w:p>
      <w:pPr>
        <w:ind w:firstLine="411" w:firstLineChars="196"/>
        <w:rPr>
          <w:rFonts w:hint="eastAsia" w:ascii="宋体" w:hAnsi="宋体"/>
          <w:bCs/>
        </w:rPr>
      </w:pPr>
      <w:r>
        <w:rPr>
          <w:rFonts w:hint="eastAsia" w:ascii="宋体" w:hAnsi="宋体"/>
          <w:bCs/>
        </w:rPr>
        <w:t>32.3 投标文件初审中关于供应商家数的计算:</w:t>
      </w:r>
    </w:p>
    <w:p>
      <w:pPr>
        <w:ind w:firstLine="411" w:firstLineChars="196"/>
        <w:rPr>
          <w:rFonts w:hint="eastAsia" w:ascii="宋体" w:hAnsi="宋体"/>
          <w:bCs/>
        </w:rPr>
      </w:pPr>
      <w:r>
        <w:rPr>
          <w:rFonts w:hint="eastAsia" w:ascii="宋体" w:hAnsi="宋体"/>
          <w:bCs/>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审的投标人，招标文件未规定的采取随机抽取方式确定，其他投标无效。</w:t>
      </w:r>
    </w:p>
    <w:p>
      <w:pPr>
        <w:ind w:firstLine="411" w:firstLineChars="196"/>
        <w:rPr>
          <w:rFonts w:hint="eastAsia" w:ascii="宋体" w:hAnsi="宋体"/>
          <w:bCs/>
        </w:rPr>
      </w:pPr>
      <w:r>
        <w:rPr>
          <w:rFonts w:hint="eastAsia" w:ascii="宋体" w:hAnsi="宋体"/>
          <w:bCs/>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w:t>
      </w:r>
      <w:r>
        <w:rPr>
          <w:rFonts w:hint="eastAsia" w:ascii="宋体" w:hAnsi="宋体"/>
          <w:bCs/>
          <w:szCs w:val="21"/>
        </w:rPr>
        <w:t>评审委员会</w:t>
      </w:r>
      <w:r>
        <w:rPr>
          <w:rFonts w:hint="eastAsia" w:ascii="宋体" w:hAnsi="宋体"/>
          <w:bCs/>
        </w:rPr>
        <w:t>按照招标文件规定的方式确定一个投标人获得中标人推荐资格，招标文件未规定的采取随机抽取方式确定，其他同品牌投标人不作为中标候选人。</w:t>
      </w:r>
    </w:p>
    <w:p>
      <w:pPr>
        <w:ind w:firstLine="411" w:firstLineChars="196"/>
        <w:rPr>
          <w:rFonts w:hint="eastAsia" w:ascii="宋体" w:hAnsi="宋体"/>
          <w:bCs/>
        </w:rPr>
      </w:pPr>
      <w:r>
        <w:rPr>
          <w:rFonts w:hint="eastAsia" w:ascii="宋体" w:hAnsi="宋体"/>
          <w:bCs/>
        </w:rPr>
        <w:t>32.3.3非单一产品采购项目，采购人应当根据采购项目技术构成、产品价格比重等合理确定核心产品，并在招标文件中载明。多家投标人提供的核心产品品牌相同的，按前两款规定处理。</w:t>
      </w:r>
    </w:p>
    <w:p>
      <w:pPr>
        <w:ind w:firstLine="411" w:firstLineChars="196"/>
        <w:rPr>
          <w:rFonts w:hint="eastAsia" w:ascii="宋体" w:hAnsi="宋体"/>
        </w:rPr>
      </w:pPr>
      <w:r>
        <w:rPr>
          <w:rFonts w:hint="eastAsia" w:ascii="宋体" w:hAnsi="宋体"/>
        </w:rPr>
        <w:t>32.4投标人投标文件作无效处理的情形，具体包括但不限于以下：</w:t>
      </w:r>
    </w:p>
    <w:p>
      <w:pPr>
        <w:ind w:firstLine="411" w:firstLineChars="196"/>
      </w:pPr>
      <w:r>
        <w:rPr>
          <w:rFonts w:hint="eastAsia" w:ascii="宋体" w:hAnsi="宋体"/>
        </w:rPr>
        <w:t>32.4.1</w:t>
      </w:r>
      <w:r>
        <w:rPr>
          <w:rFonts w:hint="eastAsia"/>
        </w:rPr>
        <w:t>不同投标人的投标文件由同一单位或者同一个人编制，或者由同一个人分阶段参与编制；</w:t>
      </w:r>
    </w:p>
    <w:p>
      <w:pPr>
        <w:ind w:firstLine="411" w:firstLineChars="196"/>
      </w:pPr>
      <w:r>
        <w:rPr>
          <w:rFonts w:ascii="宋体" w:hAnsi="宋体"/>
        </w:rPr>
        <w:t>32.4.</w:t>
      </w:r>
      <w:r>
        <w:rPr>
          <w:rFonts w:hint="eastAsia" w:ascii="宋体" w:hAnsi="宋体"/>
        </w:rPr>
        <w:t>2</w:t>
      </w:r>
      <w:r>
        <w:rPr>
          <w:rFonts w:hint="eastAsia"/>
        </w:rPr>
        <w:t>不同投标人委托同一单位或者个人办理投标事宜；</w:t>
      </w:r>
    </w:p>
    <w:p>
      <w:pPr>
        <w:ind w:firstLine="411" w:firstLineChars="196"/>
        <w:rPr>
          <w:rFonts w:hint="eastAsia" w:ascii="宋体" w:hAnsi="宋体"/>
        </w:rPr>
      </w:pPr>
      <w:r>
        <w:rPr>
          <w:rFonts w:hint="eastAsia" w:ascii="宋体" w:hAnsi="宋体"/>
        </w:rPr>
        <w:t>32.4.3不同投标人的投标文件载明的项目管理成员或者联系人员为同一人；</w:t>
      </w:r>
    </w:p>
    <w:p>
      <w:pPr>
        <w:ind w:firstLine="411" w:firstLineChars="196"/>
        <w:rPr>
          <w:rFonts w:hint="eastAsia" w:ascii="宋体" w:hAnsi="宋体"/>
        </w:rPr>
      </w:pPr>
      <w:r>
        <w:rPr>
          <w:rFonts w:hint="eastAsia" w:ascii="宋体" w:hAnsi="宋体"/>
        </w:rPr>
        <w:t>32.4.4不同投标人的投标文件异常一致或者投标报价呈规律性差异；</w:t>
      </w:r>
    </w:p>
    <w:p>
      <w:pPr>
        <w:ind w:firstLine="411" w:firstLineChars="196"/>
        <w:rPr>
          <w:rFonts w:hint="eastAsia" w:ascii="宋体" w:hAnsi="宋体"/>
        </w:rPr>
      </w:pPr>
      <w:r>
        <w:rPr>
          <w:rFonts w:hint="eastAsia" w:ascii="宋体" w:hAnsi="宋体"/>
        </w:rPr>
        <w:t>32.4.5</w:t>
      </w:r>
      <w:r>
        <w:rPr>
          <w:rFonts w:ascii="宋体" w:hAnsi="宋体"/>
        </w:rPr>
        <w:t>不同投标供应商的投标文件或部分投标文件相互混装</w:t>
      </w:r>
      <w:r>
        <w:rPr>
          <w:rFonts w:hint="eastAsia" w:ascii="宋体" w:hAnsi="宋体"/>
        </w:rPr>
        <w:t>；</w:t>
      </w:r>
    </w:p>
    <w:p>
      <w:pPr>
        <w:ind w:firstLine="411" w:firstLineChars="196"/>
        <w:rPr>
          <w:rFonts w:hint="eastAsia" w:ascii="宋体" w:hAnsi="宋体"/>
        </w:rPr>
      </w:pPr>
      <w:r>
        <w:rPr>
          <w:rFonts w:hint="eastAsia" w:ascii="宋体" w:hAnsi="宋体"/>
        </w:rPr>
        <w:t>32.4.6投标供应商之间相互约定给予未中标的供应商利益补偿；</w:t>
      </w:r>
    </w:p>
    <w:p>
      <w:pPr>
        <w:ind w:firstLine="411" w:firstLineChars="196"/>
        <w:rPr>
          <w:rFonts w:hint="eastAsia" w:ascii="宋体" w:hAnsi="宋体"/>
        </w:rPr>
      </w:pPr>
      <w:r>
        <w:rPr>
          <w:rFonts w:hint="eastAsia" w:ascii="宋体" w:hAnsi="宋体"/>
        </w:rPr>
        <w:t>32.4.7不同投标供应商的法定代表人、主要经营负责人、项目投标授权代表人、项目负责人、主要技术人员为同一人、属同一单位或者同一单位缴纳社会保险；</w:t>
      </w:r>
    </w:p>
    <w:p>
      <w:pPr>
        <w:ind w:firstLine="411" w:firstLineChars="196"/>
        <w:rPr>
          <w:rFonts w:hint="eastAsia" w:ascii="宋体" w:hAnsi="宋体"/>
        </w:rPr>
      </w:pPr>
      <w:r>
        <w:rPr>
          <w:rFonts w:hint="eastAsia" w:ascii="宋体" w:hAnsi="宋体"/>
        </w:rPr>
        <w:t>32.4.8不同投标供应商的投标文件内容存在非正常一致；</w:t>
      </w:r>
    </w:p>
    <w:p>
      <w:pPr>
        <w:ind w:firstLine="411" w:firstLineChars="196"/>
        <w:rPr>
          <w:rFonts w:hint="eastAsia" w:ascii="宋体" w:hAnsi="宋体"/>
        </w:rPr>
      </w:pPr>
      <w:r>
        <w:rPr>
          <w:rFonts w:hint="eastAsia" w:ascii="宋体" w:hAnsi="宋体"/>
        </w:rPr>
        <w:t>32.4.9在同一单位工作人员为两家以上（含两家）供应商进行同一项投标活动；</w:t>
      </w:r>
    </w:p>
    <w:p>
      <w:pPr>
        <w:ind w:firstLine="411" w:firstLineChars="196"/>
        <w:rPr>
          <w:rFonts w:hint="eastAsia" w:ascii="宋体" w:hAnsi="宋体"/>
        </w:rPr>
      </w:pPr>
      <w:r>
        <w:rPr>
          <w:rFonts w:hint="eastAsia" w:ascii="宋体" w:hAnsi="宋体"/>
        </w:rPr>
        <w:t>32.4.10主管部门依照法律、法规认定的其他情形。</w:t>
      </w:r>
    </w:p>
    <w:p>
      <w:pPr>
        <w:rPr>
          <w:rFonts w:hint="eastAsia" w:ascii="宋体" w:hAnsi="宋体"/>
        </w:rPr>
      </w:pPr>
      <w:r>
        <w:rPr>
          <w:rFonts w:hint="eastAsia" w:ascii="宋体" w:hAnsi="宋体"/>
        </w:rPr>
        <w:t>32.5对不属于《资格性审查表》和《符合性审查表》所列的其他情形，除专用条款另有规定和32.4条款所列情形外，不得作为投标无效的理由。</w:t>
      </w:r>
    </w:p>
    <w:p>
      <w:pPr>
        <w:rPr>
          <w:rFonts w:hint="eastAsia" w:ascii="黑体" w:hAnsi="宋体" w:eastAsia="黑体"/>
          <w:sz w:val="24"/>
        </w:rPr>
      </w:pPr>
      <w:r>
        <w:rPr>
          <w:rFonts w:hint="eastAsia" w:ascii="黑体" w:hAnsi="宋体" w:eastAsia="黑体"/>
          <w:sz w:val="24"/>
        </w:rPr>
        <w:t>33．澄清有关问题</w:t>
      </w:r>
    </w:p>
    <w:p>
      <w:pPr>
        <w:ind w:firstLine="411" w:firstLineChars="196"/>
        <w:rPr>
          <w:rFonts w:hint="eastAsia" w:ascii="宋体" w:hAnsi="宋体"/>
        </w:rPr>
      </w:pPr>
      <w:bookmarkStart w:id="75" w:name="_Hlk71407321"/>
      <w:r>
        <w:rPr>
          <w:rFonts w:hint="eastAsia" w:ascii="宋体" w:hAnsi="宋体"/>
        </w:rPr>
        <w:t>3</w:t>
      </w:r>
      <w:r>
        <w:rPr>
          <w:rFonts w:ascii="宋体" w:hAnsi="宋体"/>
        </w:rPr>
        <w:t>3.1</w:t>
      </w:r>
      <w:r>
        <w:rPr>
          <w:rFonts w:hint="eastAsia" w:ascii="宋体" w:hAnsi="宋体"/>
        </w:rPr>
        <w:t>对招标文件中描述有歧义或前后不一致的地方（不含</w:t>
      </w:r>
      <w:r>
        <w:rPr>
          <w:szCs w:val="21"/>
        </w:rPr>
        <w:t>招标文件存在歧义、重大缺陷导致评</w:t>
      </w:r>
      <w:r>
        <w:rPr>
          <w:rFonts w:hint="eastAsia"/>
          <w:szCs w:val="21"/>
        </w:rPr>
        <w:t>审</w:t>
      </w:r>
      <w:r>
        <w:rPr>
          <w:szCs w:val="21"/>
        </w:rPr>
        <w:t>工作无法进行</w:t>
      </w:r>
      <w:r>
        <w:rPr>
          <w:rFonts w:hint="eastAsia"/>
          <w:szCs w:val="21"/>
        </w:rPr>
        <w:t>的情况）</w:t>
      </w:r>
      <w:r>
        <w:rPr>
          <w:rFonts w:hint="eastAsia" w:ascii="宋体" w:hAnsi="宋体"/>
        </w:rPr>
        <w:t>，评审委员会有权进行评判，但对同一条款的评判应适用于每个投标人。</w:t>
      </w:r>
      <w:bookmarkEnd w:id="75"/>
    </w:p>
    <w:p>
      <w:pPr>
        <w:ind w:firstLine="411" w:firstLineChars="196"/>
        <w:rPr>
          <w:rFonts w:hint="eastAsia" w:ascii="宋体" w:hAnsi="宋体"/>
        </w:rPr>
      </w:pPr>
      <w:r>
        <w:rPr>
          <w:rFonts w:hint="eastAsia" w:ascii="宋体" w:hAnsi="宋体"/>
        </w:rPr>
        <w:t>3</w:t>
      </w:r>
      <w:r>
        <w:rPr>
          <w:rFonts w:ascii="宋体" w:hAnsi="宋体"/>
        </w:rPr>
        <w:t>3.2</w:t>
      </w:r>
      <w:r>
        <w:rPr>
          <w:szCs w:val="21"/>
        </w:rPr>
        <w:t>评</w:t>
      </w:r>
      <w:r>
        <w:rPr>
          <w:rFonts w:hint="eastAsia"/>
          <w:szCs w:val="21"/>
        </w:rPr>
        <w:t>审</w:t>
      </w:r>
      <w:r>
        <w:rPr>
          <w:szCs w:val="21"/>
        </w:rPr>
        <w:t>委员会发现招标文件存在歧义、重大缺陷导致评</w:t>
      </w:r>
      <w:r>
        <w:rPr>
          <w:rFonts w:hint="eastAsia"/>
          <w:szCs w:val="21"/>
        </w:rPr>
        <w:t>审</w:t>
      </w:r>
      <w:r>
        <w:rPr>
          <w:szCs w:val="21"/>
        </w:rPr>
        <w:t>工作无法进行，或者招标文件内容违反国家有关强制性规定的，应当停止评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应当修改招标文件，重新组织采购活动。</w:t>
      </w:r>
    </w:p>
    <w:p>
      <w:pPr>
        <w:ind w:firstLine="411" w:firstLineChars="196"/>
        <w:rPr>
          <w:rFonts w:hint="eastAsia" w:ascii="宋体" w:hAnsi="宋体"/>
        </w:rPr>
      </w:pPr>
      <w:r>
        <w:rPr>
          <w:rFonts w:ascii="宋体" w:hAnsi="宋体"/>
        </w:rPr>
        <w:t>33.3</w:t>
      </w:r>
      <w:r>
        <w:rPr>
          <w:rFonts w:hint="eastAsia" w:ascii="宋体" w:hAnsi="宋体"/>
        </w:rPr>
        <w:t>对于投标文件中含义不明确、同类问题表述不一致或者有明显文字和计算错误的内容，评审委员会应当以书面形式要求投标人作出必要的澄清、说明或者补正。</w:t>
      </w:r>
    </w:p>
    <w:p>
      <w:pPr>
        <w:ind w:firstLine="411" w:firstLineChars="196"/>
        <w:rPr>
          <w:rFonts w:hint="eastAsia" w:ascii="宋体" w:hAnsi="宋体"/>
        </w:rPr>
      </w:pPr>
      <w:r>
        <w:rPr>
          <w:rFonts w:hint="eastAsia" w:ascii="宋体" w:hAnsi="宋体"/>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pPr>
        <w:ind w:firstLine="411" w:firstLineChars="196"/>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pPr>
        <w:rPr>
          <w:rFonts w:hint="eastAsia" w:ascii="黑体" w:hAnsi="宋体" w:eastAsia="黑体"/>
          <w:sz w:val="24"/>
        </w:rPr>
      </w:pPr>
      <w:bookmarkStart w:id="76" w:name="_Toc73521581"/>
      <w:bookmarkStart w:id="77" w:name="_Toc73518151"/>
      <w:bookmarkStart w:id="78" w:name="_Toc100052400"/>
      <w:bookmarkStart w:id="79" w:name="_Toc73521669"/>
      <w:bookmarkStart w:id="80" w:name="_Toc73517673"/>
      <w:r>
        <w:rPr>
          <w:rFonts w:hint="eastAsia" w:ascii="黑体" w:hAnsi="宋体" w:eastAsia="黑体"/>
          <w:sz w:val="24"/>
        </w:rPr>
        <w:t>34．错误的修正</w:t>
      </w:r>
      <w:bookmarkEnd w:id="76"/>
      <w:bookmarkEnd w:id="77"/>
      <w:bookmarkEnd w:id="78"/>
      <w:bookmarkEnd w:id="79"/>
      <w:bookmarkEnd w:id="80"/>
    </w:p>
    <w:p>
      <w:pPr>
        <w:ind w:firstLine="411" w:firstLineChars="196"/>
        <w:rPr>
          <w:rFonts w:hint="eastAsia" w:ascii="宋体" w:hAnsi="宋体"/>
          <w:szCs w:val="21"/>
        </w:rPr>
      </w:pPr>
      <w:r>
        <w:rPr>
          <w:rFonts w:hint="eastAsia" w:ascii="宋体" w:hAnsi="宋体"/>
          <w:szCs w:val="21"/>
        </w:rPr>
        <w:t>投标文件报价出现前后不一致的，除专用条款另有规定外，按照下列规定修正：</w:t>
      </w:r>
    </w:p>
    <w:p>
      <w:pPr>
        <w:ind w:firstLine="411" w:firstLineChars="196"/>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pPr>
        <w:ind w:firstLine="411" w:firstLineChars="196"/>
        <w:rPr>
          <w:rFonts w:hint="eastAsia" w:ascii="宋体" w:hAnsi="宋体"/>
          <w:szCs w:val="21"/>
        </w:rPr>
      </w:pPr>
      <w:r>
        <w:rPr>
          <w:rFonts w:hint="eastAsia" w:ascii="宋体" w:hAnsi="宋体"/>
          <w:szCs w:val="21"/>
        </w:rPr>
        <w:t>34.2大写金额和小写金额不一致的，以大写金额为准；</w:t>
      </w:r>
    </w:p>
    <w:p>
      <w:pPr>
        <w:ind w:firstLine="411" w:firstLineChars="196"/>
        <w:rPr>
          <w:rFonts w:hint="eastAsia" w:ascii="宋体" w:hAnsi="宋体"/>
          <w:szCs w:val="21"/>
        </w:rPr>
      </w:pPr>
      <w:r>
        <w:rPr>
          <w:rFonts w:hint="eastAsia" w:ascii="宋体" w:hAnsi="宋体"/>
          <w:szCs w:val="21"/>
        </w:rPr>
        <w:t>34.3单价金额小数点或者百分比有明显错位，以开标一览表的总价为准，并修改单价；</w:t>
      </w:r>
    </w:p>
    <w:p>
      <w:pPr>
        <w:ind w:firstLine="411" w:firstLineChars="196"/>
        <w:rPr>
          <w:rFonts w:hint="eastAsia" w:ascii="宋体" w:hAnsi="宋体"/>
          <w:szCs w:val="21"/>
        </w:rPr>
      </w:pPr>
      <w:r>
        <w:rPr>
          <w:rFonts w:hint="eastAsia" w:ascii="宋体" w:hAnsi="宋体"/>
          <w:szCs w:val="21"/>
        </w:rPr>
        <w:t>34.4总价金额与按单价汇总金额不一致的，以单价金额计算结果为准。</w:t>
      </w:r>
    </w:p>
    <w:p>
      <w:pPr>
        <w:ind w:firstLine="411" w:firstLineChars="196"/>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pPr>
        <w:rPr>
          <w:rFonts w:hint="eastAsia" w:ascii="黑体" w:hAnsi="宋体" w:eastAsia="黑体"/>
          <w:sz w:val="24"/>
        </w:rPr>
      </w:pPr>
      <w:r>
        <w:rPr>
          <w:rFonts w:hint="eastAsia" w:ascii="黑体" w:hAnsi="宋体" w:eastAsia="黑体"/>
          <w:sz w:val="24"/>
        </w:rPr>
        <w:t>35．投标文件的比较与评价</w:t>
      </w:r>
    </w:p>
    <w:p>
      <w:pPr>
        <w:ind w:firstLine="411" w:firstLineChars="196"/>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pPr>
        <w:ind w:firstLine="411" w:firstLineChars="196"/>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pPr>
        <w:rPr>
          <w:rFonts w:hint="eastAsia" w:ascii="黑体" w:hAnsi="宋体" w:eastAsia="黑体"/>
          <w:sz w:val="24"/>
        </w:rPr>
      </w:pPr>
      <w:r>
        <w:rPr>
          <w:rFonts w:hint="eastAsia" w:ascii="黑体" w:hAnsi="宋体" w:eastAsia="黑体"/>
          <w:sz w:val="24"/>
        </w:rPr>
        <w:t>36. 实地考察或资料查验</w:t>
      </w:r>
    </w:p>
    <w:p>
      <w:pPr>
        <w:ind w:firstLine="411" w:firstLineChars="196"/>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pPr>
        <w:rPr>
          <w:rFonts w:hint="eastAsia" w:ascii="黑体" w:hAnsi="宋体" w:eastAsia="黑体"/>
          <w:sz w:val="24"/>
        </w:rPr>
      </w:pPr>
      <w:r>
        <w:rPr>
          <w:rFonts w:hint="eastAsia" w:ascii="黑体" w:hAnsi="宋体" w:eastAsia="黑体"/>
          <w:sz w:val="24"/>
        </w:rPr>
        <w:t>37．评审方法</w:t>
      </w:r>
    </w:p>
    <w:p>
      <w:pPr>
        <w:ind w:firstLine="413" w:firstLineChars="196"/>
        <w:rPr>
          <w:rFonts w:hint="eastAsia" w:ascii="宋体" w:hAnsi="宋体"/>
          <w:b/>
          <w:bCs/>
          <w:szCs w:val="21"/>
        </w:rPr>
      </w:pPr>
      <w:bookmarkStart w:id="81" w:name="_Hlk72438142"/>
      <w:r>
        <w:rPr>
          <w:rFonts w:hint="eastAsia" w:ascii="宋体" w:hAnsi="宋体"/>
          <w:b/>
          <w:bCs/>
          <w:szCs w:val="21"/>
        </w:rPr>
        <w:t>37.1.1最低价法</w:t>
      </w:r>
    </w:p>
    <w:p>
      <w:pPr>
        <w:ind w:firstLine="411" w:firstLineChars="196"/>
        <w:rPr>
          <w:rFonts w:hint="eastAsia" w:ascii="ˎ̥" w:hAnsi="ˎ̥"/>
        </w:rPr>
      </w:pPr>
      <w:r>
        <w:rPr>
          <w:rFonts w:ascii="ˎ̥" w:hAnsi="ˎ̥"/>
        </w:rPr>
        <w:t>最低价法，</w:t>
      </w:r>
      <w:r>
        <w:rPr>
          <w:rFonts w:hint="eastAsia" w:ascii="ˎ̥" w:hAnsi="ˎ̥"/>
        </w:rPr>
        <w:t>是指投标文件满足招标文件全部实质性要求，且投标报价最低的投标人为中标候选人的评标方法。</w:t>
      </w:r>
    </w:p>
    <w:p>
      <w:pPr>
        <w:ind w:firstLine="411" w:firstLineChars="196"/>
        <w:rPr>
          <w:rFonts w:hint="eastAsia" w:ascii="ˎ̥" w:hAnsi="ˎ̥" w:eastAsia="宋体"/>
        </w:rPr>
      </w:pPr>
      <w:r>
        <w:rPr>
          <w:rFonts w:hint="eastAsia" w:ascii="ˎ̥" w:hAnsi="ˎ̥"/>
        </w:rPr>
        <w:t>采用最低价法的，评标结果按投标报价由低到高顺序排列。投标报价相同的并列。投标文件满足招标文件全部实质性要求且投标报价最低的投标人为排名第一的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3" w:firstLineChars="196"/>
        <w:rPr>
          <w:rFonts w:hint="eastAsia" w:ascii="宋体" w:hAnsi="宋体"/>
          <w:b/>
          <w:bCs/>
          <w:szCs w:val="21"/>
        </w:rPr>
      </w:pPr>
      <w:r>
        <w:rPr>
          <w:rFonts w:hint="eastAsia" w:ascii="宋体" w:hAnsi="宋体"/>
          <w:b/>
          <w:bCs/>
          <w:szCs w:val="21"/>
        </w:rPr>
        <w:t>37.1.2综合评分法</w:t>
      </w:r>
    </w:p>
    <w:p>
      <w:pPr>
        <w:ind w:firstLine="411" w:firstLineChars="196"/>
        <w:rPr>
          <w:rFonts w:hint="eastAsia" w:ascii="ˎ̥" w:hAnsi="ˎ̥"/>
        </w:rPr>
      </w:pPr>
      <w:r>
        <w:rPr>
          <w:rFonts w:ascii="ˎ̥" w:hAnsi="ˎ̥"/>
        </w:rPr>
        <w:t>综合评分法，是指</w:t>
      </w:r>
      <w:r>
        <w:rPr>
          <w:rFonts w:hint="eastAsia" w:ascii="ˎ̥" w:hAnsi="ˎ̥"/>
        </w:rPr>
        <w:t>在</w:t>
      </w:r>
      <w:r>
        <w:rPr>
          <w:rFonts w:ascii="ˎ̥" w:hAnsi="ˎ̥"/>
        </w:rPr>
        <w:t>满足招标文件全部实质性要求</w:t>
      </w:r>
      <w:r>
        <w:rPr>
          <w:rFonts w:hint="eastAsia" w:ascii="ˎ̥" w:hAnsi="ˎ̥"/>
        </w:rPr>
        <w:t>的前提下</w:t>
      </w:r>
      <w:r>
        <w:rPr>
          <w:rFonts w:ascii="ˎ̥" w:hAnsi="ˎ̥"/>
        </w:rPr>
        <w:t>，</w:t>
      </w:r>
      <w:r>
        <w:rPr>
          <w:rFonts w:hint="eastAsia" w:ascii="ˎ̥" w:hAnsi="ˎ̥"/>
        </w:rPr>
        <w:t>按照招标文件中规定的各项因素进行综合评审，评审总得分排名前列的投标人，作为推荐的候选中标供应商。</w:t>
      </w:r>
    </w:p>
    <w:p>
      <w:pPr>
        <w:ind w:firstLine="411" w:firstLineChars="196"/>
        <w:rPr>
          <w:rFonts w:hint="eastAsia" w:ascii="ˎ̥" w:hAnsi="ˎ̥"/>
        </w:rPr>
      </w:pPr>
      <w:r>
        <w:rPr>
          <w:rFonts w:hint="eastAsia" w:ascii="ˎ̥" w:hAnsi="ˎ̥"/>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bookmarkEnd w:id="81"/>
    </w:p>
    <w:p>
      <w:pPr>
        <w:ind w:firstLine="413" w:firstLineChars="196"/>
        <w:rPr>
          <w:rFonts w:hint="eastAsia" w:ascii="宋体" w:hAnsi="宋体"/>
          <w:b/>
          <w:bCs/>
          <w:szCs w:val="21"/>
        </w:rPr>
      </w:pPr>
      <w:r>
        <w:rPr>
          <w:rFonts w:hint="eastAsia" w:ascii="宋体" w:hAnsi="宋体"/>
          <w:b/>
          <w:bCs/>
          <w:szCs w:val="21"/>
        </w:rPr>
        <w:t>37.2 本项目采用的评审方法见本项目招标文件第一册“专用条款”的相关内容。</w:t>
      </w:r>
    </w:p>
    <w:p>
      <w:pPr>
        <w:ind w:firstLine="413" w:firstLineChars="196"/>
        <w:rPr>
          <w:rFonts w:hint="eastAsia" w:ascii="宋体" w:hAnsi="宋体"/>
          <w:b/>
          <w:bCs/>
          <w:szCs w:val="21"/>
        </w:rPr>
      </w:pPr>
      <w:r>
        <w:rPr>
          <w:rFonts w:hint="eastAsia" w:ascii="宋体" w:hAnsi="宋体"/>
          <w:b/>
          <w:bCs/>
          <w:szCs w:val="21"/>
        </w:rPr>
        <w:t>37.3重新评审的情形</w:t>
      </w:r>
    </w:p>
    <w:p>
      <w:pPr>
        <w:ind w:firstLine="411" w:firstLineChars="196"/>
        <w:rPr>
          <w:rFonts w:hint="eastAsia" w:ascii="宋体" w:hAnsi="宋体"/>
          <w:b/>
          <w:bCs/>
          <w:szCs w:val="21"/>
        </w:rPr>
      </w:pPr>
      <w:r>
        <w:rPr>
          <w:rFonts w:hint="eastAsia" w:ascii="宋体" w:hAnsi="宋体" w:cs="宋体"/>
          <w:kern w:val="0"/>
          <w:szCs w:val="21"/>
        </w:rPr>
        <w:t>评审结果汇总完成后，除下列情形外，任何人不得修改评审结果：</w:t>
      </w:r>
    </w:p>
    <w:p>
      <w:pPr>
        <w:ind w:firstLine="411" w:firstLineChars="196"/>
        <w:rPr>
          <w:rFonts w:hint="eastAsia" w:ascii="宋体" w:hAnsi="宋体" w:cs="宋体"/>
          <w:kern w:val="0"/>
          <w:szCs w:val="21"/>
        </w:rPr>
      </w:pPr>
      <w:r>
        <w:rPr>
          <w:rFonts w:hint="eastAsia" w:ascii="宋体" w:hAnsi="宋体" w:cs="宋体"/>
          <w:kern w:val="0"/>
          <w:szCs w:val="21"/>
        </w:rPr>
        <w:t>37.3.1分值汇总计算错误的；</w:t>
      </w:r>
    </w:p>
    <w:p>
      <w:pPr>
        <w:ind w:firstLine="411" w:firstLineChars="196"/>
        <w:rPr>
          <w:rFonts w:hint="eastAsia" w:ascii="宋体" w:hAnsi="宋体" w:cs="宋体"/>
          <w:kern w:val="0"/>
          <w:szCs w:val="21"/>
        </w:rPr>
      </w:pPr>
      <w:r>
        <w:rPr>
          <w:rFonts w:hint="eastAsia" w:ascii="宋体" w:hAnsi="宋体" w:cs="宋体"/>
          <w:kern w:val="0"/>
          <w:szCs w:val="21"/>
        </w:rPr>
        <w:t>37.3.2分项评分超出评分标准范围的；</w:t>
      </w:r>
    </w:p>
    <w:p>
      <w:pPr>
        <w:ind w:firstLine="411" w:firstLineChars="196"/>
        <w:rPr>
          <w:rFonts w:hint="eastAsia" w:ascii="宋体" w:hAnsi="宋体" w:cs="宋体"/>
          <w:kern w:val="0"/>
          <w:szCs w:val="21"/>
        </w:rPr>
      </w:pPr>
      <w:r>
        <w:rPr>
          <w:rFonts w:hint="eastAsia" w:ascii="宋体" w:hAnsi="宋体" w:cs="宋体"/>
          <w:kern w:val="0"/>
          <w:szCs w:val="21"/>
        </w:rPr>
        <w:t>37.3.3评审委员会成员对客观评审因素评分不一致的；</w:t>
      </w:r>
    </w:p>
    <w:p>
      <w:pPr>
        <w:ind w:firstLine="411" w:firstLineChars="196"/>
        <w:rPr>
          <w:rFonts w:hint="eastAsia" w:ascii="宋体" w:hAnsi="宋体" w:cs="宋体"/>
          <w:kern w:val="0"/>
          <w:szCs w:val="21"/>
        </w:rPr>
      </w:pPr>
      <w:r>
        <w:rPr>
          <w:rFonts w:hint="eastAsia" w:ascii="宋体" w:hAnsi="宋体" w:cs="宋体"/>
          <w:kern w:val="0"/>
          <w:szCs w:val="21"/>
        </w:rPr>
        <w:t>37.3.4经评审委员会认定评分畸高、畸低的。</w:t>
      </w:r>
    </w:p>
    <w:p>
      <w:pPr>
        <w:ind w:firstLine="411" w:firstLineChars="196"/>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pPr>
        <w:ind w:firstLine="413" w:firstLineChars="196"/>
        <w:rPr>
          <w:rFonts w:hint="eastAsia" w:ascii="宋体" w:hAnsi="宋体"/>
          <w:b/>
          <w:bCs/>
          <w:szCs w:val="21"/>
        </w:rPr>
      </w:pPr>
      <w:r>
        <w:rPr>
          <w:rFonts w:hint="eastAsia" w:ascii="宋体" w:hAnsi="宋体"/>
          <w:b/>
          <w:bCs/>
          <w:szCs w:val="21"/>
        </w:rPr>
        <w:t xml:space="preserve"> 37.4重新组建评审委员会的情形</w:t>
      </w:r>
    </w:p>
    <w:p>
      <w:pPr>
        <w:ind w:firstLine="411" w:firstLineChars="196"/>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pPr>
        <w:ind w:firstLine="411" w:firstLineChars="196"/>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pPr>
        <w:ind w:firstLine="411" w:firstLineChars="196"/>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pPr>
        <w:ind w:firstLine="411" w:firstLineChars="196"/>
        <w:rPr>
          <w:rFonts w:hint="eastAsia" w:ascii="宋体" w:hAnsi="宋体" w:cs="宋体"/>
          <w:kern w:val="0"/>
          <w:szCs w:val="21"/>
        </w:rPr>
      </w:pPr>
      <w:r>
        <w:rPr>
          <w:rFonts w:hint="eastAsia" w:ascii="宋体" w:hAnsi="宋体" w:cs="宋体"/>
          <w:kern w:val="0"/>
          <w:szCs w:val="21"/>
        </w:rPr>
        <w:t>37.4.3评审委员会及其成员独立评标受到非法干预的；</w:t>
      </w:r>
    </w:p>
    <w:p>
      <w:pPr>
        <w:ind w:firstLine="411" w:firstLineChars="196"/>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pPr>
        <w:ind w:firstLine="411" w:firstLineChars="196"/>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pPr>
        <w:ind w:firstLine="411" w:firstLineChars="196"/>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定标及公示</w:t>
      </w:r>
    </w:p>
    <w:p>
      <w:pPr>
        <w:rPr>
          <w:rFonts w:hint="eastAsia" w:ascii="黑体" w:hAnsi="宋体" w:eastAsia="黑体"/>
          <w:sz w:val="24"/>
        </w:rPr>
      </w:pPr>
      <w:r>
        <w:rPr>
          <w:rFonts w:hint="eastAsia" w:ascii="黑体" w:hAnsi="宋体" w:eastAsia="黑体"/>
          <w:sz w:val="24"/>
        </w:rPr>
        <w:t>38．定标方法</w:t>
      </w:r>
    </w:p>
    <w:p>
      <w:pPr>
        <w:ind w:firstLine="411" w:firstLineChars="196"/>
        <w:rPr>
          <w:rFonts w:hint="eastAsia" w:ascii="宋体" w:hAnsi="宋体"/>
          <w:szCs w:val="21"/>
        </w:rPr>
      </w:pPr>
      <w:bookmarkStart w:id="82" w:name="_Hlk73782795"/>
      <w:r>
        <w:rPr>
          <w:rFonts w:hint="eastAsia" w:ascii="宋体" w:hAnsi="宋体"/>
          <w:szCs w:val="21"/>
        </w:rPr>
        <w:t>38.1非评定分离项目定标方法</w:t>
      </w:r>
    </w:p>
    <w:p>
      <w:pPr>
        <w:ind w:firstLine="411" w:firstLineChars="196"/>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1.1评审委员会依据本项目招标文件所约定的评审方法进行评审和比较，向政府集中采购机构提交书面评审报告，并根据评审方法比较评价结果从优到劣进行排序，确定候选中标供应商。</w:t>
      </w:r>
    </w:p>
    <w:p>
      <w:pPr>
        <w:ind w:firstLine="411" w:firstLineChars="196"/>
        <w:rPr>
          <w:rFonts w:hint="eastAsia" w:ascii="ˎ̥" w:hAnsi="ˎ̥"/>
        </w:rPr>
      </w:pPr>
      <w:r>
        <w:rPr>
          <w:rFonts w:hint="eastAsia" w:ascii="ˎ̥" w:hAnsi="ˎ̥"/>
        </w:rPr>
        <w:t>38.1.2采用最低价法的，评审结果按投标报价由低到高顺序排列。投标报价相同的并列。投标文件满足招标文件全部实质性要求且投标报价最低的投标人为中标供应商（排名第二的投标人为第一替补中标候选人、排名第三的投标人为第二替补中标候选人）。出现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ˎ̥" w:hAnsi="ˎ̥"/>
        </w:rPr>
      </w:pPr>
      <w:r>
        <w:rPr>
          <w:rFonts w:hint="eastAsia" w:ascii="ˎ̥" w:hAnsi="ˎ̥"/>
        </w:rPr>
        <w:t>38.1.3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中标供应商（排名第二的投标人为第一替补中标候选人、排名第三的投标人为第二替补中标候选人）。出现得分且投标报价相同的并列情况时，采取随机抽取的方式确定。（抽签原则：在深圳公共资源交易中心（深圳交易集团有限公司龙华分公司）的组织下，由评标委员会作为抽签小组进行随机抽签确定排序。（1）编号。抽签小组按上传投标文件的时间先后确定抽签编号，如A 公司上传投标文件的时间最早，则抽签编号为1，以此类推。（2）抽签。按抽签编号的数量在摇号机放入相应数量及对应编号的号码球，抽签小组成员随机抽取号码球，按抽出号码球的顺序，确定号码球对应的供应商排序。（3）确认结果。全体抽签小组成员签字确认抽签结果。）</w:t>
      </w:r>
    </w:p>
    <w:p>
      <w:pPr>
        <w:ind w:firstLine="411" w:firstLineChars="196"/>
        <w:rPr>
          <w:rFonts w:hint="eastAsia" w:ascii="宋体" w:hAnsi="宋体"/>
          <w:szCs w:val="21"/>
        </w:rPr>
      </w:pPr>
      <w:r>
        <w:rPr>
          <w:rFonts w:hint="eastAsia" w:ascii="宋体" w:hAnsi="宋体"/>
          <w:szCs w:val="21"/>
        </w:rPr>
        <w:t>38.2评定分离项目定标方法</w:t>
      </w:r>
    </w:p>
    <w:p>
      <w:pPr>
        <w:ind w:firstLine="411" w:firstLineChars="196"/>
        <w:rPr>
          <w:rFonts w:hint="eastAsia" w:ascii="宋体" w:hAnsi="宋体"/>
          <w:szCs w:val="21"/>
        </w:rPr>
      </w:pPr>
      <w:r>
        <w:rPr>
          <w:rFonts w:hint="eastAsia" w:ascii="宋体" w:hAnsi="宋体"/>
          <w:szCs w:val="21"/>
        </w:rPr>
        <w:t>38.2.1评定分离是指在政府集中采购程序中，以公开招标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pPr>
        <w:ind w:firstLine="411" w:firstLineChars="196"/>
      </w:pPr>
      <w:r>
        <w:rPr>
          <w:rFonts w:ascii="宋体" w:hAnsi="宋体"/>
          <w:szCs w:val="21"/>
        </w:rPr>
        <w:t xml:space="preserve">38.2.2 </w:t>
      </w:r>
      <w:bookmarkStart w:id="83" w:name="_Hlk71469733"/>
      <w:r>
        <w:t>适用评定分离的政府采购项目，采用综合评分法评</w:t>
      </w:r>
      <w:r>
        <w:rPr>
          <w:rFonts w:hint="eastAsia"/>
        </w:rPr>
        <w:t>审。</w:t>
      </w:r>
      <w:r>
        <w:rPr>
          <w:rFonts w:hint="eastAsia" w:ascii="宋体" w:hAnsi="宋体"/>
          <w:szCs w:val="21"/>
        </w:rPr>
        <w:t>评审委员会按照评审结果，推荐</w:t>
      </w:r>
      <w:r>
        <w:t>三个合格的候选中标供应商。</w:t>
      </w:r>
    </w:p>
    <w:p>
      <w:pPr>
        <w:ind w:firstLine="411" w:firstLineChars="196"/>
        <w:rPr>
          <w:rFonts w:hint="eastAsia" w:ascii="宋体" w:hAnsi="宋体"/>
          <w:szCs w:val="21"/>
        </w:rPr>
      </w:pPr>
      <w:r>
        <w:rPr>
          <w:rFonts w:hint="eastAsia" w:ascii="宋体" w:hAnsi="宋体"/>
          <w:szCs w:val="21"/>
        </w:rPr>
        <w:t>38.2.3</w:t>
      </w:r>
      <w:bookmarkStart w:id="84" w:name="_Hlk71469688"/>
      <w:r>
        <w:t>适用评定分离的政府采购项目，</w:t>
      </w:r>
      <w:r>
        <w:rPr>
          <w:rFonts w:hint="eastAsia" w:ascii="宋体" w:hAnsi="宋体"/>
          <w:szCs w:val="21"/>
        </w:rPr>
        <w:t>按照自定法确定中标供应商：自定法是指采购人组织定标委员会，由定标委员会在三家候选中标供应商中确定中标供应商。</w:t>
      </w:r>
      <w:bookmarkEnd w:id="83"/>
      <w:bookmarkEnd w:id="84"/>
    </w:p>
    <w:p>
      <w:pPr>
        <w:ind w:firstLine="411" w:firstLineChars="196"/>
        <w:rPr>
          <w:rFonts w:hint="eastAsia" w:ascii="宋体" w:hAnsi="宋体"/>
          <w:szCs w:val="21"/>
        </w:rPr>
      </w:pPr>
      <w:r>
        <w:rPr>
          <w:rFonts w:ascii="宋体" w:hAnsi="宋体"/>
          <w:szCs w:val="21"/>
        </w:rPr>
        <w:t>38.2.4</w:t>
      </w:r>
      <w:r>
        <w:rPr>
          <w:rFonts w:hint="eastAsia" w:ascii="宋体" w:hAnsi="宋体"/>
          <w:szCs w:val="21"/>
        </w:rPr>
        <w:t>政府集中采购机构</w:t>
      </w:r>
      <w:r>
        <w:t>应当自评审结束之日起两个工作日内将候选中标供应商名单及其投标文件、评审报告送交采购人</w:t>
      </w:r>
      <w:r>
        <w:rPr>
          <w:rFonts w:hint="eastAsia" w:ascii="宋体" w:hAnsi="宋体"/>
          <w:szCs w:val="21"/>
        </w:rPr>
        <w:t>。</w:t>
      </w:r>
      <w:r>
        <w:t>采购人应当安排专人对定标过程进行书面记录，形成定标报告，作为采购文件的组成部分存档，并及时将定标结果反馈</w:t>
      </w:r>
      <w:r>
        <w:rPr>
          <w:rFonts w:hint="eastAsia"/>
        </w:rPr>
        <w:t>政府集中采购机构。具体定标程序及相关要求以按照《</w:t>
      </w:r>
      <w:r>
        <w:t>深圳市财政局关于印发</w:t>
      </w:r>
      <w:r>
        <w:rPr>
          <w:rFonts w:hint="eastAsia" w:ascii="宋体" w:hAnsi="宋体"/>
        </w:rPr>
        <w:t>〈</w:t>
      </w:r>
      <w:r>
        <w:t>深圳市政府采购评标定标分离管理办法</w:t>
      </w:r>
      <w:r>
        <w:rPr>
          <w:rFonts w:hint="eastAsia" w:ascii="宋体" w:hAnsi="宋体"/>
        </w:rPr>
        <w:t>〉</w:t>
      </w:r>
      <w:r>
        <w:t>的通知</w:t>
      </w:r>
      <w:r>
        <w:rPr>
          <w:rFonts w:hint="eastAsia"/>
        </w:rPr>
        <w:t>》（深财规【2</w:t>
      </w:r>
      <w:r>
        <w:t>020</w:t>
      </w:r>
      <w:r>
        <w:rPr>
          <w:rFonts w:hint="eastAsia"/>
        </w:rPr>
        <w:t>】1号）执行。</w:t>
      </w:r>
    </w:p>
    <w:p>
      <w:pPr>
        <w:ind w:firstLine="411" w:firstLineChars="196"/>
        <w:rPr>
          <w:rFonts w:hint="eastAsia" w:ascii="宋体" w:hAnsi="宋体"/>
          <w:szCs w:val="21"/>
        </w:rPr>
      </w:pPr>
      <w:r>
        <w:rPr>
          <w:rFonts w:hint="eastAsia" w:ascii="宋体" w:hAnsi="宋体"/>
          <w:szCs w:val="21"/>
        </w:rPr>
        <w:t>说明：采购人及投标供应商应按照上述方法提前做好相关准备。</w:t>
      </w:r>
    </w:p>
    <w:p>
      <w:pPr>
        <w:ind w:firstLine="411" w:firstLineChars="196"/>
        <w:rPr>
          <w:rFonts w:hint="eastAsia" w:ascii="宋体" w:hAnsi="宋体"/>
          <w:szCs w:val="21"/>
        </w:rPr>
      </w:pPr>
      <w:r>
        <w:rPr>
          <w:rFonts w:hint="eastAsia" w:ascii="宋体" w:hAnsi="宋体"/>
          <w:szCs w:val="21"/>
        </w:rPr>
        <w:t>38.3专用条款另有规定的，按专用条款相关要求定标。</w:t>
      </w:r>
      <w:bookmarkEnd w:id="82"/>
    </w:p>
    <w:p>
      <w:pPr>
        <w:rPr>
          <w:rFonts w:hint="eastAsia" w:ascii="黑体" w:hAnsi="宋体" w:eastAsia="黑体"/>
          <w:sz w:val="24"/>
        </w:rPr>
      </w:pPr>
      <w:r>
        <w:rPr>
          <w:rFonts w:hint="eastAsia" w:ascii="黑体" w:hAnsi="宋体" w:eastAsia="黑体"/>
          <w:sz w:val="24"/>
        </w:rPr>
        <w:t>39．编写评审报告</w:t>
      </w:r>
    </w:p>
    <w:p>
      <w:pPr>
        <w:ind w:firstLine="411" w:firstLineChars="196"/>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pPr>
        <w:rPr>
          <w:rFonts w:hint="eastAsia" w:ascii="黑体" w:hAnsi="宋体" w:eastAsia="黑体"/>
          <w:sz w:val="24"/>
        </w:rPr>
      </w:pPr>
      <w:r>
        <w:rPr>
          <w:rFonts w:hint="eastAsia" w:ascii="黑体" w:hAnsi="宋体" w:eastAsia="黑体"/>
          <w:sz w:val="24"/>
        </w:rPr>
        <w:t>40．中标公告</w:t>
      </w:r>
    </w:p>
    <w:p>
      <w:pPr>
        <w:ind w:firstLine="411" w:firstLineChars="196"/>
        <w:rPr>
          <w:rFonts w:hint="eastAsia" w:ascii="宋体" w:hAnsi="宋体"/>
          <w:szCs w:val="21"/>
        </w:rPr>
      </w:pPr>
      <w:r>
        <w:rPr>
          <w:rFonts w:hint="eastAsia" w:ascii="宋体" w:hAnsi="宋体"/>
          <w:szCs w:val="21"/>
        </w:rPr>
        <w:t>40.1</w:t>
      </w:r>
      <w:bookmarkStart w:id="85" w:name="_Hlk72438709"/>
      <w:r>
        <w:rPr>
          <w:rFonts w:hint="eastAsia" w:ascii="宋体" w:hAnsi="宋体"/>
          <w:szCs w:val="21"/>
        </w:rPr>
        <w:t>为体现“公开、公平、公正”的原则，评审结束后经采购人确认（确定）评审结果，政府集中采购机构将在</w:t>
      </w:r>
      <w:r>
        <w:rPr>
          <w:rFonts w:hint="eastAsia" w:ascii="宋体" w:hAnsi="宋体"/>
          <w:b/>
          <w:bCs/>
        </w:rPr>
        <w:t>深圳政府采购自行采购系统</w:t>
      </w:r>
      <w:r>
        <w:rPr>
          <w:rFonts w:hint="eastAsia" w:ascii="宋体" w:hAnsi="宋体"/>
          <w:b/>
          <w:bCs/>
          <w:szCs w:val="21"/>
        </w:rPr>
        <w:t>（https://zxcg.szggzy.com/home/index.html）</w:t>
      </w:r>
      <w:r>
        <w:rPr>
          <w:rFonts w:hint="eastAsia" w:ascii="宋体" w:hAnsi="宋体"/>
          <w:szCs w:val="21"/>
        </w:rPr>
        <w:t>上发布中标结果公告。</w:t>
      </w:r>
      <w:bookmarkEnd w:id="85"/>
      <w:bookmarkStart w:id="86" w:name="_Hlk72438751"/>
      <w:r>
        <w:rPr>
          <w:rFonts w:hint="eastAsia" w:ascii="宋体" w:hAnsi="宋体"/>
          <w:szCs w:val="21"/>
        </w:rPr>
        <w:t>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提出。 监督电话：0755-83948143。</w:t>
      </w:r>
      <w:r>
        <w:rPr>
          <w:rFonts w:hint="eastAsia" w:ascii="宋体" w:hAnsi="宋体"/>
          <w:szCs w:val="21"/>
        </w:rPr>
        <w:t>若在公示期内未提出质疑，则视为认同该评审结果。</w:t>
      </w:r>
    </w:p>
    <w:bookmarkEnd w:id="86"/>
    <w:p>
      <w:pPr>
        <w:ind w:firstLine="411" w:firstLineChars="196"/>
        <w:rPr>
          <w:rFonts w:hint="eastAsia" w:ascii="宋体" w:hAnsi="宋体"/>
          <w:szCs w:val="21"/>
        </w:rPr>
      </w:pPr>
      <w:r>
        <w:rPr>
          <w:rFonts w:hint="eastAsia" w:ascii="宋体" w:hAnsi="宋体"/>
          <w:szCs w:val="21"/>
        </w:rPr>
        <w:t>40.2质疑、投诉供应商应保证质疑、投诉内容的真实性和可靠性，并承担相应的法律责任。</w:t>
      </w:r>
    </w:p>
    <w:p>
      <w:pPr>
        <w:rPr>
          <w:rFonts w:hint="eastAsia" w:ascii="黑体" w:hAnsi="宋体" w:eastAsia="黑体"/>
          <w:sz w:val="24"/>
        </w:rPr>
      </w:pPr>
      <w:r>
        <w:rPr>
          <w:rFonts w:hint="eastAsia" w:ascii="黑体" w:hAnsi="宋体" w:eastAsia="黑体"/>
          <w:sz w:val="24"/>
        </w:rPr>
        <w:t>41．中标通知书</w:t>
      </w:r>
    </w:p>
    <w:p>
      <w:pPr>
        <w:ind w:firstLine="411" w:firstLineChars="196"/>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87" w:name="_Hlk72438863"/>
      <w:r>
        <w:rPr>
          <w:rFonts w:hint="eastAsia" w:ascii="宋体" w:hAnsi="宋体"/>
          <w:szCs w:val="21"/>
        </w:rPr>
        <w:t>中标公告公布以后无异常的情况下,中标供应商和采购人可自行登录</w:t>
      </w:r>
      <w:r>
        <w:rPr>
          <w:rFonts w:hint="eastAsia" w:ascii="宋体" w:hAnsi="宋体"/>
          <w:b/>
          <w:bCs/>
          <w:szCs w:val="21"/>
        </w:rPr>
        <w:t>“</w:t>
      </w:r>
      <w:r>
        <w:rPr>
          <w:rFonts w:hint="eastAsia" w:ascii="宋体" w:hAnsi="宋体"/>
        </w:rPr>
        <w:t>深圳政府采购自行采购系统（https://trade.szggzy.com/ggzy/center/#/login）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87"/>
    </w:p>
    <w:p>
      <w:pPr>
        <w:ind w:firstLine="411" w:firstLineChars="196"/>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pPr>
        <w:ind w:firstLine="411" w:firstLineChars="196"/>
        <w:rPr>
          <w:rFonts w:hint="eastAsia" w:ascii="宋体" w:hAnsi="宋体"/>
          <w:szCs w:val="21"/>
        </w:rPr>
      </w:pPr>
      <w:bookmarkStart w:id="88" w:name="_Hlk71407340"/>
      <w:r>
        <w:rPr>
          <w:rFonts w:hint="eastAsia" w:ascii="宋体" w:hAnsi="宋体"/>
          <w:szCs w:val="21"/>
        </w:rPr>
        <w:t>41.3因质疑投诉或其它原因导致项目结果变更或采购终止的，政府集中采购机构有权吊销中标通知书。</w:t>
      </w:r>
    </w:p>
    <w:bookmarkEnd w:id="88"/>
    <w:p>
      <w:pPr>
        <w:ind w:firstLine="411" w:firstLineChars="196"/>
        <w:rPr>
          <w:rFonts w:hint="eastAsia" w:ascii="宋体" w:hAnsi="宋体"/>
          <w:szCs w:val="21"/>
        </w:rPr>
      </w:pPr>
    </w:p>
    <w:p>
      <w:pPr>
        <w:pStyle w:val="4"/>
        <w:numPr>
          <w:ilvl w:val="0"/>
          <w:numId w:val="13"/>
        </w:numPr>
        <w:spacing w:before="156" w:beforeLines="50" w:after="156" w:afterLines="50"/>
        <w:ind w:left="562" w:hanging="562"/>
        <w:rPr>
          <w:sz w:val="28"/>
          <w:szCs w:val="28"/>
        </w:rPr>
      </w:pPr>
      <w:r>
        <w:rPr>
          <w:rFonts w:hint="eastAsia"/>
          <w:sz w:val="28"/>
          <w:szCs w:val="28"/>
        </w:rPr>
        <w:t>公开招标失败的后续处理</w:t>
      </w:r>
    </w:p>
    <w:p>
      <w:pPr>
        <w:rPr>
          <w:rFonts w:hint="eastAsia" w:ascii="黑体" w:hAnsi="宋体" w:eastAsia="黑体"/>
          <w:sz w:val="24"/>
        </w:rPr>
      </w:pPr>
      <w:r>
        <w:rPr>
          <w:rFonts w:hint="eastAsia" w:ascii="黑体" w:hAnsi="宋体" w:eastAsia="黑体"/>
          <w:sz w:val="24"/>
        </w:rPr>
        <w:t>42．公开招标失败的处理</w:t>
      </w:r>
    </w:p>
    <w:p>
      <w:pPr>
        <w:ind w:firstLine="411" w:firstLineChars="196"/>
        <w:rPr>
          <w:rFonts w:hint="eastAsia" w:ascii="宋体" w:hAnsi="宋体"/>
        </w:rPr>
      </w:pPr>
      <w:r>
        <w:rPr>
          <w:rFonts w:hint="eastAsia" w:ascii="宋体" w:hAnsi="宋体"/>
          <w:szCs w:val="21"/>
        </w:rPr>
        <w:t>42.1本项目公开招标过程中若由于投标截止后</w:t>
      </w:r>
      <w:r>
        <w:rPr>
          <w:rFonts w:hint="eastAsia" w:ascii="宋体" w:hAnsi="宋体"/>
        </w:rPr>
        <w:t>实际递交</w:t>
      </w:r>
      <w:r>
        <w:rPr>
          <w:rFonts w:ascii="宋体" w:hAnsi="宋体"/>
        </w:rPr>
        <w:t>投标</w:t>
      </w:r>
      <w:r>
        <w:rPr>
          <w:rFonts w:hint="eastAsia" w:ascii="宋体" w:hAnsi="宋体"/>
        </w:rPr>
        <w:t>文件的供应商数量不足、经</w:t>
      </w:r>
      <w:r>
        <w:rPr>
          <w:rFonts w:hint="eastAsia" w:ascii="宋体" w:hAnsi="宋体"/>
          <w:szCs w:val="21"/>
        </w:rPr>
        <w:t>评审委员会</w:t>
      </w:r>
      <w:r>
        <w:rPr>
          <w:rFonts w:hint="eastAsia" w:ascii="宋体" w:hAnsi="宋体"/>
        </w:rPr>
        <w:t>评审对招标文件作实质响应的供应商不足等原因造成公开招标失败，可由</w:t>
      </w:r>
      <w:r>
        <w:rPr>
          <w:rFonts w:hint="eastAsia" w:ascii="宋体" w:hAnsi="宋体" w:cs="宋体"/>
        </w:rPr>
        <w:t>政府集中采购机构</w:t>
      </w:r>
      <w:r>
        <w:rPr>
          <w:rFonts w:hint="eastAsia" w:ascii="宋体" w:hAnsi="宋体"/>
        </w:rPr>
        <w:t>重新组织采购。</w:t>
      </w:r>
    </w:p>
    <w:p>
      <w:pPr>
        <w:ind w:firstLine="411" w:firstLineChars="196"/>
        <w:rPr>
          <w:rFonts w:hint="eastAsia" w:ascii="宋体" w:hAnsi="宋体"/>
          <w:szCs w:val="21"/>
        </w:rPr>
      </w:pPr>
      <w:r>
        <w:rPr>
          <w:rFonts w:hint="eastAsia" w:ascii="宋体" w:hAnsi="宋体"/>
          <w:szCs w:val="21"/>
        </w:rPr>
        <w:t>42.2对公开招标失败的项目，评审委员会在出具该项目招标失败结论的同时，可以提出重新采购组织形式的建议，以及进一步完善招标文件的资格、技术、商务要求的修改建议。</w:t>
      </w:r>
    </w:p>
    <w:p>
      <w:pPr>
        <w:ind w:firstLine="411" w:firstLineChars="196"/>
        <w:rPr>
          <w:rFonts w:hint="eastAsia" w:ascii="宋体" w:hAnsi="宋体"/>
          <w:szCs w:val="21"/>
        </w:rPr>
      </w:pPr>
      <w:r>
        <w:rPr>
          <w:rFonts w:hint="eastAsia" w:ascii="宋体" w:hAnsi="宋体"/>
          <w:szCs w:val="21"/>
        </w:rPr>
        <w:t>42.3重新组织采购有以下两种组织形式：</w:t>
      </w:r>
    </w:p>
    <w:p>
      <w:pPr>
        <w:ind w:firstLine="411" w:firstLineChars="196"/>
        <w:rPr>
          <w:rFonts w:hint="eastAsia" w:ascii="宋体" w:hAnsi="宋体"/>
        </w:rPr>
      </w:pPr>
      <w:r>
        <w:rPr>
          <w:rFonts w:hint="eastAsia" w:ascii="宋体" w:hAnsi="宋体"/>
        </w:rPr>
        <w:t>（1）由政府集中采购机构重新组织公开招标；</w:t>
      </w:r>
    </w:p>
    <w:p>
      <w:pPr>
        <w:ind w:firstLine="411" w:firstLineChars="196"/>
        <w:rPr>
          <w:rFonts w:hint="eastAsia" w:ascii="宋体" w:hAnsi="宋体"/>
        </w:rPr>
      </w:pPr>
      <w:r>
        <w:rPr>
          <w:rFonts w:hint="eastAsia" w:ascii="宋体" w:hAnsi="宋体"/>
        </w:rPr>
        <w:t>（2）根据实际情况需要向同级财政部门提出非公开招标方式申请，经同级财政部门批准，公开招标失败采购项目可转为竞争性谈判或单一来源谈判方式采购。</w:t>
      </w:r>
    </w:p>
    <w:p>
      <w:pPr>
        <w:ind w:firstLine="411" w:firstLineChars="196"/>
        <w:rPr>
          <w:rFonts w:hint="eastAsia" w:ascii="宋体" w:hAnsi="宋体"/>
        </w:rPr>
      </w:pPr>
      <w:r>
        <w:rPr>
          <w:rFonts w:hint="eastAsia" w:ascii="宋体" w:hAnsi="宋体"/>
        </w:rPr>
        <w:t>42.4公开招标失败的采购项目重新组织公开招标，由政府集中采购机构重新按公开招标流程组织采购活动。</w:t>
      </w:r>
    </w:p>
    <w:p>
      <w:pPr>
        <w:rPr>
          <w:rFonts w:hint="eastAsia" w:ascii="宋体" w:hAnsi="宋体"/>
        </w:rPr>
      </w:pPr>
      <w:r>
        <w:rPr>
          <w:rFonts w:hint="eastAsia" w:ascii="黑体" w:hAnsi="宋体" w:eastAsia="黑体"/>
          <w:sz w:val="24"/>
        </w:rPr>
        <w:t xml:space="preserve">    </w:t>
      </w:r>
      <w:r>
        <w:rPr>
          <w:rFonts w:hint="eastAsia" w:ascii="宋体" w:hAnsi="宋体"/>
        </w:rPr>
        <w:t>42.5公开招标失败的采购项目经同级财政部门批准转为竞争性谈判或单一来源谈判方式采购的，按规定要求组织政府采购工作。</w:t>
      </w:r>
    </w:p>
    <w:p>
      <w:pPr>
        <w:rPr>
          <w:rFonts w:hint="eastAsia" w:ascii="黑体" w:hAnsi="宋体" w:eastAsia="黑体"/>
          <w:sz w:val="24"/>
        </w:rPr>
      </w:pPr>
    </w:p>
    <w:p>
      <w:pPr>
        <w:pStyle w:val="4"/>
        <w:numPr>
          <w:ilvl w:val="0"/>
          <w:numId w:val="13"/>
        </w:numPr>
        <w:spacing w:before="156" w:beforeLines="50" w:after="156" w:afterLines="50"/>
        <w:ind w:left="562" w:hanging="562"/>
        <w:rPr>
          <w:sz w:val="28"/>
          <w:szCs w:val="28"/>
        </w:rPr>
      </w:pPr>
      <w:bookmarkStart w:id="89" w:name="_Hlk72439043"/>
      <w:r>
        <w:rPr>
          <w:rFonts w:hint="eastAsia"/>
          <w:sz w:val="28"/>
          <w:szCs w:val="28"/>
        </w:rPr>
        <w:t>合同的授予与备案</w:t>
      </w:r>
      <w:bookmarkEnd w:id="89"/>
    </w:p>
    <w:p>
      <w:pPr>
        <w:rPr>
          <w:rFonts w:hint="eastAsia" w:ascii="黑体" w:hAnsi="宋体" w:eastAsia="黑体"/>
          <w:sz w:val="24"/>
        </w:rPr>
      </w:pPr>
      <w:bookmarkStart w:id="90" w:name="_Toc73517679"/>
      <w:bookmarkStart w:id="91" w:name="_Toc100052408"/>
      <w:bookmarkStart w:id="92" w:name="_Toc73518157"/>
      <w:bookmarkStart w:id="93" w:name="_Toc73521586"/>
      <w:bookmarkStart w:id="94" w:name="_Toc73521674"/>
      <w:bookmarkStart w:id="95" w:name="_Hlk72439088"/>
      <w:r>
        <w:rPr>
          <w:rFonts w:hint="eastAsia" w:ascii="黑体" w:hAnsi="宋体" w:eastAsia="黑体"/>
          <w:sz w:val="24"/>
        </w:rPr>
        <w:t>43．合同授予标准</w:t>
      </w:r>
      <w:bookmarkEnd w:id="90"/>
      <w:bookmarkEnd w:id="91"/>
      <w:bookmarkEnd w:id="92"/>
      <w:bookmarkEnd w:id="93"/>
      <w:bookmarkEnd w:id="94"/>
    </w:p>
    <w:p>
      <w:pPr>
        <w:ind w:firstLine="411" w:firstLineChars="196"/>
        <w:rPr>
          <w:rFonts w:hint="eastAsia" w:ascii="宋体" w:hAnsi="宋体"/>
          <w:szCs w:val="21"/>
        </w:rPr>
      </w:pPr>
      <w:r>
        <w:rPr>
          <w:rFonts w:hint="eastAsia" w:ascii="宋体" w:hAnsi="宋体"/>
          <w:szCs w:val="21"/>
        </w:rPr>
        <w:t>本项目的合同将授予经本招标文件规定评审确定的中标供应商。</w:t>
      </w:r>
    </w:p>
    <w:p>
      <w:pPr>
        <w:rPr>
          <w:rFonts w:hint="eastAsia" w:ascii="黑体" w:hAnsi="宋体" w:eastAsia="黑体"/>
          <w:sz w:val="24"/>
        </w:rPr>
      </w:pPr>
      <w:bookmarkStart w:id="96" w:name="_Toc73517680"/>
      <w:bookmarkStart w:id="97" w:name="_Toc73518158"/>
      <w:bookmarkStart w:id="98" w:name="_Toc73521675"/>
      <w:bookmarkStart w:id="99" w:name="_Toc100052409"/>
      <w:bookmarkStart w:id="100" w:name="_Toc73521587"/>
      <w:r>
        <w:rPr>
          <w:rFonts w:hint="eastAsia" w:ascii="黑体" w:hAnsi="宋体" w:eastAsia="黑体"/>
          <w:sz w:val="24"/>
        </w:rPr>
        <w:t>44．</w:t>
      </w:r>
      <w:bookmarkEnd w:id="96"/>
      <w:bookmarkEnd w:id="97"/>
      <w:bookmarkEnd w:id="98"/>
      <w:bookmarkEnd w:id="99"/>
      <w:bookmarkEnd w:id="100"/>
      <w:r>
        <w:rPr>
          <w:rFonts w:hint="eastAsia" w:ascii="黑体" w:hAnsi="宋体" w:eastAsia="黑体"/>
          <w:sz w:val="24"/>
        </w:rPr>
        <w:t>接受和拒绝任何或所有投标的权力</w:t>
      </w:r>
    </w:p>
    <w:p>
      <w:pPr>
        <w:ind w:firstLine="411" w:firstLineChars="196"/>
        <w:rPr>
          <w:rFonts w:hint="eastAsia" w:ascii="宋体" w:hAnsi="宋体"/>
          <w:szCs w:val="21"/>
        </w:rPr>
      </w:pPr>
      <w:r>
        <w:rPr>
          <w:rFonts w:hint="eastAsia" w:ascii="宋体" w:hAnsi="宋体"/>
          <w:szCs w:val="21"/>
        </w:rPr>
        <w:t>政府集中采购机构和采购人保留在投标之前任何时候接受或拒绝任何投标或所有投标，以及宣布招标无效的权力，对受影响的投标人不承担任何责任，也无义务向受影响的投标人解释采取这一行动的理由。</w:t>
      </w:r>
    </w:p>
    <w:p>
      <w:pPr>
        <w:rPr>
          <w:rFonts w:hint="eastAsia" w:ascii="黑体" w:hAnsi="宋体" w:eastAsia="黑体"/>
          <w:sz w:val="24"/>
        </w:rPr>
      </w:pPr>
      <w:bookmarkStart w:id="101" w:name="_Toc100052410"/>
      <w:bookmarkStart w:id="102" w:name="_Toc73518160"/>
      <w:bookmarkStart w:id="103" w:name="_Toc73521589"/>
      <w:bookmarkStart w:id="104" w:name="_Toc73517682"/>
      <w:bookmarkStart w:id="105" w:name="_Toc73521677"/>
      <w:r>
        <w:rPr>
          <w:rFonts w:hint="eastAsia" w:ascii="黑体" w:hAnsi="宋体" w:eastAsia="黑体"/>
          <w:sz w:val="24"/>
        </w:rPr>
        <w:t>45．合同的签订</w:t>
      </w:r>
      <w:bookmarkEnd w:id="101"/>
      <w:bookmarkEnd w:id="102"/>
      <w:bookmarkEnd w:id="103"/>
      <w:bookmarkEnd w:id="104"/>
      <w:bookmarkEnd w:id="105"/>
    </w:p>
    <w:p>
      <w:pPr>
        <w:ind w:firstLine="411" w:firstLineChars="196"/>
        <w:rPr>
          <w:rFonts w:hint="eastAsia" w:ascii="宋体" w:hAnsi="宋体"/>
          <w:szCs w:val="21"/>
        </w:rPr>
      </w:pPr>
      <w:r>
        <w:rPr>
          <w:rFonts w:hint="eastAsia" w:ascii="宋体" w:hAnsi="宋体"/>
          <w:szCs w:val="21"/>
        </w:rPr>
        <w:t>45.1中标人将于中标通知书发出之日起十个工作日内，按照采购文件（招标文件和投标文件等）内容与采购人签订政府采购合同；合同的实质性内容应当符合招标文件的规定；</w:t>
      </w:r>
    </w:p>
    <w:p>
      <w:pPr>
        <w:ind w:firstLine="411" w:firstLineChars="196"/>
        <w:rPr>
          <w:rFonts w:hint="eastAsia" w:ascii="宋体" w:hAnsi="宋体"/>
          <w:szCs w:val="21"/>
        </w:rPr>
      </w:pPr>
      <w:r>
        <w:rPr>
          <w:rFonts w:hint="eastAsia" w:ascii="宋体" w:hAnsi="宋体"/>
          <w:szCs w:val="21"/>
        </w:rPr>
        <w:t>45.2中标人如不按本通用条款第45</w:t>
      </w:r>
      <w:r>
        <w:rPr>
          <w:rFonts w:ascii="宋体" w:hAnsi="宋体"/>
          <w:szCs w:val="21"/>
        </w:rPr>
        <w:t>.1</w:t>
      </w:r>
      <w:r>
        <w:rPr>
          <w:rFonts w:hint="eastAsia" w:ascii="宋体" w:hAnsi="宋体"/>
          <w:szCs w:val="21"/>
        </w:rPr>
        <w:t>款的规定与采购人签订合同，</w:t>
      </w:r>
      <w:r>
        <w:rPr>
          <w:rFonts w:ascii="宋体" w:hAnsi="宋体" w:cs="宋体"/>
          <w:kern w:val="0"/>
          <w:szCs w:val="21"/>
        </w:rPr>
        <w:t>情节严重的，由</w:t>
      </w:r>
      <w:r>
        <w:rPr>
          <w:rFonts w:hint="eastAsia" w:ascii="宋体" w:hAnsi="宋体" w:cs="宋体"/>
          <w:kern w:val="0"/>
          <w:szCs w:val="21"/>
        </w:rPr>
        <w:t>同级财政</w:t>
      </w:r>
      <w:r>
        <w:rPr>
          <w:rFonts w:ascii="宋体" w:hAnsi="宋体" w:cs="宋体"/>
          <w:kern w:val="0"/>
          <w:szCs w:val="21"/>
        </w:rPr>
        <w:t>部门记入供应商诚信档案，予以通报</w:t>
      </w:r>
      <w:r>
        <w:rPr>
          <w:rFonts w:hint="eastAsia" w:ascii="宋体" w:hAnsi="宋体"/>
          <w:szCs w:val="21"/>
        </w:rPr>
        <w:t>；</w:t>
      </w:r>
    </w:p>
    <w:p>
      <w:pPr>
        <w:ind w:firstLine="411" w:firstLineChars="196"/>
        <w:rPr>
          <w:rFonts w:hint="eastAsia" w:ascii="宋体" w:hAnsi="宋体"/>
          <w:szCs w:val="21"/>
        </w:rPr>
      </w:pPr>
      <w:r>
        <w:rPr>
          <w:rFonts w:hint="eastAsia" w:ascii="宋体" w:hAnsi="宋体"/>
          <w:szCs w:val="21"/>
        </w:rPr>
        <w:t>45.3中标人应当按照合同约定履行义务，完成中标项目，不得将中标项目转让（转包）给他人。</w:t>
      </w:r>
    </w:p>
    <w:p>
      <w:pPr>
        <w:rPr>
          <w:rFonts w:hint="eastAsia" w:ascii="黑体" w:hAnsi="宋体" w:eastAsia="黑体"/>
          <w:sz w:val="24"/>
        </w:rPr>
      </w:pPr>
      <w:bookmarkStart w:id="106" w:name="_Toc100052411"/>
      <w:bookmarkStart w:id="107" w:name="_Toc73517683"/>
      <w:bookmarkStart w:id="108" w:name="_Toc73518161"/>
      <w:bookmarkStart w:id="109" w:name="_Toc73521678"/>
      <w:bookmarkStart w:id="110" w:name="_Toc73521590"/>
      <w:r>
        <w:rPr>
          <w:rFonts w:hint="eastAsia" w:ascii="黑体" w:hAnsi="宋体" w:eastAsia="黑体"/>
          <w:sz w:val="24"/>
        </w:rPr>
        <w:t>46．履约担保</w:t>
      </w:r>
      <w:bookmarkEnd w:id="106"/>
      <w:bookmarkEnd w:id="107"/>
      <w:bookmarkEnd w:id="108"/>
      <w:bookmarkEnd w:id="109"/>
      <w:bookmarkEnd w:id="110"/>
    </w:p>
    <w:p>
      <w:pPr>
        <w:ind w:firstLine="411" w:firstLineChars="196"/>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pPr>
        <w:ind w:firstLine="411" w:firstLineChars="196"/>
        <w:rPr>
          <w:rFonts w:hint="eastAsia" w:ascii="宋体" w:hAnsi="宋体"/>
          <w:szCs w:val="21"/>
        </w:rPr>
      </w:pPr>
      <w:r>
        <w:rPr>
          <w:rFonts w:hint="eastAsia" w:ascii="宋体" w:hAnsi="宋体"/>
          <w:szCs w:val="21"/>
        </w:rPr>
        <w:t>46.2，允许供应商自主选择以支票、汇票、本票、保函等非现金方式提交履约担保；</w:t>
      </w:r>
      <w:r>
        <w:t>中标</w:t>
      </w:r>
      <w:r>
        <w:rPr>
          <w:rFonts w:hint="eastAsia"/>
        </w:rPr>
        <w:t>人</w:t>
      </w:r>
      <w:r>
        <w:t>提交履约</w:t>
      </w:r>
      <w:r>
        <w:rPr>
          <w:rFonts w:hint="eastAsia"/>
        </w:rPr>
        <w:t>担保不是</w:t>
      </w:r>
      <w:r>
        <w:t>合同签订的</w:t>
      </w:r>
      <w:r>
        <w:rPr>
          <w:rFonts w:hint="eastAsia"/>
        </w:rPr>
        <w:t>前提</w:t>
      </w:r>
      <w:r>
        <w:t>条件，不要求中标</w:t>
      </w:r>
      <w:r>
        <w:rPr>
          <w:rFonts w:hint="eastAsia"/>
        </w:rPr>
        <w:t>人</w:t>
      </w:r>
      <w:r>
        <w:t>提供除法律、法规明确规定外的其他担保</w:t>
      </w:r>
      <w:r>
        <w:rPr>
          <w:rFonts w:hint="eastAsia"/>
        </w:rPr>
        <w:t>。</w:t>
      </w:r>
    </w:p>
    <w:p>
      <w:pPr>
        <w:rPr>
          <w:rFonts w:hint="eastAsia" w:ascii="黑体" w:hAnsi="宋体" w:eastAsia="黑体"/>
          <w:sz w:val="24"/>
        </w:rPr>
      </w:pPr>
      <w:r>
        <w:rPr>
          <w:rFonts w:hint="eastAsia" w:ascii="黑体" w:hAnsi="宋体" w:eastAsia="黑体"/>
          <w:sz w:val="24"/>
        </w:rPr>
        <w:t>47. 合同备案</w:t>
      </w:r>
    </w:p>
    <w:p>
      <w:pPr>
        <w:rPr>
          <w:rFonts w:hint="eastAsia" w:ascii="黑体" w:hAnsi="宋体" w:eastAsia="黑体"/>
          <w:sz w:val="24"/>
        </w:rPr>
      </w:pPr>
      <w:r>
        <w:rPr>
          <w:rFonts w:hint="eastAsia" w:ascii="宋体" w:hAnsi="宋体" w:eastAsia="宋体" w:cs="Times New Roman"/>
          <w:szCs w:val="21"/>
          <w:lang w:eastAsia="zh-Hans"/>
        </w:rPr>
        <w:t>采购人与中标供应商自中标通知书发出之日起10个工作日内签订政府采购合同，</w:t>
      </w:r>
      <w:r>
        <w:rPr>
          <w:rFonts w:hint="eastAsia" w:ascii="宋体" w:hAnsi="宋体" w:eastAsia="宋体" w:cs="Times New Roman"/>
          <w:szCs w:val="21"/>
        </w:rPr>
        <w:t>并按财政部门规定提交备案。</w:t>
      </w:r>
      <w:r>
        <w:rPr>
          <w:rFonts w:hint="eastAsia" w:ascii="黑体" w:hAnsi="宋体" w:eastAsia="黑体"/>
          <w:sz w:val="24"/>
        </w:rPr>
        <w:t>48. 合同变更</w:t>
      </w:r>
    </w:p>
    <w:p>
      <w:pPr>
        <w:ind w:firstLine="411" w:firstLineChars="196"/>
        <w:rPr>
          <w:rFonts w:hint="eastAsia" w:ascii="宋体" w:hAnsi="宋体"/>
          <w:szCs w:val="21"/>
        </w:rPr>
      </w:pPr>
      <w:r>
        <w:rPr>
          <w:rFonts w:hint="eastAsia" w:ascii="宋体" w:hAnsi="宋体"/>
          <w:szCs w:val="21"/>
        </w:rPr>
        <w:t>合同变更事宜按《深圳市财政局关于优化政府采购合同备案的通知》（深财发保〔2022〕2号）相关规定执行。</w:t>
      </w:r>
    </w:p>
    <w:p>
      <w:pPr>
        <w:rPr>
          <w:rFonts w:hint="eastAsia" w:ascii="黑体" w:hAnsi="宋体" w:eastAsia="黑体"/>
          <w:sz w:val="24"/>
        </w:rPr>
      </w:pPr>
      <w:r>
        <w:rPr>
          <w:rFonts w:hint="eastAsia" w:ascii="黑体" w:hAnsi="宋体" w:eastAsia="黑体"/>
          <w:sz w:val="24"/>
        </w:rPr>
        <w:t>49. 项目验收</w:t>
      </w:r>
    </w:p>
    <w:p>
      <w:pPr>
        <w:widowControl/>
        <w:ind w:right="176" w:firstLine="420"/>
        <w:jc w:val="left"/>
        <w:rPr>
          <w:rFonts w:hint="eastAsia" w:ascii="宋体" w:hAnsi="宋体"/>
        </w:rPr>
      </w:pPr>
      <w:r>
        <w:rPr>
          <w:rFonts w:hint="eastAsia" w:ascii="宋体" w:hAnsi="宋体"/>
        </w:rPr>
        <w:t>49.1采购人应当按照招标文件和合同规定的标准和方法，及时组织验收。</w:t>
      </w:r>
      <w:r>
        <w:rPr>
          <w:rFonts w:ascii="宋体" w:hAnsi="宋体"/>
        </w:rPr>
        <w:t xml:space="preserve"> </w:t>
      </w:r>
    </w:p>
    <w:p>
      <w:pPr>
        <w:rPr>
          <w:rFonts w:hint="eastAsia" w:ascii="黑体" w:hAnsi="宋体" w:eastAsia="黑体"/>
          <w:sz w:val="24"/>
        </w:rPr>
      </w:pPr>
      <w:r>
        <w:rPr>
          <w:rFonts w:hint="eastAsia" w:ascii="黑体" w:hAnsi="宋体" w:eastAsia="黑体"/>
          <w:sz w:val="24"/>
        </w:rPr>
        <w:t>50. 宣传</w:t>
      </w:r>
    </w:p>
    <w:p>
      <w:pPr>
        <w:ind w:left="210" w:leftChars="100" w:firstLine="411" w:firstLineChars="196"/>
        <w:rPr>
          <w:rFonts w:hint="eastAsia" w:ascii="宋体" w:hAnsi="宋体"/>
        </w:rPr>
      </w:pPr>
      <w:r>
        <w:rPr>
          <w:rFonts w:hint="eastAsia" w:ascii="宋体" w:hAnsi="宋体"/>
        </w:rPr>
        <w:t>凡与政府采购活动有关的宣传或广告，若当中提及政府采购，</w:t>
      </w:r>
      <w:r>
        <w:rPr>
          <w:rFonts w:ascii="宋体" w:hAnsi="宋体"/>
        </w:rPr>
        <w:t>必须事先将具体对外宣传方案报</w:t>
      </w:r>
      <w:r>
        <w:rPr>
          <w:rFonts w:hint="eastAsia" w:ascii="宋体" w:hAnsi="宋体"/>
        </w:rPr>
        <w:t>同级财政部门</w:t>
      </w:r>
      <w:r>
        <w:rPr>
          <w:rFonts w:ascii="宋体" w:hAnsi="宋体"/>
        </w:rPr>
        <w:t>和</w:t>
      </w:r>
      <w:r>
        <w:rPr>
          <w:rFonts w:hint="eastAsia" w:ascii="宋体" w:hAnsi="宋体"/>
        </w:rPr>
        <w:t>政府集中采购机构</w:t>
      </w:r>
      <w:r>
        <w:rPr>
          <w:rFonts w:ascii="宋体" w:hAnsi="宋体"/>
        </w:rPr>
        <w:t>，并征得其同意。对外市场宣传包括但不限于以下形式：</w:t>
      </w:r>
    </w:p>
    <w:p>
      <w:pPr>
        <w:ind w:left="210" w:leftChars="100" w:firstLine="411" w:firstLineChars="196"/>
        <w:rPr>
          <w:rFonts w:hint="eastAsia" w:ascii="宋体" w:hAnsi="宋体"/>
        </w:rPr>
      </w:pPr>
      <w:r>
        <w:rPr>
          <w:rFonts w:ascii="宋体" w:hAnsi="宋体"/>
        </w:rPr>
        <w:t>a.名片、宣传册、广告标语等；</w:t>
      </w:r>
    </w:p>
    <w:p>
      <w:pPr>
        <w:ind w:left="210" w:leftChars="100" w:firstLine="411" w:firstLineChars="196"/>
        <w:rPr>
          <w:rFonts w:hint="eastAsia" w:ascii="宋体" w:hAnsi="宋体"/>
        </w:rPr>
      </w:pPr>
      <w:r>
        <w:rPr>
          <w:rFonts w:ascii="宋体" w:hAnsi="宋体"/>
        </w:rPr>
        <w:t>b.案例介绍、推广等；</w:t>
      </w:r>
    </w:p>
    <w:p>
      <w:pPr>
        <w:ind w:left="210" w:leftChars="100" w:firstLine="411" w:firstLineChars="196"/>
        <w:rPr>
          <w:rFonts w:hint="eastAsia" w:ascii="宋体" w:hAnsi="宋体"/>
        </w:rPr>
      </w:pPr>
      <w:r>
        <w:rPr>
          <w:rFonts w:hint="eastAsia" w:ascii="宋体" w:hAnsi="宋体"/>
        </w:rPr>
        <w:t>c.工作</w:t>
      </w:r>
      <w:r>
        <w:rPr>
          <w:rFonts w:ascii="宋体" w:hAnsi="宋体"/>
        </w:rPr>
        <w:t>人员向其他消费群体宣传。</w:t>
      </w:r>
    </w:p>
    <w:p>
      <w:pPr>
        <w:rPr>
          <w:rFonts w:hint="eastAsia" w:ascii="黑体" w:hAnsi="宋体" w:eastAsia="黑体"/>
          <w:sz w:val="24"/>
        </w:rPr>
      </w:pPr>
      <w:r>
        <w:rPr>
          <w:rFonts w:hint="eastAsia" w:ascii="黑体" w:hAnsi="宋体" w:eastAsia="黑体"/>
          <w:sz w:val="24"/>
        </w:rPr>
        <w:t>51. 供应商违法责任</w:t>
      </w:r>
    </w:p>
    <w:p>
      <w:pPr>
        <w:ind w:firstLine="411" w:firstLineChars="196"/>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pPr>
        <w:ind w:firstLine="411" w:firstLineChars="196"/>
        <w:rPr>
          <w:rFonts w:hint="eastAsia" w:ascii="宋体" w:hAnsi="宋体"/>
          <w:szCs w:val="21"/>
        </w:rPr>
      </w:pPr>
      <w:r>
        <w:rPr>
          <w:rFonts w:hint="eastAsia" w:ascii="宋体" w:hAnsi="宋体"/>
          <w:szCs w:val="21"/>
        </w:rPr>
        <w:t>（1）在采购活动中应当回避而未回避的；</w:t>
      </w:r>
    </w:p>
    <w:p>
      <w:pPr>
        <w:ind w:firstLine="411" w:firstLineChars="196"/>
        <w:rPr>
          <w:rFonts w:hint="eastAsia" w:ascii="宋体" w:hAnsi="宋体"/>
          <w:szCs w:val="21"/>
        </w:rPr>
      </w:pPr>
      <w:r>
        <w:rPr>
          <w:rFonts w:hint="eastAsia" w:ascii="宋体" w:hAnsi="宋体"/>
          <w:szCs w:val="21"/>
        </w:rPr>
        <w:t>（2）未按本条例规定签订、履行采购合同，造成严重后果的；</w:t>
      </w:r>
    </w:p>
    <w:p>
      <w:pPr>
        <w:ind w:firstLine="411" w:firstLineChars="196"/>
        <w:rPr>
          <w:rFonts w:hint="eastAsia" w:ascii="宋体" w:hAnsi="宋体"/>
          <w:szCs w:val="21"/>
        </w:rPr>
      </w:pPr>
      <w:r>
        <w:rPr>
          <w:rFonts w:hint="eastAsia" w:ascii="宋体" w:hAnsi="宋体"/>
          <w:szCs w:val="21"/>
        </w:rPr>
        <w:t>（3）隐瞒真实情况，提供虚假资料的；</w:t>
      </w:r>
    </w:p>
    <w:p>
      <w:pPr>
        <w:ind w:firstLine="411" w:firstLineChars="196"/>
        <w:rPr>
          <w:rFonts w:hint="eastAsia" w:ascii="宋体" w:hAnsi="宋体"/>
          <w:szCs w:val="21"/>
        </w:rPr>
      </w:pPr>
      <w:r>
        <w:rPr>
          <w:rFonts w:hint="eastAsia" w:ascii="宋体" w:hAnsi="宋体"/>
          <w:szCs w:val="21"/>
        </w:rPr>
        <w:t>（4）以非法手段排斥其他供应商参与竞争的；</w:t>
      </w:r>
    </w:p>
    <w:p>
      <w:pPr>
        <w:ind w:firstLine="411" w:firstLineChars="196"/>
        <w:rPr>
          <w:rFonts w:hint="eastAsia" w:ascii="宋体" w:hAnsi="宋体"/>
          <w:szCs w:val="21"/>
        </w:rPr>
      </w:pPr>
      <w:r>
        <w:rPr>
          <w:rFonts w:hint="eastAsia" w:ascii="宋体" w:hAnsi="宋体"/>
          <w:szCs w:val="21"/>
        </w:rPr>
        <w:t>（5）与其他采购参加人串通投标的；</w:t>
      </w:r>
    </w:p>
    <w:p>
      <w:pPr>
        <w:ind w:firstLine="411" w:firstLineChars="196"/>
        <w:rPr>
          <w:rFonts w:hint="eastAsia" w:ascii="宋体" w:hAnsi="宋体"/>
          <w:szCs w:val="21"/>
        </w:rPr>
      </w:pPr>
      <w:r>
        <w:rPr>
          <w:rFonts w:hint="eastAsia" w:ascii="宋体" w:hAnsi="宋体"/>
          <w:szCs w:val="21"/>
        </w:rPr>
        <w:t>（6）恶意投诉的；</w:t>
      </w:r>
    </w:p>
    <w:p>
      <w:pPr>
        <w:ind w:firstLine="411" w:firstLineChars="196"/>
        <w:rPr>
          <w:rFonts w:hint="eastAsia" w:ascii="宋体" w:hAnsi="宋体"/>
          <w:szCs w:val="21"/>
        </w:rPr>
      </w:pPr>
      <w:r>
        <w:rPr>
          <w:rFonts w:hint="eastAsia" w:ascii="宋体" w:hAnsi="宋体"/>
          <w:szCs w:val="21"/>
        </w:rPr>
        <w:t>（7）向采购项目相关人行贿或者提供其他不当利益的；</w:t>
      </w:r>
    </w:p>
    <w:p>
      <w:pPr>
        <w:ind w:firstLine="411" w:firstLineChars="196"/>
        <w:rPr>
          <w:rFonts w:hint="eastAsia" w:ascii="宋体" w:hAnsi="宋体"/>
          <w:szCs w:val="21"/>
        </w:rPr>
      </w:pPr>
      <w:r>
        <w:rPr>
          <w:rFonts w:hint="eastAsia" w:ascii="宋体" w:hAnsi="宋体"/>
          <w:szCs w:val="21"/>
        </w:rPr>
        <w:t>（8）阻碍、抗拒主管部门监督检查的；</w:t>
      </w:r>
    </w:p>
    <w:p>
      <w:pPr>
        <w:ind w:firstLine="411" w:firstLineChars="196"/>
        <w:rPr>
          <w:rFonts w:hint="eastAsia" w:ascii="宋体" w:hAnsi="宋体"/>
          <w:szCs w:val="21"/>
        </w:rPr>
      </w:pPr>
      <w:r>
        <w:rPr>
          <w:rFonts w:hint="eastAsia" w:ascii="宋体" w:hAnsi="宋体"/>
          <w:szCs w:val="21"/>
        </w:rPr>
        <w:t>（9）其他违反本条例规定的行为。</w:t>
      </w:r>
    </w:p>
    <w:p>
      <w:pPr>
        <w:ind w:firstLine="411" w:firstLineChars="196"/>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号）的要求，供应商在政府采购活动中出现《深圳经济特区政府采购条例实施细则》第八十条所列情形的，</w:t>
      </w:r>
      <w:bookmarkStart w:id="111" w:name="_Hlk72440769"/>
      <w:r>
        <w:rPr>
          <w:rFonts w:hint="eastAsia" w:ascii="宋体" w:hAnsi="宋体"/>
          <w:szCs w:val="21"/>
        </w:rPr>
        <w:t>政府集中采购机构或采购人不予退还其交纳的谈判保证金，情节严重的，并由主管部门</w:t>
      </w:r>
      <w:bookmarkEnd w:id="111"/>
      <w:r>
        <w:rPr>
          <w:rFonts w:hint="eastAsia" w:ascii="宋体" w:hAnsi="宋体"/>
          <w:szCs w:val="21"/>
        </w:rPr>
        <w:t>记入供应商诚信档案，予以通报：</w:t>
      </w:r>
    </w:p>
    <w:p>
      <w:pPr>
        <w:ind w:firstLine="411" w:firstLineChars="196"/>
        <w:rPr>
          <w:rFonts w:hint="eastAsia" w:ascii="宋体" w:hAnsi="宋体"/>
          <w:szCs w:val="21"/>
        </w:rPr>
      </w:pPr>
      <w:r>
        <w:rPr>
          <w:rFonts w:hint="eastAsia" w:ascii="宋体" w:hAnsi="宋体"/>
          <w:szCs w:val="21"/>
        </w:rPr>
        <w:t>（1</w:t>
      </w:r>
      <w:r>
        <w:rPr>
          <w:rFonts w:ascii="宋体" w:hAnsi="宋体"/>
          <w:szCs w:val="21"/>
        </w:rPr>
        <w:t>）投标截止后，撤销投标的；</w:t>
      </w:r>
    </w:p>
    <w:p>
      <w:pPr>
        <w:ind w:firstLine="411" w:firstLineChars="196"/>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pPr>
        <w:ind w:firstLine="411" w:firstLineChars="196"/>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）将中标项目转让给他人、或者在投标文件中未说明且未经采购人、采购招标机构同意，将中标项目分包给他人的；</w:t>
      </w:r>
    </w:p>
    <w:p>
      <w:pPr>
        <w:ind w:firstLine="411" w:firstLineChars="196"/>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bookmarkEnd w:id="95"/>
    <w:p>
      <w:pPr>
        <w:pStyle w:val="4"/>
        <w:numPr>
          <w:ilvl w:val="0"/>
          <w:numId w:val="13"/>
        </w:numPr>
        <w:spacing w:before="156" w:beforeLines="50" w:after="156" w:afterLines="50"/>
        <w:ind w:left="562" w:hanging="562"/>
        <w:rPr>
          <w:sz w:val="28"/>
          <w:szCs w:val="28"/>
        </w:rPr>
      </w:pPr>
      <w:r>
        <w:rPr>
          <w:rFonts w:hint="eastAsia"/>
          <w:sz w:val="28"/>
          <w:szCs w:val="28"/>
        </w:rPr>
        <w:t>质疑处理</w:t>
      </w:r>
    </w:p>
    <w:p>
      <w:pPr>
        <w:rPr>
          <w:rFonts w:hint="eastAsia" w:ascii="黑体" w:hAnsi="宋体" w:eastAsia="黑体"/>
          <w:sz w:val="24"/>
        </w:rPr>
      </w:pPr>
      <w:r>
        <w:rPr>
          <w:rFonts w:hint="eastAsia" w:ascii="黑体" w:hAnsi="宋体" w:eastAsia="黑体"/>
          <w:sz w:val="24"/>
        </w:rPr>
        <w:t>52.质疑提出与答复</w:t>
      </w:r>
    </w:p>
    <w:p>
      <w:pPr>
        <w:rPr>
          <w:rFonts w:hint="eastAsia" w:ascii="宋体" w:hAnsi="宋体"/>
          <w:szCs w:val="21"/>
        </w:rPr>
      </w:pPr>
      <w:r>
        <w:rPr>
          <w:rFonts w:hint="eastAsia" w:ascii="宋体" w:hAnsi="宋体"/>
          <w:szCs w:val="21"/>
        </w:rPr>
        <w:t xml:space="preserve">    52.1提出质疑</w:t>
      </w:r>
    </w:p>
    <w:p>
      <w:pPr>
        <w:rPr>
          <w:rFonts w:hint="eastAsia" w:ascii="宋体" w:hAnsi="宋体"/>
          <w:szCs w:val="21"/>
        </w:rPr>
      </w:pPr>
      <w:r>
        <w:rPr>
          <w:rFonts w:hint="eastAsia" w:ascii="宋体" w:hAnsi="宋体"/>
          <w:szCs w:val="21"/>
        </w:rPr>
        <w:t xml:space="preserve">    参与政府采购活动的供应商认为自己的权益在采购活动中受到损害的，应当自知道或者应当知道其权益受到损害之日起七个工作日内向采购人、政府集中采购机构以书面形式提出质疑。</w:t>
      </w:r>
    </w:p>
    <w:p>
      <w:pPr>
        <w:rPr>
          <w:rFonts w:hint="eastAsia" w:ascii="宋体" w:hAnsi="宋体"/>
          <w:szCs w:val="21"/>
        </w:rPr>
      </w:pPr>
      <w:r>
        <w:rPr>
          <w:rFonts w:hint="eastAsia" w:ascii="宋体" w:hAnsi="宋体"/>
          <w:szCs w:val="21"/>
        </w:rPr>
        <w:t xml:space="preserve">    52.2</w:t>
      </w:r>
      <w:r>
        <w:rPr>
          <w:rFonts w:ascii="宋体" w:hAnsi="宋体"/>
          <w:szCs w:val="21"/>
        </w:rPr>
        <w:t>法律依据</w:t>
      </w:r>
    </w:p>
    <w:p>
      <w:pPr>
        <w:rPr>
          <w:rFonts w:hint="eastAsia" w:ascii="宋体" w:hAnsi="宋体"/>
          <w:szCs w:val="21"/>
        </w:rPr>
      </w:pPr>
      <w:r>
        <w:rPr>
          <w:rFonts w:hint="eastAsia" w:ascii="宋体" w:hAnsi="宋体"/>
          <w:szCs w:val="21"/>
        </w:rPr>
        <w:t xml:space="preserve">    《中华人民共和国政府采购法》、《中华人民共和国政府采购法实施条例》、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pPr>
        <w:rPr>
          <w:rFonts w:hint="eastAsia" w:ascii="宋体" w:hAnsi="宋体"/>
          <w:szCs w:val="21"/>
        </w:rPr>
      </w:pPr>
      <w:r>
        <w:rPr>
          <w:rFonts w:hint="eastAsia" w:ascii="宋体" w:hAnsi="宋体"/>
          <w:szCs w:val="21"/>
        </w:rPr>
        <w:t xml:space="preserve">  </w:t>
      </w:r>
      <w:r>
        <w:rPr>
          <w:rFonts w:hint="eastAsia" w:ascii="宋体" w:hAnsi="宋体"/>
          <w:color w:val="FF0000"/>
          <w:szCs w:val="21"/>
        </w:rPr>
        <w:t xml:space="preserve">  </w:t>
      </w:r>
      <w:r>
        <w:rPr>
          <w:rFonts w:hint="eastAsia" w:ascii="宋体" w:hAnsi="宋体"/>
          <w:szCs w:val="21"/>
        </w:rPr>
        <w:t>52.3质疑条件</w:t>
      </w:r>
    </w:p>
    <w:p>
      <w:pPr>
        <w:rPr>
          <w:rFonts w:hint="eastAsia" w:ascii="宋体" w:hAnsi="宋体"/>
          <w:szCs w:val="21"/>
        </w:rPr>
      </w:pPr>
      <w:r>
        <w:rPr>
          <w:rFonts w:hint="eastAsia" w:ascii="宋体" w:hAnsi="宋体"/>
          <w:szCs w:val="21"/>
        </w:rPr>
        <w:t xml:space="preserve">    52.3.1提出质疑的供应商应当是参与所质疑项目采购活动的供应商；</w:t>
      </w:r>
      <w:bookmarkStart w:id="112" w:name="_Hlk75374941"/>
      <w:r>
        <w:rPr>
          <w:rFonts w:hint="eastAsia" w:ascii="宋体" w:hAnsi="宋体"/>
          <w:szCs w:val="21"/>
        </w:rPr>
        <w:t>以联合体形式参与的，质疑应当由组成联合体的所有成员共同提出</w:t>
      </w:r>
      <w:bookmarkEnd w:id="112"/>
      <w:r>
        <w:rPr>
          <w:rFonts w:hint="eastAsia" w:ascii="宋体" w:hAnsi="宋体"/>
          <w:szCs w:val="21"/>
        </w:rPr>
        <w:t>；</w:t>
      </w:r>
    </w:p>
    <w:p>
      <w:pPr>
        <w:rPr>
          <w:rFonts w:hint="eastAsia" w:ascii="宋体" w:hAnsi="宋体"/>
          <w:szCs w:val="21"/>
        </w:rPr>
      </w:pPr>
      <w:r>
        <w:rPr>
          <w:rFonts w:hint="eastAsia" w:ascii="宋体" w:hAnsi="宋体"/>
          <w:szCs w:val="21"/>
        </w:rPr>
        <w:t xml:space="preserve">    52.3.2应当在法定质疑期内一次性提出针对同一采购程序环节的质疑，法定质疑期为自知道或应当知道权益受到损害之日起7个工作日内。应当知道其权益受到损害之日是指：对招标文件的质疑，为招标文件公布之日；对采购过程的质疑，为各采购程序环节结束之日；对中标结果以及评审委员会组成人员的质疑，为中标结果公示之日；</w:t>
      </w:r>
    </w:p>
    <w:p>
      <w:pPr>
        <w:ind w:firstLine="42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pPr>
        <w:ind w:firstLine="420"/>
        <w:rPr>
          <w:rFonts w:hint="eastAsia" w:ascii="宋体" w:hAnsi="宋体"/>
          <w:szCs w:val="21"/>
        </w:rPr>
      </w:pPr>
      <w:r>
        <w:rPr>
          <w:rFonts w:hint="eastAsia" w:ascii="宋体" w:hAnsi="宋体"/>
          <w:szCs w:val="21"/>
        </w:rPr>
        <w:t>（1）供应商的名称（或者姓名）、地址、邮编、邮箱、联系人及联系电话；</w:t>
      </w:r>
    </w:p>
    <w:p>
      <w:pPr>
        <w:ind w:firstLine="420" w:firstLineChars="200"/>
        <w:rPr>
          <w:rFonts w:hint="eastAsia" w:ascii="宋体" w:hAnsi="宋体"/>
          <w:szCs w:val="21"/>
        </w:rPr>
      </w:pPr>
      <w:r>
        <w:rPr>
          <w:rFonts w:hint="eastAsia" w:ascii="宋体" w:hAnsi="宋体"/>
          <w:szCs w:val="21"/>
        </w:rPr>
        <w:t>（2）质疑项目的名称、编号；</w:t>
      </w:r>
    </w:p>
    <w:p>
      <w:pPr>
        <w:ind w:firstLine="420" w:firstLineChars="200"/>
        <w:rPr>
          <w:rFonts w:hint="eastAsia" w:ascii="宋体" w:hAnsi="宋体"/>
          <w:szCs w:val="21"/>
        </w:rPr>
      </w:pPr>
      <w:r>
        <w:rPr>
          <w:rFonts w:hint="eastAsia" w:ascii="宋体" w:hAnsi="宋体"/>
          <w:szCs w:val="21"/>
        </w:rPr>
        <w:t>（3）具体、明确的质疑对象、质疑事项和质疑请求；</w:t>
      </w:r>
    </w:p>
    <w:p>
      <w:pPr>
        <w:ind w:firstLine="420" w:firstLineChars="200"/>
        <w:rPr>
          <w:rFonts w:hint="eastAsia" w:ascii="宋体" w:hAnsi="宋体"/>
          <w:szCs w:val="21"/>
        </w:rPr>
      </w:pPr>
      <w:r>
        <w:rPr>
          <w:rFonts w:hint="eastAsia" w:ascii="宋体" w:hAnsi="宋体"/>
          <w:szCs w:val="21"/>
        </w:rPr>
        <w:t>（4）因质疑事项而受损害的权益；</w:t>
      </w:r>
    </w:p>
    <w:p>
      <w:pPr>
        <w:ind w:firstLine="420" w:firstLineChars="200"/>
        <w:rPr>
          <w:rFonts w:hint="eastAsia" w:ascii="宋体" w:hAnsi="宋体"/>
          <w:szCs w:val="21"/>
        </w:rPr>
      </w:pPr>
      <w:r>
        <w:rPr>
          <w:rFonts w:hint="eastAsia" w:ascii="宋体" w:hAnsi="宋体"/>
          <w:szCs w:val="21"/>
        </w:rPr>
        <w:t>（5）事实依据；</w:t>
      </w:r>
    </w:p>
    <w:p>
      <w:pPr>
        <w:ind w:firstLine="420" w:firstLineChars="200"/>
        <w:rPr>
          <w:rFonts w:hint="eastAsia" w:ascii="宋体" w:hAnsi="宋体"/>
          <w:szCs w:val="21"/>
        </w:rPr>
      </w:pPr>
      <w:r>
        <w:rPr>
          <w:rFonts w:hint="eastAsia" w:ascii="宋体" w:hAnsi="宋体"/>
          <w:szCs w:val="21"/>
        </w:rPr>
        <w:t>（6）必要的法律依据；</w:t>
      </w:r>
    </w:p>
    <w:p>
      <w:pPr>
        <w:ind w:firstLine="420" w:firstLineChars="200"/>
        <w:rPr>
          <w:rFonts w:hint="eastAsia" w:ascii="宋体" w:hAnsi="宋体"/>
          <w:szCs w:val="21"/>
        </w:rPr>
      </w:pPr>
      <w:r>
        <w:rPr>
          <w:rFonts w:hint="eastAsia" w:ascii="宋体" w:hAnsi="宋体"/>
          <w:szCs w:val="21"/>
        </w:rPr>
        <w:t>（7）提出质疑的日期。</w:t>
      </w:r>
    </w:p>
    <w:p>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pPr>
        <w:ind w:firstLine="420" w:firstLineChars="200"/>
        <w:rPr>
          <w:rFonts w:hint="eastAsia" w:ascii="宋体" w:hAnsi="宋体"/>
          <w:szCs w:val="21"/>
        </w:rPr>
      </w:pPr>
      <w:r>
        <w:rPr>
          <w:rFonts w:hint="eastAsia" w:ascii="宋体" w:hAnsi="宋体"/>
          <w:szCs w:val="21"/>
        </w:rPr>
        <w:t>52.5收文地点</w:t>
      </w:r>
    </w:p>
    <w:p>
      <w:pPr>
        <w:ind w:firstLine="422" w:firstLineChars="200"/>
        <w:rPr>
          <w:rFonts w:hint="eastAsia" w:ascii="宋体" w:hAnsi="宋体"/>
          <w:b/>
          <w:bCs/>
          <w:szCs w:val="21"/>
        </w:rPr>
      </w:pPr>
      <w:r>
        <w:rPr>
          <w:rFonts w:hint="eastAsia" w:ascii="宋体" w:hAnsi="宋体"/>
          <w:b/>
          <w:bCs/>
          <w:szCs w:val="21"/>
        </w:rPr>
        <w:t>地址：深圳公共资源交易中心（深圳交易集团有限公司龙华分公司）（地址：深圳市龙华区观湖街道大和社区大和路288号宝观城锦鲤大厦办公楼22楼）。</w:t>
      </w:r>
    </w:p>
    <w:p>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pPr>
        <w:ind w:firstLine="420" w:firstLineChars="200"/>
        <w:rPr>
          <w:rFonts w:hint="eastAsia" w:ascii="仿宋" w:hAnsi="仿宋" w:eastAsia="仿宋"/>
          <w:sz w:val="28"/>
          <w:szCs w:val="28"/>
        </w:rPr>
      </w:pPr>
      <w:r>
        <w:rPr>
          <w:rFonts w:hint="eastAsia" w:ascii="宋体" w:hAnsi="宋体"/>
          <w:szCs w:val="21"/>
        </w:rPr>
        <w:t>52.6.2供应商提交的质疑材料不符合质疑条件的，视情况处理：</w:t>
      </w:r>
    </w:p>
    <w:p>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pPr>
        <w:ind w:firstLine="420" w:firstLineChars="200"/>
        <w:rPr>
          <w:rFonts w:hint="eastAsia" w:ascii="宋体" w:hAnsi="宋体"/>
          <w:szCs w:val="21"/>
        </w:rPr>
      </w:pPr>
      <w:r>
        <w:rPr>
          <w:rFonts w:hint="eastAsia" w:ascii="宋体" w:hAnsi="宋体"/>
          <w:szCs w:val="21"/>
        </w:rPr>
        <w:t>供应商提交的质疑存在下列情形之一的，不予受理：</w:t>
      </w:r>
    </w:p>
    <w:p>
      <w:pPr>
        <w:ind w:firstLine="420" w:firstLineChars="200"/>
        <w:rPr>
          <w:rFonts w:hint="eastAsia" w:ascii="宋体" w:hAnsi="宋体"/>
          <w:szCs w:val="21"/>
        </w:rPr>
      </w:pPr>
      <w:r>
        <w:rPr>
          <w:rFonts w:hint="eastAsia" w:ascii="宋体" w:hAnsi="宋体"/>
          <w:szCs w:val="21"/>
        </w:rPr>
        <w:t>（1）质疑主体不满足要求的；</w:t>
      </w:r>
    </w:p>
    <w:p>
      <w:pPr>
        <w:ind w:firstLine="420" w:firstLineChars="200"/>
        <w:rPr>
          <w:rFonts w:hint="eastAsia" w:ascii="宋体" w:hAnsi="宋体"/>
          <w:szCs w:val="21"/>
        </w:rPr>
      </w:pPr>
      <w:r>
        <w:rPr>
          <w:rFonts w:hint="eastAsia" w:ascii="宋体" w:hAnsi="宋体"/>
          <w:szCs w:val="21"/>
        </w:rPr>
        <w:t>（2）供应商自身权益未受到损害的；</w:t>
      </w:r>
    </w:p>
    <w:p>
      <w:pPr>
        <w:ind w:firstLine="420" w:firstLineChars="200"/>
        <w:rPr>
          <w:rFonts w:hint="eastAsia" w:ascii="宋体" w:hAnsi="宋体"/>
          <w:szCs w:val="21"/>
        </w:rPr>
      </w:pPr>
      <w:r>
        <w:rPr>
          <w:rFonts w:hint="eastAsia" w:ascii="宋体" w:hAnsi="宋体"/>
          <w:szCs w:val="21"/>
        </w:rPr>
        <w:t>（3）供应商未在法定质疑期限内提出质疑的；</w:t>
      </w:r>
    </w:p>
    <w:p>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pPr>
        <w:ind w:firstLine="420" w:firstLineChars="200"/>
        <w:rPr>
          <w:rFonts w:hint="eastAsia" w:ascii="宋体" w:hAnsi="宋体"/>
          <w:szCs w:val="21"/>
        </w:rPr>
      </w:pPr>
      <w:r>
        <w:rPr>
          <w:rFonts w:hint="eastAsia" w:ascii="宋体" w:hAnsi="宋体"/>
          <w:szCs w:val="21"/>
        </w:rPr>
        <w:t>（5）其他不符合受理条件情形的。</w:t>
      </w:r>
    </w:p>
    <w:p>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pPr>
        <w:rPr>
          <w:rFonts w:hint="eastAsia" w:ascii="宋体" w:hAnsi="宋体"/>
          <w:szCs w:val="21"/>
        </w:rPr>
      </w:pPr>
      <w:r>
        <w:rPr>
          <w:rFonts w:hint="eastAsia" w:ascii="宋体" w:hAnsi="宋体"/>
          <w:color w:val="FF0000"/>
          <w:szCs w:val="21"/>
        </w:rPr>
        <w:t xml:space="preserve">  </w:t>
      </w:r>
      <w:r>
        <w:rPr>
          <w:rFonts w:hint="eastAsia" w:ascii="宋体" w:hAnsi="宋体"/>
          <w:szCs w:val="21"/>
        </w:rPr>
        <w:t xml:space="preserve">  52.7质疑答复时限</w:t>
      </w:r>
    </w:p>
    <w:p>
      <w:pPr>
        <w:rPr>
          <w:rFonts w:hint="eastAsia" w:ascii="宋体" w:hAnsi="宋体"/>
          <w:szCs w:val="21"/>
        </w:rPr>
      </w:pPr>
      <w:r>
        <w:rPr>
          <w:rFonts w:hint="eastAsia" w:ascii="宋体" w:hAnsi="宋体"/>
          <w:szCs w:val="21"/>
        </w:rPr>
        <w:t xml:space="preserve">    自收文之日起七个工作日内。</w:t>
      </w:r>
    </w:p>
    <w:p>
      <w:pPr>
        <w:rPr>
          <w:rFonts w:hint="eastAsia" w:ascii="宋体" w:hAnsi="宋体"/>
          <w:szCs w:val="21"/>
        </w:rPr>
      </w:pPr>
      <w:r>
        <w:rPr>
          <w:rFonts w:hint="eastAsia" w:ascii="宋体" w:hAnsi="宋体"/>
          <w:szCs w:val="21"/>
        </w:rPr>
        <w:t xml:space="preserve">    52.8投诉</w:t>
      </w:r>
    </w:p>
    <w:p>
      <w:pPr>
        <w:rPr>
          <w:rFonts w:hint="eastAsia" w:ascii="宋体" w:hAnsi="宋体"/>
          <w:szCs w:val="21"/>
        </w:rPr>
      </w:pPr>
      <w:r>
        <w:rPr>
          <w:rFonts w:hint="eastAsia" w:ascii="宋体" w:hAnsi="宋体"/>
          <w:szCs w:val="21"/>
        </w:rPr>
        <w:t xml:space="preserve">    对质疑答复不满意或者未在规定时间内答复的，提出质疑的供应商可以在答复期满后15个工作日内向本项目预算主管单位投诉。</w:t>
      </w:r>
    </w:p>
    <w:p>
      <w:pPr>
        <w:rPr>
          <w:rFonts w:hint="eastAsia" w:ascii="黑体" w:hAnsi="宋体" w:eastAsia="黑体"/>
          <w:sz w:val="24"/>
        </w:rPr>
      </w:pPr>
      <w:r>
        <w:rPr>
          <w:rFonts w:hint="eastAsia" w:ascii="黑体" w:hAnsi="宋体" w:eastAsia="黑体"/>
          <w:sz w:val="24"/>
        </w:rPr>
        <w:t>53. 质疑后续处理</w:t>
      </w:r>
    </w:p>
    <w:p>
      <w:pPr>
        <w:rPr>
          <w:rFonts w:hint="eastAsia" w:ascii="宋体" w:hAnsi="宋体"/>
          <w:szCs w:val="21"/>
        </w:rPr>
      </w:pPr>
      <w:r>
        <w:rPr>
          <w:rFonts w:hint="eastAsia" w:ascii="宋体" w:hAnsi="宋体"/>
          <w:szCs w:val="21"/>
        </w:rPr>
        <w:t xml:space="preserve">    53.1供应商质疑不成立，或者成立但未对中标、成交结果构成影响的，继续开展采购活动。</w:t>
      </w:r>
    </w:p>
    <w:p>
      <w:pPr>
        <w:jc w:val="center"/>
      </w:pPr>
      <w:r>
        <w:rPr>
          <w:rFonts w:hint="eastAsia" w:ascii="宋体" w:hAnsi="宋体"/>
          <w:szCs w:val="21"/>
        </w:rPr>
        <w:t xml:space="preserve">    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r>
        <w:t>---- END ----</w:t>
      </w:r>
    </w:p>
    <w:p>
      <w:pPr>
        <w:jc w:val="center"/>
        <w:rPr>
          <w:rFonts w:ascii="Times New Roman" w:hAnsi="Times New Roman" w:eastAsia="宋体" w:cs="Times New Roman"/>
          <w:szCs w:val="24"/>
        </w:rPr>
      </w:pPr>
      <w:r>
        <w:rPr>
          <w:rFonts w:ascii="Times New Roman" w:hAnsi="Times New Roman" w:eastAsia="宋体" w:cs="Times New Roman"/>
          <w:szCs w:val="24"/>
        </w:rPr>
        <w:t>---- END ----</w:t>
      </w:r>
      <w:bookmarkEnd w:id="59"/>
    </w:p>
    <w:p>
      <w:pPr>
        <w:rPr>
          <w:b/>
          <w:color w:val="FF0000"/>
          <w:sz w:val="52"/>
          <w:szCs w:val="52"/>
        </w:rPr>
      </w:pPr>
    </w:p>
    <w:p>
      <w:pPr>
        <w:rPr>
          <w:rFonts w:hint="eastAsia" w:ascii="宋体" w:hAnsi="宋体" w:eastAsia="黑体" w:cs="Times New Roman"/>
          <w:b/>
          <w:bCs/>
          <w:color w:val="0000FF"/>
          <w:kern w:val="44"/>
          <w:sz w:val="36"/>
          <w:szCs w:val="44"/>
        </w:rPr>
      </w:pPr>
    </w:p>
    <w:sectPr>
      <w:headerReference r:id="rId10" w:type="first"/>
      <w:footerReference r:id="rId13" w:type="first"/>
      <w:headerReference r:id="rId8" w:type="default"/>
      <w:footerReference r:id="rId11" w:type="default"/>
      <w:headerReference r:id="rId9" w:type="even"/>
      <w:footerReference r:id="rId12" w:type="even"/>
      <w:pgSz w:w="11906" w:h="16838"/>
      <w:pgMar w:top="1440" w:right="1417" w:bottom="1440" w:left="141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5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 w:name="华文楷体">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auto"/>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t xml:space="preserve">- </w:t>
    </w:r>
    <w:r>
      <w:fldChar w:fldCharType="begin"/>
    </w:r>
    <w:r>
      <w:instrText xml:space="preserve"> PAGE </w:instrText>
    </w:r>
    <w:r>
      <w:fldChar w:fldCharType="separate"/>
    </w:r>
    <w:r>
      <w:t>29</w:t>
    </w:r>
    <w:r>
      <w:fldChar w:fldCharType="end"/>
    </w:r>
    <w:r>
      <w:t xml:space="preserve"> -</w:t>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sz w:val="18"/>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2060"/>
    </w:sdtPr>
    <w:sdtContent>
      <w:p>
        <w:pPr>
          <w:pStyle w:val="12"/>
          <w:jc w:val="center"/>
        </w:pPr>
        <w:r>
          <w:fldChar w:fldCharType="begin"/>
        </w:r>
        <w:r>
          <w:instrText xml:space="preserve"> PAGE   \* MERGEFORMAT </w:instrText>
        </w:r>
        <w:r>
          <w:fldChar w:fldCharType="separate"/>
        </w:r>
        <w:r>
          <w:rPr>
            <w:lang w:val="zh-CN"/>
          </w:rPr>
          <w:t>29</w:t>
        </w:r>
        <w:r>
          <w:rPr>
            <w:lang w:val="zh-CN"/>
          </w:rPr>
          <w:fldChar w:fldCharType="end"/>
        </w:r>
      </w:p>
    </w:sdtContent>
  </w:sdt>
  <w:p>
    <w:pPr>
      <w:pStyle w:val="12"/>
      <w:spacing w:after="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top w:val="none" w:color="auto" w:sz="0" w:space="0"/>
        <w:left w:val="none" w:color="auto" w:sz="0" w:space="0"/>
        <w:bottom w:val="none" w:color="auto" w:sz="0" w:space="1"/>
        <w:right w:val="none" w:color="auto" w:sz="0" w:space="0"/>
        <w:between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none" w:color="auto" w:sz="0" w:space="1"/>
        <w:left w:val="none" w:color="auto" w:sz="0" w:space="4"/>
        <w:bottom w:val="none" w:color="auto" w:sz="0" w:space="1"/>
        <w:right w:val="none" w:color="auto" w:sz="0" w:space="4"/>
      </w:pBdr>
      <w:tabs>
        <w:tab w:val="center" w:pos="4153"/>
        <w:tab w:val="right" w:pos="8306"/>
      </w:tabs>
      <w:snapToGrid w:val="0"/>
      <w:rPr>
        <w:rFonts w:ascii="Times New Roman" w:hAnsi="Times New Roman" w:eastAsia="宋体" w:cs="Times New Roman"/>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09221C"/>
    <w:multiLevelType w:val="singleLevel"/>
    <w:tmpl w:val="B609221C"/>
    <w:lvl w:ilvl="0" w:tentative="0">
      <w:start w:val="1"/>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A5CEBE3"/>
    <w:multiLevelType w:val="singleLevel"/>
    <w:tmpl w:val="CA5CEBE3"/>
    <w:lvl w:ilvl="0" w:tentative="0">
      <w:start w:val="2"/>
      <w:numFmt w:val="decimal"/>
      <w:lvlText w:val="%1."/>
      <w:lvlJc w:val="left"/>
      <w:pPr>
        <w:tabs>
          <w:tab w:val="left" w:pos="312"/>
        </w:tabs>
      </w:pPr>
    </w:lvl>
  </w:abstractNum>
  <w:abstractNum w:abstractNumId="4">
    <w:nsid w:val="CFE7C3F8"/>
    <w:multiLevelType w:val="singleLevel"/>
    <w:tmpl w:val="CFE7C3F8"/>
    <w:lvl w:ilvl="0" w:tentative="0">
      <w:start w:val="1"/>
      <w:numFmt w:val="decimal"/>
      <w:suff w:val="nothing"/>
      <w:lvlText w:val="（%1）"/>
      <w:lvlJc w:val="left"/>
    </w:lvl>
  </w:abstractNum>
  <w:abstractNum w:abstractNumId="5">
    <w:nsid w:val="D0686203"/>
    <w:multiLevelType w:val="singleLevel"/>
    <w:tmpl w:val="D0686203"/>
    <w:lvl w:ilvl="0" w:tentative="0">
      <w:start w:val="2"/>
      <w:numFmt w:val="decimal"/>
      <w:suff w:val="nothing"/>
      <w:lvlText w:val="%1、"/>
      <w:lvlJc w:val="left"/>
    </w:lvl>
  </w:abstractNum>
  <w:abstractNum w:abstractNumId="6">
    <w:nsid w:val="DDECD3BC"/>
    <w:multiLevelType w:val="singleLevel"/>
    <w:tmpl w:val="DDECD3BC"/>
    <w:lvl w:ilvl="0" w:tentative="0">
      <w:start w:val="6"/>
      <w:numFmt w:val="decimal"/>
      <w:suff w:val="space"/>
      <w:lvlText w:val="%1."/>
      <w:lvlJc w:val="left"/>
    </w:lvl>
  </w:abstractNum>
  <w:abstractNum w:abstractNumId="7">
    <w:nsid w:val="DE759F4B"/>
    <w:multiLevelType w:val="singleLevel"/>
    <w:tmpl w:val="DE759F4B"/>
    <w:lvl w:ilvl="0" w:tentative="0">
      <w:start w:val="2"/>
      <w:numFmt w:val="decimal"/>
      <w:suff w:val="space"/>
      <w:lvlText w:val="%1."/>
      <w:lvlJc w:val="left"/>
    </w:lvl>
  </w:abstractNum>
  <w:abstractNum w:abstractNumId="8">
    <w:nsid w:val="DEABE1DB"/>
    <w:multiLevelType w:val="singleLevel"/>
    <w:tmpl w:val="DEABE1DB"/>
    <w:lvl w:ilvl="0" w:tentative="0">
      <w:start w:val="23"/>
      <w:numFmt w:val="decimal"/>
      <w:suff w:val="space"/>
      <w:lvlText w:val="%1."/>
      <w:lvlJc w:val="left"/>
    </w:lvl>
  </w:abstractNum>
  <w:abstractNum w:abstractNumId="9">
    <w:nsid w:val="FFEFC674"/>
    <w:multiLevelType w:val="singleLevel"/>
    <w:tmpl w:val="FFEFC674"/>
    <w:lvl w:ilvl="0" w:tentative="0">
      <w:start w:val="1"/>
      <w:numFmt w:val="decimal"/>
      <w:suff w:val="nothing"/>
      <w:lvlText w:val="（%1）"/>
      <w:lvlJc w:val="left"/>
    </w:lvl>
  </w:abstractNum>
  <w:abstractNum w:abstractNumId="10">
    <w:nsid w:val="09F81FD3"/>
    <w:multiLevelType w:val="multilevel"/>
    <w:tmpl w:val="09F81FD3"/>
    <w:lvl w:ilvl="0" w:tentative="0">
      <w:start w:val="1"/>
      <w:numFmt w:val="japaneseCounting"/>
      <w:lvlText w:val="第%1章"/>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1">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7A0F6431"/>
    <w:multiLevelType w:val="singleLevel"/>
    <w:tmpl w:val="7A0F6431"/>
    <w:lvl w:ilvl="0" w:tentative="0">
      <w:start w:val="1"/>
      <w:numFmt w:val="decimal"/>
      <w:suff w:val="space"/>
      <w:lvlText w:val="%1."/>
      <w:lvlJc w:val="left"/>
    </w:lvl>
  </w:abstractNum>
  <w:num w:numId="1">
    <w:abstractNumId w:val="3"/>
  </w:num>
  <w:num w:numId="2">
    <w:abstractNumId w:val="5"/>
  </w:num>
  <w:num w:numId="3">
    <w:abstractNumId w:val="0"/>
  </w:num>
  <w:num w:numId="4">
    <w:abstractNumId w:val="1"/>
  </w:num>
  <w:num w:numId="5">
    <w:abstractNumId w:val="12"/>
  </w:num>
  <w:num w:numId="6">
    <w:abstractNumId w:val="4"/>
  </w:num>
  <w:num w:numId="7">
    <w:abstractNumId w:val="9"/>
  </w:num>
  <w:num w:numId="8">
    <w:abstractNumId w:val="7"/>
  </w:num>
  <w:num w:numId="9">
    <w:abstractNumId w:val="6"/>
  </w:num>
  <w:num w:numId="10">
    <w:abstractNumId w:val="2"/>
  </w:num>
  <w:num w:numId="11">
    <w:abstractNumId w:val="8"/>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1MDk5MWI1M2ZiZDkzYWFiOTFhMDJiNTBiNDJjNjcifQ=="/>
  </w:docVars>
  <w:rsids>
    <w:rsidRoot w:val="002B296E"/>
    <w:rsid w:val="00005740"/>
    <w:rsid w:val="00005B4D"/>
    <w:rsid w:val="0000723B"/>
    <w:rsid w:val="000102B3"/>
    <w:rsid w:val="00012263"/>
    <w:rsid w:val="00012DCA"/>
    <w:rsid w:val="00015451"/>
    <w:rsid w:val="00015C20"/>
    <w:rsid w:val="000165A0"/>
    <w:rsid w:val="00017ECC"/>
    <w:rsid w:val="000227FD"/>
    <w:rsid w:val="00024DCF"/>
    <w:rsid w:val="00027E40"/>
    <w:rsid w:val="00030B9F"/>
    <w:rsid w:val="00033591"/>
    <w:rsid w:val="00035243"/>
    <w:rsid w:val="00036C4D"/>
    <w:rsid w:val="00036CC4"/>
    <w:rsid w:val="0004487D"/>
    <w:rsid w:val="0004655D"/>
    <w:rsid w:val="00046AE3"/>
    <w:rsid w:val="00047161"/>
    <w:rsid w:val="00047F90"/>
    <w:rsid w:val="0005162F"/>
    <w:rsid w:val="00051863"/>
    <w:rsid w:val="000520B1"/>
    <w:rsid w:val="00055C90"/>
    <w:rsid w:val="000579F6"/>
    <w:rsid w:val="00071DC8"/>
    <w:rsid w:val="000722BF"/>
    <w:rsid w:val="00073BE1"/>
    <w:rsid w:val="000762AC"/>
    <w:rsid w:val="00076F24"/>
    <w:rsid w:val="00082568"/>
    <w:rsid w:val="00083BC2"/>
    <w:rsid w:val="00086895"/>
    <w:rsid w:val="0009130D"/>
    <w:rsid w:val="00094FCC"/>
    <w:rsid w:val="000A08E3"/>
    <w:rsid w:val="000A7A9D"/>
    <w:rsid w:val="000B3AC3"/>
    <w:rsid w:val="000B4D4A"/>
    <w:rsid w:val="000B587C"/>
    <w:rsid w:val="000B7A0E"/>
    <w:rsid w:val="000C0E1A"/>
    <w:rsid w:val="000C2BCB"/>
    <w:rsid w:val="000C4236"/>
    <w:rsid w:val="000C64E7"/>
    <w:rsid w:val="000C689A"/>
    <w:rsid w:val="000C7808"/>
    <w:rsid w:val="000D123C"/>
    <w:rsid w:val="000D5B9F"/>
    <w:rsid w:val="000E0D11"/>
    <w:rsid w:val="000E23D7"/>
    <w:rsid w:val="000E7DAA"/>
    <w:rsid w:val="000F1063"/>
    <w:rsid w:val="000F1328"/>
    <w:rsid w:val="000F2DF3"/>
    <w:rsid w:val="00102CAD"/>
    <w:rsid w:val="001031B0"/>
    <w:rsid w:val="00105092"/>
    <w:rsid w:val="0010582A"/>
    <w:rsid w:val="001075AD"/>
    <w:rsid w:val="00110CBD"/>
    <w:rsid w:val="00122477"/>
    <w:rsid w:val="001232EC"/>
    <w:rsid w:val="00123E98"/>
    <w:rsid w:val="00123EB7"/>
    <w:rsid w:val="00125B86"/>
    <w:rsid w:val="00125EA7"/>
    <w:rsid w:val="00133F32"/>
    <w:rsid w:val="00134804"/>
    <w:rsid w:val="00135452"/>
    <w:rsid w:val="00135D16"/>
    <w:rsid w:val="001423E8"/>
    <w:rsid w:val="0014403A"/>
    <w:rsid w:val="00145A2D"/>
    <w:rsid w:val="00147326"/>
    <w:rsid w:val="001477E0"/>
    <w:rsid w:val="001523C7"/>
    <w:rsid w:val="00152E85"/>
    <w:rsid w:val="001559D5"/>
    <w:rsid w:val="00157D5E"/>
    <w:rsid w:val="00160312"/>
    <w:rsid w:val="001604FE"/>
    <w:rsid w:val="00164113"/>
    <w:rsid w:val="00164DF0"/>
    <w:rsid w:val="00174F2C"/>
    <w:rsid w:val="001776D1"/>
    <w:rsid w:val="00183B03"/>
    <w:rsid w:val="00184F4C"/>
    <w:rsid w:val="00186AD1"/>
    <w:rsid w:val="00190D4E"/>
    <w:rsid w:val="00192AD1"/>
    <w:rsid w:val="00196ADD"/>
    <w:rsid w:val="001A0653"/>
    <w:rsid w:val="001A62A4"/>
    <w:rsid w:val="001B150F"/>
    <w:rsid w:val="001B3DCD"/>
    <w:rsid w:val="001B77F3"/>
    <w:rsid w:val="001C1026"/>
    <w:rsid w:val="001C146D"/>
    <w:rsid w:val="001C164F"/>
    <w:rsid w:val="001C1957"/>
    <w:rsid w:val="001C3631"/>
    <w:rsid w:val="001D0EB9"/>
    <w:rsid w:val="001D1A0E"/>
    <w:rsid w:val="001D4E88"/>
    <w:rsid w:val="001D5427"/>
    <w:rsid w:val="001D6F99"/>
    <w:rsid w:val="001E7D92"/>
    <w:rsid w:val="001F2FF4"/>
    <w:rsid w:val="001F4DAC"/>
    <w:rsid w:val="0020017A"/>
    <w:rsid w:val="0020780A"/>
    <w:rsid w:val="00210364"/>
    <w:rsid w:val="0021479B"/>
    <w:rsid w:val="00215571"/>
    <w:rsid w:val="00225BA9"/>
    <w:rsid w:val="00231E55"/>
    <w:rsid w:val="00234B58"/>
    <w:rsid w:val="0023517A"/>
    <w:rsid w:val="002360AF"/>
    <w:rsid w:val="002373AF"/>
    <w:rsid w:val="0024137C"/>
    <w:rsid w:val="002425D6"/>
    <w:rsid w:val="002428AB"/>
    <w:rsid w:val="00244C00"/>
    <w:rsid w:val="00245B43"/>
    <w:rsid w:val="00250418"/>
    <w:rsid w:val="002505A6"/>
    <w:rsid w:val="002549D4"/>
    <w:rsid w:val="0026325C"/>
    <w:rsid w:val="0026418F"/>
    <w:rsid w:val="0026450A"/>
    <w:rsid w:val="002709A8"/>
    <w:rsid w:val="00270C27"/>
    <w:rsid w:val="00271D87"/>
    <w:rsid w:val="00272EB2"/>
    <w:rsid w:val="002746A1"/>
    <w:rsid w:val="00280C2F"/>
    <w:rsid w:val="002823CE"/>
    <w:rsid w:val="00285DE2"/>
    <w:rsid w:val="00290910"/>
    <w:rsid w:val="00293B10"/>
    <w:rsid w:val="002961D1"/>
    <w:rsid w:val="002966B6"/>
    <w:rsid w:val="0029795C"/>
    <w:rsid w:val="002A0ED3"/>
    <w:rsid w:val="002A29E5"/>
    <w:rsid w:val="002A758C"/>
    <w:rsid w:val="002B296E"/>
    <w:rsid w:val="002B5C22"/>
    <w:rsid w:val="002B6A5A"/>
    <w:rsid w:val="002C3DA7"/>
    <w:rsid w:val="002C3F0A"/>
    <w:rsid w:val="002C500F"/>
    <w:rsid w:val="002C6B4A"/>
    <w:rsid w:val="002D2996"/>
    <w:rsid w:val="002D36C4"/>
    <w:rsid w:val="002D5EB6"/>
    <w:rsid w:val="002D63FF"/>
    <w:rsid w:val="002E0BE7"/>
    <w:rsid w:val="002E1005"/>
    <w:rsid w:val="002E4C9D"/>
    <w:rsid w:val="002E5DA1"/>
    <w:rsid w:val="002E63F0"/>
    <w:rsid w:val="002E6F35"/>
    <w:rsid w:val="002F006C"/>
    <w:rsid w:val="002F019C"/>
    <w:rsid w:val="002F403D"/>
    <w:rsid w:val="002F4FC9"/>
    <w:rsid w:val="002F54BE"/>
    <w:rsid w:val="00305131"/>
    <w:rsid w:val="00305CE7"/>
    <w:rsid w:val="00305DA0"/>
    <w:rsid w:val="003075D2"/>
    <w:rsid w:val="003103D1"/>
    <w:rsid w:val="00311E94"/>
    <w:rsid w:val="00315035"/>
    <w:rsid w:val="00321622"/>
    <w:rsid w:val="0032311B"/>
    <w:rsid w:val="00323813"/>
    <w:rsid w:val="00324CB2"/>
    <w:rsid w:val="00326B43"/>
    <w:rsid w:val="003277CD"/>
    <w:rsid w:val="0033310F"/>
    <w:rsid w:val="0033356C"/>
    <w:rsid w:val="00335A76"/>
    <w:rsid w:val="003402FF"/>
    <w:rsid w:val="00341AAD"/>
    <w:rsid w:val="00345849"/>
    <w:rsid w:val="00350F69"/>
    <w:rsid w:val="00353939"/>
    <w:rsid w:val="003553CD"/>
    <w:rsid w:val="00356426"/>
    <w:rsid w:val="00356A28"/>
    <w:rsid w:val="00362D56"/>
    <w:rsid w:val="0037109F"/>
    <w:rsid w:val="003710C6"/>
    <w:rsid w:val="003731BF"/>
    <w:rsid w:val="00373CC6"/>
    <w:rsid w:val="0037772B"/>
    <w:rsid w:val="003811DD"/>
    <w:rsid w:val="00384FDC"/>
    <w:rsid w:val="00387363"/>
    <w:rsid w:val="0039233C"/>
    <w:rsid w:val="003936FA"/>
    <w:rsid w:val="00395B93"/>
    <w:rsid w:val="003960E2"/>
    <w:rsid w:val="003A0898"/>
    <w:rsid w:val="003A13DC"/>
    <w:rsid w:val="003A22B2"/>
    <w:rsid w:val="003A283F"/>
    <w:rsid w:val="003A3EA6"/>
    <w:rsid w:val="003A5619"/>
    <w:rsid w:val="003B4BF9"/>
    <w:rsid w:val="003B627E"/>
    <w:rsid w:val="003C55EB"/>
    <w:rsid w:val="003D016D"/>
    <w:rsid w:val="003D1101"/>
    <w:rsid w:val="003D2AD2"/>
    <w:rsid w:val="003E32F8"/>
    <w:rsid w:val="003F0159"/>
    <w:rsid w:val="003F0EBF"/>
    <w:rsid w:val="003F1A85"/>
    <w:rsid w:val="0040232B"/>
    <w:rsid w:val="00411AD4"/>
    <w:rsid w:val="004142D5"/>
    <w:rsid w:val="004155CD"/>
    <w:rsid w:val="004159E6"/>
    <w:rsid w:val="00420DE3"/>
    <w:rsid w:val="00421174"/>
    <w:rsid w:val="00422460"/>
    <w:rsid w:val="004303AA"/>
    <w:rsid w:val="004308A1"/>
    <w:rsid w:val="00430AF8"/>
    <w:rsid w:val="00432891"/>
    <w:rsid w:val="0043317D"/>
    <w:rsid w:val="00434018"/>
    <w:rsid w:val="00435930"/>
    <w:rsid w:val="004370D7"/>
    <w:rsid w:val="004432FE"/>
    <w:rsid w:val="004437AE"/>
    <w:rsid w:val="004454D9"/>
    <w:rsid w:val="00446748"/>
    <w:rsid w:val="004468B4"/>
    <w:rsid w:val="0045104F"/>
    <w:rsid w:val="00460807"/>
    <w:rsid w:val="00460ABA"/>
    <w:rsid w:val="00460E5B"/>
    <w:rsid w:val="00461030"/>
    <w:rsid w:val="004621E5"/>
    <w:rsid w:val="00463D37"/>
    <w:rsid w:val="00471274"/>
    <w:rsid w:val="00471E81"/>
    <w:rsid w:val="00472409"/>
    <w:rsid w:val="00480F0D"/>
    <w:rsid w:val="00486E73"/>
    <w:rsid w:val="004A0C96"/>
    <w:rsid w:val="004A19DD"/>
    <w:rsid w:val="004A20E5"/>
    <w:rsid w:val="004A27E3"/>
    <w:rsid w:val="004A5261"/>
    <w:rsid w:val="004A7791"/>
    <w:rsid w:val="004B0CD6"/>
    <w:rsid w:val="004B3152"/>
    <w:rsid w:val="004B5FA8"/>
    <w:rsid w:val="004C3ADD"/>
    <w:rsid w:val="004D1052"/>
    <w:rsid w:val="004D7F2E"/>
    <w:rsid w:val="004E098B"/>
    <w:rsid w:val="004E2AEC"/>
    <w:rsid w:val="004E3FBD"/>
    <w:rsid w:val="004E41AC"/>
    <w:rsid w:val="004E5F5E"/>
    <w:rsid w:val="004E7B5C"/>
    <w:rsid w:val="004F1DAC"/>
    <w:rsid w:val="00501787"/>
    <w:rsid w:val="00501E4E"/>
    <w:rsid w:val="005038E9"/>
    <w:rsid w:val="00506897"/>
    <w:rsid w:val="00511618"/>
    <w:rsid w:val="00516147"/>
    <w:rsid w:val="0052007E"/>
    <w:rsid w:val="00524AB1"/>
    <w:rsid w:val="00530432"/>
    <w:rsid w:val="00532047"/>
    <w:rsid w:val="00535134"/>
    <w:rsid w:val="0053774E"/>
    <w:rsid w:val="00542088"/>
    <w:rsid w:val="0054303D"/>
    <w:rsid w:val="005436FB"/>
    <w:rsid w:val="0055085C"/>
    <w:rsid w:val="0055090F"/>
    <w:rsid w:val="005543A6"/>
    <w:rsid w:val="005554AD"/>
    <w:rsid w:val="005568B0"/>
    <w:rsid w:val="00557C1B"/>
    <w:rsid w:val="005668BA"/>
    <w:rsid w:val="00572D56"/>
    <w:rsid w:val="0057738E"/>
    <w:rsid w:val="00583993"/>
    <w:rsid w:val="00586861"/>
    <w:rsid w:val="0058780A"/>
    <w:rsid w:val="005901F0"/>
    <w:rsid w:val="005912AD"/>
    <w:rsid w:val="00591B30"/>
    <w:rsid w:val="00591BAF"/>
    <w:rsid w:val="00594982"/>
    <w:rsid w:val="005962CA"/>
    <w:rsid w:val="005A0B67"/>
    <w:rsid w:val="005A1E16"/>
    <w:rsid w:val="005A43AB"/>
    <w:rsid w:val="005A482C"/>
    <w:rsid w:val="005A579C"/>
    <w:rsid w:val="005A5B03"/>
    <w:rsid w:val="005B0170"/>
    <w:rsid w:val="005B1875"/>
    <w:rsid w:val="005B1FAC"/>
    <w:rsid w:val="005B3AB8"/>
    <w:rsid w:val="005B5597"/>
    <w:rsid w:val="005B629B"/>
    <w:rsid w:val="005B7B25"/>
    <w:rsid w:val="005C09EC"/>
    <w:rsid w:val="005C2223"/>
    <w:rsid w:val="005E513F"/>
    <w:rsid w:val="005E6307"/>
    <w:rsid w:val="005F0B55"/>
    <w:rsid w:val="005F0EA2"/>
    <w:rsid w:val="005F464F"/>
    <w:rsid w:val="00602045"/>
    <w:rsid w:val="006137B4"/>
    <w:rsid w:val="00622334"/>
    <w:rsid w:val="00623B5C"/>
    <w:rsid w:val="0062431E"/>
    <w:rsid w:val="0063178E"/>
    <w:rsid w:val="00634CA8"/>
    <w:rsid w:val="00634D11"/>
    <w:rsid w:val="006357F8"/>
    <w:rsid w:val="00637736"/>
    <w:rsid w:val="00642E74"/>
    <w:rsid w:val="0064411E"/>
    <w:rsid w:val="00650F5B"/>
    <w:rsid w:val="006530D0"/>
    <w:rsid w:val="00660418"/>
    <w:rsid w:val="00666B5D"/>
    <w:rsid w:val="00666D92"/>
    <w:rsid w:val="006706B4"/>
    <w:rsid w:val="0067242A"/>
    <w:rsid w:val="00673CED"/>
    <w:rsid w:val="00674722"/>
    <w:rsid w:val="006749FE"/>
    <w:rsid w:val="006762D5"/>
    <w:rsid w:val="006801A9"/>
    <w:rsid w:val="0068296E"/>
    <w:rsid w:val="00685EAE"/>
    <w:rsid w:val="006900CE"/>
    <w:rsid w:val="00690C3A"/>
    <w:rsid w:val="00693B11"/>
    <w:rsid w:val="00693C62"/>
    <w:rsid w:val="00693D42"/>
    <w:rsid w:val="00697AEC"/>
    <w:rsid w:val="006A4089"/>
    <w:rsid w:val="006A5F3A"/>
    <w:rsid w:val="006A6F0A"/>
    <w:rsid w:val="006B00E1"/>
    <w:rsid w:val="006B0A36"/>
    <w:rsid w:val="006B1275"/>
    <w:rsid w:val="006B1578"/>
    <w:rsid w:val="006B1F77"/>
    <w:rsid w:val="006B4428"/>
    <w:rsid w:val="006B56AA"/>
    <w:rsid w:val="006B6BCB"/>
    <w:rsid w:val="006B6F2B"/>
    <w:rsid w:val="006C4C6F"/>
    <w:rsid w:val="006C5C8C"/>
    <w:rsid w:val="006D0314"/>
    <w:rsid w:val="006D1AD5"/>
    <w:rsid w:val="006D20BD"/>
    <w:rsid w:val="006D4663"/>
    <w:rsid w:val="006D66CE"/>
    <w:rsid w:val="006D77F1"/>
    <w:rsid w:val="006E37A8"/>
    <w:rsid w:val="006E4B2D"/>
    <w:rsid w:val="006E4D4C"/>
    <w:rsid w:val="006F75CA"/>
    <w:rsid w:val="00701086"/>
    <w:rsid w:val="00701EE1"/>
    <w:rsid w:val="007031C1"/>
    <w:rsid w:val="007037E0"/>
    <w:rsid w:val="007046E4"/>
    <w:rsid w:val="0070524E"/>
    <w:rsid w:val="00721A12"/>
    <w:rsid w:val="00726CBC"/>
    <w:rsid w:val="00731E2A"/>
    <w:rsid w:val="00734FD4"/>
    <w:rsid w:val="0074155C"/>
    <w:rsid w:val="00744A0C"/>
    <w:rsid w:val="0074718B"/>
    <w:rsid w:val="00750BEB"/>
    <w:rsid w:val="00751194"/>
    <w:rsid w:val="00752F41"/>
    <w:rsid w:val="007553E2"/>
    <w:rsid w:val="00755821"/>
    <w:rsid w:val="00760711"/>
    <w:rsid w:val="00760C63"/>
    <w:rsid w:val="007612BB"/>
    <w:rsid w:val="00761E34"/>
    <w:rsid w:val="00763D77"/>
    <w:rsid w:val="00764256"/>
    <w:rsid w:val="0076454F"/>
    <w:rsid w:val="00771537"/>
    <w:rsid w:val="007746E5"/>
    <w:rsid w:val="007764F5"/>
    <w:rsid w:val="0078066F"/>
    <w:rsid w:val="00783694"/>
    <w:rsid w:val="0079172F"/>
    <w:rsid w:val="00791F91"/>
    <w:rsid w:val="00792E1B"/>
    <w:rsid w:val="00793C07"/>
    <w:rsid w:val="00794DAC"/>
    <w:rsid w:val="007958AE"/>
    <w:rsid w:val="0079703B"/>
    <w:rsid w:val="0079727B"/>
    <w:rsid w:val="007A2280"/>
    <w:rsid w:val="007A5B9B"/>
    <w:rsid w:val="007A6674"/>
    <w:rsid w:val="007A7C7A"/>
    <w:rsid w:val="007B3C6D"/>
    <w:rsid w:val="007B48FC"/>
    <w:rsid w:val="007B743A"/>
    <w:rsid w:val="007C3FAA"/>
    <w:rsid w:val="007D1F29"/>
    <w:rsid w:val="007D2D0F"/>
    <w:rsid w:val="007D31C8"/>
    <w:rsid w:val="007D38B1"/>
    <w:rsid w:val="007D3AB6"/>
    <w:rsid w:val="007D4637"/>
    <w:rsid w:val="007D4C6C"/>
    <w:rsid w:val="007D4EC4"/>
    <w:rsid w:val="007D5983"/>
    <w:rsid w:val="007D65BA"/>
    <w:rsid w:val="007D72FB"/>
    <w:rsid w:val="007E4C94"/>
    <w:rsid w:val="007E5F04"/>
    <w:rsid w:val="007F1677"/>
    <w:rsid w:val="007F2C2A"/>
    <w:rsid w:val="007F5169"/>
    <w:rsid w:val="007F647E"/>
    <w:rsid w:val="007F7EC0"/>
    <w:rsid w:val="00801A38"/>
    <w:rsid w:val="00803B40"/>
    <w:rsid w:val="00806F28"/>
    <w:rsid w:val="00807B69"/>
    <w:rsid w:val="00810E85"/>
    <w:rsid w:val="00812244"/>
    <w:rsid w:val="00812D31"/>
    <w:rsid w:val="0081372D"/>
    <w:rsid w:val="008138A3"/>
    <w:rsid w:val="008140E8"/>
    <w:rsid w:val="008166D4"/>
    <w:rsid w:val="00817DB8"/>
    <w:rsid w:val="0082057C"/>
    <w:rsid w:val="008223B6"/>
    <w:rsid w:val="00830E2C"/>
    <w:rsid w:val="00835FB6"/>
    <w:rsid w:val="008363CE"/>
    <w:rsid w:val="00841109"/>
    <w:rsid w:val="00845602"/>
    <w:rsid w:val="00846672"/>
    <w:rsid w:val="00847127"/>
    <w:rsid w:val="00853091"/>
    <w:rsid w:val="00856054"/>
    <w:rsid w:val="00856105"/>
    <w:rsid w:val="0086614D"/>
    <w:rsid w:val="00867F98"/>
    <w:rsid w:val="0087225E"/>
    <w:rsid w:val="00872B38"/>
    <w:rsid w:val="00872CDB"/>
    <w:rsid w:val="008801A3"/>
    <w:rsid w:val="0088330C"/>
    <w:rsid w:val="00883AA8"/>
    <w:rsid w:val="008853B1"/>
    <w:rsid w:val="008859FC"/>
    <w:rsid w:val="00885C49"/>
    <w:rsid w:val="0089165B"/>
    <w:rsid w:val="008920BC"/>
    <w:rsid w:val="00896917"/>
    <w:rsid w:val="008976C8"/>
    <w:rsid w:val="008A1016"/>
    <w:rsid w:val="008A402F"/>
    <w:rsid w:val="008A73D1"/>
    <w:rsid w:val="008B2078"/>
    <w:rsid w:val="008B641C"/>
    <w:rsid w:val="008B6A92"/>
    <w:rsid w:val="008B6F21"/>
    <w:rsid w:val="008B7807"/>
    <w:rsid w:val="008C2951"/>
    <w:rsid w:val="008C4241"/>
    <w:rsid w:val="008C50F1"/>
    <w:rsid w:val="008C6819"/>
    <w:rsid w:val="008D3759"/>
    <w:rsid w:val="008D5DDF"/>
    <w:rsid w:val="008E2B32"/>
    <w:rsid w:val="008E6B4B"/>
    <w:rsid w:val="008F0E1B"/>
    <w:rsid w:val="008F59CA"/>
    <w:rsid w:val="008F615A"/>
    <w:rsid w:val="008F7FE5"/>
    <w:rsid w:val="00900B57"/>
    <w:rsid w:val="00904713"/>
    <w:rsid w:val="009059F6"/>
    <w:rsid w:val="00905D0E"/>
    <w:rsid w:val="00912406"/>
    <w:rsid w:val="009136FB"/>
    <w:rsid w:val="0091459A"/>
    <w:rsid w:val="00914845"/>
    <w:rsid w:val="00921A8A"/>
    <w:rsid w:val="009220BF"/>
    <w:rsid w:val="00922256"/>
    <w:rsid w:val="0092669F"/>
    <w:rsid w:val="00933427"/>
    <w:rsid w:val="009356F2"/>
    <w:rsid w:val="00937148"/>
    <w:rsid w:val="00940369"/>
    <w:rsid w:val="009454F4"/>
    <w:rsid w:val="00946EFC"/>
    <w:rsid w:val="00946F59"/>
    <w:rsid w:val="00950E98"/>
    <w:rsid w:val="0095203B"/>
    <w:rsid w:val="009537E3"/>
    <w:rsid w:val="00957952"/>
    <w:rsid w:val="009612CA"/>
    <w:rsid w:val="00962F8A"/>
    <w:rsid w:val="00963D52"/>
    <w:rsid w:val="00965A51"/>
    <w:rsid w:val="00970EA5"/>
    <w:rsid w:val="00973CA7"/>
    <w:rsid w:val="009757C4"/>
    <w:rsid w:val="0097679F"/>
    <w:rsid w:val="00987D22"/>
    <w:rsid w:val="009929A4"/>
    <w:rsid w:val="00993BB4"/>
    <w:rsid w:val="009974A8"/>
    <w:rsid w:val="009A0EA8"/>
    <w:rsid w:val="009A1BDE"/>
    <w:rsid w:val="009A6E5F"/>
    <w:rsid w:val="009B170E"/>
    <w:rsid w:val="009B1762"/>
    <w:rsid w:val="009B4107"/>
    <w:rsid w:val="009B6F40"/>
    <w:rsid w:val="009C1E9F"/>
    <w:rsid w:val="009C4AF0"/>
    <w:rsid w:val="009C75DB"/>
    <w:rsid w:val="009D062B"/>
    <w:rsid w:val="009D39E4"/>
    <w:rsid w:val="009D4278"/>
    <w:rsid w:val="009E444A"/>
    <w:rsid w:val="009E50FB"/>
    <w:rsid w:val="009E5DEE"/>
    <w:rsid w:val="009E66C2"/>
    <w:rsid w:val="009E6EF2"/>
    <w:rsid w:val="009F76F8"/>
    <w:rsid w:val="00A027FE"/>
    <w:rsid w:val="00A049ED"/>
    <w:rsid w:val="00A06F79"/>
    <w:rsid w:val="00A13404"/>
    <w:rsid w:val="00A13C69"/>
    <w:rsid w:val="00A13FD3"/>
    <w:rsid w:val="00A15662"/>
    <w:rsid w:val="00A15B4D"/>
    <w:rsid w:val="00A17A05"/>
    <w:rsid w:val="00A20B5D"/>
    <w:rsid w:val="00A21678"/>
    <w:rsid w:val="00A21934"/>
    <w:rsid w:val="00A249CD"/>
    <w:rsid w:val="00A26BE9"/>
    <w:rsid w:val="00A3093B"/>
    <w:rsid w:val="00A30D3A"/>
    <w:rsid w:val="00A32364"/>
    <w:rsid w:val="00A33CFD"/>
    <w:rsid w:val="00A40BCE"/>
    <w:rsid w:val="00A50064"/>
    <w:rsid w:val="00A51785"/>
    <w:rsid w:val="00A52400"/>
    <w:rsid w:val="00A53AEC"/>
    <w:rsid w:val="00A55EDA"/>
    <w:rsid w:val="00A57355"/>
    <w:rsid w:val="00A610B1"/>
    <w:rsid w:val="00A63E72"/>
    <w:rsid w:val="00A665D9"/>
    <w:rsid w:val="00A66F56"/>
    <w:rsid w:val="00A675A0"/>
    <w:rsid w:val="00A7451A"/>
    <w:rsid w:val="00A83A06"/>
    <w:rsid w:val="00A925B1"/>
    <w:rsid w:val="00A92A0C"/>
    <w:rsid w:val="00A95ABA"/>
    <w:rsid w:val="00AA0D1E"/>
    <w:rsid w:val="00AA1328"/>
    <w:rsid w:val="00AA42D3"/>
    <w:rsid w:val="00AA470C"/>
    <w:rsid w:val="00AA5E0D"/>
    <w:rsid w:val="00AA6718"/>
    <w:rsid w:val="00AB0EAD"/>
    <w:rsid w:val="00AB2F6A"/>
    <w:rsid w:val="00AB6537"/>
    <w:rsid w:val="00AC01BC"/>
    <w:rsid w:val="00AC108C"/>
    <w:rsid w:val="00AC6148"/>
    <w:rsid w:val="00AD25EB"/>
    <w:rsid w:val="00AD273D"/>
    <w:rsid w:val="00AD3773"/>
    <w:rsid w:val="00AD6720"/>
    <w:rsid w:val="00AD732E"/>
    <w:rsid w:val="00AE1C0F"/>
    <w:rsid w:val="00AE2AFA"/>
    <w:rsid w:val="00AE7D66"/>
    <w:rsid w:val="00AF1DF5"/>
    <w:rsid w:val="00AF7704"/>
    <w:rsid w:val="00AF79C5"/>
    <w:rsid w:val="00B13D11"/>
    <w:rsid w:val="00B1422D"/>
    <w:rsid w:val="00B1504B"/>
    <w:rsid w:val="00B16D72"/>
    <w:rsid w:val="00B17FE0"/>
    <w:rsid w:val="00B20EEA"/>
    <w:rsid w:val="00B21464"/>
    <w:rsid w:val="00B27CA4"/>
    <w:rsid w:val="00B31267"/>
    <w:rsid w:val="00B35B9A"/>
    <w:rsid w:val="00B35E87"/>
    <w:rsid w:val="00B372CB"/>
    <w:rsid w:val="00B37D32"/>
    <w:rsid w:val="00B41ECA"/>
    <w:rsid w:val="00B45AD9"/>
    <w:rsid w:val="00B46B50"/>
    <w:rsid w:val="00B51FC7"/>
    <w:rsid w:val="00B532E2"/>
    <w:rsid w:val="00B55775"/>
    <w:rsid w:val="00B600C1"/>
    <w:rsid w:val="00B61F3D"/>
    <w:rsid w:val="00B63142"/>
    <w:rsid w:val="00B63FE9"/>
    <w:rsid w:val="00B66E98"/>
    <w:rsid w:val="00B70040"/>
    <w:rsid w:val="00B70889"/>
    <w:rsid w:val="00B75E35"/>
    <w:rsid w:val="00B762CF"/>
    <w:rsid w:val="00B7694F"/>
    <w:rsid w:val="00B810FB"/>
    <w:rsid w:val="00B822DC"/>
    <w:rsid w:val="00B85510"/>
    <w:rsid w:val="00B86F8C"/>
    <w:rsid w:val="00B87097"/>
    <w:rsid w:val="00B935F7"/>
    <w:rsid w:val="00B94787"/>
    <w:rsid w:val="00B96CF9"/>
    <w:rsid w:val="00B97368"/>
    <w:rsid w:val="00B97861"/>
    <w:rsid w:val="00BA0C36"/>
    <w:rsid w:val="00BA2DFA"/>
    <w:rsid w:val="00BA5985"/>
    <w:rsid w:val="00BA6DCA"/>
    <w:rsid w:val="00BB2E37"/>
    <w:rsid w:val="00BB3B9D"/>
    <w:rsid w:val="00BB475D"/>
    <w:rsid w:val="00BB612C"/>
    <w:rsid w:val="00BB74E8"/>
    <w:rsid w:val="00BC0022"/>
    <w:rsid w:val="00BC2E32"/>
    <w:rsid w:val="00BC3702"/>
    <w:rsid w:val="00BC3723"/>
    <w:rsid w:val="00BC3A0B"/>
    <w:rsid w:val="00BC4367"/>
    <w:rsid w:val="00BC79A5"/>
    <w:rsid w:val="00BD1749"/>
    <w:rsid w:val="00BD19A7"/>
    <w:rsid w:val="00BD4173"/>
    <w:rsid w:val="00BD7D8C"/>
    <w:rsid w:val="00BE2354"/>
    <w:rsid w:val="00BE5E00"/>
    <w:rsid w:val="00BE7E28"/>
    <w:rsid w:val="00BF134C"/>
    <w:rsid w:val="00BF53C2"/>
    <w:rsid w:val="00BF55BD"/>
    <w:rsid w:val="00C036E1"/>
    <w:rsid w:val="00C06DAA"/>
    <w:rsid w:val="00C13727"/>
    <w:rsid w:val="00C148C6"/>
    <w:rsid w:val="00C14B6A"/>
    <w:rsid w:val="00C15825"/>
    <w:rsid w:val="00C174A1"/>
    <w:rsid w:val="00C24AC7"/>
    <w:rsid w:val="00C25258"/>
    <w:rsid w:val="00C255CE"/>
    <w:rsid w:val="00C26177"/>
    <w:rsid w:val="00C27633"/>
    <w:rsid w:val="00C27BEA"/>
    <w:rsid w:val="00C35401"/>
    <w:rsid w:val="00C3712E"/>
    <w:rsid w:val="00C435E6"/>
    <w:rsid w:val="00C443E4"/>
    <w:rsid w:val="00C446EE"/>
    <w:rsid w:val="00C51F32"/>
    <w:rsid w:val="00C520EF"/>
    <w:rsid w:val="00C5244A"/>
    <w:rsid w:val="00C56E41"/>
    <w:rsid w:val="00C609D6"/>
    <w:rsid w:val="00C622B3"/>
    <w:rsid w:val="00C67553"/>
    <w:rsid w:val="00C676A9"/>
    <w:rsid w:val="00C67EFD"/>
    <w:rsid w:val="00C719FB"/>
    <w:rsid w:val="00C71C81"/>
    <w:rsid w:val="00C71F2E"/>
    <w:rsid w:val="00C720B8"/>
    <w:rsid w:val="00C72488"/>
    <w:rsid w:val="00C741BF"/>
    <w:rsid w:val="00C746A8"/>
    <w:rsid w:val="00C77F0C"/>
    <w:rsid w:val="00C835AC"/>
    <w:rsid w:val="00C85BA9"/>
    <w:rsid w:val="00C867A5"/>
    <w:rsid w:val="00C86A3C"/>
    <w:rsid w:val="00C87A3B"/>
    <w:rsid w:val="00C87D50"/>
    <w:rsid w:val="00C901A7"/>
    <w:rsid w:val="00C9117D"/>
    <w:rsid w:val="00C91D5D"/>
    <w:rsid w:val="00CA1F6D"/>
    <w:rsid w:val="00CA5ACE"/>
    <w:rsid w:val="00CB2684"/>
    <w:rsid w:val="00CB7888"/>
    <w:rsid w:val="00CB7DE1"/>
    <w:rsid w:val="00CD0810"/>
    <w:rsid w:val="00CD0871"/>
    <w:rsid w:val="00CD15AC"/>
    <w:rsid w:val="00CD3BC6"/>
    <w:rsid w:val="00CD7D7E"/>
    <w:rsid w:val="00CE00DF"/>
    <w:rsid w:val="00CE0851"/>
    <w:rsid w:val="00CE2815"/>
    <w:rsid w:val="00CE52DC"/>
    <w:rsid w:val="00CF1384"/>
    <w:rsid w:val="00CF2476"/>
    <w:rsid w:val="00CF31A3"/>
    <w:rsid w:val="00CF53F3"/>
    <w:rsid w:val="00D0005C"/>
    <w:rsid w:val="00D01223"/>
    <w:rsid w:val="00D0531F"/>
    <w:rsid w:val="00D0649F"/>
    <w:rsid w:val="00D06A2B"/>
    <w:rsid w:val="00D07388"/>
    <w:rsid w:val="00D101DB"/>
    <w:rsid w:val="00D137A0"/>
    <w:rsid w:val="00D14DA8"/>
    <w:rsid w:val="00D152BD"/>
    <w:rsid w:val="00D17566"/>
    <w:rsid w:val="00D20765"/>
    <w:rsid w:val="00D22980"/>
    <w:rsid w:val="00D23242"/>
    <w:rsid w:val="00D23D28"/>
    <w:rsid w:val="00D3713E"/>
    <w:rsid w:val="00D40D69"/>
    <w:rsid w:val="00D43946"/>
    <w:rsid w:val="00D463F3"/>
    <w:rsid w:val="00D46E2E"/>
    <w:rsid w:val="00D526AB"/>
    <w:rsid w:val="00D54B44"/>
    <w:rsid w:val="00D65A9A"/>
    <w:rsid w:val="00D6748D"/>
    <w:rsid w:val="00D67EFB"/>
    <w:rsid w:val="00D8046B"/>
    <w:rsid w:val="00D825BB"/>
    <w:rsid w:val="00D9165B"/>
    <w:rsid w:val="00DA03A3"/>
    <w:rsid w:val="00DA044F"/>
    <w:rsid w:val="00DA0F19"/>
    <w:rsid w:val="00DA1172"/>
    <w:rsid w:val="00DA4D0F"/>
    <w:rsid w:val="00DA72AF"/>
    <w:rsid w:val="00DB05CE"/>
    <w:rsid w:val="00DB09FD"/>
    <w:rsid w:val="00DB214F"/>
    <w:rsid w:val="00DC0B27"/>
    <w:rsid w:val="00DC0DC3"/>
    <w:rsid w:val="00DC5979"/>
    <w:rsid w:val="00DC683E"/>
    <w:rsid w:val="00DD7ACC"/>
    <w:rsid w:val="00DD7C86"/>
    <w:rsid w:val="00DE210F"/>
    <w:rsid w:val="00DE6729"/>
    <w:rsid w:val="00DE780F"/>
    <w:rsid w:val="00DF005C"/>
    <w:rsid w:val="00DF193F"/>
    <w:rsid w:val="00DF25E1"/>
    <w:rsid w:val="00DF45C1"/>
    <w:rsid w:val="00DF63D3"/>
    <w:rsid w:val="00E01277"/>
    <w:rsid w:val="00E0373F"/>
    <w:rsid w:val="00E07FC2"/>
    <w:rsid w:val="00E10C3F"/>
    <w:rsid w:val="00E1277C"/>
    <w:rsid w:val="00E16381"/>
    <w:rsid w:val="00E16BE0"/>
    <w:rsid w:val="00E20FDC"/>
    <w:rsid w:val="00E21413"/>
    <w:rsid w:val="00E22D57"/>
    <w:rsid w:val="00E278B7"/>
    <w:rsid w:val="00E30D44"/>
    <w:rsid w:val="00E329CC"/>
    <w:rsid w:val="00E35F37"/>
    <w:rsid w:val="00E426CB"/>
    <w:rsid w:val="00E4477C"/>
    <w:rsid w:val="00E53672"/>
    <w:rsid w:val="00E5578E"/>
    <w:rsid w:val="00E604F1"/>
    <w:rsid w:val="00E61DE2"/>
    <w:rsid w:val="00E71B7C"/>
    <w:rsid w:val="00E72E33"/>
    <w:rsid w:val="00E7592D"/>
    <w:rsid w:val="00E826CD"/>
    <w:rsid w:val="00E8442D"/>
    <w:rsid w:val="00E854A1"/>
    <w:rsid w:val="00E93D2E"/>
    <w:rsid w:val="00E9738B"/>
    <w:rsid w:val="00E97895"/>
    <w:rsid w:val="00E97ED5"/>
    <w:rsid w:val="00EA233A"/>
    <w:rsid w:val="00EA6339"/>
    <w:rsid w:val="00EB051B"/>
    <w:rsid w:val="00EB0F3C"/>
    <w:rsid w:val="00EB2414"/>
    <w:rsid w:val="00EB4289"/>
    <w:rsid w:val="00EB44C9"/>
    <w:rsid w:val="00EB5B32"/>
    <w:rsid w:val="00EB75BE"/>
    <w:rsid w:val="00EC1A0F"/>
    <w:rsid w:val="00EC2883"/>
    <w:rsid w:val="00EC3753"/>
    <w:rsid w:val="00EC40A2"/>
    <w:rsid w:val="00EC4659"/>
    <w:rsid w:val="00EC4D83"/>
    <w:rsid w:val="00EC69E5"/>
    <w:rsid w:val="00ED4FC7"/>
    <w:rsid w:val="00ED59E6"/>
    <w:rsid w:val="00EE126C"/>
    <w:rsid w:val="00EE2C1D"/>
    <w:rsid w:val="00EF10A6"/>
    <w:rsid w:val="00EF1CEA"/>
    <w:rsid w:val="00EF299F"/>
    <w:rsid w:val="00EF31F9"/>
    <w:rsid w:val="00EF4E8F"/>
    <w:rsid w:val="00EF5AA6"/>
    <w:rsid w:val="00EF6432"/>
    <w:rsid w:val="00EF6661"/>
    <w:rsid w:val="00F013C6"/>
    <w:rsid w:val="00F035C6"/>
    <w:rsid w:val="00F04A50"/>
    <w:rsid w:val="00F0516B"/>
    <w:rsid w:val="00F05E51"/>
    <w:rsid w:val="00F0669D"/>
    <w:rsid w:val="00F17533"/>
    <w:rsid w:val="00F21003"/>
    <w:rsid w:val="00F211FE"/>
    <w:rsid w:val="00F21E92"/>
    <w:rsid w:val="00F238BB"/>
    <w:rsid w:val="00F23BD1"/>
    <w:rsid w:val="00F246C6"/>
    <w:rsid w:val="00F43EFC"/>
    <w:rsid w:val="00F446EB"/>
    <w:rsid w:val="00F4506A"/>
    <w:rsid w:val="00F508E5"/>
    <w:rsid w:val="00F571BE"/>
    <w:rsid w:val="00F5795E"/>
    <w:rsid w:val="00F57B77"/>
    <w:rsid w:val="00F6136F"/>
    <w:rsid w:val="00F6601D"/>
    <w:rsid w:val="00F67588"/>
    <w:rsid w:val="00F70F28"/>
    <w:rsid w:val="00F72CA9"/>
    <w:rsid w:val="00F739A8"/>
    <w:rsid w:val="00F742EC"/>
    <w:rsid w:val="00F8221A"/>
    <w:rsid w:val="00F87390"/>
    <w:rsid w:val="00F940B3"/>
    <w:rsid w:val="00F95BD0"/>
    <w:rsid w:val="00FA593E"/>
    <w:rsid w:val="00FB45E4"/>
    <w:rsid w:val="00FC18D7"/>
    <w:rsid w:val="00FC62F9"/>
    <w:rsid w:val="00FC6BE7"/>
    <w:rsid w:val="00FD2FD3"/>
    <w:rsid w:val="00FD5E8F"/>
    <w:rsid w:val="00FE26CC"/>
    <w:rsid w:val="00FE48A3"/>
    <w:rsid w:val="00FE692E"/>
    <w:rsid w:val="00FE78A2"/>
    <w:rsid w:val="00FF3E28"/>
    <w:rsid w:val="01031527"/>
    <w:rsid w:val="012C1C02"/>
    <w:rsid w:val="014063FE"/>
    <w:rsid w:val="01721FEB"/>
    <w:rsid w:val="01722330"/>
    <w:rsid w:val="018D1303"/>
    <w:rsid w:val="01CA5CC8"/>
    <w:rsid w:val="01E70628"/>
    <w:rsid w:val="02226211"/>
    <w:rsid w:val="02771997"/>
    <w:rsid w:val="0293255D"/>
    <w:rsid w:val="02987B74"/>
    <w:rsid w:val="02E25F12"/>
    <w:rsid w:val="030516AD"/>
    <w:rsid w:val="038A3F97"/>
    <w:rsid w:val="03993BA4"/>
    <w:rsid w:val="03A66B69"/>
    <w:rsid w:val="03E017D2"/>
    <w:rsid w:val="042C4F6C"/>
    <w:rsid w:val="04446205"/>
    <w:rsid w:val="047255F5"/>
    <w:rsid w:val="048C54B6"/>
    <w:rsid w:val="049A4077"/>
    <w:rsid w:val="05130EC4"/>
    <w:rsid w:val="05452235"/>
    <w:rsid w:val="055A330C"/>
    <w:rsid w:val="05A21435"/>
    <w:rsid w:val="05F52269"/>
    <w:rsid w:val="06127C3D"/>
    <w:rsid w:val="06215480"/>
    <w:rsid w:val="062E1176"/>
    <w:rsid w:val="063E255E"/>
    <w:rsid w:val="065D710A"/>
    <w:rsid w:val="069468A4"/>
    <w:rsid w:val="06AB5681"/>
    <w:rsid w:val="06D86E6E"/>
    <w:rsid w:val="06E710CA"/>
    <w:rsid w:val="06E94E42"/>
    <w:rsid w:val="07101435"/>
    <w:rsid w:val="072B0FB7"/>
    <w:rsid w:val="07724E37"/>
    <w:rsid w:val="07B37245"/>
    <w:rsid w:val="07EC1177"/>
    <w:rsid w:val="08A54D99"/>
    <w:rsid w:val="08D916F2"/>
    <w:rsid w:val="08E33B14"/>
    <w:rsid w:val="09B4074E"/>
    <w:rsid w:val="09B47989"/>
    <w:rsid w:val="09CB6A81"/>
    <w:rsid w:val="0A0106F5"/>
    <w:rsid w:val="0A0F43A2"/>
    <w:rsid w:val="0A522CFE"/>
    <w:rsid w:val="0A537E82"/>
    <w:rsid w:val="0A670558"/>
    <w:rsid w:val="0AD31B13"/>
    <w:rsid w:val="0B1F1512"/>
    <w:rsid w:val="0B5C3158"/>
    <w:rsid w:val="0B845139"/>
    <w:rsid w:val="0B913B41"/>
    <w:rsid w:val="0BB023D2"/>
    <w:rsid w:val="0BC027C4"/>
    <w:rsid w:val="0BC750CE"/>
    <w:rsid w:val="0BE16F32"/>
    <w:rsid w:val="0C204376"/>
    <w:rsid w:val="0C254A1B"/>
    <w:rsid w:val="0C526FE5"/>
    <w:rsid w:val="0C6875C2"/>
    <w:rsid w:val="0C9866B9"/>
    <w:rsid w:val="0CA77331"/>
    <w:rsid w:val="0CB16402"/>
    <w:rsid w:val="0CEC0DE7"/>
    <w:rsid w:val="0CF3634C"/>
    <w:rsid w:val="0D0227BA"/>
    <w:rsid w:val="0D5F19BA"/>
    <w:rsid w:val="0D605732"/>
    <w:rsid w:val="0D844388"/>
    <w:rsid w:val="0DEE34CD"/>
    <w:rsid w:val="0E0661A0"/>
    <w:rsid w:val="0E0B7D94"/>
    <w:rsid w:val="0E230C39"/>
    <w:rsid w:val="0E607F86"/>
    <w:rsid w:val="0E8A0CB9"/>
    <w:rsid w:val="0E9C279A"/>
    <w:rsid w:val="0EB421D9"/>
    <w:rsid w:val="0ECF2A4F"/>
    <w:rsid w:val="0F142273"/>
    <w:rsid w:val="0F5B4403"/>
    <w:rsid w:val="0F5D008C"/>
    <w:rsid w:val="0F6541C3"/>
    <w:rsid w:val="0F6627A1"/>
    <w:rsid w:val="0F9A5CF8"/>
    <w:rsid w:val="0FD3114F"/>
    <w:rsid w:val="0FEE5EBF"/>
    <w:rsid w:val="108300B5"/>
    <w:rsid w:val="108654B0"/>
    <w:rsid w:val="108C64EF"/>
    <w:rsid w:val="10BE733F"/>
    <w:rsid w:val="10CA1840"/>
    <w:rsid w:val="10CF3F1B"/>
    <w:rsid w:val="10D97CD5"/>
    <w:rsid w:val="10FC5772"/>
    <w:rsid w:val="11093651"/>
    <w:rsid w:val="11662604"/>
    <w:rsid w:val="11796EDC"/>
    <w:rsid w:val="118B0DEE"/>
    <w:rsid w:val="119D5A3B"/>
    <w:rsid w:val="121C00A4"/>
    <w:rsid w:val="12635AA8"/>
    <w:rsid w:val="127840D2"/>
    <w:rsid w:val="12900790"/>
    <w:rsid w:val="12900868"/>
    <w:rsid w:val="13280779"/>
    <w:rsid w:val="134F24D1"/>
    <w:rsid w:val="13982333"/>
    <w:rsid w:val="139D188B"/>
    <w:rsid w:val="13AA7707"/>
    <w:rsid w:val="13B71069"/>
    <w:rsid w:val="13FF3EF7"/>
    <w:rsid w:val="144E2788"/>
    <w:rsid w:val="14806439"/>
    <w:rsid w:val="149C1746"/>
    <w:rsid w:val="14E4477F"/>
    <w:rsid w:val="15BD1BCA"/>
    <w:rsid w:val="15FB113C"/>
    <w:rsid w:val="16105DC5"/>
    <w:rsid w:val="166E7112"/>
    <w:rsid w:val="16730284"/>
    <w:rsid w:val="16753FFC"/>
    <w:rsid w:val="16B965DF"/>
    <w:rsid w:val="170E68D9"/>
    <w:rsid w:val="1741793A"/>
    <w:rsid w:val="1743234C"/>
    <w:rsid w:val="17933E49"/>
    <w:rsid w:val="17966F3F"/>
    <w:rsid w:val="179901BE"/>
    <w:rsid w:val="17C24EE1"/>
    <w:rsid w:val="17C27715"/>
    <w:rsid w:val="17C57205"/>
    <w:rsid w:val="17E4768B"/>
    <w:rsid w:val="17FC3BA5"/>
    <w:rsid w:val="182513C0"/>
    <w:rsid w:val="18397E11"/>
    <w:rsid w:val="18735E22"/>
    <w:rsid w:val="194505FE"/>
    <w:rsid w:val="19687E48"/>
    <w:rsid w:val="196B1CEA"/>
    <w:rsid w:val="198E1EAE"/>
    <w:rsid w:val="19E05949"/>
    <w:rsid w:val="19E80331"/>
    <w:rsid w:val="19FB3499"/>
    <w:rsid w:val="1A24288D"/>
    <w:rsid w:val="1B1B5294"/>
    <w:rsid w:val="1B356450"/>
    <w:rsid w:val="1B434F04"/>
    <w:rsid w:val="1B9C14FB"/>
    <w:rsid w:val="1BEB4F4B"/>
    <w:rsid w:val="1BEF4851"/>
    <w:rsid w:val="1BFE3C79"/>
    <w:rsid w:val="1C2C01A7"/>
    <w:rsid w:val="1C3154D0"/>
    <w:rsid w:val="1C4F3541"/>
    <w:rsid w:val="1C584649"/>
    <w:rsid w:val="1C792E22"/>
    <w:rsid w:val="1CB01607"/>
    <w:rsid w:val="1CB57848"/>
    <w:rsid w:val="1CBF2475"/>
    <w:rsid w:val="1CF4323C"/>
    <w:rsid w:val="1D2A0352"/>
    <w:rsid w:val="1D2D5631"/>
    <w:rsid w:val="1D345E0F"/>
    <w:rsid w:val="1D581D92"/>
    <w:rsid w:val="1D880AB9"/>
    <w:rsid w:val="1DAE2109"/>
    <w:rsid w:val="1DB9452C"/>
    <w:rsid w:val="1DDE5424"/>
    <w:rsid w:val="1DE33F41"/>
    <w:rsid w:val="1DE71C83"/>
    <w:rsid w:val="1E206809"/>
    <w:rsid w:val="1E5A0F1E"/>
    <w:rsid w:val="1E5A29B0"/>
    <w:rsid w:val="1E71779F"/>
    <w:rsid w:val="1E8A6AB3"/>
    <w:rsid w:val="1EBC700B"/>
    <w:rsid w:val="1EFB3211"/>
    <w:rsid w:val="1F103EA9"/>
    <w:rsid w:val="1F1D7927"/>
    <w:rsid w:val="1F784B5D"/>
    <w:rsid w:val="1FB14636"/>
    <w:rsid w:val="1FCA3C17"/>
    <w:rsid w:val="1FDB296A"/>
    <w:rsid w:val="1FE909DC"/>
    <w:rsid w:val="1FF42436"/>
    <w:rsid w:val="204333BD"/>
    <w:rsid w:val="20457135"/>
    <w:rsid w:val="20631369"/>
    <w:rsid w:val="20755F4B"/>
    <w:rsid w:val="20AF152F"/>
    <w:rsid w:val="21431371"/>
    <w:rsid w:val="2149055F"/>
    <w:rsid w:val="21513626"/>
    <w:rsid w:val="215C64E4"/>
    <w:rsid w:val="215D225D"/>
    <w:rsid w:val="21707EAF"/>
    <w:rsid w:val="219537A4"/>
    <w:rsid w:val="21C36564"/>
    <w:rsid w:val="21DF0EC4"/>
    <w:rsid w:val="221C055F"/>
    <w:rsid w:val="22525E8C"/>
    <w:rsid w:val="228D0920"/>
    <w:rsid w:val="230A7A8F"/>
    <w:rsid w:val="23290736"/>
    <w:rsid w:val="23362D65"/>
    <w:rsid w:val="236E5E5F"/>
    <w:rsid w:val="2378337E"/>
    <w:rsid w:val="237E5141"/>
    <w:rsid w:val="239A32F4"/>
    <w:rsid w:val="23A61C99"/>
    <w:rsid w:val="23C5440E"/>
    <w:rsid w:val="23F30C56"/>
    <w:rsid w:val="24266C7C"/>
    <w:rsid w:val="244A2F6C"/>
    <w:rsid w:val="246A64EC"/>
    <w:rsid w:val="248E0882"/>
    <w:rsid w:val="24AB04CD"/>
    <w:rsid w:val="24B85FE4"/>
    <w:rsid w:val="24D67678"/>
    <w:rsid w:val="251417B8"/>
    <w:rsid w:val="2524556B"/>
    <w:rsid w:val="252E63EA"/>
    <w:rsid w:val="25440C67"/>
    <w:rsid w:val="25493224"/>
    <w:rsid w:val="25551BC9"/>
    <w:rsid w:val="256533FF"/>
    <w:rsid w:val="25714E00"/>
    <w:rsid w:val="25A53D6F"/>
    <w:rsid w:val="25E847EB"/>
    <w:rsid w:val="267047E0"/>
    <w:rsid w:val="26793FA2"/>
    <w:rsid w:val="26A1632F"/>
    <w:rsid w:val="270F7B55"/>
    <w:rsid w:val="272532E2"/>
    <w:rsid w:val="273B6B9C"/>
    <w:rsid w:val="27427F2B"/>
    <w:rsid w:val="276C3345"/>
    <w:rsid w:val="276F2332"/>
    <w:rsid w:val="27857F9B"/>
    <w:rsid w:val="2795721C"/>
    <w:rsid w:val="27A641C3"/>
    <w:rsid w:val="27A6670B"/>
    <w:rsid w:val="27C546B8"/>
    <w:rsid w:val="282633A8"/>
    <w:rsid w:val="284461F5"/>
    <w:rsid w:val="286F1880"/>
    <w:rsid w:val="28A10C81"/>
    <w:rsid w:val="28BD0522"/>
    <w:rsid w:val="28DB6828"/>
    <w:rsid w:val="28EC2844"/>
    <w:rsid w:val="29114058"/>
    <w:rsid w:val="29745A9F"/>
    <w:rsid w:val="29895F6F"/>
    <w:rsid w:val="298E5CC2"/>
    <w:rsid w:val="29995DFC"/>
    <w:rsid w:val="29AC6F9B"/>
    <w:rsid w:val="29B91807"/>
    <w:rsid w:val="29C97866"/>
    <w:rsid w:val="29E821D3"/>
    <w:rsid w:val="29F75268"/>
    <w:rsid w:val="2A840919"/>
    <w:rsid w:val="2A930A9D"/>
    <w:rsid w:val="2A967EB2"/>
    <w:rsid w:val="2AD417E1"/>
    <w:rsid w:val="2B065713"/>
    <w:rsid w:val="2B0D2CED"/>
    <w:rsid w:val="2B2411B6"/>
    <w:rsid w:val="2B2871E7"/>
    <w:rsid w:val="2B9057FA"/>
    <w:rsid w:val="2BA9299F"/>
    <w:rsid w:val="2BF832AE"/>
    <w:rsid w:val="2BFE65C2"/>
    <w:rsid w:val="2C02412C"/>
    <w:rsid w:val="2C1665B8"/>
    <w:rsid w:val="2C295297"/>
    <w:rsid w:val="2C493B09"/>
    <w:rsid w:val="2C6E17C2"/>
    <w:rsid w:val="2D205D35"/>
    <w:rsid w:val="2D7F69DE"/>
    <w:rsid w:val="2DB16F26"/>
    <w:rsid w:val="2DB3388B"/>
    <w:rsid w:val="2DC0604D"/>
    <w:rsid w:val="2DCA6ECC"/>
    <w:rsid w:val="2E0A056F"/>
    <w:rsid w:val="2E815E80"/>
    <w:rsid w:val="2E954277"/>
    <w:rsid w:val="2ED53A12"/>
    <w:rsid w:val="2EDF69A7"/>
    <w:rsid w:val="2F1A79DF"/>
    <w:rsid w:val="2F2A413F"/>
    <w:rsid w:val="2F363171"/>
    <w:rsid w:val="2F487431"/>
    <w:rsid w:val="2FB32CCE"/>
    <w:rsid w:val="30311375"/>
    <w:rsid w:val="30473F91"/>
    <w:rsid w:val="306058C5"/>
    <w:rsid w:val="30B023A9"/>
    <w:rsid w:val="30C714A1"/>
    <w:rsid w:val="311772A4"/>
    <w:rsid w:val="31186537"/>
    <w:rsid w:val="312A7037"/>
    <w:rsid w:val="31B92B8B"/>
    <w:rsid w:val="32326CFB"/>
    <w:rsid w:val="324D032D"/>
    <w:rsid w:val="3257574A"/>
    <w:rsid w:val="329E21EF"/>
    <w:rsid w:val="32FB3683"/>
    <w:rsid w:val="32FD564D"/>
    <w:rsid w:val="3328091C"/>
    <w:rsid w:val="338F3097"/>
    <w:rsid w:val="33A51F6D"/>
    <w:rsid w:val="33C06DA7"/>
    <w:rsid w:val="342509B8"/>
    <w:rsid w:val="34297F29"/>
    <w:rsid w:val="344A5876"/>
    <w:rsid w:val="348820F0"/>
    <w:rsid w:val="348E47AF"/>
    <w:rsid w:val="34AE6BFF"/>
    <w:rsid w:val="34CA3E45"/>
    <w:rsid w:val="34D34153"/>
    <w:rsid w:val="355E745E"/>
    <w:rsid w:val="359202CF"/>
    <w:rsid w:val="359758E5"/>
    <w:rsid w:val="359D5EEA"/>
    <w:rsid w:val="35BA1D81"/>
    <w:rsid w:val="35D02BA5"/>
    <w:rsid w:val="35D46B3A"/>
    <w:rsid w:val="35E8637E"/>
    <w:rsid w:val="35FC7E3E"/>
    <w:rsid w:val="361B0127"/>
    <w:rsid w:val="363C3B17"/>
    <w:rsid w:val="36474247"/>
    <w:rsid w:val="365612FD"/>
    <w:rsid w:val="3677309A"/>
    <w:rsid w:val="36AD2EE7"/>
    <w:rsid w:val="36F40B16"/>
    <w:rsid w:val="370C52DF"/>
    <w:rsid w:val="370C5E5F"/>
    <w:rsid w:val="374B6987"/>
    <w:rsid w:val="374D6BA3"/>
    <w:rsid w:val="375A306E"/>
    <w:rsid w:val="37AA6440"/>
    <w:rsid w:val="37AF0A14"/>
    <w:rsid w:val="37CE1367"/>
    <w:rsid w:val="37D746BF"/>
    <w:rsid w:val="37E528A4"/>
    <w:rsid w:val="38085F26"/>
    <w:rsid w:val="38426065"/>
    <w:rsid w:val="38C84008"/>
    <w:rsid w:val="38CA5FD2"/>
    <w:rsid w:val="38EB0F04"/>
    <w:rsid w:val="39411452"/>
    <w:rsid w:val="397B72CC"/>
    <w:rsid w:val="397C49C3"/>
    <w:rsid w:val="39B22FFA"/>
    <w:rsid w:val="39BA7DF4"/>
    <w:rsid w:val="39C15930"/>
    <w:rsid w:val="3A173499"/>
    <w:rsid w:val="3A30022F"/>
    <w:rsid w:val="3A371445"/>
    <w:rsid w:val="3A886145"/>
    <w:rsid w:val="3A8D72B7"/>
    <w:rsid w:val="3AB900AC"/>
    <w:rsid w:val="3AC52EF5"/>
    <w:rsid w:val="3AC91083"/>
    <w:rsid w:val="3B007A89"/>
    <w:rsid w:val="3B027CA5"/>
    <w:rsid w:val="3B0A5A2B"/>
    <w:rsid w:val="3B2E2848"/>
    <w:rsid w:val="3B5D4EDB"/>
    <w:rsid w:val="3B81506E"/>
    <w:rsid w:val="3BA60D07"/>
    <w:rsid w:val="3BA6272A"/>
    <w:rsid w:val="3BB22833"/>
    <w:rsid w:val="3BC4775F"/>
    <w:rsid w:val="3BE27C97"/>
    <w:rsid w:val="3BE473AB"/>
    <w:rsid w:val="3C9A513B"/>
    <w:rsid w:val="3CCD2793"/>
    <w:rsid w:val="3CFA57E4"/>
    <w:rsid w:val="3D0221DE"/>
    <w:rsid w:val="3D1E60DF"/>
    <w:rsid w:val="3DE2791A"/>
    <w:rsid w:val="3E053B4B"/>
    <w:rsid w:val="3E151A9D"/>
    <w:rsid w:val="3E2174C3"/>
    <w:rsid w:val="3E375EB7"/>
    <w:rsid w:val="3E38205E"/>
    <w:rsid w:val="3E9E5F37"/>
    <w:rsid w:val="3EA47C68"/>
    <w:rsid w:val="3ED03C16"/>
    <w:rsid w:val="3EEB27FE"/>
    <w:rsid w:val="3EF25F54"/>
    <w:rsid w:val="3F3423F7"/>
    <w:rsid w:val="3F8E1B07"/>
    <w:rsid w:val="40161AFD"/>
    <w:rsid w:val="401D10DD"/>
    <w:rsid w:val="403326AF"/>
    <w:rsid w:val="408B6047"/>
    <w:rsid w:val="409A517D"/>
    <w:rsid w:val="40AF442B"/>
    <w:rsid w:val="40E165AE"/>
    <w:rsid w:val="411C75E7"/>
    <w:rsid w:val="41540B2E"/>
    <w:rsid w:val="415E333C"/>
    <w:rsid w:val="418F600A"/>
    <w:rsid w:val="419B5FD1"/>
    <w:rsid w:val="419E1DAA"/>
    <w:rsid w:val="420D5851"/>
    <w:rsid w:val="424B3CDF"/>
    <w:rsid w:val="426D19F0"/>
    <w:rsid w:val="42D31F27"/>
    <w:rsid w:val="42D33CD5"/>
    <w:rsid w:val="42DD037E"/>
    <w:rsid w:val="42FC5208"/>
    <w:rsid w:val="43341596"/>
    <w:rsid w:val="436F7EA2"/>
    <w:rsid w:val="43860D47"/>
    <w:rsid w:val="43ED0DC6"/>
    <w:rsid w:val="43FB4652"/>
    <w:rsid w:val="43FF1225"/>
    <w:rsid w:val="4410457F"/>
    <w:rsid w:val="44265D5C"/>
    <w:rsid w:val="445F4788"/>
    <w:rsid w:val="449633BF"/>
    <w:rsid w:val="44B32884"/>
    <w:rsid w:val="44D94857"/>
    <w:rsid w:val="44E73A68"/>
    <w:rsid w:val="45223845"/>
    <w:rsid w:val="45290298"/>
    <w:rsid w:val="45B51211"/>
    <w:rsid w:val="45BD6D52"/>
    <w:rsid w:val="45BF5F80"/>
    <w:rsid w:val="45E94130"/>
    <w:rsid w:val="45EF52CA"/>
    <w:rsid w:val="46276812"/>
    <w:rsid w:val="462A4554"/>
    <w:rsid w:val="46517D32"/>
    <w:rsid w:val="465377A4"/>
    <w:rsid w:val="46753001"/>
    <w:rsid w:val="46821C9A"/>
    <w:rsid w:val="46E51A75"/>
    <w:rsid w:val="46F84891"/>
    <w:rsid w:val="473A07C7"/>
    <w:rsid w:val="47762C36"/>
    <w:rsid w:val="477C0DDF"/>
    <w:rsid w:val="480212E4"/>
    <w:rsid w:val="482B73A4"/>
    <w:rsid w:val="48C04CFB"/>
    <w:rsid w:val="48FF5824"/>
    <w:rsid w:val="49266FC3"/>
    <w:rsid w:val="492B03C7"/>
    <w:rsid w:val="493C6A78"/>
    <w:rsid w:val="49425710"/>
    <w:rsid w:val="494D38A5"/>
    <w:rsid w:val="498E5824"/>
    <w:rsid w:val="49DE053E"/>
    <w:rsid w:val="4A201EF6"/>
    <w:rsid w:val="4A49107C"/>
    <w:rsid w:val="4A625D30"/>
    <w:rsid w:val="4A767D68"/>
    <w:rsid w:val="4B475260"/>
    <w:rsid w:val="4B4B65BB"/>
    <w:rsid w:val="4B4C2876"/>
    <w:rsid w:val="4B9E1324"/>
    <w:rsid w:val="4BBF201F"/>
    <w:rsid w:val="4BC045B9"/>
    <w:rsid w:val="4BE17463"/>
    <w:rsid w:val="4C596AD0"/>
    <w:rsid w:val="4CA26BF2"/>
    <w:rsid w:val="4CEE1E37"/>
    <w:rsid w:val="4D145F92"/>
    <w:rsid w:val="4D330192"/>
    <w:rsid w:val="4D461C73"/>
    <w:rsid w:val="4E092CA1"/>
    <w:rsid w:val="4E111A5A"/>
    <w:rsid w:val="4E4156DB"/>
    <w:rsid w:val="4E93713A"/>
    <w:rsid w:val="4F1456D4"/>
    <w:rsid w:val="4F754A92"/>
    <w:rsid w:val="4F9905AE"/>
    <w:rsid w:val="4FC33F25"/>
    <w:rsid w:val="4FD001C7"/>
    <w:rsid w:val="4FFF6109"/>
    <w:rsid w:val="500B71A4"/>
    <w:rsid w:val="502E60F8"/>
    <w:rsid w:val="50334005"/>
    <w:rsid w:val="50572C95"/>
    <w:rsid w:val="505E4B9C"/>
    <w:rsid w:val="50A30487"/>
    <w:rsid w:val="50DD1804"/>
    <w:rsid w:val="51A52CE0"/>
    <w:rsid w:val="520D262F"/>
    <w:rsid w:val="52195EFA"/>
    <w:rsid w:val="529674E9"/>
    <w:rsid w:val="52B1378F"/>
    <w:rsid w:val="535D3873"/>
    <w:rsid w:val="53876B42"/>
    <w:rsid w:val="54153BAB"/>
    <w:rsid w:val="543E18F6"/>
    <w:rsid w:val="546B1FBF"/>
    <w:rsid w:val="54996B2C"/>
    <w:rsid w:val="54FA7CE1"/>
    <w:rsid w:val="550A7A2A"/>
    <w:rsid w:val="554A7E27"/>
    <w:rsid w:val="555E1B24"/>
    <w:rsid w:val="556A04C9"/>
    <w:rsid w:val="558F102F"/>
    <w:rsid w:val="559E5653"/>
    <w:rsid w:val="55AB3C2F"/>
    <w:rsid w:val="55EC35D4"/>
    <w:rsid w:val="560E52F8"/>
    <w:rsid w:val="561A4621"/>
    <w:rsid w:val="56383CF3"/>
    <w:rsid w:val="56455CD4"/>
    <w:rsid w:val="565C42B5"/>
    <w:rsid w:val="56AE76A6"/>
    <w:rsid w:val="56D4209E"/>
    <w:rsid w:val="56DB2C2D"/>
    <w:rsid w:val="56E4418B"/>
    <w:rsid w:val="57064221"/>
    <w:rsid w:val="5773022F"/>
    <w:rsid w:val="57770C7B"/>
    <w:rsid w:val="57DF277D"/>
    <w:rsid w:val="57E50495"/>
    <w:rsid w:val="580A1AEF"/>
    <w:rsid w:val="58776655"/>
    <w:rsid w:val="58B74216"/>
    <w:rsid w:val="58C16652"/>
    <w:rsid w:val="590752B6"/>
    <w:rsid w:val="591F15CA"/>
    <w:rsid w:val="592D0FB2"/>
    <w:rsid w:val="596D67DA"/>
    <w:rsid w:val="59760D08"/>
    <w:rsid w:val="599E6993"/>
    <w:rsid w:val="59A60DC8"/>
    <w:rsid w:val="59AC5554"/>
    <w:rsid w:val="5A564466"/>
    <w:rsid w:val="5A902780"/>
    <w:rsid w:val="5A9F4737"/>
    <w:rsid w:val="5AAE2C06"/>
    <w:rsid w:val="5AE8436A"/>
    <w:rsid w:val="5AF80325"/>
    <w:rsid w:val="5B6339F0"/>
    <w:rsid w:val="5BA20303"/>
    <w:rsid w:val="5BF6561B"/>
    <w:rsid w:val="5BFA4C14"/>
    <w:rsid w:val="5C2A6C04"/>
    <w:rsid w:val="5C3543D2"/>
    <w:rsid w:val="5C406532"/>
    <w:rsid w:val="5C4E69BE"/>
    <w:rsid w:val="5CE36031"/>
    <w:rsid w:val="5CFC5838"/>
    <w:rsid w:val="5DB26EB1"/>
    <w:rsid w:val="5DBA559D"/>
    <w:rsid w:val="5DFE3EA4"/>
    <w:rsid w:val="5E465887"/>
    <w:rsid w:val="5E473A9D"/>
    <w:rsid w:val="5E804CC0"/>
    <w:rsid w:val="5E8425FB"/>
    <w:rsid w:val="5EE50BC0"/>
    <w:rsid w:val="5F0664A4"/>
    <w:rsid w:val="5F181B76"/>
    <w:rsid w:val="5F463D55"/>
    <w:rsid w:val="5FD4389C"/>
    <w:rsid w:val="5FEC48FC"/>
    <w:rsid w:val="6013374F"/>
    <w:rsid w:val="60B116A2"/>
    <w:rsid w:val="60B42F40"/>
    <w:rsid w:val="60B7767B"/>
    <w:rsid w:val="60CC348A"/>
    <w:rsid w:val="61221DAA"/>
    <w:rsid w:val="61696F59"/>
    <w:rsid w:val="61D672CA"/>
    <w:rsid w:val="61E63AF5"/>
    <w:rsid w:val="626A2DAC"/>
    <w:rsid w:val="62784498"/>
    <w:rsid w:val="62A86D6B"/>
    <w:rsid w:val="63293771"/>
    <w:rsid w:val="637C0DF3"/>
    <w:rsid w:val="637C7D45"/>
    <w:rsid w:val="639808F7"/>
    <w:rsid w:val="64565496"/>
    <w:rsid w:val="645F2960"/>
    <w:rsid w:val="64654C7D"/>
    <w:rsid w:val="646C7950"/>
    <w:rsid w:val="64BD496D"/>
    <w:rsid w:val="64BE25DF"/>
    <w:rsid w:val="64C44758"/>
    <w:rsid w:val="64F93617"/>
    <w:rsid w:val="65246D5E"/>
    <w:rsid w:val="655D3BA6"/>
    <w:rsid w:val="65655387"/>
    <w:rsid w:val="659A6BA8"/>
    <w:rsid w:val="65A50F20"/>
    <w:rsid w:val="65EF58FA"/>
    <w:rsid w:val="65FE7BFD"/>
    <w:rsid w:val="66397220"/>
    <w:rsid w:val="66AF4C3B"/>
    <w:rsid w:val="66EC6F90"/>
    <w:rsid w:val="66F2031E"/>
    <w:rsid w:val="677C3AAE"/>
    <w:rsid w:val="67AA7E58"/>
    <w:rsid w:val="67AB0BF9"/>
    <w:rsid w:val="67E662B3"/>
    <w:rsid w:val="68077DF9"/>
    <w:rsid w:val="680F6F74"/>
    <w:rsid w:val="68382663"/>
    <w:rsid w:val="686314D3"/>
    <w:rsid w:val="6888718C"/>
    <w:rsid w:val="68E5527F"/>
    <w:rsid w:val="69A578CA"/>
    <w:rsid w:val="6A7343B6"/>
    <w:rsid w:val="6AA656A7"/>
    <w:rsid w:val="6AB029CA"/>
    <w:rsid w:val="6AB40090"/>
    <w:rsid w:val="6ADE7537"/>
    <w:rsid w:val="6AE34B4E"/>
    <w:rsid w:val="6B1F6200"/>
    <w:rsid w:val="6B4A3375"/>
    <w:rsid w:val="6B825FC3"/>
    <w:rsid w:val="6B8359E9"/>
    <w:rsid w:val="6B9D0892"/>
    <w:rsid w:val="6C613F7C"/>
    <w:rsid w:val="6C631880"/>
    <w:rsid w:val="6C636C8C"/>
    <w:rsid w:val="6C6D16B4"/>
    <w:rsid w:val="6C806253"/>
    <w:rsid w:val="6CB542C8"/>
    <w:rsid w:val="6CD74FCF"/>
    <w:rsid w:val="6CF748E0"/>
    <w:rsid w:val="6D15191A"/>
    <w:rsid w:val="6D52620C"/>
    <w:rsid w:val="6D7D3037"/>
    <w:rsid w:val="6D8E14DE"/>
    <w:rsid w:val="6D934609"/>
    <w:rsid w:val="6DAE50AD"/>
    <w:rsid w:val="6DD624F7"/>
    <w:rsid w:val="6DDA2238"/>
    <w:rsid w:val="6E0E1EE1"/>
    <w:rsid w:val="6E5A21EA"/>
    <w:rsid w:val="6EB8009F"/>
    <w:rsid w:val="6EC72090"/>
    <w:rsid w:val="6F0A3093"/>
    <w:rsid w:val="6F834B73"/>
    <w:rsid w:val="6F857F81"/>
    <w:rsid w:val="6F883155"/>
    <w:rsid w:val="6FC6124D"/>
    <w:rsid w:val="6FC62348"/>
    <w:rsid w:val="6FE10E18"/>
    <w:rsid w:val="6FEC14A9"/>
    <w:rsid w:val="6FEC6252"/>
    <w:rsid w:val="702E23C7"/>
    <w:rsid w:val="70A15EF2"/>
    <w:rsid w:val="70C96037"/>
    <w:rsid w:val="70CB230C"/>
    <w:rsid w:val="71B752F6"/>
    <w:rsid w:val="721E46BD"/>
    <w:rsid w:val="72271FEC"/>
    <w:rsid w:val="722E41C4"/>
    <w:rsid w:val="72655E48"/>
    <w:rsid w:val="72712F6C"/>
    <w:rsid w:val="72824C4C"/>
    <w:rsid w:val="728A3B01"/>
    <w:rsid w:val="729D4E7D"/>
    <w:rsid w:val="72D93738"/>
    <w:rsid w:val="73434202"/>
    <w:rsid w:val="734819F2"/>
    <w:rsid w:val="735B7378"/>
    <w:rsid w:val="737A608E"/>
    <w:rsid w:val="73A806E2"/>
    <w:rsid w:val="73BC418E"/>
    <w:rsid w:val="741D2E7E"/>
    <w:rsid w:val="744B56A6"/>
    <w:rsid w:val="74A16CBA"/>
    <w:rsid w:val="74CB28DA"/>
    <w:rsid w:val="74D53759"/>
    <w:rsid w:val="74F33BDF"/>
    <w:rsid w:val="750556C0"/>
    <w:rsid w:val="752B5D11"/>
    <w:rsid w:val="752C70F1"/>
    <w:rsid w:val="75387844"/>
    <w:rsid w:val="753903C8"/>
    <w:rsid w:val="75CC2E8E"/>
    <w:rsid w:val="75DC4AB5"/>
    <w:rsid w:val="75EF406B"/>
    <w:rsid w:val="76391AC6"/>
    <w:rsid w:val="765B7C8E"/>
    <w:rsid w:val="76707B96"/>
    <w:rsid w:val="76726D86"/>
    <w:rsid w:val="768D36C7"/>
    <w:rsid w:val="76C3504D"/>
    <w:rsid w:val="7702703F"/>
    <w:rsid w:val="770422FE"/>
    <w:rsid w:val="7746449A"/>
    <w:rsid w:val="775546DD"/>
    <w:rsid w:val="778C3E77"/>
    <w:rsid w:val="7796215A"/>
    <w:rsid w:val="77B635DF"/>
    <w:rsid w:val="77E31CE9"/>
    <w:rsid w:val="78376C25"/>
    <w:rsid w:val="785B7ACE"/>
    <w:rsid w:val="78746DE5"/>
    <w:rsid w:val="789932F4"/>
    <w:rsid w:val="78A72AF0"/>
    <w:rsid w:val="78A8319C"/>
    <w:rsid w:val="790F6B0E"/>
    <w:rsid w:val="79134850"/>
    <w:rsid w:val="79200163"/>
    <w:rsid w:val="79261AEA"/>
    <w:rsid w:val="7956473D"/>
    <w:rsid w:val="798661F3"/>
    <w:rsid w:val="799314ED"/>
    <w:rsid w:val="79DC4F1F"/>
    <w:rsid w:val="79EE2C15"/>
    <w:rsid w:val="7A6C7707"/>
    <w:rsid w:val="7A7206F1"/>
    <w:rsid w:val="7AA46F38"/>
    <w:rsid w:val="7B467F1D"/>
    <w:rsid w:val="7BA7772C"/>
    <w:rsid w:val="7BB12A63"/>
    <w:rsid w:val="7C0924C9"/>
    <w:rsid w:val="7C507B69"/>
    <w:rsid w:val="7C711A95"/>
    <w:rsid w:val="7C8D4919"/>
    <w:rsid w:val="7CBA4FE2"/>
    <w:rsid w:val="7CD24A22"/>
    <w:rsid w:val="7D121F1E"/>
    <w:rsid w:val="7D2F777E"/>
    <w:rsid w:val="7D5660EF"/>
    <w:rsid w:val="7D574D28"/>
    <w:rsid w:val="7D5F0561"/>
    <w:rsid w:val="7D60202E"/>
    <w:rsid w:val="7D6458CE"/>
    <w:rsid w:val="7D8555F0"/>
    <w:rsid w:val="7D916095"/>
    <w:rsid w:val="7DB14637"/>
    <w:rsid w:val="7DC51E91"/>
    <w:rsid w:val="7E141A72"/>
    <w:rsid w:val="7E703977"/>
    <w:rsid w:val="7E963DC6"/>
    <w:rsid w:val="7EF02F3D"/>
    <w:rsid w:val="7F1B1599"/>
    <w:rsid w:val="7F5F65D1"/>
    <w:rsid w:val="7F606315"/>
    <w:rsid w:val="7F6210EB"/>
    <w:rsid w:val="7F8B73C1"/>
    <w:rsid w:val="7F961D37"/>
    <w:rsid w:val="7FAC3308"/>
    <w:rsid w:val="7FE87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0"/>
    <w:pPr>
      <w:keepNext/>
      <w:keepLines/>
      <w:spacing w:before="340" w:afterLines="25" w:line="578" w:lineRule="auto"/>
      <w:outlineLvl w:val="0"/>
    </w:pPr>
    <w:rPr>
      <w:rFonts w:ascii="Arial" w:hAnsi="Arial" w:eastAsia="宋体" w:cs="Times New Roman"/>
      <w:b/>
      <w:bCs/>
      <w:kern w:val="44"/>
      <w:sz w:val="44"/>
      <w:szCs w:val="44"/>
    </w:rPr>
  </w:style>
  <w:style w:type="paragraph" w:styleId="4">
    <w:name w:val="heading 2"/>
    <w:basedOn w:val="5"/>
    <w:next w:val="6"/>
    <w:link w:val="35"/>
    <w:semiHidden/>
    <w:unhideWhenUsed/>
    <w:qFormat/>
    <w:uiPriority w:val="9"/>
    <w:pPr>
      <w:spacing w:line="416" w:lineRule="auto"/>
      <w:outlineLvl w:val="1"/>
    </w:pPr>
    <w:rPr>
      <w:rFonts w:asciiTheme="majorHAnsi" w:hAnsiTheme="majorHAnsi" w:eastAsiaTheme="majorEastAsia" w:cstheme="majorBidi"/>
      <w:sz w:val="32"/>
    </w:rPr>
  </w:style>
  <w:style w:type="paragraph" w:styleId="5">
    <w:name w:val="heading 3"/>
    <w:basedOn w:val="6"/>
    <w:next w:val="1"/>
    <w:qFormat/>
    <w:uiPriority w:val="9"/>
    <w:pPr>
      <w:spacing w:before="260" w:after="260" w:line="240" w:lineRule="auto"/>
      <w:outlineLvl w:val="2"/>
    </w:pPr>
    <w:rPr>
      <w:rFonts w:ascii="宋体" w:hAnsi="宋体" w:eastAsia="宋体"/>
      <w:szCs w:val="32"/>
    </w:rPr>
  </w:style>
  <w:style w:type="paragraph" w:styleId="6">
    <w:name w:val="heading 4"/>
    <w:basedOn w:val="1"/>
    <w:next w:val="1"/>
    <w:qFormat/>
    <w:uiPriority w:val="9"/>
    <w:pPr>
      <w:keepNext/>
      <w:keepLines/>
      <w:spacing w:before="280" w:after="290" w:line="376" w:lineRule="auto"/>
      <w:outlineLvl w:val="3"/>
    </w:pPr>
    <w:rPr>
      <w:rFonts w:ascii="Arial" w:hAnsi="Arial" w:eastAsia="黑体"/>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7">
    <w:name w:val="Normal Indent"/>
    <w:basedOn w:val="1"/>
    <w:qFormat/>
    <w:uiPriority w:val="0"/>
    <w:pPr>
      <w:ind w:firstLine="420"/>
    </w:pPr>
    <w:rPr>
      <w:szCs w:val="20"/>
    </w:rPr>
  </w:style>
  <w:style w:type="paragraph" w:styleId="8">
    <w:name w:val="Document Map"/>
    <w:basedOn w:val="1"/>
    <w:link w:val="34"/>
    <w:semiHidden/>
    <w:unhideWhenUsed/>
    <w:qFormat/>
    <w:uiPriority w:val="99"/>
    <w:rPr>
      <w:rFonts w:ascii="宋体" w:eastAsia="宋体"/>
      <w:sz w:val="18"/>
      <w:szCs w:val="18"/>
    </w:rPr>
  </w:style>
  <w:style w:type="paragraph" w:styleId="9">
    <w:name w:val="annotation text"/>
    <w:basedOn w:val="1"/>
    <w:link w:val="36"/>
    <w:unhideWhenUsed/>
    <w:qFormat/>
    <w:uiPriority w:val="99"/>
    <w:pPr>
      <w:jc w:val="left"/>
    </w:pPr>
  </w:style>
  <w:style w:type="paragraph" w:styleId="10">
    <w:name w:val="Body Text"/>
    <w:basedOn w:val="1"/>
    <w:next w:val="1"/>
    <w:qFormat/>
    <w:uiPriority w:val="0"/>
    <w:pPr>
      <w:spacing w:line="360" w:lineRule="auto"/>
    </w:pPr>
    <w:rPr>
      <w:b/>
      <w:bCs/>
      <w:sz w:val="24"/>
    </w:rPr>
  </w:style>
  <w:style w:type="paragraph" w:styleId="11">
    <w:name w:val="Balloon Text"/>
    <w:basedOn w:val="1"/>
    <w:link w:val="30"/>
    <w:semiHidden/>
    <w:unhideWhenUsed/>
    <w:qFormat/>
    <w:uiPriority w:val="99"/>
    <w:rPr>
      <w:sz w:val="18"/>
      <w:szCs w:val="18"/>
    </w:rPr>
  </w:style>
  <w:style w:type="paragraph" w:styleId="12">
    <w:name w:val="footer"/>
    <w:basedOn w:val="1"/>
    <w:link w:val="29"/>
    <w:unhideWhenUsed/>
    <w:qFormat/>
    <w:uiPriority w:val="99"/>
    <w:pPr>
      <w:tabs>
        <w:tab w:val="center" w:pos="4153"/>
        <w:tab w:val="right" w:pos="8306"/>
      </w:tabs>
      <w:snapToGrid w:val="0"/>
      <w:jc w:val="left"/>
    </w:pPr>
    <w:rPr>
      <w:sz w:val="18"/>
      <w:szCs w:val="18"/>
    </w:rPr>
  </w:style>
  <w:style w:type="paragraph" w:styleId="13">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line="360" w:lineRule="auto"/>
    </w:pPr>
    <w:rPr>
      <w:sz w:val="24"/>
    </w:rPr>
  </w:style>
  <w:style w:type="paragraph" w:styleId="15">
    <w:name w:val="Normal (Web)"/>
    <w:basedOn w:val="1"/>
    <w:link w:val="31"/>
    <w:qFormat/>
    <w:uiPriority w:val="99"/>
    <w:pPr>
      <w:widowControl/>
      <w:spacing w:before="100" w:beforeAutospacing="1" w:afterAutospacing="1"/>
      <w:jc w:val="left"/>
    </w:pPr>
    <w:rPr>
      <w:rFonts w:ascii="宋体" w:hAnsi="宋体"/>
      <w:sz w:val="24"/>
      <w:szCs w:val="24"/>
    </w:rPr>
  </w:style>
  <w:style w:type="paragraph" w:styleId="16">
    <w:name w:val="Title"/>
    <w:basedOn w:val="1"/>
    <w:next w:val="1"/>
    <w:qFormat/>
    <w:uiPriority w:val="0"/>
    <w:pPr>
      <w:spacing w:before="240" w:after="60"/>
      <w:jc w:val="center"/>
      <w:outlineLvl w:val="0"/>
    </w:pPr>
    <w:rPr>
      <w:rFonts w:ascii="Arial" w:hAnsi="Arial" w:eastAsia="隶书" w:cs="Arial"/>
      <w:b/>
      <w:bCs/>
      <w:sz w:val="32"/>
      <w:szCs w:val="32"/>
    </w:rPr>
  </w:style>
  <w:style w:type="paragraph" w:styleId="17">
    <w:name w:val="annotation subject"/>
    <w:basedOn w:val="9"/>
    <w:next w:val="9"/>
    <w:link w:val="38"/>
    <w:semiHidden/>
    <w:unhideWhenUsed/>
    <w:qFormat/>
    <w:uiPriority w:val="99"/>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qFormat/>
    <w:uiPriority w:val="0"/>
    <w:rPr>
      <w:b/>
      <w:bCs/>
    </w:rPr>
  </w:style>
  <w:style w:type="character" w:styleId="22">
    <w:name w:val="page number"/>
    <w:basedOn w:val="20"/>
    <w:qFormat/>
    <w:uiPriority w:val="0"/>
  </w:style>
  <w:style w:type="character" w:styleId="23">
    <w:name w:val="FollowedHyperlink"/>
    <w:basedOn w:val="20"/>
    <w:semiHidden/>
    <w:unhideWhenUsed/>
    <w:qFormat/>
    <w:uiPriority w:val="99"/>
    <w:rPr>
      <w:color w:val="800080" w:themeColor="followedHyperlink"/>
      <w:u w:val="single"/>
      <w14:textFill>
        <w14:solidFill>
          <w14:schemeClr w14:val="folHlink"/>
        </w14:solidFill>
      </w14:textFill>
    </w:rPr>
  </w:style>
  <w:style w:type="character" w:styleId="24">
    <w:name w:val="Hyperlink"/>
    <w:basedOn w:val="20"/>
    <w:unhideWhenUsed/>
    <w:qFormat/>
    <w:uiPriority w:val="99"/>
    <w:rPr>
      <w:color w:val="0000FF" w:themeColor="hyperlink"/>
      <w:u w:val="single"/>
      <w14:textFill>
        <w14:solidFill>
          <w14:schemeClr w14:val="hlink"/>
        </w14:solidFill>
      </w14:textFill>
    </w:rPr>
  </w:style>
  <w:style w:type="character" w:styleId="25">
    <w:name w:val="annotation reference"/>
    <w:basedOn w:val="20"/>
    <w:semiHidden/>
    <w:unhideWhenUsed/>
    <w:qFormat/>
    <w:uiPriority w:val="99"/>
    <w:rPr>
      <w:sz w:val="21"/>
      <w:szCs w:val="21"/>
    </w:rPr>
  </w:style>
  <w:style w:type="paragraph" w:customStyle="1" w:styleId="26">
    <w:name w:val="正文内容格式"/>
    <w:basedOn w:val="1"/>
    <w:qFormat/>
    <w:uiPriority w:val="0"/>
    <w:pPr>
      <w:widowControl/>
      <w:ind w:firstLine="482"/>
      <w:textAlignment w:val="baseline"/>
    </w:pPr>
    <w:rPr>
      <w:rFonts w:eastAsia="仿宋_GB2312"/>
      <w:kern w:val="0"/>
      <w:sz w:val="28"/>
    </w:rPr>
  </w:style>
  <w:style w:type="paragraph" w:styleId="27">
    <w:name w:val="Quote"/>
    <w:next w:val="1"/>
    <w:qFormat/>
    <w:uiPriority w:val="29"/>
    <w:pPr>
      <w:widowControl w:val="0"/>
      <w:jc w:val="both"/>
    </w:pPr>
    <w:rPr>
      <w:rFonts w:ascii="Calibri" w:hAnsi="Calibri" w:cs="Calibri" w:eastAsiaTheme="minorEastAsia"/>
      <w:i/>
      <w:iCs/>
      <w:color w:val="000000"/>
      <w:kern w:val="2"/>
      <w:sz w:val="22"/>
      <w:szCs w:val="22"/>
      <w:lang w:val="en-US" w:eastAsia="zh-CN" w:bidi="ar-SA"/>
    </w:rPr>
  </w:style>
  <w:style w:type="character" w:customStyle="1" w:styleId="28">
    <w:name w:val="页眉 字符"/>
    <w:basedOn w:val="20"/>
    <w:link w:val="13"/>
    <w:qFormat/>
    <w:uiPriority w:val="99"/>
    <w:rPr>
      <w:sz w:val="18"/>
      <w:szCs w:val="18"/>
    </w:rPr>
  </w:style>
  <w:style w:type="character" w:customStyle="1" w:styleId="29">
    <w:name w:val="页脚 字符"/>
    <w:basedOn w:val="20"/>
    <w:link w:val="12"/>
    <w:qFormat/>
    <w:uiPriority w:val="99"/>
    <w:rPr>
      <w:sz w:val="18"/>
      <w:szCs w:val="18"/>
    </w:rPr>
  </w:style>
  <w:style w:type="character" w:customStyle="1" w:styleId="30">
    <w:name w:val="批注框文本 字符"/>
    <w:basedOn w:val="20"/>
    <w:link w:val="11"/>
    <w:semiHidden/>
    <w:qFormat/>
    <w:uiPriority w:val="99"/>
    <w:rPr>
      <w:sz w:val="18"/>
      <w:szCs w:val="18"/>
    </w:rPr>
  </w:style>
  <w:style w:type="character" w:customStyle="1" w:styleId="31">
    <w:name w:val="普通(网站) 字符"/>
    <w:link w:val="15"/>
    <w:qFormat/>
    <w:uiPriority w:val="99"/>
    <w:rPr>
      <w:rFonts w:ascii="宋体" w:hAnsi="宋体"/>
      <w:sz w:val="24"/>
      <w:szCs w:val="24"/>
    </w:rPr>
  </w:style>
  <w:style w:type="character" w:customStyle="1" w:styleId="32">
    <w:name w:val="标题 1 字符"/>
    <w:basedOn w:val="20"/>
    <w:link w:val="3"/>
    <w:qFormat/>
    <w:uiPriority w:val="0"/>
    <w:rPr>
      <w:rFonts w:ascii="Arial" w:hAnsi="Arial" w:eastAsia="宋体" w:cs="Times New Roman"/>
      <w:b/>
      <w:bCs/>
      <w:kern w:val="44"/>
      <w:sz w:val="44"/>
      <w:szCs w:val="44"/>
    </w:rPr>
  </w:style>
  <w:style w:type="paragraph" w:styleId="33">
    <w:name w:val="List Paragraph"/>
    <w:basedOn w:val="1"/>
    <w:qFormat/>
    <w:uiPriority w:val="34"/>
    <w:pPr>
      <w:ind w:firstLine="420" w:firstLineChars="200"/>
    </w:pPr>
  </w:style>
  <w:style w:type="character" w:customStyle="1" w:styleId="34">
    <w:name w:val="文档结构图 字符"/>
    <w:basedOn w:val="20"/>
    <w:link w:val="8"/>
    <w:semiHidden/>
    <w:qFormat/>
    <w:uiPriority w:val="99"/>
    <w:rPr>
      <w:rFonts w:ascii="宋体" w:eastAsia="宋体"/>
      <w:sz w:val="18"/>
      <w:szCs w:val="18"/>
    </w:rPr>
  </w:style>
  <w:style w:type="character" w:customStyle="1" w:styleId="35">
    <w:name w:val="标题 2 字符"/>
    <w:basedOn w:val="20"/>
    <w:link w:val="4"/>
    <w:semiHidden/>
    <w:qFormat/>
    <w:uiPriority w:val="9"/>
    <w:rPr>
      <w:rFonts w:asciiTheme="majorHAnsi" w:hAnsiTheme="majorHAnsi" w:eastAsiaTheme="majorEastAsia" w:cstheme="majorBidi"/>
      <w:b/>
      <w:bCs/>
      <w:sz w:val="32"/>
      <w:szCs w:val="32"/>
    </w:rPr>
  </w:style>
  <w:style w:type="character" w:customStyle="1" w:styleId="36">
    <w:name w:val="批注文字 字符"/>
    <w:basedOn w:val="20"/>
    <w:link w:val="9"/>
    <w:qFormat/>
    <w:uiPriority w:val="99"/>
  </w:style>
  <w:style w:type="character" w:customStyle="1" w:styleId="37">
    <w:name w:val="标题 3 Char"/>
    <w:qFormat/>
    <w:uiPriority w:val="0"/>
    <w:rPr>
      <w:rFonts w:ascii="黑体" w:eastAsia="黑体"/>
      <w:bCs/>
      <w:sz w:val="30"/>
    </w:rPr>
  </w:style>
  <w:style w:type="character" w:customStyle="1" w:styleId="38">
    <w:name w:val="批注主题 字符"/>
    <w:basedOn w:val="36"/>
    <w:link w:val="17"/>
    <w:semiHidden/>
    <w:qFormat/>
    <w:uiPriority w:val="99"/>
    <w:rPr>
      <w:b/>
      <w:bCs/>
    </w:rPr>
  </w:style>
  <w:style w:type="table" w:customStyle="1" w:styleId="39">
    <w:name w:val="网格型1"/>
    <w:basedOn w:val="18"/>
    <w:qFormat/>
    <w:uiPriority w:val="39"/>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0">
    <w:name w:val="Table Paragraph"/>
    <w:qFormat/>
    <w:uiPriority w:val="1"/>
    <w:pPr>
      <w:widowControl w:val="0"/>
      <w:jc w:val="both"/>
    </w:pPr>
    <w:rPr>
      <w:rFonts w:ascii="宋体" w:hAnsi="宋体" w:eastAsia="宋体" w:cs="宋体"/>
      <w:kern w:val="2"/>
      <w:sz w:val="21"/>
      <w:szCs w:val="24"/>
      <w:lang w:val="zh-CN" w:eastAsia="zh-CN" w:bidi="zh-CN"/>
    </w:rPr>
  </w:style>
  <w:style w:type="paragraph" w:customStyle="1" w:styleId="41">
    <w:name w:val="Normal_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修订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3">
    <w:name w:val="修订2"/>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4">
    <w:name w:val="修订3"/>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45">
    <w:name w:val="font21"/>
    <w:basedOn w:val="20"/>
    <w:qFormat/>
    <w:uiPriority w:val="0"/>
    <w:rPr>
      <w:rFonts w:hint="eastAsia" w:ascii="宋体" w:hAnsi="宋体" w:eastAsia="宋体" w:cs="宋体"/>
      <w:color w:val="000000"/>
      <w:sz w:val="22"/>
      <w:szCs w:val="22"/>
      <w:u w:val="none"/>
    </w:rPr>
  </w:style>
  <w:style w:type="character" w:customStyle="1" w:styleId="46">
    <w:name w:val="font31"/>
    <w:basedOn w:val="20"/>
    <w:qFormat/>
    <w:uiPriority w:val="0"/>
    <w:rPr>
      <w:rFonts w:hint="eastAsia" w:ascii="宋体" w:hAnsi="宋体" w:eastAsia="宋体" w:cs="宋体"/>
      <w:color w:val="000000"/>
      <w:sz w:val="22"/>
      <w:szCs w:val="22"/>
      <w:u w:val="none"/>
    </w:rPr>
  </w:style>
  <w:style w:type="character" w:customStyle="1" w:styleId="47">
    <w:name w:val="font51"/>
    <w:basedOn w:val="20"/>
    <w:qFormat/>
    <w:uiPriority w:val="0"/>
    <w:rPr>
      <w:rFonts w:hint="eastAsia" w:ascii="宋体" w:hAnsi="宋体" w:eastAsia="宋体" w:cs="宋体"/>
      <w:color w:val="000000"/>
      <w:sz w:val="21"/>
      <w:szCs w:val="21"/>
      <w:u w:val="none"/>
    </w:rPr>
  </w:style>
  <w:style w:type="character" w:customStyle="1" w:styleId="48">
    <w:name w:val="font61"/>
    <w:basedOn w:val="20"/>
    <w:qFormat/>
    <w:uiPriority w:val="0"/>
    <w:rPr>
      <w:rFonts w:hint="default" w:ascii="Times New Roman" w:hAnsi="Times New Roman" w:cs="Times New Roman"/>
      <w:color w:val="000000"/>
      <w:sz w:val="21"/>
      <w:szCs w:val="21"/>
      <w:u w:val="none"/>
    </w:rPr>
  </w:style>
  <w:style w:type="paragraph" w:customStyle="1" w:styleId="49">
    <w:name w:val="pf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50">
    <w:name w:val="font41"/>
    <w:qFormat/>
    <w:uiPriority w:val="0"/>
    <w:rPr>
      <w:rFonts w:hint="eastAsia" w:ascii="宋体" w:hAnsi="宋体" w:eastAsia="宋体"/>
      <w:color w:val="000000"/>
      <w:kern w:val="2"/>
      <w:sz w:val="18"/>
      <w:u w:val="none"/>
    </w:rPr>
  </w:style>
  <w:style w:type="paragraph" w:styleId="51">
    <w:name w:val="No Spacing"/>
    <w:qFormat/>
    <w:uiPriority w:val="1"/>
    <w:pPr>
      <w:widowControl w:val="0"/>
      <w:jc w:val="both"/>
    </w:pPr>
    <w:rPr>
      <w:rFonts w:ascii="Calibri" w:hAnsi="Calibri" w:eastAsia="宋体" w:cs="Times New Roman"/>
      <w:kern w:val="2"/>
      <w:sz w:val="21"/>
      <w:szCs w:val="22"/>
      <w:lang w:val="en-US" w:eastAsia="zh-CN" w:bidi="ar-SA"/>
    </w:rPr>
  </w:style>
  <w:style w:type="character" w:customStyle="1" w:styleId="52">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80</Pages>
  <Words>64869</Words>
  <Characters>69765</Characters>
  <Lines>470</Lines>
  <Paragraphs>132</Paragraphs>
  <TotalTime>0</TotalTime>
  <ScaleCrop>false</ScaleCrop>
  <LinksUpToDate>false</LinksUpToDate>
  <CharactersWithSpaces>73556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2024-07-18T08:53:00Z</dcterms:created>
  <dc:creator>win7-1</dc:creator>
  <cp:lastModifiedBy>DELL</cp:lastModifiedBy>
  <cp:lastPrinted>2021-01-15T01:17:00Z</cp:lastPrinted>
  <dcterms:modified xsi:type="dcterms:W3CDTF">2025-04-01T06:49:06Z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76B82E144768413DB6478A3E93F5B61B_13</vt:lpwstr>
  </property>
</Properties>
</file>