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ADB2C">
      <w:pPr>
        <w:pStyle w:val="13"/>
        <w:widowControl/>
        <w:numPr>
          <w:ilvl w:val="0"/>
          <w:numId w:val="1"/>
        </w:numPr>
        <w:spacing w:line="360" w:lineRule="auto"/>
        <w:jc w:val="left"/>
        <w:rPr>
          <w:rFonts w:ascii="仿宋_GB2312" w:hAnsi="仿宋_GB2312" w:eastAsia="仿宋_GB2312" w:cs="仿宋_GB2312"/>
          <w:b/>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项目基本情况</w:t>
      </w:r>
    </w:p>
    <w:p w14:paraId="7D554372">
      <w:pPr>
        <w:pStyle w:val="13"/>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项目名称：</w:t>
      </w:r>
      <w:r>
        <w:rPr>
          <w:rFonts w:hint="eastAsia" w:ascii="仿宋_GB2312" w:hAnsi="仿宋_GB2312" w:eastAsia="仿宋_GB2312" w:cs="仿宋_GB2312"/>
          <w:kern w:val="0"/>
          <w:sz w:val="28"/>
          <w:szCs w:val="28"/>
          <w:highlight w:val="none"/>
          <w:lang w:val="en-US" w:eastAsia="zh-CN"/>
        </w:rPr>
        <w:t>医用冰箱</w:t>
      </w:r>
    </w:p>
    <w:p w14:paraId="79F70A87">
      <w:pPr>
        <w:pStyle w:val="13"/>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项目预算：</w:t>
      </w:r>
      <w:r>
        <w:rPr>
          <w:rFonts w:hint="eastAsia" w:ascii="仿宋_GB2312" w:hAnsi="仿宋_GB2312" w:eastAsia="仿宋_GB2312" w:cs="仿宋_GB2312"/>
          <w:kern w:val="0"/>
          <w:sz w:val="28"/>
          <w:szCs w:val="28"/>
          <w:highlight w:val="none"/>
          <w:lang w:val="en-US" w:eastAsia="zh-CN"/>
        </w:rPr>
        <w:t>医用低温箱1台7.45万元、</w:t>
      </w:r>
      <w:r>
        <w:rPr>
          <w:rFonts w:hint="eastAsia" w:ascii="仿宋_GB2312" w:hAnsi="仿宋_GB2312" w:eastAsia="仿宋_GB2312" w:cs="仿宋_GB2312"/>
          <w:kern w:val="0"/>
          <w:sz w:val="28"/>
          <w:szCs w:val="28"/>
          <w:highlight w:val="none"/>
        </w:rPr>
        <w:t>医用冷藏箱2台1.64万元、医用冷藏保存箱1.8万元、</w:t>
      </w:r>
      <w:bookmarkStart w:id="0" w:name="OLE_LINK20"/>
      <w:bookmarkStart w:id="1" w:name="OLE_LINK21"/>
      <w:r>
        <w:rPr>
          <w:rFonts w:hint="eastAsia" w:ascii="仿宋_GB2312" w:hAnsi="仿宋_GB2312" w:eastAsia="仿宋_GB2312" w:cs="仿宋_GB2312"/>
          <w:kern w:val="0"/>
          <w:sz w:val="28"/>
          <w:szCs w:val="28"/>
          <w:highlight w:val="none"/>
        </w:rPr>
        <w:t>医用冷藏冷冻冰箱</w:t>
      </w:r>
      <w:bookmarkEnd w:id="0"/>
      <w:bookmarkEnd w:id="1"/>
      <w:r>
        <w:rPr>
          <w:rFonts w:hint="eastAsia" w:ascii="仿宋_GB2312" w:hAnsi="仿宋_GB2312" w:eastAsia="仿宋_GB2312" w:cs="仿宋_GB2312"/>
          <w:kern w:val="0"/>
          <w:sz w:val="28"/>
          <w:szCs w:val="28"/>
          <w:highlight w:val="none"/>
        </w:rPr>
        <w:t>1.97万元</w:t>
      </w:r>
    </w:p>
    <w:p w14:paraId="17256FBD">
      <w:pPr>
        <w:pStyle w:val="13"/>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项目报价类型：总价</w:t>
      </w:r>
    </w:p>
    <w:p w14:paraId="31B521AD">
      <w:pPr>
        <w:pStyle w:val="13"/>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资金来源：单位资金</w:t>
      </w:r>
    </w:p>
    <w:p w14:paraId="5B4EC107">
      <w:pPr>
        <w:pStyle w:val="13"/>
        <w:widowControl/>
        <w:numPr>
          <w:ilvl w:val="0"/>
          <w:numId w:val="2"/>
        </w:numPr>
        <w:spacing w:line="360" w:lineRule="auto"/>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采购类别：货物</w:t>
      </w:r>
    </w:p>
    <w:p w14:paraId="25A02EEB">
      <w:pPr>
        <w:pStyle w:val="13"/>
        <w:widowControl/>
        <w:numPr>
          <w:ilvl w:val="0"/>
          <w:numId w:val="1"/>
        </w:numPr>
        <w:spacing w:line="360" w:lineRule="auto"/>
        <w:jc w:val="left"/>
        <w:rPr>
          <w:rFonts w:ascii="仿宋_GB2312" w:hAnsi="仿宋_GB2312" w:eastAsia="仿宋_GB2312" w:cs="仿宋_GB2312"/>
          <w:sz w:val="28"/>
          <w:szCs w:val="28"/>
          <w:highlight w:val="none"/>
          <w:u w:val="single"/>
        </w:rPr>
      </w:pPr>
      <w:r>
        <w:rPr>
          <w:rFonts w:hint="eastAsia" w:ascii="仿宋_GB2312" w:hAnsi="仿宋_GB2312" w:eastAsia="仿宋_GB2312" w:cs="仿宋_GB2312"/>
          <w:b/>
          <w:color w:val="000000" w:themeColor="text1"/>
          <w:kern w:val="0"/>
          <w:sz w:val="28"/>
          <w:szCs w:val="28"/>
          <w:highlight w:val="none"/>
          <w14:textFill>
            <w14:solidFill>
              <w14:schemeClr w14:val="tx1"/>
            </w14:solidFill>
          </w14:textFill>
        </w:rPr>
        <w:t>项目采购需求：</w:t>
      </w:r>
    </w:p>
    <w:p w14:paraId="69093378">
      <w:pPr>
        <w:pStyle w:val="13"/>
        <w:widowControl/>
        <w:numPr>
          <w:ilvl w:val="0"/>
          <w:numId w:val="3"/>
        </w:numPr>
        <w:spacing w:line="360" w:lineRule="auto"/>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采购项目需实现的功能和目标：实现检验试剂和标本按规定温度保存。</w:t>
      </w:r>
    </w:p>
    <w:p w14:paraId="0235AB57">
      <w:pPr>
        <w:widowControl/>
        <w:spacing w:line="360" w:lineRule="auto"/>
        <w:ind w:left="284"/>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（二）项目属性：</w:t>
      </w:r>
    </w:p>
    <w:p w14:paraId="26791FDE">
      <w:pPr>
        <w:numPr>
          <w:ilvl w:val="0"/>
          <w:numId w:val="4"/>
        </w:numPr>
        <w:spacing w:line="36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是否适宜由中小企业提供，并专门面向中小企业采购 </w:t>
      </w:r>
    </w:p>
    <w:p w14:paraId="370242FD">
      <w:pPr>
        <w:numPr>
          <w:ilvl w:val="0"/>
          <w:numId w:val="5"/>
        </w:numPr>
        <w:spacing w:line="360" w:lineRule="auto"/>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□是         □是否仅面向小微企业</w:t>
      </w:r>
    </w:p>
    <w:p w14:paraId="739A2955">
      <w:pPr>
        <w:numPr>
          <w:ilvl w:val="0"/>
          <w:numId w:val="5"/>
        </w:numPr>
        <w:spacing w:line="360" w:lineRule="auto"/>
        <w:rPr>
          <w:rFonts w:ascii="仿宋" w:hAnsi="仿宋" w:eastAsia="仿宋"/>
          <w:sz w:val="28"/>
          <w:szCs w:val="28"/>
          <w:highlight w:val="none"/>
          <w:u w:val="single"/>
        </w:rPr>
      </w:pPr>
      <w:r>
        <w:rPr>
          <w:rFonts w:hint="eastAsia" w:ascii="仿宋_GB2312" w:hAnsi="仿宋_GB2312" w:eastAsia="仿宋_GB2312" w:cs="仿宋_GB2312"/>
          <w:sz w:val="28"/>
          <w:szCs w:val="28"/>
          <w:highlight w:val="none"/>
        </w:rPr>
        <w:t>☑否，原因说明：</w:t>
      </w:r>
      <w:r>
        <w:rPr>
          <w:rFonts w:hint="eastAsia" w:ascii="仿宋" w:hAnsi="仿宋" w:eastAsia="仿宋"/>
          <w:sz w:val="28"/>
          <w:szCs w:val="28"/>
          <w:highlight w:val="none"/>
          <w:u w:val="single"/>
        </w:rPr>
        <w:t>按照办法规定预留采购份额无法确保充分供应、充分竞争，或者存在可能影响政府采购目标实现的情形。</w:t>
      </w:r>
    </w:p>
    <w:p w14:paraId="4EE6CFD9">
      <w:pPr>
        <w:numPr>
          <w:ilvl w:val="0"/>
          <w:numId w:val="6"/>
        </w:numPr>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是否接受联合体投标</w:t>
      </w:r>
      <w:r>
        <w:rPr>
          <w:rFonts w:hint="eastAsia" w:ascii="仿宋_GB2312" w:hAnsi="仿宋_GB2312" w:eastAsia="仿宋_GB2312" w:cs="仿宋_GB2312"/>
          <w:sz w:val="28"/>
          <w:szCs w:val="28"/>
          <w:highlight w:val="none"/>
        </w:rPr>
        <w:t>：  □是    ☑否</w:t>
      </w:r>
    </w:p>
    <w:p w14:paraId="0711F6DB">
      <w:pPr>
        <w:spacing w:line="360" w:lineRule="auto"/>
        <w:rPr>
          <w:rFonts w:ascii="仿宋_GB2312" w:hAnsi="仿宋_GB2312" w:eastAsia="仿宋_GB2312" w:cs="仿宋_GB2312"/>
          <w:b/>
          <w:bCs/>
          <w:sz w:val="28"/>
          <w:szCs w:val="28"/>
          <w:highlight w:val="none"/>
        </w:rPr>
      </w:pPr>
      <w:r>
        <w:rPr>
          <w:rFonts w:hint="eastAsia" w:ascii="仿宋" w:hAnsi="仿宋" w:eastAsia="仿宋"/>
          <w:b/>
          <w:bCs/>
          <w:sz w:val="32"/>
          <w:szCs w:val="32"/>
          <w:highlight w:val="none"/>
        </w:rPr>
        <w:t>（</w:t>
      </w:r>
      <w:r>
        <w:rPr>
          <w:rFonts w:hint="eastAsia" w:ascii="仿宋_GB2312" w:hAnsi="仿宋_GB2312" w:eastAsia="仿宋_GB2312" w:cs="仿宋_GB2312"/>
          <w:b/>
          <w:bCs/>
          <w:sz w:val="28"/>
          <w:szCs w:val="28"/>
          <w:highlight w:val="none"/>
        </w:rPr>
        <w:t>四）采购标的汇总表：</w:t>
      </w:r>
    </w:p>
    <w:tbl>
      <w:tblPr>
        <w:tblStyle w:val="7"/>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1985"/>
        <w:gridCol w:w="1134"/>
        <w:gridCol w:w="850"/>
        <w:gridCol w:w="1559"/>
        <w:gridCol w:w="1567"/>
      </w:tblGrid>
      <w:tr w14:paraId="7718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2475" w:type="dxa"/>
            <w:shd w:val="clear" w:color="auto" w:fill="FFFFFF"/>
            <w:tcMar>
              <w:top w:w="0" w:type="dxa"/>
              <w:right w:w="0" w:type="dxa"/>
            </w:tcMar>
            <w:vAlign w:val="center"/>
          </w:tcPr>
          <w:p w14:paraId="05D265D8">
            <w:pPr>
              <w:autoSpaceDE w:val="0"/>
              <w:autoSpaceDN w:val="0"/>
              <w:adjustRightInd w:val="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项目</w:t>
            </w:r>
            <w:r>
              <w:rPr>
                <w:rFonts w:hint="eastAsia" w:ascii="仿宋_GB2312" w:hAnsi="仿宋_GB2312" w:eastAsia="仿宋_GB2312" w:cs="仿宋_GB2312"/>
                <w:color w:val="auto"/>
                <w:kern w:val="0"/>
                <w:sz w:val="28"/>
                <w:szCs w:val="28"/>
                <w:highlight w:val="none"/>
              </w:rPr>
              <w:t>名称</w:t>
            </w:r>
          </w:p>
        </w:tc>
        <w:tc>
          <w:tcPr>
            <w:tcW w:w="1985" w:type="dxa"/>
            <w:shd w:val="clear" w:color="auto" w:fill="FFFFFF"/>
            <w:tcMar>
              <w:top w:w="0" w:type="dxa"/>
              <w:right w:w="0" w:type="dxa"/>
            </w:tcMar>
            <w:vAlign w:val="center"/>
          </w:tcPr>
          <w:p w14:paraId="0E63479A">
            <w:pPr>
              <w:autoSpaceDE w:val="0"/>
              <w:autoSpaceDN w:val="0"/>
              <w:adjustRightInd w:val="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品目 （政府采购品目分类目录）</w:t>
            </w:r>
          </w:p>
        </w:tc>
        <w:tc>
          <w:tcPr>
            <w:tcW w:w="1134" w:type="dxa"/>
            <w:shd w:val="clear" w:color="auto" w:fill="FFFFFF"/>
            <w:tcMar>
              <w:top w:w="0" w:type="dxa"/>
              <w:right w:w="0" w:type="dxa"/>
            </w:tcMar>
            <w:vAlign w:val="center"/>
          </w:tcPr>
          <w:p w14:paraId="55583E73">
            <w:pPr>
              <w:autoSpaceDE w:val="0"/>
              <w:autoSpaceDN w:val="0"/>
              <w:adjustRightInd w:val="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计量单位</w:t>
            </w:r>
          </w:p>
        </w:tc>
        <w:tc>
          <w:tcPr>
            <w:tcW w:w="850" w:type="dxa"/>
            <w:shd w:val="clear" w:color="auto" w:fill="FFFFFF"/>
            <w:vAlign w:val="center"/>
          </w:tcPr>
          <w:p w14:paraId="11FE5EF4">
            <w:pPr>
              <w:autoSpaceDE w:val="0"/>
              <w:autoSpaceDN w:val="0"/>
              <w:adjustRightInd w:val="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数量</w:t>
            </w:r>
          </w:p>
        </w:tc>
        <w:tc>
          <w:tcPr>
            <w:tcW w:w="1559" w:type="dxa"/>
            <w:shd w:val="clear" w:color="auto" w:fill="FFFFFF"/>
            <w:vAlign w:val="center"/>
          </w:tcPr>
          <w:p w14:paraId="3A6ADCDD">
            <w:pPr>
              <w:autoSpaceDE w:val="0"/>
              <w:autoSpaceDN w:val="0"/>
              <w:adjustRightInd w:val="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总预算（元）</w:t>
            </w:r>
          </w:p>
        </w:tc>
        <w:tc>
          <w:tcPr>
            <w:tcW w:w="1567" w:type="dxa"/>
            <w:shd w:val="clear" w:color="auto" w:fill="FFFFFF"/>
            <w:tcMar>
              <w:top w:w="0" w:type="dxa"/>
              <w:right w:w="0" w:type="dxa"/>
            </w:tcMar>
            <w:vAlign w:val="center"/>
          </w:tcPr>
          <w:p w14:paraId="41E6B025">
            <w:pPr>
              <w:autoSpaceDE w:val="0"/>
              <w:autoSpaceDN w:val="0"/>
              <w:adjustRightInd w:val="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是否进口      （货物类提供）</w:t>
            </w:r>
          </w:p>
        </w:tc>
      </w:tr>
      <w:tr w14:paraId="57A6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475" w:type="dxa"/>
            <w:shd w:val="clear" w:color="auto" w:fill="FFFFFF"/>
            <w:tcMar>
              <w:top w:w="0" w:type="dxa"/>
              <w:right w:w="0" w:type="dxa"/>
            </w:tcMar>
            <w:vAlign w:val="center"/>
          </w:tcPr>
          <w:p w14:paraId="48202504">
            <w:pPr>
              <w:autoSpaceDE w:val="0"/>
              <w:autoSpaceDN w:val="0"/>
              <w:adjustRightInd w:val="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医用低温箱</w:t>
            </w:r>
          </w:p>
        </w:tc>
        <w:tc>
          <w:tcPr>
            <w:tcW w:w="1985" w:type="dxa"/>
            <w:shd w:val="clear" w:color="auto" w:fill="FFFFFF"/>
            <w:tcMar>
              <w:top w:w="0" w:type="dxa"/>
              <w:right w:w="0" w:type="dxa"/>
            </w:tcMar>
            <w:vAlign w:val="center"/>
          </w:tcPr>
          <w:p w14:paraId="06F168BA">
            <w:pPr>
              <w:autoSpaceDE w:val="0"/>
              <w:autoSpaceDN w:val="0"/>
              <w:adjustRightInd w:val="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A02322900、医用低温、冷疗设备</w:t>
            </w:r>
          </w:p>
        </w:tc>
        <w:tc>
          <w:tcPr>
            <w:tcW w:w="1134" w:type="dxa"/>
            <w:shd w:val="clear" w:color="auto" w:fill="FFFFFF"/>
            <w:tcMar>
              <w:top w:w="0" w:type="dxa"/>
              <w:right w:w="0" w:type="dxa"/>
            </w:tcMar>
            <w:vAlign w:val="center"/>
          </w:tcPr>
          <w:p w14:paraId="574CC513">
            <w:pPr>
              <w:autoSpaceDE w:val="0"/>
              <w:autoSpaceDN w:val="0"/>
              <w:adjustRightInd w:val="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台</w:t>
            </w:r>
          </w:p>
        </w:tc>
        <w:tc>
          <w:tcPr>
            <w:tcW w:w="850" w:type="dxa"/>
            <w:shd w:val="clear" w:color="auto" w:fill="FFFFFF"/>
            <w:vAlign w:val="center"/>
          </w:tcPr>
          <w:p w14:paraId="15858236">
            <w:pPr>
              <w:autoSpaceDE w:val="0"/>
              <w:autoSpaceDN w:val="0"/>
              <w:adjustRightInd w:val="0"/>
              <w:jc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w:t>
            </w:r>
          </w:p>
        </w:tc>
        <w:tc>
          <w:tcPr>
            <w:tcW w:w="1559" w:type="dxa"/>
            <w:shd w:val="clear" w:color="auto" w:fill="FFFFFF"/>
            <w:vAlign w:val="center"/>
          </w:tcPr>
          <w:p w14:paraId="564AB29C">
            <w:pPr>
              <w:autoSpaceDE w:val="0"/>
              <w:autoSpaceDN w:val="0"/>
              <w:adjustRightInd w:val="0"/>
              <w:jc w:val="center"/>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74500</w:t>
            </w:r>
          </w:p>
        </w:tc>
        <w:tc>
          <w:tcPr>
            <w:tcW w:w="1567" w:type="dxa"/>
            <w:shd w:val="clear" w:color="auto" w:fill="FFFFFF"/>
            <w:tcMar>
              <w:top w:w="0" w:type="dxa"/>
              <w:right w:w="0" w:type="dxa"/>
            </w:tcMar>
            <w:vAlign w:val="center"/>
          </w:tcPr>
          <w:p w14:paraId="648AB49F">
            <w:pPr>
              <w:autoSpaceDE/>
              <w:autoSpaceDN/>
              <w:adjustRightInd/>
              <w:jc w:val="cente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是</w:t>
            </w:r>
          </w:p>
        </w:tc>
      </w:tr>
      <w:tr w14:paraId="279A5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475" w:type="dxa"/>
            <w:shd w:val="clear" w:color="auto" w:fill="FFFFFF"/>
            <w:tcMar>
              <w:top w:w="0" w:type="dxa"/>
              <w:right w:w="0" w:type="dxa"/>
            </w:tcMar>
            <w:vAlign w:val="center"/>
          </w:tcPr>
          <w:p w14:paraId="24941C2E">
            <w:pPr>
              <w:autoSpaceDE w:val="0"/>
              <w:autoSpaceDN w:val="0"/>
              <w:adjustRightInd w:val="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医用冷藏箱</w:t>
            </w:r>
          </w:p>
        </w:tc>
        <w:tc>
          <w:tcPr>
            <w:tcW w:w="1985" w:type="dxa"/>
            <w:shd w:val="clear" w:color="auto" w:fill="FFFFFF"/>
            <w:tcMar>
              <w:top w:w="0" w:type="dxa"/>
              <w:right w:w="0" w:type="dxa"/>
            </w:tcMar>
            <w:vAlign w:val="center"/>
          </w:tcPr>
          <w:p w14:paraId="63ED4040">
            <w:pPr>
              <w:autoSpaceDE w:val="0"/>
              <w:autoSpaceDN w:val="0"/>
              <w:adjustRightInd w:val="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A02322900、医用低温、冷疗设备</w:t>
            </w:r>
          </w:p>
        </w:tc>
        <w:tc>
          <w:tcPr>
            <w:tcW w:w="1134" w:type="dxa"/>
            <w:shd w:val="clear" w:color="auto" w:fill="FFFFFF"/>
            <w:tcMar>
              <w:top w:w="0" w:type="dxa"/>
              <w:right w:w="0" w:type="dxa"/>
            </w:tcMar>
            <w:vAlign w:val="center"/>
          </w:tcPr>
          <w:p w14:paraId="3A3CECEA">
            <w:pPr>
              <w:autoSpaceDE w:val="0"/>
              <w:autoSpaceDN w:val="0"/>
              <w:adjustRightInd w:val="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台</w:t>
            </w:r>
          </w:p>
        </w:tc>
        <w:tc>
          <w:tcPr>
            <w:tcW w:w="850" w:type="dxa"/>
            <w:shd w:val="clear" w:color="auto" w:fill="FFFFFF"/>
            <w:vAlign w:val="center"/>
          </w:tcPr>
          <w:p w14:paraId="08FE8C57">
            <w:pPr>
              <w:autoSpaceDE w:val="0"/>
              <w:autoSpaceDN w:val="0"/>
              <w:adjustRightInd w:val="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w:t>
            </w:r>
          </w:p>
        </w:tc>
        <w:tc>
          <w:tcPr>
            <w:tcW w:w="1559" w:type="dxa"/>
            <w:shd w:val="clear" w:color="auto" w:fill="FFFFFF"/>
            <w:vAlign w:val="center"/>
          </w:tcPr>
          <w:p w14:paraId="2040D324">
            <w:pPr>
              <w:autoSpaceDE w:val="0"/>
              <w:autoSpaceDN w:val="0"/>
              <w:adjustRightInd w:val="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16400</w:t>
            </w:r>
          </w:p>
        </w:tc>
        <w:tc>
          <w:tcPr>
            <w:tcW w:w="1567" w:type="dxa"/>
            <w:shd w:val="clear" w:color="auto" w:fill="FFFFFF"/>
            <w:tcMar>
              <w:top w:w="0" w:type="dxa"/>
              <w:right w:w="0" w:type="dxa"/>
            </w:tcMar>
            <w:vAlign w:val="center"/>
          </w:tcPr>
          <w:p w14:paraId="5378AF38">
            <w:pPr>
              <w:autoSpaceDE w:val="0"/>
              <w:autoSpaceDN w:val="0"/>
              <w:adjustRightInd w:val="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否</w:t>
            </w:r>
          </w:p>
        </w:tc>
      </w:tr>
      <w:tr w14:paraId="6DC2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475" w:type="dxa"/>
            <w:shd w:val="clear" w:color="auto" w:fill="FFFFFF"/>
            <w:tcMar>
              <w:top w:w="0" w:type="dxa"/>
              <w:right w:w="0" w:type="dxa"/>
            </w:tcMar>
            <w:vAlign w:val="center"/>
          </w:tcPr>
          <w:p w14:paraId="4B4C695C">
            <w:pPr>
              <w:autoSpaceDE w:val="0"/>
              <w:autoSpaceDN w:val="0"/>
              <w:adjustRightInd w:val="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医用冷藏保存箱</w:t>
            </w:r>
          </w:p>
        </w:tc>
        <w:tc>
          <w:tcPr>
            <w:tcW w:w="1985" w:type="dxa"/>
            <w:shd w:val="clear" w:color="auto" w:fill="FFFFFF"/>
            <w:tcMar>
              <w:top w:w="0" w:type="dxa"/>
              <w:right w:w="0" w:type="dxa"/>
            </w:tcMar>
            <w:vAlign w:val="center"/>
          </w:tcPr>
          <w:p w14:paraId="584B0B7B">
            <w:pPr>
              <w:autoSpaceDE w:val="0"/>
              <w:autoSpaceDN w:val="0"/>
              <w:adjustRightInd w:val="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A02322900、医用低温、冷疗设备</w:t>
            </w:r>
          </w:p>
        </w:tc>
        <w:tc>
          <w:tcPr>
            <w:tcW w:w="1134" w:type="dxa"/>
            <w:shd w:val="clear" w:color="auto" w:fill="FFFFFF"/>
            <w:tcMar>
              <w:top w:w="0" w:type="dxa"/>
              <w:right w:w="0" w:type="dxa"/>
            </w:tcMar>
            <w:vAlign w:val="center"/>
          </w:tcPr>
          <w:p w14:paraId="498024E0">
            <w:pPr>
              <w:autoSpaceDE w:val="0"/>
              <w:autoSpaceDN w:val="0"/>
              <w:adjustRightInd w:val="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台</w:t>
            </w:r>
          </w:p>
        </w:tc>
        <w:tc>
          <w:tcPr>
            <w:tcW w:w="850" w:type="dxa"/>
            <w:shd w:val="clear" w:color="auto" w:fill="FFFFFF"/>
            <w:vAlign w:val="center"/>
          </w:tcPr>
          <w:p w14:paraId="095B3C1E">
            <w:pPr>
              <w:autoSpaceDE w:val="0"/>
              <w:autoSpaceDN w:val="0"/>
              <w:adjustRightInd w:val="0"/>
              <w:jc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w:t>
            </w:r>
          </w:p>
        </w:tc>
        <w:tc>
          <w:tcPr>
            <w:tcW w:w="1559" w:type="dxa"/>
            <w:shd w:val="clear" w:color="auto" w:fill="FFFFFF"/>
            <w:vAlign w:val="center"/>
          </w:tcPr>
          <w:p w14:paraId="3AEDEC0B">
            <w:pPr>
              <w:autoSpaceDE w:val="0"/>
              <w:autoSpaceDN w:val="0"/>
              <w:adjustRightInd w:val="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18000</w:t>
            </w:r>
          </w:p>
          <w:p w14:paraId="4117C8C0">
            <w:pPr>
              <w:autoSpaceDE w:val="0"/>
              <w:autoSpaceDN w:val="0"/>
              <w:adjustRightInd w:val="0"/>
              <w:jc w:val="center"/>
              <w:rPr>
                <w:rFonts w:hint="eastAsia" w:ascii="仿宋_GB2312" w:hAnsi="仿宋_GB2312" w:eastAsia="仿宋_GB2312" w:cs="仿宋_GB2312"/>
                <w:color w:val="auto"/>
                <w:kern w:val="0"/>
                <w:sz w:val="28"/>
                <w:szCs w:val="28"/>
                <w:highlight w:val="none"/>
              </w:rPr>
            </w:pPr>
          </w:p>
        </w:tc>
        <w:tc>
          <w:tcPr>
            <w:tcW w:w="1567" w:type="dxa"/>
            <w:shd w:val="clear" w:color="auto" w:fill="FFFFFF"/>
            <w:tcMar>
              <w:top w:w="0" w:type="dxa"/>
              <w:right w:w="0" w:type="dxa"/>
            </w:tcMar>
            <w:vAlign w:val="center"/>
          </w:tcPr>
          <w:p w14:paraId="5E875F73">
            <w:pPr>
              <w:autoSpaceDE w:val="0"/>
              <w:autoSpaceDN w:val="0"/>
              <w:adjustRightInd w:val="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否</w:t>
            </w:r>
          </w:p>
          <w:p w14:paraId="75FAE9B2">
            <w:pPr>
              <w:autoSpaceDE w:val="0"/>
              <w:autoSpaceDN w:val="0"/>
              <w:adjustRightInd w:val="0"/>
              <w:jc w:val="both"/>
              <w:rPr>
                <w:rFonts w:hint="eastAsia" w:ascii="仿宋_GB2312" w:hAnsi="仿宋_GB2312" w:eastAsia="仿宋_GB2312" w:cs="仿宋_GB2312"/>
                <w:color w:val="auto"/>
                <w:kern w:val="0"/>
                <w:sz w:val="28"/>
                <w:szCs w:val="28"/>
                <w:highlight w:val="none"/>
              </w:rPr>
            </w:pPr>
          </w:p>
        </w:tc>
      </w:tr>
      <w:tr w14:paraId="24CF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475" w:type="dxa"/>
            <w:shd w:val="clear" w:color="auto" w:fill="FFFFFF"/>
            <w:tcMar>
              <w:top w:w="0" w:type="dxa"/>
              <w:right w:w="0" w:type="dxa"/>
            </w:tcMar>
            <w:vAlign w:val="center"/>
          </w:tcPr>
          <w:p w14:paraId="48DCABE5">
            <w:pPr>
              <w:autoSpaceDE w:val="0"/>
              <w:autoSpaceDN w:val="0"/>
              <w:adjustRightInd w:val="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医用冷藏冷冻冰箱</w:t>
            </w:r>
          </w:p>
        </w:tc>
        <w:tc>
          <w:tcPr>
            <w:tcW w:w="1985" w:type="dxa"/>
            <w:shd w:val="clear" w:color="auto" w:fill="FFFFFF"/>
            <w:tcMar>
              <w:top w:w="0" w:type="dxa"/>
              <w:right w:w="0" w:type="dxa"/>
            </w:tcMar>
            <w:vAlign w:val="center"/>
          </w:tcPr>
          <w:p w14:paraId="04257C4D">
            <w:pPr>
              <w:autoSpaceDE w:val="0"/>
              <w:autoSpaceDN w:val="0"/>
              <w:adjustRightInd w:val="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A02322900、医用低温、冷疗设备</w:t>
            </w:r>
          </w:p>
        </w:tc>
        <w:tc>
          <w:tcPr>
            <w:tcW w:w="1134" w:type="dxa"/>
            <w:shd w:val="clear" w:color="auto" w:fill="FFFFFF"/>
            <w:tcMar>
              <w:top w:w="0" w:type="dxa"/>
              <w:right w:w="0" w:type="dxa"/>
            </w:tcMar>
            <w:vAlign w:val="center"/>
          </w:tcPr>
          <w:p w14:paraId="79F47D51">
            <w:pPr>
              <w:autoSpaceDE w:val="0"/>
              <w:autoSpaceDN w:val="0"/>
              <w:adjustRightInd w:val="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台</w:t>
            </w:r>
          </w:p>
        </w:tc>
        <w:tc>
          <w:tcPr>
            <w:tcW w:w="850" w:type="dxa"/>
            <w:shd w:val="clear" w:color="auto" w:fill="FFFFFF"/>
            <w:vAlign w:val="center"/>
          </w:tcPr>
          <w:p w14:paraId="79B0EA0C">
            <w:pPr>
              <w:autoSpaceDE w:val="0"/>
              <w:autoSpaceDN w:val="0"/>
              <w:adjustRightInd w:val="0"/>
              <w:jc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1</w:t>
            </w:r>
          </w:p>
        </w:tc>
        <w:tc>
          <w:tcPr>
            <w:tcW w:w="1559" w:type="dxa"/>
            <w:shd w:val="clear" w:color="auto" w:fill="FFFFFF"/>
            <w:vAlign w:val="center"/>
          </w:tcPr>
          <w:p w14:paraId="693888DB">
            <w:pPr>
              <w:autoSpaceDE w:val="0"/>
              <w:autoSpaceDN w:val="0"/>
              <w:adjustRightInd w:val="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19700</w:t>
            </w:r>
          </w:p>
        </w:tc>
        <w:tc>
          <w:tcPr>
            <w:tcW w:w="1567" w:type="dxa"/>
            <w:shd w:val="clear" w:color="auto" w:fill="FFFFFF"/>
            <w:tcMar>
              <w:top w:w="0" w:type="dxa"/>
              <w:right w:w="0" w:type="dxa"/>
            </w:tcMar>
            <w:vAlign w:val="center"/>
          </w:tcPr>
          <w:p w14:paraId="0ADB9CEB">
            <w:pPr>
              <w:autoSpaceDE w:val="0"/>
              <w:autoSpaceDN w:val="0"/>
              <w:adjustRightInd w:val="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否</w:t>
            </w:r>
          </w:p>
        </w:tc>
      </w:tr>
    </w:tbl>
    <w:p w14:paraId="584BDD91">
      <w:pPr>
        <w:rPr>
          <w:b/>
          <w:bCs/>
          <w:highlight w:val="none"/>
        </w:rPr>
      </w:pPr>
      <w:r>
        <w:rPr>
          <w:rFonts w:hint="eastAsia" w:ascii="仿宋_GB2312" w:hAnsi="仿宋_GB2312" w:eastAsia="仿宋_GB2312" w:cs="仿宋_GB2312"/>
          <w:b/>
          <w:bCs/>
          <w:sz w:val="28"/>
          <w:szCs w:val="28"/>
          <w:highlight w:val="none"/>
        </w:rPr>
        <w:t>（五）按照规定及项目情况设置投标供应商资格要求：</w:t>
      </w:r>
    </w:p>
    <w:p w14:paraId="4206E173">
      <w:pPr>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投标人必须具有独立法人资格，《营业执照》、《税务登记证》、《组织机构代码证》或“三证合一”的《营业执照》并具有相关经营范围（提供相关证明扫描件，原件备查）；</w:t>
      </w:r>
    </w:p>
    <w:p w14:paraId="1EBFCA76">
      <w:pPr>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提供的设备为第一类医疗器械的，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供产品不属于第一、二、三类医疗器械的，可以不提供《医疗器械备案凭证》或《医疗器械注册证》，但需提供投标人关于所供产品不属于医疗器械的相关说明（加盖投标人公章）</w:t>
      </w:r>
    </w:p>
    <w:p w14:paraId="28DFC575">
      <w:pPr>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若所供产品为进口产品，投标人必须是所供产品的制造商或合法代理商或合法授权投标人（提供相关证明扫描件）；若所供产品是国产产品（非进口产品），则投标人不需要提供其为所供产品的制造商或合法代理商或合法授权投标人的证明。</w:t>
      </w:r>
    </w:p>
    <w:p w14:paraId="6FCF0CF4">
      <w:pPr>
        <w:ind w:firstLine="480" w:firstLineChars="200"/>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若所供产品为进口产品，则投标人需提供由制造商或授权的中国总代理签署的合法有效的保修、维修承诺函（免费保修期满足招标文件要求）扫描件；若所供产品为国产产品，则无需提供。</w:t>
      </w:r>
    </w:p>
    <w:p w14:paraId="67DB7F7F">
      <w:pPr>
        <w:ind w:firstLine="480" w:firstLineChars="200"/>
        <w:rPr>
          <w:highlight w:val="none"/>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投标人必须承诺参与本项目投标前三年内，在经营活动中没有重大违法记录，以及参与本项目政府采购活动时不存在被有关部门禁止参与政府采购活动且在有效期内的情况（提供承诺函）；</w:t>
      </w:r>
    </w:p>
    <w:p w14:paraId="757754B0">
      <w:pPr>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（六）技术、服务要求与商务要求：</w:t>
      </w:r>
    </w:p>
    <w:p w14:paraId="209496BD">
      <w:pPr>
        <w:numPr>
          <w:ilvl w:val="0"/>
          <w:numId w:val="7"/>
        </w:numPr>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技术要求：</w:t>
      </w:r>
    </w:p>
    <w:tbl>
      <w:tblPr>
        <w:tblStyle w:val="7"/>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8145"/>
      </w:tblGrid>
      <w:tr w14:paraId="1B80E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F33A">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98C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技术要求</w:t>
            </w:r>
          </w:p>
        </w:tc>
      </w:tr>
      <w:tr w14:paraId="1D478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5E9B">
            <w:pPr>
              <w:jc w:val="center"/>
              <w:rPr>
                <w:rFonts w:hint="eastAsia" w:ascii="宋体" w:hAnsi="宋体" w:eastAsia="宋体" w:cs="宋体"/>
                <w:i w:val="0"/>
                <w:iCs w:val="0"/>
                <w:color w:val="000000"/>
                <w:sz w:val="22"/>
                <w:szCs w:val="22"/>
                <w:highlight w:val="none"/>
                <w:u w:val="none"/>
              </w:rPr>
            </w:pP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18BF">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一、医用低温箱</w:t>
            </w:r>
          </w:p>
        </w:tc>
      </w:tr>
      <w:tr w14:paraId="6EA8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A7F0">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DCBA">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▲用于医院血浆的低温冷冻。</w:t>
            </w:r>
            <w:r>
              <w:rPr>
                <w:rFonts w:hint="eastAsia" w:ascii="宋体" w:hAnsi="宋体" w:eastAsia="宋体" w:cs="宋体"/>
                <w:b/>
                <w:bCs/>
                <w:i w:val="0"/>
                <w:iCs w:val="0"/>
                <w:color w:val="000000"/>
                <w:kern w:val="0"/>
                <w:sz w:val="22"/>
                <w:szCs w:val="22"/>
                <w:highlight w:val="none"/>
                <w:u w:val="none"/>
                <w:lang w:val="en-US" w:eastAsia="zh-CN" w:bidi="ar"/>
              </w:rPr>
              <w:t>（提供第三方检测机构出具的检测报告扫描件，或产品官网截图，或彩页关键页扫描件，或产品说明书关键页扫描件，以确保所提供材料的内容能够充分体现并满足上述参数要求。</w:t>
            </w:r>
          </w:p>
        </w:tc>
      </w:tr>
      <w:tr w14:paraId="21F49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1D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7451">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有效容积：≥480L（兼容储存300ml FFP血袋≥280包）。</w:t>
            </w:r>
          </w:p>
        </w:tc>
      </w:tr>
      <w:tr w14:paraId="2E3D4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4B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0ABC">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脚轮配置：≥4个（含≥2个固定轮 + ≥2个万向可调轮）。</w:t>
            </w:r>
          </w:p>
        </w:tc>
      </w:tr>
      <w:tr w14:paraId="45030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A4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9D49">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门体设计：≥2个独立外门。</w:t>
            </w:r>
          </w:p>
        </w:tc>
      </w:tr>
      <w:tr w14:paraId="56C9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C8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5DED">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温度范围：-40℃ ~ -20℃。</w:t>
            </w:r>
          </w:p>
        </w:tc>
      </w:tr>
      <w:tr w14:paraId="4AA0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49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A542">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▲温度精度：±1℃。</w:t>
            </w:r>
            <w:r>
              <w:rPr>
                <w:rFonts w:hint="eastAsia" w:ascii="宋体" w:hAnsi="宋体" w:eastAsia="宋体" w:cs="宋体"/>
                <w:b/>
                <w:bCs/>
                <w:i w:val="0"/>
                <w:iCs w:val="0"/>
                <w:color w:val="000000"/>
                <w:kern w:val="0"/>
                <w:sz w:val="22"/>
                <w:szCs w:val="22"/>
                <w:highlight w:val="none"/>
                <w:u w:val="none"/>
                <w:lang w:val="en-US" w:eastAsia="zh-CN" w:bidi="ar"/>
              </w:rPr>
              <w:t>（提供第三方检测机构出具的检测报告扫描件，或产品官网截图，或彩页关键页扫描件，或产品说明书关键页扫描件，以确保所提供材料的内容能够充分体现并满足上述参数要求。</w:t>
            </w:r>
          </w:p>
        </w:tc>
      </w:tr>
      <w:tr w14:paraId="1125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BF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3B4C">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制冷方式：直冷式。</w:t>
            </w:r>
          </w:p>
        </w:tc>
      </w:tr>
      <w:tr w14:paraId="081DD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96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10C5">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除霜模式：自动循环除霜。</w:t>
            </w:r>
          </w:p>
        </w:tc>
      </w:tr>
      <w:tr w14:paraId="62241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8F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4C16">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▲门锁系统：≥1套内置门锁 + ≥2个外置挂锁门栓（支持独立加锁）。</w:t>
            </w:r>
            <w:r>
              <w:rPr>
                <w:rFonts w:hint="eastAsia" w:ascii="宋体" w:hAnsi="宋体" w:eastAsia="宋体" w:cs="宋体"/>
                <w:b/>
                <w:bCs/>
                <w:i w:val="0"/>
                <w:iCs w:val="0"/>
                <w:color w:val="000000"/>
                <w:kern w:val="0"/>
                <w:sz w:val="22"/>
                <w:szCs w:val="22"/>
                <w:highlight w:val="none"/>
                <w:u w:val="none"/>
                <w:lang w:val="en-US" w:eastAsia="zh-CN" w:bidi="ar"/>
              </w:rPr>
              <w:t>（提供第三方检测机构出具的检测报告扫描件，或产品官网截图，或彩页关键页扫描件，或产品说明书关键页扫描件，以确保所提供材料的内容能够充分体现并满足上述参数要求。</w:t>
            </w:r>
          </w:p>
        </w:tc>
      </w:tr>
      <w:tr w14:paraId="46D9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CE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5F6B">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检测孔：≥1个（孔径≥30mm，便于探头布线）。</w:t>
            </w:r>
          </w:p>
        </w:tc>
      </w:tr>
      <w:tr w14:paraId="50A84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A2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F1BC">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制冷剂：HFC环保冷媒（无氟）。</w:t>
            </w:r>
          </w:p>
        </w:tc>
      </w:tr>
      <w:tr w14:paraId="02F6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7F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1DE1">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绝热材料：环保型发泡材料。</w:t>
            </w:r>
          </w:p>
        </w:tc>
      </w:tr>
      <w:tr w14:paraId="2EC2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0F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DB8E">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耗电量：≤240W。</w:t>
            </w:r>
          </w:p>
        </w:tc>
      </w:tr>
      <w:tr w14:paraId="248B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D9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CA95">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控制方式：微电脑全自动控制。</w:t>
            </w:r>
          </w:p>
        </w:tc>
      </w:tr>
      <w:tr w14:paraId="7DF62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A9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19DA">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实时声光报警（高温/低温/门未关/断电）。</w:t>
            </w:r>
          </w:p>
        </w:tc>
      </w:tr>
      <w:tr w14:paraId="32FE8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ED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8C47">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故障自诊断 + 断电记忆备份。</w:t>
            </w:r>
          </w:p>
        </w:tc>
      </w:tr>
      <w:tr w14:paraId="3BA8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4B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2670">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▲温度均匀度≤5℃，波动值≤4℃。</w:t>
            </w:r>
            <w:r>
              <w:rPr>
                <w:rFonts w:hint="eastAsia" w:ascii="宋体" w:hAnsi="宋体" w:eastAsia="宋体" w:cs="宋体"/>
                <w:b/>
                <w:bCs/>
                <w:i w:val="0"/>
                <w:iCs w:val="0"/>
                <w:color w:val="000000"/>
                <w:kern w:val="0"/>
                <w:sz w:val="22"/>
                <w:szCs w:val="22"/>
                <w:highlight w:val="none"/>
                <w:u w:val="none"/>
                <w:lang w:val="en-US" w:eastAsia="zh-CN" w:bidi="ar"/>
              </w:rPr>
              <w:t>（提供第三方检测机构出具的检测报告扫描件，或产品官网截图，或彩页关键页扫描件，或产品说明书关键页扫描件，以确保所提供材料的内容能够充分体现并满足上述参数要求。）</w:t>
            </w:r>
          </w:p>
        </w:tc>
      </w:tr>
      <w:tr w14:paraId="24DA2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A3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C0E3">
            <w:pPr>
              <w:keepNext w:val="0"/>
              <w:keepLines w:val="0"/>
              <w:widowControl/>
              <w:suppressLineNumbers w:val="0"/>
              <w:jc w:val="left"/>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二、医用冷藏箱</w:t>
            </w:r>
          </w:p>
        </w:tc>
      </w:tr>
      <w:tr w14:paraId="738D0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453C">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18</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1B33">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用于疫苗、药品、检验试剂等的保存。</w:t>
            </w:r>
          </w:p>
        </w:tc>
      </w:tr>
      <w:tr w14:paraId="572FD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19C2">
            <w:pPr>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19</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C163">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温控精度：±0.1℃（电脑精准调控）</w:t>
            </w:r>
          </w:p>
        </w:tc>
      </w:tr>
      <w:tr w14:paraId="628D9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4326">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523A">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有效容积：≥410L</w:t>
            </w:r>
          </w:p>
        </w:tc>
      </w:tr>
      <w:tr w14:paraId="302D9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ABC0">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21</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90D7">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防凝露技术：支持自动/持续/关闭加热模式（32℃环温+80%湿度无凝露）</w:t>
            </w:r>
          </w:p>
        </w:tc>
      </w:tr>
      <w:tr w14:paraId="57487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3F9D">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078E">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开门角度：小角度自动关门</w:t>
            </w:r>
          </w:p>
        </w:tc>
      </w:tr>
      <w:tr w14:paraId="54DC4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1B28">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23</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91FC">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声光报警：传感器故障/开门超时/温度超限</w:t>
            </w:r>
          </w:p>
        </w:tc>
      </w:tr>
      <w:tr w14:paraId="79E7D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2661">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3F27">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制冷效率：高效压缩机制冷</w:t>
            </w:r>
          </w:p>
        </w:tc>
      </w:tr>
      <w:tr w14:paraId="0D8BB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878E">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0FB2">
            <w:pPr>
              <w:keepNext w:val="0"/>
              <w:keepLines w:val="0"/>
              <w:widowControl/>
              <w:suppressLineNumbers w:val="0"/>
              <w:jc w:val="left"/>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三、医用冷藏保存箱</w:t>
            </w:r>
          </w:p>
        </w:tc>
      </w:tr>
      <w:tr w14:paraId="423FB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E700">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25</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5BBA">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用于疫苗、药品、检验试剂等的保存。</w:t>
            </w:r>
          </w:p>
        </w:tc>
      </w:tr>
      <w:tr w14:paraId="15FFA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465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sz w:val="22"/>
                <w:szCs w:val="22"/>
                <w:highlight w:val="none"/>
                <w:u w:val="none"/>
                <w:lang w:val="en-US" w:eastAsia="zh-CN"/>
              </w:rPr>
              <w:t>26</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54EB">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温控精度：±0.1℃</w:t>
            </w:r>
          </w:p>
        </w:tc>
      </w:tr>
      <w:tr w14:paraId="4179D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B579">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27</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1FD6">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有效容积：≥1000L（大容量存储）</w:t>
            </w:r>
          </w:p>
        </w:tc>
      </w:tr>
      <w:tr w14:paraId="04A8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713E">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28</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0B67">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配置同冷藏箱（双层电加热玻璃门 + 智能防凝露）</w:t>
            </w:r>
          </w:p>
        </w:tc>
      </w:tr>
      <w:tr w14:paraId="682B2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B69E">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29</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D125">
            <w:pPr>
              <w:keepNext w:val="0"/>
              <w:keepLines w:val="0"/>
              <w:widowControl/>
              <w:suppressLineNumbers w:val="0"/>
              <w:jc w:val="left"/>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四、医用冷藏冷冻冰箱</w:t>
            </w:r>
          </w:p>
        </w:tc>
      </w:tr>
      <w:tr w14:paraId="0B7BB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3455">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30</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7D78">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用于疫苗、药品、检验试剂等的保存。</w:t>
            </w:r>
          </w:p>
        </w:tc>
      </w:tr>
      <w:tr w14:paraId="0E052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265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31</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4665">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冷藏区：+2℃ ~ +8℃</w:t>
            </w:r>
          </w:p>
        </w:tc>
      </w:tr>
      <w:tr w14:paraId="5B5D5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C589">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32</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902A">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冷冻区：-40℃ ~ -10℃</w:t>
            </w:r>
          </w:p>
        </w:tc>
      </w:tr>
      <w:tr w14:paraId="215C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5EAF">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33</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E565">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精度：±0.1℃</w:t>
            </w:r>
          </w:p>
        </w:tc>
      </w:tr>
      <w:tr w14:paraId="6A22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9870">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34</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09FD">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有效容积：≥319L</w:t>
            </w:r>
          </w:p>
        </w:tc>
      </w:tr>
      <w:tr w14:paraId="1D8B4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4F43">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35</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F200">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安全锁：标配门锁</w:t>
            </w:r>
          </w:p>
        </w:tc>
      </w:tr>
      <w:tr w14:paraId="4CE9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C1A1">
            <w:pPr>
              <w:keepNext w:val="0"/>
              <w:keepLines w:val="0"/>
              <w:widowControl/>
              <w:suppressLineNumbers w:val="0"/>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36</w:t>
            </w:r>
          </w:p>
        </w:tc>
        <w:tc>
          <w:tcPr>
            <w:tcW w:w="8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AE72">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报警系统：同冷藏箱（多级报警+故障诊断）</w:t>
            </w:r>
          </w:p>
        </w:tc>
      </w:tr>
    </w:tbl>
    <w:p w14:paraId="2905BC7B">
      <w:pPr>
        <w:pStyle w:val="13"/>
        <w:ind w:left="420" w:firstLine="0"/>
        <w:jc w:val="left"/>
        <w:rPr>
          <w:rFonts w:ascii="仿宋_GB2312" w:hAnsi="仿宋_GB2312" w:eastAsia="仿宋_GB2312" w:cs="仿宋_GB2312"/>
          <w:sz w:val="28"/>
          <w:szCs w:val="28"/>
          <w:highlight w:val="none"/>
        </w:rPr>
      </w:pPr>
    </w:p>
    <w:p w14:paraId="4B320DE8">
      <w:pPr>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配置清单</w:t>
      </w:r>
    </w:p>
    <w:p w14:paraId="0CC4E945">
      <w:pPr>
        <w:numPr>
          <w:ilvl w:val="0"/>
          <w:numId w:val="8"/>
        </w:numPr>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标准配置  </w:t>
      </w:r>
    </w:p>
    <w:p w14:paraId="71EEAEEF">
      <w:pPr>
        <w:numPr>
          <w:ilvl w:val="0"/>
          <w:numId w:val="7"/>
        </w:numPr>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商务要求：</w:t>
      </w:r>
    </w:p>
    <w:tbl>
      <w:tblPr>
        <w:tblStyle w:val="7"/>
        <w:tblW w:w="10365" w:type="dxa"/>
        <w:jc w:val="center"/>
        <w:tblLayout w:type="fixed"/>
        <w:tblCellMar>
          <w:top w:w="0" w:type="dxa"/>
          <w:left w:w="108" w:type="dxa"/>
          <w:bottom w:w="0" w:type="dxa"/>
          <w:right w:w="108" w:type="dxa"/>
        </w:tblCellMar>
      </w:tblPr>
      <w:tblGrid>
        <w:gridCol w:w="525"/>
        <w:gridCol w:w="735"/>
        <w:gridCol w:w="1020"/>
        <w:gridCol w:w="8085"/>
      </w:tblGrid>
      <w:tr w14:paraId="70F8763F">
        <w:tblPrEx>
          <w:tblCellMar>
            <w:top w:w="0" w:type="dxa"/>
            <w:left w:w="108" w:type="dxa"/>
            <w:bottom w:w="0" w:type="dxa"/>
            <w:right w:w="108" w:type="dxa"/>
          </w:tblCellMar>
        </w:tblPrEx>
        <w:trPr>
          <w:trHeight w:val="7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7E9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序号</w:t>
            </w:r>
          </w:p>
        </w:tc>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79612">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商务需求项</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82C2">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商务要求</w:t>
            </w:r>
          </w:p>
        </w:tc>
      </w:tr>
      <w:tr w14:paraId="67F5BA56">
        <w:tblPrEx>
          <w:tblCellMar>
            <w:top w:w="0" w:type="dxa"/>
            <w:left w:w="108" w:type="dxa"/>
            <w:bottom w:w="0" w:type="dxa"/>
            <w:right w:w="108" w:type="dxa"/>
          </w:tblCellMar>
        </w:tblPrEx>
        <w:trPr>
          <w:trHeight w:val="780"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E0B37E">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（一）免费保修期内售后服务要求</w:t>
            </w:r>
          </w:p>
        </w:tc>
      </w:tr>
      <w:tr w14:paraId="7F4CCE6B">
        <w:tblPrEx>
          <w:tblCellMar>
            <w:top w:w="0" w:type="dxa"/>
            <w:left w:w="108" w:type="dxa"/>
            <w:bottom w:w="0" w:type="dxa"/>
            <w:right w:w="108" w:type="dxa"/>
          </w:tblCellMar>
        </w:tblPrEx>
        <w:trPr>
          <w:trHeight w:val="750"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054E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4C95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免费保修期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8B16">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565C">
            <w:pPr>
              <w:widowControl/>
              <w:textAlignment w:val="center"/>
              <w:rPr>
                <w:rFonts w:hint="eastAsia" w:ascii="仿宋_GB2312" w:hAnsi="宋体" w:eastAsia="仿宋_GB2312" w:cs="仿宋_GB2312"/>
                <w:color w:val="000000"/>
                <w:sz w:val="28"/>
                <w:szCs w:val="28"/>
                <w:highlight w:val="none"/>
                <w:lang w:eastAsia="zh-CN"/>
              </w:rPr>
            </w:pPr>
            <w:r>
              <w:rPr>
                <w:rFonts w:hint="eastAsia" w:ascii="仿宋_GB2312" w:hAnsi="宋体" w:eastAsia="仿宋_GB2312" w:cs="仿宋_GB2312"/>
                <w:color w:val="000000"/>
                <w:kern w:val="0"/>
                <w:sz w:val="28"/>
                <w:szCs w:val="28"/>
                <w:highlight w:val="none"/>
              </w:rPr>
              <w:t>设备原厂（含附件）免费保修期为</w:t>
            </w:r>
            <w:r>
              <w:rPr>
                <w:rStyle w:val="15"/>
                <w:rFonts w:hint="default" w:hAnsi="宋体"/>
                <w:highlight w:val="none"/>
              </w:rPr>
              <w:t>5</w:t>
            </w:r>
            <w:r>
              <w:rPr>
                <w:rStyle w:val="16"/>
                <w:rFonts w:hint="default" w:hAnsi="宋体"/>
                <w:highlight w:val="none"/>
              </w:rPr>
              <w:t>年，</w:t>
            </w:r>
            <w:r>
              <w:rPr>
                <w:rStyle w:val="16"/>
                <w:rFonts w:hint="eastAsia" w:hAnsi="宋体" w:eastAsia="仿宋_GB2312"/>
                <w:highlight w:val="none"/>
                <w:lang w:val="en-US" w:eastAsia="zh-CN"/>
              </w:rPr>
              <w:t xml:space="preserve"> </w:t>
            </w:r>
            <w:bookmarkStart w:id="2" w:name="_GoBack"/>
            <w:bookmarkEnd w:id="2"/>
          </w:p>
        </w:tc>
      </w:tr>
      <w:tr w14:paraId="16722CB7">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B5C88">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94FC2">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7F0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1BA3">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因质量问题造成设备全部或部分停止使用的时间，保修期予以相应的延长。在保修期内乙方将免费维修和更换属质量原因造成的零部件损坏，保修期外零部件的损坏，提供的配件只收配件成本费。保修期满后，乙方还必须提供设备的终身维护。</w:t>
            </w:r>
          </w:p>
        </w:tc>
      </w:tr>
      <w:tr w14:paraId="1CE801A5">
        <w:tblPrEx>
          <w:tblCellMar>
            <w:top w:w="0" w:type="dxa"/>
            <w:left w:w="108" w:type="dxa"/>
            <w:bottom w:w="0" w:type="dxa"/>
            <w:right w:w="108" w:type="dxa"/>
          </w:tblCellMar>
        </w:tblPrEx>
        <w:trPr>
          <w:trHeight w:val="7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785B1">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47582">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8FC6">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1793">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由生产厂家提供售后服务，生产厂家有固定、专业的售后服务机构，有受过专业培训的售后服务人员对采购人单位使用人员进行设备的基本结构、性能，日常的使用保养方法，紧急情况处理等相关内容的培训，并对采购人维修工程师进行工作原理，操作使用、维修维护、常见故障排除方法培训，使其熟悉设备的运行环境，并对设备的性能有详细的了解和熟练掌握设备的使用方法，不定期到采购单位巡检、每半年按采购人要求无条件提供预防性维护检测报告，以及每年按采购人要求无条件进行仪器校准，并出具校准报告（中标投标人不得向采购人收取额外的费用），及时发现和处理问题，确保设备正常和安全使用并得到良好的维护保养，并且提供售后服务机构地址、负责人名单、工程师名单、联系电话。在保修期内，机器若发生故障，维修人员须在4小时内响应，24小时内维修到位，对到达现场后24个工作小时内不能解决的故障，投标人须提供样机应急，所更换的零配件须为通过原厂认证的合格零配件。</w:t>
            </w:r>
          </w:p>
        </w:tc>
      </w:tr>
      <w:tr w14:paraId="2E49704C">
        <w:tblPrEx>
          <w:tblCellMar>
            <w:top w:w="0" w:type="dxa"/>
            <w:left w:w="108" w:type="dxa"/>
            <w:bottom w:w="0" w:type="dxa"/>
            <w:right w:w="108" w:type="dxa"/>
          </w:tblCellMar>
        </w:tblPrEx>
        <w:trPr>
          <w:trHeight w:val="75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4A8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08E0">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F80C">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5603">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投标人应按其投标文件中的承诺，进行其他售后服务工作。</w:t>
            </w:r>
          </w:p>
        </w:tc>
      </w:tr>
      <w:tr w14:paraId="2F36E7B3">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D69A9E">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（二）免费保修期外售后服务要求</w:t>
            </w:r>
          </w:p>
        </w:tc>
      </w:tr>
      <w:tr w14:paraId="1002AE94">
        <w:tblPrEx>
          <w:tblCellMar>
            <w:top w:w="0" w:type="dxa"/>
            <w:left w:w="108" w:type="dxa"/>
            <w:bottom w:w="0" w:type="dxa"/>
            <w:right w:w="108" w:type="dxa"/>
          </w:tblCellMar>
        </w:tblPrEx>
        <w:trPr>
          <w:trHeight w:val="18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9479">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5406">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2870">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88B1">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免费保修期结束后的维修只按优惠价格收取材料费，不收取人工费及差旅费，投标人须在签订合同前提供该设备免费保修期结束后的年度维保方案和报价，以作为采购人购买后续服务的基本保证。</w:t>
            </w:r>
          </w:p>
        </w:tc>
      </w:tr>
      <w:tr w14:paraId="0AC35492">
        <w:tblPrEx>
          <w:tblCellMar>
            <w:top w:w="0" w:type="dxa"/>
            <w:left w:w="108" w:type="dxa"/>
            <w:bottom w:w="0" w:type="dxa"/>
            <w:right w:w="108" w:type="dxa"/>
          </w:tblCellMar>
        </w:tblPrEx>
        <w:trPr>
          <w:trHeight w:val="375" w:hRule="atLeast"/>
          <w:jc w:val="center"/>
        </w:trPr>
        <w:tc>
          <w:tcPr>
            <w:tcW w:w="103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032A5B">
            <w:pPr>
              <w:widowControl/>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（三）其他商务要求</w:t>
            </w:r>
          </w:p>
        </w:tc>
      </w:tr>
      <w:tr w14:paraId="69CF1081">
        <w:tblPrEx>
          <w:tblCellMar>
            <w:top w:w="0" w:type="dxa"/>
            <w:left w:w="108" w:type="dxa"/>
            <w:bottom w:w="0" w:type="dxa"/>
            <w:right w:w="108" w:type="dxa"/>
          </w:tblCellMar>
        </w:tblPrEx>
        <w:trPr>
          <w:trHeight w:val="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C390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E4206">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关于交货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DAF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B19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合同签订或约定之日起</w:t>
            </w:r>
            <w:r>
              <w:rPr>
                <w:rStyle w:val="15"/>
                <w:rFonts w:hint="default" w:hAnsi="宋体"/>
                <w:highlight w:val="none"/>
              </w:rPr>
              <w:t>30</w:t>
            </w:r>
            <w:r>
              <w:rPr>
                <w:rStyle w:val="16"/>
                <w:rFonts w:hint="default" w:hAnsi="宋体"/>
                <w:highlight w:val="none"/>
              </w:rPr>
              <w:t>日历天内交货。</w:t>
            </w:r>
          </w:p>
        </w:tc>
      </w:tr>
      <w:tr w14:paraId="5AB677C3">
        <w:tblPrEx>
          <w:tblCellMar>
            <w:top w:w="0" w:type="dxa"/>
            <w:left w:w="108" w:type="dxa"/>
            <w:bottom w:w="0" w:type="dxa"/>
            <w:right w:w="108" w:type="dxa"/>
          </w:tblCellMar>
        </w:tblPrEx>
        <w:trPr>
          <w:trHeight w:val="3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F7698">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7E1FA">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283C">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13F8">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地点：采购人指定地点。</w:t>
            </w:r>
          </w:p>
        </w:tc>
      </w:tr>
      <w:tr w14:paraId="04656F1E">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946F1">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4C64B">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BD7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DCDF">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投标人必须在交货之日起</w:t>
            </w:r>
            <w:r>
              <w:rPr>
                <w:rStyle w:val="15"/>
                <w:rFonts w:hint="default" w:hAnsi="宋体"/>
                <w:b w:val="0"/>
                <w:bCs w:val="0"/>
                <w:highlight w:val="none"/>
              </w:rPr>
              <w:t>60</w:t>
            </w:r>
            <w:r>
              <w:rPr>
                <w:rStyle w:val="16"/>
                <w:rFonts w:hint="default" w:hAnsi="宋体"/>
                <w:highlight w:val="none"/>
              </w:rPr>
              <w:t>日历天内完成安装、调试，但采购人另有书面通知的，以采购人书面通知为准；设备需要在现场安装调试，因采购人现场不具备安装调试条件导致工期延误时，安装调试完工日期应当顺延，具体顺延期限由双方商定。</w:t>
            </w:r>
          </w:p>
        </w:tc>
      </w:tr>
      <w:tr w14:paraId="4A11DFC4">
        <w:tblPrEx>
          <w:tblCellMar>
            <w:top w:w="0" w:type="dxa"/>
            <w:left w:w="108" w:type="dxa"/>
            <w:bottom w:w="0" w:type="dxa"/>
            <w:right w:w="108" w:type="dxa"/>
          </w:tblCellMar>
        </w:tblPrEx>
        <w:trPr>
          <w:trHeight w:val="30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B4AD5">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C8694">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B13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C88E">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包装运输：投标人提供的设备必须是1年内生产的未经使用过的、全新的、完整的，并且应当符合医疗器械强制性国家标准；尚无强制性国家标准的，应当符合医疗器械强制性行业标准，或具有有关质检部门出具的设备检验合格证明。同时，要求设备使用国际通用的标准包装，适合于长途运输，外包装到货时应完好无损，外包装破损时采购人有权拒收，由此产生的其他费用由投标人承担，（包括但不限于运输费、装卸费、保管费等）。</w:t>
            </w:r>
          </w:p>
        </w:tc>
      </w:tr>
      <w:tr w14:paraId="251B57FF">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4CF7B">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2</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8F0B6">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关于验收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635C">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2.1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2D4D">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投标人货物经过双方检验认可后，签署验收报告，产品保修期自验收合格之日起算，由投标人提供产品保修文件。</w:t>
            </w:r>
          </w:p>
        </w:tc>
      </w:tr>
      <w:tr w14:paraId="6DAC320F">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D520D">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BF1B9">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883A">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2.2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FE7B">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当满足以下条件时，采购人才向投标人签发货物验收报告：投标人已按照合同规定提供了全部产品及完整的技术资料。货物符合招标文件技术要求，性能满足要求。国产货物必须具备产品合格证。</w:t>
            </w:r>
          </w:p>
        </w:tc>
      </w:tr>
      <w:tr w14:paraId="33060372">
        <w:tblPrEx>
          <w:tblCellMar>
            <w:top w:w="0" w:type="dxa"/>
            <w:left w:w="108" w:type="dxa"/>
            <w:bottom w:w="0" w:type="dxa"/>
            <w:right w:w="108" w:type="dxa"/>
          </w:tblCellMar>
        </w:tblPrEx>
        <w:trPr>
          <w:trHeight w:val="7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15671">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4E0CD">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0AA3">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2.3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E27E">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凡属于国家规定强制检测的设备项目，都必须具备计量质检部门的检测合格证。</w:t>
            </w:r>
          </w:p>
        </w:tc>
      </w:tr>
      <w:tr w14:paraId="765A59C0">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F646B">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7E40E">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23CB">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2.4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F407">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验收过程中，如采购人拟对货物质量进行实质验收时，有权邀请第三方检测机构对货物进行检测或测试，因此所需的费用由投标人承担。</w:t>
            </w:r>
          </w:p>
        </w:tc>
      </w:tr>
      <w:tr w14:paraId="3A4BD0E0">
        <w:tblPrEx>
          <w:tblCellMar>
            <w:top w:w="0" w:type="dxa"/>
            <w:left w:w="108" w:type="dxa"/>
            <w:bottom w:w="0" w:type="dxa"/>
            <w:right w:w="108" w:type="dxa"/>
          </w:tblCellMar>
        </w:tblPrEx>
        <w:trPr>
          <w:trHeight w:val="4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9739E">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4331B">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9736">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2.5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0DE0">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投标人提供的设备为第一类医疗器械的，验收时应当提供医疗行业主管部门签发的有效的《医疗器械备案凭证》；投标人提供的设备为第二、三类医疗器械的，应当提供医疗行业主管部门签发的涵盖投标人提供设备的《医疗器械注册证》。投标人应确保货物与注册证或备案凭证所附之产品技术要求相符。如所投产品不属于第一、二、三类医疗器械的，验收时可以不提供《医疗器械备案凭证》或《医疗器械注册证》，但需提供投标人关于所投产品不属于医疗器械的相关说明（加盖投标人公章）</w:t>
            </w:r>
          </w:p>
        </w:tc>
      </w:tr>
      <w:tr w14:paraId="1C622574">
        <w:tblPrEx>
          <w:tblCellMar>
            <w:top w:w="0" w:type="dxa"/>
            <w:left w:w="108" w:type="dxa"/>
            <w:bottom w:w="0" w:type="dxa"/>
            <w:right w:w="108" w:type="dxa"/>
          </w:tblCellMar>
        </w:tblPrEx>
        <w:trPr>
          <w:trHeight w:val="11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553CF">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59C5B">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ECF5">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2.6</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039E">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在验收过程中，中标人需出具与设备制造商签订的与原合同条款一致的维保合同或原厂维保承诺函。</w:t>
            </w:r>
          </w:p>
        </w:tc>
      </w:tr>
      <w:tr w14:paraId="758410C6">
        <w:tblPrEx>
          <w:tblCellMar>
            <w:top w:w="0" w:type="dxa"/>
            <w:left w:w="108" w:type="dxa"/>
            <w:bottom w:w="0" w:type="dxa"/>
            <w:right w:w="108" w:type="dxa"/>
          </w:tblCellMar>
        </w:tblPrEx>
        <w:trPr>
          <w:trHeight w:val="18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5E32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3</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85959">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其他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47A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3.1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9B1C">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投标人须支持物联网协议，便于与医院信息系统的对接，按采购人要求无条件开放数据交换接口，并提供技术支持（中标投标人不得向采购人收取额外的费用），并保证所使用软件的合法性，任何知识产权纠纷与采购人无关。</w:t>
            </w:r>
          </w:p>
        </w:tc>
      </w:tr>
      <w:tr w14:paraId="6672CBF0">
        <w:tblPrEx>
          <w:tblCellMar>
            <w:top w:w="0" w:type="dxa"/>
            <w:left w:w="108" w:type="dxa"/>
            <w:bottom w:w="0" w:type="dxa"/>
            <w:right w:w="108" w:type="dxa"/>
          </w:tblCellMar>
        </w:tblPrEx>
        <w:trPr>
          <w:trHeight w:val="225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45E80">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E4A93">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7F4E">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3.2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EAD5">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若所投产品为进口产品，投标人必须是所投产品的制造商或合法代理商或合法授权投标人（提供相关证明扫描件）；若所投产品是国产产品（非进口产品），则投标人不需要提供其为所投产品的制造商或合法代理商或合法授权投标人的证明。</w:t>
            </w:r>
          </w:p>
        </w:tc>
      </w:tr>
      <w:tr w14:paraId="12F849AC">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AC9FB">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8528F">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EA65">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3.3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F50C">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若所投产品为进口产品，则投标人需提供由制造商或授权的中国总代理签署的合法有效的保修、维修承诺函（免费保修期满足招标文件要求）扫描件；若所投产品为国产产品，则无需提供。</w:t>
            </w:r>
          </w:p>
        </w:tc>
      </w:tr>
      <w:tr w14:paraId="3C967AC0">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86C07">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CA453">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2A22">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3.4</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5C20">
            <w:pPr>
              <w:widowControl/>
              <w:textAlignment w:val="center"/>
              <w:rPr>
                <w:rFonts w:ascii="仿宋_GB2312" w:hAnsi="宋体" w:eastAsia="仿宋_GB2312" w:cs="仿宋_GB2312"/>
                <w:color w:val="000000"/>
                <w:sz w:val="28"/>
                <w:szCs w:val="28"/>
                <w:highlight w:val="none"/>
              </w:rPr>
            </w:pPr>
            <w:r>
              <w:rPr>
                <w:rFonts w:hint="eastAsia" w:ascii="微软雅黑" w:hAnsi="微软雅黑" w:eastAsia="微软雅黑" w:cs="微软雅黑"/>
                <w:color w:val="000000"/>
                <w:kern w:val="0"/>
                <w:sz w:val="28"/>
                <w:szCs w:val="28"/>
                <w:highlight w:val="none"/>
              </w:rPr>
              <w:t>★</w:t>
            </w:r>
            <w:r>
              <w:rPr>
                <w:rFonts w:hint="eastAsia" w:ascii="仿宋_GB2312" w:hAnsi="宋体" w:eastAsia="仿宋_GB2312" w:cs="仿宋_GB2312"/>
                <w:color w:val="000000"/>
                <w:kern w:val="0"/>
                <w:sz w:val="28"/>
                <w:szCs w:val="28"/>
                <w:highlight w:val="none"/>
              </w:rPr>
              <w:t>投标人所提供的设备，若该设备配有专用的配套医用耗材，则此类耗材必须通过深圳市医用耗材阳光交易和监管平台进行交易，且供货价格必须遵循阳光平台所公布的最低成交价。未在平台上交易的耗材，必须提供相应的报价单。</w:t>
            </w:r>
          </w:p>
        </w:tc>
      </w:tr>
      <w:tr w14:paraId="799E135F">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563E0">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6AEF6">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7D1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3.5</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05C4">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本次标的若包含软件服务，需本地化部署，并严格遵照《信息安全法》等相关法律法规，符合网络安全管理相关规定，所有数据未经采购方允许，不得向第三方私自泄漏。</w:t>
            </w:r>
          </w:p>
        </w:tc>
      </w:tr>
      <w:tr w14:paraId="41F6BB1D">
        <w:tblPrEx>
          <w:tblCellMar>
            <w:top w:w="0" w:type="dxa"/>
            <w:left w:w="108" w:type="dxa"/>
            <w:bottom w:w="0" w:type="dxa"/>
            <w:right w:w="108" w:type="dxa"/>
          </w:tblCellMar>
        </w:tblPrEx>
        <w:trPr>
          <w:trHeight w:val="112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915B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4</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87DF1">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关于付款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5EA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40DC">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合同生效后，货到指定地点，安装验收合格后，采购人收到投标人提供的相应金额合法有效发票后，支付合同总金额的100%。</w:t>
            </w:r>
          </w:p>
        </w:tc>
      </w:tr>
      <w:tr w14:paraId="1BC03ABB">
        <w:tblPrEx>
          <w:tblCellMar>
            <w:top w:w="0" w:type="dxa"/>
            <w:left w:w="108" w:type="dxa"/>
            <w:bottom w:w="0" w:type="dxa"/>
            <w:right w:w="108" w:type="dxa"/>
          </w:tblCellMar>
        </w:tblPrEx>
        <w:trPr>
          <w:trHeight w:val="262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030D1">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1ECA2">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BDF9">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 xml:space="preserve">1.2 </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8F53">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若采购人使用的是财政资金，其付款时间以向政府财政部门提出办理财政支付申请手续的时间为准（不含政府财政支付部门的审核时间）。在规定时间内，一旦采购人提出支付申请手续，即视为已按期支付。若因财政审批原因导致的延期付款，采购人不承担违约责任，中标人应继续履行约定的义务。</w:t>
            </w:r>
          </w:p>
        </w:tc>
      </w:tr>
      <w:tr w14:paraId="21469457">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F9C15">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9A607">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5E24">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A19C">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若本项目财政下达的资金数额不足以支付合同约定的比例金额，采购人将按照实际财政下达的资金数额支付合同款，不足部分将待新的项目资金下达后进行支付。</w:t>
            </w:r>
          </w:p>
        </w:tc>
      </w:tr>
      <w:tr w14:paraId="506E421C">
        <w:tblPrEx>
          <w:tblCellMar>
            <w:top w:w="0" w:type="dxa"/>
            <w:left w:w="108" w:type="dxa"/>
            <w:bottom w:w="0" w:type="dxa"/>
            <w:right w:w="108" w:type="dxa"/>
          </w:tblCellMar>
        </w:tblPrEx>
        <w:trPr>
          <w:trHeight w:val="3375"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EA937">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5</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3DA8A">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违约责任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AC56">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1.1</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1875">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投标人交付的设备品种、型号、规格、质量不符合合同和招标文件要求的，采购人有权拒绝收货，且投标人须赔付采购人设备总值10%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tc>
      </w:tr>
      <w:tr w14:paraId="01F0E6BD">
        <w:tblPrEx>
          <w:tblCellMar>
            <w:top w:w="0" w:type="dxa"/>
            <w:left w:w="108" w:type="dxa"/>
            <w:bottom w:w="0" w:type="dxa"/>
            <w:right w:w="108" w:type="dxa"/>
          </w:tblCellMar>
        </w:tblPrEx>
        <w:trPr>
          <w:trHeight w:val="1500"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5BD80">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80DEC">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E0EF">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1.2</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EF2B">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由于投标人的原因未能按时交货的，每迟一天向采购人支付合同总额的0.5%违约金，如超过交货期10天，采购人有权终止合同并通过法律程序对投标人进行索赔。</w:t>
            </w:r>
          </w:p>
        </w:tc>
      </w:tr>
      <w:tr w14:paraId="132FA65D">
        <w:tblPrEx>
          <w:tblCellMar>
            <w:top w:w="0" w:type="dxa"/>
            <w:left w:w="108" w:type="dxa"/>
            <w:bottom w:w="0" w:type="dxa"/>
            <w:right w:w="108" w:type="dxa"/>
          </w:tblCellMar>
        </w:tblPrEx>
        <w:trPr>
          <w:trHeight w:val="187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4C4A3">
            <w:pPr>
              <w:jc w:val="center"/>
              <w:rPr>
                <w:rFonts w:ascii="仿宋_GB2312" w:hAnsi="宋体" w:eastAsia="仿宋_GB2312" w:cs="仿宋_GB2312"/>
                <w:b/>
                <w:bCs/>
                <w:color w:val="000000"/>
                <w:sz w:val="28"/>
                <w:szCs w:val="28"/>
                <w:highlight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0FA2B">
            <w:pPr>
              <w:jc w:val="center"/>
              <w:rPr>
                <w:rFonts w:ascii="仿宋_GB2312" w:hAnsi="宋体" w:eastAsia="仿宋_GB2312" w:cs="仿宋_GB2312"/>
                <w:b/>
                <w:bCs/>
                <w:color w:val="000000"/>
                <w:sz w:val="28"/>
                <w:szCs w:val="28"/>
                <w:highlight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DF30">
            <w:pPr>
              <w:widowControl/>
              <w:jc w:val="center"/>
              <w:textAlignment w:val="center"/>
              <w:rPr>
                <w:rFonts w:ascii="仿宋_GB2312" w:hAnsi="宋体" w:eastAsia="仿宋_GB2312" w:cs="仿宋_GB2312"/>
                <w:b/>
                <w:bCs/>
                <w:color w:val="000000"/>
                <w:sz w:val="28"/>
                <w:szCs w:val="28"/>
                <w:highlight w:val="none"/>
              </w:rPr>
            </w:pPr>
            <w:r>
              <w:rPr>
                <w:rFonts w:hint="eastAsia" w:ascii="仿宋_GB2312" w:hAnsi="宋体" w:eastAsia="仿宋_GB2312" w:cs="仿宋_GB2312"/>
                <w:b/>
                <w:bCs/>
                <w:color w:val="000000"/>
                <w:kern w:val="0"/>
                <w:sz w:val="28"/>
                <w:szCs w:val="28"/>
                <w:highlight w:val="none"/>
              </w:rPr>
              <w:t>1.3</w:t>
            </w:r>
          </w:p>
        </w:tc>
        <w:tc>
          <w:tcPr>
            <w:tcW w:w="8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5546">
            <w:pPr>
              <w:widowControl/>
              <w:textAlignment w:val="center"/>
              <w:rPr>
                <w:rFonts w:ascii="仿宋_GB2312" w:hAnsi="宋体" w:eastAsia="仿宋_GB2312" w:cs="仿宋_GB2312"/>
                <w:color w:val="000000"/>
                <w:sz w:val="28"/>
                <w:szCs w:val="28"/>
                <w:highlight w:val="none"/>
              </w:rPr>
            </w:pPr>
            <w:r>
              <w:rPr>
                <w:rFonts w:hint="eastAsia" w:ascii="仿宋_GB2312" w:hAnsi="宋体" w:eastAsia="仿宋_GB2312" w:cs="仿宋_GB2312"/>
                <w:color w:val="000000"/>
                <w:kern w:val="0"/>
                <w:sz w:val="28"/>
                <w:szCs w:val="28"/>
                <w:highlight w:val="none"/>
              </w:rPr>
              <w:t>由于投标人的原因，在货到一周内未进行安装调试，或安装调试时间超过正常要求，按每超过一天按合同总额的0.5%向采购人支付违约金。情节严重者，将依法律程序对投标人进行索赔。</w:t>
            </w:r>
          </w:p>
        </w:tc>
      </w:tr>
    </w:tbl>
    <w:p w14:paraId="7BFF8C48">
      <w:pPr>
        <w:pStyle w:val="2"/>
        <w:spacing w:before="0" w:after="0" w:line="240" w:lineRule="auto"/>
        <w:rPr>
          <w:rFonts w:ascii="仿宋" w:hAnsi="仿宋" w:eastAsia="仿宋"/>
          <w:sz w:val="28"/>
          <w:szCs w:val="28"/>
          <w:highlight w:val="none"/>
        </w:rPr>
      </w:pPr>
      <w:r>
        <w:rPr>
          <w:rFonts w:hint="eastAsia" w:ascii="仿宋_GB2312" w:hAnsi="仿宋_GB2312" w:eastAsia="仿宋_GB2312" w:cs="仿宋_GB2312"/>
          <w:sz w:val="28"/>
          <w:szCs w:val="28"/>
          <w:highlight w:val="none"/>
        </w:rPr>
        <w:t>（七）</w:t>
      </w:r>
      <w:r>
        <w:rPr>
          <w:rFonts w:hint="eastAsia" w:ascii="仿宋" w:hAnsi="仿宋" w:eastAsia="仿宋"/>
          <w:sz w:val="28"/>
          <w:szCs w:val="28"/>
          <w:highlight w:val="none"/>
        </w:rPr>
        <w:t>评审规则：</w:t>
      </w:r>
    </w:p>
    <w:p w14:paraId="2CD770B1">
      <w:pPr>
        <w:adjustRightInd w:val="0"/>
        <w:snapToGrid w:val="0"/>
        <w:jc w:val="left"/>
        <w:rPr>
          <w:highlight w:val="none"/>
        </w:rPr>
      </w:pPr>
      <w:r>
        <w:rPr>
          <w:rFonts w:hint="eastAsia" w:ascii="仿宋" w:hAnsi="仿宋" w:eastAsia="仿宋"/>
          <w:sz w:val="28"/>
          <w:szCs w:val="28"/>
          <w:highlight w:val="none"/>
        </w:rPr>
        <w:t>1.评标方法：综合评分法</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814170A">
        <w:pPr>
          <w:pStyle w:val="5"/>
          <w:jc w:val="center"/>
        </w:pPr>
        <w:r>
          <w:fldChar w:fldCharType="begin"/>
        </w:r>
        <w:r>
          <w:instrText xml:space="preserve">PAGE   \* MERGEFORMAT</w:instrText>
        </w:r>
        <w:r>
          <w:fldChar w:fldCharType="separate"/>
        </w:r>
        <w:r>
          <w:rPr>
            <w:lang w:val="zh-CN"/>
          </w:rPr>
          <w:t>3</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42C438"/>
    <w:multiLevelType w:val="singleLevel"/>
    <w:tmpl w:val="A642C438"/>
    <w:lvl w:ilvl="0" w:tentative="0">
      <w:start w:val="1"/>
      <w:numFmt w:val="decimal"/>
      <w:suff w:val="space"/>
      <w:lvlText w:val="%1、"/>
      <w:lvlJc w:val="left"/>
      <w:pPr>
        <w:ind w:left="420" w:firstLine="0"/>
      </w:pPr>
    </w:lvl>
  </w:abstractNum>
  <w:abstractNum w:abstractNumId="2">
    <w:nsid w:val="A67903EB"/>
    <w:multiLevelType w:val="singleLevel"/>
    <w:tmpl w:val="A67903EB"/>
    <w:lvl w:ilvl="0" w:tentative="0">
      <w:start w:val="3"/>
      <w:numFmt w:val="chineseCounting"/>
      <w:suff w:val="nothing"/>
      <w:lvlText w:val="（%1）"/>
      <w:lvlJc w:val="left"/>
      <w:rPr>
        <w:rFonts w:hint="eastAsia"/>
        <w:b/>
        <w:bCs/>
      </w:rPr>
    </w:lvl>
  </w:abstractNum>
  <w:abstractNum w:abstractNumId="3">
    <w:nsid w:val="D581D833"/>
    <w:multiLevelType w:val="singleLevel"/>
    <w:tmpl w:val="D581D833"/>
    <w:lvl w:ilvl="0" w:tentative="0">
      <w:start w:val="1"/>
      <w:numFmt w:val="decimal"/>
      <w:lvlText w:val="%1."/>
      <w:lvlJc w:val="left"/>
      <w:pPr>
        <w:ind w:left="425" w:hanging="425"/>
      </w:pPr>
      <w:rPr>
        <w:rFonts w:hint="default"/>
      </w:rPr>
    </w:lvl>
  </w:abstractNum>
  <w:abstractNum w:abstractNumId="4">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4D2419"/>
    <w:multiLevelType w:val="singleLevel"/>
    <w:tmpl w:val="4F4D2419"/>
    <w:lvl w:ilvl="0" w:tentative="0">
      <w:start w:val="1"/>
      <w:numFmt w:val="decimal"/>
      <w:lvlText w:val="(%1)"/>
      <w:lvlJc w:val="left"/>
      <w:pPr>
        <w:ind w:left="425" w:hanging="425"/>
      </w:pPr>
      <w:rPr>
        <w:rFonts w:hint="default"/>
      </w:rPr>
    </w:lvl>
  </w:abstractNum>
  <w:abstractNum w:abstractNumId="6">
    <w:nsid w:val="5AAD6053"/>
    <w:multiLevelType w:val="multilevel"/>
    <w:tmpl w:val="5AAD6053"/>
    <w:lvl w:ilvl="0" w:tentative="0">
      <w:start w:val="1"/>
      <w:numFmt w:val="japaneseCounting"/>
      <w:lvlText w:val="（%1）"/>
      <w:lvlJc w:val="left"/>
      <w:pPr>
        <w:ind w:left="1004" w:hanging="72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7">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4"/>
  </w:num>
  <w:num w:numId="2">
    <w:abstractNumId w:val="7"/>
  </w:num>
  <w:num w:numId="3">
    <w:abstractNumId w:val="6"/>
  </w:num>
  <w:num w:numId="4">
    <w:abstractNumId w:val="0"/>
  </w:num>
  <w:num w:numId="5">
    <w:abstractNumId w:val="5"/>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65954"/>
    <w:rsid w:val="18253800"/>
    <w:rsid w:val="281A4A03"/>
    <w:rsid w:val="287265EE"/>
    <w:rsid w:val="2BB53CD8"/>
    <w:rsid w:val="352073D1"/>
    <w:rsid w:val="3B573AEF"/>
    <w:rsid w:val="4D2A6BE7"/>
    <w:rsid w:val="4E9B1B4B"/>
    <w:rsid w:val="519A433C"/>
    <w:rsid w:val="578F06BB"/>
    <w:rsid w:val="5D036670"/>
    <w:rsid w:val="640146EE"/>
    <w:rsid w:val="64AF7CA6"/>
    <w:rsid w:val="70934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7"/>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List Paragraph"/>
    <w:basedOn w:val="1"/>
    <w:qFormat/>
    <w:uiPriority w:val="34"/>
    <w:pPr>
      <w:ind w:left="704" w:hanging="420"/>
    </w:pPr>
    <w:rPr>
      <w:rFonts w:ascii="Times New Roman" w:hAnsi="Times New Roman" w:eastAsia="黑体" w:cs="Times New Roman"/>
      <w:sz w:val="32"/>
      <w:szCs w:val="24"/>
    </w:rPr>
  </w:style>
  <w:style w:type="character" w:customStyle="1" w:styleId="14">
    <w:name w:val="标题 1 Char"/>
    <w:basedOn w:val="9"/>
    <w:link w:val="2"/>
    <w:qFormat/>
    <w:uiPriority w:val="9"/>
    <w:rPr>
      <w:b/>
      <w:bCs/>
      <w:kern w:val="44"/>
      <w:sz w:val="44"/>
      <w:szCs w:val="44"/>
    </w:rPr>
  </w:style>
  <w:style w:type="character" w:customStyle="1" w:styleId="15">
    <w:name w:val="font21"/>
    <w:basedOn w:val="9"/>
    <w:qFormat/>
    <w:uiPriority w:val="0"/>
    <w:rPr>
      <w:rFonts w:hint="eastAsia" w:ascii="仿宋_GB2312" w:eastAsia="仿宋_GB2312" w:cs="仿宋_GB2312"/>
      <w:b/>
      <w:bCs/>
      <w:color w:val="000000"/>
      <w:sz w:val="28"/>
      <w:szCs w:val="28"/>
      <w:u w:val="none"/>
    </w:rPr>
  </w:style>
  <w:style w:type="character" w:customStyle="1" w:styleId="16">
    <w:name w:val="font31"/>
    <w:basedOn w:val="9"/>
    <w:qFormat/>
    <w:uiPriority w:val="0"/>
    <w:rPr>
      <w:rFonts w:hint="eastAsia" w:ascii="仿宋_GB2312" w:eastAsia="仿宋_GB2312" w:cs="仿宋_GB2312"/>
      <w:color w:val="000000"/>
      <w:sz w:val="28"/>
      <w:szCs w:val="28"/>
      <w:u w:val="none"/>
    </w:rPr>
  </w:style>
  <w:style w:type="character" w:customStyle="1" w:styleId="17">
    <w:name w:val="批注框文本 Char"/>
    <w:basedOn w:val="9"/>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10</Pages>
  <Words>5093</Words>
  <Characters>5307</Characters>
  <Lines>35</Lines>
  <Paragraphs>9</Paragraphs>
  <TotalTime>1</TotalTime>
  <ScaleCrop>false</ScaleCrop>
  <LinksUpToDate>false</LinksUpToDate>
  <CharactersWithSpaces>5354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2024-01-10T16:47:00Z</dcterms:created>
  <dc:creator>Liu W</dc:creator>
  <cp:lastModifiedBy>JH</cp:lastModifiedBy>
  <dcterms:modified xsi:type="dcterms:W3CDTF">2025-07-18T02:44:01Z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A6CC975C5E1F4F818B95761B07C6D45E_13</vt:lpwstr>
  </property>
  <property fmtid="{D5CDD505-2E9C-101B-9397-08002B2CF9AE}" pid="4" name="KSOTemplateDocerSaveRecord">
    <vt:lpwstr>eyJoZGlkIjoiOTgxNzhhZWVjZDVjYzFiNzUyN2FlYmU1YTIwNTA2N2MiLCJ1c2VySWQiOiIxMTI2ODg3MDA2In0=</vt:lpwstr>
  </property>
</Properties>
</file>