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9BFA1">
      <w:pPr>
        <w:pStyle w:val="12"/>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5A771EC7">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项目名称</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 xml:space="preserve">医用控温仪   </w:t>
      </w:r>
    </w:p>
    <w:p w14:paraId="0F31E0D5">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9.5</w:t>
      </w:r>
      <w:r>
        <w:rPr>
          <w:rFonts w:hint="eastAsia" w:ascii="仿宋_GB2312" w:hAnsi="仿宋_GB2312" w:eastAsia="仿宋_GB2312" w:cs="仿宋_GB2312"/>
          <w:kern w:val="0"/>
          <w:sz w:val="28"/>
          <w:szCs w:val="28"/>
          <w:highlight w:val="none"/>
        </w:rPr>
        <w:t>万元</w:t>
      </w:r>
      <w:r>
        <w:rPr>
          <w:rFonts w:hint="eastAsia" w:ascii="仿宋_GB2312" w:hAnsi="仿宋_GB2312" w:eastAsia="仿宋_GB2312" w:cs="仿宋_GB2312"/>
          <w:kern w:val="0"/>
          <w:sz w:val="28"/>
          <w:szCs w:val="28"/>
          <w:highlight w:val="none"/>
          <w:lang w:val="en-US" w:eastAsia="zh-CN"/>
        </w:rPr>
        <w:t xml:space="preserve">  </w:t>
      </w:r>
    </w:p>
    <w:p w14:paraId="75AA6F63">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w:t>
      </w:r>
      <w:r>
        <w:rPr>
          <w:rFonts w:hint="eastAsia" w:ascii="仿宋_GB2312" w:hAnsi="仿宋_GB2312" w:eastAsia="仿宋_GB2312" w:cs="仿宋_GB2312"/>
          <w:kern w:val="0"/>
          <w:sz w:val="28"/>
          <w:szCs w:val="28"/>
          <w:highlight w:val="none"/>
          <w:lang w:val="en-US" w:eastAsia="zh-CN"/>
        </w:rPr>
        <w:t>报价类型</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总价</w:t>
      </w:r>
    </w:p>
    <w:p w14:paraId="49DBF687">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资金来源：单位资金</w:t>
      </w:r>
    </w:p>
    <w:p w14:paraId="3662124D">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采购类别（货物/服务/工程）：货物</w:t>
      </w:r>
    </w:p>
    <w:p w14:paraId="7362A6AF">
      <w:pPr>
        <w:pStyle w:val="12"/>
        <w:widowControl/>
        <w:numPr>
          <w:ilvl w:val="0"/>
          <w:numId w:val="1"/>
        </w:numPr>
        <w:spacing w:line="360" w:lineRule="auto"/>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b/>
          <w:color w:val="000000" w:themeColor="text1"/>
          <w:kern w:val="0"/>
          <w:sz w:val="28"/>
          <w:szCs w:val="28"/>
          <w:highlight w:val="none"/>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w:t>
      </w:r>
    </w:p>
    <w:p w14:paraId="126F0670">
      <w:pPr>
        <w:pStyle w:val="12"/>
        <w:widowControl/>
        <w:numPr>
          <w:ilvl w:val="0"/>
          <w:numId w:val="0"/>
        </w:numPr>
        <w:spacing w:line="360" w:lineRule="auto"/>
        <w:ind w:leftChars="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rPr>
        <w:t>）采购项目需实现的功能和目标：</w:t>
      </w:r>
      <w:r>
        <w:rPr>
          <w:rFonts w:hint="eastAsia" w:ascii="仿宋_GB2312" w:hAnsi="仿宋_GB2312" w:eastAsia="仿宋_GB2312" w:cs="仿宋_GB2312"/>
          <w:sz w:val="28"/>
          <w:szCs w:val="28"/>
          <w:highlight w:val="none"/>
          <w:lang w:val="en-US" w:eastAsia="zh-CN"/>
        </w:rPr>
        <w:t xml:space="preserve"> 高热患者的物理降温和低体温患者的物理升温以及需要保持体温的患者。 </w:t>
      </w:r>
    </w:p>
    <w:p w14:paraId="19C1DE30">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08423164">
      <w:pPr>
        <w:numPr>
          <w:ilvl w:val="0"/>
          <w:numId w:val="3"/>
        </w:numPr>
        <w:spacing w:line="360" w:lineRule="auto"/>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444E6DFA">
      <w:pPr>
        <w:numPr>
          <w:ilvl w:val="0"/>
          <w:numId w:val="4"/>
        </w:numPr>
        <w:spacing w:line="360" w:lineRule="auto"/>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□是         □是否仅面向小微企业</w:t>
      </w:r>
    </w:p>
    <w:p w14:paraId="4F46D9C8">
      <w:pPr>
        <w:numPr>
          <w:ilvl w:val="0"/>
          <w:numId w:val="4"/>
        </w:numPr>
        <w:spacing w:line="360" w:lineRule="auto"/>
        <w:ind w:left="425" w:leftChars="0" w:hanging="425" w:firstLineChars="0"/>
        <w:rPr>
          <w:rFonts w:ascii="仿宋" w:hAnsi="仿宋" w:eastAsia="仿宋"/>
          <w:sz w:val="28"/>
          <w:szCs w:val="28"/>
          <w:highlight w:val="none"/>
          <w:u w:val="singl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否，原因说明</w:t>
      </w:r>
      <w:r>
        <w:rPr>
          <w:rFonts w:hint="eastAsia" w:ascii="仿宋_GB2312" w:hAnsi="仿宋_GB2312" w:eastAsia="仿宋_GB2312" w:cs="仿宋_GB2312"/>
          <w:sz w:val="28"/>
          <w:szCs w:val="28"/>
          <w:highlight w:val="none"/>
          <w:lang w:eastAsia="zh-CN"/>
        </w:rPr>
        <w:t>：</w:t>
      </w:r>
      <w:r>
        <w:rPr>
          <w:rFonts w:hint="eastAsia" w:ascii="仿宋" w:hAnsi="仿宋" w:eastAsia="仿宋"/>
          <w:sz w:val="28"/>
          <w:szCs w:val="28"/>
          <w:highlight w:val="none"/>
          <w:u w:val="single"/>
        </w:rPr>
        <w:t>按照办法规定预留采购份额无法确保充分供应、充分竞争，或者存在可能影响政府采购目标实现的情形</w:t>
      </w:r>
      <w:r>
        <w:rPr>
          <w:rFonts w:hint="eastAsia" w:ascii="仿宋" w:hAnsi="仿宋" w:eastAsia="仿宋"/>
          <w:sz w:val="28"/>
          <w:szCs w:val="28"/>
          <w:highlight w:val="none"/>
          <w:u w:val="single"/>
          <w:lang w:eastAsia="zh-CN"/>
        </w:rPr>
        <w:t>。</w:t>
      </w:r>
    </w:p>
    <w:p w14:paraId="11F5A665">
      <w:pPr>
        <w:numPr>
          <w:ilvl w:val="0"/>
          <w:numId w:val="5"/>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是否接受</w:t>
      </w:r>
      <w:r>
        <w:rPr>
          <w:rFonts w:hint="eastAsia" w:ascii="仿宋_GB2312" w:hAnsi="仿宋_GB2312" w:eastAsia="仿宋_GB2312" w:cs="仿宋_GB2312"/>
          <w:b/>
          <w:bCs/>
          <w:sz w:val="28"/>
          <w:szCs w:val="28"/>
          <w:highlight w:val="none"/>
        </w:rPr>
        <w:t>联合体投标</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是</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w:t>
      </w:r>
    </w:p>
    <w:p w14:paraId="6E45FB5B">
      <w:pPr>
        <w:spacing w:line="360" w:lineRule="auto"/>
        <w:rPr>
          <w:rFonts w:hint="eastAsia" w:ascii="仿宋_GB2312" w:hAnsi="仿宋_GB2312" w:eastAsia="仿宋_GB2312" w:cs="仿宋_GB2312"/>
          <w:b/>
          <w:bCs/>
          <w:sz w:val="28"/>
          <w:szCs w:val="28"/>
          <w:highlight w:val="none"/>
          <w:lang w:eastAsia="zh-CN"/>
        </w:rPr>
      </w:pPr>
      <w:r>
        <w:rPr>
          <w:rFonts w:hint="eastAsia" w:ascii="仿宋" w:hAnsi="仿宋" w:eastAsia="仿宋"/>
          <w:b/>
          <w:bCs/>
          <w:sz w:val="32"/>
          <w:szCs w:val="32"/>
          <w:highlight w:val="none"/>
        </w:rPr>
        <w:t>（</w:t>
      </w: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rPr>
        <w:t>）采购标的汇总表</w:t>
      </w:r>
      <w:r>
        <w:rPr>
          <w:rFonts w:hint="eastAsia" w:ascii="仿宋_GB2312" w:hAnsi="仿宋_GB2312" w:eastAsia="仿宋_GB2312" w:cs="仿宋_GB2312"/>
          <w:b/>
          <w:bCs/>
          <w:sz w:val="28"/>
          <w:szCs w:val="28"/>
          <w:highlight w:val="none"/>
          <w:lang w:eastAsia="zh-CN"/>
        </w:rPr>
        <w:t>：</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55EF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19932B67">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364C1507">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0516F3BD">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7FAB851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200" w:type="dxa"/>
            <w:shd w:val="clear" w:color="auto" w:fill="FFFFFF"/>
            <w:vAlign w:val="center"/>
          </w:tcPr>
          <w:p w14:paraId="025D67D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预算</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c>
          <w:tcPr>
            <w:tcW w:w="2065" w:type="dxa"/>
            <w:shd w:val="clear" w:color="auto" w:fill="FFFFFF"/>
            <w:tcMar>
              <w:top w:w="0" w:type="dxa"/>
              <w:right w:w="0" w:type="dxa"/>
            </w:tcMar>
            <w:vAlign w:val="center"/>
          </w:tcPr>
          <w:p w14:paraId="62E4505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r>
      <w:tr w14:paraId="789F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2B84D540">
            <w:pPr>
              <w:autoSpaceDE w:val="0"/>
              <w:autoSpaceDN w:val="0"/>
              <w:adjustRightInd w:val="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医用控温仪</w:t>
            </w:r>
          </w:p>
        </w:tc>
        <w:tc>
          <w:tcPr>
            <w:tcW w:w="2331" w:type="dxa"/>
            <w:shd w:val="clear" w:color="auto" w:fill="FFFFFF"/>
            <w:tcMar>
              <w:top w:w="0" w:type="dxa"/>
              <w:right w:w="0" w:type="dxa"/>
            </w:tcMar>
            <w:vAlign w:val="center"/>
          </w:tcPr>
          <w:p w14:paraId="022E913B">
            <w:pPr>
              <w:autoSpaceDE w:val="0"/>
              <w:autoSpaceDN w:val="0"/>
              <w:adjustRightInd w:val="0"/>
              <w:jc w:val="both"/>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A02322700、病房护理及医院设备</w:t>
            </w:r>
          </w:p>
        </w:tc>
        <w:tc>
          <w:tcPr>
            <w:tcW w:w="1601" w:type="dxa"/>
            <w:shd w:val="clear" w:color="auto" w:fill="FFFFFF"/>
            <w:tcMar>
              <w:top w:w="0" w:type="dxa"/>
              <w:right w:w="0" w:type="dxa"/>
            </w:tcMar>
            <w:vAlign w:val="center"/>
          </w:tcPr>
          <w:p w14:paraId="29C11E05">
            <w:pPr>
              <w:autoSpaceDE w:val="0"/>
              <w:autoSpaceDN w:val="0"/>
              <w:adjustRightInd w:val="0"/>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台  </w:t>
            </w:r>
          </w:p>
        </w:tc>
        <w:tc>
          <w:tcPr>
            <w:tcW w:w="968" w:type="dxa"/>
            <w:shd w:val="clear" w:color="auto" w:fill="FFFFFF"/>
            <w:vAlign w:val="center"/>
          </w:tcPr>
          <w:p w14:paraId="480FBC4D">
            <w:pPr>
              <w:autoSpaceDE w:val="0"/>
              <w:autoSpaceDN w:val="0"/>
              <w:adjustRightInd w:val="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w:t>
            </w:r>
          </w:p>
        </w:tc>
        <w:tc>
          <w:tcPr>
            <w:tcW w:w="1200" w:type="dxa"/>
            <w:shd w:val="clear" w:color="auto" w:fill="FFFFFF"/>
            <w:vAlign w:val="center"/>
          </w:tcPr>
          <w:p w14:paraId="25E04683">
            <w:pPr>
              <w:autoSpaceDE w:val="0"/>
              <w:autoSpaceDN w:val="0"/>
              <w:adjustRightInd w:val="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95000</w:t>
            </w:r>
          </w:p>
        </w:tc>
        <w:tc>
          <w:tcPr>
            <w:tcW w:w="2065" w:type="dxa"/>
            <w:shd w:val="clear" w:color="auto" w:fill="FFFFFF"/>
            <w:tcMar>
              <w:top w:w="0" w:type="dxa"/>
              <w:right w:w="0" w:type="dxa"/>
            </w:tcMar>
            <w:vAlign w:val="center"/>
          </w:tcPr>
          <w:p w14:paraId="5549D9FD">
            <w:pPr>
              <w:autoSpaceDE w:val="0"/>
              <w:autoSpaceDN w:val="0"/>
              <w:adjustRightInd w:val="0"/>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不限</w:t>
            </w:r>
          </w:p>
        </w:tc>
      </w:tr>
    </w:tbl>
    <w:p w14:paraId="102CF2B8">
      <w:pPr>
        <w:numPr>
          <w:ilvl w:val="0"/>
          <w:numId w:val="0"/>
        </w:numPr>
        <w:rPr>
          <w:rFonts w:hint="eastAsia"/>
          <w:b/>
          <w:bCs/>
          <w:highlight w:val="none"/>
          <w:lang w:val="en-US" w:eastAsia="zh-CN"/>
        </w:rPr>
      </w:pP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按照规定及项目情况设置投标供应商资格要求：</w:t>
      </w:r>
    </w:p>
    <w:p w14:paraId="056957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6B8071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6ECF55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5D4F69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48570D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658CD2B4">
      <w:pP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六</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技术</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服务</w:t>
      </w:r>
      <w:r>
        <w:rPr>
          <w:rFonts w:hint="eastAsia" w:ascii="仿宋_GB2312" w:hAnsi="仿宋_GB2312" w:eastAsia="仿宋_GB2312" w:cs="仿宋_GB2312"/>
          <w:b/>
          <w:bCs/>
          <w:sz w:val="28"/>
          <w:szCs w:val="28"/>
          <w:highlight w:val="none"/>
        </w:rPr>
        <w:t>要求与商务要求</w:t>
      </w:r>
      <w:r>
        <w:rPr>
          <w:rFonts w:hint="eastAsia" w:ascii="仿宋_GB2312" w:hAnsi="仿宋_GB2312" w:eastAsia="仿宋_GB2312" w:cs="仿宋_GB2312"/>
          <w:b/>
          <w:bCs/>
          <w:sz w:val="28"/>
          <w:szCs w:val="28"/>
          <w:highlight w:val="none"/>
          <w:lang w:eastAsia="zh-CN"/>
        </w:rPr>
        <w:t>：</w:t>
      </w:r>
    </w:p>
    <w:p w14:paraId="1283D20E">
      <w:pPr>
        <w:numPr>
          <w:ilvl w:val="0"/>
          <w:numId w:val="6"/>
        </w:numPr>
        <w:ind w:left="425" w:leftChars="0" w:hanging="425"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r>
        <w:rPr>
          <w:rFonts w:hint="eastAsia" w:ascii="仿宋_GB2312" w:hAnsi="仿宋_GB2312" w:eastAsia="仿宋_GB2312" w:cs="仿宋_GB2312"/>
          <w:sz w:val="28"/>
          <w:szCs w:val="28"/>
          <w:highlight w:val="none"/>
          <w:lang w:eastAsia="zh-CN"/>
        </w:rPr>
        <w:t>：</w:t>
      </w:r>
    </w:p>
    <w:tbl>
      <w:tblPr>
        <w:tblStyle w:val="7"/>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7830"/>
      </w:tblGrid>
      <w:tr w14:paraId="13D8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70" w:type="dxa"/>
            <w:tcBorders>
              <w:top w:val="nil"/>
              <w:left w:val="nil"/>
              <w:bottom w:val="nil"/>
              <w:right w:val="nil"/>
            </w:tcBorders>
            <w:shd w:val="clear" w:color="auto" w:fill="auto"/>
            <w:noWrap/>
            <w:vAlign w:val="center"/>
          </w:tcPr>
          <w:p w14:paraId="10C5A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30" w:type="dxa"/>
            <w:tcBorders>
              <w:top w:val="nil"/>
              <w:left w:val="nil"/>
              <w:bottom w:val="nil"/>
              <w:right w:val="nil"/>
            </w:tcBorders>
            <w:shd w:val="clear" w:color="auto" w:fill="auto"/>
            <w:noWrap/>
            <w:vAlign w:val="center"/>
          </w:tcPr>
          <w:p w14:paraId="50D17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技术要求</w:t>
            </w:r>
          </w:p>
        </w:tc>
      </w:tr>
      <w:tr w14:paraId="3049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color="auto" w:fill="auto"/>
            <w:noWrap/>
            <w:vAlign w:val="center"/>
          </w:tcPr>
          <w:p w14:paraId="32A2F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30" w:type="dxa"/>
            <w:tcBorders>
              <w:top w:val="nil"/>
              <w:left w:val="nil"/>
              <w:bottom w:val="nil"/>
              <w:right w:val="nil"/>
            </w:tcBorders>
            <w:shd w:val="clear" w:color="auto" w:fill="auto"/>
            <w:vAlign w:val="center"/>
          </w:tcPr>
          <w:p w14:paraId="5191D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基本性能： 额定功率≥650VA；水温控制范围4℃-40℃，精度±1℃；具备智能模式切换功能（4-25℃自动降温，26-40℃自动升温）。</w:t>
            </w:r>
          </w:p>
        </w:tc>
      </w:tr>
      <w:tr w14:paraId="6E85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color="auto" w:fill="auto"/>
            <w:noWrap/>
            <w:vAlign w:val="center"/>
          </w:tcPr>
          <w:p w14:paraId="327E9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30" w:type="dxa"/>
            <w:tcBorders>
              <w:top w:val="nil"/>
              <w:left w:val="nil"/>
              <w:bottom w:val="nil"/>
              <w:right w:val="nil"/>
            </w:tcBorders>
            <w:shd w:val="clear" w:color="auto" w:fill="auto"/>
            <w:vAlign w:val="center"/>
          </w:tcPr>
          <w:p w14:paraId="6A278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核心技术与性能： 采用热泵技术及制冷/制热双隔离系统；最大空载平均降温速度≥1.2℃/分钟，升温速度≥0.8℃/分钟（提供第三方检测机构出具的检测（检验）报告扫描件或提供产品官网截图或彩页关键页扫描件或产品说明书关键页扫描件（证明材料要求内容能体现满足上述参数要求））。</w:t>
            </w:r>
          </w:p>
        </w:tc>
      </w:tr>
      <w:tr w14:paraId="1B589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color="auto" w:fill="auto"/>
            <w:noWrap/>
            <w:vAlign w:val="center"/>
          </w:tcPr>
          <w:p w14:paraId="24ADE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30" w:type="dxa"/>
            <w:tcBorders>
              <w:top w:val="nil"/>
              <w:left w:val="nil"/>
              <w:bottom w:val="nil"/>
              <w:right w:val="nil"/>
            </w:tcBorders>
            <w:shd w:val="clear" w:color="auto" w:fill="auto"/>
            <w:vAlign w:val="center"/>
          </w:tcPr>
          <w:p w14:paraId="66559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制冷系统与寿命： 制冷系统采用交流单级蒸气压缩机、外盘管式设计，具备防结冰功能；主机及核心系统设计寿命≥10年。</w:t>
            </w:r>
          </w:p>
        </w:tc>
      </w:tr>
      <w:tr w14:paraId="5E48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color="auto" w:fill="auto"/>
            <w:noWrap/>
            <w:vAlign w:val="center"/>
          </w:tcPr>
          <w:p w14:paraId="41A8D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30" w:type="dxa"/>
            <w:tcBorders>
              <w:top w:val="nil"/>
              <w:left w:val="nil"/>
              <w:bottom w:val="nil"/>
              <w:right w:val="nil"/>
            </w:tcBorders>
            <w:shd w:val="clear" w:color="auto" w:fill="auto"/>
            <w:vAlign w:val="center"/>
          </w:tcPr>
          <w:p w14:paraId="1D455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温度监测精度： 配备医用级体表温度传感器与体腔温度传感器，通过生物相容性检测；体温传感器精度±0.1℃，支持单/双路检测。</w:t>
            </w:r>
          </w:p>
        </w:tc>
      </w:tr>
      <w:tr w14:paraId="2662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color="auto" w:fill="auto"/>
            <w:noWrap/>
            <w:vAlign w:val="center"/>
          </w:tcPr>
          <w:p w14:paraId="369F6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30" w:type="dxa"/>
            <w:tcBorders>
              <w:top w:val="nil"/>
              <w:left w:val="nil"/>
              <w:bottom w:val="nil"/>
              <w:right w:val="nil"/>
            </w:tcBorders>
            <w:shd w:val="clear" w:color="auto" w:fill="auto"/>
            <w:vAlign w:val="center"/>
          </w:tcPr>
          <w:p w14:paraId="45117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安全监控与报警： 具备双路独立体温超限（可设上下限）声光报警及自动停止输出功能；异常状态报警（水温超限、缺水、传感器脱落等，带故障代码）；支持闭环/开环控制切换。</w:t>
            </w:r>
          </w:p>
        </w:tc>
      </w:tr>
      <w:tr w14:paraId="5FAA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color="auto" w:fill="auto"/>
            <w:noWrap/>
            <w:vAlign w:val="center"/>
          </w:tcPr>
          <w:p w14:paraId="5E732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30" w:type="dxa"/>
            <w:tcBorders>
              <w:top w:val="nil"/>
              <w:left w:val="nil"/>
              <w:bottom w:val="nil"/>
              <w:right w:val="nil"/>
            </w:tcBorders>
            <w:shd w:val="clear" w:color="auto" w:fill="auto"/>
            <w:vAlign w:val="center"/>
          </w:tcPr>
          <w:p w14:paraId="24158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输出控制与安全防护： 支持四路独立输出（双毯双帽同时使用，左右侧分控）；具备物理机械开关强制关闭制热系统；断电保护（恢复供电后自动续用原程序）。</w:t>
            </w:r>
          </w:p>
        </w:tc>
      </w:tr>
      <w:tr w14:paraId="6C9A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color="auto" w:fill="auto"/>
            <w:noWrap/>
            <w:vAlign w:val="center"/>
          </w:tcPr>
          <w:p w14:paraId="7BCB7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30" w:type="dxa"/>
            <w:tcBorders>
              <w:top w:val="nil"/>
              <w:left w:val="nil"/>
              <w:bottom w:val="nil"/>
              <w:right w:val="nil"/>
            </w:tcBorders>
            <w:shd w:val="clear" w:color="auto" w:fill="auto"/>
            <w:vAlign w:val="center"/>
          </w:tcPr>
          <w:p w14:paraId="56E8B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人机交互与程序： 高亮度中文显示界面，机械按键操作（非触屏），动画图标指示状态；内置≥10个预设程序，支持水温、体温限值及定时自定义。</w:t>
            </w:r>
          </w:p>
        </w:tc>
      </w:tr>
      <w:tr w14:paraId="3B3D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color="auto" w:fill="auto"/>
            <w:noWrap/>
            <w:vAlign w:val="center"/>
          </w:tcPr>
          <w:p w14:paraId="0E174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30" w:type="dxa"/>
            <w:tcBorders>
              <w:top w:val="nil"/>
              <w:left w:val="nil"/>
              <w:bottom w:val="nil"/>
              <w:right w:val="nil"/>
            </w:tcBorders>
            <w:shd w:val="clear" w:color="auto" w:fill="auto"/>
            <w:vAlign w:val="center"/>
          </w:tcPr>
          <w:p w14:paraId="7F177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水位管理与结构： 一体式注水口，带≥28mm标尺水位观察窗；屏显≥5级水位状态，缺水自动报警；主机尺寸（宽≤0.3m，高≥0.9m），钣金防锈外壳，配置管路及毯帽挂篮。</w:t>
            </w:r>
          </w:p>
        </w:tc>
      </w:tr>
      <w:tr w14:paraId="5ACB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color="auto" w:fill="auto"/>
            <w:noWrap/>
            <w:vAlign w:val="center"/>
          </w:tcPr>
          <w:p w14:paraId="5A243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30" w:type="dxa"/>
            <w:tcBorders>
              <w:top w:val="nil"/>
              <w:left w:val="nil"/>
              <w:bottom w:val="nil"/>
              <w:right w:val="nil"/>
            </w:tcBorders>
            <w:shd w:val="clear" w:color="auto" w:fill="auto"/>
            <w:vAlign w:val="center"/>
          </w:tcPr>
          <w:p w14:paraId="46A38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噪声与合规： 设备运行噪声≤55分贝（提供第三方检测机构出具的检测（检验）报告扫描件或提供产品官网截图或彩页关键页扫描件或产品说明书关键页扫描件（证明材料要求内容能体现满足上述参数要求））。</w:t>
            </w:r>
          </w:p>
        </w:tc>
      </w:tr>
    </w:tbl>
    <w:p w14:paraId="3250FF42">
      <w:pPr>
        <w:numPr>
          <w:ilvl w:val="0"/>
          <w:numId w:val="0"/>
        </w:numPr>
        <w:ind w:leftChars="0"/>
        <w:jc w:val="left"/>
        <w:rPr>
          <w:rFonts w:hint="eastAsia" w:ascii="仿宋_GB2312" w:hAnsi="仿宋_GB2312" w:eastAsia="仿宋_GB2312" w:cs="仿宋_GB2312"/>
          <w:sz w:val="28"/>
          <w:szCs w:val="28"/>
          <w:highlight w:val="none"/>
        </w:rPr>
      </w:pPr>
    </w:p>
    <w:p w14:paraId="5FC890AD">
      <w:pPr>
        <w:numPr>
          <w:ilvl w:val="0"/>
          <w:numId w:val="0"/>
        </w:numPr>
        <w:ind w:leftChars="0"/>
        <w:jc w:val="left"/>
        <w:rPr>
          <w:rFonts w:hint="eastAsia" w:ascii="仿宋_GB2312" w:hAnsi="仿宋_GB2312" w:eastAsia="仿宋_GB2312" w:cs="仿宋_GB2312"/>
          <w:b/>
          <w:bCs/>
          <w:sz w:val="28"/>
          <w:szCs w:val="28"/>
          <w:highlight w:val="none"/>
        </w:rPr>
      </w:pPr>
    </w:p>
    <w:p w14:paraId="7E8184C2">
      <w:pPr>
        <w:numPr>
          <w:ilvl w:val="0"/>
          <w:numId w:val="0"/>
        </w:numPr>
        <w:ind w:left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配置清单</w:t>
      </w:r>
    </w:p>
    <w:tbl>
      <w:tblPr>
        <w:tblStyle w:val="7"/>
        <w:tblW w:w="49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21"/>
        <w:gridCol w:w="1080"/>
      </w:tblGrid>
      <w:tr w14:paraId="15A8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7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1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0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5850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B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1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E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14:paraId="786E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9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5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F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r>
      <w:tr w14:paraId="277B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E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4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D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r>
      <w:tr w14:paraId="0664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B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E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7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r>
    </w:tbl>
    <w:p w14:paraId="114C974A">
      <w:pPr>
        <w:numPr>
          <w:ilvl w:val="0"/>
          <w:numId w:val="6"/>
        </w:numPr>
        <w:ind w:left="425" w:leftChars="0" w:hanging="425"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tbl>
      <w:tblPr>
        <w:tblStyle w:val="7"/>
        <w:tblW w:w="10365" w:type="dxa"/>
        <w:jc w:val="center"/>
        <w:tblLayout w:type="autofit"/>
        <w:tblCellMar>
          <w:top w:w="0" w:type="dxa"/>
          <w:left w:w="108" w:type="dxa"/>
          <w:bottom w:w="0" w:type="dxa"/>
          <w:right w:w="108" w:type="dxa"/>
        </w:tblCellMar>
      </w:tblPr>
      <w:tblGrid>
        <w:gridCol w:w="525"/>
        <w:gridCol w:w="735"/>
        <w:gridCol w:w="1020"/>
        <w:gridCol w:w="8085"/>
      </w:tblGrid>
      <w:tr w14:paraId="1C171A33">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B26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8630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8496">
            <w:pPr>
              <w:widowControl/>
              <w:jc w:val="center"/>
              <w:textAlignment w:val="center"/>
              <w:rPr>
                <w:rFonts w:ascii="仿宋_GB2312" w:hAnsi="宋体" w:eastAsia="仿宋_GB2312" w:cs="仿宋_GB2312"/>
                <w:b/>
                <w:bCs/>
                <w:color w:val="000000"/>
                <w:sz w:val="28"/>
                <w:szCs w:val="28"/>
                <w:highlight w:val="none"/>
              </w:rPr>
            </w:pPr>
            <w:r>
              <w:rPr>
                <w:rFonts w:hint="eastAsia" w:ascii="微软雅黑" w:hAnsi="微软雅黑" w:eastAsia="微软雅黑" w:cs="微软雅黑"/>
                <w:color w:val="000000"/>
                <w:kern w:val="0"/>
                <w:sz w:val="28"/>
                <w:szCs w:val="28"/>
                <w:highlight w:val="none"/>
                <w:lang w:eastAsia="zh-CN" w:bidi="ar"/>
              </w:rPr>
              <w:t>★</w:t>
            </w:r>
            <w:r>
              <w:rPr>
                <w:rFonts w:hint="eastAsia" w:ascii="仿宋_GB2312" w:hAnsi="宋体" w:eastAsia="仿宋_GB2312" w:cs="仿宋_GB2312"/>
                <w:b/>
                <w:bCs/>
                <w:color w:val="000000"/>
                <w:kern w:val="0"/>
                <w:sz w:val="28"/>
                <w:szCs w:val="28"/>
                <w:highlight w:val="none"/>
                <w:lang w:bidi="ar"/>
              </w:rPr>
              <w:t>商务要求</w:t>
            </w:r>
          </w:p>
        </w:tc>
      </w:tr>
      <w:tr w14:paraId="3AC48043">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A5AF3">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（一）免费保修期内售后服务要求</w:t>
            </w:r>
          </w:p>
        </w:tc>
      </w:tr>
      <w:tr w14:paraId="0439F622">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0969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3605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BFD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7908">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设备原厂（含附件）免费保修期为</w:t>
            </w:r>
            <w:r>
              <w:rPr>
                <w:rStyle w:val="14"/>
                <w:rFonts w:hint="eastAsia" w:hAnsi="宋体" w:eastAsia="仿宋_GB2312"/>
                <w:highlight w:val="none"/>
                <w:lang w:val="en-US" w:eastAsia="zh-CN" w:bidi="ar"/>
              </w:rPr>
              <w:t>5</w:t>
            </w:r>
            <w:r>
              <w:rPr>
                <w:rStyle w:val="15"/>
                <w:rFonts w:hint="default" w:hAnsi="宋体"/>
                <w:highlight w:val="none"/>
                <w:lang w:bidi="ar"/>
              </w:rPr>
              <w:t>年，自验收报告签字之日开始计算。</w:t>
            </w:r>
          </w:p>
        </w:tc>
      </w:tr>
      <w:tr w14:paraId="79F36F97">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7855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A28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B06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722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26076F78">
        <w:tblPrEx>
          <w:tblCellMar>
            <w:top w:w="0" w:type="dxa"/>
            <w:left w:w="108" w:type="dxa"/>
            <w:bottom w:w="0" w:type="dxa"/>
            <w:right w:w="108" w:type="dxa"/>
          </w:tblCellMar>
        </w:tblPrEx>
        <w:trPr>
          <w:trHeight w:val="116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E8D4">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EAB7B">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F1E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3CD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20B0B174">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09A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3C8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6BE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7E3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投标人应按其投标文件中的承诺，进行其他售后服务工作。</w:t>
            </w:r>
          </w:p>
        </w:tc>
      </w:tr>
      <w:tr w14:paraId="794A0D18">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C1FB7A">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（二）免费保修期外售后服务要求</w:t>
            </w:r>
          </w:p>
        </w:tc>
      </w:tr>
      <w:tr w14:paraId="2D086F39">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051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40A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474C">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6560">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免费保修期结束后的维修只按优惠价格收取材料费，不收取人工费及差旅费，</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须在签订合同前提供该设备免费保修期结束后的年度维保方案和报价，以作为采购人购买后续服务的基本保证。</w:t>
            </w:r>
          </w:p>
        </w:tc>
      </w:tr>
      <w:tr w14:paraId="1D269663">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43F037">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（三）其他商务要求</w:t>
            </w:r>
          </w:p>
        </w:tc>
      </w:tr>
      <w:tr w14:paraId="4BD97CF2">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71FF3">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9C04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3693">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4095">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合同签订或约定之日起</w:t>
            </w:r>
            <w:r>
              <w:rPr>
                <w:rStyle w:val="14"/>
                <w:rFonts w:hint="default" w:hAnsi="宋体"/>
                <w:highlight w:val="none"/>
                <w:lang w:bidi="ar"/>
              </w:rPr>
              <w:t>30</w:t>
            </w:r>
            <w:r>
              <w:rPr>
                <w:rStyle w:val="15"/>
                <w:rFonts w:hint="default" w:hAnsi="宋体"/>
                <w:highlight w:val="none"/>
                <w:lang w:bidi="ar"/>
              </w:rPr>
              <w:t>日历天内交货。</w:t>
            </w:r>
            <w:bookmarkStart w:id="0" w:name="_GoBack"/>
            <w:bookmarkEnd w:id="0"/>
          </w:p>
        </w:tc>
      </w:tr>
      <w:tr w14:paraId="262D397A">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CE8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BC8F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690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602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地点：采购人指定地点。</w:t>
            </w:r>
          </w:p>
        </w:tc>
      </w:tr>
      <w:tr w14:paraId="67D0134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955F">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EC8D3">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975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31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必须在交货之日</w:t>
            </w:r>
            <w:r>
              <w:rPr>
                <w:rFonts w:hint="eastAsia" w:ascii="仿宋_GB2312" w:hAnsi="宋体" w:eastAsia="仿宋_GB2312" w:cs="仿宋_GB2312"/>
                <w:b w:val="0"/>
                <w:bCs w:val="0"/>
                <w:color w:val="000000"/>
                <w:kern w:val="0"/>
                <w:sz w:val="28"/>
                <w:szCs w:val="28"/>
                <w:highlight w:val="none"/>
                <w:lang w:bidi="ar"/>
              </w:rPr>
              <w:t>起</w:t>
            </w:r>
            <w:r>
              <w:rPr>
                <w:rStyle w:val="14"/>
                <w:rFonts w:hint="default" w:hAnsi="宋体"/>
                <w:b w:val="0"/>
                <w:bCs w:val="0"/>
                <w:highlight w:val="none"/>
                <w:lang w:bidi="ar"/>
              </w:rPr>
              <w:t>60</w:t>
            </w:r>
            <w:r>
              <w:rPr>
                <w:rStyle w:val="15"/>
                <w:rFonts w:hint="default" w:hAnsi="宋体"/>
                <w:highlight w:val="none"/>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4D8BFF95">
        <w:tblPrEx>
          <w:tblCellMar>
            <w:top w:w="0" w:type="dxa"/>
            <w:left w:w="108" w:type="dxa"/>
            <w:bottom w:w="0" w:type="dxa"/>
            <w:right w:w="108" w:type="dxa"/>
          </w:tblCellMar>
        </w:tblPrEx>
        <w:trPr>
          <w:trHeight w:val="576"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B221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A66E3">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3A6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8F0F">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包装运输：</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承担，（包括但不限于运输费、装卸费、保管费等）。</w:t>
            </w:r>
          </w:p>
        </w:tc>
      </w:tr>
      <w:tr w14:paraId="73180AB7">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F554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8E3CC">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5AB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DF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货物经过双方检验认可后，签署验收报告，产品保修期自验收合格之日起算，由投标人提供产品保修文件。</w:t>
            </w:r>
          </w:p>
        </w:tc>
      </w:tr>
      <w:tr w14:paraId="5CECD906">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D35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44363">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B27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638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当满足以下条件时，采购人才向</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签发货物验收报告：</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已按照合同规定提供了全部产品及完整的技术资料。货物符合招标文件技术要求，性能满足要求。国产货物必须具备产品合格证。</w:t>
            </w:r>
          </w:p>
        </w:tc>
      </w:tr>
      <w:tr w14:paraId="741DEB85">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E106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7C11">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CB3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0EB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凡属于国家规定强制检测的设备项目，都必须具备计量质检部门的检测合格证。</w:t>
            </w:r>
          </w:p>
        </w:tc>
      </w:tr>
      <w:tr w14:paraId="2C5A91E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B1D7">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0E6B">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C92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089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验收过程中，如采购人拟对货物质量进行实质验收时，有权邀请第三方检测机构对货物进行检测或测试，因此所需的费用由</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承担。</w:t>
            </w:r>
          </w:p>
        </w:tc>
      </w:tr>
      <w:tr w14:paraId="1AB47CA7">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3A1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F75D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6C0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65A0">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提供的设备为第一类医疗器械的，验收时应当提供医疗行业主管部门签发的有效的《医疗器械备案凭证》；</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提供的设备为第二、三类医疗器械的，应当提供医疗行业主管部门签发的涵盖</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提供设备的《医疗器械注册证》。</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5B8C1522">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ABD36">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0EE3">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12B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F6D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在验收过程中，中标人需出具与设备制造商签订的与原合同条款一致的维保合同或原厂维保承诺函。</w:t>
            </w:r>
          </w:p>
        </w:tc>
      </w:tr>
      <w:tr w14:paraId="696B13A0">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59D3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926F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52B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C89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须支持物联网协议，便于与医院信息系统的对接，按采购人要求无条件开放数据交换接口，并提供技术支持（中标</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不得向采购人收取额外的费用），并保证所使用软件的合法性，任何知识产权纠纷与采购人无关。</w:t>
            </w:r>
          </w:p>
        </w:tc>
      </w:tr>
      <w:tr w14:paraId="6A7054F1">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626E">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328F5">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98C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366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若所投产品为进口产品，投标人必须是所投产品的制造商或合法代理商或合法授权</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（提供相关证明扫描件）；若所投产品是国产产品（非进口产品），则投标人不需要提供其为所投产品的制造商或合法代理商或合法授权</w:t>
            </w: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的证明。</w:t>
            </w:r>
          </w:p>
        </w:tc>
      </w:tr>
      <w:tr w14:paraId="669C90DE">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92838">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CC65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764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E48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001CCC58">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6B7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8C41D">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FFDC">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15E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eastAsia="zh-CN" w:bidi="ar"/>
              </w:rPr>
              <w:t>投标人</w:t>
            </w:r>
            <w:r>
              <w:rPr>
                <w:rFonts w:hint="eastAsia" w:ascii="仿宋_GB2312" w:hAnsi="宋体" w:eastAsia="仿宋_GB2312" w:cs="仿宋_GB2312"/>
                <w:color w:val="000000"/>
                <w:kern w:val="0"/>
                <w:sz w:val="28"/>
                <w:szCs w:val="28"/>
                <w:highlight w:val="none"/>
                <w:lang w:bidi="ar"/>
              </w:rPr>
              <w:t>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373493B0">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F860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2C28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2B8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73A0">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本次标的若包含软件服务，需本地化部署，并严格遵照《信息安全法》等相关法律法规，符合网络安全管理相关规定，所有数据未经采购方允许，不得向第三方私自泄漏。</w:t>
            </w:r>
          </w:p>
        </w:tc>
      </w:tr>
      <w:tr w14:paraId="3ED4EF7B">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DAB7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16D9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4E3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801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合同生效后，货到指定地点，安装验收合格后，采购人收到投标人提供的相应金额合法有效发票后，支付合同总金额的100%。</w:t>
            </w:r>
          </w:p>
        </w:tc>
      </w:tr>
      <w:tr w14:paraId="63486D0B">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8DD8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A1581">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834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D81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46212C85">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ECCD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318B">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638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35E1">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若本项目财政下达的资金数额不足以支付合同约定的比例金额，采购人将按照实际财政下达的资金数额支付合同款，不足部分将待新的项目资金下达后进行支付。</w:t>
            </w:r>
          </w:p>
        </w:tc>
      </w:tr>
      <w:tr w14:paraId="5B596E69">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1CE4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CA2D3">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769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810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5E4A1C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99C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86FD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C8D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937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由于投标人的原因未能按时交货的，每迟一天向采购人支付合同总额的0.5%违约金，如超过交货期10天，采购人有权终止合同并通过法律程序对投标人进行索赔。</w:t>
            </w:r>
          </w:p>
        </w:tc>
      </w:tr>
      <w:tr w14:paraId="62414A2C">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AD8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645A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13EC">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4B2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69436D03">
      <w:pPr>
        <w:pStyle w:val="2"/>
        <w:numPr>
          <w:ilvl w:val="0"/>
          <w:numId w:val="0"/>
        </w:numPr>
        <w:spacing w:before="0" w:after="0" w:line="240" w:lineRule="auto"/>
        <w:rPr>
          <w:rFonts w:hint="eastAsia" w:ascii="仿宋" w:hAnsi="仿宋" w:eastAsia="仿宋"/>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七</w:t>
      </w:r>
      <w:r>
        <w:rPr>
          <w:rFonts w:hint="eastAsia" w:ascii="仿宋_GB2312" w:hAnsi="仿宋_GB2312" w:eastAsia="仿宋_GB2312" w:cs="仿宋_GB2312"/>
          <w:b/>
          <w:bCs/>
          <w:sz w:val="28"/>
          <w:szCs w:val="28"/>
          <w:highlight w:val="none"/>
          <w:lang w:eastAsia="zh-CN"/>
        </w:rPr>
        <w:t>）</w:t>
      </w:r>
      <w:r>
        <w:rPr>
          <w:rFonts w:hint="eastAsia" w:ascii="仿宋" w:hAnsi="仿宋" w:eastAsia="仿宋"/>
          <w:sz w:val="28"/>
          <w:szCs w:val="28"/>
          <w:highlight w:val="none"/>
        </w:rPr>
        <w:t>评审规则</w:t>
      </w:r>
      <w:r>
        <w:rPr>
          <w:rFonts w:hint="eastAsia" w:ascii="仿宋" w:hAnsi="仿宋" w:eastAsia="仿宋"/>
          <w:sz w:val="28"/>
          <w:szCs w:val="28"/>
          <w:highlight w:val="none"/>
          <w:lang w:eastAsia="zh-CN"/>
        </w:rPr>
        <w:t>：</w:t>
      </w:r>
    </w:p>
    <w:p w14:paraId="22A4A0A7">
      <w:pPr>
        <w:adjustRightInd w:val="0"/>
        <w:snapToGrid w:val="0"/>
        <w:jc w:val="left"/>
        <w:rPr>
          <w:rFonts w:hint="eastAsia" w:ascii="仿宋_GB2312" w:hAnsi="仿宋_GB2312" w:eastAsia="仿宋_GB2312" w:cs="仿宋_GB2312"/>
          <w:i w:val="0"/>
          <w:iCs w:val="0"/>
          <w:color w:val="FF0000"/>
          <w:sz w:val="24"/>
          <w:szCs w:val="24"/>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评标方法：综合评分法</w:t>
      </w:r>
    </w:p>
    <w:p w14:paraId="70A27C8E">
      <w:pPr>
        <w:adjustRightInd/>
        <w:snapToGrid/>
        <w:jc w:val="left"/>
        <w:rPr>
          <w:rFonts w:hint="eastAsia" w:ascii="仿宋_GB2312" w:hAnsi="仿宋_GB2312" w:eastAsia="仿宋_GB2312" w:cs="仿宋_GB2312"/>
          <w:i w:val="0"/>
          <w:iCs w:val="0"/>
          <w:color w:val="FF0000"/>
          <w:sz w:val="24"/>
          <w:szCs w:val="24"/>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0EE14A00">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DBD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jNDMzM2QxOTBhY2IzOTI1YjlmOTA2MWE5MjhkMzkifQ=="/>
    <w:docVar w:name="KSO_WPS_MARK_KEY" w:val="9f1004bf-1616-42d9-bc07-5275361ee925"/>
  </w:docVars>
  <w:rsids>
    <w:rsidRoot w:val="00681410"/>
    <w:rsid w:val="0002072A"/>
    <w:rsid w:val="00061E07"/>
    <w:rsid w:val="00160CAF"/>
    <w:rsid w:val="00162818"/>
    <w:rsid w:val="00216720"/>
    <w:rsid w:val="002277A4"/>
    <w:rsid w:val="00681410"/>
    <w:rsid w:val="0078244A"/>
    <w:rsid w:val="008914B7"/>
    <w:rsid w:val="00B97AED"/>
    <w:rsid w:val="00C9106E"/>
    <w:rsid w:val="00F43941"/>
    <w:rsid w:val="02D44495"/>
    <w:rsid w:val="040A4AA1"/>
    <w:rsid w:val="075B5A46"/>
    <w:rsid w:val="092B34AD"/>
    <w:rsid w:val="0B7C4F45"/>
    <w:rsid w:val="0C6A7D1D"/>
    <w:rsid w:val="0D532C76"/>
    <w:rsid w:val="1A342938"/>
    <w:rsid w:val="1C4A5F2B"/>
    <w:rsid w:val="1D3E161D"/>
    <w:rsid w:val="1DAB29F9"/>
    <w:rsid w:val="1E6852A2"/>
    <w:rsid w:val="268A3AF4"/>
    <w:rsid w:val="2A6927E2"/>
    <w:rsid w:val="2B033E75"/>
    <w:rsid w:val="2CBA4A07"/>
    <w:rsid w:val="312A0667"/>
    <w:rsid w:val="31BC3D81"/>
    <w:rsid w:val="345D1B1D"/>
    <w:rsid w:val="385E56D4"/>
    <w:rsid w:val="386B2CF7"/>
    <w:rsid w:val="38A751B8"/>
    <w:rsid w:val="3B1C5F0A"/>
    <w:rsid w:val="3BE455FD"/>
    <w:rsid w:val="3DA24B99"/>
    <w:rsid w:val="3F786788"/>
    <w:rsid w:val="418F2299"/>
    <w:rsid w:val="47946129"/>
    <w:rsid w:val="49400937"/>
    <w:rsid w:val="4AAC3789"/>
    <w:rsid w:val="4C4243A5"/>
    <w:rsid w:val="4F624D5E"/>
    <w:rsid w:val="4FD54AD8"/>
    <w:rsid w:val="51D9166A"/>
    <w:rsid w:val="539D45B7"/>
    <w:rsid w:val="5817137E"/>
    <w:rsid w:val="59266DFD"/>
    <w:rsid w:val="61A96E48"/>
    <w:rsid w:val="6351275B"/>
    <w:rsid w:val="648E6DFC"/>
    <w:rsid w:val="65644009"/>
    <w:rsid w:val="6A62517B"/>
    <w:rsid w:val="6C1B20C6"/>
    <w:rsid w:val="6C362156"/>
    <w:rsid w:val="6C70102E"/>
    <w:rsid w:val="6D282CEC"/>
    <w:rsid w:val="6E0472B5"/>
    <w:rsid w:val="715278CE"/>
    <w:rsid w:val="74974D88"/>
    <w:rsid w:val="74B15375"/>
    <w:rsid w:val="75AE135E"/>
    <w:rsid w:val="7B2F2690"/>
    <w:rsid w:val="CD6F8A70"/>
    <w:rsid w:val="FFFE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qFormat/>
    <w:uiPriority w:val="0"/>
    <w:rPr>
      <w:rFonts w:ascii="宋体" w:hAnsi="Courier New"/>
      <w:szCs w:val="2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left="704" w:hanging="420"/>
    </w:pPr>
    <w:rPr>
      <w:rFonts w:ascii="Times New Roman" w:hAnsi="Times New Roman" w:eastAsia="黑体" w:cs="Times New Roman"/>
      <w:sz w:val="32"/>
      <w:szCs w:val="24"/>
    </w:rPr>
  </w:style>
  <w:style w:type="character" w:customStyle="1" w:styleId="13">
    <w:name w:val="标题 1 字符"/>
    <w:basedOn w:val="9"/>
    <w:link w:val="2"/>
    <w:qFormat/>
    <w:uiPriority w:val="9"/>
    <w:rPr>
      <w:b/>
      <w:bCs/>
      <w:kern w:val="44"/>
      <w:sz w:val="44"/>
      <w:szCs w:val="44"/>
    </w:rPr>
  </w:style>
  <w:style w:type="character" w:customStyle="1" w:styleId="14">
    <w:name w:val="font21"/>
    <w:basedOn w:val="9"/>
    <w:qFormat/>
    <w:uiPriority w:val="0"/>
    <w:rPr>
      <w:rFonts w:hint="eastAsia" w:ascii="仿宋_GB2312" w:eastAsia="仿宋_GB2312" w:cs="仿宋_GB2312"/>
      <w:b/>
      <w:bCs/>
      <w:color w:val="000000"/>
      <w:sz w:val="28"/>
      <w:szCs w:val="28"/>
      <w:u w:val="none"/>
    </w:rPr>
  </w:style>
  <w:style w:type="character" w:customStyle="1" w:styleId="15">
    <w:name w:val="font31"/>
    <w:basedOn w:val="9"/>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1906</Words>
  <Characters>1961</Characters>
  <Lines>7</Lines>
  <Paragraphs>2</Paragraphs>
  <TotalTime>4</TotalTime>
  <ScaleCrop>false</ScaleCrop>
  <LinksUpToDate>false</LinksUpToDate>
  <CharactersWithSpaces>2007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2024-01-11T00:47:00Z</dcterms:created>
  <dc:creator>Liu W</dc:creator>
  <cp:lastModifiedBy>JH</cp:lastModifiedBy>
  <dcterms:modified xsi:type="dcterms:W3CDTF">2025-07-16T00:44:04Z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19945C63C57242E6B8167D44F83259B4_13</vt:lpwstr>
  </property>
  <property fmtid="{D5CDD505-2E9C-101B-9397-08002B2CF9AE}" pid="4" name="KSOTemplateDocerSaveRecord">
    <vt:lpwstr>eyJoZGlkIjoiOTgxNzhhZWVjZDVjYzFiNzUyN2FlYmU1YTIwNTA2N2MiLCJ1c2VySWQiOiIxMTI2ODg3MDA2In0=</vt:lpwstr>
  </property>
</Properties>
</file>