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EAD4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深圳市前海蛇口自贸区医院医院感染实时监控系统</w:t>
      </w:r>
      <w:r>
        <w:rPr>
          <w:rFonts w:hint="eastAsia" w:ascii="方正小标宋简体" w:hAnsi="方正小标宋简体" w:eastAsia="方正小标宋简体" w:cs="方正小标宋简体"/>
          <w:sz w:val="44"/>
          <w:szCs w:val="44"/>
          <w:lang w:val="en-US" w:eastAsia="zh-CN"/>
        </w:rPr>
        <w:t>运维</w:t>
      </w:r>
      <w:r>
        <w:rPr>
          <w:rFonts w:hint="eastAsia" w:ascii="方正小标宋简体" w:hAnsi="方正小标宋简体" w:eastAsia="方正小标宋简体" w:cs="方正小标宋简体"/>
          <w:sz w:val="44"/>
          <w:szCs w:val="44"/>
        </w:rPr>
        <w:t>服务项目</w:t>
      </w:r>
      <w:r>
        <w:rPr>
          <w:rFonts w:hint="eastAsia" w:ascii="方正小标宋简体" w:hAnsi="方正小标宋简体" w:eastAsia="方正小标宋简体" w:cs="方正小标宋简体"/>
          <w:sz w:val="44"/>
          <w:szCs w:val="44"/>
          <w:lang w:val="en-US" w:eastAsia="zh-CN"/>
        </w:rPr>
        <w:t>比</w:t>
      </w:r>
      <w:r>
        <w:rPr>
          <w:rFonts w:hint="eastAsia" w:ascii="方正小标宋简体" w:hAnsi="方正小标宋简体" w:eastAsia="方正小标宋简体" w:cs="方正小标宋简体"/>
          <w:sz w:val="44"/>
          <w:szCs w:val="44"/>
        </w:rPr>
        <w:t>价采购公告</w:t>
      </w:r>
    </w:p>
    <w:p w14:paraId="1782D95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4E16FB9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比</w:t>
      </w:r>
      <w:r>
        <w:rPr>
          <w:rFonts w:hint="eastAsia" w:ascii="黑体" w:hAnsi="黑体" w:eastAsia="黑体" w:cs="黑体"/>
          <w:sz w:val="32"/>
          <w:szCs w:val="32"/>
        </w:rPr>
        <w:t>价项目相关信息</w:t>
      </w:r>
    </w:p>
    <w:p w14:paraId="63C5724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bookmarkStart w:id="0" w:name="OLE_LINK1"/>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bookmarkEnd w:id="0"/>
      <w:r>
        <w:rPr>
          <w:rFonts w:hint="eastAsia" w:ascii="仿宋_GB2312" w:hAnsi="仿宋_GB2312" w:eastAsia="仿宋_GB2312" w:cs="仿宋_GB2312"/>
          <w:b w:val="0"/>
          <w:bCs w:val="0"/>
          <w:sz w:val="32"/>
          <w:szCs w:val="32"/>
          <w:lang w:val="en-US" w:eastAsia="zh-CN"/>
        </w:rPr>
        <w:t>比</w:t>
      </w:r>
      <w:r>
        <w:rPr>
          <w:rFonts w:hint="eastAsia" w:ascii="仿宋_GB2312" w:hAnsi="仿宋_GB2312" w:eastAsia="仿宋_GB2312" w:cs="仿宋_GB2312"/>
          <w:b w:val="0"/>
          <w:bCs w:val="0"/>
          <w:sz w:val="32"/>
          <w:szCs w:val="32"/>
        </w:rPr>
        <w:t>价项目：</w:t>
      </w:r>
      <w:bookmarkStart w:id="1" w:name="OLE_LINK2"/>
      <w:r>
        <w:rPr>
          <w:rFonts w:hint="eastAsia" w:ascii="仿宋_GB2312" w:hAnsi="仿宋_GB2312" w:eastAsia="仿宋_GB2312" w:cs="仿宋_GB2312"/>
          <w:sz w:val="32"/>
          <w:szCs w:val="32"/>
        </w:rPr>
        <w:t>医院感染实时监控系统</w:t>
      </w:r>
      <w:r>
        <w:rPr>
          <w:rFonts w:hint="eastAsia" w:ascii="仿宋_GB2312" w:hAnsi="仿宋_GB2312" w:eastAsia="仿宋_GB2312" w:cs="仿宋_GB2312"/>
          <w:sz w:val="32"/>
          <w:szCs w:val="32"/>
          <w:lang w:val="en-US" w:eastAsia="zh-CN"/>
        </w:rPr>
        <w:t>运维</w:t>
      </w:r>
      <w:r>
        <w:rPr>
          <w:rFonts w:hint="eastAsia" w:ascii="仿宋_GB2312" w:hAnsi="仿宋_GB2312" w:eastAsia="仿宋_GB2312" w:cs="仿宋_GB2312"/>
          <w:sz w:val="32"/>
          <w:szCs w:val="32"/>
        </w:rPr>
        <w:t>服务</w:t>
      </w:r>
    </w:p>
    <w:p w14:paraId="288B508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bookmarkEnd w:id="1"/>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价编号：JYCG-DECL-2025-20699</w:t>
      </w:r>
    </w:p>
    <w:p w14:paraId="09FD6DE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2" w:name="OLE_LINK3"/>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bookmarkEnd w:id="2"/>
      <w:r>
        <w:rPr>
          <w:rFonts w:hint="eastAsia" w:ascii="仿宋_GB2312" w:hAnsi="仿宋_GB2312" w:eastAsia="仿宋_GB2312" w:cs="仿宋_GB2312"/>
          <w:sz w:val="32"/>
          <w:szCs w:val="32"/>
        </w:rPr>
        <w:t>项目总预算金额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27500.00</w:t>
      </w:r>
      <w:r>
        <w:rPr>
          <w:rFonts w:hint="eastAsia" w:ascii="仿宋_GB2312" w:hAnsi="仿宋_GB2312" w:eastAsia="仿宋_GB2312" w:cs="仿宋_GB2312"/>
          <w:sz w:val="32"/>
          <w:szCs w:val="32"/>
        </w:rPr>
        <w:t>元</w:t>
      </w:r>
    </w:p>
    <w:p w14:paraId="234A707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3" w:name="OLE_LINK4"/>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bookmarkEnd w:id="3"/>
      <w:r>
        <w:rPr>
          <w:rFonts w:hint="eastAsia" w:ascii="仿宋_GB2312" w:hAnsi="仿宋_GB2312" w:eastAsia="仿宋_GB2312" w:cs="仿宋_GB2312"/>
          <w:sz w:val="32"/>
          <w:szCs w:val="32"/>
        </w:rPr>
        <w:t>评标办法：最低评标价法</w:t>
      </w:r>
    </w:p>
    <w:p w14:paraId="5717948E">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bookmarkStart w:id="4" w:name="OLE_LINK5"/>
      <w:r>
        <w:rPr>
          <w:rFonts w:hint="eastAsia" w:ascii="楷体_GB2312" w:hAnsi="楷体_GB2312" w:eastAsia="楷体_GB2312" w:cs="楷体_GB2312"/>
          <w:sz w:val="32"/>
          <w:szCs w:val="32"/>
          <w:lang w:val="en-US" w:eastAsia="zh-CN"/>
        </w:rPr>
        <w:t>（五）</w:t>
      </w:r>
      <w:bookmarkEnd w:id="4"/>
      <w:r>
        <w:rPr>
          <w:rFonts w:hint="eastAsia" w:ascii="仿宋_GB2312" w:hAnsi="仿宋_GB2312" w:eastAsia="仿宋_GB2312" w:cs="仿宋_GB2312"/>
          <w:sz w:val="32"/>
          <w:szCs w:val="32"/>
          <w:lang w:val="en-US" w:eastAsia="zh-CN"/>
        </w:rPr>
        <w:t>报价类型：总价</w:t>
      </w:r>
    </w:p>
    <w:p w14:paraId="2CBAFA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5" w:name="OLE_LINK6"/>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bookmarkEnd w:id="5"/>
      <w:r>
        <w:rPr>
          <w:rFonts w:hint="eastAsia" w:ascii="仿宋_GB2312" w:hAnsi="仿宋_GB2312" w:eastAsia="仿宋_GB2312" w:cs="仿宋_GB2312"/>
          <w:sz w:val="32"/>
          <w:szCs w:val="32"/>
        </w:rPr>
        <w:t>定标方式：由评标委员会直接确定中标人</w:t>
      </w:r>
    </w:p>
    <w:p w14:paraId="7CEC6CE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二、供应商资质要求</w:t>
      </w:r>
    </w:p>
    <w:p w14:paraId="5B3016D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供应商需具有独立法人资格或具有独立承担民事责任能力的其他组织。需提供营业执照或事业单位法人证等法人证明复印件，且原件备查。</w:t>
      </w:r>
    </w:p>
    <w:p w14:paraId="48FC0A5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若供应商提供虚假资料，一旦被查实，可能面临被取消本项目供应资格、列入不良行为名单内，并三年内禁止参与本院任何有关招标采购项目。</w:t>
      </w:r>
    </w:p>
    <w:p w14:paraId="46DEDE5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三、项目需求</w:t>
      </w:r>
    </w:p>
    <w:p w14:paraId="13DEFC1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（一）技术要求</w:t>
      </w:r>
    </w:p>
    <w:p w14:paraId="52079A75">
      <w:pPr>
        <w:keepNext w:val="0"/>
        <w:keepLines w:val="0"/>
        <w:pageBreakBefore w:val="0"/>
        <w:widowControl w:val="0"/>
        <w:numPr>
          <w:ilvl w:val="0"/>
          <w:numId w:val="0"/>
        </w:numPr>
        <w:kinsoku/>
        <w:wordWrap/>
        <w:overflowPunct/>
        <w:topLinePunct w:val="0"/>
        <w:autoSpaceDE/>
        <w:autoSpaceDN/>
        <w:bidi w:val="0"/>
        <w:adjustRightInd/>
        <w:snapToGrid/>
        <w:spacing w:afterAutospacing="0" w:line="240" w:lineRule="auto"/>
        <w:ind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对医院现使用的杏林医院感染实时监控系统进行</w:t>
      </w:r>
      <w:r>
        <w:rPr>
          <w:rFonts w:hint="eastAsia" w:ascii="仿宋_GB2312" w:hAnsi="仿宋_GB2312" w:eastAsia="仿宋_GB2312" w:cs="仿宋_GB2312"/>
          <w:sz w:val="32"/>
          <w:szCs w:val="32"/>
          <w:lang w:val="en-US" w:eastAsia="zh-CN"/>
        </w:rPr>
        <w:t>运维</w:t>
      </w:r>
      <w:r>
        <w:rPr>
          <w:rFonts w:hint="eastAsia" w:ascii="仿宋_GB2312" w:hAnsi="仿宋_GB2312" w:eastAsia="仿宋_GB2312" w:cs="仿宋_GB2312"/>
          <w:sz w:val="32"/>
          <w:szCs w:val="32"/>
        </w:rPr>
        <w:t>服务，具体要求如下：</w:t>
      </w:r>
    </w:p>
    <w:p w14:paraId="1AC54BA2">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服务内容</w:t>
      </w:r>
    </w:p>
    <w:tbl>
      <w:tblPr>
        <w:tblStyle w:val="3"/>
        <w:tblpPr w:leftFromText="180" w:rightFromText="180" w:vertAnchor="text" w:horzAnchor="page" w:tblpXSpec="center" w:tblpY="620"/>
        <w:tblOverlap w:val="never"/>
        <w:tblW w:w="9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9"/>
        <w:gridCol w:w="1983"/>
        <w:gridCol w:w="6538"/>
      </w:tblGrid>
      <w:tr w14:paraId="445D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89" w:type="dxa"/>
            <w:tcBorders>
              <w:top w:val="single" w:color="000000" w:sz="4" w:space="0"/>
              <w:left w:val="single" w:color="000000" w:sz="4" w:space="0"/>
              <w:bottom w:val="single" w:color="auto" w:sz="4" w:space="0"/>
              <w:right w:val="single" w:color="000000" w:sz="4" w:space="0"/>
            </w:tcBorders>
            <w:noWrap w:val="0"/>
            <w:vAlign w:val="center"/>
          </w:tcPr>
          <w:p w14:paraId="434249AF">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983" w:type="dxa"/>
            <w:tcBorders>
              <w:top w:val="single" w:color="000000" w:sz="4" w:space="0"/>
              <w:left w:val="single" w:color="000000" w:sz="4" w:space="0"/>
              <w:bottom w:val="single" w:color="auto" w:sz="4" w:space="0"/>
              <w:right w:val="single" w:color="000000" w:sz="4" w:space="0"/>
            </w:tcBorders>
            <w:noWrap w:val="0"/>
            <w:vAlign w:val="center"/>
          </w:tcPr>
          <w:p w14:paraId="72C02EAA">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服务内容</w:t>
            </w:r>
          </w:p>
        </w:tc>
        <w:tc>
          <w:tcPr>
            <w:tcW w:w="6538" w:type="dxa"/>
            <w:tcBorders>
              <w:top w:val="single" w:color="000000" w:sz="4" w:space="0"/>
              <w:left w:val="single" w:color="000000" w:sz="4" w:space="0"/>
              <w:bottom w:val="single" w:color="auto" w:sz="4" w:space="0"/>
              <w:right w:val="single" w:color="000000" w:sz="8" w:space="0"/>
            </w:tcBorders>
            <w:noWrap w:val="0"/>
            <w:vAlign w:val="center"/>
          </w:tcPr>
          <w:p w14:paraId="4ACC4CA8">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具体内容</w:t>
            </w:r>
          </w:p>
        </w:tc>
      </w:tr>
      <w:tr w14:paraId="32F1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8" w:hRule="atLeast"/>
          <w:jc w:val="center"/>
        </w:trPr>
        <w:tc>
          <w:tcPr>
            <w:tcW w:w="789" w:type="dxa"/>
            <w:tcBorders>
              <w:top w:val="single" w:color="auto" w:sz="4" w:space="0"/>
              <w:left w:val="single" w:color="auto" w:sz="4" w:space="0"/>
              <w:bottom w:val="single" w:color="auto" w:sz="4" w:space="0"/>
              <w:right w:val="single" w:color="000000" w:sz="4" w:space="0"/>
            </w:tcBorders>
            <w:noWrap w:val="0"/>
            <w:vAlign w:val="center"/>
          </w:tcPr>
          <w:p w14:paraId="5304A944">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983" w:type="dxa"/>
            <w:tcBorders>
              <w:top w:val="single" w:color="auto" w:sz="4" w:space="0"/>
              <w:left w:val="single" w:color="000000" w:sz="4" w:space="0"/>
              <w:bottom w:val="single" w:color="auto" w:sz="4" w:space="0"/>
              <w:right w:val="single" w:color="000000" w:sz="4" w:space="0"/>
            </w:tcBorders>
            <w:noWrap w:val="0"/>
            <w:vAlign w:val="center"/>
          </w:tcPr>
          <w:p w14:paraId="23E45D40">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技术支持</w:t>
            </w:r>
          </w:p>
        </w:tc>
        <w:tc>
          <w:tcPr>
            <w:tcW w:w="6538" w:type="dxa"/>
            <w:tcBorders>
              <w:top w:val="single" w:color="auto" w:sz="4" w:space="0"/>
              <w:left w:val="single" w:color="000000" w:sz="4" w:space="0"/>
              <w:bottom w:val="single" w:color="auto" w:sz="4" w:space="0"/>
              <w:right w:val="single" w:color="auto" w:sz="4" w:space="0"/>
            </w:tcBorders>
            <w:noWrap w:val="0"/>
            <w:vAlign w:val="center"/>
          </w:tcPr>
          <w:p w14:paraId="766786B0">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560" w:lineRule="exact"/>
              <w:ind w:right="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通过向日葵、VPN 等远程工具进行服务，保证感控科反馈的问题能够及时完成处理。在周末及节假日期间提供专人值班服务，保证周末及节假日为感控科提供各项服务:</w:t>
            </w:r>
          </w:p>
          <w:p w14:paraId="7DA987DD">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560" w:lineRule="exact"/>
              <w:ind w:right="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1、通过远程的方式为医院相关使用人员解答系统功能使用方面的问题;</w:t>
            </w:r>
          </w:p>
          <w:p w14:paraId="201FF998">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560" w:lineRule="exact"/>
              <w:ind w:right="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2、通过远程的方式为院感科解答业务数据方面相关问题，为精准的数据质量提供保障。</w:t>
            </w:r>
          </w:p>
        </w:tc>
      </w:tr>
      <w:tr w14:paraId="51CB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jc w:val="center"/>
        </w:trPr>
        <w:tc>
          <w:tcPr>
            <w:tcW w:w="789" w:type="dxa"/>
            <w:tcBorders>
              <w:top w:val="single" w:color="auto" w:sz="4" w:space="0"/>
              <w:left w:val="single" w:color="000000" w:sz="4" w:space="0"/>
              <w:bottom w:val="single" w:color="000000" w:sz="4" w:space="0"/>
              <w:right w:val="single" w:color="000000" w:sz="4" w:space="0"/>
            </w:tcBorders>
            <w:noWrap w:val="0"/>
            <w:vAlign w:val="center"/>
          </w:tcPr>
          <w:p w14:paraId="4B6685D5">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983" w:type="dxa"/>
            <w:tcBorders>
              <w:top w:val="single" w:color="auto" w:sz="4" w:space="0"/>
              <w:left w:val="single" w:color="000000" w:sz="4" w:space="0"/>
              <w:bottom w:val="single" w:color="000000" w:sz="4" w:space="0"/>
              <w:right w:val="single" w:color="000000" w:sz="4" w:space="0"/>
            </w:tcBorders>
            <w:noWrap w:val="0"/>
            <w:vAlign w:val="center"/>
          </w:tcPr>
          <w:p w14:paraId="6AD65CC6">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系统使用咨询</w:t>
            </w:r>
          </w:p>
        </w:tc>
        <w:tc>
          <w:tcPr>
            <w:tcW w:w="6538" w:type="dxa"/>
            <w:tcBorders>
              <w:top w:val="single" w:color="auto" w:sz="4" w:space="0"/>
              <w:left w:val="single" w:color="000000" w:sz="4" w:space="0"/>
              <w:bottom w:val="single" w:color="000000" w:sz="4" w:space="0"/>
              <w:right w:val="single" w:color="000000" w:sz="8" w:space="0"/>
            </w:tcBorders>
            <w:noWrap w:val="0"/>
            <w:vAlign w:val="center"/>
          </w:tcPr>
          <w:p w14:paraId="3C00A4C4">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为使用科室提供咨询解答服务，保障院内日常监测工作的开展：</w:t>
            </w:r>
          </w:p>
          <w:p w14:paraId="0619B498">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1、通过远程的方式为院感科提供解读预警诊断策略服务;</w:t>
            </w:r>
          </w:p>
          <w:p w14:paraId="2568E4C6">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2、通过远程的方式为院感科提供解读系统各统计界面报表统计逻辑服务;</w:t>
            </w:r>
          </w:p>
          <w:p w14:paraId="21AA99E3">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3、通过远程的方式为医院相关使用人员提供系统各功能模块的功能讲解服务，保障使用人员对于系统功能的正常使用;</w:t>
            </w:r>
          </w:p>
          <w:p w14:paraId="76B34389">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4、为院感科讲解各项院感监测业务，涵盖业务背景、监测难点、常见问题；基于各项业务的监测难点和常见问题，结合区域内监测方向和要求，提供专业化建议。</w:t>
            </w:r>
          </w:p>
        </w:tc>
      </w:tr>
      <w:tr w14:paraId="7C28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1F824B9">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E154EF1">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人员培训</w:t>
            </w:r>
          </w:p>
        </w:tc>
        <w:tc>
          <w:tcPr>
            <w:tcW w:w="6538" w:type="dxa"/>
            <w:tcBorders>
              <w:top w:val="single" w:color="000000" w:sz="4" w:space="0"/>
              <w:left w:val="single" w:color="000000" w:sz="4" w:space="0"/>
              <w:bottom w:val="single" w:color="000000" w:sz="4" w:space="0"/>
              <w:right w:val="single" w:color="000000" w:sz="8" w:space="0"/>
            </w:tcBorders>
            <w:noWrap w:val="0"/>
            <w:vAlign w:val="center"/>
          </w:tcPr>
          <w:p w14:paraId="7F33AE0E">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对杏林 NIS 系统人员进行培训，保证能够进行日常的运行、维护等操作。</w:t>
            </w:r>
          </w:p>
        </w:tc>
      </w:tr>
      <w:tr w14:paraId="55A6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58E56010">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6B62E58">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数据备份运行情况检查</w:t>
            </w:r>
          </w:p>
        </w:tc>
        <w:tc>
          <w:tcPr>
            <w:tcW w:w="6538" w:type="dxa"/>
            <w:tcBorders>
              <w:top w:val="single" w:color="000000" w:sz="4" w:space="0"/>
              <w:left w:val="single" w:color="000000" w:sz="4" w:space="0"/>
              <w:bottom w:val="single" w:color="000000" w:sz="4" w:space="0"/>
              <w:right w:val="single" w:color="000000" w:sz="8" w:space="0"/>
            </w:tcBorders>
            <w:noWrap w:val="0"/>
            <w:vAlign w:val="center"/>
          </w:tcPr>
          <w:p w14:paraId="3A375CBC">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每半年巡查一次服务器系统备份机制，并出具专业化的数据备份巡检报告。</w:t>
            </w:r>
          </w:p>
        </w:tc>
      </w:tr>
      <w:tr w14:paraId="42CC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081E8822">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E888962">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数据恢复及系统迁移</w:t>
            </w:r>
          </w:p>
        </w:tc>
        <w:tc>
          <w:tcPr>
            <w:tcW w:w="6538" w:type="dxa"/>
            <w:tcBorders>
              <w:top w:val="single" w:color="000000" w:sz="4" w:space="0"/>
              <w:left w:val="single" w:color="000000" w:sz="4" w:space="0"/>
              <w:bottom w:val="single" w:color="000000" w:sz="4" w:space="0"/>
              <w:right w:val="single" w:color="000000" w:sz="8" w:space="0"/>
            </w:tcBorders>
            <w:noWrap w:val="0"/>
            <w:vAlign w:val="center"/>
          </w:tcPr>
          <w:p w14:paraId="0829EE38">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提供系统数据恢复及系统迁移服务：</w:t>
            </w:r>
          </w:p>
          <w:p w14:paraId="13C2E603">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1、根据医院目前实际拥有的备份文件内容，在医院存在需求的情况下，对数据内容还原恢复至特定时间点，有效保证数据的完整性；</w:t>
            </w:r>
          </w:p>
          <w:p w14:paraId="615A9353">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2、根据医院的需求，对业务系统进行迁移部署，并完成系统调试工作，确保使用正常。</w:t>
            </w:r>
          </w:p>
        </w:tc>
      </w:tr>
      <w:tr w14:paraId="5DC4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2447CEBC">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55B2CD0B">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NIS 服务器宕机修复</w:t>
            </w:r>
          </w:p>
        </w:tc>
        <w:tc>
          <w:tcPr>
            <w:tcW w:w="6538" w:type="dxa"/>
            <w:tcBorders>
              <w:top w:val="single" w:color="000000" w:sz="4" w:space="0"/>
              <w:left w:val="single" w:color="000000" w:sz="4" w:space="0"/>
              <w:bottom w:val="single" w:color="000000" w:sz="4" w:space="0"/>
              <w:right w:val="single" w:color="000000" w:sz="8" w:space="0"/>
            </w:tcBorders>
            <w:noWrap w:val="0"/>
            <w:vAlign w:val="center"/>
          </w:tcPr>
          <w:p w14:paraId="4369EC42">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当医院NIS 服务器出现宕机情况时，杏林科技修复院感服务器并完成数据恢复及更新，确保服务器恢复正常。</w:t>
            </w:r>
          </w:p>
        </w:tc>
      </w:tr>
      <w:tr w14:paraId="2475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4FE7A371">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BCE193C">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服务器远程巡检</w:t>
            </w:r>
          </w:p>
        </w:tc>
        <w:tc>
          <w:tcPr>
            <w:tcW w:w="6538" w:type="dxa"/>
            <w:tcBorders>
              <w:top w:val="single" w:color="000000" w:sz="4" w:space="0"/>
              <w:left w:val="single" w:color="000000" w:sz="4" w:space="0"/>
              <w:bottom w:val="single" w:color="000000" w:sz="4" w:space="0"/>
              <w:right w:val="single" w:color="000000" w:sz="8" w:space="0"/>
            </w:tcBorders>
            <w:noWrap w:val="0"/>
            <w:vAlign w:val="center"/>
          </w:tcPr>
          <w:p w14:paraId="67A0F164">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每半年对服务器运行环境进行一次巡检，巡检内容包括：服务器内存情况评估、硬盘情况评估、系统运行稳定性评估等，有效避免并解决：</w:t>
            </w:r>
          </w:p>
          <w:p w14:paraId="42F607DD">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1、服务器磁盘空间不足问题；</w:t>
            </w:r>
          </w:p>
          <w:p w14:paraId="47226D7C">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2、服务器系统运行卡顿问题；</w:t>
            </w:r>
          </w:p>
          <w:p w14:paraId="388BA146">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3、服务器安全方面防护问题。</w:t>
            </w:r>
          </w:p>
        </w:tc>
      </w:tr>
      <w:tr w14:paraId="6770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789" w:type="dxa"/>
            <w:tcBorders>
              <w:top w:val="single" w:color="000000" w:sz="4" w:space="0"/>
              <w:left w:val="single" w:color="000000" w:sz="4" w:space="0"/>
              <w:bottom w:val="single" w:color="000000" w:sz="4" w:space="0"/>
              <w:right w:val="single" w:color="000000" w:sz="4" w:space="0"/>
            </w:tcBorders>
            <w:noWrap w:val="0"/>
            <w:vAlign w:val="center"/>
          </w:tcPr>
          <w:p w14:paraId="6E0DCEA5">
            <w:pPr>
              <w:keepNext w:val="0"/>
              <w:keepLines w:val="0"/>
              <w:pageBreakBefore w:val="0"/>
              <w:widowControl/>
              <w:suppressLineNumbers w:val="0"/>
              <w:kinsoku/>
              <w:wordWrap/>
              <w:overflowPunct/>
              <w:topLinePunct w:val="0"/>
              <w:autoSpaceDE/>
              <w:autoSpaceDN/>
              <w:bidi w:val="0"/>
              <w:snapToGrid/>
              <w:spacing w:afterAutospacing="0" w:line="240" w:lineRule="auto"/>
              <w:ind w:right="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635EB42F">
            <w:pPr>
              <w:keepNext w:val="0"/>
              <w:keepLines w:val="0"/>
              <w:pageBreakBefore w:val="0"/>
              <w:widowControl/>
              <w:suppressLineNumbers w:val="0"/>
              <w:kinsoku/>
              <w:wordWrap/>
              <w:overflowPunct/>
              <w:topLinePunct w:val="0"/>
              <w:autoSpaceDE/>
              <w:autoSpaceDN/>
              <w:bidi w:val="0"/>
              <w:snapToGrid/>
              <w:spacing w:afterAutospacing="0" w:line="240" w:lineRule="auto"/>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数据上报</w:t>
            </w:r>
          </w:p>
        </w:tc>
        <w:tc>
          <w:tcPr>
            <w:tcW w:w="6538" w:type="dxa"/>
            <w:tcBorders>
              <w:top w:val="single" w:color="000000" w:sz="4" w:space="0"/>
              <w:left w:val="single" w:color="000000" w:sz="4" w:space="0"/>
              <w:bottom w:val="single" w:color="000000" w:sz="4" w:space="0"/>
              <w:right w:val="single" w:color="000000" w:sz="8" w:space="0"/>
            </w:tcBorders>
            <w:noWrap w:val="0"/>
            <w:vAlign w:val="center"/>
          </w:tcPr>
          <w:p w14:paraId="118D78A1">
            <w:pPr>
              <w:keepNext w:val="0"/>
              <w:keepLines w:val="0"/>
              <w:pageBreakBefore w:val="0"/>
              <w:widowControl/>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根据区域数据上报要求，提供数据上报服务：</w:t>
            </w:r>
          </w:p>
          <w:p w14:paraId="1E443C97">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1、协助医院完成NICC数据上报；</w:t>
            </w:r>
          </w:p>
          <w:p w14:paraId="0C1B256A">
            <w:pPr>
              <w:keepNext w:val="0"/>
              <w:keepLines w:val="0"/>
              <w:pageBreakBefore w:val="0"/>
              <w:widowControl/>
              <w:numPr>
                <w:ilvl w:val="0"/>
                <w:numId w:val="0"/>
              </w:numPr>
              <w:suppressLineNumbers w:val="0"/>
              <w:kinsoku w:val="0"/>
              <w:wordWrap/>
              <w:overflowPunct w:val="0"/>
              <w:topLinePunct w:val="0"/>
              <w:autoSpaceDE w:val="0"/>
              <w:autoSpaceDN w:val="0"/>
              <w:bidi w:val="0"/>
              <w:adjustRightInd/>
              <w:snapToGrid/>
              <w:spacing w:afterAutospacing="0" w:line="560" w:lineRule="exact"/>
              <w:ind w:right="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2、协助医院完成抗菌药物治疗前病原学送检专项整改、哨点医院数据上报。</w:t>
            </w:r>
          </w:p>
        </w:tc>
      </w:tr>
    </w:tbl>
    <w:p w14:paraId="3CDF4E6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信息安全要求</w:t>
      </w:r>
    </w:p>
    <w:p w14:paraId="6683492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确保确保系统符合《中华人民共和国网络安全法》及相关法律法规要求，无条件配合甲方完成网络安全相关整改，并落实网络和数据安全能力保障要求，包括:</w:t>
      </w:r>
    </w:p>
    <w:p w14:paraId="3EFC0585">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变更后漏洞整改要求、系统升级应急保障要求；</w:t>
      </w:r>
    </w:p>
    <w:p w14:paraId="219622F7">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56"/>
          <w:sz w:val="32"/>
          <w:szCs w:val="32"/>
          <w:lang w:val="en-US" w:eastAsia="zh-CN" w:bidi="ar-SA"/>
        </w:rPr>
        <w:t>（2）</w:t>
      </w:r>
      <w:r>
        <w:rPr>
          <w:rFonts w:hint="eastAsia" w:ascii="仿宋_GB2312" w:hAnsi="仿宋_GB2312" w:eastAsia="仿宋_GB2312" w:cs="仿宋_GB2312"/>
          <w:kern w:val="2"/>
          <w:sz w:val="32"/>
          <w:szCs w:val="32"/>
          <w:lang w:val="en-US" w:eastAsia="zh-CN" w:bidi="ar-SA"/>
        </w:rPr>
        <w:t>禁止在互联网搭建涉及甲方测试数据或单位信息的业务系统、敏感数据保护要求；</w:t>
      </w:r>
    </w:p>
    <w:p w14:paraId="6873960D">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版本变更时应提供相关版本无恶意代码检测报告；</w:t>
      </w:r>
    </w:p>
    <w:p w14:paraId="6049D570">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56"/>
          <w:sz w:val="32"/>
          <w:szCs w:val="32"/>
          <w:lang w:val="en-US" w:eastAsia="zh-CN" w:bidi="ar-SA"/>
        </w:rPr>
        <w:t>（4）</w:t>
      </w:r>
      <w:r>
        <w:rPr>
          <w:rFonts w:hint="eastAsia" w:ascii="仿宋_GB2312" w:hAnsi="仿宋_GB2312" w:eastAsia="仿宋_GB2312" w:cs="仿宋_GB2312"/>
          <w:kern w:val="2"/>
          <w:sz w:val="32"/>
          <w:szCs w:val="32"/>
          <w:lang w:val="en-US" w:eastAsia="zh-CN" w:bidi="ar-SA"/>
        </w:rPr>
        <w:t>发生运维人员变更应及时通知甲方人员变更情况以确保运维安全。</w:t>
      </w:r>
    </w:p>
    <w:p w14:paraId="09EFBAB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（二）商务要求</w:t>
      </w:r>
    </w:p>
    <w:p w14:paraId="4FC73ED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none"/>
          <w:lang w:val="en-US" w:eastAsia="zh-CN"/>
        </w:rPr>
        <w:t>服务期</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2025年8月2日至2026年8月1日。本项目为长期服务类项目，合同一年一签，如政策、法律未有变化，合同期满前，医院可根据项目需求和中标方的履约情况决定合同期限是否延长，但累计合同期限不得超过三年。</w:t>
      </w:r>
    </w:p>
    <w:p w14:paraId="1AEED8BF">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u w:val="none"/>
        </w:rPr>
        <w:t>地点：</w:t>
      </w:r>
      <w:r>
        <w:rPr>
          <w:rFonts w:hint="eastAsia" w:ascii="仿宋_GB2312" w:hAnsi="仿宋_GB2312" w:eastAsia="仿宋_GB2312" w:cs="仿宋_GB2312"/>
          <w:sz w:val="32"/>
          <w:szCs w:val="32"/>
          <w:u w:val="none"/>
          <w:lang w:val="en-US" w:eastAsia="zh-CN"/>
        </w:rPr>
        <w:t>深圳市前海蛇口自贸区医院</w:t>
      </w:r>
    </w:p>
    <w:p w14:paraId="02DA02D7">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u w:val="none"/>
        </w:rPr>
        <w:t>付款进度和方式：合同签订后收到中标公司出具的正式发票后，支付合同费用的50%；服务期满，经院方确认中标方的服务符合合同要求后，支付剩余50%的合同费用</w:t>
      </w:r>
    </w:p>
    <w:p w14:paraId="3C1E51DA">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u w:val="none"/>
          <w:lang w:val="en-US" w:eastAsia="zh-CN"/>
        </w:rPr>
        <w:t>报价</w:t>
      </w:r>
      <w:r>
        <w:rPr>
          <w:rFonts w:hint="eastAsia" w:ascii="仿宋_GB2312" w:hAnsi="仿宋_GB2312" w:eastAsia="仿宋_GB2312" w:cs="仿宋_GB2312"/>
          <w:sz w:val="32"/>
          <w:szCs w:val="32"/>
          <w:u w:val="none"/>
        </w:rPr>
        <w:t>：本次投标报价为含税人民币价，投标报价包括完成所有产品供货及履行所有规定服务所产生的全部费用</w:t>
      </w:r>
      <w:r>
        <w:rPr>
          <w:rFonts w:hint="eastAsia" w:ascii="仿宋_GB2312" w:hAnsi="仿宋_GB2312" w:eastAsia="仿宋_GB2312" w:cs="仿宋_GB2312"/>
          <w:sz w:val="32"/>
          <w:szCs w:val="32"/>
          <w:u w:val="none"/>
          <w:lang w:eastAsia="zh-CN"/>
        </w:rPr>
        <w:t>。</w:t>
      </w:r>
    </w:p>
    <w:p w14:paraId="4D6E4E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、时间安排</w:t>
      </w:r>
    </w:p>
    <w:p w14:paraId="4F64122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报名时间</w:t>
      </w:r>
    </w:p>
    <w:p w14:paraId="738FE9CD">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报名起始时间：2025年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日08时00分（北京时间）</w:t>
      </w:r>
    </w:p>
    <w:p w14:paraId="7D578EB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报名截至时间：2025年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t>日17时00分（北京时间）</w:t>
      </w:r>
    </w:p>
    <w:p w14:paraId="29F92B7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二</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确认供应商时间：2025年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17</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时00分</w:t>
      </w:r>
      <w:r>
        <w:rPr>
          <w:rFonts w:hint="eastAsia" w:ascii="仿宋_GB2312" w:hAnsi="仿宋_GB2312" w:eastAsia="仿宋_GB2312" w:cs="仿宋_GB2312"/>
          <w:sz w:val="32"/>
          <w:szCs w:val="32"/>
          <w:u w:val="none"/>
          <w:lang w:val="en-US" w:eastAsia="zh-CN"/>
        </w:rPr>
        <w:t>后</w:t>
      </w:r>
      <w:r>
        <w:rPr>
          <w:rFonts w:hint="eastAsia" w:ascii="仿宋_GB2312" w:hAnsi="仿宋_GB2312" w:eastAsia="仿宋_GB2312" w:cs="仿宋_GB2312"/>
          <w:sz w:val="32"/>
          <w:szCs w:val="32"/>
          <w:u w:val="none"/>
        </w:rPr>
        <w:t>（北京时间），确认地点为深圳市南山区南海大道1067号科技大厦北座3楼招标采购办公室。</w:t>
      </w:r>
    </w:p>
    <w:p w14:paraId="18A7052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三</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异议/咨询、答复/澄清时间</w:t>
      </w:r>
    </w:p>
    <w:p w14:paraId="1D0D47A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异议/咨询时间：2025年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日08时00分（北京时间）至2025年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t>日17时00分（北京时间）</w:t>
      </w:r>
    </w:p>
    <w:p w14:paraId="48A97979">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答复/澄清时间：2025年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日08时00分（北京时间）至2025年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17</w:t>
      </w:r>
      <w:r>
        <w:rPr>
          <w:rFonts w:hint="eastAsia" w:ascii="仿宋_GB2312" w:hAnsi="仿宋_GB2312" w:eastAsia="仿宋_GB2312" w:cs="仿宋_GB2312"/>
          <w:sz w:val="32"/>
          <w:szCs w:val="32"/>
          <w:u w:val="none"/>
        </w:rPr>
        <w:t>日12时00分（北京时间）</w:t>
      </w:r>
    </w:p>
    <w:p w14:paraId="6EFA3AB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其他补充事项</w:t>
      </w:r>
    </w:p>
    <w:p w14:paraId="2DF204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供应商如认为公告使其权益受到损害，需对公告进行质疑的，应在异议/咨询期内向我院招标采购办递交书面质疑函。</w:t>
      </w:r>
    </w:p>
    <w:p w14:paraId="11EED0C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我院有权对成交供应商就本项目要求提供的相关证明资料（原件）进行审查。成交供应商提供虚假资料被查实的，可能面临被取消本项目成交资格、列入不良行为记录名单等风险。</w:t>
      </w:r>
    </w:p>
    <w:p w14:paraId="4BA1CFA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报名供应商</w:t>
      </w:r>
      <w:r>
        <w:rPr>
          <w:rFonts w:hint="eastAsia" w:ascii="仿宋_GB2312" w:hAnsi="仿宋_GB2312" w:eastAsia="仿宋_GB2312" w:cs="仿宋_GB2312"/>
          <w:sz w:val="32"/>
          <w:szCs w:val="32"/>
          <w:lang w:val="en-US" w:eastAsia="zh-CN"/>
        </w:rPr>
        <w:t>必须先</w:t>
      </w:r>
      <w:r>
        <w:rPr>
          <w:rFonts w:hint="eastAsia" w:ascii="仿宋_GB2312" w:hAnsi="仿宋_GB2312" w:eastAsia="仿宋_GB2312" w:cs="仿宋_GB2312"/>
          <w:sz w:val="32"/>
          <w:szCs w:val="32"/>
        </w:rPr>
        <w:t>在平台“统一用户中心”（https://trade.szggzy.com/ggzy/center/#/login）自行注册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才能在</w:t>
      </w:r>
      <w:r>
        <w:rPr>
          <w:rFonts w:hint="eastAsia" w:ascii="仿宋_GB2312" w:hAnsi="仿宋_GB2312" w:eastAsia="仿宋_GB2312" w:cs="仿宋_GB2312"/>
          <w:sz w:val="32"/>
          <w:szCs w:val="32"/>
        </w:rPr>
        <w:t>深圳政府采购自行采购网站</w:t>
      </w:r>
      <w:r>
        <w:rPr>
          <w:rFonts w:hint="eastAsia" w:ascii="仿宋_GB2312" w:hAnsi="仿宋_GB2312" w:eastAsia="仿宋_GB2312" w:cs="仿宋_GB2312"/>
          <w:sz w:val="32"/>
          <w:szCs w:val="32"/>
          <w:lang w:val="en-US" w:eastAsia="zh-CN"/>
        </w:rPr>
        <w:t>查看比价采购公告及比价采购结果公告。</w:t>
      </w:r>
    </w:p>
    <w:p w14:paraId="67CAD6DA">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报名方法：投标人可于</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日至2025年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t>日上午8</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00～12</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00，下午14</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00～17</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00（北京时间，法定节假日除外），添加QQ：295691769，将供应商资质要求和项目需求要提供的资质资料、报价表加盖公章扫描发送至QQ办理报名。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rPr>
        <w:t>验证消息需备注写明报名项目及公司名称，若不按要求者无法验证通过。</w:t>
      </w:r>
      <w:r>
        <w:rPr>
          <w:rFonts w:hint="eastAsia" w:ascii="仿宋_GB2312" w:hAnsi="仿宋_GB2312" w:eastAsia="仿宋_GB2312" w:cs="仿宋_GB2312"/>
          <w:sz w:val="32"/>
          <w:szCs w:val="32"/>
          <w:lang w:eastAsia="zh-CN"/>
        </w:rPr>
        <w:t>）</w:t>
      </w:r>
      <w:bookmarkStart w:id="6" w:name="_GoBack"/>
      <w:bookmarkEnd w:id="6"/>
    </w:p>
    <w:p w14:paraId="3909A0D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、网站及媒体发布</w:t>
      </w:r>
    </w:p>
    <w:p w14:paraId="0FB7E30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价采购公告在以下网站发布：</w:t>
      </w:r>
    </w:p>
    <w:p w14:paraId="730F93FF">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深圳市前海蛇口自贸区医院网站（https://www.skhosp.cn/Category_25/Index.aspx）</w:t>
      </w:r>
    </w:p>
    <w:p w14:paraId="1ED5452A">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深圳交易集团有限公司网站（https://www.szexgrp.com/）</w:t>
      </w:r>
    </w:p>
    <w:p w14:paraId="4C84A366">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深圳政府采购自行采购网站（https://zxcg.szggzy.com/home/index.html）</w:t>
      </w:r>
    </w:p>
    <w:p w14:paraId="439E9CB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重要提示：供应商有义务在交易活动期间浏览以上网站，在以上网站公布的与本次交易项目有关的信息视为已送达各供应商，不再另行电话通知各供应商。</w:t>
      </w:r>
    </w:p>
    <w:p w14:paraId="78E482D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26B018A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采购人：深圳市前海蛇口自贸区医院</w:t>
      </w:r>
    </w:p>
    <w:p w14:paraId="524540B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联系人：唐工</w:t>
      </w:r>
    </w:p>
    <w:p w14:paraId="4854797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联系方式：0755 - 26889433</w:t>
      </w:r>
    </w:p>
    <w:p w14:paraId="3B32490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34E0EC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2B21A9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深圳市前海蛇口自贸区医院</w:t>
      </w:r>
    </w:p>
    <w:p w14:paraId="39CEBA4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招标采购办公室</w:t>
      </w:r>
    </w:p>
    <w:p w14:paraId="413310D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 xml:space="preserve">      </w:t>
      </w:r>
    </w:p>
    <w:sectPr>
      <w:pgSz w:w="11906" w:h="16838"/>
      <w:pgMar w:top="2098" w:right="1474" w:bottom="1984" w:left="1588"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000000"/>
    <w:rsid w:val="00360E24"/>
    <w:rsid w:val="007E2EF7"/>
    <w:rsid w:val="00FB4547"/>
    <w:rsid w:val="030C65E8"/>
    <w:rsid w:val="03237D85"/>
    <w:rsid w:val="033F6241"/>
    <w:rsid w:val="05FB0B46"/>
    <w:rsid w:val="07181283"/>
    <w:rsid w:val="08687FE8"/>
    <w:rsid w:val="096B7D90"/>
    <w:rsid w:val="0AEE0C79"/>
    <w:rsid w:val="0B8E420A"/>
    <w:rsid w:val="0CC25F19"/>
    <w:rsid w:val="0D2564A8"/>
    <w:rsid w:val="0E042561"/>
    <w:rsid w:val="0EC35F79"/>
    <w:rsid w:val="10B71B0D"/>
    <w:rsid w:val="12505D75"/>
    <w:rsid w:val="12A32489"/>
    <w:rsid w:val="12C7072D"/>
    <w:rsid w:val="136523E1"/>
    <w:rsid w:val="1534372C"/>
    <w:rsid w:val="15C471A6"/>
    <w:rsid w:val="16CA259A"/>
    <w:rsid w:val="176D1177"/>
    <w:rsid w:val="19143FA0"/>
    <w:rsid w:val="19EA4D01"/>
    <w:rsid w:val="1B7725C5"/>
    <w:rsid w:val="1BC25F36"/>
    <w:rsid w:val="1BCB46BE"/>
    <w:rsid w:val="1CD81789"/>
    <w:rsid w:val="1D532BBD"/>
    <w:rsid w:val="1EF02DBA"/>
    <w:rsid w:val="1F642E60"/>
    <w:rsid w:val="20531852"/>
    <w:rsid w:val="21B46321"/>
    <w:rsid w:val="227F064F"/>
    <w:rsid w:val="22CD6F6E"/>
    <w:rsid w:val="23E427C1"/>
    <w:rsid w:val="23F0560A"/>
    <w:rsid w:val="24C3687B"/>
    <w:rsid w:val="252437BD"/>
    <w:rsid w:val="25685943"/>
    <w:rsid w:val="261D4255"/>
    <w:rsid w:val="266B0F78"/>
    <w:rsid w:val="275639D6"/>
    <w:rsid w:val="284303FE"/>
    <w:rsid w:val="28700AC7"/>
    <w:rsid w:val="294E705B"/>
    <w:rsid w:val="2A21651D"/>
    <w:rsid w:val="2D371BB4"/>
    <w:rsid w:val="2D652BC5"/>
    <w:rsid w:val="2DC01BA9"/>
    <w:rsid w:val="2EA9088F"/>
    <w:rsid w:val="2ECB2EFB"/>
    <w:rsid w:val="2F6A6270"/>
    <w:rsid w:val="2FDB0F1C"/>
    <w:rsid w:val="302F2F6D"/>
    <w:rsid w:val="30590093"/>
    <w:rsid w:val="3260395B"/>
    <w:rsid w:val="32D87995"/>
    <w:rsid w:val="332130EA"/>
    <w:rsid w:val="334B63B9"/>
    <w:rsid w:val="335E433E"/>
    <w:rsid w:val="335E60EC"/>
    <w:rsid w:val="353A4937"/>
    <w:rsid w:val="355D23D3"/>
    <w:rsid w:val="356C2617"/>
    <w:rsid w:val="38765C86"/>
    <w:rsid w:val="39DF785B"/>
    <w:rsid w:val="3A1C0AAF"/>
    <w:rsid w:val="3CD218F9"/>
    <w:rsid w:val="40181C9F"/>
    <w:rsid w:val="40E340D5"/>
    <w:rsid w:val="40F57964"/>
    <w:rsid w:val="413B181B"/>
    <w:rsid w:val="41931657"/>
    <w:rsid w:val="43E73EDC"/>
    <w:rsid w:val="44586B88"/>
    <w:rsid w:val="460C19D8"/>
    <w:rsid w:val="4710374A"/>
    <w:rsid w:val="479559FD"/>
    <w:rsid w:val="47DE1152"/>
    <w:rsid w:val="49C12AD9"/>
    <w:rsid w:val="4A3239D7"/>
    <w:rsid w:val="4BEB6533"/>
    <w:rsid w:val="4CA54934"/>
    <w:rsid w:val="4CEE1E37"/>
    <w:rsid w:val="4D1A0E7E"/>
    <w:rsid w:val="4D9549A9"/>
    <w:rsid w:val="4F8627FB"/>
    <w:rsid w:val="4FEB08B0"/>
    <w:rsid w:val="50A61D83"/>
    <w:rsid w:val="51F577C4"/>
    <w:rsid w:val="53FF2B7C"/>
    <w:rsid w:val="545729B8"/>
    <w:rsid w:val="555E2DA3"/>
    <w:rsid w:val="556D1D67"/>
    <w:rsid w:val="563A433F"/>
    <w:rsid w:val="564231F4"/>
    <w:rsid w:val="57715B3F"/>
    <w:rsid w:val="57C77E54"/>
    <w:rsid w:val="585B059D"/>
    <w:rsid w:val="5A731BCE"/>
    <w:rsid w:val="5C0D1BAE"/>
    <w:rsid w:val="5DE03A1E"/>
    <w:rsid w:val="5E5B4E53"/>
    <w:rsid w:val="5F49114F"/>
    <w:rsid w:val="5FF4555F"/>
    <w:rsid w:val="60CB2763"/>
    <w:rsid w:val="60CC5050"/>
    <w:rsid w:val="60FD0443"/>
    <w:rsid w:val="61442516"/>
    <w:rsid w:val="61F25ACE"/>
    <w:rsid w:val="627B1F67"/>
    <w:rsid w:val="63AD6150"/>
    <w:rsid w:val="64632A40"/>
    <w:rsid w:val="655F791E"/>
    <w:rsid w:val="662E109F"/>
    <w:rsid w:val="66BC2B4E"/>
    <w:rsid w:val="67087B42"/>
    <w:rsid w:val="68694610"/>
    <w:rsid w:val="6CF52916"/>
    <w:rsid w:val="6D6B4986"/>
    <w:rsid w:val="6DD30F71"/>
    <w:rsid w:val="6F305E87"/>
    <w:rsid w:val="6FA26D85"/>
    <w:rsid w:val="700510C2"/>
    <w:rsid w:val="70310109"/>
    <w:rsid w:val="705F4C76"/>
    <w:rsid w:val="71FB277D"/>
    <w:rsid w:val="726327C5"/>
    <w:rsid w:val="741147CB"/>
    <w:rsid w:val="74BA06CD"/>
    <w:rsid w:val="74E92D60"/>
    <w:rsid w:val="74F51705"/>
    <w:rsid w:val="764346F2"/>
    <w:rsid w:val="76AC2297"/>
    <w:rsid w:val="772C33D8"/>
    <w:rsid w:val="78E33F6B"/>
    <w:rsid w:val="78F341AE"/>
    <w:rsid w:val="791B54B2"/>
    <w:rsid w:val="79927E6B"/>
    <w:rsid w:val="79BF22E2"/>
    <w:rsid w:val="7A1563A6"/>
    <w:rsid w:val="7A454EDD"/>
    <w:rsid w:val="7AE30252"/>
    <w:rsid w:val="7B7470FC"/>
    <w:rsid w:val="7B971768"/>
    <w:rsid w:val="7BD04C7A"/>
    <w:rsid w:val="7BF73FB5"/>
    <w:rsid w:val="7C183F2B"/>
    <w:rsid w:val="7CA852AF"/>
    <w:rsid w:val="7D562F5D"/>
    <w:rsid w:val="7DA4016C"/>
    <w:rsid w:val="7E2766A8"/>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56"/>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2345</Words>
  <Characters>2649</Characters>
  <Lines>0</Lines>
  <Paragraphs>0</Paragraphs>
  <TotalTime>22</TotalTime>
  <ScaleCrop>false</ScaleCrop>
  <LinksUpToDate>false</LinksUpToDate>
  <CharactersWithSpaces>2663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2025-03-11T03:55:00Z</dcterms:created>
  <dc:creator>Administrator</dc:creator>
  <cp:lastModifiedBy>风子</cp:lastModifiedBy>
  <dcterms:modified xsi:type="dcterms:W3CDTF">2025-06-12T02:35:42Z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67C57811A5B946E5A9ADCC30E12FB88D_12</vt:lpwstr>
  </property>
  <property fmtid="{D5CDD505-2E9C-101B-9397-08002B2CF9AE}" pid="4" name="KSOTemplateDocerSaveRecord">
    <vt:lpwstr>eyJoZGlkIjoiNzEwODY2M2FjMjUyNDdiMzQ5NWQ0ZjY3NTU5ODRmMzkiLCJ1c2VySWQiOiI4MzU5ODA0NDYifQ==</vt:lpwstr>
  </property>
</Properties>
</file>