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880" w:firstLineChars="200"/>
        <w:jc w:val="center"/>
        <w:textAlignment w:val="baseline"/>
        <w:rPr>
          <w:rFonts w:hint="eastAsia" w:ascii="方正小标宋简体" w:hAnsi="方正小标宋简体" w:eastAsia="方正小标宋简体" w:cs="方正小标宋简体"/>
          <w:b w:val="0"/>
          <w:bCs w:val="0"/>
          <w:snapToGrid/>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kern w:val="2"/>
          <w:sz w:val="44"/>
          <w:szCs w:val="44"/>
          <w:highlight w:val="none"/>
          <w:lang w:val="en-US" w:eastAsia="zh-CN" w:bidi="ar-SA"/>
        </w:rPr>
        <w:t>十五运音乐短片拍摄制作服务</w:t>
      </w:r>
    </w:p>
    <w:p>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880" w:firstLineChars="20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snapToGrid/>
          <w:kern w:val="2"/>
          <w:sz w:val="44"/>
          <w:szCs w:val="44"/>
          <w:highlight w:val="none"/>
          <w:lang w:val="en-US" w:eastAsia="zh-CN" w:bidi="ar-SA"/>
        </w:rPr>
        <w:t>项</w:t>
      </w:r>
      <w:r>
        <w:rPr>
          <w:rFonts w:hint="eastAsia" w:ascii="方正小标宋简体" w:hAnsi="方正小标宋简体" w:eastAsia="方正小标宋简体" w:cs="方正小标宋简体"/>
          <w:b w:val="0"/>
          <w:bCs w:val="0"/>
          <w:color w:val="auto"/>
          <w:sz w:val="44"/>
          <w:szCs w:val="44"/>
          <w:highlight w:val="none"/>
          <w:lang w:val="en-US" w:eastAsia="zh-CN"/>
        </w:rPr>
        <w:t>目需求书</w:t>
      </w:r>
    </w:p>
    <w:p>
      <w:pPr>
        <w:keepNext w:val="0"/>
        <w:keepLines w:val="0"/>
        <w:pageBreakBefore w:val="0"/>
        <w:numPr>
          <w:ilvl w:val="-1"/>
          <w:numId w:val="0"/>
        </w:numPr>
        <w:tabs>
          <w:tab w:val="left" w:pos="1820"/>
        </w:tabs>
        <w:kinsoku/>
        <w:wordWrap/>
        <w:overflowPunct/>
        <w:topLinePunct w:val="0"/>
        <w:bidi w:val="0"/>
        <w:snapToGrid w:val="0"/>
        <w:spacing w:line="560" w:lineRule="exact"/>
        <w:ind w:firstLine="0" w:firstLineChars="0"/>
        <w:rPr>
          <w:rFonts w:hint="eastAsia" w:ascii="仿宋_GB2312" w:hAnsi="仿宋_GB2312" w:eastAsia="仿宋_GB2312" w:cs="仿宋_GB2312"/>
          <w:spacing w:val="-1"/>
          <w:sz w:val="32"/>
          <w:szCs w:val="32"/>
          <w:highlight w:val="yellow"/>
        </w:rPr>
      </w:pPr>
    </w:p>
    <w:p>
      <w:pPr>
        <w:keepNext w:val="0"/>
        <w:keepLines w:val="0"/>
        <w:pageBreakBefore w:val="0"/>
        <w:numPr>
          <w:ilvl w:val="-1"/>
          <w:numId w:val="0"/>
        </w:numPr>
        <w:tabs>
          <w:tab w:val="left" w:pos="1820"/>
        </w:tabs>
        <w:kinsoku/>
        <w:wordWrap/>
        <w:overflowPunct/>
        <w:topLinePunct w:val="0"/>
        <w:bidi w:val="0"/>
        <w:snapToGrid w:val="0"/>
        <w:spacing w:line="560" w:lineRule="exact"/>
        <w:ind w:firstLine="640" w:firstLineChars="200"/>
        <w:rPr>
          <w:rFonts w:hint="eastAsia" w:ascii="仿宋_GB2312" w:hAnsi="仿宋_GB2312" w:eastAsia="仿宋_GB2312" w:cs="仿宋_GB2312"/>
          <w:spacing w:val="-1"/>
          <w:sz w:val="32"/>
          <w:szCs w:val="32"/>
        </w:rPr>
      </w:pPr>
      <w:r>
        <w:rPr>
          <w:rFonts w:hint="eastAsia" w:ascii="黑体" w:hAnsi="黑体" w:eastAsia="黑体" w:cs="黑体"/>
          <w:bCs/>
          <w:color w:val="auto"/>
          <w:sz w:val="32"/>
          <w:szCs w:val="32"/>
          <w:lang w:eastAsia="zh-CN"/>
        </w:rPr>
        <w:t>一、</w:t>
      </w:r>
      <w:r>
        <w:rPr>
          <w:rFonts w:hint="eastAsia" w:ascii="黑体" w:hAnsi="黑体" w:eastAsia="黑体" w:cs="黑体"/>
          <w:bCs/>
          <w:color w:val="auto"/>
          <w:sz w:val="32"/>
          <w:szCs w:val="32"/>
        </w:rPr>
        <w:t>项目目标</w:t>
      </w:r>
    </w:p>
    <w:p>
      <w:pPr>
        <w:keepNext w:val="0"/>
        <w:keepLines w:val="0"/>
        <w:pageBreakBefore w:val="0"/>
        <w:numPr>
          <w:ilvl w:val="0"/>
          <w:numId w:val="0"/>
        </w:numPr>
        <w:tabs>
          <w:tab w:val="left" w:pos="1820"/>
        </w:tabs>
        <w:kinsoku/>
        <w:wordWrap/>
        <w:overflowPunct/>
        <w:topLinePunct w:val="0"/>
        <w:bidi w:val="0"/>
        <w:snapToGrid w:val="0"/>
        <w:spacing w:line="560" w:lineRule="exact"/>
        <w:ind w:firstLine="640" w:firstLineChars="200"/>
        <w:rPr>
          <w:rFonts w:hint="eastAsia"/>
          <w:lang w:val="en-US" w:eastAsia="zh-CN"/>
        </w:rPr>
      </w:pPr>
      <w:r>
        <w:rPr>
          <w:rFonts w:hint="eastAsia" w:ascii="仿宋_GB2312" w:hAnsi="仿宋_GB2312" w:eastAsia="仿宋_GB2312" w:cs="仿宋_GB2312"/>
          <w:sz w:val="32"/>
          <w:szCs w:val="32"/>
          <w:lang w:val="en-US" w:eastAsia="zh-CN"/>
        </w:rPr>
        <w:t>第十五届全国运动会和全国第十二届残疾人运动会将分别于11月9日、12月8日在粤港澳大湾区隆重开幕。龙华区将举办排球（女子18岁以下组）、模型（航空）比赛，是打响龙华文体旅品牌知名度，展示龙华区品牌形象的重要契机。为全面展示我区城市形象，营造良好的赛事氛围，拟开展</w:t>
      </w:r>
      <w:r>
        <w:rPr>
          <w:rFonts w:hint="eastAsia" w:ascii="仿宋_GB2312" w:hAnsi="仿宋_GB2312" w:eastAsia="仿宋_GB2312" w:cs="仿宋_GB2312"/>
          <w:spacing w:val="3"/>
          <w:sz w:val="32"/>
          <w:szCs w:val="32"/>
          <w:lang w:val="en-US" w:eastAsia="zh-CN"/>
        </w:rPr>
        <w:t>十五运音乐短片拍摄制作</w:t>
      </w:r>
      <w:r>
        <w:rPr>
          <w:rFonts w:hint="default" w:ascii="仿宋_GB2312" w:hAnsi="仿宋_GB2312" w:eastAsia="仿宋_GB2312" w:cs="仿宋_GB2312"/>
          <w:spacing w:val="3"/>
          <w:sz w:val="32"/>
          <w:szCs w:val="32"/>
          <w:lang w:val="en" w:eastAsia="zh-CN"/>
        </w:rPr>
        <w:t>工作</w:t>
      </w:r>
      <w:r>
        <w:rPr>
          <w:rFonts w:hint="eastAsia" w:ascii="仿宋_GB2312" w:hAnsi="仿宋_GB2312" w:eastAsia="仿宋_GB2312" w:cs="仿宋_GB2312"/>
          <w:sz w:val="32"/>
          <w:szCs w:val="32"/>
          <w:lang w:val="en-US" w:eastAsia="zh-CN"/>
        </w:rPr>
        <w:t>，影片拟围绕十五运场馆建设、筹备进展与赛事亮点</w:t>
      </w:r>
      <w:r>
        <w:rPr>
          <w:rFonts w:hint="default" w:ascii="仿宋_GB2312" w:hAnsi="仿宋_GB2312" w:eastAsia="仿宋_GB2312" w:cs="仿宋_GB2312"/>
          <w:sz w:val="32"/>
          <w:szCs w:val="32"/>
          <w:lang w:val="en" w:eastAsia="zh-CN"/>
        </w:rPr>
        <w:t>等</w:t>
      </w:r>
      <w:r>
        <w:rPr>
          <w:rFonts w:hint="eastAsia" w:ascii="仿宋_GB2312" w:hAnsi="仿宋_GB2312" w:eastAsia="仿宋_GB2312" w:cs="仿宋_GB2312"/>
          <w:sz w:val="32"/>
          <w:szCs w:val="32"/>
          <w:lang w:val="en-US" w:eastAsia="zh-CN"/>
        </w:rPr>
        <w:t>，融合城区地标景观、文旅特色与体育元素，以音乐的形式宣传</w:t>
      </w:r>
      <w:bookmarkStart w:id="1" w:name="_GoBack"/>
      <w:bookmarkEnd w:id="1"/>
      <w:r>
        <w:rPr>
          <w:rFonts w:hint="eastAsia" w:ascii="仿宋_GB2312" w:hAnsi="仿宋_GB2312" w:eastAsia="仿宋_GB2312" w:cs="仿宋_GB2312"/>
          <w:sz w:val="32"/>
          <w:szCs w:val="32"/>
          <w:lang w:val="en-US" w:eastAsia="zh-CN"/>
        </w:rPr>
        <w:t>龙华区全力发展建设、拥抱全运盛会的情况</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同时，该影片将通过多平台开展全面宣传，激发群众体育热情，为赛事营造良好的宣传氛围。</w:t>
      </w:r>
    </w:p>
    <w:p>
      <w:pPr>
        <w:keepNext w:val="0"/>
        <w:keepLines w:val="0"/>
        <w:pageBreakBefore w:val="0"/>
        <w:numPr>
          <w:ilvl w:val="0"/>
          <w:numId w:val="0"/>
        </w:numPr>
        <w:tabs>
          <w:tab w:val="left" w:pos="1820"/>
        </w:tabs>
        <w:kinsoku/>
        <w:wordWrap/>
        <w:overflowPunct/>
        <w:topLinePunct w:val="0"/>
        <w:bidi w:val="0"/>
        <w:snapToGrid w:val="0"/>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二、</w:t>
      </w:r>
      <w:r>
        <w:rPr>
          <w:rFonts w:hint="eastAsia" w:ascii="黑体" w:hAnsi="黑体" w:eastAsia="黑体" w:cs="黑体"/>
          <w:bCs/>
          <w:color w:val="auto"/>
          <w:sz w:val="32"/>
          <w:szCs w:val="32"/>
        </w:rPr>
        <w:t>项目内容及要求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服务内容</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1.</w:t>
      </w:r>
      <w:r>
        <w:rPr>
          <w:rFonts w:hint="eastAsia" w:ascii="仿宋_GB2312" w:hAnsi="仿宋_GB2312" w:eastAsia="仿宋_GB2312" w:cs="仿宋_GB2312"/>
          <w:color w:val="auto"/>
          <w:sz w:val="32"/>
          <w:szCs w:val="32"/>
          <w:highlight w:val="none"/>
          <w:lang w:val="en" w:eastAsia="zh-CN"/>
        </w:rPr>
        <w:t>挖</w:t>
      </w:r>
      <w:r>
        <w:rPr>
          <w:rFonts w:hint="eastAsia" w:ascii="仿宋_GB2312" w:hAnsi="仿宋_GB2312" w:eastAsia="仿宋_GB2312" w:cs="仿宋_GB2312"/>
          <w:color w:val="auto"/>
          <w:sz w:val="32"/>
          <w:szCs w:val="32"/>
          <w:highlight w:val="none"/>
          <w:lang w:val="en-US" w:eastAsia="zh-CN"/>
        </w:rPr>
        <w:t>掘全运会精神内核与龙华区文化特质，完成主题音乐短片的内容创意策划与叙事框架搭建，并撰写兼具艺术感染力与传播张力的拍摄脚本。</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2.完成主题音乐的创意编曲（词、曲、编曲等）、创作及录制工作（含混音、人声录音、演唱人员、录音师及录音棚安排），确保音乐风格兼具时代感与辨识度。</w:t>
      </w:r>
    </w:p>
    <w:p>
      <w:pPr>
        <w:ind w:firstLine="640" w:firstLineChars="200"/>
        <w:rPr>
          <w:rFonts w:hint="default"/>
          <w:lang w:val="en-US" w:eastAsia="zh-CN"/>
        </w:rPr>
      </w:pPr>
      <w:r>
        <w:rPr>
          <w:rFonts w:hint="eastAsia" w:ascii="仿宋_GB2312" w:hAnsi="仿宋_GB2312" w:eastAsia="仿宋_GB2312" w:cs="仿宋_GB2312"/>
          <w:color w:val="auto"/>
          <w:sz w:val="32"/>
          <w:szCs w:val="32"/>
          <w:highlight w:val="none"/>
          <w:lang w:val="en-US" w:eastAsia="zh-CN"/>
        </w:rPr>
        <w:t>3.完成音乐短片主演、助演、群演等演职人员招募，并完成拍摄服化道等工作。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4.完成音乐短片的拍摄与后期剪辑，打造兼具叙事张力与视听美感的精品短片。</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5.整合社交平台及线下场景资源，通过精准投放与线上营销，完成短片的立体化推广，</w:t>
      </w:r>
      <w:r>
        <w:rPr>
          <w:rFonts w:hint="eastAsia" w:ascii="仿宋_GB2312" w:hAnsi="仿宋_GB2312" w:eastAsia="仿宋_GB2312" w:cs="仿宋_GB2312"/>
          <w:sz w:val="32"/>
          <w:szCs w:val="32"/>
          <w:lang w:val="en-US" w:eastAsia="zh-CN"/>
        </w:rPr>
        <w:t>激发群众体育热情，为赛事营造良好的宣传氛围。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（二）服务要求</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1.确保主题音乐的创意编曲严格遵循原创性原则，所有音乐素材均通过合法授权或原创开发，杜绝任何形式的版权侵权风险。</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2.指定资深项目专员作为第一责任人，全程主导并深度参与脚本创作的全流程管理，包括但不限于创意研讨、初稿撰写、多轮修改优化及终稿审核。</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风险应对与责任承担：承接团队须具备视频制作经验，提供完整的风险预案（含技术故障应急方案、舆情监测与危机公关机制等），项目执行期间需派驻专业团队实时响应问题，对因制作疏失导致的损失承担全部法律及经济责任。</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4.影片的完整版权自交付之日起归甲方所有。</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leftChars="200" w:firstLine="320" w:firstLineChars="1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报价限额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22万元，供应商报价项目表与下表内项目保持一致。</w:t>
      </w:r>
    </w:p>
    <w:tbl>
      <w:tblPr>
        <w:tblStyle w:val="11"/>
        <w:tblW w:w="79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1"/>
        <w:gridCol w:w="1248"/>
        <w:gridCol w:w="3840"/>
        <w:gridCol w:w="1304"/>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ascii="等线" w:hAnsi="等线" w:eastAsia="等线" w:cs="等线"/>
                <w:b/>
                <w:i w:val="0"/>
                <w:color w:val="000000"/>
                <w:sz w:val="22"/>
                <w:szCs w:val="22"/>
                <w:u w:val="none"/>
              </w:rPr>
            </w:pPr>
            <w:r>
              <w:rPr>
                <w:rFonts w:hint="default" w:ascii="等线" w:hAnsi="等线" w:eastAsia="等线" w:cs="等线"/>
                <w:b/>
                <w:i w:val="0"/>
                <w:color w:val="000000"/>
                <w:kern w:val="0"/>
                <w:sz w:val="22"/>
                <w:szCs w:val="22"/>
                <w:u w:val="none"/>
                <w:lang w:val="en-US" w:eastAsia="zh-CN" w:bidi="ar"/>
              </w:rPr>
              <w:t>序号</w:t>
            </w:r>
          </w:p>
        </w:tc>
        <w:tc>
          <w:tcPr>
            <w:tcW w:w="1248"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default" w:ascii="等线" w:hAnsi="等线" w:eastAsia="等线" w:cs="等线"/>
                <w:b/>
                <w:i w:val="0"/>
                <w:color w:val="000000"/>
                <w:sz w:val="22"/>
                <w:szCs w:val="22"/>
                <w:u w:val="none"/>
              </w:rPr>
            </w:pPr>
            <w:r>
              <w:rPr>
                <w:rFonts w:hint="default" w:ascii="等线" w:hAnsi="等线" w:eastAsia="等线" w:cs="等线"/>
                <w:b/>
                <w:i w:val="0"/>
                <w:color w:val="000000"/>
                <w:kern w:val="0"/>
                <w:sz w:val="22"/>
                <w:szCs w:val="22"/>
                <w:u w:val="none"/>
                <w:lang w:val="en-US" w:eastAsia="zh-CN" w:bidi="ar"/>
              </w:rPr>
              <w:t>项目</w:t>
            </w:r>
          </w:p>
        </w:tc>
        <w:tc>
          <w:tcPr>
            <w:tcW w:w="3840"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default" w:ascii="等线" w:hAnsi="等线" w:eastAsia="等线" w:cs="等线"/>
                <w:b/>
                <w:i w:val="0"/>
                <w:color w:val="000000"/>
                <w:sz w:val="22"/>
                <w:szCs w:val="22"/>
                <w:u w:val="none"/>
              </w:rPr>
            </w:pPr>
            <w:r>
              <w:rPr>
                <w:rFonts w:hint="default" w:ascii="等线" w:hAnsi="等线" w:eastAsia="等线" w:cs="等线"/>
                <w:b/>
                <w:i w:val="0"/>
                <w:color w:val="000000"/>
                <w:kern w:val="0"/>
                <w:sz w:val="22"/>
                <w:szCs w:val="22"/>
                <w:u w:val="none"/>
                <w:lang w:val="en-US" w:eastAsia="zh-CN" w:bidi="ar"/>
              </w:rPr>
              <w:t>明细</w:t>
            </w:r>
          </w:p>
        </w:tc>
        <w:tc>
          <w:tcPr>
            <w:tcW w:w="1304"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default" w:ascii="等线" w:hAnsi="等线" w:eastAsia="等线" w:cs="等线"/>
                <w:b/>
                <w:i w:val="0"/>
                <w:color w:val="000000"/>
                <w:sz w:val="22"/>
                <w:szCs w:val="22"/>
                <w:u w:val="none"/>
              </w:rPr>
            </w:pPr>
            <w:r>
              <w:rPr>
                <w:rFonts w:hint="default" w:ascii="等线" w:hAnsi="等线" w:eastAsia="等线" w:cs="等线"/>
                <w:b/>
                <w:i w:val="0"/>
                <w:color w:val="000000"/>
                <w:kern w:val="0"/>
                <w:sz w:val="22"/>
                <w:szCs w:val="22"/>
                <w:u w:val="none"/>
                <w:lang w:val="en-US" w:eastAsia="zh-CN" w:bidi="ar"/>
              </w:rPr>
              <w:t>数量</w:t>
            </w:r>
          </w:p>
        </w:tc>
        <w:tc>
          <w:tcPr>
            <w:tcW w:w="780" w:type="dxa"/>
            <w:tcBorders>
              <w:top w:val="single" w:color="000000" w:sz="4" w:space="0"/>
              <w:left w:val="single" w:color="000000" w:sz="4" w:space="0"/>
              <w:bottom w:val="single" w:color="auto"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default" w:ascii="等线" w:hAnsi="等线" w:eastAsia="等线" w:cs="等线"/>
                <w:b/>
                <w:i w:val="0"/>
                <w:color w:val="000000"/>
                <w:sz w:val="22"/>
                <w:szCs w:val="22"/>
                <w:u w:val="none"/>
              </w:rPr>
            </w:pPr>
            <w:r>
              <w:rPr>
                <w:rFonts w:hint="default" w:ascii="等线" w:hAnsi="等线" w:eastAsia="等线" w:cs="等线"/>
                <w:b/>
                <w:i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苹方 中等" w:hAnsi="苹方 中等" w:eastAsia="苹方 中等" w:cs="苹方 中等"/>
                <w:i w:val="0"/>
                <w:color w:val="000000"/>
                <w:sz w:val="22"/>
                <w:szCs w:val="22"/>
                <w:u w:val="none"/>
              </w:rPr>
            </w:pPr>
            <w:r>
              <w:rPr>
                <w:rFonts w:hint="default" w:ascii="苹方 中等" w:hAnsi="苹方 中等" w:eastAsia="苹方 中等" w:cs="苹方 中等"/>
                <w:i w:val="0"/>
                <w:color w:val="000000"/>
                <w:kern w:val="0"/>
                <w:sz w:val="22"/>
                <w:szCs w:val="22"/>
                <w:u w:val="none"/>
                <w:lang w:val="en-US" w:eastAsia="zh-CN" w:bidi="ar"/>
              </w:rPr>
              <w:t>1</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内容</w:t>
            </w:r>
          </w:p>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创作</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内容策划</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780"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脚本撰写</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7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作词、作曲、编曲</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7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音乐录制</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7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苹方 中等" w:hAnsi="苹方 中等" w:eastAsia="苹方 中等" w:cs="苹方 中等"/>
                <w:i w:val="0"/>
                <w:color w:val="000000"/>
                <w:sz w:val="22"/>
                <w:szCs w:val="22"/>
                <w:u w:val="none"/>
              </w:rPr>
            </w:pPr>
            <w:r>
              <w:rPr>
                <w:rFonts w:hint="default" w:ascii="苹方 中等" w:hAnsi="苹方 中等" w:eastAsia="苹方 中等" w:cs="苹方 中等"/>
                <w:i w:val="0"/>
                <w:color w:val="000000"/>
                <w:kern w:val="0"/>
                <w:sz w:val="22"/>
                <w:szCs w:val="22"/>
                <w:u w:val="none"/>
                <w:lang w:val="en-US" w:eastAsia="zh-CN" w:bidi="ar"/>
              </w:rPr>
              <w:t>2</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视频</w:t>
            </w:r>
          </w:p>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创作</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导演、制片专业人员</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7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主演、助演、群演</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w:t>
            </w:r>
          </w:p>
        </w:tc>
        <w:tc>
          <w:tcPr>
            <w:tcW w:w="7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摄像师、摄像助理、灯光师、化妆师</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c>
          <w:tcPr>
            <w:tcW w:w="7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器材耗损、器材运输</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7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苹方 中等" w:hAnsi="苹方 中等" w:eastAsia="苹方 中等" w:cs="苹方 中等"/>
                <w:i w:val="0"/>
                <w:color w:val="000000"/>
                <w:sz w:val="22"/>
                <w:szCs w:val="22"/>
                <w:u w:val="none"/>
              </w:rPr>
            </w:pPr>
            <w:r>
              <w:rPr>
                <w:rFonts w:hint="default" w:ascii="苹方 中等" w:hAnsi="苹方 中等" w:eastAsia="苹方 中等" w:cs="苹方 中等"/>
                <w:i w:val="0"/>
                <w:color w:val="000000"/>
                <w:kern w:val="0"/>
                <w:sz w:val="22"/>
                <w:szCs w:val="22"/>
                <w:u w:val="none"/>
                <w:lang w:val="en-US" w:eastAsia="zh-CN" w:bidi="ar"/>
              </w:rPr>
              <w:t>3</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视频</w:t>
            </w:r>
          </w:p>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剪辑</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视频剪辑</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1 </w:t>
            </w:r>
          </w:p>
        </w:tc>
        <w:tc>
          <w:tcPr>
            <w:tcW w:w="7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视频调色</w:t>
            </w:r>
          </w:p>
        </w:tc>
        <w:tc>
          <w:tcPr>
            <w:tcW w:w="1304"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1 </w:t>
            </w:r>
          </w:p>
        </w:tc>
        <w:tc>
          <w:tcPr>
            <w:tcW w:w="780" w:type="dxa"/>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130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78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130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78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苹方 中等" w:hAnsi="苹方 中等" w:eastAsia="苹方 中等" w:cs="苹方 中等"/>
                <w:i w:val="0"/>
                <w:color w:val="000000"/>
                <w:sz w:val="22"/>
                <w:szCs w:val="22"/>
                <w:u w:val="none"/>
              </w:rPr>
            </w:pPr>
            <w:r>
              <w:rPr>
                <w:rFonts w:hint="default" w:ascii="苹方 中等" w:hAnsi="苹方 中等" w:eastAsia="苹方 中等" w:cs="苹方 中等"/>
                <w:i w:val="0"/>
                <w:color w:val="000000"/>
                <w:kern w:val="0"/>
                <w:sz w:val="22"/>
                <w:szCs w:val="22"/>
                <w:u w:val="none"/>
                <w:lang w:val="en-US" w:eastAsia="zh-CN" w:bidi="ar"/>
              </w:rPr>
              <w:t>4</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宣传</w:t>
            </w:r>
          </w:p>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推广</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抖音、视频号等平台推广</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1 </w:t>
            </w:r>
          </w:p>
        </w:tc>
        <w:tc>
          <w:tcPr>
            <w:tcW w:w="780" w:type="dxa"/>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8"/>
                <w:szCs w:val="28"/>
                <w:highlight w:val="yellow"/>
                <w:u w:val="none"/>
              </w:rPr>
            </w:pPr>
            <w:r>
              <w:rPr>
                <w:rFonts w:hint="eastAsia" w:ascii="仿宋_GB2312" w:hAnsi="仿宋_GB2312" w:eastAsia="仿宋_GB2312" w:cs="仿宋_GB2312"/>
                <w:i w:val="0"/>
                <w:color w:val="000000"/>
                <w:kern w:val="0"/>
                <w:sz w:val="24"/>
                <w:szCs w:val="24"/>
                <w:highlight w:val="none"/>
                <w:u w:val="none"/>
                <w:lang w:val="en-US" w:eastAsia="zh-CN" w:bidi="ar"/>
              </w:rPr>
              <w:t>供应商报价（元）</w:t>
            </w:r>
          </w:p>
        </w:tc>
        <w:tc>
          <w:tcPr>
            <w:tcW w:w="59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r>
    </w:tbl>
    <w:p>
      <w:pPr>
        <w:pStyle w:val="2"/>
        <w:rPr>
          <w:rFonts w:hint="default"/>
          <w:lang w:val="en-US" w:eastAsia="zh-CN"/>
        </w:rPr>
      </w:pPr>
    </w:p>
    <w:p>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lang w:eastAsia="zh-CN"/>
        </w:rPr>
        <w:t>四</w:t>
      </w:r>
      <w:r>
        <w:rPr>
          <w:rFonts w:hint="eastAsia" w:ascii="黑体" w:hAnsi="黑体" w:eastAsia="黑体" w:cs="黑体"/>
          <w:bCs/>
          <w:color w:val="auto"/>
          <w:sz w:val="32"/>
          <w:szCs w:val="32"/>
          <w:highlight w:val="none"/>
        </w:rPr>
        <w:t>、</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一</w:t>
      </w:r>
      <w:r>
        <w:rPr>
          <w:rFonts w:hint="eastAsia" w:ascii="仿宋_GB2312" w:hAnsi="仿宋" w:eastAsia="仿宋_GB2312" w:cs="仿宋"/>
          <w:color w:val="auto"/>
          <w:sz w:val="32"/>
          <w:szCs w:val="32"/>
          <w:highlight w:val="none"/>
        </w:rPr>
        <w:t>）在中国境内注册的独立法人或其他组织（提供营业执照、事业法人证书、社会团体法人登记证书等扫描件）；</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二</w:t>
      </w:r>
      <w:r>
        <w:rPr>
          <w:rFonts w:hint="eastAsia" w:ascii="仿宋_GB2312" w:hAnsi="仿宋" w:eastAsia="仿宋_GB2312" w:cs="仿宋"/>
          <w:color w:val="auto"/>
          <w:sz w:val="32"/>
          <w:szCs w:val="32"/>
          <w:highlight w:val="none"/>
        </w:rPr>
        <w:t>）参与本项目投标近三年内（供应商成立不足三年的可从成立之日起算），在经营活动中没有重大违法记录、以及不存在被有关部门禁止参与政府采购活动且在有效期内的情况;</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三</w:t>
      </w:r>
      <w:r>
        <w:rPr>
          <w:rFonts w:hint="eastAsia" w:ascii="仿宋_GB2312" w:hAnsi="仿宋" w:eastAsia="仿宋_GB2312" w:cs="仿宋"/>
          <w:color w:val="auto"/>
          <w:sz w:val="32"/>
          <w:szCs w:val="32"/>
          <w:highlight w:val="none"/>
        </w:rPr>
        <w:t>）</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color w:val="auto"/>
          <w:sz w:val="32"/>
          <w:szCs w:val="32"/>
          <w:highlight w:val="none"/>
        </w:rPr>
        <w:t>。</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、选定供应商方法</w:t>
      </w:r>
    </w:p>
    <w:p>
      <w:pPr>
        <w:keepNext w:val="0"/>
        <w:keepLines w:val="0"/>
        <w:pageBreakBefore w:val="0"/>
        <w:tabs>
          <w:tab w:val="left" w:pos="1820"/>
        </w:tabs>
        <w:kinsoku/>
        <w:wordWrap/>
        <w:overflowPunct/>
        <w:topLinePunct w:val="0"/>
        <w:bidi w:val="0"/>
        <w:adjustRightInd w:val="0"/>
        <w:snapToGrid w:val="0"/>
        <w:spacing w:line="560" w:lineRule="exact"/>
        <w:ind w:firstLine="640" w:firstLineChars="200"/>
        <w:rPr>
          <w:rFonts w:hint="default" w:ascii="仿宋_GB2312" w:hAnsi="仿宋" w:eastAsia="仿宋_GB2312"/>
          <w:color w:val="auto"/>
          <w:sz w:val="32"/>
          <w:highlight w:val="none"/>
          <w:lang w:val="en-US" w:eastAsia="zh-CN"/>
        </w:rPr>
      </w:pPr>
      <w:r>
        <w:rPr>
          <w:rFonts w:hint="eastAsia" w:ascii="仿宋_GB2312" w:hAnsi="仿宋" w:eastAsia="仿宋_GB2312"/>
          <w:color w:val="auto"/>
          <w:sz w:val="32"/>
          <w:highlight w:val="none"/>
        </w:rPr>
        <w:t>综合评分法</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、评分要求</w:t>
      </w:r>
    </w:p>
    <w:p>
      <w:pPr>
        <w:pStyle w:val="15"/>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（一）评分规则</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仿宋_GB2312"/>
          <w:bCs/>
          <w:color w:val="auto"/>
          <w:sz w:val="32"/>
          <w:szCs w:val="32"/>
          <w:highlight w:val="none"/>
        </w:rPr>
      </w:pPr>
      <w:r>
        <w:rPr>
          <w:rFonts w:hint="eastAsia" w:ascii="仿宋_GB2312" w:eastAsia="仿宋_GB2312"/>
          <w:color w:val="auto"/>
          <w:sz w:val="32"/>
          <w:szCs w:val="32"/>
          <w:highlight w:val="none"/>
        </w:rPr>
        <w:t>采取综合评分标准，</w:t>
      </w:r>
      <w:r>
        <w:rPr>
          <w:rFonts w:hint="eastAsia" w:ascii="仿宋_GB2312" w:eastAsia="仿宋_GB2312"/>
          <w:color w:val="auto"/>
          <w:sz w:val="32"/>
          <w:szCs w:val="32"/>
          <w:highlight w:val="none"/>
          <w:lang w:val="en-US" w:eastAsia="zh-CN"/>
        </w:rPr>
        <w:t>得分</w:t>
      </w:r>
      <w:r>
        <w:rPr>
          <w:rFonts w:hint="eastAsia" w:ascii="仿宋_GB2312" w:eastAsia="仿宋_GB2312"/>
          <w:color w:val="auto"/>
          <w:sz w:val="32"/>
          <w:szCs w:val="32"/>
          <w:highlight w:val="none"/>
        </w:rPr>
        <w:t>最高的投标人为本项目中标人。</w:t>
      </w:r>
    </w:p>
    <w:p>
      <w:pPr>
        <w:pStyle w:val="15"/>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（二）评分权重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2246"/>
        <w:gridCol w:w="189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7" w:type="dxa"/>
            <w:noWrap w:val="0"/>
            <w:vAlign w:val="center"/>
          </w:tcPr>
          <w:p>
            <w:pPr>
              <w:pStyle w:val="15"/>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评分内容</w:t>
            </w:r>
          </w:p>
        </w:tc>
        <w:tc>
          <w:tcPr>
            <w:tcW w:w="2246" w:type="dxa"/>
            <w:noWrap w:val="0"/>
            <w:vAlign w:val="center"/>
          </w:tcPr>
          <w:p>
            <w:pPr>
              <w:pStyle w:val="15"/>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商务能力</w:t>
            </w:r>
          </w:p>
        </w:tc>
        <w:tc>
          <w:tcPr>
            <w:tcW w:w="1890" w:type="dxa"/>
            <w:noWrap w:val="0"/>
            <w:vAlign w:val="center"/>
          </w:tcPr>
          <w:p>
            <w:pPr>
              <w:pStyle w:val="15"/>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技术能力</w:t>
            </w:r>
          </w:p>
        </w:tc>
        <w:tc>
          <w:tcPr>
            <w:tcW w:w="1785" w:type="dxa"/>
            <w:noWrap w:val="0"/>
            <w:vAlign w:val="center"/>
          </w:tcPr>
          <w:p>
            <w:pPr>
              <w:pStyle w:val="15"/>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7" w:type="dxa"/>
            <w:noWrap w:val="0"/>
            <w:vAlign w:val="center"/>
          </w:tcPr>
          <w:p>
            <w:pPr>
              <w:pStyle w:val="15"/>
              <w:keepNext w:val="0"/>
              <w:keepLines w:val="0"/>
              <w:pageBreakBefore w:val="0"/>
              <w:kinsoku/>
              <w:wordWrap/>
              <w:overflowPunct/>
              <w:topLinePunct w:val="0"/>
              <w:bidi w:val="0"/>
              <w:spacing w:line="560" w:lineRule="exact"/>
              <w:ind w:firstLine="640" w:firstLineChars="200"/>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分值</w:t>
            </w:r>
          </w:p>
        </w:tc>
        <w:tc>
          <w:tcPr>
            <w:tcW w:w="2246" w:type="dxa"/>
            <w:noWrap w:val="0"/>
            <w:vAlign w:val="center"/>
          </w:tcPr>
          <w:p>
            <w:pPr>
              <w:pStyle w:val="15"/>
              <w:keepNext w:val="0"/>
              <w:keepLines w:val="0"/>
              <w:pageBreakBefore w:val="0"/>
              <w:kinsoku/>
              <w:wordWrap/>
              <w:overflowPunct/>
              <w:topLinePunct w:val="0"/>
              <w:bidi w:val="0"/>
              <w:spacing w:line="560" w:lineRule="exact"/>
              <w:ind w:firstLine="640" w:firstLineChars="200"/>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20分</w:t>
            </w:r>
          </w:p>
        </w:tc>
        <w:tc>
          <w:tcPr>
            <w:tcW w:w="1890" w:type="dxa"/>
            <w:noWrap w:val="0"/>
            <w:vAlign w:val="center"/>
          </w:tcPr>
          <w:p>
            <w:pPr>
              <w:pStyle w:val="15"/>
              <w:keepNext w:val="0"/>
              <w:keepLines w:val="0"/>
              <w:pageBreakBefore w:val="0"/>
              <w:kinsoku/>
              <w:wordWrap/>
              <w:overflowPunct/>
              <w:topLinePunct w:val="0"/>
              <w:bidi w:val="0"/>
              <w:spacing w:line="560" w:lineRule="exact"/>
              <w:ind w:firstLine="640" w:firstLineChars="200"/>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50分</w:t>
            </w:r>
          </w:p>
        </w:tc>
        <w:tc>
          <w:tcPr>
            <w:tcW w:w="1785" w:type="dxa"/>
            <w:noWrap w:val="0"/>
            <w:vAlign w:val="center"/>
          </w:tcPr>
          <w:p>
            <w:pPr>
              <w:pStyle w:val="15"/>
              <w:keepNext w:val="0"/>
              <w:keepLines w:val="0"/>
              <w:pageBreakBefore w:val="0"/>
              <w:kinsoku/>
              <w:wordWrap/>
              <w:overflowPunct/>
              <w:topLinePunct w:val="0"/>
              <w:bidi w:val="0"/>
              <w:spacing w:line="560" w:lineRule="exact"/>
              <w:ind w:firstLine="640" w:firstLineChars="200"/>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30分</w:t>
            </w:r>
          </w:p>
        </w:tc>
      </w:tr>
    </w:tbl>
    <w:p>
      <w:pPr>
        <w:pStyle w:val="15"/>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（三）评分标准</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1.商务能力</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286"/>
        <w:gridCol w:w="382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632" w:type="dxa"/>
            <w:gridSpan w:val="3"/>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项目</w:t>
            </w:r>
          </w:p>
        </w:tc>
        <w:tc>
          <w:tcPr>
            <w:tcW w:w="3119" w:type="dxa"/>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519" w:type="dxa"/>
            <w:vMerge w:val="restart"/>
            <w:noWrap w:val="0"/>
            <w:vAlign w:val="center"/>
          </w:tcPr>
          <w:p>
            <w:pPr>
              <w:keepNext w:val="0"/>
              <w:keepLines w:val="0"/>
              <w:pageBreakBefore w:val="0"/>
              <w:kinsoku/>
              <w:wordWrap/>
              <w:overflowPunct/>
              <w:topLinePunct w:val="0"/>
              <w:bidi w:val="0"/>
              <w:spacing w:line="560" w:lineRule="exact"/>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商务</w:t>
            </w:r>
            <w:r>
              <w:rPr>
                <w:rFonts w:hint="eastAsia" w:ascii="仿宋_GB2312" w:hAnsi="仿宋_GB2312" w:eastAsia="仿宋_GB2312" w:cs="仿宋_GB2312"/>
                <w:bCs/>
                <w:color w:val="auto"/>
                <w:sz w:val="24"/>
                <w:szCs w:val="24"/>
                <w:highlight w:val="none"/>
              </w:rPr>
              <w:t>能力评分</w:t>
            </w: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同类业绩（</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276" w:lineRule="auto"/>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投标团队项目业绩涵盖宣传推广类、视频拍摄制作类等服务，每提供一个同类业务证明得5分，满分10分。</w:t>
            </w:r>
          </w:p>
        </w:tc>
        <w:tc>
          <w:tcPr>
            <w:tcW w:w="3119" w:type="dxa"/>
            <w:noWrap w:val="0"/>
            <w:vAlign w:val="center"/>
          </w:tcPr>
          <w:p>
            <w:pPr>
              <w:numPr>
                <w:ilvl w:val="0"/>
                <w:numId w:val="0"/>
              </w:numPr>
              <w:spacing w:line="276"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rPr>
              <w:t>需提供项目合同关键页或中标通知书复印件或合同甲方出具的证明文件并加盖投标人公章</w:t>
            </w:r>
          </w:p>
          <w:p>
            <w:pPr>
              <w:numPr>
                <w:ilvl w:val="0"/>
                <w:numId w:val="0"/>
              </w:numPr>
              <w:spacing w:line="276" w:lineRule="auto"/>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未按要求提供或提供不清晰导致无法判断的不得分。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19"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highlight w:val="none"/>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诚信评价</w:t>
            </w:r>
          </w:p>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276"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投标人在参与政府采购活动中不存在诚信相关问题且不在主管部门相关处理措施实施期限内的。</w:t>
            </w:r>
          </w:p>
        </w:tc>
        <w:tc>
          <w:tcPr>
            <w:tcW w:w="3119" w:type="dxa"/>
            <w:noWrap w:val="0"/>
            <w:vAlign w:val="center"/>
          </w:tcPr>
          <w:p>
            <w:pPr>
              <w:spacing w:line="276"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提供《诚信承诺书》得5分，详见附件1，未提供或内容不符不得分。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19"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highlight w:val="none"/>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服务承诺</w:t>
            </w:r>
          </w:p>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（5分）</w:t>
            </w:r>
          </w:p>
        </w:tc>
        <w:tc>
          <w:tcPr>
            <w:tcW w:w="3827" w:type="dxa"/>
            <w:noWrap w:val="0"/>
            <w:vAlign w:val="center"/>
          </w:tcPr>
          <w:p>
            <w:pPr>
              <w:spacing w:line="276" w:lineRule="auto"/>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根据对项目的理解及自身管理经验，提出项目完成的服务承诺。</w:t>
            </w:r>
          </w:p>
        </w:tc>
        <w:tc>
          <w:tcPr>
            <w:tcW w:w="3119" w:type="dxa"/>
            <w:noWrap w:val="0"/>
            <w:vAlign w:val="center"/>
          </w:tcPr>
          <w:p>
            <w:pPr>
              <w:spacing w:line="276" w:lineRule="auto"/>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提供《服务承诺书》得5分，未提供或内容不符不得分。</w:t>
            </w:r>
          </w:p>
        </w:tc>
      </w:tr>
    </w:tbl>
    <w:p>
      <w:pPr>
        <w:keepNext w:val="0"/>
        <w:keepLines w:val="0"/>
        <w:pageBreakBefore w:val="0"/>
        <w:kinsoku/>
        <w:wordWrap/>
        <w:overflowPunct/>
        <w:topLinePunct w:val="0"/>
        <w:bidi w:val="0"/>
        <w:spacing w:line="560" w:lineRule="exact"/>
        <w:ind w:firstLine="480" w:firstLineChars="200"/>
        <w:rPr>
          <w:rFonts w:hint="eastAsia" w:ascii="仿宋_GB2312" w:eastAsia="仿宋_GB2312"/>
          <w:color w:val="auto"/>
          <w:sz w:val="32"/>
          <w:szCs w:val="32"/>
          <w:highlight w:val="none"/>
        </w:rPr>
      </w:pPr>
      <w:r>
        <w:rPr>
          <w:rFonts w:hint="eastAsia" w:ascii="宋体" w:hAnsi="宋体" w:eastAsia="宋体"/>
          <w:bCs/>
          <w:color w:val="auto"/>
          <w:sz w:val="24"/>
          <w:highlight w:val="none"/>
        </w:rPr>
        <w:t>注：</w:t>
      </w:r>
      <w:r>
        <w:rPr>
          <w:rFonts w:hint="eastAsia" w:ascii="宋体" w:hAnsi="宋体"/>
          <w:bCs/>
          <w:color w:val="auto"/>
          <w:sz w:val="24"/>
          <w:highlight w:val="none"/>
        </w:rPr>
        <w:t>不提供证明文件或提供的证明文件不合格者，不得分。</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2.技术能力</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329"/>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83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项目</w:t>
            </w:r>
          </w:p>
        </w:tc>
        <w:tc>
          <w:tcPr>
            <w:tcW w:w="57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1" w:hRule="atLeast"/>
        </w:trPr>
        <w:tc>
          <w:tcPr>
            <w:tcW w:w="5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技术能力分</w:t>
            </w:r>
          </w:p>
        </w:tc>
        <w:tc>
          <w:tcPr>
            <w:tcW w:w="232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实施方案</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30</w:t>
            </w:r>
            <w:r>
              <w:rPr>
                <w:rFonts w:hint="eastAsia" w:ascii="仿宋_GB2312" w:hAnsi="仿宋_GB2312" w:eastAsia="仿宋_GB2312" w:cs="仿宋_GB2312"/>
                <w:bCs/>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jc w:val="both"/>
              <w:rPr>
                <w:rFonts w:hint="default" w:ascii="仿宋_GB2312" w:hAnsi="仿宋_GB2312" w:eastAsia="仿宋_GB2312" w:cs="仿宋_GB2312"/>
                <w:bCs/>
                <w:color w:val="auto"/>
                <w:kern w:val="0"/>
                <w:sz w:val="24"/>
                <w:szCs w:val="24"/>
                <w:highlight w:val="none"/>
                <w:lang w:val="en-US"/>
              </w:rPr>
            </w:pPr>
          </w:p>
        </w:tc>
        <w:tc>
          <w:tcPr>
            <w:tcW w:w="578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项目实施方案中包括但不限于对项目的工作措施、工作方法、工作手段、工作流程。</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满足</w:t>
            </w:r>
            <w:r>
              <w:rPr>
                <w:rFonts w:hint="eastAsia" w:ascii="仿宋_GB2312" w:hAnsi="仿宋_GB2312" w:eastAsia="仿宋_GB2312" w:cs="仿宋_GB2312"/>
                <w:bCs/>
                <w:color w:val="auto"/>
                <w:sz w:val="24"/>
                <w:szCs w:val="24"/>
                <w:highlight w:val="none"/>
                <w:lang w:eastAsia="zh-CN"/>
              </w:rPr>
              <w:t>方案中</w:t>
            </w:r>
            <w:r>
              <w:rPr>
                <w:rFonts w:hint="eastAsia" w:ascii="仿宋_GB2312" w:hAnsi="仿宋_GB2312" w:eastAsia="仿宋_GB2312" w:cs="仿宋_GB2312"/>
                <w:bCs/>
                <w:color w:val="auto"/>
                <w:sz w:val="24"/>
                <w:szCs w:val="24"/>
                <w:highlight w:val="none"/>
              </w:rPr>
              <w:t>任意一项内容得</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分，最高</w:t>
            </w:r>
            <w:r>
              <w:rPr>
                <w:rFonts w:hint="eastAsia" w:ascii="仿宋_GB2312" w:hAnsi="仿宋_GB2312" w:eastAsia="仿宋_GB2312" w:cs="仿宋_GB2312"/>
                <w:bCs/>
                <w:color w:val="auto"/>
                <w:sz w:val="24"/>
                <w:szCs w:val="24"/>
                <w:highlight w:val="none"/>
                <w:lang w:val="en-US" w:eastAsia="zh-CN"/>
              </w:rPr>
              <w:t>20</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在此基础上，由评标委员会对实施方案进一步评审：</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（1）实施方案内容全面。</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（2）实施方案内容具体。</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（3）实施方案内容科学合理。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（4）实施方案内容针对性强。</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（5）实施方案内容可操作性强。</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优评分标准：满足以上五项要求的评价为优，得</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良评分标准：满足以上四项要求的评价为良，得</w:t>
            </w:r>
            <w:r>
              <w:rPr>
                <w:rFonts w:hint="eastAsia" w:ascii="仿宋_GB2312" w:hAnsi="仿宋_GB2312" w:eastAsia="仿宋_GB2312" w:cs="仿宋_GB2312"/>
                <w:bCs/>
                <w:color w:val="auto"/>
                <w:sz w:val="24"/>
                <w:szCs w:val="24"/>
                <w:highlight w:val="none"/>
                <w:lang w:val="en-US" w:eastAsia="zh-CN"/>
              </w:rPr>
              <w:t>6</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中评分标准：满足以上三项要求的评价为中，得</w:t>
            </w: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sz w:val="24"/>
                <w:szCs w:val="24"/>
                <w:highlight w:val="none"/>
              </w:rPr>
              <w:t>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2" w:hRule="atLeast"/>
        </w:trPr>
        <w:tc>
          <w:tcPr>
            <w:tcW w:w="5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p>
        </w:tc>
        <w:tc>
          <w:tcPr>
            <w:tcW w:w="232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val="en-US" w:eastAsia="zh-CN"/>
              </w:rPr>
              <w:t>质量保障措施及方案（20分）</w:t>
            </w:r>
          </w:p>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bCs/>
                <w:color w:val="auto"/>
                <w:kern w:val="0"/>
                <w:sz w:val="24"/>
                <w:szCs w:val="24"/>
                <w:highlight w:val="none"/>
                <w:lang w:val="en" w:eastAsia="zh-CN"/>
              </w:rPr>
            </w:pPr>
          </w:p>
        </w:tc>
        <w:tc>
          <w:tcPr>
            <w:tcW w:w="57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投标人需针对本项目相关的保障措施方案，内容包括但不限于：（1）项目人员管理措施；（2）详细项目质量管理措施。（3）阐述时间保障措施。</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满足</w:t>
            </w:r>
            <w:r>
              <w:rPr>
                <w:rFonts w:hint="eastAsia" w:ascii="仿宋_GB2312" w:hAnsi="仿宋_GB2312" w:eastAsia="仿宋_GB2312" w:cs="仿宋_GB2312"/>
                <w:bCs/>
                <w:color w:val="auto"/>
                <w:kern w:val="0"/>
                <w:sz w:val="24"/>
                <w:szCs w:val="24"/>
                <w:highlight w:val="none"/>
                <w:lang w:eastAsia="zh-CN"/>
              </w:rPr>
              <w:t>质量保障措施及方案中</w:t>
            </w:r>
            <w:r>
              <w:rPr>
                <w:rFonts w:hint="eastAsia" w:ascii="仿宋_GB2312" w:hAnsi="仿宋_GB2312" w:eastAsia="仿宋_GB2312" w:cs="仿宋_GB2312"/>
                <w:bCs/>
                <w:color w:val="auto"/>
                <w:kern w:val="0"/>
                <w:sz w:val="24"/>
                <w:szCs w:val="24"/>
                <w:highlight w:val="none"/>
              </w:rPr>
              <w:t>任意一项内容</w:t>
            </w:r>
            <w:r>
              <w:rPr>
                <w:rFonts w:hint="eastAsia" w:ascii="仿宋_GB2312" w:hAnsi="仿宋_GB2312" w:eastAsia="仿宋_GB2312" w:cs="仿宋_GB2312"/>
                <w:bCs/>
                <w:color w:val="auto"/>
                <w:kern w:val="0"/>
                <w:sz w:val="24"/>
                <w:szCs w:val="24"/>
                <w:highlight w:val="none"/>
                <w:lang w:val="en-US" w:eastAsia="zh-CN"/>
              </w:rPr>
              <w:t>4</w:t>
            </w:r>
            <w:r>
              <w:rPr>
                <w:rFonts w:hint="eastAsia" w:ascii="仿宋_GB2312" w:hAnsi="仿宋_GB2312" w:eastAsia="仿宋_GB2312" w:cs="仿宋_GB2312"/>
                <w:bCs/>
                <w:color w:val="auto"/>
                <w:kern w:val="0"/>
                <w:sz w:val="24"/>
                <w:szCs w:val="24"/>
                <w:highlight w:val="none"/>
              </w:rPr>
              <w:t>分，最高</w:t>
            </w:r>
            <w:r>
              <w:rPr>
                <w:rFonts w:hint="eastAsia" w:ascii="仿宋_GB2312" w:hAnsi="仿宋_GB2312" w:eastAsia="仿宋_GB2312" w:cs="仿宋_GB2312"/>
                <w:bCs/>
                <w:color w:val="auto"/>
                <w:kern w:val="0"/>
                <w:sz w:val="24"/>
                <w:szCs w:val="24"/>
                <w:highlight w:val="none"/>
                <w:lang w:val="en-US" w:eastAsia="zh-CN"/>
              </w:rPr>
              <w:t>12</w:t>
            </w:r>
            <w:r>
              <w:rPr>
                <w:rFonts w:hint="eastAsia" w:ascii="仿宋_GB2312" w:hAnsi="仿宋_GB2312" w:eastAsia="仿宋_GB2312" w:cs="仿宋_GB2312"/>
                <w:bCs/>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评分标准：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在此基础上，由评标委员会对实施方案进一步评审：</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（1）质量保障措施及方案内容全面。</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（2）质量保障措施及方案内容具体。</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（3）质量保障措施及方案内容科学合理。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（4）质量保障措施及方案内容针对性强。</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（5）质量保障措施及方案内容可操作性强。</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优评分标准：满足以上五项要求的评价为优，得</w:t>
            </w:r>
            <w:r>
              <w:rPr>
                <w:rFonts w:hint="eastAsia" w:ascii="仿宋_GB2312" w:hAnsi="仿宋_GB2312" w:eastAsia="仿宋_GB2312" w:cs="仿宋_GB2312"/>
                <w:bCs/>
                <w:color w:val="auto"/>
                <w:kern w:val="0"/>
                <w:sz w:val="24"/>
                <w:szCs w:val="24"/>
                <w:highlight w:val="none"/>
                <w:lang w:val="en-US" w:eastAsia="zh-CN"/>
              </w:rPr>
              <w:t>8</w:t>
            </w:r>
            <w:r>
              <w:rPr>
                <w:rFonts w:hint="eastAsia" w:ascii="仿宋_GB2312" w:hAnsi="仿宋_GB2312" w:eastAsia="仿宋_GB2312" w:cs="仿宋_GB2312"/>
                <w:bCs/>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良评分标准：满足以上四项要求的评价为良，得</w:t>
            </w:r>
            <w:r>
              <w:rPr>
                <w:rFonts w:hint="eastAsia" w:ascii="仿宋_GB2312" w:hAnsi="仿宋_GB2312" w:eastAsia="仿宋_GB2312" w:cs="仿宋_GB2312"/>
                <w:bCs/>
                <w:color w:val="auto"/>
                <w:kern w:val="0"/>
                <w:sz w:val="24"/>
                <w:szCs w:val="24"/>
                <w:highlight w:val="none"/>
                <w:lang w:val="en-US" w:eastAsia="zh-CN"/>
              </w:rPr>
              <w:t>6</w:t>
            </w:r>
            <w:r>
              <w:rPr>
                <w:rFonts w:hint="eastAsia" w:ascii="仿宋_GB2312" w:hAnsi="仿宋_GB2312" w:eastAsia="仿宋_GB2312" w:cs="仿宋_GB2312"/>
                <w:bCs/>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中评分标准：满足以上三项要求的评价为中，得</w:t>
            </w:r>
            <w:r>
              <w:rPr>
                <w:rFonts w:hint="eastAsia" w:ascii="仿宋_GB2312" w:hAnsi="仿宋_GB2312" w:eastAsia="仿宋_GB2312" w:cs="仿宋_GB2312"/>
                <w:bCs/>
                <w:color w:val="auto"/>
                <w:kern w:val="0"/>
                <w:sz w:val="24"/>
                <w:szCs w:val="24"/>
                <w:highlight w:val="none"/>
                <w:lang w:val="en-US" w:eastAsia="zh-CN"/>
              </w:rPr>
              <w:t>4</w:t>
            </w:r>
            <w:r>
              <w:rPr>
                <w:rFonts w:hint="eastAsia" w:ascii="仿宋_GB2312" w:hAnsi="仿宋_GB2312" w:eastAsia="仿宋_GB2312" w:cs="仿宋_GB2312"/>
                <w:bCs/>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差评分标准：上述情况之外的，评差不得分。</w:t>
            </w:r>
          </w:p>
        </w:tc>
      </w:tr>
    </w:tbl>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.报价</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auto"/>
          <w:sz w:val="32"/>
          <w:szCs w:val="32"/>
          <w:highlight w:val="none"/>
        </w:rPr>
        <w:t>人所报的有效报价中的最低价作为基准报价。投标人报价得分=（基准价/投标人报价）*</w:t>
      </w: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rPr>
        <w:t>分。</w:t>
      </w:r>
    </w:p>
    <w:p>
      <w:pPr>
        <w:keepNext w:val="0"/>
        <w:keepLines w:val="0"/>
        <w:pageBreakBefore w:val="0"/>
        <w:kinsoku/>
        <w:wordWrap/>
        <w:overflowPunct/>
        <w:topLinePunct w:val="0"/>
        <w:bidi w:val="0"/>
        <w:spacing w:line="560" w:lineRule="exact"/>
        <w:rPr>
          <w:rFonts w:hint="eastAsia" w:ascii="楷体" w:hAnsi="楷体" w:eastAsia="楷体" w:cs="楷体"/>
          <w:color w:val="auto"/>
          <w:sz w:val="32"/>
          <w:szCs w:val="32"/>
          <w:highlight w:val="none"/>
        </w:rPr>
      </w:pPr>
      <w:r>
        <w:rPr>
          <w:rFonts w:hint="eastAsia"/>
          <w:color w:val="auto"/>
          <w:highlight w:val="none"/>
        </w:rPr>
        <w:t xml:space="preserve">      </w:t>
      </w:r>
      <w:r>
        <w:rPr>
          <w:rFonts w:hint="eastAsia" w:ascii="楷体" w:hAnsi="楷体" w:eastAsia="楷体" w:cs="楷体"/>
          <w:color w:val="auto"/>
          <w:sz w:val="32"/>
          <w:szCs w:val="32"/>
          <w:highlight w:val="none"/>
        </w:rPr>
        <w:t>（</w:t>
      </w:r>
      <w:r>
        <w:rPr>
          <w:rFonts w:hint="eastAsia" w:ascii="楷体" w:hAnsi="楷体" w:eastAsia="楷体" w:cs="楷体"/>
          <w:color w:val="auto"/>
          <w:sz w:val="32"/>
          <w:szCs w:val="32"/>
          <w:highlight w:val="none"/>
          <w:lang w:eastAsia="zh-CN"/>
        </w:rPr>
        <w:t>四</w:t>
      </w:r>
      <w:r>
        <w:rPr>
          <w:rFonts w:hint="eastAsia" w:ascii="楷体" w:hAnsi="楷体" w:eastAsia="楷体" w:cs="楷体"/>
          <w:color w:val="auto"/>
          <w:sz w:val="32"/>
          <w:szCs w:val="32"/>
          <w:highlight w:val="none"/>
        </w:rPr>
        <w:t>）供应商提供资料清单</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lang w:val="en-US" w:eastAsia="zh-CN"/>
        </w:rPr>
        <w:t>1.</w:t>
      </w:r>
      <w:r>
        <w:rPr>
          <w:rFonts w:hint="eastAsia" w:ascii="仿宋_GB2312" w:hAnsi="Calibri" w:eastAsia="仿宋_GB2312"/>
          <w:color w:val="auto"/>
          <w:sz w:val="32"/>
          <w:szCs w:val="32"/>
          <w:highlight w:val="none"/>
        </w:rPr>
        <w:t>营业执照、事业</w:t>
      </w:r>
      <w:r>
        <w:rPr>
          <w:rFonts w:hint="eastAsia" w:ascii="仿宋_GB2312" w:hAnsi="Calibri" w:eastAsia="仿宋_GB2312"/>
          <w:color w:val="auto"/>
          <w:sz w:val="32"/>
          <w:szCs w:val="32"/>
          <w:highlight w:val="none"/>
          <w:lang w:val="en-US" w:eastAsia="zh-CN"/>
        </w:rPr>
        <w:t>单位</w:t>
      </w:r>
      <w:r>
        <w:rPr>
          <w:rFonts w:hint="eastAsia" w:ascii="仿宋_GB2312" w:hAnsi="Calibri" w:eastAsia="仿宋_GB2312"/>
          <w:color w:val="auto"/>
          <w:sz w:val="32"/>
          <w:szCs w:val="32"/>
          <w:highlight w:val="none"/>
        </w:rPr>
        <w:t>法人证书、社会团体法人登记证书（加盖公章）；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2.法定代表人身份证复印件（加盖公章）；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3.项目报价清单（加盖公章）；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4.评分规则所需资料（同类业绩证明、方案等）；</w:t>
      </w:r>
    </w:p>
    <w:p>
      <w:pPr>
        <w:pStyle w:val="7"/>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）并提供表中涉及人员的近三个月社保缴纳情况，如供应商为新成立企业且成立时间不足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7"/>
        <w:spacing w:after="0" w:line="560" w:lineRule="exact"/>
        <w:ind w:left="0" w:leftChars="0" w:right="0" w:rightChars="0" w:firstLine="640"/>
        <w:rPr>
          <w:rFonts w:hint="eastAsia" w:ascii="仿宋_GB2312" w:hAnsi="仿宋" w:eastAsia="仿宋_GB2312" w:cs="Times New Roman"/>
          <w:sz w:val="32"/>
          <w:highlight w:val="none"/>
          <w:lang w:val="en-US" w:eastAsia="zh-CN"/>
        </w:rPr>
      </w:pPr>
      <w:r>
        <w:rPr>
          <w:rFonts w:hint="eastAsia" w:ascii="仿宋_GB2312" w:hAnsi="仿宋" w:eastAsia="仿宋_GB2312" w:cs="Times New Roman"/>
          <w:sz w:val="32"/>
          <w:highlight w:val="none"/>
          <w:lang w:val="en-US" w:eastAsia="zh-CN"/>
        </w:rPr>
        <w:t>（五）其他注意事项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highlight w:val="none"/>
          <w:lang w:val="en-US" w:eastAsia="zh-CN"/>
        </w:rPr>
        <w:t>1.供应商需</w:t>
      </w:r>
      <w:r>
        <w:rPr>
          <w:rFonts w:hint="default" w:ascii="仿宋_GB2312" w:hAnsi="仿宋" w:eastAsia="仿宋_GB2312" w:cs="Times New Roman"/>
          <w:sz w:val="32"/>
          <w:highlight w:val="none"/>
          <w:lang w:val="en-US" w:eastAsia="zh-CN"/>
        </w:rPr>
        <w:t>深圳政府采购自行采购系统</w:t>
      </w:r>
      <w:r>
        <w:rPr>
          <w:rFonts w:hint="eastAsia" w:ascii="仿宋_GB2312" w:hAnsi="仿宋" w:eastAsia="仿宋_GB2312" w:cs="Times New Roman"/>
          <w:kern w:val="2"/>
          <w:sz w:val="32"/>
          <w:szCs w:val="24"/>
          <w:highlight w:val="none"/>
          <w:lang w:val="en-US" w:eastAsia="zh-CN" w:bidi="ar-SA"/>
        </w:rPr>
        <w:t>完成供应商注册（网址：https://zxcg.szggzy.com/home/ind</w:t>
      </w:r>
      <w:r>
        <w:rPr>
          <w:rFonts w:hint="eastAsia" w:ascii="仿宋_GB2312" w:hAnsi="仿宋" w:eastAsia="仿宋_GB2312" w:cs="Times New Roman"/>
          <w:kern w:val="2"/>
          <w:sz w:val="32"/>
          <w:szCs w:val="24"/>
          <w:lang w:val="en-US" w:eastAsia="zh-CN" w:bidi="ar-SA"/>
        </w:rPr>
        <w:t>ex.html），请于本项目投标截止时间前完成注册，否则如中标/成交，可能影响采购结果的发布。</w:t>
      </w:r>
    </w:p>
    <w:p>
      <w:pPr>
        <w:pStyle w:val="3"/>
        <w:widowControl/>
        <w:autoSpaceDE w:val="0"/>
        <w:autoSpaceDN w:val="0"/>
        <w:adjustRightInd w:val="0"/>
        <w:snapToGrid w:val="0"/>
        <w:spacing w:line="560" w:lineRule="exact"/>
        <w:ind w:firstLine="640" w:firstLineChars="200"/>
        <w:jc w:val="left"/>
        <w:textAlignment w:val="baseline"/>
        <w:rPr>
          <w:rFonts w:hint="eastAsia" w:ascii="仿宋_GB2312" w:hAnsi="仿宋" w:eastAsia="仿宋_GB2312" w:cs="Times New Roman"/>
          <w:sz w:val="32"/>
          <w:highlight w:val="none"/>
          <w:lang w:val="en-US" w:eastAsia="zh-CN"/>
        </w:rPr>
      </w:pP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rPr>
        <w:t>供应商需</w:t>
      </w:r>
      <w:r>
        <w:rPr>
          <w:rFonts w:hint="eastAsia" w:ascii="仿宋_GB2312" w:hAnsi="仿宋" w:eastAsia="仿宋_GB2312" w:cs="Times New Roman"/>
          <w:sz w:val="32"/>
          <w:highlight w:val="none"/>
          <w:lang w:val="en-US" w:eastAsia="zh-CN"/>
        </w:rPr>
        <w:t>以</w:t>
      </w:r>
      <w:r>
        <w:rPr>
          <w:rFonts w:hint="eastAsia" w:ascii="仿宋_GB2312" w:hAnsi="仿宋" w:eastAsia="仿宋_GB2312" w:cs="Times New Roman"/>
          <w:sz w:val="32"/>
          <w:highlight w:val="none"/>
        </w:rPr>
        <w:t>邮</w:t>
      </w:r>
      <w:r>
        <w:rPr>
          <w:rFonts w:hint="eastAsia" w:ascii="仿宋_GB2312" w:hAnsi="仿宋" w:eastAsia="仿宋_GB2312" w:cs="Times New Roman"/>
          <w:color w:val="auto"/>
          <w:kern w:val="2"/>
          <w:sz w:val="32"/>
          <w:szCs w:val="22"/>
          <w:highlight w:val="none"/>
          <w:lang w:val="en-US" w:eastAsia="zh-CN" w:bidi="ar-SA"/>
        </w:rPr>
        <w:t>寄</w:t>
      </w:r>
      <w:r>
        <w:rPr>
          <w:rFonts w:hint="eastAsia" w:ascii="仿宋_GB2312" w:hAnsi="仿宋" w:eastAsia="仿宋_GB2312" w:cs="Times New Roman"/>
          <w:kern w:val="2"/>
          <w:sz w:val="32"/>
          <w:szCs w:val="22"/>
          <w:highlight w:val="none"/>
          <w:lang w:val="en-US" w:eastAsia="zh-CN" w:bidi="ar-SA"/>
        </w:rPr>
        <w:t>方式提供7份密封纸质版投标资料至本单位，并在封面备注“</w:t>
      </w:r>
      <w:r>
        <w:rPr>
          <w:rFonts w:hint="eastAsia" w:ascii="仿宋_GB2312" w:hAnsi="仿宋" w:eastAsia="仿宋_GB2312" w:cs="Times New Roman"/>
          <w:b w:val="0"/>
          <w:bCs w:val="0"/>
          <w:snapToGrid/>
          <w:kern w:val="2"/>
          <w:sz w:val="32"/>
          <w:szCs w:val="22"/>
          <w:highlight w:val="none"/>
          <w:lang w:val="en-US" w:eastAsia="zh-CN" w:bidi="ar-SA"/>
        </w:rPr>
        <w:t>十五运音乐短片拍摄制作服务</w:t>
      </w:r>
      <w:r>
        <w:rPr>
          <w:rFonts w:hint="eastAsia" w:ascii="仿宋_GB2312" w:hAnsi="仿宋" w:eastAsia="仿宋_GB2312" w:cs="Times New Roman"/>
          <w:kern w:val="2"/>
          <w:sz w:val="32"/>
          <w:szCs w:val="22"/>
          <w:highlight w:val="none"/>
          <w:lang w:val="en-US" w:eastAsia="zh-CN"/>
        </w:rPr>
        <w:t>项目+公司全称+日期+联系人+联系方式”。</w:t>
      </w:r>
    </w:p>
    <w:p>
      <w:pPr>
        <w:pStyle w:val="7"/>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16"/>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szCs w:val="22"/>
        </w:rPr>
        <w:t>0755-23338140</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spacing w:line="560" w:lineRule="exact"/>
        <w:ind w:firstLine="0" w:firstLineChars="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br w:type="page"/>
      </w:r>
    </w:p>
    <w:p>
      <w:pPr>
        <w:pStyle w:val="16"/>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3"/>
        <w:rPr>
          <w:rFonts w:hint="default"/>
          <w:lang w:val="en-US" w:eastAsia="zh-CN"/>
        </w:rPr>
      </w:pPr>
    </w:p>
    <w:p>
      <w:pPr>
        <w:rPr>
          <w:rFonts w:hint="default"/>
          <w:lang w:val="en-US" w:eastAsia="zh-CN"/>
        </w:rPr>
      </w:pPr>
    </w:p>
    <w:p>
      <w:pPr>
        <w:pStyle w:val="16"/>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0"/>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2"/>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6"/>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楷体_GB2312">
    <w:altName w:val="方正楷体_GBK"/>
    <w:panose1 w:val="02010609030101010101"/>
    <w:charset w:val="86"/>
    <w:family w:val="auto"/>
    <w:pitch w:val="default"/>
    <w:sig w:usb0="00000000" w:usb1="0000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苹方 中等">
    <w:altName w:val="URW Bookman"/>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RW Bookman">
    <w:panose1 w:val="00000400000000000000"/>
    <w:charset w:val="00"/>
    <w:family w:val="auto"/>
    <w:pitch w:val="default"/>
    <w:sig w:usb0="00000287" w:usb1="00000800" w:usb2="00000000" w:usb3="00000000" w:csb0="6000009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B3B8F"/>
    <w:multiLevelType w:val="singleLevel"/>
    <w:tmpl w:val="0B1B3B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isplayBackgroundShape w:val="true"/>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ZmE4NjA3YTA4MTczMThkZDIyMTRjNDI0MWMwYTEifQ=="/>
  </w:docVars>
  <w:rsids>
    <w:rsidRoot w:val="6A902462"/>
    <w:rsid w:val="014B0B49"/>
    <w:rsid w:val="01D226C5"/>
    <w:rsid w:val="03163E1D"/>
    <w:rsid w:val="039D7B38"/>
    <w:rsid w:val="062F5BCA"/>
    <w:rsid w:val="06DF3687"/>
    <w:rsid w:val="0D090175"/>
    <w:rsid w:val="0D8D29CB"/>
    <w:rsid w:val="14AA3E63"/>
    <w:rsid w:val="14B24AC5"/>
    <w:rsid w:val="160B7597"/>
    <w:rsid w:val="19596DA8"/>
    <w:rsid w:val="1AA107BB"/>
    <w:rsid w:val="1C2D2070"/>
    <w:rsid w:val="203329C9"/>
    <w:rsid w:val="230E1CFB"/>
    <w:rsid w:val="234F161F"/>
    <w:rsid w:val="239F7653"/>
    <w:rsid w:val="24715220"/>
    <w:rsid w:val="24F92139"/>
    <w:rsid w:val="2BFF198B"/>
    <w:rsid w:val="2D7F3DEB"/>
    <w:rsid w:val="30475B4A"/>
    <w:rsid w:val="37AAC06C"/>
    <w:rsid w:val="3829130F"/>
    <w:rsid w:val="386E057E"/>
    <w:rsid w:val="3F5F251B"/>
    <w:rsid w:val="43803779"/>
    <w:rsid w:val="43813731"/>
    <w:rsid w:val="46143D1C"/>
    <w:rsid w:val="48223734"/>
    <w:rsid w:val="491F5084"/>
    <w:rsid w:val="4C0B4CD8"/>
    <w:rsid w:val="4DFBE690"/>
    <w:rsid w:val="4E7378F2"/>
    <w:rsid w:val="523429E2"/>
    <w:rsid w:val="52387764"/>
    <w:rsid w:val="5CFFD942"/>
    <w:rsid w:val="5D753EAF"/>
    <w:rsid w:val="5DD12DA4"/>
    <w:rsid w:val="5F474482"/>
    <w:rsid w:val="5FB70ACC"/>
    <w:rsid w:val="5FFB26E3"/>
    <w:rsid w:val="65527816"/>
    <w:rsid w:val="658E6848"/>
    <w:rsid w:val="671373A4"/>
    <w:rsid w:val="677E6BDE"/>
    <w:rsid w:val="691D98E3"/>
    <w:rsid w:val="69537C71"/>
    <w:rsid w:val="6A0B3169"/>
    <w:rsid w:val="6A755D5D"/>
    <w:rsid w:val="6A902462"/>
    <w:rsid w:val="6D21195D"/>
    <w:rsid w:val="6D5520C9"/>
    <w:rsid w:val="6EEBD87A"/>
    <w:rsid w:val="6F9BADD5"/>
    <w:rsid w:val="7104058D"/>
    <w:rsid w:val="728F68A9"/>
    <w:rsid w:val="73FF884D"/>
    <w:rsid w:val="74FBAB7D"/>
    <w:rsid w:val="76DC3070"/>
    <w:rsid w:val="77187545"/>
    <w:rsid w:val="77EB9DCB"/>
    <w:rsid w:val="77ED2C21"/>
    <w:rsid w:val="78565301"/>
    <w:rsid w:val="79F75FCC"/>
    <w:rsid w:val="7B5E6C83"/>
    <w:rsid w:val="7BDD7AFF"/>
    <w:rsid w:val="7BFB85BF"/>
    <w:rsid w:val="7CA55B9A"/>
    <w:rsid w:val="7CFB3F8D"/>
    <w:rsid w:val="7D7818DB"/>
    <w:rsid w:val="7DFD4EDC"/>
    <w:rsid w:val="7EFB1E4E"/>
    <w:rsid w:val="7F7FAFB8"/>
    <w:rsid w:val="7FBD1546"/>
    <w:rsid w:val="7FBF26EB"/>
    <w:rsid w:val="7FCECBCF"/>
    <w:rsid w:val="7FDF8D7E"/>
    <w:rsid w:val="7FF5F6A2"/>
    <w:rsid w:val="7FFCB44A"/>
    <w:rsid w:val="9EDE2F2C"/>
    <w:rsid w:val="A6B21901"/>
    <w:rsid w:val="BAC35385"/>
    <w:rsid w:val="BFFAF221"/>
    <w:rsid w:val="CEFF4BF5"/>
    <w:rsid w:val="D3F9E3A3"/>
    <w:rsid w:val="DB9B2174"/>
    <w:rsid w:val="DBE5CC46"/>
    <w:rsid w:val="EFEB37D6"/>
    <w:rsid w:val="EFFEC079"/>
    <w:rsid w:val="F3F2B138"/>
    <w:rsid w:val="F3FFE72E"/>
    <w:rsid w:val="F7BD9018"/>
    <w:rsid w:val="FAFF13A2"/>
    <w:rsid w:val="FF9FB83D"/>
    <w:rsid w:val="FFCFFC6C"/>
    <w:rsid w:val="FFF746D4"/>
    <w:rsid w:val="FFFBD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Lines="0" w:afterAutospacing="0"/>
    </w:pPr>
  </w:style>
  <w:style w:type="paragraph" w:styleId="5">
    <w:name w:val="index 8"/>
    <w:basedOn w:val="1"/>
    <w:next w:val="1"/>
    <w:qFormat/>
    <w:uiPriority w:val="0"/>
    <w:pPr>
      <w:ind w:left="2940"/>
    </w:pPr>
    <w:rPr>
      <w:rFonts w:ascii="Times New Roman" w:hAnsi="Times New Roman" w:eastAsia="宋体" w:cs="Times New Roman"/>
    </w:rPr>
  </w:style>
  <w:style w:type="paragraph" w:styleId="6">
    <w:name w:val="Normal Indent"/>
    <w:basedOn w:val="1"/>
    <w:unhideWhenUsed/>
    <w:qFormat/>
    <w:uiPriority w:val="99"/>
    <w:pPr>
      <w:ind w:firstLine="420" w:firstLineChars="200"/>
    </w:pPr>
    <w:rPr>
      <w:rFonts w:ascii="Calibri" w:hAnsi="Calibri" w:eastAsia="宋体" w:cs="Times New Roman"/>
    </w:r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next w:val="5"/>
    <w:qFormat/>
    <w:uiPriority w:val="0"/>
    <w:rPr>
      <w:rFonts w:ascii="宋体" w:cs="Courier New"/>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Title"/>
    <w:basedOn w:val="1"/>
    <w:next w:val="1"/>
    <w:qFormat/>
    <w:uiPriority w:val="0"/>
    <w:pPr>
      <w:spacing w:before="240" w:after="60"/>
      <w:jc w:val="center"/>
      <w:outlineLvl w:val="0"/>
    </w:pPr>
    <w:rPr>
      <w:rFonts w:ascii="Arial" w:hAnsi="Arial" w:eastAsia="宋体" w:cs="Times New Roman"/>
      <w:b/>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_Style 3"/>
    <w:basedOn w:val="1"/>
    <w:next w:val="1"/>
    <w:qFormat/>
    <w:uiPriority w:val="99"/>
    <w:pPr>
      <w:spacing w:line="360" w:lineRule="auto"/>
      <w:ind w:firstLine="420" w:firstLineChars="200"/>
    </w:pPr>
    <w:rPr>
      <w:sz w:val="24"/>
    </w:rPr>
  </w:style>
  <w:style w:type="paragraph" w:customStyle="1" w:styleId="15">
    <w:name w:val="USE 1"/>
    <w:basedOn w:val="1"/>
    <w:qFormat/>
    <w:uiPriority w:val="0"/>
    <w:pPr>
      <w:spacing w:line="200" w:lineRule="atLeast"/>
      <w:jc w:val="left"/>
    </w:pPr>
    <w:rPr>
      <w:rFonts w:ascii="宋体" w:hAnsi="宋体"/>
      <w:b/>
      <w:sz w:val="24"/>
      <w:szCs w:val="28"/>
    </w:rPr>
  </w:style>
  <w:style w:type="paragraph" w:customStyle="1" w:styleId="16">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1430</Words>
  <Characters>1456</Characters>
  <Lines>0</Lines>
  <Paragraphs>0</Paragraphs>
  <TotalTime>170</TotalTime>
  <ScaleCrop>false</ScaleCrop>
  <LinksUpToDate>false</LinksUpToDate>
  <CharactersWithSpaces>1456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2021-12-24T08:49:00Z</dcterms:created>
  <dc:creator>陈秋燕</dc:creator>
  <cp:lastModifiedBy>kuanlu</cp:lastModifiedBy>
  <cp:lastPrinted>2025-08-20T23:13:00Z</cp:lastPrinted>
  <dcterms:modified xsi:type="dcterms:W3CDTF">2025-08-20T16:25:26Z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D02067F00058564921DA9E68075E20D9</vt:lpwstr>
  </property>
  <property fmtid="{D5CDD505-2E9C-101B-9397-08002B2CF9AE}" pid="4" name="KSOTemplateDocerSaveRecord">
    <vt:lpwstr>eyJoZGlkIjoiYWRlZmI0ZDQwMTRhNTQ1MTE0YTEzM2RhMDYyODA4MjAiLCJ1c2VySWQiOiI0MTgxMDY2NzkifQ==</vt:lpwstr>
  </property>
</Properties>
</file>