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jc w:val="center"/>
        <w:outlineLvl w:val="1"/>
        <w:rPr>
          <w:rFonts w:hint="eastAsia" w:ascii="黑体" w:hAnsi="宋体" w:eastAsia="黑体" w:cs="黑体"/>
          <w:kern w:val="0"/>
          <w:sz w:val="40"/>
          <w:szCs w:val="40"/>
        </w:rPr>
      </w:pPr>
    </w:p>
    <w:p>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7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pPr>
        <w:pStyle w:val="2"/>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pPr>
    </w:p>
    <w:p>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pPr>
        <w:pStyle w:val="2"/>
        <w:rPr>
          <w:rFonts w:hint="eastAsia"/>
          <w:highlight w:val="none"/>
        </w:rPr>
      </w:pPr>
    </w:p>
    <w:p>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pPr>
        <w:pStyle w:val="38"/>
        <w:widowControl/>
        <w:ind w:firstLine="2400" w:firstLineChars="800"/>
        <w:jc w:val="both"/>
        <w:outlineLvl w:val="1"/>
        <w:rPr>
          <w:rFonts w:hint="default"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w:t>
      </w:r>
      <w:r>
        <w:rPr>
          <w:rFonts w:hint="eastAsia" w:asciiTheme="minorEastAsia" w:hAnsiTheme="minorEastAsia" w:eastAsiaTheme="minorEastAsia" w:cstheme="minorEastAsia"/>
          <w:b w:val="0"/>
          <w:bCs w:val="0"/>
          <w:sz w:val="30"/>
          <w:szCs w:val="30"/>
          <w:highlight w:val="none"/>
          <w:lang w:eastAsia="zh-CN"/>
        </w:rPr>
        <w:t>FTZXCG-2025-00196</w:t>
      </w:r>
    </w:p>
    <w:p>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项目名称：</w:t>
      </w:r>
      <w:r>
        <w:rPr>
          <w:rFonts w:hint="eastAsia" w:asciiTheme="minorEastAsia" w:hAnsiTheme="minorEastAsia" w:eastAsiaTheme="minorEastAsia" w:cstheme="minorEastAsia"/>
          <w:sz w:val="30"/>
          <w:szCs w:val="30"/>
          <w:highlight w:val="none"/>
          <w:lang w:eastAsia="zh-CN"/>
        </w:rPr>
        <w:t>华林社区儿童友好空间壹宝天地乐园工程项目</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工程</w:t>
      </w:r>
      <w:r>
        <w:rPr>
          <w:rFonts w:hint="eastAsia" w:asciiTheme="minorEastAsia" w:hAnsiTheme="minorEastAsia" w:eastAsiaTheme="minorEastAsia" w:cstheme="minorEastAsia"/>
          <w:b w:val="0"/>
          <w:bCs w:val="0"/>
          <w:sz w:val="30"/>
          <w:szCs w:val="30"/>
          <w:highlight w:val="none"/>
        </w:rPr>
        <w:t>类</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eastAsia="zh-CN"/>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w:t>
      </w:r>
      <w:r>
        <w:rPr>
          <w:rFonts w:hint="eastAsia" w:asciiTheme="minorEastAsia" w:hAnsiTheme="minorEastAsia" w:eastAsiaTheme="minorEastAsia" w:cstheme="minorEastAsia"/>
          <w:b w:val="0"/>
          <w:bCs w:val="0"/>
          <w:sz w:val="30"/>
          <w:szCs w:val="30"/>
          <w:highlight w:val="none"/>
          <w:lang w:eastAsia="zh-CN"/>
        </w:rPr>
        <w:t>征集</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eastAsia="zh-CN"/>
        </w:rPr>
      </w:pP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highlight w:val="none"/>
              </w:rPr>
            </w:pPr>
            <w:r>
              <w:rPr>
                <w:sz w:val="28"/>
                <w:szCs w:val="28"/>
                <w:highlight w:val="none"/>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所投货物、服务</w:t>
            </w:r>
            <w:r>
              <w:rPr>
                <w:rFonts w:hint="eastAsia"/>
                <w:highlight w:val="none"/>
                <w:lang w:eastAsia="zh-CN"/>
              </w:rPr>
              <w:t>、</w:t>
            </w:r>
            <w:r>
              <w:rPr>
                <w:rFonts w:hint="eastAsia"/>
                <w:highlight w:val="none"/>
                <w:lang w:val="en-US" w:eastAsia="zh-CN"/>
              </w:rPr>
              <w:t>工程</w:t>
            </w:r>
            <w:r>
              <w:rPr>
                <w:rFonts w:hint="eastAsia"/>
                <w:highlight w:val="none"/>
              </w:rPr>
              <w:t>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投标文件用不属于本公司的电子密钥或电子营业执照进行加密的；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pPr>
              <w:rPr>
                <w:rFonts w:ascii="宋体" w:hAnsi="宋体" w:cs="宋体"/>
                <w:szCs w:val="21"/>
                <w:highlight w:val="none"/>
              </w:rPr>
            </w:pPr>
            <w:r>
              <w:rPr>
                <w:rFonts w:hint="eastAsia"/>
                <w:highlight w:val="none"/>
              </w:rPr>
              <w:t>法律、法规、规章、规范性文件规定的其他情形。</w:t>
            </w:r>
          </w:p>
        </w:tc>
      </w:tr>
    </w:tbl>
    <w:p>
      <w:pPr>
        <w:pStyle w:val="38"/>
        <w:jc w:val="center"/>
        <w:outlineLvl w:val="1"/>
        <w:rPr>
          <w:rFonts w:hint="eastAsia" w:ascii="黑体" w:hAnsi="黑体" w:eastAsia="黑体"/>
          <w:sz w:val="40"/>
          <w:szCs w:val="40"/>
          <w:highlight w:val="none"/>
        </w:rPr>
      </w:pPr>
    </w:p>
    <w:p>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tblCellSpacing w:w="0" w:type="dxa"/>
          <w:jc w:val="center"/>
        </w:trPr>
        <w:tc>
          <w:tcPr>
            <w:tcW w:w="8873" w:type="dxa"/>
            <w:shd w:val="clear" w:color="auto" w:fill="auto"/>
            <w:vAlign w:val="center"/>
          </w:tcPr>
          <w:p>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pPr>
              <w:jc w:val="right"/>
              <w:rPr>
                <w:rFonts w:ascii="宋体"/>
                <w:b/>
                <w:bCs/>
                <w:sz w:val="24"/>
                <w:highlight w:val="none"/>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rFonts w:hint="eastAsia" w:eastAsia="宋体"/>
                <w:sz w:val="21"/>
                <w:szCs w:val="21"/>
                <w:highlight w:val="none"/>
                <w:lang w:eastAsia="zh-CN"/>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p>
          <w:p>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
      <w:tblGrid>
        <w:gridCol w:w="685"/>
        <w:gridCol w:w="548"/>
        <w:gridCol w:w="2264"/>
        <w:gridCol w:w="696"/>
        <w:gridCol w:w="4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3508" w:type="dxa"/>
            <w:gridSpan w:val="3"/>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评分项</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b/>
                <w:bCs/>
                <w:sz w:val="21"/>
                <w:szCs w:val="21"/>
                <w:highlight w:val="none"/>
              </w:rPr>
            </w:pPr>
            <w:r>
              <w:rPr>
                <w:rFonts w:hint="eastAsia" w:ascii="宋体" w:hAnsi="宋体" w:cs="宋体"/>
                <w:b/>
                <w:bCs/>
                <w:sz w:val="21"/>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1</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价格</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2</w:t>
            </w:r>
          </w:p>
        </w:tc>
        <w:tc>
          <w:tcPr>
            <w:tcW w:w="3508" w:type="dxa"/>
            <w:gridSpan w:val="3"/>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技术部分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sz w:val="21"/>
                <w:szCs w:val="21"/>
                <w:highlight w:val="none"/>
              </w:rPr>
              <w:t>项目总体概述及理解</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w:t>
            </w:r>
          </w:p>
        </w:tc>
        <w:tc>
          <w:tcPr>
            <w:tcW w:w="4856" w:type="dxa"/>
            <w:tcBorders>
              <w:tl2br w:val="nil"/>
              <w:tr2bl w:val="nil"/>
            </w:tcBorders>
          </w:tcPr>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w:t>
            </w:r>
            <w:r>
              <w:rPr>
                <w:rFonts w:hint="eastAsia"/>
                <w:sz w:val="21"/>
                <w:szCs w:val="21"/>
                <w:highlight w:val="none"/>
              </w:rPr>
              <w:t>项目总体概述及理解</w:t>
            </w:r>
            <w:r>
              <w:rPr>
                <w:rFonts w:hint="eastAsia" w:ascii="宋体" w:hAnsi="宋体" w:cs="宋体"/>
                <w:sz w:val="21"/>
                <w:szCs w:val="21"/>
                <w:highlight w:val="none"/>
              </w:rPr>
              <w:t>，内容应包括：</w:t>
            </w:r>
          </w:p>
          <w:p>
            <w:pPr>
              <w:wordWrap w:val="0"/>
              <w:adjustRightInd w:val="0"/>
              <w:snapToGrid w:val="0"/>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清晰明确的项目范围；</w:t>
            </w:r>
          </w:p>
          <w:p>
            <w:pPr>
              <w:wordWrap w:val="0"/>
              <w:adjustRightInd w:val="0"/>
              <w:snapToGrid w:val="0"/>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关键的项目目标；</w:t>
            </w:r>
          </w:p>
          <w:p>
            <w:pPr>
              <w:wordWrap w:val="0"/>
              <w:adjustRightInd w:val="0"/>
              <w:snapToGrid w:val="0"/>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总体思路及措施；</w:t>
            </w:r>
          </w:p>
          <w:p>
            <w:pPr>
              <w:wordWrap w:val="0"/>
              <w:adjustRightInd w:val="0"/>
              <w:snapToGrid w:val="0"/>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对本项目的理解；</w:t>
            </w:r>
          </w:p>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w:t>
            </w:r>
            <w:r>
              <w:rPr>
                <w:rFonts w:hint="eastAsia" w:ascii="宋体" w:hAnsi="宋体" w:cs="宋体"/>
                <w:sz w:val="21"/>
                <w:szCs w:val="21"/>
                <w:highlight w:val="none"/>
                <w:lang w:val="en-US" w:eastAsia="zh-CN"/>
              </w:rPr>
              <w:t>15</w:t>
            </w:r>
            <w:bookmarkStart w:id="95" w:name="_GoBack"/>
            <w:bookmarkEnd w:id="95"/>
            <w:r>
              <w:rPr>
                <w:rFonts w:hint="eastAsia" w:ascii="宋体" w:hAnsi="宋体" w:cs="宋体"/>
                <w:sz w:val="21"/>
                <w:szCs w:val="21"/>
                <w:highlight w:val="none"/>
              </w:rPr>
              <w:t>分，本小项累计最高得60分；在此基础上，专家根据各供应商的具体响应内容按照量化的评审因素指标进一步评审：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优评分标准：对项目理解准确全面，对评分内容有针对性详细分析，实施方案详细且贴切项目实际，全部满足要求，加40分；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良评分标准：对项目理解不准确但对评分内容分析全面或对项目理解准确但对考察内容分析不全面，实施方案详细但针对性不强的，加30分；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中评分标准：对项目理解不准确且对考察内容分析不全面，实施方案简要且针对性不强的，加20分；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差评分标准：未满足项目需求且没有针对考察内容进行分析，缺少实施方案的，得0分。</w:t>
            </w:r>
          </w:p>
          <w:p>
            <w:pPr>
              <w:wordWrap w:val="0"/>
              <w:adjustRightInd w:val="0"/>
              <w:snapToGrid w:val="0"/>
              <w:spacing w:line="320" w:lineRule="exact"/>
              <w:rPr>
                <w:rFonts w:ascii="宋体" w:hAnsi="宋体" w:cs="宋体"/>
                <w:sz w:val="21"/>
                <w:szCs w:val="21"/>
                <w:highlight w:val="none"/>
              </w:rPr>
            </w:pPr>
            <w:r>
              <w:rPr>
                <w:rFonts w:hint="eastAsia" w:ascii="宋体" w:hAnsi="宋体" w:eastAsia="宋体" w:cs="宋体"/>
                <w:sz w:val="21"/>
                <w:szCs w:val="21"/>
                <w:highlight w:val="none"/>
              </w:rPr>
              <w:t>未提供响应内容的本项不得分。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2</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eastAsia="zh-CN"/>
              </w:rPr>
            </w:pPr>
            <w:r>
              <w:rPr>
                <w:rFonts w:hint="eastAsia"/>
                <w:sz w:val="21"/>
                <w:szCs w:val="21"/>
                <w:highlight w:val="none"/>
                <w:lang w:eastAsia="zh-CN"/>
              </w:rPr>
              <w:t>项目服务方案</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4856" w:type="dxa"/>
            <w:tcBorders>
              <w:tl2br w:val="nil"/>
              <w:tr2bl w:val="nil"/>
            </w:tcBorders>
            <w:vAlign w:val="top"/>
          </w:tcPr>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w:t>
            </w:r>
            <w:r>
              <w:rPr>
                <w:rFonts w:hint="eastAsia"/>
                <w:sz w:val="21"/>
                <w:szCs w:val="21"/>
                <w:highlight w:val="none"/>
                <w:lang w:eastAsia="zh-CN"/>
              </w:rPr>
              <w:t>项目服务方案</w:t>
            </w:r>
            <w:r>
              <w:rPr>
                <w:rFonts w:hint="eastAsia" w:ascii="宋体" w:hAnsi="宋体" w:cs="宋体"/>
                <w:sz w:val="21"/>
                <w:szCs w:val="21"/>
                <w:highlight w:val="none"/>
              </w:rPr>
              <w:t>，内容应包括：</w:t>
            </w:r>
          </w:p>
          <w:p>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1.环境工程方案；</w:t>
            </w:r>
          </w:p>
          <w:p>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2.项目施工方案；</w:t>
            </w:r>
          </w:p>
          <w:p>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3.安全保障专项方案；</w:t>
            </w:r>
          </w:p>
          <w:p>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4.后期运营与维护方案；</w:t>
            </w:r>
          </w:p>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w:t>
            </w:r>
            <w:r>
              <w:rPr>
                <w:rFonts w:hint="eastAsia" w:ascii="宋体" w:hAnsi="宋体" w:cs="宋体"/>
                <w:sz w:val="21"/>
                <w:szCs w:val="21"/>
                <w:highlight w:val="none"/>
                <w:lang w:val="en-US" w:eastAsia="zh-CN"/>
              </w:rPr>
              <w:t>1</w:t>
            </w:r>
            <w:r>
              <w:rPr>
                <w:rFonts w:hint="eastAsia" w:ascii="宋体" w:hAnsi="宋体" w:cs="宋体"/>
                <w:sz w:val="21"/>
                <w:szCs w:val="21"/>
                <w:highlight w:val="none"/>
              </w:rPr>
              <w:t>0分，本小项累计最高得</w:t>
            </w:r>
            <w:r>
              <w:rPr>
                <w:rFonts w:hint="eastAsia" w:ascii="宋体" w:hAnsi="宋体" w:cs="宋体"/>
                <w:sz w:val="21"/>
                <w:szCs w:val="21"/>
                <w:highlight w:val="none"/>
                <w:lang w:val="en-US" w:eastAsia="zh-CN"/>
              </w:rPr>
              <w:t>4</w:t>
            </w:r>
            <w:r>
              <w:rPr>
                <w:rFonts w:hint="eastAsia" w:ascii="宋体" w:hAnsi="宋体" w:cs="宋体"/>
                <w:sz w:val="21"/>
                <w:szCs w:val="21"/>
                <w:highlight w:val="none"/>
              </w:rPr>
              <w:t>0分；在此基础上，专家根据各供应商的具体响应内容按照量化的评审因素指标进一步评审：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优评分标准：对项目理解准确全面，对评分内容有针对性详细分析，实施方案详细且贴切项目实际，全部满足要求，加60</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良评分标准：对项目理解不准确但对评分内容分析全面或对项目理解准确但对考察内容分析不全面，实施方案详细但针对性不强的，加40</w:t>
            </w:r>
            <w:r>
              <w:rPr>
                <w:rFonts w:hint="eastAsia" w:ascii="宋体" w:hAnsi="宋体" w:eastAsia="宋体" w:cs="宋体"/>
                <w:sz w:val="21"/>
                <w:szCs w:val="21"/>
                <w:highlight w:val="none"/>
              </w:rPr>
              <w:t>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中评分标准：对项目理解不准确且对考察内容分析不全面，实施方案简要且针对性不强的，加20</w:t>
            </w:r>
            <w:r>
              <w:rPr>
                <w:rFonts w:hint="eastAsia" w:ascii="宋体" w:hAnsi="宋体" w:eastAsia="宋体" w:cs="宋体"/>
                <w:sz w:val="21"/>
                <w:szCs w:val="21"/>
                <w:highlight w:val="none"/>
              </w:rPr>
              <w:t>分；</w:t>
            </w:r>
          </w:p>
          <w:p>
            <w:pPr>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差评分标准：未满足项目需求且没有针对考察内容进行分析，缺少实施方案的，加</w:t>
            </w:r>
            <w:r>
              <w:rPr>
                <w:rFonts w:hint="eastAsia" w:ascii="宋体" w:hAnsi="宋体" w:eastAsia="宋体" w:cs="宋体"/>
                <w:sz w:val="21"/>
                <w:szCs w:val="21"/>
                <w:highlight w:val="none"/>
              </w:rPr>
              <w:t xml:space="preserve"> 0分；</w:t>
            </w:r>
          </w:p>
          <w:p>
            <w:pPr>
              <w:wordWrap w:val="0"/>
              <w:adjustRightInd w:val="0"/>
              <w:snapToGrid w:val="0"/>
              <w:spacing w:line="320" w:lineRule="exact"/>
              <w:rPr>
                <w:rFonts w:ascii="宋体" w:hAnsi="宋体" w:cs="宋体"/>
                <w:sz w:val="21"/>
                <w:szCs w:val="21"/>
                <w:highlight w:val="none"/>
              </w:rPr>
            </w:pPr>
            <w:r>
              <w:rPr>
                <w:rFonts w:hint="eastAsia" w:ascii="宋体" w:hAnsi="宋体" w:eastAsia="宋体" w:cs="宋体"/>
                <w:b w:val="0"/>
                <w:bCs w:val="0"/>
                <w:sz w:val="21"/>
                <w:szCs w:val="21"/>
                <w:highlight w:val="none"/>
                <w:lang w:val="en-US"/>
              </w:rPr>
              <w:t>未提供响应内容的本项不得分。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3</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eastAsia="zh-CN"/>
              </w:rPr>
            </w:pPr>
            <w:r>
              <w:rPr>
                <w:rFonts w:hint="eastAsia" w:ascii="宋体" w:hAnsi="宋体"/>
                <w:sz w:val="21"/>
                <w:szCs w:val="21"/>
                <w:highlight w:val="none"/>
                <w:lang w:eastAsia="zh-CN"/>
              </w:rPr>
              <w:t>项目重点难点分析、应对措施及相关的合理化建议</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4856" w:type="dxa"/>
            <w:tcBorders>
              <w:tl2br w:val="nil"/>
              <w:tr2bl w:val="nil"/>
            </w:tcBorders>
            <w:vAlign w:val="top"/>
          </w:tcPr>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w:t>
            </w:r>
            <w:r>
              <w:rPr>
                <w:rFonts w:hint="eastAsia" w:ascii="宋体" w:hAnsi="宋体"/>
                <w:sz w:val="21"/>
                <w:szCs w:val="21"/>
                <w:highlight w:val="none"/>
                <w:lang w:eastAsia="zh-CN"/>
              </w:rPr>
              <w:t>项目重点难点分析、应对措施及相关的合理化建议</w:t>
            </w:r>
            <w:r>
              <w:rPr>
                <w:rFonts w:hint="eastAsia" w:ascii="宋体" w:hAnsi="宋体" w:cs="宋体"/>
                <w:sz w:val="21"/>
                <w:szCs w:val="21"/>
                <w:highlight w:val="none"/>
              </w:rPr>
              <w:t>，内容应包括：</w:t>
            </w:r>
          </w:p>
          <w:p>
            <w:pPr>
              <w:wordWrap w:val="0"/>
              <w:adjustRightInd w:val="0"/>
              <w:snapToGrid w:val="0"/>
              <w:spacing w:line="32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 xml:space="preserve">项目施工的重难点分析； </w:t>
            </w:r>
          </w:p>
          <w:p>
            <w:pPr>
              <w:wordWrap w:val="0"/>
              <w:adjustRightInd w:val="0"/>
              <w:snapToGrid w:val="0"/>
              <w:spacing w:line="32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项目施工的重难点应对措施；</w:t>
            </w:r>
          </w:p>
          <w:p>
            <w:pPr>
              <w:wordWrap w:val="0"/>
              <w:adjustRightInd w:val="0"/>
              <w:snapToGrid w:val="0"/>
              <w:spacing w:line="32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项目施工的重难点质量管控措施；</w:t>
            </w:r>
          </w:p>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w:t>
            </w:r>
            <w:r>
              <w:rPr>
                <w:rFonts w:hint="eastAsia" w:ascii="宋体" w:hAnsi="宋体" w:cs="宋体"/>
                <w:sz w:val="21"/>
                <w:szCs w:val="21"/>
                <w:highlight w:val="none"/>
                <w:lang w:val="en-US" w:eastAsia="zh-CN"/>
              </w:rPr>
              <w:t>20</w:t>
            </w:r>
            <w:r>
              <w:rPr>
                <w:rFonts w:hint="eastAsia" w:ascii="宋体" w:hAnsi="宋体" w:cs="宋体"/>
                <w:sz w:val="21"/>
                <w:szCs w:val="21"/>
                <w:highlight w:val="none"/>
              </w:rPr>
              <w:t>分，本小项累计最高得</w:t>
            </w:r>
            <w:r>
              <w:rPr>
                <w:rFonts w:hint="eastAsia" w:ascii="宋体" w:hAnsi="宋体" w:cs="宋体"/>
                <w:sz w:val="21"/>
                <w:szCs w:val="21"/>
                <w:highlight w:val="none"/>
                <w:lang w:val="en-US" w:eastAsia="zh-CN"/>
              </w:rPr>
              <w:t>60</w:t>
            </w:r>
            <w:r>
              <w:rPr>
                <w:rFonts w:hint="eastAsia" w:ascii="宋体" w:hAnsi="宋体" w:cs="宋体"/>
                <w:sz w:val="21"/>
                <w:szCs w:val="21"/>
                <w:highlight w:val="none"/>
              </w:rPr>
              <w:t>分；在此基础上，专家根据各供应商的具体响应内容按照量化的评审因素指标进一步评审：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优评分标准：对项目重难点理解准确全面，有针对性详细分析，且能提出符合深圳实际的应对措施，加40分；</w:t>
            </w:r>
          </w:p>
          <w:p>
            <w:pPr>
              <w:pStyle w:val="19"/>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良评分标准：对项目重难点理解不准确但进行了针对性详细分析或对项目重难点理解准确但对重难点分析不全面，应对措施详细但不能完全贴合深圳实际的，加30分；</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中评分标准：对项目重难点理解不准确且重难点分析不全面，应对措施简要且不能完全贴合深圳实际的，加20分；</w:t>
            </w:r>
          </w:p>
          <w:p>
            <w:pPr>
              <w:pStyle w:val="19"/>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差评分标准：没有正确理解项目重难点且没有详细分析，应对措施不符合实际的，加0分。</w:t>
            </w:r>
          </w:p>
          <w:p>
            <w:pPr>
              <w:wordWrap w:val="0"/>
              <w:adjustRightInd w:val="0"/>
              <w:snapToGrid w:val="0"/>
              <w:spacing w:line="320" w:lineRule="exact"/>
              <w:rPr>
                <w:rFonts w:ascii="宋体" w:hAnsi="宋体" w:cs="宋体"/>
                <w:sz w:val="21"/>
                <w:szCs w:val="21"/>
                <w:highlight w:val="none"/>
              </w:rPr>
            </w:pPr>
            <w:r>
              <w:rPr>
                <w:rFonts w:hint="eastAsia" w:ascii="宋体" w:hAnsi="宋体" w:eastAsia="宋体" w:cs="宋体"/>
                <w:b w:val="0"/>
                <w:bCs w:val="0"/>
                <w:sz w:val="21"/>
                <w:szCs w:val="21"/>
                <w:highlight w:val="none"/>
                <w:lang w:val="en-US"/>
              </w:rPr>
              <w:t>未提供响应内容的本项不得分。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rHeight w:val="90" w:hRule="atLeast"/>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4</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sz w:val="21"/>
                <w:szCs w:val="21"/>
                <w:highlight w:val="none"/>
              </w:rPr>
              <w:t>质量保障措施</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4856" w:type="dxa"/>
            <w:tcBorders>
              <w:tl2br w:val="nil"/>
              <w:tr2bl w:val="nil"/>
            </w:tcBorders>
            <w:vAlign w:val="top"/>
          </w:tcPr>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根据招标文件要求提供</w:t>
            </w:r>
            <w:r>
              <w:rPr>
                <w:rFonts w:hint="eastAsia" w:ascii="宋体" w:hAnsi="宋体"/>
                <w:sz w:val="21"/>
                <w:szCs w:val="21"/>
                <w:highlight w:val="none"/>
                <w:lang w:eastAsia="zh-CN"/>
              </w:rPr>
              <w:t>质量保障措施</w:t>
            </w:r>
            <w:r>
              <w:rPr>
                <w:rFonts w:hint="eastAsia" w:ascii="宋体" w:hAnsi="宋体" w:cs="宋体"/>
                <w:sz w:val="21"/>
                <w:szCs w:val="21"/>
                <w:highlight w:val="none"/>
              </w:rPr>
              <w:t>，内容应包括：</w:t>
            </w:r>
          </w:p>
          <w:p>
            <w:pPr>
              <w:wordWrap w:val="0"/>
              <w:adjustRightInd w:val="0"/>
              <w:snapToGrid w:val="0"/>
              <w:spacing w:line="32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1.项目施工准备阶段质量控制方案；</w:t>
            </w:r>
          </w:p>
          <w:p>
            <w:pPr>
              <w:wordWrap w:val="0"/>
              <w:adjustRightInd w:val="0"/>
              <w:snapToGrid w:val="0"/>
              <w:spacing w:line="32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2.项目施工过程中质量控制方案；</w:t>
            </w:r>
          </w:p>
          <w:p>
            <w:pPr>
              <w:wordWrap w:val="0"/>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（二）评分依据：</w:t>
            </w:r>
          </w:p>
          <w:p>
            <w:pPr>
              <w:wordWrap w:val="0"/>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每提供上述任意一项内容得</w:t>
            </w:r>
            <w:r>
              <w:rPr>
                <w:rFonts w:hint="eastAsia" w:ascii="宋体" w:hAnsi="宋体" w:cs="宋体"/>
                <w:sz w:val="21"/>
                <w:szCs w:val="21"/>
                <w:highlight w:val="none"/>
                <w:lang w:val="en-US" w:eastAsia="zh-CN"/>
              </w:rPr>
              <w:t>25</w:t>
            </w:r>
            <w:r>
              <w:rPr>
                <w:rFonts w:hint="eastAsia" w:ascii="宋体" w:hAnsi="宋体" w:cs="宋体"/>
                <w:sz w:val="21"/>
                <w:szCs w:val="21"/>
                <w:highlight w:val="none"/>
              </w:rPr>
              <w:t>分，本小项累计最高得</w:t>
            </w:r>
            <w:r>
              <w:rPr>
                <w:rFonts w:hint="eastAsia" w:ascii="宋体" w:hAnsi="宋体" w:cs="宋体"/>
                <w:sz w:val="21"/>
                <w:szCs w:val="21"/>
                <w:highlight w:val="none"/>
                <w:lang w:val="en-US" w:eastAsia="zh-CN"/>
              </w:rPr>
              <w:t>5</w:t>
            </w:r>
            <w:r>
              <w:rPr>
                <w:rFonts w:hint="eastAsia" w:ascii="宋体" w:hAnsi="宋体" w:cs="宋体"/>
                <w:sz w:val="21"/>
                <w:szCs w:val="21"/>
                <w:highlight w:val="none"/>
              </w:rPr>
              <w:t>0分；在此基础上，专家根据各供应商的具体响应内容按照量化的评审因素指标进一步评审：</w:t>
            </w:r>
          </w:p>
          <w:p>
            <w:pPr>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优评分标准：有切实有效的项目实施保障措施，项目整体质量控制方案全面、可行的，加</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0分；</w:t>
            </w:r>
          </w:p>
          <w:p>
            <w:pPr>
              <w:pStyle w:val="19"/>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良评分标准：有切实有效的项目实施保障措施，项目整体质量控制方案一般的，加</w:t>
            </w:r>
            <w:r>
              <w:rPr>
                <w:rFonts w:hint="eastAsia" w:ascii="宋体" w:hAnsi="宋体" w:cs="宋体"/>
                <w:b w:val="0"/>
                <w:bCs w:val="0"/>
                <w:sz w:val="21"/>
                <w:szCs w:val="21"/>
                <w:highlight w:val="none"/>
                <w:lang w:val="en-US" w:eastAsia="zh-CN"/>
              </w:rPr>
              <w:t>3</w:t>
            </w:r>
            <w:r>
              <w:rPr>
                <w:rFonts w:hint="eastAsia" w:ascii="宋体" w:hAnsi="宋体" w:eastAsia="宋体" w:cs="宋体"/>
                <w:b w:val="0"/>
                <w:bCs w:val="0"/>
                <w:sz w:val="21"/>
                <w:szCs w:val="21"/>
                <w:highlight w:val="none"/>
                <w:lang w:val="en-US" w:eastAsia="zh-CN"/>
              </w:rPr>
              <w:t>0分；</w:t>
            </w:r>
          </w:p>
          <w:p>
            <w:pPr>
              <w:pStyle w:val="19"/>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中评分标准：项目实施保障措施一般，项目实施保障措施，项目整体质量控制方案一般的，加</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0分；</w:t>
            </w:r>
          </w:p>
          <w:p>
            <w:pPr>
              <w:pStyle w:val="19"/>
              <w:keepNext w:val="0"/>
              <w:keepLines w:val="0"/>
              <w:pageBreakBefore w:val="0"/>
              <w:kinsoku/>
              <w:overflowPunct/>
              <w:topLinePunct w:val="0"/>
              <w:autoSpaceDE/>
              <w:autoSpaceDN/>
              <w:bidi w:val="0"/>
              <w:adjustRightInd w:val="0"/>
              <w:spacing w:line="34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差评分标准：没有质量保障措施及方案的评价为差的，加</w:t>
            </w:r>
            <w:r>
              <w:rPr>
                <w:rFonts w:hint="eastAsia" w:ascii="宋体" w:hAnsi="宋体" w:cs="宋体"/>
                <w:b w:val="0"/>
                <w:bCs w:val="0"/>
                <w:sz w:val="21"/>
                <w:szCs w:val="21"/>
                <w:highlight w:val="none"/>
                <w:lang w:val="en-US" w:eastAsia="zh-CN"/>
              </w:rPr>
              <w:t>0</w:t>
            </w:r>
            <w:r>
              <w:rPr>
                <w:rFonts w:hint="eastAsia" w:ascii="宋体" w:hAnsi="宋体" w:eastAsia="宋体" w:cs="宋体"/>
                <w:b w:val="0"/>
                <w:bCs w:val="0"/>
                <w:sz w:val="21"/>
                <w:szCs w:val="21"/>
                <w:highlight w:val="none"/>
                <w:lang w:val="en-US" w:eastAsia="zh-CN"/>
              </w:rPr>
              <w:t>分。</w:t>
            </w:r>
          </w:p>
          <w:p>
            <w:pPr>
              <w:wordWrap w:val="0"/>
              <w:adjustRightInd w:val="0"/>
              <w:snapToGrid w:val="0"/>
              <w:spacing w:line="320" w:lineRule="exact"/>
              <w:rPr>
                <w:rFonts w:ascii="宋体" w:hAnsi="宋体" w:cs="宋体"/>
                <w:sz w:val="21"/>
                <w:szCs w:val="21"/>
                <w:highlight w:val="none"/>
              </w:rPr>
            </w:pPr>
            <w:r>
              <w:rPr>
                <w:rFonts w:hint="eastAsia" w:ascii="宋体" w:hAnsi="宋体" w:eastAsia="宋体" w:cs="宋体"/>
                <w:b w:val="0"/>
                <w:bCs w:val="0"/>
                <w:sz w:val="21"/>
                <w:szCs w:val="21"/>
                <w:highlight w:val="none"/>
                <w:lang w:val="en-US"/>
              </w:rPr>
              <w:t>未提供响应内容的本项不得分。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eastAsia="zh-CN"/>
              </w:rPr>
            </w:pPr>
            <w:r>
              <w:rPr>
                <w:rFonts w:hint="eastAsia" w:ascii="宋体" w:hAnsi="宋体"/>
                <w:sz w:val="21"/>
                <w:szCs w:val="21"/>
                <w:highlight w:val="none"/>
                <w:lang w:eastAsia="zh-CN"/>
              </w:rPr>
              <w:t>拟派本项目的服务人数、服务人员素质</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8</w:t>
            </w:r>
          </w:p>
        </w:tc>
        <w:tc>
          <w:tcPr>
            <w:tcW w:w="4856" w:type="dxa"/>
            <w:tcBorders>
              <w:tl2br w:val="nil"/>
              <w:tr2bl w:val="nil"/>
            </w:tcBorders>
          </w:tcPr>
          <w:p>
            <w:pPr>
              <w:adjustRightInd w:val="0"/>
              <w:snapToGrid w:val="0"/>
              <w:spacing w:line="320" w:lineRule="exact"/>
              <w:rPr>
                <w:rFonts w:ascii="宋体" w:hAnsi="宋体" w:cs="宋体"/>
                <w:b/>
                <w:bCs/>
                <w:sz w:val="21"/>
                <w:szCs w:val="21"/>
                <w:highlight w:val="none"/>
              </w:rPr>
            </w:pPr>
            <w:r>
              <w:rPr>
                <w:rFonts w:hint="eastAsia" w:ascii="宋体" w:hAnsi="宋体" w:cs="宋体"/>
                <w:b/>
                <w:bCs/>
                <w:sz w:val="21"/>
                <w:szCs w:val="21"/>
                <w:highlight w:val="none"/>
              </w:rPr>
              <w:t>（一）评分内容：</w:t>
            </w:r>
          </w:p>
          <w:p>
            <w:pPr>
              <w:adjustRightInd w:val="0"/>
              <w:snapToGrid w:val="0"/>
              <w:spacing w:line="320" w:lineRule="exact"/>
              <w:rPr>
                <w:rFonts w:ascii="宋体" w:hAnsi="宋体" w:cs="宋体"/>
                <w:sz w:val="21"/>
                <w:szCs w:val="21"/>
                <w:highlight w:val="none"/>
              </w:rPr>
            </w:pPr>
            <w:r>
              <w:rPr>
                <w:rFonts w:hint="eastAsia" w:ascii="宋体" w:hAnsi="宋体" w:cs="宋体"/>
                <w:color w:val="FF0000"/>
                <w:sz w:val="21"/>
                <w:szCs w:val="21"/>
                <w:highlight w:val="none"/>
              </w:rPr>
              <w:t>按招标文件要求提供人员配备承诺（格式见招标文件第四章-投标文件附件-人员配备承诺），</w:t>
            </w:r>
            <w:r>
              <w:rPr>
                <w:rFonts w:hint="eastAsia" w:ascii="宋体" w:hAnsi="宋体" w:cs="宋体"/>
                <w:sz w:val="21"/>
                <w:szCs w:val="21"/>
                <w:highlight w:val="none"/>
              </w:rPr>
              <w:t>且拟安排</w:t>
            </w:r>
            <w:r>
              <w:rPr>
                <w:rFonts w:hint="eastAsia" w:ascii="宋体" w:hAnsi="宋体" w:cs="宋体"/>
                <w:sz w:val="21"/>
                <w:szCs w:val="21"/>
                <w:highlight w:val="none"/>
                <w:lang w:val="en-US" w:eastAsia="zh-CN"/>
              </w:rPr>
              <w:t>的人员</w:t>
            </w:r>
            <w:r>
              <w:rPr>
                <w:rFonts w:hint="eastAsia" w:ascii="宋体" w:hAnsi="宋体" w:cs="宋体"/>
                <w:sz w:val="21"/>
                <w:szCs w:val="21"/>
                <w:highlight w:val="none"/>
              </w:rPr>
              <w:t>为投标单位员工（以社保为准），否则本项不得分。在此基础上：</w:t>
            </w:r>
          </w:p>
          <w:p>
            <w:pPr>
              <w:rPr>
                <w:rFonts w:hint="eastAsia"/>
                <w:b/>
                <w:bCs/>
                <w:sz w:val="21"/>
                <w:szCs w:val="21"/>
                <w:highlight w:val="none"/>
              </w:rPr>
            </w:pPr>
            <w:r>
              <w:rPr>
                <w:rFonts w:hint="eastAsia"/>
                <w:b/>
                <w:bCs/>
                <w:sz w:val="21"/>
                <w:szCs w:val="21"/>
                <w:highlight w:val="none"/>
              </w:rPr>
              <w:t>拟派本项目负责人（仅限1人）：</w:t>
            </w:r>
          </w:p>
          <w:p>
            <w:pPr>
              <w:rPr>
                <w:rFonts w:hint="eastAsia"/>
                <w:sz w:val="21"/>
                <w:szCs w:val="21"/>
                <w:highlight w:val="none"/>
              </w:rPr>
            </w:pPr>
            <w:r>
              <w:rPr>
                <w:rFonts w:hint="eastAsia"/>
                <w:sz w:val="21"/>
                <w:szCs w:val="21"/>
                <w:highlight w:val="none"/>
              </w:rPr>
              <w:t>1.具备建筑相关专业本科或以上学历的得</w:t>
            </w:r>
            <w:r>
              <w:rPr>
                <w:rFonts w:hint="eastAsia"/>
                <w:sz w:val="21"/>
                <w:szCs w:val="21"/>
                <w:highlight w:val="none"/>
                <w:lang w:val="en-US" w:eastAsia="zh-CN"/>
              </w:rPr>
              <w:t>25</w:t>
            </w:r>
            <w:r>
              <w:rPr>
                <w:rFonts w:hint="eastAsia"/>
                <w:sz w:val="21"/>
                <w:szCs w:val="21"/>
                <w:highlight w:val="none"/>
              </w:rPr>
              <w:t>分；</w:t>
            </w:r>
          </w:p>
          <w:p>
            <w:pPr>
              <w:pStyle w:val="2"/>
              <w:rPr>
                <w:rFonts w:hint="default" w:eastAsia="宋体"/>
                <w:sz w:val="21"/>
                <w:szCs w:val="21"/>
                <w:lang w:val="en-US" w:eastAsia="zh-CN"/>
              </w:rPr>
            </w:pPr>
            <w:r>
              <w:rPr>
                <w:rFonts w:hint="eastAsia"/>
                <w:sz w:val="21"/>
                <w:szCs w:val="21"/>
                <w:lang w:val="en-US" w:eastAsia="zh-CN"/>
              </w:rPr>
              <w:t>2.具有安全生产考核合格证书（B本）或以上的得25分；</w:t>
            </w:r>
          </w:p>
          <w:p>
            <w:pPr>
              <w:rPr>
                <w:rFonts w:hint="eastAsia"/>
                <w:sz w:val="21"/>
                <w:szCs w:val="21"/>
                <w:highlight w:val="none"/>
              </w:rPr>
            </w:pPr>
            <w:r>
              <w:rPr>
                <w:rFonts w:hint="eastAsia"/>
                <w:sz w:val="21"/>
                <w:szCs w:val="21"/>
                <w:highlight w:val="none"/>
              </w:rPr>
              <w:t>本小项最高得</w:t>
            </w:r>
            <w:r>
              <w:rPr>
                <w:rFonts w:hint="eastAsia"/>
                <w:sz w:val="21"/>
                <w:szCs w:val="21"/>
                <w:highlight w:val="none"/>
                <w:lang w:val="en-US" w:eastAsia="zh-CN"/>
              </w:rPr>
              <w:t>50</w:t>
            </w:r>
            <w:r>
              <w:rPr>
                <w:rFonts w:hint="eastAsia"/>
                <w:sz w:val="21"/>
                <w:szCs w:val="21"/>
                <w:highlight w:val="none"/>
              </w:rPr>
              <w:t>分。</w:t>
            </w:r>
          </w:p>
          <w:p>
            <w:pPr>
              <w:rPr>
                <w:rFonts w:hint="eastAsia"/>
                <w:b/>
                <w:bCs/>
                <w:sz w:val="21"/>
                <w:szCs w:val="21"/>
                <w:highlight w:val="none"/>
              </w:rPr>
            </w:pPr>
            <w:r>
              <w:rPr>
                <w:rFonts w:hint="eastAsia"/>
                <w:b/>
                <w:bCs/>
                <w:sz w:val="21"/>
                <w:szCs w:val="21"/>
                <w:highlight w:val="none"/>
              </w:rPr>
              <w:t>拟派本项目的团队人员（项目经理除外）：</w:t>
            </w:r>
          </w:p>
          <w:p>
            <w:pPr>
              <w:numPr>
                <w:ilvl w:val="0"/>
                <w:numId w:val="0"/>
              </w:numPr>
              <w:spacing w:line="240" w:lineRule="auto"/>
              <w:rPr>
                <w:rFonts w:hint="eastAsia"/>
                <w:sz w:val="21"/>
                <w:szCs w:val="21"/>
                <w:highlight w:val="none"/>
                <w:lang w:eastAsia="zh-CN"/>
              </w:rPr>
            </w:pPr>
            <w:r>
              <w:rPr>
                <w:rFonts w:hint="eastAsia" w:asciiTheme="minorEastAsia" w:hAnsiTheme="minorEastAsia" w:eastAsiaTheme="minorEastAsia" w:cstheme="minorEastAsia"/>
                <w:b w:val="0"/>
                <w:bCs w:val="0"/>
                <w:sz w:val="21"/>
                <w:szCs w:val="21"/>
                <w:highlight w:val="none"/>
                <w:lang w:val="en-US" w:eastAsia="zh-CN"/>
              </w:rPr>
              <w:t>1.</w:t>
            </w:r>
            <w:r>
              <w:rPr>
                <w:rFonts w:hint="eastAsia" w:asciiTheme="minorEastAsia" w:hAnsiTheme="minorEastAsia" w:eastAsiaTheme="minorEastAsia" w:cstheme="minorEastAsia"/>
                <w:b w:val="0"/>
                <w:bCs w:val="0"/>
                <w:sz w:val="21"/>
                <w:szCs w:val="21"/>
                <w:highlight w:val="none"/>
              </w:rPr>
              <w:t>具备人力资源和社会保障部（或其他具备颁发资格的单位或协会）颁发的</w:t>
            </w:r>
            <w:r>
              <w:rPr>
                <w:rFonts w:hint="eastAsia"/>
                <w:sz w:val="21"/>
                <w:szCs w:val="21"/>
                <w:highlight w:val="none"/>
              </w:rPr>
              <w:t>建筑中级或以上工程师职称证书的得</w:t>
            </w:r>
            <w:r>
              <w:rPr>
                <w:rFonts w:hint="eastAsia" w:asciiTheme="minorEastAsia" w:hAnsiTheme="minorEastAsia" w:eastAsiaTheme="minorEastAsia" w:cstheme="minorEastAsia"/>
                <w:sz w:val="21"/>
                <w:szCs w:val="21"/>
                <w:highlight w:val="none"/>
                <w:lang w:val="en-US" w:eastAsia="zh-CN"/>
              </w:rPr>
              <w:t>25</w:t>
            </w:r>
            <w:r>
              <w:rPr>
                <w:rFonts w:hint="eastAsia"/>
                <w:sz w:val="21"/>
                <w:szCs w:val="21"/>
                <w:highlight w:val="none"/>
              </w:rPr>
              <w:t>分</w:t>
            </w:r>
            <w:r>
              <w:rPr>
                <w:rFonts w:hint="eastAsia"/>
                <w:sz w:val="21"/>
                <w:szCs w:val="21"/>
                <w:highlight w:val="none"/>
                <w:lang w:eastAsia="zh-CN"/>
              </w:rPr>
              <w:t>；</w:t>
            </w:r>
          </w:p>
          <w:p>
            <w:pPr>
              <w:numPr>
                <w:ilvl w:val="0"/>
                <w:numId w:val="0"/>
              </w:numPr>
              <w:spacing w:line="240" w:lineRule="auto"/>
              <w:rPr>
                <w:rFonts w:hint="eastAsia"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2.</w:t>
            </w:r>
            <w:r>
              <w:rPr>
                <w:rFonts w:hint="eastAsia" w:asciiTheme="minorEastAsia" w:hAnsiTheme="minorEastAsia" w:eastAsiaTheme="minorEastAsia" w:cstheme="minorEastAsia"/>
                <w:b w:val="0"/>
                <w:bCs w:val="0"/>
                <w:sz w:val="21"/>
                <w:szCs w:val="21"/>
                <w:highlight w:val="none"/>
              </w:rPr>
              <w:t>具有安全生产考核合格证书（B本）或以上的得</w:t>
            </w:r>
            <w:r>
              <w:rPr>
                <w:rFonts w:hint="eastAsia" w:asciiTheme="minorEastAsia" w:hAnsiTheme="minorEastAsia" w:eastAsiaTheme="minorEastAsia" w:cstheme="minorEastAsia"/>
                <w:b w:val="0"/>
                <w:bCs w:val="0"/>
                <w:sz w:val="21"/>
                <w:szCs w:val="21"/>
                <w:highlight w:val="none"/>
                <w:lang w:val="en-US" w:eastAsia="zh-CN"/>
              </w:rPr>
              <w:t>25</w:t>
            </w:r>
            <w:r>
              <w:rPr>
                <w:rFonts w:hint="eastAsia" w:asciiTheme="minorEastAsia" w:hAnsiTheme="minorEastAsia" w:eastAsiaTheme="minorEastAsia" w:cstheme="minorEastAsia"/>
                <w:b w:val="0"/>
                <w:bCs w:val="0"/>
                <w:sz w:val="21"/>
                <w:szCs w:val="21"/>
                <w:highlight w:val="none"/>
              </w:rPr>
              <w:t>分；</w:t>
            </w:r>
          </w:p>
          <w:p>
            <w:pPr>
              <w:spacing w:line="240" w:lineRule="auto"/>
              <w:rPr>
                <w:rFonts w:hint="eastAsia"/>
              </w:rPr>
            </w:pPr>
            <w:r>
              <w:rPr>
                <w:rFonts w:hint="eastAsia"/>
                <w:sz w:val="21"/>
                <w:szCs w:val="21"/>
                <w:highlight w:val="none"/>
              </w:rPr>
              <w:t>本小项最高得</w:t>
            </w:r>
            <w:r>
              <w:rPr>
                <w:rFonts w:hint="eastAsia"/>
                <w:sz w:val="21"/>
                <w:szCs w:val="21"/>
                <w:highlight w:val="none"/>
                <w:lang w:val="en-US" w:eastAsia="zh-CN"/>
              </w:rPr>
              <w:t>50</w:t>
            </w:r>
            <w:r>
              <w:rPr>
                <w:rFonts w:hint="eastAsia"/>
                <w:sz w:val="21"/>
                <w:szCs w:val="21"/>
                <w:highlight w:val="none"/>
              </w:rPr>
              <w:t>分。</w:t>
            </w:r>
          </w:p>
          <w:p>
            <w:pPr>
              <w:pStyle w:val="19"/>
              <w:spacing w:line="240" w:lineRule="auto"/>
              <w:rPr>
                <w:rFonts w:hint="eastAsia" w:ascii="Times New Roman" w:hAnsi="Times New Roman" w:eastAsia="宋体" w:cs="Times New Roman"/>
                <w:b w:val="0"/>
                <w:bCs w:val="0"/>
                <w:kern w:val="2"/>
                <w:sz w:val="21"/>
                <w:szCs w:val="21"/>
                <w:highlight w:val="none"/>
                <w:lang w:val="en-US" w:eastAsia="zh-CN" w:bidi="ar-SA"/>
              </w:rPr>
            </w:pPr>
            <w:r>
              <w:rPr>
                <w:rFonts w:hint="eastAsia" w:ascii="Times New Roman" w:hAnsi="Times New Roman" w:eastAsia="宋体" w:cs="Times New Roman"/>
                <w:b w:val="0"/>
                <w:bCs w:val="0"/>
                <w:kern w:val="2"/>
                <w:sz w:val="21"/>
                <w:szCs w:val="21"/>
                <w:highlight w:val="none"/>
                <w:lang w:val="en-US" w:eastAsia="zh-CN" w:bidi="ar-SA"/>
              </w:rPr>
              <w:t>以上各项累计得分，最高得100分。如同一人拥有不同证书不重复计分。</w:t>
            </w:r>
          </w:p>
          <w:p>
            <w:pPr>
              <w:numPr>
                <w:ilvl w:val="0"/>
                <w:numId w:val="7"/>
              </w:numPr>
              <w:adjustRightInd w:val="0"/>
              <w:snapToGrid w:val="0"/>
              <w:spacing w:line="320" w:lineRule="exact"/>
              <w:jc w:val="left"/>
              <w:rPr>
                <w:rFonts w:ascii="宋体" w:hAnsi="宋体" w:cs="宋体"/>
                <w:b/>
                <w:bCs/>
                <w:sz w:val="21"/>
                <w:szCs w:val="21"/>
                <w:highlight w:val="none"/>
              </w:rPr>
            </w:pPr>
            <w:r>
              <w:rPr>
                <w:rFonts w:hint="eastAsia" w:ascii="宋体" w:hAnsi="宋体" w:cs="宋体"/>
                <w:b/>
                <w:bCs/>
                <w:sz w:val="21"/>
                <w:szCs w:val="21"/>
                <w:highlight w:val="none"/>
              </w:rPr>
              <w:t>评分依据：</w:t>
            </w:r>
          </w:p>
          <w:p>
            <w:pPr>
              <w:wordWrap/>
              <w:adjustRightInd/>
              <w:snapToGrid/>
              <w:spacing w:line="240" w:lineRule="auto"/>
              <w:jc w:val="left"/>
              <w:rPr>
                <w:rFonts w:hint="eastAsia" w:ascii="宋体" w:hAnsi="宋体" w:eastAsia="宋体" w:cs="宋体"/>
                <w:sz w:val="21"/>
                <w:szCs w:val="21"/>
                <w:highlight w:val="none"/>
                <w:lang w:eastAsia="zh-CN"/>
              </w:rPr>
            </w:pPr>
            <w:r>
              <w:rPr>
                <w:rFonts w:hint="eastAsia" w:ascii="宋体" w:hAnsi="宋体" w:cs="宋体"/>
                <w:sz w:val="21"/>
                <w:szCs w:val="21"/>
                <w:highlight w:val="none"/>
              </w:rPr>
              <w:t>1.</w:t>
            </w:r>
            <w:r>
              <w:rPr>
                <w:rFonts w:hint="eastAsia" w:ascii="宋体" w:hAnsi="宋体" w:eastAsia="宋体" w:cs="宋体"/>
                <w:sz w:val="21"/>
                <w:szCs w:val="21"/>
                <w:highlight w:val="none"/>
              </w:rPr>
              <w:t>要求提供通过投标人缴纳的近三个月(</w:t>
            </w:r>
            <w:bookmarkStart w:id="0" w:name="OLE_LINK1"/>
            <w:r>
              <w:rPr>
                <w:rFonts w:hint="eastAsia" w:asciiTheme="minorEastAsia" w:hAnsiTheme="minorEastAsia" w:eastAsiaTheme="minorEastAsia" w:cstheme="minorEastAsia"/>
                <w:sz w:val="21"/>
                <w:szCs w:val="21"/>
                <w:highlight w:val="none"/>
              </w:rPr>
              <w:t>2025年</w:t>
            </w: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月，</w:t>
            </w:r>
            <w:bookmarkEnd w:id="0"/>
            <w:r>
              <w:rPr>
                <w:rFonts w:hint="eastAsia" w:ascii="宋体" w:hAnsi="宋体" w:eastAsia="宋体" w:cs="宋体"/>
                <w:sz w:val="21"/>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1"/>
                <w:szCs w:val="21"/>
                <w:highlight w:val="none"/>
                <w:lang w:eastAsia="zh-CN"/>
              </w:rPr>
              <w:t>。</w:t>
            </w:r>
          </w:p>
          <w:p>
            <w:pPr>
              <w:wordWrap w:val="0"/>
              <w:adjustRightInd w:val="0"/>
              <w:snapToGrid w:val="0"/>
              <w:spacing w:line="320" w:lineRule="exact"/>
              <w:jc w:val="left"/>
              <w:rPr>
                <w:rFonts w:ascii="宋体" w:hAnsi="宋体" w:cs="宋体"/>
                <w:sz w:val="21"/>
                <w:szCs w:val="21"/>
                <w:highlight w:val="none"/>
              </w:rPr>
            </w:pPr>
            <w:r>
              <w:rPr>
                <w:rFonts w:hint="eastAsia" w:ascii="宋体" w:hAnsi="宋体" w:cs="宋体"/>
                <w:sz w:val="21"/>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pPr>
              <w:wordWrap w:val="0"/>
              <w:adjustRightInd w:val="0"/>
              <w:snapToGrid w:val="0"/>
              <w:spacing w:line="320" w:lineRule="exact"/>
              <w:jc w:val="left"/>
              <w:rPr>
                <w:rFonts w:hint="eastAsia" w:ascii="宋体" w:hAnsi="宋体" w:eastAsia="宋体" w:cs="宋体"/>
                <w:sz w:val="21"/>
                <w:szCs w:val="21"/>
                <w:highlight w:val="none"/>
              </w:rPr>
            </w:pPr>
            <w:r>
              <w:rPr>
                <w:rFonts w:hint="eastAsia" w:ascii="宋体" w:hAnsi="宋体" w:cs="宋体"/>
                <w:sz w:val="21"/>
                <w:szCs w:val="21"/>
                <w:highlight w:val="none"/>
              </w:rPr>
              <w:t>3.提供证书扫描件，若人员证书为协会颁发的，则还需要提供该协会在全国社会组织信用信息公示平台</w:t>
            </w:r>
            <w:r>
              <w:rPr>
                <w:rFonts w:hint="eastAsia" w:ascii="宋体" w:hAnsi="宋体" w:eastAsia="宋体" w:cs="宋体"/>
                <w:sz w:val="21"/>
                <w:szCs w:val="21"/>
                <w:highlight w:val="none"/>
              </w:rPr>
              <w:t>（网址https://xxgs.chinanpo.mca.gov.cn)的查询“正常”页面截图。</w:t>
            </w:r>
          </w:p>
          <w:p>
            <w:pPr>
              <w:wordWrap w:val="0"/>
              <w:adjustRightInd w:val="0"/>
              <w:snapToGrid w:val="0"/>
              <w:spacing w:line="320" w:lineRule="exact"/>
              <w:jc w:val="left"/>
              <w:rPr>
                <w:rFonts w:ascii="宋体" w:hAnsi="宋体" w:cs="宋体"/>
                <w:sz w:val="21"/>
                <w:szCs w:val="21"/>
                <w:highlight w:val="none"/>
              </w:rPr>
            </w:pPr>
            <w:r>
              <w:rPr>
                <w:rFonts w:hint="eastAsia" w:ascii="宋体" w:hAnsi="宋体" w:cs="宋体"/>
                <w:sz w:val="21"/>
                <w:szCs w:val="21"/>
                <w:highlight w:val="none"/>
                <w:lang w:val="en-US" w:eastAsia="zh-CN"/>
              </w:rPr>
              <w:t>4</w:t>
            </w:r>
            <w:r>
              <w:rPr>
                <w:rFonts w:hint="eastAsia" w:ascii="宋体" w:hAnsi="宋体" w:cs="宋体"/>
                <w:sz w:val="21"/>
                <w:szCs w:val="21"/>
                <w:highlight w:val="none"/>
              </w:rPr>
              <w:t>.评分中出现无证明资料或者专家无法凭所提供资料判断是否得分的情况，一律做不得分处理。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3</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综合实力部分</w:t>
            </w:r>
          </w:p>
        </w:tc>
        <w:tc>
          <w:tcPr>
            <w:tcW w:w="4856" w:type="dxa"/>
            <w:tcBorders>
              <w:tl2br w:val="nil"/>
              <w:tr2bl w:val="nil"/>
            </w:tcBorders>
          </w:tcPr>
          <w:p>
            <w:pPr>
              <w:wordWrap w:val="0"/>
              <w:adjustRightInd w:val="0"/>
              <w:snapToGrid w:val="0"/>
              <w:spacing w:line="320" w:lineRule="exact"/>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同类项目业绩</w:t>
            </w:r>
          </w:p>
        </w:tc>
        <w:tc>
          <w:tcPr>
            <w:tcW w:w="696" w:type="dxa"/>
            <w:tcBorders>
              <w:tl2br w:val="nil"/>
              <w:tr2bl w:val="nil"/>
            </w:tcBorders>
            <w:vAlign w:val="center"/>
          </w:tcPr>
          <w:p>
            <w:pPr>
              <w:wordWrap w:val="0"/>
              <w:adjustRightInd w:val="0"/>
              <w:snapToGrid w:val="0"/>
              <w:spacing w:line="320" w:lineRule="exact"/>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5</w:t>
            </w:r>
          </w:p>
        </w:tc>
        <w:tc>
          <w:tcPr>
            <w:tcW w:w="4856" w:type="dxa"/>
            <w:tcBorders>
              <w:tl2br w:val="nil"/>
              <w:tr2bl w:val="nil"/>
            </w:tcBorders>
          </w:tcPr>
          <w:p>
            <w:pPr>
              <w:pStyle w:val="17"/>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pPr>
              <w:rPr>
                <w:rFonts w:hint="eastAsia" w:ascii="宋体" w:hAnsi="宋体" w:eastAsia="宋体"/>
                <w:sz w:val="21"/>
                <w:szCs w:val="21"/>
                <w:highlight w:val="none"/>
                <w:lang w:eastAsia="zh-CN"/>
              </w:rPr>
            </w:pPr>
            <w:r>
              <w:rPr>
                <w:rFonts w:hint="eastAsia" w:ascii="宋体" w:hAnsi="宋体" w:eastAsia="宋体"/>
                <w:sz w:val="21"/>
                <w:szCs w:val="21"/>
                <w:highlight w:val="none"/>
              </w:rPr>
              <w:t>投标人自20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1</w:t>
            </w:r>
            <w:r>
              <w:rPr>
                <w:rFonts w:hint="eastAsia" w:ascii="宋体" w:hAnsi="宋体" w:eastAsia="宋体"/>
                <w:sz w:val="21"/>
                <w:szCs w:val="21"/>
                <w:highlight w:val="none"/>
              </w:rPr>
              <w:t>年1月1日至本项目投标截止之日（以合同签订日期为准）具有建筑工程或市政工程同类项目业绩的</w:t>
            </w:r>
            <w:r>
              <w:rPr>
                <w:rFonts w:hint="eastAsia" w:ascii="宋体" w:hAnsi="宋体" w:eastAsia="宋体"/>
                <w:sz w:val="21"/>
                <w:szCs w:val="21"/>
                <w:highlight w:val="none"/>
                <w:lang w:val="en-US" w:eastAsia="zh-CN"/>
              </w:rPr>
              <w:t>，</w:t>
            </w:r>
            <w:r>
              <w:rPr>
                <w:rFonts w:hint="eastAsia" w:ascii="宋体" w:hAnsi="宋体"/>
                <w:sz w:val="21"/>
                <w:szCs w:val="21"/>
                <w:highlight w:val="none"/>
              </w:rPr>
              <w:t>每有一项有效业绩，得</w:t>
            </w:r>
            <w:r>
              <w:rPr>
                <w:rFonts w:hint="eastAsia" w:ascii="宋体" w:hAnsi="宋体" w:cs="宋体"/>
                <w:kern w:val="0"/>
                <w:sz w:val="21"/>
                <w:szCs w:val="21"/>
                <w:highlight w:val="none"/>
                <w:u w:val="single"/>
                <w:lang w:val="en-US" w:eastAsia="zh-CN"/>
              </w:rPr>
              <w:t>35</w:t>
            </w:r>
            <w:r>
              <w:rPr>
                <w:rFonts w:hint="eastAsia" w:ascii="宋体" w:hAnsi="宋体"/>
                <w:sz w:val="21"/>
                <w:szCs w:val="21"/>
                <w:highlight w:val="none"/>
              </w:rPr>
              <w:t>分；以此类推。不提供或者不能有效证明的，得0分。</w:t>
            </w:r>
            <w:r>
              <w:rPr>
                <w:rFonts w:hint="eastAsia"/>
                <w:sz w:val="21"/>
                <w:szCs w:val="21"/>
                <w:highlight w:val="none"/>
              </w:rPr>
              <w:t>最高得100分</w:t>
            </w:r>
            <w:r>
              <w:rPr>
                <w:rFonts w:hint="eastAsia"/>
                <w:sz w:val="21"/>
                <w:szCs w:val="21"/>
                <w:highlight w:val="none"/>
                <w:lang w:eastAsia="zh-CN"/>
              </w:rPr>
              <w:t>。</w:t>
            </w:r>
          </w:p>
          <w:p>
            <w:pPr>
              <w:pStyle w:val="1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1.提供合同关键页（包括但不限于合同的项目名称、服务内容、签订日期、合同双方签字盖章页）；</w:t>
            </w:r>
          </w:p>
          <w:p>
            <w:pPr>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w:t>
            </w:r>
          </w:p>
        </w:tc>
        <w:tc>
          <w:tcPr>
            <w:tcW w:w="2264" w:type="dxa"/>
            <w:tcBorders>
              <w:tl2br w:val="nil"/>
              <w:tr2bl w:val="nil"/>
            </w:tcBorders>
            <w:vAlign w:val="center"/>
          </w:tcPr>
          <w:p>
            <w:pPr>
              <w:wordWrap w:val="0"/>
              <w:adjustRightInd w:val="0"/>
              <w:snapToGrid w:val="0"/>
              <w:spacing w:line="320" w:lineRule="exact"/>
              <w:jc w:val="center"/>
              <w:rPr>
                <w:rFonts w:hint="eastAsia" w:ascii="宋体" w:hAnsi="宋体" w:cs="宋体"/>
                <w:sz w:val="21"/>
                <w:szCs w:val="21"/>
                <w:highlight w:val="none"/>
              </w:rPr>
            </w:pPr>
            <w:r>
              <w:rPr>
                <w:rFonts w:hint="eastAsia" w:ascii="宋体" w:hAnsi="宋体"/>
                <w:sz w:val="21"/>
                <w:szCs w:val="21"/>
                <w:highlight w:val="none"/>
              </w:rPr>
              <w:t>履约评价</w:t>
            </w:r>
          </w:p>
        </w:tc>
        <w:tc>
          <w:tcPr>
            <w:tcW w:w="696" w:type="dxa"/>
            <w:tcBorders>
              <w:tl2br w:val="nil"/>
              <w:tr2bl w:val="nil"/>
            </w:tcBorders>
            <w:vAlign w:val="center"/>
          </w:tcPr>
          <w:p>
            <w:pPr>
              <w:wordWrap w:val="0"/>
              <w:adjustRightInd w:val="0"/>
              <w:snapToGrid w:val="0"/>
              <w:spacing w:line="320" w:lineRule="exac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p>
        </w:tc>
        <w:tc>
          <w:tcPr>
            <w:tcW w:w="4856" w:type="dxa"/>
            <w:tcBorders>
              <w:tl2br w:val="nil"/>
              <w:tr2bl w:val="nil"/>
            </w:tcBorders>
            <w:vAlign w:val="top"/>
          </w:tcPr>
          <w:p>
            <w:pPr>
              <w:pStyle w:val="17"/>
              <w:snapToGrid w:val="0"/>
              <w:spacing w:line="320" w:lineRule="exact"/>
              <w:rPr>
                <w:rFonts w:hAnsi="宋体" w:cs="宋体"/>
                <w:b/>
                <w:bCs/>
                <w:sz w:val="21"/>
                <w:szCs w:val="21"/>
                <w:highlight w:val="none"/>
              </w:rPr>
            </w:pPr>
            <w:r>
              <w:rPr>
                <w:rFonts w:hint="eastAsia" w:hAnsi="宋体" w:cs="宋体"/>
                <w:b/>
                <w:bCs/>
                <w:sz w:val="21"/>
                <w:szCs w:val="21"/>
                <w:highlight w:val="none"/>
              </w:rPr>
              <w:t>（一）评分内容：</w:t>
            </w:r>
          </w:p>
          <w:p>
            <w:pPr>
              <w:rPr>
                <w:rFonts w:hint="eastAsia"/>
                <w:sz w:val="21"/>
                <w:szCs w:val="21"/>
                <w:highlight w:val="none"/>
              </w:rPr>
            </w:pPr>
            <w:r>
              <w:rPr>
                <w:rFonts w:hint="eastAsia"/>
                <w:sz w:val="21"/>
                <w:szCs w:val="21"/>
                <w:highlight w:val="none"/>
              </w:rPr>
              <w:t>供应商在上述“</w:t>
            </w:r>
            <w:r>
              <w:rPr>
                <w:rFonts w:hint="eastAsia" w:ascii="宋体" w:hAnsi="宋体" w:cs="宋体"/>
                <w:sz w:val="21"/>
                <w:szCs w:val="21"/>
                <w:highlight w:val="none"/>
              </w:rPr>
              <w:t>同类项目业绩</w:t>
            </w:r>
            <w:r>
              <w:rPr>
                <w:rFonts w:hint="eastAsia"/>
                <w:sz w:val="21"/>
                <w:szCs w:val="21"/>
                <w:highlight w:val="none"/>
              </w:rPr>
              <w:t>”评审项中参加评审并被认定有效的业绩(且获得评分)，能够提供用户出具的履约评价书或验收报告，且评价为优或者验收合格</w:t>
            </w:r>
            <w:r>
              <w:rPr>
                <w:rFonts w:hint="eastAsia"/>
                <w:sz w:val="21"/>
                <w:szCs w:val="21"/>
                <w:highlight w:val="none"/>
                <w:lang w:eastAsia="zh-CN"/>
              </w:rPr>
              <w:t>（</w:t>
            </w:r>
            <w:r>
              <w:rPr>
                <w:rFonts w:hint="eastAsia"/>
                <w:sz w:val="21"/>
                <w:szCs w:val="21"/>
                <w:highlight w:val="none"/>
                <w:lang w:val="en-US" w:eastAsia="zh-CN"/>
              </w:rPr>
              <w:t>或同等最高评价</w:t>
            </w:r>
            <w:r>
              <w:rPr>
                <w:rFonts w:hint="eastAsia"/>
                <w:sz w:val="21"/>
                <w:szCs w:val="21"/>
                <w:highlight w:val="none"/>
                <w:lang w:eastAsia="zh-CN"/>
              </w:rPr>
              <w:t>）</w:t>
            </w:r>
            <w:r>
              <w:rPr>
                <w:rFonts w:hint="eastAsia"/>
                <w:sz w:val="21"/>
                <w:szCs w:val="21"/>
                <w:highlight w:val="none"/>
              </w:rPr>
              <w:t xml:space="preserve">的，每份评价书或验收报告得 </w:t>
            </w:r>
            <w:r>
              <w:rPr>
                <w:rFonts w:hint="eastAsia"/>
                <w:sz w:val="21"/>
                <w:szCs w:val="21"/>
                <w:highlight w:val="none"/>
                <w:lang w:val="en-US" w:eastAsia="zh-CN"/>
              </w:rPr>
              <w:t>35</w:t>
            </w:r>
            <w:r>
              <w:rPr>
                <w:rFonts w:hint="eastAsia"/>
                <w:sz w:val="21"/>
                <w:szCs w:val="21"/>
                <w:highlight w:val="none"/>
              </w:rPr>
              <w:t>分，其他情况得0分</w:t>
            </w:r>
            <w:r>
              <w:rPr>
                <w:rFonts w:hint="eastAsia"/>
                <w:sz w:val="21"/>
                <w:szCs w:val="21"/>
                <w:highlight w:val="none"/>
                <w:lang w:eastAsia="zh-CN"/>
              </w:rPr>
              <w:t>，</w:t>
            </w:r>
            <w:r>
              <w:rPr>
                <w:rFonts w:hint="eastAsia"/>
                <w:sz w:val="21"/>
                <w:szCs w:val="21"/>
                <w:highlight w:val="none"/>
              </w:rPr>
              <w:t>最高得100分。不提供或者不能有效证明的，得0分。</w:t>
            </w:r>
          </w:p>
          <w:p>
            <w:pPr>
              <w:pStyle w:val="19"/>
              <w:adjustRightInd w:val="0"/>
              <w:snapToGrid w:val="0"/>
              <w:spacing w:line="320" w:lineRule="exact"/>
              <w:rPr>
                <w:rFonts w:ascii="宋体" w:hAnsi="宋体" w:cs="宋体"/>
                <w:sz w:val="21"/>
                <w:szCs w:val="21"/>
                <w:highlight w:val="none"/>
              </w:rPr>
            </w:pPr>
            <w:r>
              <w:rPr>
                <w:rFonts w:hint="eastAsia" w:ascii="宋体" w:hAnsi="宋体" w:cs="宋体"/>
                <w:sz w:val="21"/>
                <w:szCs w:val="21"/>
                <w:highlight w:val="none"/>
              </w:rPr>
              <w:t>（二）评分依据：</w:t>
            </w:r>
          </w:p>
          <w:p>
            <w:pPr>
              <w:adjustRightInd w:val="0"/>
              <w:snapToGrid w:val="0"/>
              <w:spacing w:line="320" w:lineRule="exact"/>
              <w:rPr>
                <w:rFonts w:hint="eastAsia" w:ascii="宋体" w:hAnsi="宋体" w:cs="宋体"/>
                <w:sz w:val="21"/>
                <w:szCs w:val="21"/>
                <w:highlight w:val="none"/>
              </w:rPr>
            </w:pPr>
            <w:r>
              <w:rPr>
                <w:rFonts w:hint="eastAsia" w:ascii="宋体" w:hAnsi="宋体" w:cs="宋体"/>
                <w:b w:val="0"/>
                <w:bCs w:val="0"/>
                <w:sz w:val="21"/>
                <w:szCs w:val="21"/>
                <w:highlight w:val="none"/>
              </w:rPr>
              <w:t>提供履约评价合格或者验收合格证明文件需加盖合同甲方公章（或甲方业务章）。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idowControl w:val="0"/>
              <w:wordWrap w:val="0"/>
              <w:adjustRightInd w:val="0"/>
              <w:snapToGrid w:val="0"/>
              <w:spacing w:line="320" w:lineRule="exact"/>
              <w:jc w:val="center"/>
              <w:rPr>
                <w:rFonts w:hint="default" w:ascii="宋体" w:hAnsi="宋体" w:cs="宋体"/>
                <w:sz w:val="21"/>
                <w:szCs w:val="21"/>
                <w:highlight w:val="none"/>
                <w:lang w:val="en-US" w:eastAsia="zh-CN"/>
              </w:rPr>
            </w:pPr>
            <w:r>
              <w:rPr>
                <w:rFonts w:hint="eastAsia" w:ascii="宋体" w:hAnsi="宋体" w:eastAsia="宋体" w:cs="宋体"/>
                <w:kern w:val="2"/>
                <w:sz w:val="21"/>
                <w:szCs w:val="21"/>
                <w:highlight w:val="none"/>
                <w:lang w:val="en-US" w:eastAsia="zh-CN"/>
              </w:rPr>
              <w:t>3</w:t>
            </w:r>
          </w:p>
        </w:tc>
        <w:tc>
          <w:tcPr>
            <w:tcW w:w="2264" w:type="dxa"/>
            <w:tcBorders>
              <w:tl2br w:val="nil"/>
              <w:tr2bl w:val="nil"/>
            </w:tcBorders>
            <w:vAlign w:val="center"/>
          </w:tcPr>
          <w:p>
            <w:pPr>
              <w:widowControl w:val="0"/>
              <w:wordWrap w:val="0"/>
              <w:adjustRightInd w:val="0"/>
              <w:snapToGrid w:val="0"/>
              <w:spacing w:line="320" w:lineRule="exact"/>
              <w:jc w:val="center"/>
              <w:rPr>
                <w:rFonts w:hint="eastAsia" w:ascii="宋体" w:hAnsi="宋体"/>
                <w:sz w:val="21"/>
                <w:szCs w:val="21"/>
                <w:highlight w:val="none"/>
              </w:rPr>
            </w:pPr>
            <w:r>
              <w:rPr>
                <w:rFonts w:hint="eastAsia" w:ascii="宋体" w:hAnsi="宋体" w:eastAsia="宋体"/>
                <w:kern w:val="2"/>
                <w:sz w:val="21"/>
                <w:szCs w:val="21"/>
                <w:highlight w:val="none"/>
                <w:lang w:eastAsia="zh-CN"/>
              </w:rPr>
              <w:t>体系认证情况</w:t>
            </w:r>
          </w:p>
        </w:tc>
        <w:tc>
          <w:tcPr>
            <w:tcW w:w="696" w:type="dxa"/>
            <w:tcBorders>
              <w:tl2br w:val="nil"/>
              <w:tr2bl w:val="nil"/>
            </w:tcBorders>
            <w:vAlign w:val="center"/>
          </w:tcPr>
          <w:p>
            <w:pPr>
              <w:widowControl w:val="0"/>
              <w:wordWrap w:val="0"/>
              <w:adjustRightInd w:val="0"/>
              <w:snapToGrid w:val="0"/>
              <w:spacing w:line="320" w:lineRule="exact"/>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5</w:t>
            </w:r>
          </w:p>
        </w:tc>
        <w:tc>
          <w:tcPr>
            <w:tcW w:w="4856" w:type="dxa"/>
            <w:tcBorders>
              <w:tl2br w:val="nil"/>
              <w:tr2bl w:val="nil"/>
            </w:tcBorders>
            <w:vAlign w:val="top"/>
          </w:tcPr>
          <w:p>
            <w:pPr>
              <w:pStyle w:val="17"/>
              <w:numPr>
                <w:ilvl w:val="0"/>
                <w:numId w:val="0"/>
              </w:numPr>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lang w:val="en-US" w:eastAsia="zh-CN" w:bidi="ar-SA"/>
              </w:rPr>
              <w:t>（一）</w:t>
            </w:r>
            <w:r>
              <w:rPr>
                <w:rFonts w:hint="eastAsia" w:asciiTheme="minorEastAsia" w:hAnsiTheme="minorEastAsia" w:eastAsiaTheme="minorEastAsia" w:cstheme="minorEastAsia"/>
                <w:b/>
                <w:bCs/>
                <w:sz w:val="21"/>
                <w:szCs w:val="21"/>
                <w:highlight w:val="none"/>
              </w:rPr>
              <w:t>评分内容：</w:t>
            </w:r>
          </w:p>
          <w:p>
            <w:pPr>
              <w:pStyle w:val="17"/>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投标人具有以下认证证书：</w:t>
            </w:r>
          </w:p>
          <w:p>
            <w:pPr>
              <w:pStyle w:val="17"/>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1.质量管理体系认证证书；</w:t>
            </w:r>
          </w:p>
          <w:p>
            <w:pPr>
              <w:pStyle w:val="17"/>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2.环境管理体系认证证书；</w:t>
            </w:r>
          </w:p>
          <w:p>
            <w:pPr>
              <w:pStyle w:val="17"/>
              <w:snapToGrid w:val="0"/>
              <w:spacing w:line="320" w:lineRule="exac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3.职业健康安全管理体系认证证书；</w:t>
            </w:r>
          </w:p>
          <w:p>
            <w:pPr>
              <w:pStyle w:val="17"/>
              <w:snapToGrid w:val="0"/>
              <w:spacing w:line="320" w:lineRule="exact"/>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证书认证范围需包含“</w:t>
            </w:r>
            <w:r>
              <w:rPr>
                <w:rFonts w:hint="eastAsia" w:ascii="宋体" w:hAnsi="宋体" w:eastAsia="宋体"/>
                <w:sz w:val="21"/>
                <w:szCs w:val="21"/>
                <w:highlight w:val="none"/>
              </w:rPr>
              <w:t>建筑工程或市政工程</w:t>
            </w:r>
            <w:r>
              <w:rPr>
                <w:rFonts w:hint="eastAsia" w:asciiTheme="minorEastAsia" w:hAnsiTheme="minorEastAsia" w:eastAsiaTheme="minorEastAsia" w:cstheme="minorEastAsia"/>
                <w:sz w:val="21"/>
                <w:szCs w:val="21"/>
                <w:highlight w:val="none"/>
              </w:rPr>
              <w:t>”相关内容，否则不得分。每通过一项有效认证的得</w:t>
            </w:r>
            <w:r>
              <w:rPr>
                <w:rFonts w:hint="eastAsia" w:asciiTheme="minorEastAsia" w:hAnsiTheme="minorEastAsia" w:eastAsiaTheme="minorEastAsia" w:cstheme="minorEastAsia"/>
                <w:sz w:val="21"/>
                <w:szCs w:val="21"/>
                <w:highlight w:val="none"/>
                <w:lang w:val="en-US" w:eastAsia="zh-CN"/>
              </w:rPr>
              <w:t>35</w:t>
            </w:r>
            <w:r>
              <w:rPr>
                <w:rFonts w:hint="eastAsia" w:asciiTheme="minorEastAsia" w:hAnsiTheme="minorEastAsia" w:eastAsiaTheme="minorEastAsia" w:cstheme="minorEastAsia"/>
                <w:sz w:val="21"/>
                <w:szCs w:val="21"/>
                <w:highlight w:val="none"/>
              </w:rPr>
              <w:t>分，本项最高得分100分 。</w:t>
            </w:r>
          </w:p>
          <w:p>
            <w:pPr>
              <w:pStyle w:val="17"/>
              <w:numPr>
                <w:ilvl w:val="0"/>
                <w:numId w:val="0"/>
              </w:numPr>
              <w:snapToGrid w:val="0"/>
              <w:spacing w:line="320" w:lineRule="exac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kern w:val="0"/>
                <w:sz w:val="21"/>
                <w:szCs w:val="21"/>
                <w:lang w:val="en-US" w:eastAsia="zh-CN" w:bidi="ar-SA"/>
              </w:rPr>
              <w:t>（二）</w:t>
            </w:r>
            <w:r>
              <w:rPr>
                <w:rFonts w:hint="eastAsia" w:asciiTheme="minorEastAsia" w:hAnsiTheme="minorEastAsia" w:eastAsiaTheme="minorEastAsia" w:cstheme="minorEastAsia"/>
                <w:b/>
                <w:bCs/>
                <w:sz w:val="21"/>
                <w:szCs w:val="21"/>
                <w:highlight w:val="none"/>
              </w:rPr>
              <w:t>评分依据：</w:t>
            </w:r>
          </w:p>
          <w:p>
            <w:pPr>
              <w:pStyle w:val="19"/>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1.提供认证证书；同时提供在全国认证认可信息公共服务平台（认e云）（http://cx.cnca.cn）查询截图且显示有效及证书编号一致；</w:t>
            </w:r>
          </w:p>
          <w:p>
            <w:pPr>
              <w:pStyle w:val="19"/>
              <w:wordWrap w:val="0"/>
              <w:adjustRightInd w:val="0"/>
              <w:snapToGrid w:val="0"/>
              <w:spacing w:line="320" w:lineRule="exact"/>
              <w:rPr>
                <w:rFonts w:asciiTheme="minorEastAsia" w:hAnsiTheme="minorEastAsia" w:eastAsiaTheme="minorEastAsia" w:cstheme="minorEastAsia"/>
                <w:b w:val="0"/>
                <w:bCs w:val="0"/>
                <w:sz w:val="21"/>
                <w:szCs w:val="21"/>
                <w:highlight w:val="none"/>
              </w:rPr>
            </w:pPr>
            <w:r>
              <w:rPr>
                <w:rFonts w:hint="eastAsia" w:asciiTheme="minorEastAsia" w:hAnsiTheme="minorEastAsia" w:eastAsiaTheme="minorEastAsia" w:cstheme="minorEastAsia"/>
                <w:b w:val="0"/>
                <w:bCs w:val="0"/>
                <w:sz w:val="21"/>
                <w:szCs w:val="21"/>
                <w:highlight w:val="none"/>
              </w:rPr>
              <w:t>2.评分中出现无证明资料或专家无法凭所提供资料判断是否得分的情况，一律作不得分处理。</w:t>
            </w:r>
          </w:p>
          <w:p>
            <w:pPr>
              <w:pStyle w:val="19"/>
              <w:wordWrap w:val="0"/>
              <w:adjustRightInd w:val="0"/>
              <w:snapToGrid w:val="0"/>
              <w:spacing w:line="320" w:lineRule="exact"/>
              <w:rPr>
                <w:rFonts w:hint="eastAsia" w:ascii="宋体" w:hAnsi="宋体" w:cs="宋体"/>
                <w:b w:val="0"/>
                <w:bCs w:val="0"/>
                <w:sz w:val="21"/>
                <w:szCs w:val="21"/>
                <w:highlight w:val="none"/>
              </w:rPr>
            </w:pPr>
            <w:r>
              <w:rPr>
                <w:rFonts w:hint="eastAsia" w:asciiTheme="minorEastAsia" w:hAnsiTheme="minorEastAsia" w:eastAsiaTheme="minorEastAsia" w:cstheme="minorEastAsia"/>
                <w:b w:val="0"/>
                <w:bCs w:val="0"/>
                <w:sz w:val="21"/>
                <w:szCs w:val="21"/>
                <w:highlight w:val="none"/>
              </w:rPr>
              <w:t>3.若供应商成立不足申请证书时限的，需提供成立情况说明函(格式自拟)，此评分内容直接得分。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restart"/>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4</w:t>
            </w:r>
          </w:p>
        </w:tc>
        <w:tc>
          <w:tcPr>
            <w:tcW w:w="3508" w:type="dxa"/>
            <w:gridSpan w:val="3"/>
            <w:tcBorders>
              <w:tl2br w:val="nil"/>
              <w:tr2bl w:val="nil"/>
            </w:tcBorders>
            <w:vAlign w:val="center"/>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诚信情况</w:t>
            </w:r>
          </w:p>
        </w:tc>
        <w:tc>
          <w:tcPr>
            <w:tcW w:w="4856" w:type="dxa"/>
            <w:tcBorders>
              <w:tl2br w:val="nil"/>
              <w:tr2bl w:val="nil"/>
            </w:tcBorders>
          </w:tcPr>
          <w:p>
            <w:pPr>
              <w:wordWrap w:val="0"/>
              <w:adjustRightInd w:val="0"/>
              <w:snapToGrid w:val="0"/>
              <w:spacing w:line="320" w:lineRule="exact"/>
              <w:jc w:val="center"/>
              <w:rPr>
                <w:rFonts w:ascii="宋体" w:hAnsi="宋体" w:cs="宋体"/>
                <w:b/>
                <w:bCs/>
                <w:color w:val="0000FF"/>
                <w:sz w:val="21"/>
                <w:szCs w:val="21"/>
                <w:highlight w:val="none"/>
              </w:rPr>
            </w:pPr>
            <w:r>
              <w:rPr>
                <w:rFonts w:hint="eastAsia" w:ascii="宋体" w:hAnsi="宋体" w:cs="宋体"/>
                <w:b/>
                <w:bCs/>
                <w:color w:val="0000FF"/>
                <w:sz w:val="21"/>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序号</w:t>
            </w:r>
          </w:p>
        </w:tc>
        <w:tc>
          <w:tcPr>
            <w:tcW w:w="2264"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评分因素</w:t>
            </w:r>
          </w:p>
        </w:tc>
        <w:tc>
          <w:tcPr>
            <w:tcW w:w="69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权重(%)</w:t>
            </w:r>
          </w:p>
        </w:tc>
        <w:tc>
          <w:tcPr>
            <w:tcW w:w="4856" w:type="dxa"/>
            <w:tcBorders>
              <w:tl2br w:val="nil"/>
              <w:tr2bl w:val="nil"/>
            </w:tcBorders>
            <w:shd w:val="clear" w:color="auto" w:fill="E6EFFA"/>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pPr>
              <w:adjustRightInd w:val="0"/>
              <w:snapToGrid w:val="0"/>
              <w:spacing w:line="320" w:lineRule="exact"/>
              <w:rPr>
                <w:rFonts w:ascii="宋体" w:hAnsi="宋体" w:cs="宋体"/>
                <w:b/>
                <w:bCs/>
                <w:color w:val="0000FF"/>
                <w:sz w:val="21"/>
                <w:szCs w:val="21"/>
                <w:highlight w:val="none"/>
              </w:rPr>
            </w:pPr>
          </w:p>
        </w:tc>
        <w:tc>
          <w:tcPr>
            <w:tcW w:w="548"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1</w:t>
            </w:r>
          </w:p>
        </w:tc>
        <w:tc>
          <w:tcPr>
            <w:tcW w:w="2264"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诚信情况</w:t>
            </w:r>
          </w:p>
        </w:tc>
        <w:tc>
          <w:tcPr>
            <w:tcW w:w="696" w:type="dxa"/>
            <w:tcBorders>
              <w:tl2br w:val="nil"/>
              <w:tr2bl w:val="nil"/>
            </w:tcBorders>
            <w:vAlign w:val="center"/>
          </w:tcPr>
          <w:p>
            <w:pPr>
              <w:wordWrap w:val="0"/>
              <w:adjustRightInd w:val="0"/>
              <w:snapToGrid w:val="0"/>
              <w:spacing w:line="320" w:lineRule="exact"/>
              <w:jc w:val="center"/>
              <w:rPr>
                <w:rFonts w:ascii="宋体" w:hAnsi="宋体" w:cs="宋体"/>
                <w:sz w:val="21"/>
                <w:szCs w:val="21"/>
                <w:highlight w:val="none"/>
              </w:rPr>
            </w:pPr>
            <w:r>
              <w:rPr>
                <w:rFonts w:hint="eastAsia" w:ascii="宋体" w:hAnsi="宋体" w:cs="宋体"/>
                <w:sz w:val="21"/>
                <w:szCs w:val="21"/>
                <w:highlight w:val="none"/>
              </w:rPr>
              <w:t>5</w:t>
            </w:r>
          </w:p>
        </w:tc>
        <w:tc>
          <w:tcPr>
            <w:tcW w:w="4856" w:type="dxa"/>
            <w:tcBorders>
              <w:tl2br w:val="nil"/>
              <w:tr2bl w:val="nil"/>
            </w:tcBorders>
            <w:vAlign w:val="top"/>
          </w:tcPr>
          <w:p>
            <w:pPr>
              <w:wordWrap w:val="0"/>
              <w:rPr>
                <w:rFonts w:hint="eastAsia" w:ascii="宋体" w:hAnsi="宋体" w:cs="宋体"/>
                <w:sz w:val="21"/>
                <w:szCs w:val="21"/>
              </w:rPr>
            </w:pPr>
            <w:r>
              <w:rPr>
                <w:rFonts w:hint="eastAsia" w:ascii="宋体" w:hAnsi="宋体" w:cs="宋体"/>
                <w:sz w:val="21"/>
                <w:szCs w:val="21"/>
              </w:rPr>
              <w:t>（一）评分内容：</w:t>
            </w:r>
          </w:p>
          <w:p>
            <w:pPr>
              <w:wordWrap w:val="0"/>
              <w:rPr>
                <w:rFonts w:hint="eastAsia" w:ascii="宋体" w:hAnsi="宋体" w:cs="宋体"/>
                <w:sz w:val="21"/>
                <w:szCs w:val="21"/>
              </w:rPr>
            </w:pPr>
            <w:r>
              <w:rPr>
                <w:rFonts w:hint="eastAsia" w:ascii="宋体" w:hAnsi="宋体" w:cs="宋体"/>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pPr>
              <w:wordWrap w:val="0"/>
              <w:rPr>
                <w:rFonts w:hint="eastAsia" w:ascii="宋体" w:hAnsi="宋体" w:cs="宋体"/>
                <w:sz w:val="21"/>
                <w:szCs w:val="21"/>
              </w:rPr>
            </w:pPr>
            <w:r>
              <w:rPr>
                <w:rFonts w:hint="eastAsia" w:ascii="宋体" w:hAnsi="宋体" w:cs="宋体"/>
                <w:sz w:val="21"/>
                <w:szCs w:val="21"/>
              </w:rPr>
              <w:t>（二）评分依据:</w:t>
            </w:r>
          </w:p>
          <w:p>
            <w:pPr>
              <w:rPr>
                <w:rFonts w:ascii="宋体" w:hAnsi="宋体" w:cs="宋体"/>
                <w:color w:val="FF0000"/>
                <w:sz w:val="21"/>
                <w:szCs w:val="21"/>
                <w:highlight w:val="none"/>
              </w:rPr>
            </w:pPr>
            <w:r>
              <w:rPr>
                <w:rFonts w:hint="eastAsia"/>
                <w:sz w:val="21"/>
                <w:szCs w:val="21"/>
              </w:rPr>
              <w:t>有关供应商诚信情况由工作人员提供查询结果。查询渠道为通过“信用中国”(www.creditchina.gov.cn，下载信用信息报告)、“中国政府采购网”(www.ccgp.gov.cn)、“深圳市政府采购监管网”(http://zfcg.sz.gov.cn)、“深圳政府采购智慧平台信用库”查询供应商信用信息，信用信息以开标当日的查询结果为准。</w:t>
            </w:r>
          </w:p>
        </w:tc>
      </w:tr>
    </w:tbl>
    <w:p>
      <w:pPr>
        <w:rPr>
          <w:highlight w:val="none"/>
        </w:rPr>
        <w:sectPr>
          <w:pgSz w:w="11907" w:h="16840"/>
          <w:pgMar w:top="1440" w:right="1417" w:bottom="1440" w:left="1417" w:header="851" w:footer="992" w:gutter="0"/>
          <w:cols w:space="425" w:num="1"/>
          <w:titlePg/>
          <w:docGrid w:linePitch="462" w:charSpace="0"/>
        </w:sectPr>
      </w:pPr>
    </w:p>
    <w:p>
      <w:pPr>
        <w:jc w:val="center"/>
        <w:rPr>
          <w:rFonts w:hint="eastAsia"/>
          <w:b/>
          <w:sz w:val="120"/>
          <w:szCs w:val="120"/>
          <w:highlight w:val="none"/>
        </w:rPr>
      </w:pPr>
    </w:p>
    <w:p>
      <w:pPr>
        <w:jc w:val="center"/>
        <w:rPr>
          <w:rFonts w:hint="eastAsia"/>
          <w:b/>
          <w:sz w:val="120"/>
          <w:szCs w:val="120"/>
          <w:highlight w:val="none"/>
        </w:rPr>
      </w:pPr>
    </w:p>
    <w:p>
      <w:pPr>
        <w:jc w:val="center"/>
        <w:rPr>
          <w:rFonts w:hint="eastAsia"/>
          <w:b/>
          <w:sz w:val="120"/>
          <w:szCs w:val="120"/>
          <w:highlight w:val="none"/>
        </w:rPr>
      </w:pPr>
    </w:p>
    <w:p>
      <w:pPr>
        <w:jc w:val="center"/>
        <w:rPr>
          <w:b/>
          <w:sz w:val="120"/>
          <w:szCs w:val="120"/>
          <w:highlight w:val="none"/>
        </w:rPr>
      </w:pPr>
      <w:r>
        <w:rPr>
          <w:rFonts w:hint="eastAsia"/>
          <w:b/>
          <w:sz w:val="120"/>
          <w:szCs w:val="120"/>
          <w:highlight w:val="none"/>
        </w:rPr>
        <w:t>政府采购</w:t>
      </w:r>
    </w:p>
    <w:p>
      <w:pPr>
        <w:jc w:val="center"/>
        <w:rPr>
          <w:b/>
          <w:sz w:val="120"/>
          <w:szCs w:val="120"/>
          <w:highlight w:val="none"/>
        </w:rPr>
      </w:pPr>
      <w:r>
        <w:rPr>
          <w:rFonts w:hint="eastAsia"/>
          <w:b/>
          <w:sz w:val="120"/>
          <w:szCs w:val="120"/>
          <w:highlight w:val="none"/>
        </w:rPr>
        <w:t>招标文件</w:t>
      </w:r>
    </w:p>
    <w:p>
      <w:pPr>
        <w:jc w:val="center"/>
        <w:rPr>
          <w:b/>
          <w:sz w:val="52"/>
          <w:szCs w:val="52"/>
          <w:highlight w:val="none"/>
        </w:rPr>
      </w:pPr>
      <w:r>
        <w:rPr>
          <w:rFonts w:hint="eastAsia"/>
          <w:b/>
          <w:sz w:val="52"/>
          <w:szCs w:val="52"/>
          <w:highlight w:val="none"/>
        </w:rPr>
        <w:t>（</w:t>
      </w:r>
      <w:r>
        <w:rPr>
          <w:rFonts w:hint="eastAsia"/>
          <w:b/>
          <w:sz w:val="52"/>
          <w:szCs w:val="52"/>
          <w:highlight w:val="none"/>
          <w:lang w:val="en-US" w:eastAsia="zh-CN"/>
        </w:rPr>
        <w:t>工程</w:t>
      </w:r>
      <w:r>
        <w:rPr>
          <w:rFonts w:hint="eastAsia"/>
          <w:b/>
          <w:sz w:val="52"/>
          <w:szCs w:val="52"/>
          <w:highlight w:val="none"/>
        </w:rPr>
        <w:t>类）</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bookmarkStart w:id="1" w:name="_Hlk71465316"/>
      <w:r>
        <w:rPr>
          <w:rFonts w:hint="eastAsia"/>
          <w:b/>
          <w:sz w:val="44"/>
          <w:szCs w:val="44"/>
          <w:highlight w:val="none"/>
        </w:rPr>
        <w:t>深圳公共资源交易中心</w:t>
      </w:r>
    </w:p>
    <w:p>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5</w:t>
      </w:r>
      <w:r>
        <w:rPr>
          <w:rFonts w:hint="eastAsia"/>
          <w:b/>
          <w:sz w:val="28"/>
          <w:szCs w:val="28"/>
          <w:highlight w:val="none"/>
        </w:rPr>
        <w:t>）</w:t>
      </w:r>
      <w:bookmarkEnd w:id="1"/>
    </w:p>
    <w:p>
      <w:pPr>
        <w:ind w:firstLine="420" w:firstLineChars="200"/>
        <w:rPr>
          <w:rFonts w:hint="eastAsia"/>
          <w:highlight w:val="none"/>
        </w:rPr>
      </w:pPr>
      <w:r>
        <w:rPr>
          <w:rFonts w:hint="eastAsia"/>
          <w:highlight w:val="none"/>
        </w:rPr>
        <w:br w:type="page"/>
      </w:r>
    </w:p>
    <w:p>
      <w:pPr>
        <w:pStyle w:val="3"/>
        <w:rPr>
          <w:highlight w:val="none"/>
        </w:rPr>
      </w:pPr>
      <w:r>
        <w:rPr>
          <w:rFonts w:hint="eastAsia"/>
          <w:highlight w:val="none"/>
        </w:rPr>
        <w:t>目   录</w:t>
      </w:r>
    </w:p>
    <w:p>
      <w:pPr>
        <w:outlineLvl w:val="0"/>
        <w:rPr>
          <w:b/>
          <w:sz w:val="24"/>
          <w:highlight w:val="none"/>
        </w:rPr>
      </w:pPr>
      <w:r>
        <w:rPr>
          <w:rFonts w:hint="eastAsia"/>
          <w:b/>
          <w:sz w:val="24"/>
          <w:highlight w:val="none"/>
        </w:rPr>
        <w:t>第一册  专用条款</w:t>
      </w:r>
    </w:p>
    <w:p>
      <w:pPr>
        <w:ind w:firstLine="960" w:firstLineChars="400"/>
        <w:rPr>
          <w:sz w:val="24"/>
          <w:highlight w:val="none"/>
        </w:rPr>
      </w:pPr>
      <w:r>
        <w:rPr>
          <w:rFonts w:hint="eastAsia"/>
          <w:sz w:val="24"/>
          <w:highlight w:val="none"/>
        </w:rPr>
        <w:t>关键信息</w:t>
      </w:r>
    </w:p>
    <w:p>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2" w:name="_Hlk71994379"/>
      <w:r>
        <w:rPr>
          <w:rFonts w:hint="eastAsia" w:ascii="宋体" w:hAnsi="宋体"/>
          <w:szCs w:val="21"/>
          <w:highlight w:val="none"/>
        </w:rPr>
        <w:t>对通用条款的补充内容及其他关键信息</w:t>
      </w:r>
      <w:bookmarkEnd w:id="2"/>
    </w:p>
    <w:p>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pPr>
        <w:rPr>
          <w:b/>
          <w:sz w:val="24"/>
          <w:highlight w:val="none"/>
        </w:rPr>
      </w:pPr>
    </w:p>
    <w:p>
      <w:pPr>
        <w:outlineLvl w:val="0"/>
        <w:rPr>
          <w:b/>
          <w:sz w:val="24"/>
          <w:highlight w:val="none"/>
        </w:rPr>
      </w:pPr>
      <w:r>
        <w:rPr>
          <w:rFonts w:hint="eastAsia"/>
          <w:b/>
          <w:sz w:val="24"/>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 xml:space="preserve">第九章  </w:t>
      </w:r>
      <w:r>
        <w:rPr>
          <w:rFonts w:hint="eastAsia" w:ascii="宋体" w:hAnsi="宋体"/>
          <w:szCs w:val="21"/>
          <w:highlight w:val="none"/>
          <w:lang w:eastAsia="zh-CN"/>
        </w:rPr>
        <w:t>公开征集</w:t>
      </w:r>
      <w:r>
        <w:rPr>
          <w:rFonts w:hint="eastAsia" w:ascii="宋体" w:hAnsi="宋体"/>
          <w:szCs w:val="21"/>
          <w:highlight w:val="none"/>
        </w:rPr>
        <w:t>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firstLine="1050" w:firstLineChars="500"/>
        <w:outlineLvl w:val="0"/>
        <w:rPr>
          <w:b/>
          <w:sz w:val="24"/>
          <w:highlight w:val="none"/>
        </w:rPr>
      </w:pPr>
      <w:r>
        <w:rPr>
          <w:rFonts w:hint="eastAsia" w:ascii="宋体" w:hAnsi="宋体"/>
          <w:szCs w:val="21"/>
          <w:highlight w:val="none"/>
        </w:rPr>
        <w:t>第十一章  质疑处理</w:t>
      </w:r>
    </w:p>
    <w:p>
      <w:pPr>
        <w:spacing w:line="360" w:lineRule="auto"/>
        <w:ind w:firstLine="420" w:firstLineChars="200"/>
        <w:jc w:val="left"/>
        <w:rPr>
          <w:rFonts w:ascii="宋体" w:hAnsi="宋体"/>
          <w:szCs w:val="21"/>
          <w:highlight w:val="none"/>
        </w:rPr>
      </w:pPr>
    </w:p>
    <w:p>
      <w:pPr>
        <w:pStyle w:val="3"/>
        <w:rPr>
          <w:sz w:val="24"/>
          <w:highlight w:val="none"/>
        </w:rPr>
      </w:pPr>
      <w:r>
        <w:rPr>
          <w:highlight w:val="none"/>
        </w:rPr>
        <w:br w:type="page"/>
      </w:r>
      <w:bookmarkStart w:id="3" w:name="bt项目管理班子配备情况"/>
      <w:bookmarkEnd w:id="3"/>
      <w:bookmarkStart w:id="4" w:name="bt说明"/>
      <w:bookmarkEnd w:id="4"/>
      <w:bookmarkStart w:id="5" w:name="bt商务标投标文件格式"/>
      <w:bookmarkEnd w:id="5"/>
      <w:bookmarkStart w:id="6" w:name="bt其他资料由投标人自定"/>
      <w:bookmarkEnd w:id="6"/>
      <w:bookmarkStart w:id="7" w:name="bt技术标投标文件格式"/>
      <w:bookmarkEnd w:id="7"/>
      <w:bookmarkStart w:id="8" w:name="合同格式"/>
      <w:bookmarkEnd w:id="8"/>
      <w:bookmarkStart w:id="9" w:name="bt投标报价汇总表"/>
      <w:bookmarkEnd w:id="9"/>
      <w:bookmarkStart w:id="10" w:name="bt投标人须知"/>
      <w:bookmarkEnd w:id="10"/>
      <w:bookmarkStart w:id="11" w:name="bt合同条款"/>
      <w:bookmarkEnd w:id="11"/>
      <w:bookmarkStart w:id="12" w:name="bt其他资料2"/>
      <w:bookmarkEnd w:id="12"/>
      <w:bookmarkStart w:id="13" w:name="bt本工程承诺书"/>
      <w:bookmarkEnd w:id="13"/>
      <w:bookmarkStart w:id="14" w:name="bt合同条款及格式"/>
      <w:bookmarkEnd w:id="14"/>
      <w:bookmarkStart w:id="15" w:name="bt合同格式"/>
      <w:bookmarkEnd w:id="15"/>
      <w:bookmarkStart w:id="16" w:name="bt开标一览表"/>
      <w:bookmarkEnd w:id="16"/>
      <w:bookmarkStart w:id="17" w:name="bt投标函"/>
      <w:bookmarkEnd w:id="17"/>
      <w:bookmarkStart w:id="18" w:name="bt投标文件签署授权委托书"/>
      <w:bookmarkEnd w:id="18"/>
      <w:bookmarkStart w:id="19" w:name="bt投标人情况介绍"/>
      <w:bookmarkEnd w:id="19"/>
      <w:r>
        <w:rPr>
          <w:rFonts w:hint="eastAsia"/>
          <w:highlight w:val="none"/>
        </w:rPr>
        <w:t>第一册</w:t>
      </w:r>
      <w:r>
        <w:rPr>
          <w:rFonts w:hint="eastAsia"/>
          <w:highlight w:val="none"/>
          <w:lang w:val="en-US" w:eastAsia="zh-CN"/>
        </w:rPr>
        <w:t xml:space="preserve">  </w:t>
      </w:r>
      <w:r>
        <w:rPr>
          <w:rFonts w:hint="eastAsia"/>
          <w:highlight w:val="none"/>
        </w:rPr>
        <w:t>专用条款</w:t>
      </w:r>
    </w:p>
    <w:p>
      <w:pPr>
        <w:pStyle w:val="6"/>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Ind w:w="0" w:type="dxa"/>
        <w:tblLayout w:type="fixed"/>
        <w:tblCellMar>
          <w:top w:w="0" w:type="dxa"/>
          <w:left w:w="0" w:type="dxa"/>
          <w:bottom w:w="0" w:type="dxa"/>
          <w:right w:w="0" w:type="dxa"/>
        </w:tblCellMar>
      </w:tblPr>
      <w:tblGrid>
        <w:gridCol w:w="8147"/>
      </w:tblGrid>
      <w:tr>
        <w:tblPrEx>
          <w:tblLayout w:type="fixed"/>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Ind w:w="0" w:type="dxa"/>
              <w:tblLayout w:type="fixed"/>
              <w:tblCellMar>
                <w:top w:w="30" w:type="dxa"/>
                <w:left w:w="30" w:type="dxa"/>
                <w:bottom w:w="30" w:type="dxa"/>
                <w:right w:w="30" w:type="dxa"/>
              </w:tblCellMar>
            </w:tblPr>
            <w:tblGrid>
              <w:gridCol w:w="8147"/>
            </w:tblGrid>
            <w:tr>
              <w:tblPrEx>
                <w:tblLayout w:type="fixed"/>
                <w:tblCellMar>
                  <w:top w:w="30" w:type="dxa"/>
                  <w:left w:w="30" w:type="dxa"/>
                  <w:bottom w:w="30" w:type="dxa"/>
                  <w:right w:w="30" w:type="dxa"/>
                </w:tblCellMar>
              </w:tblPrEx>
              <w:trPr>
                <w:tblCellSpacing w:w="0" w:type="dxa"/>
                <w:jc w:val="center"/>
              </w:trPr>
              <w:tc>
                <w:tcPr>
                  <w:tcW w:w="8147" w:type="dxa"/>
                </w:tcPr>
                <w:p>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rPr>
                    <w:t>1</w:t>
                  </w:r>
                  <w:r>
                    <w:rPr>
                      <w:rFonts w:ascii="宋体" w:hAnsi="宋体" w:cs="宋体"/>
                      <w:kern w:val="0"/>
                      <w:szCs w:val="21"/>
                      <w:highlight w:val="none"/>
                    </w:rPr>
                    <w:t>.</w:t>
                  </w:r>
                  <w:bookmarkStart w:id="20" w:name="_Hlk72162904"/>
                  <w:r>
                    <w:rPr>
                      <w:rFonts w:hint="eastAsia" w:ascii="宋体" w:hAnsi="宋体" w:cs="宋体"/>
                      <w:kern w:val="0"/>
                      <w:szCs w:val="21"/>
                      <w:highlight w:val="none"/>
                    </w:rPr>
                    <w:t>具有独立承担民事责任的能力（提供营业执照或事业单位法人证书等证明资料扫描件，原件备查，分支机构参与投标的，须同时提供总公司授权文件且授权书载明其民事责任由总公司承担）</w:t>
                  </w:r>
                  <w:bookmarkEnd w:id="20"/>
                  <w:r>
                    <w:rPr>
                      <w:rFonts w:hint="eastAsia" w:eastAsia="宋体"/>
                      <w:highlight w:val="none"/>
                      <w:lang w:eastAsia="zh-CN"/>
                    </w:rPr>
                    <w:t>；</w:t>
                  </w:r>
                </w:p>
                <w:p>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pPr>
                    <w:pStyle w:val="2"/>
                    <w:ind w:firstLine="420" w:firstLineChars="2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20" w:firstLineChars="2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专门面向中小企业采购：是，</w:t>
                  </w:r>
                  <w:r>
                    <w:rPr>
                      <w:rFonts w:hint="eastAsia" w:ascii="宋体" w:hAnsi="宋体" w:cs="宋体"/>
                      <w:kern w:val="0"/>
                      <w:szCs w:val="21"/>
                      <w:highlight w:val="none"/>
                      <w:lang w:val="en-US" w:eastAsia="zh-CN"/>
                    </w:rPr>
                    <w:t>本项目的承接服务商为</w:t>
                  </w:r>
                  <w:r>
                    <w:rPr>
                      <w:rFonts w:hint="eastAsia" w:ascii="宋体" w:hAnsi="宋体" w:cs="宋体"/>
                      <w:kern w:val="0"/>
                      <w:szCs w:val="21"/>
                      <w:highlight w:val="none"/>
                    </w:rPr>
                    <w:t>符合政策要求的中小微企业、残疾人福利性</w:t>
                  </w:r>
                  <w:r>
                    <w:rPr>
                      <w:rFonts w:hint="eastAsia" w:ascii="宋体" w:hAnsi="宋体" w:cs="宋体"/>
                      <w:kern w:val="0"/>
                      <w:szCs w:val="21"/>
                      <w:highlight w:val="none"/>
                      <w:lang w:val="en-US" w:eastAsia="zh-CN"/>
                    </w:rPr>
                    <w:t>单位或</w:t>
                  </w:r>
                  <w:r>
                    <w:rPr>
                      <w:rFonts w:hint="eastAsia" w:ascii="宋体" w:hAnsi="宋体" w:cs="宋体"/>
                      <w:kern w:val="0"/>
                      <w:szCs w:val="21"/>
                      <w:highlight w:val="none"/>
                    </w:rPr>
                    <w:t>监狱企业（由供应商在《中小企业声明函、残疾人福利性单位声明函及监狱企业声明函》中作出声明</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未提供声明函或声明函不符合“填写指引”的，按资格审查不通过处理</w:t>
                  </w:r>
                  <w:r>
                    <w:rPr>
                      <w:rFonts w:hint="eastAsia" w:ascii="宋体" w:hAnsi="宋体" w:cs="宋体"/>
                      <w:kern w:val="0"/>
                      <w:szCs w:val="21"/>
                      <w:highlight w:val="none"/>
                    </w:rPr>
                    <w:t>）；</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10</w:t>
                  </w:r>
                  <w:r>
                    <w:rPr>
                      <w:rFonts w:hint="default" w:ascii="宋体" w:hAnsi="宋体" w:eastAsia="宋体" w:cs="宋体"/>
                      <w:kern w:val="0"/>
                      <w:szCs w:val="21"/>
                      <w:highlight w:val="none"/>
                      <w:lang w:val="en-US" w:eastAsia="zh-CN"/>
                    </w:rPr>
                    <w:t>.具备建设主管部门颁发的安全生产许可证（有效期需覆盖施工期；提供安全生产许可证扫描件）；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default"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11.具有有效期内的建筑工程施工总承包</w:t>
                  </w:r>
                  <w:r>
                    <w:rPr>
                      <w:rFonts w:hint="eastAsia" w:ascii="宋体" w:hAnsi="宋体" w:cs="宋体"/>
                      <w:kern w:val="0"/>
                      <w:szCs w:val="21"/>
                      <w:highlight w:val="none"/>
                      <w:lang w:val="en-US" w:eastAsia="zh-CN"/>
                    </w:rPr>
                    <w:t>二</w:t>
                  </w:r>
                  <w:r>
                    <w:rPr>
                      <w:rFonts w:hint="default" w:ascii="宋体" w:hAnsi="宋体" w:eastAsia="宋体" w:cs="宋体"/>
                      <w:kern w:val="0"/>
                      <w:szCs w:val="21"/>
                      <w:highlight w:val="none"/>
                      <w:lang w:val="en-US" w:eastAsia="zh-CN"/>
                    </w:rPr>
                    <w:t>级</w:t>
                  </w:r>
                  <w:r>
                    <w:rPr>
                      <w:rFonts w:hint="eastAsia" w:ascii="宋体" w:hAnsi="宋体" w:cs="宋体"/>
                      <w:kern w:val="0"/>
                      <w:szCs w:val="21"/>
                      <w:highlight w:val="none"/>
                      <w:lang w:val="en-US" w:eastAsia="zh-CN"/>
                    </w:rPr>
                    <w:t>或</w:t>
                  </w:r>
                  <w:r>
                    <w:rPr>
                      <w:rFonts w:hint="default" w:ascii="宋体" w:hAnsi="宋体" w:eastAsia="宋体" w:cs="宋体"/>
                      <w:kern w:val="0"/>
                      <w:szCs w:val="21"/>
                      <w:highlight w:val="none"/>
                      <w:lang w:val="en-US" w:eastAsia="zh-CN"/>
                    </w:rPr>
                    <w:t>以上资质</w:t>
                  </w:r>
                  <w:r>
                    <w:rPr>
                      <w:rFonts w:hint="eastAsia" w:ascii="宋体" w:hAnsi="宋体" w:cs="宋体"/>
                      <w:kern w:val="0"/>
                      <w:szCs w:val="21"/>
                      <w:highlight w:val="none"/>
                      <w:lang w:val="en-US" w:eastAsia="zh-CN"/>
                    </w:rPr>
                    <w:t>或者建筑装修装饰工程专业承包二级或以上资质</w:t>
                  </w:r>
                  <w:r>
                    <w:rPr>
                      <w:rFonts w:hint="default" w:ascii="宋体" w:hAnsi="宋体" w:eastAsia="宋体" w:cs="宋体"/>
                      <w:kern w:val="0"/>
                      <w:szCs w:val="21"/>
                      <w:highlight w:val="none"/>
                      <w:lang w:val="en-US" w:eastAsia="zh-CN"/>
                    </w:rPr>
                    <w:t>。（提供资质证书扫描件）；</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12.根据《〈关于严厉惩处建设工程安全生产违法违规行为的若干措施（试行）〉的实施细则》要求，因违反工程质量、安全生产管理规定等原因处于红色警示且警示期内的，不得参于应答（由供应商在《政府采购应答及履约承诺函》中作出声明）；</w:t>
                  </w:r>
                </w:p>
                <w:p>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以及“深圳政府采购智慧平台信用库”为供应商信用信息的查询渠道，相关信息以开标当日的查询结果为准；</w:t>
                  </w:r>
                </w:p>
                <w:p>
                  <w:pPr>
                    <w:ind w:firstLine="420" w:firstLineChars="200"/>
                    <w:rPr>
                      <w:rFonts w:ascii="宋体" w:hAnsi="宋体"/>
                      <w:highlight w:val="none"/>
                    </w:rPr>
                  </w:pPr>
                  <w:r>
                    <w:rPr>
                      <w:rFonts w:hint="eastAsia" w:ascii="宋体" w:hAnsi="宋体"/>
                      <w:highlight w:val="none"/>
                    </w:rPr>
                    <w:t>（2）供应商投标（上传投标文件）必须先行办理注册手续。</w:t>
                  </w:r>
                </w:p>
                <w:p>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pPr>
              <w:rPr>
                <w:rFonts w:ascii="宋体" w:hAnsi="宋体" w:cs="宋体"/>
                <w:sz w:val="24"/>
                <w:highlight w:val="none"/>
              </w:rPr>
            </w:pPr>
          </w:p>
        </w:tc>
      </w:tr>
    </w:tbl>
    <w:p>
      <w:pPr>
        <w:rPr>
          <w:highlight w:val="none"/>
        </w:rPr>
      </w:pPr>
      <w:r>
        <w:rPr>
          <w:rFonts w:hint="eastAsia"/>
          <w:highlight w:val="none"/>
        </w:rPr>
        <w:br w:type="page"/>
      </w:r>
    </w:p>
    <w:p>
      <w:pPr>
        <w:pStyle w:val="6"/>
        <w:rPr>
          <w:sz w:val="28"/>
          <w:szCs w:val="28"/>
          <w:highlight w:val="none"/>
        </w:rPr>
      </w:pPr>
      <w:r>
        <w:rPr>
          <w:rFonts w:hint="eastAsia"/>
          <w:sz w:val="28"/>
          <w:szCs w:val="28"/>
          <w:highlight w:val="none"/>
        </w:rPr>
        <w:t>第二章 对通用条款的补充内容及其他关键信息</w:t>
      </w:r>
    </w:p>
    <w:p>
      <w:pPr>
        <w:pStyle w:val="6"/>
        <w:spacing w:before="120" w:beforeLines="50" w:after="120" w:afterLines="50"/>
        <w:rPr>
          <w:rFonts w:hint="eastAsia"/>
          <w:szCs w:val="21"/>
          <w:highlight w:val="none"/>
        </w:rPr>
      </w:pPr>
      <w:bookmarkStart w:id="21" w:name="_Toc60631620"/>
      <w:bookmarkStart w:id="22" w:name="_Toc73521635"/>
      <w:bookmarkStart w:id="23" w:name="_Toc100052364"/>
      <w:bookmarkStart w:id="24" w:name="_Toc101074876"/>
      <w:bookmarkStart w:id="25" w:name="_Toc73517639"/>
      <w:bookmarkStart w:id="26" w:name="_Toc73521547"/>
      <w:bookmarkStart w:id="27" w:name="_Toc73518117"/>
      <w:bookmarkStart w:id="28" w:name="_Toc60560625"/>
      <w:r>
        <w:rPr>
          <w:rFonts w:hint="eastAsia"/>
          <w:szCs w:val="24"/>
          <w:highlight w:val="none"/>
        </w:rPr>
        <w:t>一、对通用条款的补充内容</w:t>
      </w:r>
      <w:bookmarkEnd w:id="21"/>
      <w:bookmarkEnd w:id="22"/>
      <w:bookmarkEnd w:id="23"/>
      <w:bookmarkEnd w:id="24"/>
      <w:bookmarkEnd w:id="25"/>
      <w:bookmarkEnd w:id="26"/>
      <w:bookmarkEnd w:id="27"/>
      <w:bookmarkEnd w:id="28"/>
    </w:p>
    <w:tbl>
      <w:tblPr>
        <w:tblStyle w:val="43"/>
        <w:tblW w:w="8367" w:type="dxa"/>
        <w:jc w:val="center"/>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pPr>
              <w:jc w:val="center"/>
              <w:rPr>
                <w:rFonts w:ascii="宋体" w:hAnsi="宋体"/>
                <w:b/>
                <w:bCs/>
                <w:highlight w:val="none"/>
              </w:rPr>
            </w:pPr>
            <w:r>
              <w:rPr>
                <w:rFonts w:hint="eastAsia" w:ascii="宋体" w:hAnsi="宋体"/>
                <w:b/>
                <w:bCs/>
                <w:highlight w:val="none"/>
              </w:rPr>
              <w:t>涉及事项</w:t>
            </w:r>
          </w:p>
        </w:tc>
        <w:tc>
          <w:tcPr>
            <w:tcW w:w="4980" w:type="dxa"/>
            <w:vAlign w:val="center"/>
          </w:tcPr>
          <w:p>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pPr>
              <w:jc w:val="center"/>
              <w:rPr>
                <w:highlight w:val="none"/>
              </w:rPr>
            </w:pPr>
            <w:r>
              <w:rPr>
                <w:rFonts w:hint="eastAsia"/>
                <w:highlight w:val="none"/>
              </w:rPr>
              <w:t>采购人</w:t>
            </w:r>
          </w:p>
        </w:tc>
        <w:tc>
          <w:tcPr>
            <w:tcW w:w="4980" w:type="dxa"/>
            <w:vAlign w:val="center"/>
          </w:tcPr>
          <w:p>
            <w:pPr>
              <w:spacing w:line="300" w:lineRule="exact"/>
              <w:jc w:val="center"/>
              <w:rPr>
                <w:rFonts w:ascii="宋体" w:hAnsi="宋体"/>
                <w:highlight w:val="none"/>
              </w:rPr>
            </w:pPr>
            <w:r>
              <w:rPr>
                <w:rFonts w:hint="eastAsia" w:ascii="宋体" w:hAnsi="宋体"/>
                <w:color w:val="auto"/>
                <w:szCs w:val="21"/>
                <w:highlight w:val="none"/>
                <w:lang w:val="en-US" w:eastAsia="zh-CN"/>
              </w:rPr>
              <w:t>深圳市福田区园岭街道办事处</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政府集中采购机构</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9</w:t>
            </w:r>
          </w:p>
        </w:tc>
        <w:tc>
          <w:tcPr>
            <w:tcW w:w="2409" w:type="dxa"/>
            <w:vAlign w:val="center"/>
          </w:tcPr>
          <w:p>
            <w:pPr>
              <w:jc w:val="center"/>
              <w:rPr>
                <w:rFonts w:ascii="宋体" w:hAnsi="宋体"/>
                <w:highlight w:val="none"/>
              </w:rPr>
            </w:pPr>
            <w:r>
              <w:rPr>
                <w:rFonts w:hint="eastAsia" w:ascii="宋体" w:hAnsi="宋体"/>
                <w:highlight w:val="none"/>
              </w:rPr>
              <w:t>踏勘现场</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标前会议</w:t>
            </w:r>
          </w:p>
        </w:tc>
        <w:tc>
          <w:tcPr>
            <w:tcW w:w="4980" w:type="dxa"/>
            <w:vAlign w:val="center"/>
          </w:tcPr>
          <w:p>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pPr>
              <w:jc w:val="center"/>
              <w:rPr>
                <w:rFonts w:ascii="宋体" w:hAnsi="宋体"/>
                <w:highlight w:val="none"/>
              </w:rPr>
            </w:pPr>
            <w:r>
              <w:rPr>
                <w:rFonts w:hint="eastAsia" w:ascii="宋体" w:hAnsi="宋体"/>
                <w:highlight w:val="none"/>
              </w:rPr>
              <w:t>招标文件的澄清和修改</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pPr>
              <w:jc w:val="center"/>
              <w:rPr>
                <w:rFonts w:ascii="宋体" w:hAnsi="宋体"/>
                <w:highlight w:val="none"/>
              </w:rPr>
            </w:pPr>
            <w:r>
              <w:rPr>
                <w:rFonts w:hint="eastAsia" w:ascii="宋体" w:hAnsi="宋体"/>
                <w:highlight w:val="none"/>
              </w:rPr>
              <w:t>投标有效期</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pPr>
              <w:jc w:val="center"/>
              <w:rPr>
                <w:rFonts w:ascii="宋体" w:hAnsi="宋体"/>
                <w:highlight w:val="none"/>
              </w:rPr>
            </w:pPr>
            <w:r>
              <w:rPr>
                <w:rFonts w:hint="eastAsia" w:ascii="宋体" w:hAnsi="宋体"/>
                <w:highlight w:val="none"/>
              </w:rPr>
              <w:t>投标人的替代方案</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pPr>
              <w:jc w:val="center"/>
              <w:rPr>
                <w:rFonts w:ascii="宋体" w:hAnsi="宋体"/>
                <w:highlight w:val="none"/>
              </w:rPr>
            </w:pPr>
            <w:r>
              <w:rPr>
                <w:rFonts w:hint="eastAsia" w:ascii="宋体" w:hAnsi="宋体"/>
                <w:highlight w:val="none"/>
              </w:rPr>
              <w:t>投标文件的大小</w:t>
            </w:r>
          </w:p>
        </w:tc>
        <w:tc>
          <w:tcPr>
            <w:tcW w:w="4980" w:type="dxa"/>
            <w:vAlign w:val="center"/>
          </w:tcPr>
          <w:p>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样品、现场演示、方案讲解</w:t>
            </w:r>
          </w:p>
        </w:tc>
        <w:tc>
          <w:tcPr>
            <w:tcW w:w="4980" w:type="dxa"/>
            <w:vAlign w:val="center"/>
          </w:tcPr>
          <w:p>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pPr>
              <w:jc w:val="center"/>
              <w:rPr>
                <w:rFonts w:ascii="宋体" w:hAnsi="宋体"/>
                <w:highlight w:val="none"/>
              </w:rPr>
            </w:pPr>
            <w:r>
              <w:rPr>
                <w:rFonts w:hint="eastAsia" w:ascii="宋体" w:hAnsi="宋体"/>
                <w:highlight w:val="none"/>
              </w:rPr>
              <w:t>评审方法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978" w:type="dxa"/>
            <w:vMerge w:val="restart"/>
            <w:vAlign w:val="center"/>
          </w:tcPr>
          <w:p>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Merge w:val="restart"/>
            <w:vAlign w:val="center"/>
          </w:tcPr>
          <w:p>
            <w:pPr>
              <w:jc w:val="center"/>
              <w:rPr>
                <w:rFonts w:ascii="宋体" w:hAnsi="宋体"/>
                <w:highlight w:val="none"/>
              </w:rPr>
            </w:pPr>
            <w:r>
              <w:rPr>
                <w:rFonts w:hint="eastAsia" w:ascii="宋体" w:hAnsi="宋体"/>
                <w:highlight w:val="none"/>
              </w:rPr>
              <w:t>定标方法</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70" w:hRule="atLeast"/>
          <w:jc w:val="center"/>
        </w:trPr>
        <w:tc>
          <w:tcPr>
            <w:tcW w:w="978" w:type="dxa"/>
            <w:vAlign w:val="center"/>
          </w:tcPr>
          <w:p>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pPr>
              <w:jc w:val="center"/>
              <w:rPr>
                <w:rFonts w:ascii="宋体" w:hAnsi="宋体"/>
                <w:highlight w:val="none"/>
              </w:rPr>
            </w:pPr>
            <w:r>
              <w:rPr>
                <w:rFonts w:hint="eastAsia" w:ascii="宋体" w:hAnsi="宋体"/>
                <w:highlight w:val="none"/>
              </w:rPr>
              <w:t>履约担保</w:t>
            </w:r>
          </w:p>
        </w:tc>
        <w:tc>
          <w:tcPr>
            <w:tcW w:w="4980" w:type="dxa"/>
            <w:vAlign w:val="center"/>
          </w:tcPr>
          <w:p>
            <w:pPr>
              <w:spacing w:line="300" w:lineRule="exact"/>
              <w:jc w:val="left"/>
              <w:rPr>
                <w:rFonts w:ascii="宋体" w:hAnsi="宋体"/>
                <w:highlight w:val="none"/>
              </w:rPr>
            </w:pPr>
            <w:r>
              <w:rPr>
                <w:rFonts w:hint="eastAsia" w:ascii="宋体" w:hAnsi="宋体" w:cs="宋体"/>
                <w:bCs/>
                <w:szCs w:val="21"/>
                <w:highlight w:val="none"/>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978"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pPr>
        <w:pStyle w:val="20"/>
        <w:rPr>
          <w:rFonts w:hint="eastAsia"/>
          <w:highlight w:val="none"/>
        </w:rPr>
      </w:pPr>
    </w:p>
    <w:p>
      <w:pPr>
        <w:rPr>
          <w:b/>
          <w:highlight w:val="none"/>
        </w:rPr>
      </w:pPr>
      <w:r>
        <w:rPr>
          <w:rFonts w:hint="eastAsia"/>
          <w:szCs w:val="21"/>
          <w:highlight w:val="none"/>
        </w:rPr>
        <w:t>备注：本表是通用条款相关条款的补充和明确，如与通用条款内容相冲突的，以本表为准。</w:t>
      </w:r>
    </w:p>
    <w:p>
      <w:pPr>
        <w:rPr>
          <w:b/>
          <w:highlight w:val="none"/>
        </w:rPr>
      </w:pPr>
    </w:p>
    <w:p>
      <w:pPr>
        <w:pStyle w:val="6"/>
        <w:spacing w:before="120" w:beforeLines="50" w:after="120" w:afterLines="50"/>
        <w:rPr>
          <w:szCs w:val="24"/>
          <w:highlight w:val="none"/>
        </w:rPr>
      </w:pPr>
      <w:r>
        <w:rPr>
          <w:rFonts w:hint="eastAsia"/>
          <w:szCs w:val="24"/>
          <w:highlight w:val="none"/>
        </w:rPr>
        <w:t>二、其他关键信息</w:t>
      </w:r>
    </w:p>
    <w:p>
      <w:pPr>
        <w:ind w:firstLine="422" w:firstLineChars="200"/>
        <w:rPr>
          <w:b/>
          <w:bCs/>
          <w:highlight w:val="none"/>
        </w:rPr>
      </w:pPr>
      <w:r>
        <w:rPr>
          <w:rFonts w:hint="eastAsia"/>
          <w:b/>
          <w:bCs/>
          <w:highlight w:val="none"/>
        </w:rPr>
        <w:t>（一）与“对通用条款的补充内容”章节相关的事项</w:t>
      </w:r>
    </w:p>
    <w:p>
      <w:pPr>
        <w:spacing w:line="276" w:lineRule="auto"/>
        <w:ind w:firstLine="422" w:firstLineChars="200"/>
        <w:jc w:val="left"/>
        <w:rPr>
          <w:rFonts w:asciiTheme="minorEastAsia" w:hAnsiTheme="minorEastAsia" w:eastAsiaTheme="minorEastAsia"/>
          <w:b/>
          <w:kern w:val="0"/>
          <w:szCs w:val="20"/>
          <w:highlight w:val="none"/>
        </w:rPr>
      </w:pPr>
      <w:bookmarkStart w:id="29"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9"/>
    <w:p>
      <w:pPr>
        <w:jc w:val="center"/>
        <w:rPr>
          <w:highlight w:val="none"/>
        </w:rPr>
      </w:pPr>
      <w:r>
        <w:rPr>
          <w:rFonts w:hint="eastAsia"/>
          <w:b/>
          <w:highlight w:val="none"/>
        </w:rPr>
        <w:t>非评定分离项目</w:t>
      </w:r>
    </w:p>
    <w:tbl>
      <w:tblPr>
        <w:tblStyle w:val="44"/>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0"/>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90" w:type="dxa"/>
          </w:tcPr>
          <w:p>
            <w:pPr>
              <w:jc w:val="center"/>
              <w:rPr>
                <w:highlight w:val="none"/>
              </w:rPr>
            </w:pPr>
            <w:r>
              <w:rPr>
                <w:rFonts w:hint="eastAsia"/>
                <w:highlight w:val="none"/>
              </w:rPr>
              <w:t>评标方法</w:t>
            </w:r>
          </w:p>
        </w:tc>
        <w:tc>
          <w:tcPr>
            <w:tcW w:w="4537" w:type="dxa"/>
          </w:tcPr>
          <w:p>
            <w:pPr>
              <w:jc w:val="center"/>
              <w:rPr>
                <w:rFonts w:hint="default" w:eastAsia="宋体"/>
                <w:highlight w:val="none"/>
                <w:lang w:val="en-US" w:eastAsia="zh-CN"/>
              </w:rPr>
            </w:pPr>
            <w:r>
              <w:rPr>
                <w:rFonts w:hint="eastAsia"/>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90" w:type="dxa"/>
          </w:tcPr>
          <w:p>
            <w:pPr>
              <w:jc w:val="center"/>
              <w:rPr>
                <w:highlight w:val="none"/>
              </w:rPr>
            </w:pPr>
            <w:r>
              <w:rPr>
                <w:rFonts w:hint="eastAsia"/>
                <w:highlight w:val="none"/>
              </w:rPr>
              <w:t>候选中标供应商家数</w:t>
            </w:r>
          </w:p>
        </w:tc>
        <w:tc>
          <w:tcPr>
            <w:tcW w:w="4537" w:type="dxa"/>
          </w:tcPr>
          <w:p>
            <w:pPr>
              <w:jc w:val="center"/>
              <w:rPr>
                <w:rFonts w:hint="eastAsia" w:eastAsia="宋体"/>
                <w:highlight w:val="none"/>
                <w:lang w:val="en-US" w:eastAsia="zh-CN"/>
              </w:rPr>
            </w:pPr>
            <w:r>
              <w:rPr>
                <w:rFonts w:hint="eastAsia"/>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90" w:type="dxa"/>
          </w:tcPr>
          <w:p>
            <w:pPr>
              <w:jc w:val="center"/>
              <w:rPr>
                <w:highlight w:val="none"/>
              </w:rPr>
            </w:pPr>
            <w:r>
              <w:rPr>
                <w:rFonts w:hint="eastAsia"/>
                <w:highlight w:val="none"/>
              </w:rPr>
              <w:t>中标供应商家数</w:t>
            </w:r>
          </w:p>
        </w:tc>
        <w:tc>
          <w:tcPr>
            <w:tcW w:w="4537" w:type="dxa"/>
          </w:tcPr>
          <w:p>
            <w:pPr>
              <w:jc w:val="center"/>
              <w:rPr>
                <w:highlight w:val="none"/>
              </w:rPr>
            </w:pPr>
            <w:r>
              <w:rPr>
                <w:rFonts w:hint="eastAsia"/>
                <w:highlight w:val="none"/>
              </w:rPr>
              <w:t>1</w:t>
            </w:r>
          </w:p>
        </w:tc>
      </w:tr>
    </w:tbl>
    <w:p>
      <w:pPr>
        <w:pStyle w:val="20"/>
        <w:rPr>
          <w:highlight w:val="none"/>
        </w:rPr>
      </w:pPr>
    </w:p>
    <w:p>
      <w:pPr>
        <w:ind w:firstLine="422" w:firstLineChars="200"/>
        <w:rPr>
          <w:rFonts w:ascii="宋体" w:hAnsi="宋体"/>
          <w:b/>
          <w:highlight w:val="none"/>
        </w:rPr>
      </w:pPr>
    </w:p>
    <w:p>
      <w:pPr>
        <w:ind w:firstLine="422" w:firstLineChars="200"/>
        <w:rPr>
          <w:rFonts w:hint="eastAsia"/>
          <w:b/>
          <w:highlight w:val="none"/>
        </w:rPr>
      </w:pPr>
    </w:p>
    <w:p>
      <w:pPr>
        <w:rPr>
          <w:rFonts w:hint="eastAsia"/>
          <w:b/>
          <w:highlight w:val="none"/>
        </w:rPr>
      </w:pPr>
    </w:p>
    <w:p>
      <w:pPr>
        <w:ind w:firstLine="422" w:firstLineChars="200"/>
        <w:rPr>
          <w:rFonts w:hint="eastAsia"/>
          <w:b/>
          <w:highlight w:val="none"/>
        </w:rPr>
      </w:pPr>
    </w:p>
    <w:p>
      <w:pPr>
        <w:rPr>
          <w:rFonts w:hint="eastAsia"/>
          <w:b/>
          <w:highlight w:val="none"/>
        </w:rPr>
      </w:pPr>
      <w:r>
        <w:rPr>
          <w:rFonts w:hint="eastAsia"/>
          <w:b/>
          <w:highlight w:val="none"/>
        </w:rPr>
        <w:br w:type="page"/>
      </w:r>
    </w:p>
    <w:p>
      <w:pPr>
        <w:ind w:firstLine="422" w:firstLineChars="200"/>
        <w:rPr>
          <w:b/>
          <w:highlight w:val="none"/>
        </w:rPr>
      </w:pPr>
      <w:r>
        <w:rPr>
          <w:rFonts w:hint="eastAsia"/>
          <w:b/>
          <w:highlight w:val="none"/>
        </w:rPr>
        <w:t>（二）其他事项</w:t>
      </w:r>
    </w:p>
    <w:p>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rFonts w:hint="eastAsia"/>
          <w:color w:val="FF0000"/>
          <w:highlight w:val="none"/>
          <w:u w:val="single"/>
          <w:lang w:val="en-US" w:eastAsia="zh-CN"/>
        </w:rPr>
        <w:t>10</w:t>
      </w:r>
      <w:r>
        <w:rPr>
          <w:color w:val="FF0000"/>
          <w:highlight w:val="none"/>
          <w:u w:val="single"/>
        </w:rPr>
        <w:t>%</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30"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30"/>
    </w:p>
    <w:p>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pPr>
        <w:ind w:firstLine="422" w:firstLineChars="200"/>
        <w:rPr>
          <w:rFonts w:hint="eastAsia"/>
          <w:b/>
          <w:bCs/>
          <w:highlight w:val="none"/>
        </w:rPr>
      </w:pPr>
    </w:p>
    <w:p>
      <w:pPr>
        <w:ind w:firstLine="422" w:firstLineChars="200"/>
        <w:rPr>
          <w:rFonts w:hint="eastAsia"/>
          <w:b/>
          <w:bCs/>
          <w:highlight w:val="none"/>
        </w:rPr>
      </w:pPr>
    </w:p>
    <w:p>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工程</w:t>
      </w:r>
      <w:r>
        <w:rPr>
          <w:rFonts w:hint="eastAsia"/>
          <w:b/>
          <w:color w:val="FF0000"/>
          <w:highlight w:val="none"/>
        </w:rPr>
        <w:t>采购：</w:t>
      </w:r>
    </w:p>
    <w:p>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pPr>
              <w:widowControl/>
              <w:spacing w:line="360" w:lineRule="auto"/>
              <w:jc w:val="center"/>
              <w:rPr>
                <w:highlight w:val="none"/>
              </w:rPr>
            </w:pPr>
            <w:r>
              <w:rPr>
                <w:rFonts w:hint="eastAsia"/>
                <w:highlight w:val="none"/>
              </w:rPr>
              <w:t>货物采购</w:t>
            </w:r>
          </w:p>
        </w:tc>
        <w:tc>
          <w:tcPr>
            <w:tcW w:w="1799" w:type="dxa"/>
            <w:vAlign w:val="center"/>
          </w:tcPr>
          <w:p>
            <w:pPr>
              <w:widowControl/>
              <w:spacing w:line="360" w:lineRule="auto"/>
              <w:jc w:val="center"/>
              <w:rPr>
                <w:highlight w:val="none"/>
              </w:rPr>
            </w:pPr>
            <w:r>
              <w:rPr>
                <w:rFonts w:hint="eastAsia"/>
                <w:highlight w:val="none"/>
              </w:rPr>
              <w:t>服务采购</w:t>
            </w:r>
          </w:p>
        </w:tc>
        <w:tc>
          <w:tcPr>
            <w:tcW w:w="1799" w:type="dxa"/>
            <w:vAlign w:val="center"/>
          </w:tcPr>
          <w:p>
            <w:pPr>
              <w:widowControl/>
              <w:spacing w:line="360" w:lineRule="auto"/>
              <w:jc w:val="center"/>
              <w:rPr>
                <w:highlight w:val="none"/>
              </w:rPr>
            </w:pPr>
            <w:r>
              <w:rPr>
                <w:rFonts w:hint="eastAsia"/>
                <w:highlight w:val="none"/>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100万元以下</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1.5%</w:t>
            </w:r>
          </w:p>
        </w:tc>
        <w:tc>
          <w:tcPr>
            <w:tcW w:w="1799" w:type="dxa"/>
            <w:vAlign w:val="center"/>
          </w:tcPr>
          <w:p>
            <w:pPr>
              <w:widowControl/>
              <w:spacing w:line="360" w:lineRule="auto"/>
              <w:jc w:val="center"/>
              <w:rPr>
                <w:highlight w:val="none"/>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100万元（含）-500万元</w:t>
            </w:r>
          </w:p>
        </w:tc>
        <w:tc>
          <w:tcPr>
            <w:tcW w:w="1799" w:type="dxa"/>
            <w:vAlign w:val="center"/>
          </w:tcPr>
          <w:p>
            <w:pPr>
              <w:widowControl/>
              <w:spacing w:line="360" w:lineRule="auto"/>
              <w:jc w:val="center"/>
              <w:rPr>
                <w:highlight w:val="none"/>
              </w:rPr>
            </w:pPr>
            <w:r>
              <w:rPr>
                <w:rFonts w:hint="eastAsia"/>
                <w:highlight w:val="none"/>
              </w:rPr>
              <w:t>1.1%</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500万元（含）-1000万元</w:t>
            </w:r>
          </w:p>
        </w:tc>
        <w:tc>
          <w:tcPr>
            <w:tcW w:w="1799" w:type="dxa"/>
            <w:vAlign w:val="center"/>
          </w:tcPr>
          <w:p>
            <w:pPr>
              <w:widowControl/>
              <w:spacing w:line="360" w:lineRule="auto"/>
              <w:jc w:val="center"/>
              <w:rPr>
                <w:highlight w:val="none"/>
              </w:rPr>
            </w:pPr>
            <w:r>
              <w:rPr>
                <w:rFonts w:hint="eastAsia"/>
                <w:highlight w:val="none"/>
              </w:rPr>
              <w:t>0.8%</w:t>
            </w:r>
          </w:p>
        </w:tc>
        <w:tc>
          <w:tcPr>
            <w:tcW w:w="1799" w:type="dxa"/>
            <w:vAlign w:val="center"/>
          </w:tcPr>
          <w:p>
            <w:pPr>
              <w:widowControl/>
              <w:spacing w:line="360" w:lineRule="auto"/>
              <w:jc w:val="center"/>
              <w:rPr>
                <w:highlight w:val="none"/>
              </w:rPr>
            </w:pPr>
            <w:r>
              <w:rPr>
                <w:rFonts w:hint="eastAsia"/>
                <w:highlight w:val="none"/>
              </w:rPr>
              <w:t>0.45%</w:t>
            </w:r>
          </w:p>
        </w:tc>
        <w:tc>
          <w:tcPr>
            <w:tcW w:w="1799" w:type="dxa"/>
            <w:vAlign w:val="center"/>
          </w:tcPr>
          <w:p>
            <w:pPr>
              <w:widowControl/>
              <w:spacing w:line="360" w:lineRule="auto"/>
              <w:jc w:val="center"/>
              <w:rPr>
                <w:highlight w:val="none"/>
              </w:rPr>
            </w:pPr>
            <w:r>
              <w:rPr>
                <w:rFonts w:hint="eastAsia"/>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1000万元（含）-5000万元</w:t>
            </w:r>
          </w:p>
        </w:tc>
        <w:tc>
          <w:tcPr>
            <w:tcW w:w="1799" w:type="dxa"/>
            <w:vAlign w:val="center"/>
          </w:tcPr>
          <w:p>
            <w:pPr>
              <w:widowControl/>
              <w:spacing w:line="360" w:lineRule="auto"/>
              <w:jc w:val="center"/>
              <w:rPr>
                <w:highlight w:val="none"/>
              </w:rPr>
            </w:pPr>
            <w:r>
              <w:rPr>
                <w:rFonts w:hint="eastAsia"/>
                <w:highlight w:val="none"/>
              </w:rPr>
              <w:t>0.5%</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5000万元（含）-1亿元</w:t>
            </w:r>
          </w:p>
        </w:tc>
        <w:tc>
          <w:tcPr>
            <w:tcW w:w="1799" w:type="dxa"/>
            <w:vAlign w:val="center"/>
          </w:tcPr>
          <w:p>
            <w:pPr>
              <w:widowControl/>
              <w:spacing w:line="360" w:lineRule="auto"/>
              <w:jc w:val="center"/>
              <w:rPr>
                <w:highlight w:val="none"/>
              </w:rPr>
            </w:pPr>
            <w:r>
              <w:rPr>
                <w:rFonts w:hint="eastAsia"/>
                <w:highlight w:val="none"/>
              </w:rPr>
              <w:t>0.25%</w:t>
            </w:r>
          </w:p>
        </w:tc>
        <w:tc>
          <w:tcPr>
            <w:tcW w:w="1799" w:type="dxa"/>
            <w:vAlign w:val="center"/>
          </w:tcPr>
          <w:p>
            <w:pPr>
              <w:widowControl/>
              <w:spacing w:line="360" w:lineRule="auto"/>
              <w:jc w:val="center"/>
              <w:rPr>
                <w:highlight w:val="none"/>
              </w:rPr>
            </w:pPr>
            <w:r>
              <w:rPr>
                <w:rFonts w:hint="eastAsia"/>
                <w:highlight w:val="none"/>
              </w:rPr>
              <w:t>0.1%</w:t>
            </w:r>
          </w:p>
        </w:tc>
        <w:tc>
          <w:tcPr>
            <w:tcW w:w="1799" w:type="dxa"/>
            <w:vAlign w:val="center"/>
          </w:tcPr>
          <w:p>
            <w:pPr>
              <w:widowControl/>
              <w:spacing w:line="360" w:lineRule="auto"/>
              <w:jc w:val="center"/>
              <w:rPr>
                <w:highlight w:val="none"/>
              </w:rPr>
            </w:pPr>
            <w:r>
              <w:rPr>
                <w:rFonts w:hint="eastAsia"/>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1亿元（含）-5亿元</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c>
          <w:tcPr>
            <w:tcW w:w="1799" w:type="dxa"/>
            <w:vAlign w:val="center"/>
          </w:tcPr>
          <w:p>
            <w:pPr>
              <w:widowControl/>
              <w:spacing w:line="360" w:lineRule="auto"/>
              <w:jc w:val="center"/>
              <w:rPr>
                <w:highlight w:val="none"/>
              </w:rPr>
            </w:pPr>
            <w:r>
              <w:rPr>
                <w:rFonts w:hint="eastAsia"/>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5亿元（含）-10亿元</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c>
          <w:tcPr>
            <w:tcW w:w="1799" w:type="dxa"/>
            <w:vAlign w:val="center"/>
          </w:tcPr>
          <w:p>
            <w:pPr>
              <w:widowControl/>
              <w:spacing w:line="360" w:lineRule="auto"/>
              <w:jc w:val="center"/>
              <w:rPr>
                <w:highlight w:val="none"/>
              </w:rPr>
            </w:pPr>
            <w:r>
              <w:rPr>
                <w:rFonts w:hint="eastAsia"/>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highlight w:val="none"/>
              </w:rPr>
            </w:pPr>
            <w:r>
              <w:rPr>
                <w:rFonts w:hint="eastAsia"/>
                <w:highlight w:val="none"/>
              </w:rPr>
              <w:t>10亿元（含）-50亿元</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c>
          <w:tcPr>
            <w:tcW w:w="1799" w:type="dxa"/>
            <w:vAlign w:val="center"/>
          </w:tcPr>
          <w:p>
            <w:pPr>
              <w:widowControl/>
              <w:spacing w:line="360" w:lineRule="auto"/>
              <w:jc w:val="center"/>
              <w:rPr>
                <w:highlight w:val="none"/>
              </w:rPr>
            </w:pPr>
            <w:r>
              <w:rPr>
                <w:rFonts w:hint="eastAsia"/>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50亿元（含）-100亿元</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c>
          <w:tcPr>
            <w:tcW w:w="1799" w:type="dxa"/>
            <w:vAlign w:val="center"/>
          </w:tcPr>
          <w:p>
            <w:pPr>
              <w:widowControl/>
              <w:spacing w:line="360" w:lineRule="auto"/>
              <w:jc w:val="center"/>
              <w:rPr>
                <w:highlight w:val="none"/>
              </w:rPr>
            </w:pPr>
            <w:r>
              <w:rPr>
                <w:rFonts w:hint="eastAsia"/>
                <w:highlight w:val="none"/>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highlight w:val="none"/>
              </w:rPr>
            </w:pPr>
            <w:r>
              <w:rPr>
                <w:rFonts w:hint="eastAsia"/>
                <w:highlight w:val="none"/>
              </w:rPr>
              <w:t>100亿元（含）以上</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c>
          <w:tcPr>
            <w:tcW w:w="1799" w:type="dxa"/>
            <w:vAlign w:val="center"/>
          </w:tcPr>
          <w:p>
            <w:pPr>
              <w:widowControl/>
              <w:spacing w:line="360" w:lineRule="auto"/>
              <w:jc w:val="center"/>
              <w:rPr>
                <w:highlight w:val="none"/>
              </w:rPr>
            </w:pPr>
            <w:r>
              <w:rPr>
                <w:rFonts w:hint="eastAsia"/>
                <w:highlight w:val="none"/>
              </w:rPr>
              <w:t>0.004%</w:t>
            </w:r>
          </w:p>
        </w:tc>
      </w:tr>
    </w:tbl>
    <w:p>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pPr>
        <w:ind w:firstLine="420" w:firstLineChars="200"/>
        <w:rPr>
          <w:highlight w:val="none"/>
        </w:rPr>
      </w:pPr>
    </w:p>
    <w:p>
      <w:pPr>
        <w:ind w:firstLine="420" w:firstLineChars="200"/>
        <w:rPr>
          <w:highlight w:val="none"/>
        </w:rPr>
      </w:pPr>
      <w:r>
        <w:rPr>
          <w:rFonts w:hint="eastAsia"/>
          <w:highlight w:val="none"/>
        </w:rPr>
        <w:t>如某货物采购项目，中标（成交）金额为600万元，总共交纳的代理服务费的具体计算过程如下：</w:t>
      </w:r>
    </w:p>
    <w:p>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pPr>
        <w:pStyle w:val="19"/>
        <w:rPr>
          <w:b/>
          <w:highlight w:val="none"/>
        </w:rPr>
      </w:pPr>
    </w:p>
    <w:p>
      <w:pPr>
        <w:pStyle w:val="19"/>
        <w:rPr>
          <w:b/>
          <w:highlight w:val="none"/>
        </w:rPr>
      </w:pPr>
    </w:p>
    <w:p>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pPr>
        <w:pStyle w:val="20"/>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pPr>
        <w:pStyle w:val="19"/>
        <w:rPr>
          <w:b/>
          <w:highlight w:val="none"/>
        </w:rPr>
        <w:sectPr>
          <w:pgSz w:w="11907" w:h="16840"/>
          <w:pgMar w:top="1440" w:right="1797" w:bottom="1440" w:left="1797" w:header="851" w:footer="992" w:gutter="0"/>
          <w:cols w:space="425" w:num="1"/>
          <w:titlePg/>
          <w:docGrid w:linePitch="462" w:charSpace="0"/>
        </w:sectPr>
      </w:pPr>
    </w:p>
    <w:p>
      <w:pPr>
        <w:pStyle w:val="6"/>
        <w:rPr>
          <w:sz w:val="28"/>
          <w:szCs w:val="28"/>
          <w:highlight w:val="none"/>
        </w:rPr>
      </w:pPr>
      <w:bookmarkStart w:id="31" w:name="_Toc128884461"/>
      <w:r>
        <w:rPr>
          <w:rFonts w:hint="eastAsia"/>
          <w:sz w:val="28"/>
          <w:szCs w:val="28"/>
          <w:highlight w:val="none"/>
        </w:rPr>
        <w:t>第三章 用户需求书</w:t>
      </w:r>
    </w:p>
    <w:p>
      <w:pPr>
        <w:pStyle w:val="6"/>
        <w:spacing w:before="120" w:beforeLines="50" w:after="120" w:afterLines="50"/>
        <w:rPr>
          <w:szCs w:val="24"/>
          <w:highlight w:val="none"/>
        </w:rPr>
      </w:pPr>
      <w:r>
        <w:rPr>
          <w:rFonts w:hint="eastAsia"/>
          <w:szCs w:val="24"/>
          <w:highlight w:val="none"/>
        </w:rPr>
        <w:t>一、项目基本信息</w:t>
      </w:r>
    </w:p>
    <w:p>
      <w:pPr>
        <w:rPr>
          <w:rFonts w:ascii="宋体" w:hAnsi="宋体"/>
          <w:b/>
          <w:color w:val="FF0000"/>
          <w:szCs w:val="21"/>
          <w:highlight w:val="none"/>
        </w:rPr>
      </w:pPr>
    </w:p>
    <w:tbl>
      <w:tblPr>
        <w:tblStyle w:val="43"/>
        <w:tblpPr w:leftFromText="180" w:rightFromText="180" w:vertAnchor="text" w:horzAnchor="margin" w:tblpY="17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545"/>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594" w:type="dxa"/>
            <w:vAlign w:val="center"/>
          </w:tcPr>
          <w:p>
            <w:pPr>
              <w:jc w:val="center"/>
              <w:rPr>
                <w:bCs/>
                <w:szCs w:val="21"/>
                <w:highlight w:val="none"/>
              </w:rPr>
            </w:pPr>
            <w:r>
              <w:rPr>
                <w:rFonts w:hint="eastAsia"/>
                <w:bCs/>
                <w:szCs w:val="21"/>
                <w:highlight w:val="none"/>
              </w:rPr>
              <w:t>序号</w:t>
            </w:r>
          </w:p>
        </w:tc>
        <w:tc>
          <w:tcPr>
            <w:tcW w:w="4545" w:type="dxa"/>
            <w:vAlign w:val="center"/>
          </w:tcPr>
          <w:p>
            <w:pPr>
              <w:jc w:val="center"/>
              <w:rPr>
                <w:bCs/>
                <w:szCs w:val="21"/>
                <w:highlight w:val="none"/>
              </w:rPr>
            </w:pPr>
            <w:r>
              <w:rPr>
                <w:rFonts w:hint="eastAsia"/>
                <w:bCs/>
                <w:szCs w:val="21"/>
                <w:highlight w:val="none"/>
              </w:rPr>
              <w:t>采购项目名称</w:t>
            </w:r>
          </w:p>
        </w:tc>
        <w:tc>
          <w:tcPr>
            <w:tcW w:w="3387" w:type="dxa"/>
            <w:vAlign w:val="center"/>
          </w:tcPr>
          <w:p>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594" w:type="dxa"/>
            <w:vAlign w:val="center"/>
          </w:tcPr>
          <w:p>
            <w:pPr>
              <w:jc w:val="center"/>
              <w:rPr>
                <w:bCs/>
                <w:color w:val="FF0000"/>
                <w:szCs w:val="21"/>
                <w:highlight w:val="none"/>
              </w:rPr>
            </w:pPr>
            <w:r>
              <w:rPr>
                <w:rFonts w:hint="eastAsia"/>
                <w:bCs/>
                <w:color w:val="FF0000"/>
                <w:szCs w:val="21"/>
                <w:highlight w:val="none"/>
              </w:rPr>
              <w:t>1</w:t>
            </w:r>
          </w:p>
        </w:tc>
        <w:tc>
          <w:tcPr>
            <w:tcW w:w="4545" w:type="dxa"/>
            <w:vAlign w:val="center"/>
          </w:tcPr>
          <w:p>
            <w:pPr>
              <w:jc w:val="center"/>
              <w:rPr>
                <w:rFonts w:hint="eastAsia" w:eastAsia="宋体"/>
                <w:b/>
                <w:bCs/>
                <w:color w:val="FF0000"/>
                <w:szCs w:val="21"/>
                <w:highlight w:val="none"/>
                <w:lang w:eastAsia="zh-CN"/>
              </w:rPr>
            </w:pPr>
            <w:r>
              <w:rPr>
                <w:rFonts w:hint="eastAsia"/>
                <w:b/>
                <w:bCs/>
                <w:color w:val="FF0000"/>
                <w:szCs w:val="21"/>
                <w:highlight w:val="none"/>
                <w:lang w:eastAsia="zh-CN"/>
              </w:rPr>
              <w:t>华林社区儿童友好空间壹宝天地乐园工程项目</w:t>
            </w:r>
          </w:p>
        </w:tc>
        <w:tc>
          <w:tcPr>
            <w:tcW w:w="3387" w:type="dxa"/>
            <w:vAlign w:val="center"/>
          </w:tcPr>
          <w:p>
            <w:pPr>
              <w:jc w:val="center"/>
              <w:rPr>
                <w:rFonts w:hint="eastAsia" w:eastAsia="宋体"/>
                <w:bCs/>
                <w:color w:val="FF0000"/>
                <w:szCs w:val="21"/>
                <w:highlight w:val="none"/>
                <w:lang w:eastAsia="zh-CN"/>
              </w:rPr>
            </w:pPr>
            <w:r>
              <w:rPr>
                <w:rFonts w:hint="eastAsia"/>
                <w:bCs/>
                <w:color w:val="FF0000"/>
                <w:szCs w:val="21"/>
                <w:highlight w:val="none"/>
                <w:lang w:eastAsia="zh-CN"/>
              </w:rPr>
              <w:t>448384.86</w:t>
            </w:r>
          </w:p>
        </w:tc>
      </w:tr>
    </w:tbl>
    <w:p>
      <w:pPr>
        <w:rPr>
          <w:rFonts w:ascii="宋体" w:hAnsi="宋体"/>
          <w:b/>
          <w:color w:val="FF0000"/>
          <w:szCs w:val="21"/>
          <w:highlight w:val="none"/>
        </w:rPr>
      </w:pPr>
    </w:p>
    <w:p>
      <w:pPr>
        <w:pStyle w:val="6"/>
        <w:spacing w:before="120" w:beforeLines="50" w:after="120" w:afterLines="50"/>
        <w:rPr>
          <w:szCs w:val="24"/>
          <w:highlight w:val="none"/>
        </w:rPr>
      </w:pPr>
      <w:r>
        <w:rPr>
          <w:rFonts w:hint="eastAsia"/>
          <w:szCs w:val="24"/>
          <w:highlight w:val="none"/>
        </w:rPr>
        <w:t>二、项目概况</w:t>
      </w:r>
    </w:p>
    <w:tbl>
      <w:tblPr>
        <w:tblStyle w:val="43"/>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50"/>
        <w:gridCol w:w="4377"/>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1650" w:type="dxa"/>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4377" w:type="dxa"/>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c>
          <w:tcPr>
            <w:tcW w:w="1679" w:type="dxa"/>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所属行业</w:t>
            </w:r>
          </w:p>
        </w:tc>
      </w:tr>
      <w:tr>
        <w:tblPrEx>
          <w:tblLayout w:type="fixed"/>
          <w:tblCellMar>
            <w:top w:w="0" w:type="dxa"/>
            <w:left w:w="108" w:type="dxa"/>
            <w:bottom w:w="0" w:type="dxa"/>
            <w:right w:w="108" w:type="dxa"/>
          </w:tblCellMar>
        </w:tblPrEx>
        <w:trPr>
          <w:trHeight w:val="665" w:hRule="atLeast"/>
          <w:jc w:val="center"/>
        </w:trPr>
        <w:tc>
          <w:tcPr>
            <w:tcW w:w="82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65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工程名称</w:t>
            </w:r>
          </w:p>
        </w:tc>
        <w:tc>
          <w:tcPr>
            <w:tcW w:w="4377" w:type="dxa"/>
          </w:tcPr>
          <w:p>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华林社区儿童友好空间壹宝天地乐园工程项目</w:t>
            </w:r>
          </w:p>
        </w:tc>
        <w:tc>
          <w:tcPr>
            <w:tcW w:w="1679" w:type="dxa"/>
          </w:tcPr>
          <w:p>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2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165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工程内容</w:t>
            </w:r>
          </w:p>
        </w:tc>
        <w:tc>
          <w:tcPr>
            <w:tcW w:w="4377" w:type="dxa"/>
          </w:tcPr>
          <w:p>
            <w:pPr>
              <w:jc w:val="left"/>
              <w:rPr>
                <w:rFonts w:hint="eastAsia" w:asciiTheme="minorEastAsia" w:hAnsiTheme="minorEastAsia" w:eastAsiaTheme="minorEastAsia" w:cstheme="minorEastAsia"/>
                <w:bCs/>
                <w:color w:val="auto"/>
                <w:sz w:val="21"/>
                <w:szCs w:val="21"/>
                <w:highlight w:val="none"/>
                <w:lang w:eastAsia="zh-CN"/>
              </w:rPr>
            </w:pPr>
            <w:r>
              <w:rPr>
                <w:rFonts w:hint="eastAsia" w:asciiTheme="minorEastAsia" w:hAnsiTheme="minorEastAsia" w:eastAsiaTheme="minorEastAsia" w:cstheme="minorEastAsia"/>
                <w:kern w:val="2"/>
                <w:sz w:val="21"/>
                <w:szCs w:val="21"/>
                <w:lang w:val="en-US" w:eastAsia="zh-CN" w:bidi="ar"/>
              </w:rPr>
              <w:t>为积极响应和落实“童乐福田计划”，构建儿童友好型社区，解决本小区儿童户外活动空间不足、设施单一的现状，华林社区拟将岁宝壹品北面现有绿地进行升级改造，规划建设一个集休息区、游乐区、健身区于一体的多功能儿童乐园。此举旨在将闲置或功能单一的公共空间转化为</w:t>
            </w:r>
            <w:r>
              <w:rPr>
                <w:rFonts w:hint="eastAsia" w:asciiTheme="minorEastAsia" w:hAnsiTheme="minorEastAsia" w:eastAsiaTheme="minorEastAsia" w:cstheme="minorEastAsia"/>
                <w:i w:val="0"/>
                <w:iCs w:val="0"/>
                <w:caps w:val="0"/>
                <w:color w:val="0F1115"/>
                <w:spacing w:val="0"/>
                <w:sz w:val="21"/>
                <w:szCs w:val="21"/>
                <w:shd w:val="clear" w:fill="FFFFFF"/>
              </w:rPr>
              <w:t>服务全龄段居民，特别是惠及儿童及家庭的社区活力中心。</w:t>
            </w:r>
            <w:r>
              <w:rPr>
                <w:rFonts w:hint="eastAsia" w:asciiTheme="minorEastAsia" w:hAnsiTheme="minorEastAsia" w:eastAsiaTheme="minorEastAsia" w:cstheme="minorEastAsia"/>
                <w:kern w:val="2"/>
                <w:sz w:val="21"/>
                <w:szCs w:val="21"/>
                <w:lang w:val="en-US" w:eastAsia="zh-CN" w:bidi="ar"/>
              </w:rPr>
              <w:t>本项目拟采用公开征集的采购方式确定施工单位，采购范围详见工程清单和施工图纸，质量要求按国家相关验收规范合格标准。</w:t>
            </w:r>
          </w:p>
        </w:tc>
        <w:tc>
          <w:tcPr>
            <w:tcW w:w="1679" w:type="dxa"/>
          </w:tcPr>
          <w:p>
            <w:pPr>
              <w:jc w:val="center"/>
              <w:rPr>
                <w:rFonts w:hint="eastAsia" w:asciiTheme="minorEastAsia" w:hAnsiTheme="minorEastAsia" w:eastAsiaTheme="minorEastAsia" w:cstheme="minorEastAsia"/>
                <w:bCs/>
                <w:color w:val="auto"/>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6" w:hRule="atLeast"/>
          <w:jc w:val="center"/>
        </w:trPr>
        <w:tc>
          <w:tcPr>
            <w:tcW w:w="82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1650" w:type="dxa"/>
            <w:vAlign w:val="center"/>
          </w:tcPr>
          <w:p>
            <w:pPr>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工程期限要求</w:t>
            </w:r>
          </w:p>
        </w:tc>
        <w:tc>
          <w:tcPr>
            <w:tcW w:w="4377" w:type="dxa"/>
          </w:tcPr>
          <w:p>
            <w:pPr>
              <w:jc w:val="center"/>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90日历</w:t>
            </w:r>
            <w:r>
              <w:rPr>
                <w:rFonts w:hint="eastAsia" w:asciiTheme="minorEastAsia" w:hAnsiTheme="minorEastAsia" w:eastAsiaTheme="minorEastAsia" w:cstheme="minorEastAsia"/>
                <w:sz w:val="21"/>
                <w:szCs w:val="21"/>
                <w:highlight w:val="none"/>
                <w:lang w:val="en-US" w:eastAsia="zh-CN"/>
              </w:rPr>
              <w:t>天</w:t>
            </w:r>
          </w:p>
        </w:tc>
        <w:tc>
          <w:tcPr>
            <w:tcW w:w="1679" w:type="dxa"/>
          </w:tcPr>
          <w:p>
            <w:pPr>
              <w:jc w:val="center"/>
              <w:rPr>
                <w:rFonts w:hint="eastAsia" w:asciiTheme="minorEastAsia" w:hAnsiTheme="minorEastAsia" w:eastAsiaTheme="minorEastAsia" w:cstheme="minorEastAsia"/>
                <w:bCs/>
                <w:sz w:val="21"/>
                <w:szCs w:val="21"/>
                <w:highlight w:val="none"/>
              </w:rPr>
            </w:pPr>
          </w:p>
        </w:tc>
      </w:tr>
    </w:tbl>
    <w:p>
      <w:pPr>
        <w:ind w:firstLine="480" w:firstLineChars="200"/>
        <w:rPr>
          <w:sz w:val="24"/>
          <w:highlight w:val="none"/>
        </w:rPr>
      </w:pPr>
    </w:p>
    <w:p>
      <w:pPr>
        <w:ind w:firstLine="480" w:firstLineChars="200"/>
        <w:rPr>
          <w:sz w:val="24"/>
          <w:highlight w:val="none"/>
        </w:rPr>
      </w:pPr>
    </w:p>
    <w:p>
      <w:pPr>
        <w:rPr>
          <w:rFonts w:ascii="宋体" w:hAnsi="宋体"/>
          <w:b/>
          <w:color w:val="FF0000"/>
          <w:szCs w:val="21"/>
          <w:highlight w:val="none"/>
        </w:rPr>
      </w:pPr>
    </w:p>
    <w:p>
      <w:pPr>
        <w:pStyle w:val="6"/>
        <w:spacing w:before="120" w:beforeLines="50" w:after="120" w:afterLines="50"/>
        <w:rPr>
          <w:szCs w:val="24"/>
          <w:highlight w:val="none"/>
        </w:rPr>
      </w:pPr>
      <w:r>
        <w:rPr>
          <w:rFonts w:hint="eastAsia"/>
          <w:szCs w:val="24"/>
          <w:highlight w:val="none"/>
        </w:rPr>
        <w:t>三、</w:t>
      </w:r>
      <w:bookmarkStart w:id="32" w:name="_Hlk72073432"/>
      <w:r>
        <w:rPr>
          <w:rFonts w:hint="eastAsia"/>
          <w:szCs w:val="24"/>
          <w:highlight w:val="none"/>
        </w:rPr>
        <w:t>服务需求明细</w:t>
      </w:r>
      <w:bookmarkEnd w:id="32"/>
    </w:p>
    <w:tbl>
      <w:tblPr>
        <w:tblStyle w:val="43"/>
        <w:tblpPr w:leftFromText="180" w:rightFromText="180" w:vertAnchor="text" w:horzAnchor="page" w:tblpX="1798" w:tblpY="173"/>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2668"/>
        <w:gridCol w:w="1581"/>
        <w:gridCol w:w="841"/>
        <w:gridCol w:w="1429"/>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575" w:type="dxa"/>
            <w:vAlign w:val="center"/>
          </w:tcPr>
          <w:p>
            <w:pPr>
              <w:jc w:val="center"/>
              <w:rPr>
                <w:bCs/>
                <w:szCs w:val="21"/>
                <w:highlight w:val="none"/>
              </w:rPr>
            </w:pPr>
            <w:r>
              <w:rPr>
                <w:rFonts w:hint="eastAsia"/>
                <w:bCs/>
                <w:szCs w:val="21"/>
                <w:highlight w:val="none"/>
              </w:rPr>
              <w:t>序号</w:t>
            </w:r>
          </w:p>
        </w:tc>
        <w:tc>
          <w:tcPr>
            <w:tcW w:w="2668" w:type="dxa"/>
            <w:vAlign w:val="center"/>
          </w:tcPr>
          <w:p>
            <w:pPr>
              <w:jc w:val="center"/>
              <w:rPr>
                <w:bCs/>
                <w:szCs w:val="21"/>
                <w:highlight w:val="none"/>
              </w:rPr>
            </w:pPr>
            <w:r>
              <w:rPr>
                <w:rFonts w:hint="eastAsia"/>
                <w:bCs/>
                <w:szCs w:val="21"/>
                <w:highlight w:val="none"/>
              </w:rPr>
              <w:t>服务需求名称（标的名称）</w:t>
            </w:r>
          </w:p>
        </w:tc>
        <w:tc>
          <w:tcPr>
            <w:tcW w:w="1581" w:type="dxa"/>
            <w:vAlign w:val="center"/>
          </w:tcPr>
          <w:p>
            <w:pPr>
              <w:jc w:val="center"/>
              <w:rPr>
                <w:bCs/>
                <w:szCs w:val="21"/>
                <w:highlight w:val="none"/>
              </w:rPr>
            </w:pPr>
            <w:r>
              <w:rPr>
                <w:rFonts w:hint="eastAsia"/>
                <w:bCs/>
                <w:szCs w:val="21"/>
                <w:highlight w:val="none"/>
              </w:rPr>
              <w:t>数量</w:t>
            </w:r>
          </w:p>
        </w:tc>
        <w:tc>
          <w:tcPr>
            <w:tcW w:w="841" w:type="dxa"/>
            <w:vAlign w:val="center"/>
          </w:tcPr>
          <w:p>
            <w:pPr>
              <w:jc w:val="center"/>
              <w:rPr>
                <w:bCs/>
                <w:szCs w:val="21"/>
                <w:highlight w:val="none"/>
              </w:rPr>
            </w:pPr>
            <w:r>
              <w:rPr>
                <w:rFonts w:hint="eastAsia"/>
                <w:bCs/>
                <w:szCs w:val="21"/>
                <w:highlight w:val="none"/>
              </w:rPr>
              <w:t>单位</w:t>
            </w:r>
          </w:p>
        </w:tc>
        <w:tc>
          <w:tcPr>
            <w:tcW w:w="1429" w:type="dxa"/>
            <w:vAlign w:val="center"/>
          </w:tcPr>
          <w:p>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1430" w:type="dxa"/>
            <w:vAlign w:val="center"/>
          </w:tcPr>
          <w:p>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trPr>
        <w:tc>
          <w:tcPr>
            <w:tcW w:w="575" w:type="dxa"/>
            <w:vAlign w:val="center"/>
          </w:tcPr>
          <w:p>
            <w:pPr>
              <w:jc w:val="center"/>
              <w:rPr>
                <w:bCs/>
                <w:szCs w:val="21"/>
                <w:highlight w:val="none"/>
              </w:rPr>
            </w:pPr>
            <w:r>
              <w:rPr>
                <w:rFonts w:hint="eastAsia"/>
                <w:bCs/>
                <w:szCs w:val="21"/>
                <w:highlight w:val="none"/>
              </w:rPr>
              <w:t>1</w:t>
            </w:r>
          </w:p>
        </w:tc>
        <w:tc>
          <w:tcPr>
            <w:tcW w:w="2668" w:type="dxa"/>
            <w:vAlign w:val="center"/>
          </w:tcPr>
          <w:p>
            <w:pPr>
              <w:jc w:val="center"/>
              <w:rPr>
                <w:rFonts w:hint="eastAsia" w:eastAsia="宋体"/>
                <w:bCs/>
                <w:szCs w:val="21"/>
                <w:highlight w:val="none"/>
                <w:lang w:eastAsia="zh-CN"/>
              </w:rPr>
            </w:pPr>
            <w:r>
              <w:rPr>
                <w:rFonts w:hint="eastAsia"/>
                <w:bCs/>
                <w:szCs w:val="21"/>
                <w:highlight w:val="none"/>
                <w:lang w:eastAsia="zh-CN"/>
              </w:rPr>
              <w:t>华林社区儿童友好空间壹宝天地乐园工程项目</w:t>
            </w:r>
          </w:p>
        </w:tc>
        <w:tc>
          <w:tcPr>
            <w:tcW w:w="1581" w:type="dxa"/>
            <w:vAlign w:val="center"/>
          </w:tcPr>
          <w:p>
            <w:pPr>
              <w:jc w:val="center"/>
              <w:rPr>
                <w:rFonts w:hint="eastAsia" w:eastAsia="宋体"/>
                <w:bCs/>
                <w:szCs w:val="21"/>
                <w:highlight w:val="none"/>
                <w:lang w:eastAsia="zh-CN"/>
              </w:rPr>
            </w:pPr>
            <w:r>
              <w:rPr>
                <w:rFonts w:hint="eastAsia"/>
                <w:highlight w:val="none"/>
                <w:lang w:val="en-US" w:eastAsia="zh-CN"/>
              </w:rPr>
              <w:t>1</w:t>
            </w:r>
          </w:p>
        </w:tc>
        <w:tc>
          <w:tcPr>
            <w:tcW w:w="841" w:type="dxa"/>
            <w:vAlign w:val="center"/>
          </w:tcPr>
          <w:p>
            <w:pPr>
              <w:jc w:val="center"/>
              <w:rPr>
                <w:rFonts w:hint="eastAsia" w:eastAsia="宋体"/>
                <w:bCs/>
                <w:szCs w:val="21"/>
                <w:highlight w:val="none"/>
                <w:lang w:val="en-US" w:eastAsia="zh-CN"/>
              </w:rPr>
            </w:pPr>
            <w:r>
              <w:rPr>
                <w:rFonts w:hint="eastAsia"/>
                <w:bCs/>
                <w:szCs w:val="21"/>
                <w:highlight w:val="none"/>
                <w:lang w:val="en-US" w:eastAsia="zh-CN"/>
              </w:rPr>
              <w:t>项</w:t>
            </w:r>
          </w:p>
        </w:tc>
        <w:tc>
          <w:tcPr>
            <w:tcW w:w="1429" w:type="dxa"/>
            <w:vAlign w:val="center"/>
          </w:tcPr>
          <w:p>
            <w:pPr>
              <w:jc w:val="center"/>
              <w:rPr>
                <w:rFonts w:hint="eastAsia" w:eastAsia="宋体"/>
                <w:bCs/>
                <w:szCs w:val="21"/>
                <w:highlight w:val="none"/>
                <w:lang w:val="en-US" w:eastAsia="zh-CN"/>
              </w:rPr>
            </w:pPr>
            <w:r>
              <w:rPr>
                <w:rFonts w:hint="eastAsia"/>
                <w:bCs/>
                <w:szCs w:val="21"/>
                <w:highlight w:val="none"/>
                <w:lang w:val="en-US" w:eastAsia="zh-CN"/>
              </w:rPr>
              <w:t>是</w:t>
            </w:r>
          </w:p>
        </w:tc>
        <w:tc>
          <w:tcPr>
            <w:tcW w:w="1430" w:type="dxa"/>
            <w:vAlign w:val="center"/>
          </w:tcPr>
          <w:p>
            <w:pPr>
              <w:jc w:val="center"/>
              <w:rPr>
                <w:bCs/>
                <w:szCs w:val="21"/>
                <w:highlight w:val="none"/>
              </w:rPr>
            </w:pPr>
            <w:r>
              <w:rPr>
                <w:rFonts w:hint="eastAsia" w:ascii="宋体" w:hAnsi="宋体"/>
                <w:bCs/>
                <w:color w:val="auto"/>
                <w:szCs w:val="21"/>
                <w:highlight w:val="none"/>
                <w:lang w:val="en-US" w:eastAsia="zh-CN"/>
              </w:rPr>
              <w:t>建筑业</w:t>
            </w:r>
          </w:p>
        </w:tc>
      </w:tr>
    </w:tbl>
    <w:p>
      <w:pPr>
        <w:pStyle w:val="6"/>
        <w:spacing w:before="120" w:beforeLines="50" w:after="120" w:afterLines="50"/>
        <w:jc w:val="both"/>
        <w:rPr>
          <w:rFonts w:hint="eastAsia"/>
          <w:szCs w:val="24"/>
          <w:highlight w:val="none"/>
        </w:rPr>
      </w:pPr>
    </w:p>
    <w:p>
      <w:pPr>
        <w:pStyle w:val="6"/>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pPr>
              <w:rPr>
                <w:rFonts w:hAnsi="宋体" w:eastAsiaTheme="minorEastAsia"/>
                <w:kern w:val="0"/>
                <w:szCs w:val="21"/>
                <w:highlight w:val="none"/>
              </w:rPr>
            </w:pPr>
            <w:r>
              <w:rPr>
                <w:rFonts w:hint="eastAsia" w:hAnsi="宋体" w:eastAsiaTheme="minorEastAsia"/>
                <w:color w:val="FF0000"/>
                <w:kern w:val="0"/>
                <w:szCs w:val="21"/>
                <w:highlight w:val="none"/>
              </w:rPr>
              <w:t>招标文件《商务要求★》的所有内容。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tcPr>
          <w:p>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7795" w:type="dxa"/>
          </w:tcPr>
          <w:p>
            <w:pPr>
              <w:rPr>
                <w:rFonts w:hint="default"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拟派的项目负责人需</w:t>
            </w:r>
            <w:r>
              <w:rPr>
                <w:rFonts w:hint="eastAsia" w:hAnsi="宋体" w:eastAsiaTheme="minorEastAsia"/>
                <w:color w:val="FF0000"/>
                <w:kern w:val="0"/>
                <w:szCs w:val="21"/>
                <w:highlight w:val="none"/>
              </w:rPr>
              <w:t>具备注册安全员证书（注册单位名称与投标人名称须一致</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4" w:type="dxa"/>
            <w:vAlign w:val="top"/>
          </w:tcPr>
          <w:p>
            <w:pPr>
              <w:adjustRightInd w:val="0"/>
              <w:snapToGrid w:val="0"/>
              <w:spacing w:line="36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7795" w:type="dxa"/>
            <w:vAlign w:val="center"/>
          </w:tcPr>
          <w:p>
            <w:pPr>
              <w:adjustRightInd w:val="0"/>
              <w:snapToGrid w:val="0"/>
              <w:spacing w:line="360" w:lineRule="auto"/>
              <w:jc w:val="both"/>
              <w:rPr>
                <w:rFonts w:hint="eastAsia"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团队成员需有一名以上具有</w:t>
            </w:r>
            <w:r>
              <w:rPr>
                <w:rFonts w:hint="eastAsia" w:hAnsi="宋体" w:eastAsiaTheme="minorEastAsia"/>
                <w:color w:val="FF0000"/>
                <w:kern w:val="0"/>
                <w:szCs w:val="21"/>
                <w:highlight w:val="none"/>
              </w:rPr>
              <w:t>二级或以上建筑工程注册建造师证书</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r>
    </w:tbl>
    <w:p>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bookmarkEnd w:id="31"/>
    </w:p>
    <w:p>
      <w:pPr>
        <w:rPr>
          <w:b/>
          <w:bCs/>
          <w:sz w:val="24"/>
          <w:highlight w:val="none"/>
        </w:rPr>
      </w:pPr>
    </w:p>
    <w:p>
      <w:pPr>
        <w:pStyle w:val="6"/>
        <w:spacing w:before="120" w:beforeLines="50" w:after="120" w:afterLines="50"/>
        <w:rPr>
          <w:b/>
          <w:sz w:val="24"/>
          <w:highlight w:val="none"/>
        </w:rPr>
      </w:pPr>
      <w:r>
        <w:rPr>
          <w:rFonts w:hint="eastAsia"/>
          <w:szCs w:val="24"/>
          <w:highlight w:val="none"/>
        </w:rPr>
        <w:t>五、</w:t>
      </w:r>
      <w:r>
        <w:rPr>
          <w:rFonts w:hint="eastAsia"/>
          <w:szCs w:val="24"/>
          <w:highlight w:val="none"/>
          <w:lang w:val="en-US" w:eastAsia="zh-CN"/>
        </w:rPr>
        <w:t>工程</w:t>
      </w:r>
      <w:r>
        <w:rPr>
          <w:rFonts w:hint="eastAsia"/>
          <w:szCs w:val="24"/>
          <w:highlight w:val="none"/>
        </w:rPr>
        <w:t>要求</w:t>
      </w:r>
    </w:p>
    <w:tbl>
      <w:tblPr>
        <w:tblStyle w:val="43"/>
        <w:tblW w:w="85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76"/>
        <w:gridCol w:w="6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jc w:val="center"/>
              <w:rPr>
                <w:rFonts w:ascii="宋体" w:hAnsi="宋体"/>
                <w:bCs/>
                <w:szCs w:val="21"/>
                <w:highlight w:val="none"/>
              </w:rPr>
            </w:pPr>
            <w:r>
              <w:rPr>
                <w:rFonts w:hint="eastAsia" w:ascii="宋体" w:hAnsi="宋体"/>
                <w:bCs/>
                <w:szCs w:val="21"/>
                <w:highlight w:val="none"/>
              </w:rPr>
              <w:t>序号</w:t>
            </w:r>
          </w:p>
        </w:tc>
        <w:tc>
          <w:tcPr>
            <w:tcW w:w="2076" w:type="dxa"/>
            <w:vAlign w:val="center"/>
          </w:tcPr>
          <w:p>
            <w:pPr>
              <w:spacing w:line="240" w:lineRule="auto"/>
              <w:jc w:val="center"/>
              <w:rPr>
                <w:rFonts w:ascii="宋体" w:hAnsi="宋体"/>
                <w:bCs/>
                <w:szCs w:val="21"/>
                <w:highlight w:val="none"/>
              </w:rPr>
            </w:pPr>
            <w:r>
              <w:rPr>
                <w:rFonts w:hint="eastAsia" w:ascii="宋体" w:hAnsi="宋体"/>
                <w:bCs/>
                <w:szCs w:val="21"/>
                <w:highlight w:val="none"/>
              </w:rPr>
              <w:t>名称</w:t>
            </w:r>
          </w:p>
        </w:tc>
        <w:tc>
          <w:tcPr>
            <w:tcW w:w="6025" w:type="dxa"/>
            <w:vAlign w:val="center"/>
          </w:tcPr>
          <w:p>
            <w:pPr>
              <w:spacing w:line="240" w:lineRule="auto"/>
              <w:jc w:val="center"/>
              <w:rPr>
                <w:rFonts w:ascii="宋体" w:hAnsi="宋体"/>
                <w:bCs/>
                <w:szCs w:val="21"/>
                <w:highlight w:val="none"/>
              </w:rPr>
            </w:pPr>
            <w:r>
              <w:rPr>
                <w:rFonts w:hint="eastAsia" w:ascii="宋体" w:hAnsi="宋体"/>
                <w:bCs/>
                <w:szCs w:val="21"/>
                <w:highlight w:val="none"/>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ascii="宋体" w:hAnsi="宋体"/>
                <w:bCs/>
                <w:szCs w:val="21"/>
                <w:highlight w:val="none"/>
              </w:rPr>
            </w:pPr>
            <w:r>
              <w:rPr>
                <w:rFonts w:hint="eastAsia" w:ascii="宋体" w:hAnsi="宋体"/>
                <w:bCs/>
                <w:szCs w:val="21"/>
                <w:highlight w:val="none"/>
              </w:rPr>
              <w:t>1</w:t>
            </w:r>
          </w:p>
        </w:tc>
        <w:tc>
          <w:tcPr>
            <w:tcW w:w="2076" w:type="dxa"/>
            <w:vAlign w:val="center"/>
          </w:tcPr>
          <w:p>
            <w:pPr>
              <w:spacing w:line="240" w:lineRule="auto"/>
              <w:jc w:val="center"/>
              <w:rPr>
                <w:rFonts w:ascii="宋体" w:hAnsi="宋体"/>
                <w:bCs/>
                <w:szCs w:val="21"/>
                <w:highlight w:val="none"/>
              </w:rPr>
            </w:pPr>
            <w:r>
              <w:rPr>
                <w:rFonts w:hint="eastAsia" w:ascii="宋体" w:hAnsi="宋体"/>
                <w:bCs/>
                <w:szCs w:val="21"/>
                <w:highlight w:val="none"/>
              </w:rPr>
              <w:t>项目范围</w:t>
            </w:r>
          </w:p>
        </w:tc>
        <w:tc>
          <w:tcPr>
            <w:tcW w:w="6025" w:type="dxa"/>
            <w:vAlign w:val="center"/>
          </w:tcPr>
          <w:p>
            <w:pPr>
              <w:spacing w:line="240" w:lineRule="auto"/>
              <w:rPr>
                <w:rFonts w:ascii="宋体" w:hAnsi="宋体"/>
                <w:bCs/>
                <w:szCs w:val="21"/>
                <w:highlight w:val="none"/>
              </w:rPr>
            </w:pPr>
            <w:r>
              <w:rPr>
                <w:rFonts w:hint="eastAsia" w:ascii="宋体" w:hAnsi="宋体"/>
                <w:bCs/>
                <w:color w:val="auto"/>
                <w:szCs w:val="21"/>
                <w:highlight w:val="none"/>
                <w:lang w:val="en-US" w:eastAsia="zh-CN"/>
              </w:rPr>
              <w:t>详见附件工程量清单和施工图纸。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ascii="宋体" w:hAnsi="宋体"/>
                <w:bCs/>
                <w:szCs w:val="21"/>
                <w:highlight w:val="none"/>
              </w:rPr>
            </w:pPr>
            <w:r>
              <w:rPr>
                <w:rFonts w:hint="eastAsia" w:ascii="宋体" w:hAnsi="宋体"/>
                <w:bCs/>
                <w:szCs w:val="21"/>
                <w:highlight w:val="none"/>
              </w:rPr>
              <w:t>2</w:t>
            </w:r>
          </w:p>
        </w:tc>
        <w:tc>
          <w:tcPr>
            <w:tcW w:w="2076" w:type="dxa"/>
            <w:vAlign w:val="center"/>
          </w:tcPr>
          <w:p>
            <w:pPr>
              <w:spacing w:line="240" w:lineRule="auto"/>
              <w:jc w:val="center"/>
              <w:rPr>
                <w:rFonts w:ascii="宋体" w:hAnsi="宋体"/>
                <w:bCs/>
                <w:szCs w:val="21"/>
                <w:highlight w:val="none"/>
              </w:rPr>
            </w:pPr>
            <w:r>
              <w:rPr>
                <w:rFonts w:hint="eastAsia" w:ascii="宋体" w:hAnsi="宋体"/>
                <w:bCs/>
                <w:szCs w:val="21"/>
                <w:highlight w:val="none"/>
              </w:rPr>
              <w:t>项目介绍</w:t>
            </w:r>
          </w:p>
        </w:tc>
        <w:tc>
          <w:tcPr>
            <w:tcW w:w="6025" w:type="dxa"/>
            <w:vAlign w:val="center"/>
          </w:tcPr>
          <w:p>
            <w:pPr>
              <w:spacing w:line="240" w:lineRule="auto"/>
              <w:jc w:val="left"/>
              <w:rPr>
                <w:rFonts w:ascii="宋体" w:hAnsi="宋体"/>
                <w:bCs/>
                <w:szCs w:val="21"/>
                <w:highlight w:val="none"/>
              </w:rPr>
            </w:pPr>
            <w:r>
              <w:rPr>
                <w:rFonts w:hint="eastAsia" w:ascii="宋体" w:hAnsi="宋体"/>
                <w:bCs/>
                <w:szCs w:val="21"/>
                <w:highlight w:val="none"/>
              </w:rPr>
              <w:t>（工程项目介绍指在施工程项目的基本情况，其主要内容包括：工程名称、规模、性质、用途、工程地点、施工条件、建筑面积、结构形式、图纸设计完成情况、承包合同等。）</w:t>
            </w:r>
          </w:p>
          <w:p>
            <w:pPr>
              <w:pStyle w:val="19"/>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工程名称：</w:t>
            </w:r>
            <w:r>
              <w:rPr>
                <w:rFonts w:hint="eastAsia" w:ascii="宋体" w:hAnsi="宋体" w:cs="Times New Roman"/>
                <w:b w:val="0"/>
                <w:bCs/>
                <w:kern w:val="2"/>
                <w:sz w:val="21"/>
                <w:szCs w:val="21"/>
                <w:highlight w:val="none"/>
                <w:lang w:val="en-US" w:eastAsia="zh-CN" w:bidi="ar-SA"/>
              </w:rPr>
              <w:t>华林社区儿童友好空间壹宝天地乐园工程项目</w:t>
            </w:r>
          </w:p>
          <w:p>
            <w:pPr>
              <w:pStyle w:val="19"/>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规模：详见施工图纸</w:t>
            </w:r>
          </w:p>
          <w:p>
            <w:pPr>
              <w:pStyle w:val="19"/>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性质：公共建筑</w:t>
            </w:r>
          </w:p>
          <w:p>
            <w:pPr>
              <w:pStyle w:val="19"/>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用途：市民休闲娱乐场所</w:t>
            </w:r>
          </w:p>
          <w:p>
            <w:pPr>
              <w:pStyle w:val="19"/>
              <w:spacing w:line="240" w:lineRule="auto"/>
              <w:rPr>
                <w:rFonts w:hint="eastAsia" w:ascii="宋体" w:hAnsi="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工程地点：</w:t>
            </w:r>
            <w:r>
              <w:rPr>
                <w:rFonts w:hint="eastAsia" w:ascii="宋体" w:hAnsi="宋体" w:cs="Times New Roman"/>
                <w:b w:val="0"/>
                <w:bCs/>
                <w:kern w:val="2"/>
                <w:sz w:val="21"/>
                <w:szCs w:val="21"/>
                <w:highlight w:val="none"/>
                <w:lang w:val="en-US" w:eastAsia="zh-CN" w:bidi="ar-SA"/>
              </w:rPr>
              <w:t>华林社区岁宝壹品小区北面绿地</w:t>
            </w:r>
          </w:p>
          <w:p>
            <w:pPr>
              <w:pStyle w:val="19"/>
              <w:spacing w:line="240" w:lineRule="auto"/>
              <w:rPr>
                <w:rFonts w:hint="eastAsia"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图纸设计完成情况：全套施工图已完成</w:t>
            </w:r>
          </w:p>
          <w:p>
            <w:pPr>
              <w:pStyle w:val="20"/>
              <w:spacing w:line="240" w:lineRule="auto"/>
              <w:rPr>
                <w:rFonts w:hint="default" w:ascii="宋体" w:hAnsi="宋体" w:eastAsia="宋体" w:cs="Times New Roman"/>
                <w:b w:val="0"/>
                <w:bCs/>
                <w:kern w:val="2"/>
                <w:sz w:val="21"/>
                <w:szCs w:val="21"/>
                <w:highlight w:val="none"/>
                <w:lang w:val="en-US" w:eastAsia="zh-CN" w:bidi="ar-SA"/>
              </w:rPr>
            </w:pPr>
            <w:r>
              <w:rPr>
                <w:rFonts w:hint="eastAsia" w:ascii="宋体" w:hAnsi="宋体" w:eastAsia="宋体" w:cs="Times New Roman"/>
                <w:b w:val="0"/>
                <w:bCs/>
                <w:kern w:val="2"/>
                <w:sz w:val="21"/>
                <w:szCs w:val="21"/>
                <w:highlight w:val="none"/>
                <w:lang w:val="en-US" w:eastAsia="zh-CN" w:bidi="ar-SA"/>
              </w:rPr>
              <w:t>建设单位：深圳市福田区园岭街道办事处</w:t>
            </w:r>
          </w:p>
          <w:p>
            <w:pPr>
              <w:pStyle w:val="20"/>
              <w:spacing w:line="240" w:lineRule="auto"/>
              <w:rPr>
                <w:rFonts w:hint="default"/>
                <w:highlight w:val="none"/>
                <w:lang w:val="en-US"/>
              </w:rPr>
            </w:pPr>
            <w:r>
              <w:rPr>
                <w:rFonts w:hint="eastAsia" w:ascii="宋体" w:hAnsi="宋体" w:eastAsia="宋体" w:cs="Times New Roman"/>
                <w:b w:val="0"/>
                <w:bCs/>
                <w:kern w:val="2"/>
                <w:sz w:val="21"/>
                <w:szCs w:val="21"/>
                <w:highlight w:val="none"/>
                <w:lang w:val="en-US" w:eastAsia="zh-CN" w:bidi="ar-SA"/>
              </w:rPr>
              <w:t>设计单位：广东兴凯嘉建工程设计有限公司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ascii="宋体" w:hAnsi="宋体"/>
                <w:bCs/>
                <w:szCs w:val="21"/>
                <w:highlight w:val="none"/>
              </w:rPr>
            </w:pPr>
            <w:r>
              <w:rPr>
                <w:rFonts w:hint="eastAsia" w:ascii="宋体" w:hAnsi="宋体"/>
                <w:bCs/>
                <w:szCs w:val="21"/>
                <w:highlight w:val="none"/>
              </w:rPr>
              <w:t>3</w:t>
            </w:r>
          </w:p>
        </w:tc>
        <w:tc>
          <w:tcPr>
            <w:tcW w:w="2076" w:type="dxa"/>
          </w:tcPr>
          <w:p>
            <w:pPr>
              <w:spacing w:line="240" w:lineRule="auto"/>
              <w:jc w:val="center"/>
              <w:rPr>
                <w:rFonts w:ascii="宋体" w:hAnsi="宋体"/>
                <w:bCs/>
                <w:szCs w:val="21"/>
                <w:highlight w:val="none"/>
              </w:rPr>
            </w:pPr>
            <w:r>
              <w:rPr>
                <w:rFonts w:hint="eastAsia"/>
                <w:highlight w:val="none"/>
              </w:rPr>
              <w:t>项目</w:t>
            </w:r>
            <w:r>
              <w:rPr>
                <w:rFonts w:hint="eastAsia" w:ascii="宋体" w:hAnsi="宋体"/>
                <w:bCs/>
                <w:szCs w:val="21"/>
                <w:highlight w:val="none"/>
              </w:rPr>
              <w:t>技术要求、</w:t>
            </w:r>
            <w:r>
              <w:rPr>
                <w:rFonts w:hint="eastAsia"/>
                <w:highlight w:val="none"/>
              </w:rPr>
              <w:t>理要求</w:t>
            </w:r>
          </w:p>
        </w:tc>
        <w:tc>
          <w:tcPr>
            <w:tcW w:w="6025" w:type="dxa"/>
            <w:vAlign w:val="center"/>
          </w:tcPr>
          <w:p>
            <w:pPr>
              <w:pStyle w:val="8"/>
              <w:spacing w:before="78" w:beforeLines="25" w:after="78" w:afterLines="25" w:line="240" w:lineRule="auto"/>
              <w:ind w:firstLine="0" w:firstLineChars="0"/>
              <w:rPr>
                <w:highlight w:val="none"/>
              </w:rPr>
            </w:pPr>
            <w:r>
              <w:rPr>
                <w:rFonts w:hint="eastAsia"/>
                <w:highlight w:val="none"/>
              </w:rPr>
              <w:t>1.中标单位必须作好施工记录、隐蔽工程记录、施工资料的整理、竣工资料的编制等工作。</w:t>
            </w:r>
          </w:p>
          <w:p>
            <w:pPr>
              <w:pStyle w:val="8"/>
              <w:spacing w:before="78" w:beforeLines="25" w:after="78" w:afterLines="25" w:line="240" w:lineRule="auto"/>
              <w:ind w:firstLine="0" w:firstLineChars="0"/>
              <w:rPr>
                <w:highlight w:val="none"/>
              </w:rPr>
            </w:pPr>
            <w:r>
              <w:rPr>
                <w:rFonts w:hint="eastAsia"/>
                <w:highlight w:val="none"/>
              </w:rPr>
              <w:t>2.中标单位必须在施工现场显眼位置设置正规施工警示牌、工程概况牌，标注“温馨提示”语言。靠近人行通道边（或建设方以为有必要的其他周边）必须用整齐美观的板材围护密封施工。</w:t>
            </w:r>
          </w:p>
          <w:p>
            <w:pPr>
              <w:pStyle w:val="8"/>
              <w:spacing w:before="78" w:beforeLines="25" w:after="78" w:afterLines="25" w:line="240" w:lineRule="auto"/>
              <w:ind w:firstLine="0" w:firstLineChars="0"/>
              <w:rPr>
                <w:highlight w:val="none"/>
              </w:rPr>
            </w:pPr>
            <w:r>
              <w:rPr>
                <w:rFonts w:hint="eastAsia"/>
                <w:highlight w:val="none"/>
              </w:rPr>
              <w:t>3.中标单位施工必须达到有关部门规定的安全文明施工标准，服从采购人的管理，避免干扰采购人的正常工作秩序，认真做好施工现场防护、防火、噪音、用电等安全文明施工各项管理工作，承担相应一切责任，确保施工场地区域道路通畅，保持施工现场整洁，做到工完场清，达到国家卫生城市标准。</w:t>
            </w:r>
          </w:p>
          <w:p>
            <w:pPr>
              <w:pStyle w:val="8"/>
              <w:spacing w:before="78" w:beforeLines="25" w:after="78" w:afterLines="25" w:line="240" w:lineRule="auto"/>
              <w:ind w:firstLine="0" w:firstLineChars="0"/>
              <w:rPr>
                <w:highlight w:val="none"/>
              </w:rPr>
            </w:pPr>
            <w:r>
              <w:rPr>
                <w:rFonts w:hint="eastAsia"/>
                <w:highlight w:val="none"/>
              </w:rPr>
              <w:t>4.中标单位必须在施工过程中注意自身及周边安全，做好现场及周边安全设施搭设，遵守有关安全保护规程，负责施工过程中的所有事故处理和费用。</w:t>
            </w:r>
          </w:p>
          <w:p>
            <w:pPr>
              <w:pStyle w:val="8"/>
              <w:spacing w:before="78" w:beforeLines="25" w:after="78" w:afterLines="25" w:line="240" w:lineRule="auto"/>
              <w:ind w:firstLine="0" w:firstLineChars="0"/>
              <w:rPr>
                <w:highlight w:val="none"/>
              </w:rPr>
            </w:pPr>
            <w:r>
              <w:rPr>
                <w:rFonts w:hint="eastAsia"/>
                <w:highlight w:val="none"/>
              </w:rPr>
              <w:t>5.单位必须服从采购单位，监理公司的监督、指导并积极主动配合上述管理机构的工作。</w:t>
            </w:r>
          </w:p>
          <w:p>
            <w:pPr>
              <w:pStyle w:val="8"/>
              <w:spacing w:before="78" w:beforeLines="25" w:after="78" w:afterLines="25" w:line="240" w:lineRule="auto"/>
              <w:ind w:firstLine="0" w:firstLineChars="0"/>
              <w:rPr>
                <w:highlight w:val="none"/>
              </w:rPr>
            </w:pPr>
            <w:r>
              <w:rPr>
                <w:rFonts w:hint="eastAsia"/>
                <w:highlight w:val="none"/>
              </w:rPr>
              <w:t>6.单位施工时须提供材料样板，经采购人最终确认后，方可进场使用，供应商所提供的样板或厂家应符合设计图纸要求及甲方确认要求，如供应商不能提供的可由采购人根据市场考察情况确认并实施。</w:t>
            </w:r>
          </w:p>
          <w:p>
            <w:pPr>
              <w:pStyle w:val="8"/>
              <w:spacing w:before="78" w:beforeLines="25" w:after="78" w:afterLines="25" w:line="240" w:lineRule="auto"/>
              <w:ind w:firstLine="0" w:firstLineChars="0"/>
              <w:rPr>
                <w:highlight w:val="none"/>
              </w:rPr>
            </w:pPr>
            <w:r>
              <w:rPr>
                <w:rFonts w:hint="eastAsia"/>
                <w:highlight w:val="none"/>
              </w:rPr>
              <w:t>7.本工程的任何材料在使用前必须得到采购人的批准，样品须在大批订货前送审。获准的样品存放在工地，作为以后验收材料的标准。样品和其包装，由中标人无偿提供。</w:t>
            </w:r>
          </w:p>
          <w:p>
            <w:pPr>
              <w:pStyle w:val="8"/>
              <w:spacing w:before="78" w:beforeLines="25" w:after="78" w:afterLines="25" w:line="240" w:lineRule="auto"/>
              <w:ind w:firstLine="0" w:firstLineChars="0"/>
              <w:rPr>
                <w:highlight w:val="none"/>
              </w:rPr>
            </w:pPr>
            <w:r>
              <w:rPr>
                <w:rFonts w:hint="eastAsia"/>
                <w:highlight w:val="none"/>
              </w:rPr>
              <w:t>8.人在工程施工前，须全面检查工地情况，若发现错误须立刻通知工程师。若未能遵从此规定，使本工程的任何项目因此等错误或缺陷而错误地建造，则中标人须自费予以拆除及重建。</w:t>
            </w:r>
          </w:p>
          <w:p>
            <w:pPr>
              <w:spacing w:line="240" w:lineRule="auto"/>
              <w:rPr>
                <w:rFonts w:ascii="宋体" w:hAnsi="宋体"/>
                <w:bCs/>
                <w:szCs w:val="21"/>
                <w:highlight w:val="none"/>
              </w:rPr>
            </w:pPr>
            <w:r>
              <w:rPr>
                <w:rFonts w:hint="eastAsia"/>
                <w:highlight w:val="none"/>
              </w:rPr>
              <w:t>9.项目经理负责制，并按投标文件配备项目管理班子。如未经采购人同意更换项目班子成员，采购人有权取消投标人的中标资格或单方面终止合同，由此造成的违约责任由承包人承担。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hint="eastAsia" w:ascii="宋体" w:hAnsi="宋体" w:eastAsia="宋体"/>
                <w:bCs/>
                <w:szCs w:val="21"/>
                <w:highlight w:val="none"/>
                <w:lang w:val="en-US" w:eastAsia="zh-CN"/>
              </w:rPr>
            </w:pPr>
            <w:r>
              <w:rPr>
                <w:rFonts w:hint="eastAsia" w:ascii="宋体" w:hAnsi="宋体"/>
                <w:bCs/>
                <w:szCs w:val="21"/>
                <w:highlight w:val="none"/>
                <w:lang w:val="en-US" w:eastAsia="zh-CN"/>
              </w:rPr>
              <w:t>4</w:t>
            </w:r>
          </w:p>
        </w:tc>
        <w:tc>
          <w:tcPr>
            <w:tcW w:w="2076" w:type="dxa"/>
          </w:tcPr>
          <w:p>
            <w:pPr>
              <w:spacing w:line="240" w:lineRule="auto"/>
              <w:jc w:val="center"/>
              <w:rPr>
                <w:rFonts w:hint="eastAsia" w:ascii="宋体" w:hAnsi="宋体"/>
                <w:bCs/>
                <w:szCs w:val="21"/>
                <w:highlight w:val="none"/>
              </w:rPr>
            </w:pPr>
            <w:r>
              <w:rPr>
                <w:rFonts w:hint="eastAsia" w:ascii="宋体" w:hAnsi="宋体" w:cs="宋体"/>
                <w:bCs/>
                <w:szCs w:val="21"/>
                <w:highlight w:val="none"/>
              </w:rPr>
              <w:t>人员要求</w:t>
            </w:r>
          </w:p>
        </w:tc>
        <w:tc>
          <w:tcPr>
            <w:tcW w:w="6025" w:type="dxa"/>
            <w:vAlign w:val="center"/>
          </w:tcPr>
          <w:p>
            <w:pPr>
              <w:numPr>
                <w:ilvl w:val="-1"/>
                <w:numId w:val="0"/>
              </w:numPr>
              <w:spacing w:line="240" w:lineRule="auto"/>
              <w:ind w:left="0" w:firstLine="0"/>
              <w:jc w:val="left"/>
              <w:rPr>
                <w:rFonts w:hint="eastAsia"/>
                <w:highlight w:val="none"/>
                <w:lang w:val="en-US" w:eastAsia="zh-CN"/>
              </w:rPr>
            </w:pPr>
            <w:r>
              <w:rPr>
                <w:rFonts w:hint="eastAsia"/>
                <w:highlight w:val="none"/>
                <w:lang w:val="en-US" w:eastAsia="zh-CN"/>
              </w:rPr>
              <w:t>人数：3人以上。其中至少包含项目负责人1名</w:t>
            </w:r>
          </w:p>
          <w:p>
            <w:pPr>
              <w:pStyle w:val="2"/>
              <w:spacing w:line="240" w:lineRule="auto"/>
              <w:rPr>
                <w:rFonts w:hint="eastAsia"/>
                <w:highlight w:val="none"/>
                <w:lang w:val="en-US" w:eastAsia="zh-CN"/>
              </w:rPr>
            </w:pPr>
            <w:r>
              <w:rPr>
                <w:rFonts w:hint="eastAsia"/>
                <w:highlight w:val="none"/>
                <w:lang w:val="en-US" w:eastAsia="zh-CN"/>
              </w:rPr>
              <w:t>人员素质：</w:t>
            </w:r>
          </w:p>
          <w:p>
            <w:pPr>
              <w:pStyle w:val="2"/>
              <w:spacing w:line="240" w:lineRule="auto"/>
              <w:rPr>
                <w:rFonts w:hint="eastAsia"/>
                <w:color w:val="FF0000"/>
                <w:highlight w:val="none"/>
                <w:lang w:val="en-US" w:eastAsia="zh-CN"/>
              </w:rPr>
            </w:pPr>
            <w:r>
              <w:rPr>
                <w:rFonts w:hint="eastAsia" w:ascii="宋体" w:hAnsi="宋体" w:cs="宋体"/>
                <w:color w:val="FF0000"/>
                <w:szCs w:val="21"/>
                <w:highlight w:val="none"/>
              </w:rPr>
              <w:t>★</w:t>
            </w:r>
            <w:r>
              <w:rPr>
                <w:rFonts w:hint="eastAsia"/>
                <w:color w:val="FF0000"/>
                <w:highlight w:val="none"/>
                <w:lang w:val="en-US" w:eastAsia="zh-CN"/>
              </w:rPr>
              <w:t>项目负责人须具备注册安全员证书（注册单位名称与投标人名称须一致）。</w:t>
            </w:r>
          </w:p>
          <w:p>
            <w:pPr>
              <w:pStyle w:val="2"/>
              <w:spacing w:line="240" w:lineRule="auto"/>
              <w:rPr>
                <w:rFonts w:hint="default"/>
                <w:color w:val="FF0000"/>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团队成员至少一名须具备</w:t>
            </w:r>
            <w:r>
              <w:rPr>
                <w:rFonts w:hint="eastAsia" w:hAnsi="宋体" w:eastAsiaTheme="minorEastAsia"/>
                <w:color w:val="FF0000"/>
                <w:kern w:val="0"/>
                <w:szCs w:val="21"/>
                <w:highlight w:val="none"/>
              </w:rPr>
              <w:t>二级或以上建筑工程注册建造师证书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hint="eastAsia" w:ascii="宋体" w:hAnsi="宋体" w:eastAsia="宋体"/>
                <w:bCs/>
                <w:szCs w:val="21"/>
                <w:highlight w:val="none"/>
                <w:lang w:eastAsia="zh-CN"/>
              </w:rPr>
            </w:pPr>
            <w:r>
              <w:rPr>
                <w:rFonts w:hint="eastAsia" w:ascii="宋体" w:hAnsi="宋体"/>
                <w:bCs/>
                <w:szCs w:val="21"/>
                <w:highlight w:val="none"/>
                <w:lang w:val="en-US" w:eastAsia="zh-CN"/>
              </w:rPr>
              <w:t>5</w:t>
            </w:r>
          </w:p>
        </w:tc>
        <w:tc>
          <w:tcPr>
            <w:tcW w:w="2076" w:type="dxa"/>
          </w:tcPr>
          <w:p>
            <w:pPr>
              <w:spacing w:line="240" w:lineRule="auto"/>
              <w:jc w:val="center"/>
              <w:rPr>
                <w:rFonts w:ascii="宋体" w:hAnsi="宋体"/>
                <w:bCs/>
                <w:szCs w:val="21"/>
                <w:highlight w:val="none"/>
              </w:rPr>
            </w:pPr>
            <w:r>
              <w:rPr>
                <w:rFonts w:hint="eastAsia" w:ascii="宋体" w:hAnsi="宋体"/>
                <w:bCs/>
                <w:szCs w:val="21"/>
                <w:highlight w:val="none"/>
              </w:rPr>
              <w:t>图纸</w:t>
            </w:r>
          </w:p>
        </w:tc>
        <w:tc>
          <w:tcPr>
            <w:tcW w:w="6025" w:type="dxa"/>
            <w:vAlign w:val="center"/>
          </w:tcPr>
          <w:p>
            <w:pPr>
              <w:spacing w:line="240" w:lineRule="auto"/>
              <w:rPr>
                <w:highlight w:val="none"/>
              </w:rPr>
            </w:pPr>
            <w:r>
              <w:rPr>
                <w:rFonts w:hint="eastAsia"/>
                <w:highlight w:val="none"/>
              </w:rPr>
              <w:t>1、施工图以 .dwg格式提供。</w:t>
            </w:r>
          </w:p>
          <w:p>
            <w:pPr>
              <w:spacing w:line="240" w:lineRule="auto"/>
              <w:rPr>
                <w:highlight w:val="none"/>
              </w:rPr>
            </w:pPr>
            <w:r>
              <w:rPr>
                <w:rFonts w:hint="eastAsia"/>
                <w:highlight w:val="none"/>
              </w:rPr>
              <w:t>2、其他图纸以 .jpg或 .bmp格式提供。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6" w:type="dxa"/>
            <w:vAlign w:val="center"/>
          </w:tcPr>
          <w:p>
            <w:pPr>
              <w:spacing w:line="240" w:lineRule="auto"/>
              <w:rPr>
                <w:rFonts w:hint="eastAsia" w:ascii="宋体" w:hAnsi="宋体" w:eastAsia="宋体"/>
                <w:bCs/>
                <w:szCs w:val="21"/>
                <w:highlight w:val="none"/>
                <w:lang w:eastAsia="zh-CN"/>
              </w:rPr>
            </w:pPr>
            <w:r>
              <w:rPr>
                <w:rFonts w:hint="eastAsia" w:ascii="宋体" w:hAnsi="宋体"/>
                <w:bCs/>
                <w:szCs w:val="21"/>
                <w:highlight w:val="none"/>
                <w:lang w:val="en-US" w:eastAsia="zh-CN"/>
              </w:rPr>
              <w:t>6</w:t>
            </w:r>
          </w:p>
        </w:tc>
        <w:tc>
          <w:tcPr>
            <w:tcW w:w="2076" w:type="dxa"/>
          </w:tcPr>
          <w:p>
            <w:pPr>
              <w:spacing w:line="240" w:lineRule="auto"/>
              <w:jc w:val="center"/>
              <w:rPr>
                <w:rFonts w:ascii="宋体" w:hAnsi="宋体"/>
                <w:bCs/>
                <w:szCs w:val="21"/>
                <w:highlight w:val="none"/>
              </w:rPr>
            </w:pPr>
            <w:r>
              <w:rPr>
                <w:rFonts w:hint="eastAsia" w:ascii="宋体" w:hAnsi="宋体"/>
                <w:bCs/>
                <w:szCs w:val="21"/>
                <w:highlight w:val="none"/>
              </w:rPr>
              <w:t>工程量清单要求</w:t>
            </w:r>
          </w:p>
        </w:tc>
        <w:tc>
          <w:tcPr>
            <w:tcW w:w="6025" w:type="dxa"/>
            <w:vAlign w:val="center"/>
          </w:tcPr>
          <w:p>
            <w:pPr>
              <w:spacing w:line="240" w:lineRule="auto"/>
              <w:rPr>
                <w:highlight w:val="none"/>
              </w:rPr>
            </w:pPr>
            <w:r>
              <w:rPr>
                <w:rFonts w:hint="eastAsia"/>
                <w:highlight w:val="none"/>
              </w:rPr>
              <w:t>1、工程量清单应以国标清单形式（xls格式）提供</w:t>
            </w:r>
            <w:r>
              <w:rPr>
                <w:rFonts w:hint="eastAsia"/>
                <w:b/>
                <w:color w:val="0000FF"/>
                <w:highlight w:val="none"/>
              </w:rPr>
              <w:t>（指引：工程量清单中不体现价格，不得包括已列入必须网上商城采购的物品，如：民用空调、电视机、电脑、打印机等）</w:t>
            </w:r>
            <w:r>
              <w:rPr>
                <w:rFonts w:hint="eastAsia"/>
                <w:highlight w:val="none"/>
              </w:rPr>
              <w:t>。</w:t>
            </w:r>
          </w:p>
          <w:p>
            <w:pPr>
              <w:spacing w:line="240" w:lineRule="auto"/>
              <w:rPr>
                <w:highlight w:val="none"/>
              </w:rPr>
            </w:pP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2、说明：</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1）工程计价办法：</w:t>
            </w:r>
            <w:r>
              <w:rPr>
                <w:rFonts w:hint="eastAsia" w:ascii="宋体" w:hAnsi="宋体"/>
                <w:b/>
                <w:bCs/>
                <w:snapToGrid w:val="0"/>
                <w:kern w:val="0"/>
                <w:szCs w:val="21"/>
                <w:highlight w:val="none"/>
                <w:u w:val="single"/>
                <w:lang w:val="zh-CN"/>
              </w:rPr>
              <w:t>综合单价法</w:t>
            </w:r>
            <w:r>
              <w:rPr>
                <w:rFonts w:hint="eastAsia" w:ascii="宋体" w:hAnsi="宋体"/>
                <w:bCs/>
                <w:snapToGrid w:val="0"/>
                <w:kern w:val="0"/>
                <w:szCs w:val="21"/>
                <w:highlight w:val="none"/>
                <w:lang w:val="zh-CN"/>
              </w:rPr>
              <w:t>。</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2）工程量清单应与投标须知、合同条件、工程建设标准及技术要求和图纸等文件结合起来理解或解释。</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3）本工程量清单是采购人委托相关单位根据本招标文件中所提供的设计文件编制的。</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4）按照《建设工程工程量清单计价规范》的规定，“工程量清单格式”主要包括以下几个部分，但不局限于以下部分：</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⑴.清单封面；</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⑵.总说明；</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包括：工程概况、工程招标范围、工程量清单编制依据、工程质量、材料、施工的特殊要求、预留金及暂定金额的情况等。</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 工程项目/单项工程汇总表；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指本次招标的工程项目所包含的单项工程及每个单项工程所包含的单位工程，只有一个单位工程时可不填此表。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⑷.分部分项工程量清单；</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 措施项目清单汇总表；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⑹. 措施项目清单（一）：指按分部分项工程量清单的方式采用综合单价计价的措施项目；</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⑺. 其他项目清单汇总表；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该表分为采购人部分和投标人部分，采购人部分可采购人另行招标采购材料设备费用等，由采购人填写；投标人部分可包括总承包服务费、零星工作项目费等，由投标人根据工程情况，投标报价时填写。</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(8)材料设备暂估价表；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(9)计日工表；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(10)总承包服务费表；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(11)发包人供应材料设备明细表：指招标人计划自行采购的材料设备的数量价格等情况。</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(12)规费、税金项目清单；</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(13)暂列金额明细表；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(14)工程建设其他费：指招标人要求投标人完成的工程建设其他费项目。</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(15)设备及工器具购置费：指招标工程中包含的不计算营业税的设备名称、规格、数量等情况。5）本工程要求采用的工程量计算规则，应作为本工程招投标双方进行工程招投标和结算计量、计价的共同依据。</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6）本工程要求采用的工程量计算规则是《13清单计价规范》及《13清单计价规范》补充规范（深圳2013）；</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7）对“分部分项工程量清单”的说明和报价要求</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该清单所列的工程量系采购人的估算，是临时的，作为投标报价的共同基础。不应被理解为是对采购人要求工作内容的全部定义，也不能作为投标人应完成的实际工程量。结算时，应以由承包人和采购人或由采购人授权委托的工程师共同计量、核实的实际完成的工程量为准。</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⑵.该清单中所填入的综合单价和合价应包括直接成本（即人工、材料、机械）和费用（管理费、利润）、风险金等全部费用。但涉及到采购人自行采购的设备材料的项目不得计入材料设备的价格。</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 该清单中不再重复或概括工程及材料的一般说明，在编制和填写工程量清单的每一项的综合单价和合价时应参考投标须知和合同条件的有关条款。</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⑷.该清单的各项目说明中含有“暂定材料设备单价”的，应明确说明此单价是否包括运输费、采保费等费用。投标时投标人不得修改。结算时，应按本招标文件的合同条件中约定的方法调整。</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⑸.针对该清单，投标人报价时应提供 “分部分项工程量清单综合单价分析表”。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8）对“措施项目清单”的说明和报价要求：</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⑴.该清单所列项目均以“一项”提出，是采购人根据一般情况估计的项目，投标人实际措施项目不同的，可以对具体列项内容进行调整。</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⑵. 该清单中以“项”为单位的措施项目，投标人填报的价格应包括除规费、税金外的全部费用。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措施项目中可以计算工程量的项目，投标人应根据招标人在“措施项目清单（一）”提供的工程量填报综合单价和合价。该清单所列的工程量系招标人的估算，是临时的，是投标人报价的共同基础。不被理解为是对招标人要求工作内容的全部定义，也不能作为投标人应完成的实际工程量。所填入的综合单价和合价应包括人工费、材料费、施工机械使用费和企业管理费与利润，以及一定范围内的风险费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⑶.针对该清单，要求投标人报价时提供“措施项目清单与计价表（二）”。</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⑷.该清单中列入了“安全文明施工措施费”，该费用包括临时设施费、安全施工费、文明施工费、环境保护费。编制招标控制价时，招标人将按《〈建设工程工程清单计价规范〉补充规范（深圳2013）》中安全文明施工措施费详细清单所列基本项目和现行《深圳市建设工程计价费率标准》中的费率确定“安全文明施工措施费”费用，计入招标控制价，并在公布招标控制价时明确该项费用的具体金额，作为非竞争性费用。不编制招标控制价时，招标人按现行《深圳市建设工程计价费率标准》中的费率确定“安全文明施工措施费”费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投标人应当按照本招标文件的规定，在《〈建设工程工程清单计价规范〉补充规范（深圳2013）》中“安全文明施工措施费详细清单”所列基本项目基础上，结合工程实际及施工组织设计或施工方案，补充所需的特定安全文明施工措施项目，编制“安全文明施工措施费详细清单”，列出项目编码、项目名称、项目特征、计量单位和工程量，填报综合单价，并将该表合价合计金额计入投标总价。</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⑸.计划施工总工期相比按《深圳市建设工程施工工期标准》计算所得标准工期压缩超过30%时，该清单中列入“夜间施工费和赶工措施费”，该费用为工期压缩导致施工投入增加的补偿。编制招标控制价时，招标人将按现行的《深圳市建设工程计价费率标准》中的费率确定“夜间施工费和赶工措施费”费用，计入招标控制价。</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投标人应当按照本招标文件的规定，结合自身实际及施工组织设计或施工方案，确定投标工期，自主填报夜间施工费和赶工措施费，并计入投标总价。</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9）对“其他项目清单”的说明和报价要求：</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(1)材料设备暂估价指招标人提供的用于支付必然发生但暂时不能确定价格的材料、设备的清单。投标时，投标人应将材料设备的暂估单价计入分部分项工程量清单综合单价报价中。结算时，按发、承包双方最终确认的价格调整价差，价差部分不计利润。</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(2)计日工指招标人提出的施工图纸以外的零星项目或工作。投标时，投标人应根据招标人提出的计日工表的要求自主确定综合单价，计算汇总后计入其他项目清单汇总表。</w:t>
            </w:r>
          </w:p>
          <w:p>
            <w:pPr>
              <w:spacing w:line="240" w:lineRule="auto"/>
              <w:rPr>
                <w:rFonts w:ascii="宋体" w:hAnsi="宋体"/>
                <w:bCs/>
                <w:snapToGrid w:val="0"/>
                <w:kern w:val="0"/>
                <w:szCs w:val="21"/>
                <w:highlight w:val="none"/>
                <w:lang w:val="zh-CN"/>
              </w:rPr>
            </w:pPr>
            <w:r>
              <w:rPr>
                <w:rFonts w:hint="eastAsia" w:ascii="宋体" w:hAnsi="宋体"/>
                <w:bCs/>
                <w:snapToGrid w:val="0"/>
                <w:kern w:val="0"/>
                <w:szCs w:val="21"/>
                <w:highlight w:val="none"/>
                <w:lang w:val="zh-CN"/>
              </w:rPr>
              <w:t>(3)总承包服务费包括分包管理费、总分包配合费、发包人供应材料设备保管费。投标时，投标人根据招标人提出的分包专业工程内容和供应材料、设备情况，按照招标人提出的协调、配合与服务内容和施工现场管理需要，自主确定总承包服务费各项目费率。其中分包管理费和总分包配合费以分包工程合同造价为计算基数；发包人供应材料设备保管费应根据“发包人供应材料设备明细表”中合计金额为计算基数。</w:t>
            </w:r>
          </w:p>
          <w:p>
            <w:pPr>
              <w:spacing w:line="240" w:lineRule="auto"/>
              <w:rPr>
                <w:rFonts w:ascii="宋体" w:hAnsi="宋体"/>
                <w:bCs/>
                <w:szCs w:val="21"/>
                <w:highlight w:val="none"/>
              </w:rPr>
            </w:pPr>
            <w:r>
              <w:rPr>
                <w:rFonts w:hint="eastAsia" w:ascii="宋体" w:hAnsi="宋体"/>
                <w:bCs/>
                <w:snapToGrid w:val="0"/>
                <w:kern w:val="0"/>
                <w:szCs w:val="21"/>
                <w:highlight w:val="none"/>
                <w:lang w:val="zh-CN"/>
              </w:rPr>
              <w:t>10）工程量清单作为本招标文件的组成部分，其准确性和完整性由招标人负责。如发现招标人提供的工程量清单的项目及工程量与图纸实际不符时，除招标文件另有要求外，投标人应在答疑期间提出，采购人应进行复核并在网上发出修正。如没有做出修正，投标人仍应按原提供的项目及工程量报价，并将项差与量差体现在报价中，并在备注中注明，但不得对工程量清单进行修改。</w:t>
            </w:r>
          </w:p>
        </w:tc>
      </w:tr>
    </w:tbl>
    <w:p>
      <w:pPr>
        <w:rPr>
          <w:b/>
          <w:sz w:val="24"/>
          <w:highlight w:val="none"/>
        </w:rPr>
      </w:pPr>
    </w:p>
    <w:p>
      <w:pPr>
        <w:pStyle w:val="6"/>
        <w:spacing w:before="120" w:beforeLines="50" w:after="120" w:afterLines="50"/>
        <w:rPr>
          <w:color w:val="FF0000"/>
          <w:szCs w:val="24"/>
          <w:highlight w:val="none"/>
        </w:rPr>
      </w:pPr>
      <w:r>
        <w:rPr>
          <w:rFonts w:hint="eastAsia"/>
          <w:szCs w:val="24"/>
          <w:highlight w:val="none"/>
        </w:rPr>
        <w:t>六、</w:t>
      </w:r>
      <w:r>
        <w:rPr>
          <w:rFonts w:hint="eastAsia"/>
          <w:color w:val="FF0000"/>
          <w:szCs w:val="24"/>
          <w:highlight w:val="none"/>
        </w:rPr>
        <w:t>商务要求</w:t>
      </w:r>
      <w:r>
        <w:rPr>
          <w:rFonts w:hint="eastAsia" w:ascii="宋体" w:hAnsi="宋体" w:cs="宋体"/>
          <w:color w:val="FF0000"/>
          <w:szCs w:val="21"/>
          <w:highlight w:val="none"/>
        </w:rPr>
        <w:t>★</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39"/>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647" w:type="dxa"/>
            <w:vAlign w:val="center"/>
          </w:tcPr>
          <w:p>
            <w:pPr>
              <w:widowControl/>
              <w:spacing w:line="240" w:lineRule="auto"/>
              <w:jc w:val="center"/>
              <w:rPr>
                <w:b/>
                <w:szCs w:val="21"/>
                <w:highlight w:val="none"/>
              </w:rPr>
            </w:pPr>
            <w:r>
              <w:rPr>
                <w:rFonts w:hint="eastAsia"/>
                <w:b/>
                <w:szCs w:val="21"/>
                <w:highlight w:val="none"/>
              </w:rPr>
              <w:t>序号</w:t>
            </w:r>
          </w:p>
        </w:tc>
        <w:tc>
          <w:tcPr>
            <w:tcW w:w="1339" w:type="dxa"/>
            <w:vAlign w:val="center"/>
          </w:tcPr>
          <w:p>
            <w:pPr>
              <w:widowControl/>
              <w:spacing w:line="240" w:lineRule="auto"/>
              <w:jc w:val="center"/>
              <w:rPr>
                <w:b/>
                <w:szCs w:val="21"/>
                <w:highlight w:val="none"/>
              </w:rPr>
            </w:pPr>
            <w:r>
              <w:rPr>
                <w:rFonts w:hint="eastAsia"/>
                <w:b/>
                <w:szCs w:val="21"/>
                <w:highlight w:val="none"/>
              </w:rPr>
              <w:t>目录</w:t>
            </w:r>
          </w:p>
        </w:tc>
        <w:tc>
          <w:tcPr>
            <w:tcW w:w="6543" w:type="dxa"/>
            <w:vAlign w:val="center"/>
          </w:tcPr>
          <w:p>
            <w:pPr>
              <w:widowControl/>
              <w:spacing w:line="240" w:lineRule="auto"/>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1</w:t>
            </w:r>
          </w:p>
        </w:tc>
        <w:tc>
          <w:tcPr>
            <w:tcW w:w="1339"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工程期要求</w:t>
            </w:r>
          </w:p>
        </w:tc>
        <w:tc>
          <w:tcPr>
            <w:tcW w:w="6543" w:type="dxa"/>
          </w:tcPr>
          <w:p>
            <w:pPr>
              <w:spacing w:line="240" w:lineRule="auto"/>
              <w:rPr>
                <w:rFonts w:ascii="宋体" w:hAnsi="宋体"/>
                <w:b/>
                <w:szCs w:val="21"/>
                <w:highlight w:val="none"/>
                <w:u w:val="single"/>
              </w:rPr>
            </w:pPr>
            <w:r>
              <w:rPr>
                <w:rFonts w:hint="eastAsia" w:ascii="宋体" w:hAnsi="宋体"/>
                <w:szCs w:val="21"/>
                <w:highlight w:val="none"/>
              </w:rPr>
              <w:t>系指合同签订之日起至工程结束的时间期限</w:t>
            </w:r>
            <w:r>
              <w:rPr>
                <w:rFonts w:hint="eastAsia" w:ascii="宋体" w:hAnsi="宋体"/>
                <w:bCs/>
                <w:szCs w:val="21"/>
                <w:highlight w:val="none"/>
              </w:rPr>
              <w:t>。具体是指合同签订后</w:t>
            </w:r>
            <w:r>
              <w:rPr>
                <w:rFonts w:hint="eastAsia" w:ascii="宋体" w:hAnsi="宋体"/>
                <w:bCs/>
                <w:szCs w:val="21"/>
                <w:highlight w:val="none"/>
                <w:u w:val="single"/>
              </w:rPr>
              <w:t xml:space="preserve">                </w:t>
            </w:r>
          </w:p>
          <w:p>
            <w:pPr>
              <w:spacing w:line="240" w:lineRule="auto"/>
              <w:rPr>
                <w:rFonts w:ascii="宋体" w:hAnsi="宋体"/>
                <w:b/>
                <w:szCs w:val="21"/>
                <w:highlight w:val="none"/>
                <w:u w:val="single"/>
              </w:rPr>
            </w:pPr>
            <w:r>
              <w:rPr>
                <w:rFonts w:hint="eastAsia" w:ascii="宋体" w:hAnsi="宋体"/>
                <w:szCs w:val="21"/>
                <w:highlight w:val="none"/>
                <w:u w:val="single"/>
              </w:rPr>
              <w:t xml:space="preserve">    </w:t>
            </w:r>
            <w:r>
              <w:rPr>
                <w:rFonts w:hint="eastAsia" w:ascii="宋体" w:hAnsi="宋体"/>
                <w:szCs w:val="21"/>
                <w:highlight w:val="none"/>
                <w:u w:val="single"/>
                <w:lang w:val="en-US" w:eastAsia="zh-CN"/>
              </w:rPr>
              <w:t>90</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日历</w:t>
            </w:r>
            <w:r>
              <w:rPr>
                <w:rFonts w:hint="eastAsia" w:ascii="宋体" w:hAnsi="宋体"/>
                <w:bCs/>
                <w:szCs w:val="21"/>
                <w:highlight w:val="none"/>
              </w:rPr>
              <w:t>日内，具体开工日期以甲方通知为准。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2</w:t>
            </w:r>
          </w:p>
        </w:tc>
        <w:tc>
          <w:tcPr>
            <w:tcW w:w="1339"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工程地点</w:t>
            </w:r>
          </w:p>
        </w:tc>
        <w:tc>
          <w:tcPr>
            <w:tcW w:w="6543" w:type="dxa"/>
          </w:tcPr>
          <w:p>
            <w:pPr>
              <w:spacing w:line="240" w:lineRule="auto"/>
              <w:outlineLvl w:val="0"/>
              <w:rPr>
                <w:rFonts w:ascii="宋体" w:hAnsi="宋体"/>
                <w:b/>
                <w:sz w:val="28"/>
                <w:szCs w:val="28"/>
                <w:highlight w:val="none"/>
              </w:rPr>
            </w:pPr>
            <w:r>
              <w:rPr>
                <w:rFonts w:hint="eastAsia" w:ascii="宋体" w:hAnsi="宋体" w:eastAsia="宋体" w:cs="Times New Roman"/>
                <w:b w:val="0"/>
                <w:bCs/>
                <w:kern w:val="2"/>
                <w:sz w:val="21"/>
                <w:szCs w:val="21"/>
                <w:highlight w:val="none"/>
                <w:lang w:val="en-US" w:eastAsia="zh-CN" w:bidi="ar-SA"/>
              </w:rPr>
              <w:t>详见施工图纸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3</w:t>
            </w:r>
          </w:p>
        </w:tc>
        <w:tc>
          <w:tcPr>
            <w:tcW w:w="1339"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付款方式</w:t>
            </w:r>
          </w:p>
        </w:tc>
        <w:tc>
          <w:tcPr>
            <w:tcW w:w="6543" w:type="dxa"/>
          </w:tcPr>
          <w:p>
            <w:pPr>
              <w:numPr>
                <w:ilvl w:val="0"/>
                <w:numId w:val="0"/>
              </w:numPr>
              <w:spacing w:line="240" w:lineRule="auto"/>
              <w:rPr>
                <w:rFonts w:hint="default" w:ascii="宋体" w:hAnsi="宋体" w:eastAsia="宋体" w:cs="Times New Roman"/>
                <w:kern w:val="2"/>
                <w:sz w:val="21"/>
                <w:szCs w:val="21"/>
                <w:highlight w:val="none"/>
                <w:lang w:val="en-US" w:eastAsia="zh-CN" w:bidi="ar-SA"/>
              </w:rPr>
            </w:pPr>
            <w:r>
              <w:rPr>
                <w:rFonts w:hint="default" w:ascii="宋体" w:hAnsi="宋体" w:eastAsia="宋体" w:cs="Times New Roman"/>
                <w:kern w:val="2"/>
                <w:sz w:val="21"/>
                <w:szCs w:val="21"/>
                <w:highlight w:val="none"/>
                <w:lang w:val="en-US" w:eastAsia="zh-CN" w:bidi="ar-SA"/>
              </w:rPr>
              <w:t>发包人签订合同后支付合同总价的30%，在工程验收且结算经社会中介机构审定后支付至结算价的97%,余留结算价3%作为质保金，在工程质保期届满且无遗留问题后进行结算支付（不计利息），承包人保修期内违约则在质保金退还时一次性扣除。因政府有关部门审批原因造成延迟付款的，不视为发包人违约，发包人不需承担违约责任。</w:t>
            </w:r>
          </w:p>
          <w:p>
            <w:pPr>
              <w:numPr>
                <w:ilvl w:val="0"/>
                <w:numId w:val="0"/>
              </w:numPr>
              <w:spacing w:line="240" w:lineRule="auto"/>
              <w:rPr>
                <w:rFonts w:ascii="宋体" w:hAnsi="宋体"/>
                <w:szCs w:val="21"/>
                <w:highlight w:val="none"/>
              </w:rPr>
            </w:pPr>
            <w:r>
              <w:rPr>
                <w:rFonts w:hint="default" w:ascii="宋体" w:hAnsi="宋体" w:eastAsia="宋体" w:cs="Times New Roman"/>
                <w:kern w:val="2"/>
                <w:sz w:val="21"/>
                <w:szCs w:val="21"/>
                <w:highlight w:val="none"/>
                <w:lang w:val="en-US" w:eastAsia="zh-CN" w:bidi="ar-SA"/>
              </w:rPr>
              <w:t>以上款项的支付均需以承包人先提供同等金额的合规发票后才能支付。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4</w:t>
            </w:r>
          </w:p>
        </w:tc>
        <w:tc>
          <w:tcPr>
            <w:tcW w:w="1339" w:type="dxa"/>
            <w:vAlign w:val="center"/>
          </w:tcPr>
          <w:p>
            <w:pPr>
              <w:spacing w:line="240" w:lineRule="auto"/>
              <w:jc w:val="center"/>
              <w:rPr>
                <w:rFonts w:ascii="宋体" w:hAnsi="宋体"/>
                <w:b/>
                <w:bCs/>
                <w:szCs w:val="21"/>
                <w:highlight w:val="none"/>
              </w:rPr>
            </w:pPr>
            <w:r>
              <w:rPr>
                <w:rFonts w:hint="eastAsia" w:ascii="宋体" w:hAnsi="宋体"/>
                <w:b/>
                <w:bCs/>
                <w:szCs w:val="21"/>
                <w:highlight w:val="none"/>
              </w:rPr>
              <w:t>工程验收</w:t>
            </w:r>
          </w:p>
          <w:p>
            <w:pPr>
              <w:spacing w:line="240" w:lineRule="auto"/>
              <w:jc w:val="center"/>
              <w:outlineLvl w:val="0"/>
              <w:rPr>
                <w:rFonts w:ascii="宋体" w:hAnsi="宋体"/>
                <w:b/>
                <w:bCs/>
                <w:szCs w:val="21"/>
                <w:highlight w:val="none"/>
              </w:rPr>
            </w:pPr>
          </w:p>
        </w:tc>
        <w:tc>
          <w:tcPr>
            <w:tcW w:w="6543" w:type="dxa"/>
          </w:tcPr>
          <w:p>
            <w:pPr>
              <w:spacing w:line="240" w:lineRule="auto"/>
              <w:rPr>
                <w:rFonts w:ascii="宋体" w:hAnsi="宋体"/>
                <w:b/>
                <w:szCs w:val="21"/>
                <w:highlight w:val="none"/>
              </w:rPr>
            </w:pPr>
            <w:r>
              <w:rPr>
                <w:rFonts w:hint="eastAsia" w:ascii="宋体" w:hAnsi="宋体"/>
                <w:bCs/>
                <w:szCs w:val="21"/>
                <w:highlight w:val="none"/>
              </w:rPr>
              <w:t>1）工程竣工后，须经监理人、承包人、设计人等相关单位依据规范进行验收，并签署竣工验收意见。</w:t>
            </w:r>
          </w:p>
          <w:p>
            <w:pPr>
              <w:spacing w:line="240" w:lineRule="auto"/>
              <w:rPr>
                <w:rFonts w:ascii="宋体" w:hAnsi="宋体"/>
                <w:bCs/>
                <w:szCs w:val="21"/>
                <w:highlight w:val="none"/>
              </w:rPr>
            </w:pPr>
            <w:r>
              <w:rPr>
                <w:rFonts w:hint="eastAsia" w:ascii="宋体" w:hAnsi="宋体"/>
                <w:bCs/>
                <w:szCs w:val="21"/>
                <w:highlight w:val="none"/>
              </w:rPr>
              <w:t>2）当满足以下条件时，采购人才向中标人签发验收报告：</w:t>
            </w:r>
          </w:p>
          <w:p>
            <w:pPr>
              <w:tabs>
                <w:tab w:val="left" w:pos="1260"/>
              </w:tabs>
              <w:spacing w:line="240" w:lineRule="auto"/>
              <w:rPr>
                <w:rFonts w:ascii="宋体" w:hAnsi="宋体"/>
                <w:bCs/>
                <w:szCs w:val="21"/>
                <w:highlight w:val="none"/>
              </w:rPr>
            </w:pPr>
            <w:r>
              <w:rPr>
                <w:rFonts w:hint="eastAsia" w:ascii="宋体" w:hAnsi="宋体"/>
                <w:bCs/>
                <w:szCs w:val="21"/>
                <w:highlight w:val="none"/>
              </w:rPr>
              <w:t>a、工程完工后应进行初验和竣工验收，竣工验收合格后。</w:t>
            </w:r>
          </w:p>
          <w:p>
            <w:pPr>
              <w:tabs>
                <w:tab w:val="left" w:pos="1260"/>
              </w:tabs>
              <w:spacing w:line="240" w:lineRule="auto"/>
              <w:rPr>
                <w:rFonts w:ascii="宋体" w:hAnsi="宋体"/>
                <w:szCs w:val="21"/>
                <w:highlight w:val="none"/>
              </w:rPr>
            </w:pPr>
            <w:r>
              <w:rPr>
                <w:rFonts w:hint="eastAsia" w:ascii="宋体" w:hAnsi="宋体"/>
                <w:bCs/>
                <w:szCs w:val="21"/>
                <w:highlight w:val="none"/>
              </w:rPr>
              <w:t>b、工程项目符合招标文件的工程要求，向采购人办理资料移交及相关手续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5</w:t>
            </w:r>
          </w:p>
        </w:tc>
        <w:tc>
          <w:tcPr>
            <w:tcW w:w="1339"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售后服务要求</w:t>
            </w:r>
          </w:p>
        </w:tc>
        <w:tc>
          <w:tcPr>
            <w:tcW w:w="6543" w:type="dxa"/>
          </w:tcPr>
          <w:p>
            <w:pPr>
              <w:spacing w:line="240" w:lineRule="auto"/>
              <w:rPr>
                <w:rFonts w:ascii="宋体" w:hAnsi="宋体"/>
                <w:szCs w:val="21"/>
                <w:highlight w:val="none"/>
              </w:rPr>
            </w:pPr>
            <w:r>
              <w:rPr>
                <w:rFonts w:hint="eastAsia" w:ascii="宋体" w:hAnsi="宋体"/>
                <w:bCs/>
                <w:szCs w:val="21"/>
                <w:highlight w:val="none"/>
              </w:rPr>
              <w:t>防水保修期为</w:t>
            </w:r>
            <w:r>
              <w:rPr>
                <w:rFonts w:hint="eastAsia" w:ascii="宋体" w:hAnsi="宋体"/>
                <w:bCs/>
                <w:szCs w:val="21"/>
                <w:highlight w:val="none"/>
                <w:u w:val="single"/>
              </w:rPr>
              <w:t xml:space="preserve"> 5</w:t>
            </w:r>
            <w:r>
              <w:rPr>
                <w:rFonts w:hint="eastAsia" w:ascii="宋体" w:hAnsi="宋体"/>
                <w:bCs/>
                <w:szCs w:val="21"/>
                <w:highlight w:val="none"/>
              </w:rPr>
              <w:t>年，其它保修期为</w:t>
            </w:r>
            <w:r>
              <w:rPr>
                <w:rFonts w:hint="eastAsia" w:ascii="宋体" w:hAnsi="宋体"/>
                <w:bCs/>
                <w:szCs w:val="21"/>
                <w:highlight w:val="none"/>
                <w:u w:val="single"/>
              </w:rPr>
              <w:t>2</w:t>
            </w:r>
            <w:r>
              <w:rPr>
                <w:rFonts w:hint="eastAsia" w:ascii="宋体" w:hAnsi="宋体"/>
                <w:bCs/>
                <w:szCs w:val="21"/>
                <w:highlight w:val="none"/>
              </w:rPr>
              <w:t>年，施工质里发生问题时，必须在接到通知后</w:t>
            </w:r>
            <w:r>
              <w:rPr>
                <w:rFonts w:hint="eastAsia" w:ascii="宋体" w:hAnsi="宋体"/>
                <w:bCs/>
                <w:szCs w:val="21"/>
                <w:highlight w:val="none"/>
                <w:u w:val="single"/>
              </w:rPr>
              <w:t xml:space="preserve"> 24 </w:t>
            </w:r>
            <w:r>
              <w:rPr>
                <w:rFonts w:hint="eastAsia" w:ascii="宋体" w:hAnsi="宋体"/>
                <w:bCs/>
                <w:szCs w:val="21"/>
                <w:highlight w:val="none"/>
              </w:rPr>
              <w:t>小时内到达现场，进行维护和抢修，因质量问题造成的事故应由施工单位承担所有责任。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trPr>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6</w:t>
            </w:r>
          </w:p>
        </w:tc>
        <w:tc>
          <w:tcPr>
            <w:tcW w:w="1339"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承包方式</w:t>
            </w:r>
          </w:p>
        </w:tc>
        <w:tc>
          <w:tcPr>
            <w:tcW w:w="6543" w:type="dxa"/>
            <w:vAlign w:val="center"/>
          </w:tcPr>
          <w:p>
            <w:pPr>
              <w:spacing w:line="240" w:lineRule="auto"/>
              <w:outlineLvl w:val="0"/>
              <w:rPr>
                <w:rFonts w:ascii="宋体" w:hAnsi="宋体"/>
                <w:b/>
                <w:sz w:val="28"/>
                <w:szCs w:val="28"/>
                <w:highlight w:val="none"/>
              </w:rPr>
            </w:pPr>
            <w:r>
              <w:rPr>
                <w:rFonts w:hint="eastAsia"/>
                <w:highlight w:val="none"/>
              </w:rPr>
              <w:t>是否包工包料</w:t>
            </w:r>
            <w:r>
              <w:rPr>
                <w:rFonts w:hint="eastAsia"/>
                <w:highlight w:val="none"/>
                <w:lang w:eastAsia="zh-CN"/>
              </w:rPr>
              <w:t>：</w:t>
            </w:r>
            <w:r>
              <w:rPr>
                <w:rFonts w:hint="eastAsia"/>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7</w:t>
            </w:r>
          </w:p>
        </w:tc>
        <w:tc>
          <w:tcPr>
            <w:tcW w:w="1339" w:type="dxa"/>
            <w:vAlign w:val="center"/>
          </w:tcPr>
          <w:p>
            <w:pPr>
              <w:spacing w:line="240" w:lineRule="auto"/>
              <w:jc w:val="center"/>
              <w:outlineLvl w:val="0"/>
              <w:rPr>
                <w:rFonts w:ascii="宋体" w:hAnsi="宋体"/>
                <w:b/>
                <w:kern w:val="0"/>
                <w:szCs w:val="21"/>
                <w:highlight w:val="none"/>
              </w:rPr>
            </w:pPr>
            <w:r>
              <w:rPr>
                <w:rFonts w:hint="eastAsia"/>
                <w:b/>
                <w:highlight w:val="none"/>
              </w:rPr>
              <w:t>合同方式</w:t>
            </w:r>
          </w:p>
        </w:tc>
        <w:tc>
          <w:tcPr>
            <w:tcW w:w="6543" w:type="dxa"/>
          </w:tcPr>
          <w:p>
            <w:pPr>
              <w:spacing w:before="78" w:beforeLines="25" w:after="78" w:afterLines="25" w:line="240" w:lineRule="auto"/>
              <w:rPr>
                <w:rFonts w:ascii="宋体" w:hAnsi="宋体"/>
                <w:b/>
                <w:sz w:val="28"/>
                <w:szCs w:val="28"/>
                <w:highlight w:val="none"/>
              </w:rPr>
            </w:pPr>
            <w:r>
              <w:rPr>
                <w:rFonts w:hint="eastAsia"/>
                <w:highlight w:val="none"/>
                <w:lang w:eastAsia="zh-CN"/>
              </w:rPr>
              <w:t>☑</w:t>
            </w:r>
            <w:r>
              <w:rPr>
                <w:rFonts w:hint="eastAsia"/>
                <w:highlight w:val="none"/>
              </w:rPr>
              <w:t>固定单价合同，工程结算时，项目单价不做调整，按实际完成的工程量结算；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8</w:t>
            </w:r>
          </w:p>
        </w:tc>
        <w:tc>
          <w:tcPr>
            <w:tcW w:w="1339" w:type="dxa"/>
            <w:vAlign w:val="center"/>
          </w:tcPr>
          <w:p>
            <w:pPr>
              <w:spacing w:line="240" w:lineRule="auto"/>
              <w:jc w:val="center"/>
              <w:outlineLvl w:val="0"/>
              <w:rPr>
                <w:rFonts w:ascii="宋体" w:hAnsi="宋体"/>
                <w:b/>
                <w:kern w:val="0"/>
                <w:szCs w:val="21"/>
                <w:highlight w:val="none"/>
              </w:rPr>
            </w:pPr>
            <w:r>
              <w:rPr>
                <w:rFonts w:hint="eastAsia"/>
                <w:b/>
                <w:highlight w:val="none"/>
              </w:rPr>
              <w:t>履约保证金</w:t>
            </w:r>
          </w:p>
        </w:tc>
        <w:tc>
          <w:tcPr>
            <w:tcW w:w="6543" w:type="dxa"/>
          </w:tcPr>
          <w:p>
            <w:pPr>
              <w:spacing w:line="240" w:lineRule="auto"/>
              <w:rPr>
                <w:highlight w:val="none"/>
              </w:rPr>
            </w:pP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7" w:type="dxa"/>
            <w:vAlign w:val="center"/>
          </w:tcPr>
          <w:p>
            <w:pPr>
              <w:spacing w:line="240" w:lineRule="auto"/>
              <w:jc w:val="center"/>
              <w:outlineLvl w:val="0"/>
              <w:rPr>
                <w:rFonts w:ascii="宋体" w:hAnsi="宋体"/>
                <w:b/>
                <w:bCs/>
                <w:szCs w:val="21"/>
                <w:highlight w:val="none"/>
              </w:rPr>
            </w:pPr>
            <w:r>
              <w:rPr>
                <w:rFonts w:hint="eastAsia" w:ascii="宋体" w:hAnsi="宋体"/>
                <w:b/>
                <w:bCs/>
                <w:szCs w:val="21"/>
                <w:highlight w:val="none"/>
              </w:rPr>
              <w:t>9</w:t>
            </w:r>
          </w:p>
        </w:tc>
        <w:tc>
          <w:tcPr>
            <w:tcW w:w="1339" w:type="dxa"/>
            <w:vAlign w:val="center"/>
          </w:tcPr>
          <w:p>
            <w:pPr>
              <w:spacing w:line="240" w:lineRule="auto"/>
              <w:jc w:val="center"/>
              <w:outlineLvl w:val="0"/>
              <w:rPr>
                <w:rFonts w:ascii="宋体" w:hAnsi="宋体"/>
                <w:kern w:val="0"/>
                <w:szCs w:val="21"/>
                <w:highlight w:val="none"/>
              </w:rPr>
            </w:pPr>
            <w:r>
              <w:rPr>
                <w:rFonts w:hint="eastAsia"/>
                <w:b/>
                <w:highlight w:val="none"/>
                <w:lang w:val="en-US" w:eastAsia="zh-CN"/>
              </w:rPr>
              <w:t>报价要求</w:t>
            </w:r>
          </w:p>
        </w:tc>
        <w:tc>
          <w:tcPr>
            <w:tcW w:w="6543" w:type="dxa"/>
          </w:tcPr>
          <w:p>
            <w:pPr>
              <w:spacing w:line="240" w:lineRule="auto"/>
              <w:rPr>
                <w:rFonts w:ascii="宋体" w:hAnsi="宋体"/>
                <w:szCs w:val="21"/>
                <w:highlight w:val="none"/>
              </w:rPr>
            </w:pPr>
            <w:r>
              <w:rPr>
                <w:rFonts w:hint="eastAsia" w:ascii="宋体" w:hAnsi="宋体"/>
                <w:szCs w:val="21"/>
                <w:highlight w:val="none"/>
              </w:rPr>
              <w:t>1.</w:t>
            </w:r>
            <w:r>
              <w:rPr>
                <w:rFonts w:hint="eastAsia" w:ascii="宋体" w:hAnsi="宋体"/>
                <w:b/>
                <w:szCs w:val="21"/>
                <w:highlight w:val="none"/>
                <w:u w:val="single"/>
              </w:rPr>
              <w:t>本工程的工程量清单的投标单价按综合单价方式进行报价</w:t>
            </w:r>
            <w:r>
              <w:rPr>
                <w:rFonts w:hint="eastAsia" w:ascii="宋体" w:hAnsi="宋体"/>
                <w:szCs w:val="21"/>
                <w:highlight w:val="none"/>
              </w:rPr>
              <w:t>；</w:t>
            </w:r>
          </w:p>
          <w:p>
            <w:pPr>
              <w:spacing w:line="240" w:lineRule="auto"/>
              <w:rPr>
                <w:rFonts w:ascii="宋体" w:hAnsi="宋体"/>
                <w:szCs w:val="21"/>
                <w:highlight w:val="none"/>
              </w:rPr>
            </w:pPr>
            <w:r>
              <w:rPr>
                <w:rFonts w:hint="eastAsia" w:ascii="宋体" w:hAnsi="宋体"/>
                <w:szCs w:val="21"/>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240" w:lineRule="auto"/>
              <w:rPr>
                <w:rFonts w:ascii="宋体" w:hAnsi="宋体"/>
                <w:szCs w:val="21"/>
                <w:highlight w:val="none"/>
              </w:rPr>
            </w:pPr>
            <w:r>
              <w:rPr>
                <w:rFonts w:hint="eastAsia" w:ascii="宋体" w:hAnsi="宋体"/>
                <w:szCs w:val="21"/>
                <w:highlight w:val="none"/>
              </w:rPr>
              <w:t>3.投标人的投标报价，应是本项目招标范围和招标文件及合同条款上所列的各项内容中所述的全部，不得以任何理由予以重复，并以投标人在工程量清单中提出的综合单价或总价为依据；</w:t>
            </w:r>
          </w:p>
          <w:p>
            <w:pPr>
              <w:spacing w:line="240" w:lineRule="auto"/>
              <w:rPr>
                <w:rFonts w:ascii="宋体" w:hAnsi="宋体"/>
                <w:szCs w:val="21"/>
                <w:highlight w:val="none"/>
              </w:rPr>
            </w:pPr>
            <w:r>
              <w:rPr>
                <w:rFonts w:hint="eastAsia" w:ascii="宋体" w:hAnsi="宋体"/>
                <w:szCs w:val="21"/>
                <w:highlight w:val="none"/>
              </w:rPr>
              <w:t>4.除非政府集中采购机构通过修改招标文件予以更正，否则，投标人应毫无例外地按工程量清单中列出的工程项目和数量填报综合单价和合价。投标人未填综合单价或合价的项目，在实施后，将不得以支付，并视作该项费用已包括在其它有价款的综合单价或合价内；</w:t>
            </w:r>
          </w:p>
          <w:p>
            <w:pPr>
              <w:spacing w:line="240" w:lineRule="auto"/>
              <w:rPr>
                <w:rFonts w:ascii="宋体" w:hAnsi="宋体"/>
                <w:szCs w:val="21"/>
                <w:highlight w:val="none"/>
              </w:rPr>
            </w:pPr>
            <w:r>
              <w:rPr>
                <w:rFonts w:hint="eastAsia" w:ascii="宋体" w:hAnsi="宋体"/>
                <w:szCs w:val="21"/>
                <w:highlight w:val="none"/>
              </w:rPr>
              <w:t>5.投标人应先到工地踏勘以充分了解工地的位置、情况、道路、储存空间、装卸限制及任何其它足以影响投标报价的情况，任何因忽视或误解工地情况而导致的索赔或工期延长申请将不获批准；</w:t>
            </w:r>
          </w:p>
          <w:p>
            <w:pPr>
              <w:spacing w:line="240" w:lineRule="auto"/>
              <w:rPr>
                <w:rFonts w:ascii="宋体" w:hAnsi="宋体"/>
                <w:szCs w:val="21"/>
                <w:highlight w:val="none"/>
              </w:rPr>
            </w:pPr>
            <w:r>
              <w:rPr>
                <w:rFonts w:hint="eastAsia" w:ascii="宋体" w:hAnsi="宋体"/>
                <w:szCs w:val="21"/>
                <w:highlight w:val="none"/>
              </w:rPr>
              <w:t>6.投标人不得期望通过索赔、签证等方式获取补偿，否则，除可能遭到拒绝外，还可能将被作为不良行为记录在案，并可能影响其以后参加政府采购的项目投标。各投标人在投标报价时，应充分考虑投标报价的风险。</w:t>
            </w:r>
          </w:p>
          <w:p>
            <w:pPr>
              <w:spacing w:line="240" w:lineRule="auto"/>
              <w:rPr>
                <w:rFonts w:ascii="宋体" w:hAnsi="宋体"/>
                <w:szCs w:val="21"/>
                <w:highlight w:val="none"/>
              </w:rPr>
            </w:pPr>
            <w:r>
              <w:rPr>
                <w:rFonts w:hint="eastAsia" w:ascii="宋体" w:hAnsi="宋体"/>
                <w:szCs w:val="21"/>
                <w:highlight w:val="none"/>
              </w:rPr>
              <w:t>7.投标人投标报价总额一经中标后，即作为中标单位与采购单位签订该项目合同的总价。</w:t>
            </w:r>
          </w:p>
          <w:p>
            <w:pPr>
              <w:spacing w:line="240" w:lineRule="auto"/>
              <w:ind w:firstLine="411" w:firstLineChars="196"/>
              <w:rPr>
                <w:rFonts w:ascii="宋体" w:hAnsi="宋体"/>
                <w:szCs w:val="21"/>
                <w:highlight w:val="none"/>
              </w:rPr>
            </w:pPr>
            <w:r>
              <w:rPr>
                <w:rFonts w:hint="eastAsia" w:ascii="宋体" w:hAnsi="宋体"/>
                <w:szCs w:val="21"/>
                <w:highlight w:val="none"/>
              </w:rPr>
              <w:t>（1）如本项目采用固定总价合同。投标人所投报的投标报价为图纸内容与工程量清单的总包干价格，对没有填写综合单价与合价的项目费用，应视为已包括在工程量清单的其他综合单价与合价之中。如有工程量清单未包含图纸内容的漏项，视同已包含在其他项目中，总价与单价不予调整。</w:t>
            </w:r>
          </w:p>
          <w:p>
            <w:pPr>
              <w:spacing w:line="240" w:lineRule="auto"/>
              <w:ind w:firstLine="411" w:firstLineChars="196"/>
              <w:rPr>
                <w:rFonts w:ascii="宋体" w:hAnsi="宋体"/>
                <w:szCs w:val="21"/>
                <w:highlight w:val="none"/>
              </w:rPr>
            </w:pPr>
            <w:r>
              <w:rPr>
                <w:rFonts w:hint="eastAsia" w:ascii="宋体" w:hAnsi="宋体"/>
                <w:szCs w:val="21"/>
                <w:highlight w:val="none"/>
              </w:rPr>
              <w:t>（2）如本项目采用固定单价合同。工程量清单所列的工程量系采购单位的估算，是临时的，作为投标报价的共同基础，不应被理解为是对采购单位要求工作内容的全部定义，也不能作为投标人应完成的实际工程量。承包人必须按图纸及有关标准、规范的要求进行施工，实际完成的工程量与分部分项工程量清单中的差异结算时可作调整。凡超出图纸范围又未经变更审批程序的内容，都不予计量；未施工的项目，经监理工程师核实后予以扣减。</w:t>
            </w:r>
          </w:p>
          <w:p>
            <w:pPr>
              <w:spacing w:line="240" w:lineRule="auto"/>
              <w:ind w:firstLine="411" w:firstLineChars="196"/>
              <w:rPr>
                <w:rFonts w:ascii="宋体" w:hAnsi="宋体"/>
                <w:szCs w:val="21"/>
                <w:highlight w:val="none"/>
              </w:rPr>
            </w:pPr>
            <w:r>
              <w:rPr>
                <w:rFonts w:hint="eastAsia" w:ascii="宋体" w:hAnsi="宋体"/>
                <w:szCs w:val="21"/>
                <w:highlight w:val="none"/>
              </w:rPr>
              <w:t>（3）投标人的投标报价必须充分考虑到在施工中实施的施工组织设计对工程造价的影响,并在投标报价中反映出来。</w:t>
            </w:r>
          </w:p>
          <w:p>
            <w:pPr>
              <w:spacing w:line="240" w:lineRule="auto"/>
              <w:rPr>
                <w:rFonts w:ascii="宋体" w:hAnsi="宋体"/>
                <w:szCs w:val="21"/>
                <w:highlight w:val="none"/>
              </w:rPr>
            </w:pPr>
            <w:r>
              <w:rPr>
                <w:rFonts w:hint="eastAsia" w:ascii="宋体" w:hAnsi="宋体"/>
                <w:szCs w:val="21"/>
                <w:highlight w:val="none"/>
              </w:rPr>
              <w:t>8.本项目不接受总价优惠折扣形式的报价，投标人应将对项目的优惠直接在清单报价中体现出来。</w:t>
            </w:r>
          </w:p>
          <w:p>
            <w:pPr>
              <w:spacing w:line="240" w:lineRule="auto"/>
              <w:rPr>
                <w:rFonts w:ascii="宋体" w:hAnsi="宋体"/>
                <w:szCs w:val="21"/>
                <w:highlight w:val="none"/>
              </w:rPr>
            </w:pPr>
            <w:r>
              <w:rPr>
                <w:rFonts w:hint="eastAsia" w:ascii="宋体" w:hAnsi="宋体"/>
                <w:szCs w:val="21"/>
                <w:highlight w:val="none"/>
              </w:rPr>
              <w:t>9.采购单位委托承包人办理的保险事项：建设工程一切险和第三者责任险，所需的保险费应包含在投标价中，施工中若发生安全事故，一切责任及费用由施工单位负责。</w:t>
            </w:r>
          </w:p>
          <w:p>
            <w:pPr>
              <w:spacing w:line="240" w:lineRule="auto"/>
              <w:rPr>
                <w:rFonts w:ascii="宋体" w:hAnsi="宋体"/>
                <w:szCs w:val="21"/>
                <w:highlight w:val="none"/>
              </w:rPr>
            </w:pPr>
            <w:r>
              <w:rPr>
                <w:rFonts w:hint="eastAsia" w:ascii="宋体" w:hAnsi="宋体"/>
                <w:szCs w:val="21"/>
                <w:highlight w:val="none"/>
              </w:rPr>
              <w:t>10.工程完工后，承包人应恢复修建前的原有状态（工程量按实计算），并使监理工程师和采购单位满意，满足政府管理部门的规定和要求。</w:t>
            </w:r>
          </w:p>
          <w:p>
            <w:pPr>
              <w:spacing w:line="240" w:lineRule="auto"/>
              <w:rPr>
                <w:rFonts w:ascii="宋体" w:hAnsi="宋体"/>
                <w:szCs w:val="21"/>
                <w:highlight w:val="none"/>
              </w:rPr>
            </w:pPr>
            <w:r>
              <w:rPr>
                <w:rFonts w:hint="eastAsia" w:ascii="宋体" w:hAnsi="宋体"/>
                <w:szCs w:val="21"/>
                <w:highlight w:val="none"/>
              </w:rPr>
              <w:t>11.如本工程涉及取土和弃土项目，地点、时间、路线承包人应取得国土、城管部门的同意，不得由此带给采购人任何费用的增加。凡是因承包人措施不当而引起的罚款、索赔和指控等由承包人自行承担。投标价不因取土或弃土实际运距与分部分项工程量清单不同而作调整。土方回填料必须满足国家技术规范之要求，绿化填土面层必须选用适宜种植的填土。</w:t>
            </w:r>
          </w:p>
          <w:p>
            <w:pPr>
              <w:spacing w:line="240" w:lineRule="auto"/>
              <w:rPr>
                <w:rFonts w:ascii="宋体" w:hAnsi="宋体"/>
                <w:szCs w:val="21"/>
                <w:highlight w:val="none"/>
              </w:rPr>
            </w:pPr>
            <w:r>
              <w:rPr>
                <w:rFonts w:hint="eastAsia" w:ascii="宋体" w:hAnsi="宋体"/>
                <w:szCs w:val="21"/>
                <w:highlight w:val="none"/>
              </w:rPr>
              <w:t>12.一切与施工相关的检验实验费（政府有关部门规定由建设单位支付的检验实验费除外）已含在投标价中。</w:t>
            </w:r>
          </w:p>
          <w:p>
            <w:pPr>
              <w:spacing w:line="240" w:lineRule="auto"/>
              <w:jc w:val="left"/>
              <w:rPr>
                <w:rFonts w:hint="default" w:ascii="宋体" w:hAnsi="宋体" w:eastAsia="宋体"/>
                <w:b/>
                <w:sz w:val="28"/>
                <w:szCs w:val="28"/>
                <w:highlight w:val="none"/>
                <w:lang w:val="en-US" w:eastAsia="zh-CN"/>
              </w:rPr>
            </w:pPr>
            <w:r>
              <w:rPr>
                <w:rFonts w:hint="eastAsia" w:ascii="宋体" w:hAnsi="宋体"/>
                <w:szCs w:val="21"/>
                <w:highlight w:val="none"/>
              </w:rPr>
              <w:t>13.承包人的交通维护方案必须保证施工期间的交通组织符合深圳市公安交通管理的有关规定，保证小区车辆运行通畅和施工安全，其费用已含在投标价中。</w:t>
            </w:r>
          </w:p>
        </w:tc>
      </w:tr>
    </w:tbl>
    <w:p>
      <w:pPr>
        <w:ind w:firstLine="420" w:firstLineChars="200"/>
        <w:rPr>
          <w:rFonts w:asciiTheme="minorEastAsia" w:hAnsiTheme="minorEastAsia" w:eastAsiaTheme="minorEastAsia"/>
          <w:highlight w:val="none"/>
        </w:rPr>
      </w:pPr>
    </w:p>
    <w:p>
      <w:pPr>
        <w:rPr>
          <w:highlight w:val="none"/>
        </w:rPr>
      </w:pPr>
    </w:p>
    <w:p>
      <w:pPr>
        <w:pStyle w:val="6"/>
        <w:spacing w:before="120" w:beforeLines="50" w:after="120" w:afterLines="50"/>
        <w:rPr>
          <w:szCs w:val="24"/>
          <w:highlight w:val="none"/>
        </w:rPr>
      </w:pPr>
      <w:r>
        <w:rPr>
          <w:rFonts w:hint="eastAsia"/>
          <w:szCs w:val="24"/>
          <w:highlight w:val="none"/>
        </w:rPr>
        <w:t>七、其他重要条款</w:t>
      </w:r>
    </w:p>
    <w:p>
      <w:pPr>
        <w:spacing w:line="240" w:lineRule="auto"/>
        <w:ind w:firstLine="420" w:firstLineChars="200"/>
        <w:rPr>
          <w:rFonts w:hint="eastAsia"/>
          <w:bCs/>
          <w:szCs w:val="21"/>
          <w:highlight w:val="none"/>
        </w:rPr>
      </w:pPr>
      <w:r>
        <w:rPr>
          <w:rFonts w:hint="eastAsia"/>
          <w:bCs/>
          <w:szCs w:val="21"/>
          <w:highlight w:val="none"/>
        </w:rPr>
        <w:t>1</w:t>
      </w:r>
      <w:r>
        <w:rPr>
          <w:rFonts w:hint="eastAsia"/>
          <w:bCs/>
          <w:szCs w:val="21"/>
          <w:highlight w:val="none"/>
          <w:lang w:val="en-US" w:eastAsia="zh-CN"/>
        </w:rPr>
        <w:t>.</w:t>
      </w:r>
      <w:r>
        <w:rPr>
          <w:rFonts w:hint="eastAsia"/>
          <w:bCs/>
          <w:szCs w:val="21"/>
          <w:highlight w:val="none"/>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pStyle w:val="19"/>
        <w:spacing w:line="240" w:lineRule="auto"/>
        <w:ind w:firstLine="420" w:firstLineChars="200"/>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cs="Times New Roman"/>
          <w:b w:val="0"/>
          <w:bCs/>
          <w:kern w:val="2"/>
          <w:sz w:val="21"/>
          <w:szCs w:val="21"/>
          <w:highlight w:val="none"/>
          <w:lang w:val="en-US" w:eastAsia="zh-CN" w:bidi="ar-SA"/>
        </w:rPr>
        <w:t>2.</w:t>
      </w:r>
      <w:r>
        <w:rPr>
          <w:rFonts w:hint="eastAsia" w:ascii="Times New Roman" w:hAnsi="Times New Roman" w:eastAsia="宋体" w:cs="Times New Roman"/>
          <w:b w:val="0"/>
          <w:bCs/>
          <w:kern w:val="2"/>
          <w:sz w:val="21"/>
          <w:szCs w:val="21"/>
          <w:highlight w:val="none"/>
          <w:lang w:val="en-US" w:eastAsia="zh-CN" w:bidi="ar-SA"/>
        </w:rPr>
        <w:t>本项目投标按总价报价，工程费用采用包干制，包括但不限于项目工程成本、法定税费和企业利润等一切费用。</w:t>
      </w:r>
    </w:p>
    <w:p>
      <w:pPr>
        <w:pStyle w:val="19"/>
        <w:spacing w:line="240" w:lineRule="auto"/>
        <w:ind w:firstLine="420" w:firstLineChars="200"/>
        <w:rPr>
          <w:rFonts w:hint="default" w:ascii="Times New Roman" w:hAnsi="Times New Roman" w:eastAsia="宋体" w:cs="Times New Roman"/>
          <w:b w:val="0"/>
          <w:bCs/>
          <w:color w:val="FF0000"/>
          <w:kern w:val="2"/>
          <w:sz w:val="21"/>
          <w:szCs w:val="21"/>
          <w:highlight w:val="none"/>
          <w:lang w:val="en-US" w:eastAsia="zh-CN" w:bidi="ar-SA"/>
        </w:rPr>
      </w:pPr>
      <w:r>
        <w:rPr>
          <w:rFonts w:hint="eastAsia" w:ascii="Times New Roman" w:hAnsi="Times New Roman" w:cs="Times New Roman"/>
          <w:b w:val="0"/>
          <w:bCs/>
          <w:color w:val="FF0000"/>
          <w:kern w:val="2"/>
          <w:sz w:val="21"/>
          <w:szCs w:val="21"/>
          <w:highlight w:val="none"/>
          <w:lang w:val="en-US" w:eastAsia="zh-CN" w:bidi="ar-SA"/>
        </w:rPr>
        <w:t>3.</w:t>
      </w:r>
      <w:r>
        <w:rPr>
          <w:rFonts w:hint="eastAsia" w:ascii="Times New Roman" w:hAnsi="Times New Roman" w:eastAsia="宋体" w:cs="Times New Roman"/>
          <w:b w:val="0"/>
          <w:bCs/>
          <w:color w:val="FF0000"/>
          <w:kern w:val="2"/>
          <w:sz w:val="21"/>
          <w:szCs w:val="21"/>
          <w:highlight w:val="none"/>
          <w:lang w:val="en-US" w:eastAsia="zh-CN" w:bidi="ar-SA"/>
        </w:rPr>
        <w:t xml:space="preserve">本项目预算金额为 </w:t>
      </w:r>
      <w:r>
        <w:rPr>
          <w:rFonts w:hint="eastAsia" w:cs="Times New Roman"/>
          <w:b w:val="0"/>
          <w:bCs/>
          <w:color w:val="FF0000"/>
          <w:kern w:val="2"/>
          <w:sz w:val="21"/>
          <w:szCs w:val="21"/>
          <w:highlight w:val="none"/>
          <w:lang w:val="en-US" w:eastAsia="zh-CN" w:bidi="ar-SA"/>
        </w:rPr>
        <w:t>448384.86</w:t>
      </w:r>
      <w:r>
        <w:rPr>
          <w:rFonts w:hint="eastAsia" w:ascii="Times New Roman" w:hAnsi="Times New Roman" w:eastAsia="宋体" w:cs="Times New Roman"/>
          <w:b w:val="0"/>
          <w:bCs/>
          <w:color w:val="FF0000"/>
          <w:kern w:val="2"/>
          <w:sz w:val="21"/>
          <w:szCs w:val="21"/>
          <w:highlight w:val="none"/>
          <w:lang w:val="en-US" w:eastAsia="zh-CN" w:bidi="ar-SA"/>
        </w:rPr>
        <w:t xml:space="preserve"> 元，其中安全文明施工措施费</w:t>
      </w:r>
      <w:r>
        <w:rPr>
          <w:rFonts w:hint="eastAsia" w:cs="Times New Roman"/>
          <w:b w:val="0"/>
          <w:bCs/>
          <w:color w:val="FF0000"/>
          <w:kern w:val="2"/>
          <w:sz w:val="21"/>
          <w:szCs w:val="21"/>
          <w:highlight w:val="none"/>
          <w:lang w:val="en-US" w:eastAsia="zh-CN" w:bidi="ar-SA"/>
        </w:rPr>
        <w:t>9809.99</w:t>
      </w:r>
      <w:r>
        <w:rPr>
          <w:rFonts w:hint="eastAsia" w:ascii="Times New Roman" w:hAnsi="Times New Roman" w:eastAsia="宋体" w:cs="Times New Roman"/>
          <w:b w:val="0"/>
          <w:bCs/>
          <w:color w:val="FF0000"/>
          <w:kern w:val="2"/>
          <w:sz w:val="21"/>
          <w:szCs w:val="21"/>
          <w:highlight w:val="none"/>
          <w:lang w:val="en-US" w:eastAsia="zh-CN" w:bidi="ar-SA"/>
        </w:rPr>
        <w:t>元</w:t>
      </w:r>
      <w:r>
        <w:rPr>
          <w:rFonts w:hint="eastAsia" w:ascii="Times New Roman" w:hAnsi="Times New Roman" w:cs="Times New Roman"/>
          <w:b w:val="0"/>
          <w:bCs/>
          <w:color w:val="FF0000"/>
          <w:kern w:val="2"/>
          <w:sz w:val="21"/>
          <w:szCs w:val="21"/>
          <w:highlight w:val="none"/>
          <w:lang w:val="en-US" w:eastAsia="zh-CN" w:bidi="ar-SA"/>
        </w:rPr>
        <w:t>（不下浮）</w:t>
      </w:r>
    </w:p>
    <w:p>
      <w:pPr>
        <w:pStyle w:val="8"/>
        <w:spacing w:before="60" w:beforeLines="25" w:after="60" w:afterLines="25" w:line="240" w:lineRule="auto"/>
        <w:ind w:firstLine="392" w:firstLineChars="187"/>
        <w:rPr>
          <w:rFonts w:ascii="宋体" w:hAnsi="宋体"/>
          <w:szCs w:val="21"/>
          <w:highlight w:val="none"/>
        </w:rPr>
      </w:pPr>
      <w:r>
        <w:rPr>
          <w:rFonts w:hint="eastAsia"/>
          <w:bCs/>
          <w:szCs w:val="21"/>
          <w:highlight w:val="none"/>
          <w:lang w:val="en-US" w:eastAsia="zh-CN"/>
        </w:rPr>
        <w:t>4.</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pPr>
        <w:spacing w:line="240" w:lineRule="auto"/>
        <w:ind w:firstLine="420" w:firstLineChars="200"/>
        <w:rPr>
          <w:bCs/>
          <w:szCs w:val="21"/>
          <w:highlight w:val="none"/>
        </w:rPr>
      </w:pPr>
      <w:r>
        <w:rPr>
          <w:rFonts w:hint="eastAsia"/>
          <w:bCs/>
          <w:szCs w:val="21"/>
          <w:highlight w:val="none"/>
          <w:lang w:val="en-US" w:eastAsia="zh-CN"/>
        </w:rPr>
        <w:t>5.</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spacing w:line="240" w:lineRule="auto"/>
        <w:ind w:firstLine="420" w:firstLineChars="200"/>
        <w:rPr>
          <w:bCs/>
          <w:szCs w:val="21"/>
          <w:highlight w:val="none"/>
        </w:rPr>
      </w:pPr>
      <w:r>
        <w:rPr>
          <w:rFonts w:hint="eastAsia"/>
          <w:bCs/>
          <w:szCs w:val="21"/>
          <w:highlight w:val="none"/>
          <w:lang w:val="en-US" w:eastAsia="zh-CN"/>
        </w:rPr>
        <w:t>6.</w:t>
      </w:r>
      <w:r>
        <w:rPr>
          <w:rFonts w:hint="eastAsia"/>
          <w:bCs/>
          <w:szCs w:val="21"/>
          <w:highlight w:val="none"/>
        </w:rPr>
        <w:t>除政府采购合同继续履行将损害国家利益和社会公共利益外，双方当事人不得擅自变更、中止或者终止合同。</w:t>
      </w:r>
    </w:p>
    <w:p>
      <w:pPr>
        <w:spacing w:line="240" w:lineRule="auto"/>
        <w:ind w:firstLine="420" w:firstLineChars="200"/>
        <w:rPr>
          <w:rFonts w:hint="eastAsia" w:eastAsia="宋体"/>
          <w:bCs/>
          <w:szCs w:val="21"/>
          <w:highlight w:val="none"/>
          <w:lang w:val="en-US" w:eastAsia="zh-CN"/>
        </w:rPr>
      </w:pPr>
      <w:r>
        <w:rPr>
          <w:rFonts w:hint="eastAsia"/>
          <w:bCs/>
          <w:szCs w:val="21"/>
          <w:highlight w:val="none"/>
          <w:lang w:val="en-US" w:eastAsia="zh-CN"/>
        </w:rPr>
        <w:t>7.</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pPr>
        <w:pStyle w:val="8"/>
        <w:spacing w:before="60" w:beforeLines="25" w:after="60" w:afterLines="25"/>
        <w:ind w:firstLine="392" w:firstLineChars="187"/>
        <w:rPr>
          <w:rFonts w:ascii="宋体" w:hAnsi="宋体"/>
          <w:szCs w:val="21"/>
          <w:highlight w:val="none"/>
        </w:rPr>
      </w:pPr>
    </w:p>
    <w:p>
      <w:pPr>
        <w:rPr>
          <w:highlight w:val="none"/>
        </w:rPr>
      </w:pPr>
      <w:r>
        <w:rPr>
          <w:rFonts w:hint="eastAsia"/>
          <w:highlight w:val="none"/>
        </w:rPr>
        <w:br w:type="page"/>
      </w:r>
    </w:p>
    <w:p>
      <w:pPr>
        <w:pStyle w:val="6"/>
        <w:rPr>
          <w:kern w:val="2"/>
          <w:highlight w:val="none"/>
        </w:rPr>
      </w:pPr>
      <w:r>
        <w:rPr>
          <w:rFonts w:hint="eastAsia"/>
          <w:kern w:val="2"/>
          <w:highlight w:val="none"/>
        </w:rPr>
        <w:t>第四章 投标文件组成要求及格式</w:t>
      </w:r>
    </w:p>
    <w:p>
      <w:pPr>
        <w:rPr>
          <w:rStyle w:val="56"/>
          <w:sz w:val="24"/>
          <w:highlight w:val="none"/>
        </w:rPr>
      </w:pPr>
      <w:r>
        <w:rPr>
          <w:rStyle w:val="56"/>
          <w:rFonts w:hint="eastAsia"/>
          <w:sz w:val="24"/>
          <w:highlight w:val="none"/>
        </w:rPr>
        <w:t>特别提醒：</w:t>
      </w:r>
    </w:p>
    <w:p>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pPr>
        <w:widowControl/>
        <w:jc w:val="left"/>
        <w:rPr>
          <w:rFonts w:ascii="宋体" w:hAnsi="宋体" w:cs="宋体"/>
          <w:kern w:val="0"/>
          <w:sz w:val="24"/>
          <w:highlight w:val="none"/>
        </w:rPr>
      </w:pPr>
    </w:p>
    <w:p>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pPr>
        <w:ind w:firstLine="480" w:firstLineChars="200"/>
        <w:rPr>
          <w:rFonts w:ascii="仿宋_GB2312" w:eastAsia="仿宋_GB2312"/>
          <w:sz w:val="24"/>
          <w:highlight w:val="none"/>
        </w:rPr>
      </w:pPr>
    </w:p>
    <w:p>
      <w:pPr>
        <w:ind w:firstLine="482" w:firstLineChars="200"/>
        <w:rPr>
          <w:rFonts w:ascii="宋体" w:hAnsi="宋体"/>
          <w:b/>
          <w:sz w:val="24"/>
          <w:highlight w:val="none"/>
        </w:rPr>
      </w:pPr>
    </w:p>
    <w:p>
      <w:pPr>
        <w:rPr>
          <w:rFonts w:ascii="宋体" w:hAnsi="宋体"/>
          <w:sz w:val="24"/>
          <w:highlight w:val="none"/>
        </w:rPr>
      </w:pPr>
      <w:r>
        <w:rPr>
          <w:rFonts w:hint="eastAsia" w:ascii="宋体" w:hAnsi="宋体"/>
          <w:sz w:val="24"/>
          <w:highlight w:val="none"/>
        </w:rPr>
        <w:t>投标文件组成：</w:t>
      </w:r>
    </w:p>
    <w:p>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pPr>
        <w:ind w:left="718" w:leftChars="342" w:firstLine="1417" w:firstLineChars="675"/>
        <w:rPr>
          <w:szCs w:val="21"/>
          <w:highlight w:val="none"/>
        </w:rPr>
      </w:pPr>
      <w:r>
        <w:rPr>
          <w:rFonts w:hint="eastAsia"/>
          <w:szCs w:val="21"/>
          <w:highlight w:val="none"/>
        </w:rPr>
        <w:t>（1）</w:t>
      </w:r>
      <w:bookmarkStart w:id="33" w:name="_Hlk72070784"/>
      <w:r>
        <w:rPr>
          <w:rFonts w:hint="eastAsia"/>
          <w:szCs w:val="21"/>
          <w:highlight w:val="none"/>
        </w:rPr>
        <w:t>投标函</w:t>
      </w:r>
      <w:bookmarkEnd w:id="33"/>
    </w:p>
    <w:p>
      <w:pPr>
        <w:ind w:left="718" w:leftChars="342" w:firstLine="1417" w:firstLineChars="675"/>
        <w:rPr>
          <w:szCs w:val="21"/>
          <w:highlight w:val="none"/>
        </w:rPr>
      </w:pPr>
      <w:r>
        <w:rPr>
          <w:rFonts w:hint="eastAsia"/>
          <w:szCs w:val="21"/>
          <w:highlight w:val="none"/>
        </w:rPr>
        <w:t>（2）</w:t>
      </w:r>
      <w:bookmarkStart w:id="34" w:name="_Hlk72062521"/>
      <w:r>
        <w:rPr>
          <w:rFonts w:hint="eastAsia"/>
          <w:szCs w:val="21"/>
          <w:highlight w:val="none"/>
        </w:rPr>
        <w:t>政府采购投标及履约承诺函</w:t>
      </w:r>
      <w:bookmarkEnd w:id="34"/>
    </w:p>
    <w:p>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pPr>
        <w:ind w:left="718" w:leftChars="342" w:firstLine="1417" w:firstLineChars="675"/>
        <w:rPr>
          <w:rFonts w:ascii="宋体" w:hAnsi="宋体"/>
          <w:szCs w:val="21"/>
          <w:highlight w:val="none"/>
        </w:rPr>
      </w:pPr>
      <w:bookmarkStart w:id="35" w:name="_Hlk72257201"/>
      <w:r>
        <w:rPr>
          <w:rFonts w:hint="eastAsia"/>
          <w:szCs w:val="21"/>
          <w:highlight w:val="none"/>
        </w:rPr>
        <w:t>（</w:t>
      </w:r>
      <w:r>
        <w:rPr>
          <w:szCs w:val="21"/>
          <w:highlight w:val="none"/>
        </w:rPr>
        <w:t>4</w:t>
      </w:r>
      <w:r>
        <w:rPr>
          <w:rFonts w:hint="eastAsia"/>
          <w:szCs w:val="21"/>
          <w:highlight w:val="none"/>
        </w:rPr>
        <w:t>）项目详细报价</w:t>
      </w:r>
      <w:bookmarkEnd w:id="35"/>
    </w:p>
    <w:p>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pPr>
        <w:ind w:left="718" w:leftChars="342" w:firstLine="1417" w:firstLineChars="675"/>
        <w:rPr>
          <w:rFonts w:hint="eastAsia" w:ascii="宋体" w:hAnsi="宋体"/>
          <w:szCs w:val="21"/>
          <w:highlight w:val="none"/>
        </w:rPr>
      </w:pPr>
      <w:r>
        <w:rPr>
          <w:rFonts w:hint="eastAsia" w:ascii="Times New Roman" w:hAnsi="Times New Roman" w:eastAsia="宋体" w:cs="Times New Roman"/>
          <w:szCs w:val="21"/>
          <w:highlight w:val="none"/>
        </w:rPr>
        <w:t>（6）</w:t>
      </w:r>
      <w:r>
        <w:rPr>
          <w:rFonts w:hint="eastAsia" w:ascii="宋体" w:hAnsi="宋体"/>
          <w:szCs w:val="21"/>
          <w:highlight w:val="none"/>
        </w:rPr>
        <w:t>履约评价</w:t>
      </w:r>
    </w:p>
    <w:p>
      <w:pPr>
        <w:ind w:left="718" w:leftChars="342" w:firstLine="1417" w:firstLineChars="675"/>
        <w:rPr>
          <w:rFonts w:hint="eastAsia"/>
        </w:rPr>
      </w:pP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7</w:t>
      </w:r>
      <w:r>
        <w:rPr>
          <w:rFonts w:hint="eastAsia" w:ascii="Times New Roman" w:hAnsi="Times New Roman" w:eastAsia="宋体" w:cs="Times New Roman"/>
          <w:szCs w:val="21"/>
          <w:highlight w:val="none"/>
        </w:rPr>
        <w:t>）</w:t>
      </w:r>
      <w:r>
        <w:rPr>
          <w:rFonts w:hint="eastAsia" w:ascii="宋体" w:hAnsi="宋体"/>
          <w:szCs w:val="21"/>
          <w:highlight w:val="none"/>
        </w:rPr>
        <w:t>体系认证情况</w:t>
      </w:r>
    </w:p>
    <w:p>
      <w:pPr>
        <w:ind w:left="718" w:leftChars="342" w:firstLine="1417" w:firstLineChars="675"/>
        <w:rPr>
          <w:rFonts w:hint="eastAsia"/>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投标人认为需要加以说明的其他内容（信息公开部分）</w:t>
      </w:r>
    </w:p>
    <w:p>
      <w:pPr>
        <w:outlineLvl w:val="9"/>
        <w:rPr>
          <w:rFonts w:hint="eastAsia" w:ascii="宋体" w:hAnsi="宋体"/>
          <w:sz w:val="24"/>
          <w:highlight w:val="none"/>
        </w:rPr>
      </w:pPr>
    </w:p>
    <w:p>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5</w:t>
      </w:r>
      <w:r>
        <w:rPr>
          <w:rFonts w:hint="eastAsia"/>
          <w:szCs w:val="21"/>
          <w:highlight w:val="none"/>
        </w:rPr>
        <w:t>）</w:t>
      </w:r>
      <w:r>
        <w:rPr>
          <w:rFonts w:hint="eastAsia"/>
          <w:highlight w:val="none"/>
        </w:rPr>
        <w:t>项目总体概述及理解</w:t>
      </w:r>
    </w:p>
    <w:p>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6</w:t>
      </w:r>
      <w:r>
        <w:rPr>
          <w:rFonts w:hint="eastAsia"/>
          <w:szCs w:val="21"/>
          <w:highlight w:val="none"/>
        </w:rPr>
        <w:t>）</w:t>
      </w:r>
      <w:r>
        <w:rPr>
          <w:rFonts w:hint="eastAsia"/>
          <w:highlight w:val="none"/>
          <w:lang w:eastAsia="zh-CN"/>
        </w:rPr>
        <w:t>项目服务方案</w:t>
      </w:r>
    </w:p>
    <w:p>
      <w:pPr>
        <w:ind w:left="718" w:leftChars="342" w:firstLine="1417" w:firstLineChars="675"/>
        <w:rPr>
          <w:rFonts w:hint="eastAsia" w:ascii="宋体" w:hAnsi="宋体" w:eastAsia="宋体"/>
          <w:szCs w:val="21"/>
          <w:highlight w:val="none"/>
          <w:lang w:eastAsia="zh-CN"/>
        </w:rPr>
      </w:pPr>
      <w:r>
        <w:rPr>
          <w:rFonts w:hint="eastAsia"/>
          <w:szCs w:val="21"/>
          <w:highlight w:val="none"/>
        </w:rPr>
        <w:t>（</w:t>
      </w:r>
      <w:r>
        <w:rPr>
          <w:rFonts w:hint="eastAsia"/>
          <w:szCs w:val="21"/>
          <w:highlight w:val="none"/>
          <w:lang w:val="en-US" w:eastAsia="zh-CN"/>
        </w:rPr>
        <w:t>7</w:t>
      </w:r>
      <w:r>
        <w:rPr>
          <w:rFonts w:hint="eastAsia"/>
          <w:szCs w:val="21"/>
          <w:highlight w:val="none"/>
        </w:rPr>
        <w:t>）</w:t>
      </w:r>
      <w:r>
        <w:rPr>
          <w:rFonts w:hint="eastAsia" w:ascii="宋体" w:hAnsi="宋体"/>
          <w:szCs w:val="21"/>
          <w:highlight w:val="none"/>
          <w:lang w:eastAsia="zh-CN"/>
        </w:rPr>
        <w:t>项目重点难点分析、应对措施及相关的合理化建议</w:t>
      </w:r>
    </w:p>
    <w:p>
      <w:pPr>
        <w:ind w:left="718" w:leftChars="342" w:firstLine="1417" w:firstLineChars="675"/>
        <w:rPr>
          <w:rFonts w:hint="eastAsia" w:ascii="宋体" w:hAnsi="宋体" w:eastAsia="宋体"/>
          <w:szCs w:val="21"/>
          <w:highlight w:val="none"/>
          <w:lang w:eastAsia="zh-CN"/>
        </w:rPr>
      </w:pPr>
      <w:r>
        <w:rPr>
          <w:rFonts w:hint="eastAsia"/>
          <w:szCs w:val="21"/>
          <w:highlight w:val="none"/>
        </w:rPr>
        <w:t>（</w:t>
      </w:r>
      <w:r>
        <w:rPr>
          <w:rFonts w:hint="eastAsia"/>
          <w:szCs w:val="21"/>
          <w:highlight w:val="none"/>
          <w:lang w:val="en-US" w:eastAsia="zh-CN"/>
        </w:rPr>
        <w:t>8</w:t>
      </w:r>
      <w:r>
        <w:rPr>
          <w:rFonts w:hint="eastAsia"/>
          <w:szCs w:val="21"/>
          <w:highlight w:val="none"/>
        </w:rPr>
        <w:t>）</w:t>
      </w:r>
      <w:r>
        <w:rPr>
          <w:rFonts w:hint="eastAsia" w:ascii="宋体" w:hAnsi="宋体"/>
          <w:szCs w:val="21"/>
          <w:highlight w:val="none"/>
          <w:lang w:eastAsia="zh-CN"/>
        </w:rPr>
        <w:t>质量保障措施</w:t>
      </w:r>
    </w:p>
    <w:p>
      <w:pPr>
        <w:ind w:left="718" w:leftChars="342" w:firstLine="1417" w:firstLineChars="675"/>
        <w:rPr>
          <w:rFonts w:hint="eastAsia" w:eastAsia="宋体"/>
          <w:szCs w:val="21"/>
          <w:highlight w:val="none"/>
          <w:lang w:eastAsia="zh-CN"/>
        </w:rPr>
      </w:pPr>
      <w:r>
        <w:rPr>
          <w:rFonts w:hint="eastAsia"/>
          <w:szCs w:val="21"/>
          <w:highlight w:val="none"/>
        </w:rPr>
        <w:t>（</w:t>
      </w:r>
      <w:r>
        <w:rPr>
          <w:rFonts w:hint="eastAsia"/>
          <w:szCs w:val="21"/>
          <w:highlight w:val="none"/>
          <w:lang w:val="en-US" w:eastAsia="zh-CN"/>
        </w:rPr>
        <w:t>9</w:t>
      </w:r>
      <w:r>
        <w:rPr>
          <w:rFonts w:hint="eastAsia"/>
          <w:szCs w:val="21"/>
          <w:highlight w:val="none"/>
        </w:rPr>
        <w:t>）</w:t>
      </w:r>
      <w:r>
        <w:rPr>
          <w:rFonts w:hint="eastAsia" w:ascii="宋体" w:hAnsi="宋体"/>
          <w:szCs w:val="21"/>
          <w:highlight w:val="none"/>
          <w:lang w:eastAsia="zh-CN"/>
        </w:rPr>
        <w:t>拟派本项目的服务人数、服务人员素质</w:t>
      </w:r>
    </w:p>
    <w:p>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）投标人认为需要加以说明的其他内容（信息不公开部分）</w:t>
      </w:r>
    </w:p>
    <w:p>
      <w:pPr>
        <w:pStyle w:val="19"/>
        <w:rPr>
          <w:highlight w:val="none"/>
        </w:rPr>
      </w:pPr>
    </w:p>
    <w:p>
      <w:pPr>
        <w:rPr>
          <w:rFonts w:ascii="仿宋_GB2312" w:eastAsia="仿宋_GB2312"/>
          <w:sz w:val="24"/>
          <w:highlight w:val="none"/>
        </w:rPr>
      </w:pPr>
    </w:p>
    <w:p>
      <w:pPr>
        <w:ind w:firstLine="426" w:firstLineChars="202"/>
        <w:rPr>
          <w:rFonts w:ascii="宋体" w:hAnsi="宋体"/>
          <w:b/>
          <w:szCs w:val="21"/>
          <w:highlight w:val="none"/>
        </w:rPr>
      </w:pPr>
      <w:r>
        <w:rPr>
          <w:rFonts w:hint="eastAsia" w:ascii="宋体" w:hAnsi="宋体"/>
          <w:b/>
          <w:szCs w:val="21"/>
          <w:highlight w:val="none"/>
        </w:rPr>
        <w:t>备注：</w:t>
      </w:r>
    </w:p>
    <w:p>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pPr>
        <w:ind w:firstLine="426" w:firstLineChars="202"/>
        <w:rPr>
          <w:rFonts w:ascii="宋体" w:hAnsi="宋体"/>
          <w:b/>
          <w:color w:val="FF0000"/>
          <w:sz w:val="36"/>
          <w:szCs w:val="36"/>
          <w:highlight w:val="none"/>
        </w:rPr>
      </w:pPr>
      <w:r>
        <w:rPr>
          <w:rFonts w:hint="eastAsia" w:ascii="宋体" w:hAnsi="宋体"/>
          <w:b/>
          <w:szCs w:val="21"/>
          <w:highlight w:val="none"/>
        </w:rPr>
        <w:t>2.关于填写“开标一览表”的说明：“开标一览表”中除“投标总价”外，其他信息不作评审依据。</w:t>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pPr>
        <w:ind w:firstLine="420" w:firstLineChars="200"/>
        <w:rPr>
          <w:rFonts w:ascii="宋体" w:hAnsi="宋体"/>
          <w:szCs w:val="21"/>
          <w:highlight w:val="none"/>
        </w:rPr>
      </w:pPr>
      <w:bookmarkStart w:id="36"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highlight w:val="none"/>
        </w:rPr>
        <w:t>愿意按照招标文件要求承包上述项目并修补其任何缺陷。</w:t>
      </w:r>
      <w:bookmarkEnd w:id="37"/>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6"/>
    </w:p>
    <w:p>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pPr>
        <w:ind w:left="420" w:leftChars="200"/>
        <w:rPr>
          <w:sz w:val="24"/>
          <w:highlight w:val="none"/>
        </w:rPr>
      </w:pPr>
      <w:r>
        <w:rPr>
          <w:rFonts w:hint="eastAsia"/>
          <w:sz w:val="24"/>
          <w:highlight w:val="none"/>
        </w:rPr>
        <w:t xml:space="preserve">                       </w:t>
      </w:r>
    </w:p>
    <w:p>
      <w:pPr>
        <w:rPr>
          <w:rFonts w:ascii="黑体" w:hAnsi="宋体" w:eastAsia="黑体"/>
          <w:highlight w:val="none"/>
        </w:rPr>
      </w:pPr>
    </w:p>
    <w:p>
      <w:pPr>
        <w:rPr>
          <w:rFonts w:ascii="宋体" w:hAnsi="宋体"/>
          <w:szCs w:val="21"/>
          <w:highlight w:val="none"/>
        </w:rPr>
      </w:pPr>
    </w:p>
    <w:p>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pPr>
        <w:rPr>
          <w:rFonts w:ascii="宋体" w:hAnsi="宋体"/>
          <w:sz w:val="24"/>
          <w:highlight w:val="none"/>
        </w:rPr>
      </w:pPr>
    </w:p>
    <w:p>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pPr>
        <w:ind w:right="-815" w:firstLine="420" w:firstLineChars="200"/>
        <w:rPr>
          <w:rFonts w:ascii="宋体" w:hAnsi="宋体"/>
          <w:szCs w:val="21"/>
          <w:highlight w:val="none"/>
        </w:rPr>
      </w:pPr>
      <w:r>
        <w:rPr>
          <w:rFonts w:hint="eastAsia" w:ascii="宋体" w:hAnsi="宋体"/>
          <w:szCs w:val="21"/>
          <w:highlight w:val="none"/>
        </w:rPr>
        <w:t>我单位承诺：</w:t>
      </w:r>
    </w:p>
    <w:p>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pPr>
        <w:pStyle w:val="19"/>
        <w:ind w:firstLine="482" w:firstLineChars="200"/>
        <w:rPr>
          <w:rFonts w:ascii="宋体" w:hAnsi="宋体"/>
          <w:highlight w:val="none"/>
        </w:rPr>
      </w:pPr>
    </w:p>
    <w:p>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pPr>
        <w:rPr>
          <w:rFonts w:ascii="宋体" w:hAnsi="宋体"/>
          <w:szCs w:val="21"/>
          <w:highlight w:val="none"/>
        </w:rPr>
      </w:pPr>
    </w:p>
    <w:p>
      <w:pPr>
        <w:rPr>
          <w:rFonts w:ascii="宋体" w:hAnsi="宋体"/>
          <w:szCs w:val="21"/>
          <w:highlight w:val="none"/>
        </w:rPr>
      </w:pPr>
    </w:p>
    <w:p>
      <w:pPr>
        <w:rPr>
          <w:highlight w:val="none"/>
        </w:rPr>
      </w:pPr>
    </w:p>
    <w:p>
      <w:pPr>
        <w:rPr>
          <w:highlight w:val="none"/>
        </w:rPr>
      </w:pPr>
    </w:p>
    <w:p>
      <w:pPr>
        <w:rPr>
          <w:rFonts w:hint="eastAsia" w:ascii="黑体" w:eastAsia="黑体"/>
          <w:b w:val="0"/>
          <w:kern w:val="0"/>
          <w:sz w:val="24"/>
          <w:highlight w:val="none"/>
        </w:rPr>
      </w:pPr>
      <w:r>
        <w:rPr>
          <w:rFonts w:hint="eastAsia" w:ascii="黑体" w:eastAsia="黑体"/>
          <w:b w:val="0"/>
          <w:kern w:val="0"/>
          <w:sz w:val="24"/>
          <w:highlight w:val="none"/>
        </w:rPr>
        <w:br w:type="page"/>
      </w:r>
    </w:p>
    <w:p>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（一）供应商资格证明文件</w:t>
      </w:r>
    </w:p>
    <w:p>
      <w:pPr>
        <w:spacing w:before="120" w:beforeLines="50"/>
        <w:ind w:firstLine="422" w:firstLineChars="200"/>
        <w:rPr>
          <w:b/>
          <w:bCs/>
          <w:color w:val="FF0000"/>
          <w:highlight w:val="none"/>
        </w:rPr>
      </w:pPr>
      <w:r>
        <w:rPr>
          <w:rFonts w:hint="eastAsia"/>
          <w:b/>
          <w:bCs/>
          <w:color w:val="FF0000"/>
          <w:highlight w:val="none"/>
        </w:rPr>
        <w:t>【特别提示：供应商须按本</w:t>
      </w:r>
      <w:r>
        <w:rPr>
          <w:rFonts w:hint="eastAsia"/>
          <w:b/>
          <w:bCs/>
          <w:color w:val="FF0000"/>
          <w:highlight w:val="none"/>
          <w:lang w:eastAsia="zh-CN"/>
        </w:rPr>
        <w:t>招标文件</w:t>
      </w:r>
      <w:r>
        <w:rPr>
          <w:rFonts w:hint="eastAsia"/>
          <w:b/>
          <w:bCs/>
          <w:color w:val="FF0000"/>
          <w:highlight w:val="none"/>
        </w:rPr>
        <w:t>第一章谈判公告 “申请人的资格要求”（即供应商资格要求）提供相关的资格证明资料</w:t>
      </w:r>
      <w:r>
        <w:rPr>
          <w:rFonts w:hint="eastAsia"/>
          <w:b/>
          <w:bCs/>
          <w:color w:val="FF0000"/>
          <w:highlight w:val="none"/>
          <w:lang w:eastAsia="zh-CN"/>
        </w:rPr>
        <w:t>，</w:t>
      </w:r>
      <w:r>
        <w:rPr>
          <w:rFonts w:hint="eastAsia"/>
          <w:b/>
          <w:bCs/>
          <w:color w:val="FF0000"/>
          <w:highlight w:val="none"/>
        </w:rPr>
        <w:t>未提供或提供不完整、不符合要求的，将作投标无效处理</w:t>
      </w:r>
      <w:r>
        <w:rPr>
          <w:rFonts w:hint="eastAsia"/>
          <w:b/>
          <w:bCs/>
          <w:color w:val="FF0000"/>
          <w:highlight w:val="none"/>
          <w:lang w:eastAsia="zh-CN"/>
        </w:rPr>
        <w:t>，</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pPr>
        <w:rPr>
          <w:b/>
          <w:bCs/>
          <w:sz w:val="24"/>
          <w:highlight w:val="none"/>
        </w:rPr>
      </w:pPr>
    </w:p>
    <w:p>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pPr>
        <w:ind w:firstLine="480" w:firstLineChars="200"/>
        <w:rPr>
          <w:rFonts w:ascii="黑体" w:hAnsi="宋体" w:eastAsia="黑体"/>
          <w:bCs/>
          <w:kern w:val="0"/>
          <w:sz w:val="24"/>
          <w:szCs w:val="32"/>
          <w:highlight w:val="none"/>
        </w:rPr>
      </w:pP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rPr>
        <w:t>1</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该部分内容由供应商根据自身实际情况填写，不符合要求的供应商可以不填写或直接删除相应的声明函。</w:t>
      </w:r>
      <w:r>
        <w:rPr>
          <w:rFonts w:hint="eastAsia" w:ascii="黑体" w:hAnsi="黑体" w:eastAsia="黑体"/>
          <w:color w:val="FF0000"/>
          <w:szCs w:val="21"/>
          <w:highlight w:val="none"/>
        </w:rPr>
        <w:t>供应商提供的声明函不属实的，属于提供虚假资料谋取成交，依照《中华人民共和国政府采购法》等国家有关规定追究相应责任。</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满足多项优惠政策的供应商，不重复享受多项价格扣除政策。</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w:t>
      </w:r>
      <w:r>
        <w:rPr>
          <w:rFonts w:hint="eastAsia" w:ascii="黑体" w:hAnsi="宋体" w:eastAsia="黑体"/>
          <w:bCs/>
          <w:color w:val="FF0000"/>
          <w:kern w:val="0"/>
          <w:szCs w:val="21"/>
          <w:highlight w:val="none"/>
          <w:lang w:val="en-US" w:eastAsia="zh-CN"/>
        </w:rPr>
        <w:t>文件中确定的</w:t>
      </w:r>
      <w:r>
        <w:rPr>
          <w:rFonts w:hint="eastAsia" w:ascii="黑体" w:hAnsi="宋体" w:eastAsia="黑体"/>
          <w:bCs/>
          <w:color w:val="FF0000"/>
          <w:kern w:val="0"/>
          <w:szCs w:val="21"/>
          <w:highlight w:val="none"/>
        </w:rPr>
        <w:t>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第三处，在“标的名称”下划线处填写所采购标的具体名称（以招标文件第一册第三章用户需求书“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明细”的“服务需求名称（标的名称）”一栏为准）；如果涉及多项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（标的）为同一企业</w:t>
      </w:r>
      <w:r>
        <w:rPr>
          <w:rFonts w:hint="eastAsia" w:ascii="黑体" w:hAnsi="宋体" w:eastAsia="黑体"/>
          <w:bCs/>
          <w:color w:val="FF0000"/>
          <w:kern w:val="0"/>
          <w:szCs w:val="21"/>
          <w:highlight w:val="none"/>
          <w:lang w:val="en-US" w:eastAsia="zh-CN"/>
        </w:rPr>
        <w:t>承接的</w:t>
      </w:r>
      <w:r>
        <w:rPr>
          <w:rFonts w:hint="eastAsia" w:ascii="黑体" w:hAnsi="宋体" w:eastAsia="黑体"/>
          <w:bCs/>
          <w:color w:val="FF0000"/>
          <w:kern w:val="0"/>
          <w:szCs w:val="21"/>
          <w:highlight w:val="none"/>
        </w:rPr>
        <w:t>，“标的名称”下划线处可以如实填写多项</w:t>
      </w:r>
      <w:r>
        <w:rPr>
          <w:rFonts w:hint="eastAsia" w:ascii="黑体" w:hAnsi="宋体" w:eastAsia="黑体"/>
          <w:bCs/>
          <w:color w:val="FF0000"/>
          <w:kern w:val="0"/>
          <w:szCs w:val="21"/>
          <w:highlight w:val="none"/>
          <w:lang w:val="en-US" w:eastAsia="zh-CN"/>
        </w:rPr>
        <w:t>服务</w:t>
      </w:r>
      <w:r>
        <w:rPr>
          <w:rFonts w:hint="eastAsia" w:ascii="黑体" w:hAnsi="宋体" w:eastAsia="黑体"/>
          <w:bCs/>
          <w:color w:val="FF0000"/>
          <w:kern w:val="0"/>
          <w:szCs w:val="21"/>
          <w:highlight w:val="none"/>
        </w:rPr>
        <w:t>；对于分包方式面向中小企业采购的项目</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w:t>
      </w:r>
      <w:r>
        <w:rPr>
          <w:rFonts w:hint="eastAsia" w:ascii="黑体" w:hAnsi="宋体" w:eastAsia="黑体"/>
          <w:bCs/>
          <w:color w:val="FF0000"/>
          <w:kern w:val="0"/>
          <w:szCs w:val="21"/>
          <w:highlight w:val="none"/>
          <w:lang w:val="en-US" w:eastAsia="zh-CN"/>
        </w:rPr>
        <w:t>采购</w:t>
      </w:r>
      <w:r>
        <w:rPr>
          <w:rFonts w:hint="eastAsia" w:ascii="黑体" w:hAnsi="宋体" w:eastAsia="黑体"/>
          <w:bCs/>
          <w:color w:val="FF0000"/>
          <w:kern w:val="0"/>
          <w:szCs w:val="21"/>
          <w:highlight w:val="none"/>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pPr>
        <w:pStyle w:val="2"/>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谈判小组判定，如评审委员会判定声明函无效，相关供应商不享受价格扣除（但不作投标无效处理）。</w:t>
      </w:r>
    </w:p>
    <w:p>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谈判小组在依法进行资格审查、评审过程中，发现《中小企业声明函》存在明显笔误或含义不明确的，应按规定要求供应商进行澄清、说明或补正。澄清修改后符合中小企业条件的供应商，可以享受中小企业扶持政策。</w:t>
      </w:r>
    </w:p>
    <w:p>
      <w:pPr>
        <w:pStyle w:val="19"/>
        <w:rPr>
          <w:rFonts w:hint="default"/>
          <w:highlight w:val="none"/>
          <w:lang w:val="en-US" w:eastAsia="zh-CN"/>
        </w:rPr>
      </w:pPr>
    </w:p>
    <w:p>
      <w:pPr>
        <w:ind w:firstLine="420" w:firstLineChars="200"/>
        <w:rPr>
          <w:highlight w:val="none"/>
        </w:rPr>
      </w:pPr>
    </w:p>
    <w:p>
      <w:pPr>
        <w:ind w:firstLine="482" w:firstLineChars="200"/>
        <w:jc w:val="center"/>
        <w:rPr>
          <w:b/>
          <w:bCs/>
          <w:sz w:val="24"/>
          <w:highlight w:val="none"/>
        </w:rPr>
      </w:pPr>
      <w:r>
        <w:rPr>
          <w:rFonts w:hint="eastAsia"/>
          <w:b/>
          <w:bCs/>
          <w:sz w:val="24"/>
          <w:highlight w:val="none"/>
        </w:rPr>
        <w:t>1</w:t>
      </w:r>
      <w:r>
        <w:rPr>
          <w:rFonts w:hint="eastAsia"/>
          <w:b/>
          <w:bCs/>
          <w:sz w:val="24"/>
          <w:highlight w:val="none"/>
          <w:lang w:val="en-US" w:eastAsia="zh-CN"/>
        </w:rPr>
        <w:t>.</w:t>
      </w:r>
      <w:r>
        <w:rPr>
          <w:b/>
          <w:bCs/>
          <w:sz w:val="24"/>
          <w:highlight w:val="none"/>
        </w:rPr>
        <w:t>中小企业声明函（</w:t>
      </w:r>
      <w:r>
        <w:rPr>
          <w:rFonts w:hint="eastAsia"/>
          <w:b/>
          <w:bCs/>
          <w:sz w:val="24"/>
          <w:highlight w:val="none"/>
        </w:rPr>
        <w:t>工程</w:t>
      </w:r>
      <w:r>
        <w:rPr>
          <w:b/>
          <w:bCs/>
          <w:sz w:val="24"/>
          <w:highlight w:val="none"/>
        </w:rPr>
        <w:t>）</w:t>
      </w:r>
    </w:p>
    <w:p>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w:t>
      </w:r>
      <w:r>
        <w:rPr>
          <w:rFonts w:ascii="宋体" w:hAnsi="宋体"/>
          <w:szCs w:val="21"/>
          <w:highlight w:val="none"/>
        </w:rPr>
        <w:t>郑重声明，根据《政府采购促进中小企业发展管理办法》（财库</w:t>
      </w:r>
      <w:r>
        <w:rPr>
          <w:rFonts w:hint="eastAsia" w:ascii="宋体" w:hAnsi="宋体" w:cs="微软雅黑"/>
          <w:szCs w:val="21"/>
          <w:highlight w:val="none"/>
        </w:rPr>
        <w:t>﹝</w:t>
      </w:r>
      <w:r>
        <w:rPr>
          <w:rFonts w:ascii="宋体" w:hAnsi="宋体"/>
          <w:szCs w:val="21"/>
          <w:highlight w:val="none"/>
        </w:rPr>
        <w:t>2020</w:t>
      </w:r>
      <w:r>
        <w:rPr>
          <w:rFonts w:hint="eastAsia" w:ascii="宋体" w:hAnsi="宋体" w:cs="微软雅黑"/>
          <w:szCs w:val="21"/>
          <w:highlight w:val="none"/>
        </w:rPr>
        <w:t>﹞</w:t>
      </w:r>
      <w:r>
        <w:rPr>
          <w:rFonts w:ascii="宋体" w:hAnsi="宋体"/>
          <w:szCs w:val="21"/>
          <w:highlight w:val="none"/>
        </w:rPr>
        <w:t>46 号）的规定，本</w:t>
      </w:r>
      <w:r>
        <w:rPr>
          <w:rFonts w:hint="eastAsia" w:ascii="宋体" w:hAnsi="宋体"/>
          <w:szCs w:val="21"/>
          <w:highlight w:val="none"/>
        </w:rPr>
        <w:t>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全部由符合政策要求的中小企业</w:t>
      </w:r>
      <w:r>
        <w:rPr>
          <w:rFonts w:hint="eastAsia" w:ascii="宋体" w:hAnsi="宋体"/>
          <w:szCs w:val="21"/>
          <w:highlight w:val="none"/>
        </w:rPr>
        <w:t>承接</w:t>
      </w:r>
      <w:r>
        <w:rPr>
          <w:rFonts w:ascii="宋体" w:hAnsi="宋体"/>
          <w:szCs w:val="21"/>
          <w:highlight w:val="none"/>
        </w:rPr>
        <w:t>。相关企业的具体情况如下：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lang w:eastAsia="zh-CN"/>
        </w:rPr>
        <w:t>招标文件</w:t>
      </w:r>
      <w:r>
        <w:rPr>
          <w:rFonts w:ascii="宋体" w:hAnsi="宋体"/>
          <w:b/>
          <w:szCs w:val="21"/>
          <w:highlight w:val="none"/>
          <w:u w:val="single"/>
        </w:rPr>
        <w:t>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ascii="宋体" w:hAnsi="宋体"/>
          <w:szCs w:val="21"/>
          <w:highlight w:val="none"/>
        </w:rPr>
        <w:t xml:space="preserve">； </w:t>
      </w:r>
    </w:p>
    <w:p>
      <w:pPr>
        <w:ind w:firstLine="420" w:firstLineChars="200"/>
        <w:rPr>
          <w:rFonts w:ascii="宋体" w:hAnsi="宋体"/>
          <w:szCs w:val="21"/>
          <w:highlight w:val="none"/>
          <w:u w:val="singl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，属于</w:t>
      </w:r>
      <w:r>
        <w:rPr>
          <w:rFonts w:ascii="宋体" w:hAnsi="宋体"/>
          <w:b/>
          <w:szCs w:val="21"/>
          <w:highlight w:val="none"/>
          <w:u w:val="single"/>
        </w:rPr>
        <w:t>（</w:t>
      </w:r>
      <w:r>
        <w:rPr>
          <w:rFonts w:hint="eastAsia" w:ascii="宋体" w:hAnsi="宋体"/>
          <w:b/>
          <w:szCs w:val="21"/>
          <w:highlight w:val="none"/>
          <w:u w:val="single"/>
          <w:lang w:eastAsia="zh-CN"/>
        </w:rPr>
        <w:t>招标文件</w:t>
      </w:r>
      <w:r>
        <w:rPr>
          <w:rFonts w:ascii="宋体" w:hAnsi="宋体"/>
          <w:b/>
          <w:szCs w:val="21"/>
          <w:highlight w:val="none"/>
          <w:u w:val="single"/>
        </w:rPr>
        <w:t>中明确的所属行业）</w:t>
      </w:r>
      <w:r>
        <w:rPr>
          <w:rFonts w:ascii="宋体" w:hAnsi="宋体"/>
          <w:bCs/>
          <w:szCs w:val="21"/>
          <w:highlight w:val="none"/>
          <w:u w:val="single"/>
        </w:rPr>
        <w:t xml:space="preserve"> </w:t>
      </w:r>
      <w:r>
        <w:rPr>
          <w:rFonts w:ascii="宋体" w:hAnsi="宋体"/>
          <w:szCs w:val="21"/>
          <w:highlight w:val="none"/>
        </w:rPr>
        <w:t>行业；</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（企业名称）</w:t>
      </w:r>
      <w:r>
        <w:rPr>
          <w:rFonts w:ascii="宋体" w:hAnsi="宋体"/>
          <w:szCs w:val="21"/>
          <w:highlight w:val="none"/>
        </w:rPr>
        <w:t>，从业人员</w:t>
      </w:r>
      <w:r>
        <w:rPr>
          <w:rFonts w:ascii="宋体" w:hAnsi="宋体"/>
          <w:bCs/>
          <w:szCs w:val="21"/>
          <w:highlight w:val="none"/>
          <w:u w:val="single"/>
        </w:rPr>
        <w:t xml:space="preserve">  </w:t>
      </w:r>
      <w:r>
        <w:rPr>
          <w:rFonts w:ascii="宋体" w:hAnsi="宋体"/>
          <w:szCs w:val="21"/>
          <w:highlight w:val="none"/>
        </w:rPr>
        <w:t>人，营业收入为</w:t>
      </w:r>
      <w:r>
        <w:rPr>
          <w:rFonts w:ascii="宋体" w:hAnsi="宋体"/>
          <w:bCs/>
          <w:szCs w:val="21"/>
          <w:highlight w:val="none"/>
          <w:u w:val="single"/>
        </w:rPr>
        <w:t xml:space="preserve">  </w:t>
      </w:r>
      <w:r>
        <w:rPr>
          <w:rFonts w:ascii="宋体" w:hAnsi="宋体"/>
          <w:szCs w:val="21"/>
          <w:highlight w:val="none"/>
        </w:rPr>
        <w:t>万元，资产总额为</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ascii="宋体" w:hAnsi="宋体"/>
          <w:szCs w:val="21"/>
          <w:highlight w:val="none"/>
        </w:rPr>
        <w:t>万元 ，属于</w:t>
      </w:r>
      <w:r>
        <w:rPr>
          <w:rFonts w:ascii="宋体" w:hAnsi="宋体"/>
          <w:b/>
          <w:szCs w:val="21"/>
          <w:highlight w:val="none"/>
          <w:u w:val="single"/>
        </w:rPr>
        <w:t>（中型企业、小型企业、微型企业）</w:t>
      </w:r>
      <w:r>
        <w:rPr>
          <w:rFonts w:hint="eastAsia"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 xml:space="preserve">…… </w:t>
      </w:r>
    </w:p>
    <w:p>
      <w:pPr>
        <w:ind w:firstLine="420" w:firstLineChars="200"/>
        <w:rPr>
          <w:rFonts w:ascii="宋体" w:hAnsi="宋体"/>
          <w:szCs w:val="21"/>
          <w:highlight w:val="none"/>
        </w:rPr>
      </w:pPr>
      <w:r>
        <w:rPr>
          <w:rFonts w:ascii="宋体" w:hAnsi="宋体"/>
          <w:szCs w:val="21"/>
          <w:highlight w:val="none"/>
        </w:rPr>
        <w:t>以上企业，不属于大企业的分支机构，不存在控股股东为大企业的情形，也不存在与大企业的负责人为同一人的情形。</w:t>
      </w:r>
    </w:p>
    <w:p>
      <w:pPr>
        <w:ind w:firstLine="422" w:firstLineChars="200"/>
        <w:rPr>
          <w:rFonts w:ascii="宋体" w:hAnsi="宋体"/>
          <w:b/>
          <w:bCs/>
          <w:color w:val="0000FF"/>
          <w:kern w:val="0"/>
          <w:szCs w:val="21"/>
          <w:highlight w:val="none"/>
        </w:rPr>
      </w:pPr>
      <w:r>
        <w:rPr>
          <w:rFonts w:hint="eastAsia"/>
          <w:b/>
          <w:bCs/>
          <w:color w:val="0000FF"/>
          <w:highlight w:val="none"/>
        </w:rPr>
        <w:t>本供应商</w:t>
      </w:r>
      <w:r>
        <w:rPr>
          <w:b/>
          <w:bCs/>
          <w:color w:val="0000FF"/>
          <w:highlight w:val="none"/>
        </w:rPr>
        <w:t>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w:t>
      </w:r>
      <w:r>
        <w:rPr>
          <w:rFonts w:hint="eastAsia"/>
          <w:b/>
          <w:bCs/>
          <w:color w:val="0000FF"/>
          <w:highlight w:val="none"/>
        </w:rPr>
        <w:t>供应商</w:t>
      </w:r>
      <w:r>
        <w:rPr>
          <w:b/>
          <w:bCs/>
          <w:color w:val="0000FF"/>
          <w:highlight w:val="none"/>
        </w:rPr>
        <w:t>按照本办法规定提供声明函内容不实的，属于提供虚假材料谋</w:t>
      </w:r>
      <w:r>
        <w:rPr>
          <w:rFonts w:hint="eastAsia"/>
          <w:b/>
          <w:bCs/>
          <w:color w:val="0000FF"/>
          <w:highlight w:val="none"/>
        </w:rPr>
        <w:t>成交</w:t>
      </w:r>
      <w:r>
        <w:rPr>
          <w:b/>
          <w:bCs/>
          <w:color w:val="0000FF"/>
          <w:highlight w:val="none"/>
        </w:rPr>
        <w:t>，依照《政府采购法》等政府采购有关法律法规规定追究相应责任</w:t>
      </w:r>
      <w:r>
        <w:rPr>
          <w:rFonts w:hint="eastAsia"/>
          <w:b/>
          <w:bCs/>
          <w:color w:val="0000FF"/>
          <w:highlight w:val="none"/>
        </w:rPr>
        <w:t>。</w:t>
      </w:r>
    </w:p>
    <w:p>
      <w:pPr>
        <w:ind w:firstLine="420" w:firstLineChars="200"/>
        <w:rPr>
          <w:highlight w:val="none"/>
        </w:rPr>
      </w:pPr>
    </w:p>
    <w:p>
      <w:pPr>
        <w:ind w:firstLine="420" w:firstLineChars="200"/>
        <w:rPr>
          <w:highlight w:val="none"/>
        </w:rPr>
      </w:pPr>
    </w:p>
    <w:p>
      <w:pPr>
        <w:ind w:firstLine="482" w:firstLineChars="200"/>
        <w:jc w:val="center"/>
        <w:rPr>
          <w:b/>
          <w:bCs/>
          <w:sz w:val="24"/>
          <w:highlight w:val="none"/>
        </w:rPr>
      </w:pPr>
      <w:r>
        <w:rPr>
          <w:rFonts w:hint="eastAsia"/>
          <w:b/>
          <w:bCs/>
          <w:sz w:val="24"/>
          <w:highlight w:val="none"/>
        </w:rPr>
        <w:t>2</w:t>
      </w:r>
      <w:r>
        <w:rPr>
          <w:rFonts w:hint="eastAsia"/>
          <w:b/>
          <w:bCs/>
          <w:sz w:val="24"/>
          <w:highlight w:val="none"/>
          <w:lang w:val="en-US" w:eastAsia="zh-CN"/>
        </w:rPr>
        <w:t>.</w:t>
      </w:r>
      <w:r>
        <w:rPr>
          <w:rFonts w:hint="eastAsia"/>
          <w:b/>
          <w:bCs/>
          <w:sz w:val="24"/>
          <w:highlight w:val="none"/>
        </w:rPr>
        <w:t>残疾人福利性单位声明函（工程类）</w:t>
      </w:r>
    </w:p>
    <w:p>
      <w:pPr>
        <w:ind w:firstLine="420" w:firstLineChars="200"/>
        <w:rPr>
          <w:rFonts w:ascii="宋体" w:hAnsi="宋体"/>
          <w:szCs w:val="21"/>
          <w:highlight w:val="none"/>
        </w:rPr>
      </w:pPr>
      <w:r>
        <w:rPr>
          <w:rFonts w:ascii="宋体" w:hAnsi="宋体"/>
          <w:szCs w:val="21"/>
          <w:highlight w:val="none"/>
        </w:rPr>
        <w:t>本</w:t>
      </w:r>
      <w:r>
        <w:rPr>
          <w:rFonts w:hint="eastAsia" w:ascii="宋体" w:hAnsi="宋体"/>
          <w:szCs w:val="21"/>
          <w:highlight w:val="none"/>
        </w:rPr>
        <w:t>供应商郑重声明，根据《财政部民政部中国残疾人联合会关于促进残疾人就业政府采购政策的通知》（财库〔</w:t>
      </w:r>
      <w:r>
        <w:rPr>
          <w:rFonts w:ascii="宋体" w:hAnsi="宋体"/>
          <w:szCs w:val="21"/>
          <w:highlight w:val="none"/>
        </w:rPr>
        <w:t>2017</w:t>
      </w:r>
      <w:r>
        <w:rPr>
          <w:rFonts w:hint="eastAsia" w:ascii="宋体" w:hAnsi="宋体"/>
          <w:szCs w:val="21"/>
          <w:highlight w:val="none"/>
        </w:rPr>
        <w:t>〕</w:t>
      </w:r>
      <w:r>
        <w:rPr>
          <w:rFonts w:ascii="宋体" w:hAnsi="宋体"/>
          <w:szCs w:val="21"/>
          <w:highlight w:val="none"/>
        </w:rPr>
        <w:t xml:space="preserve">141 </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残疾人福利性单位承接</w:t>
      </w:r>
      <w:r>
        <w:rPr>
          <w:rFonts w:ascii="宋体" w:hAnsi="宋体"/>
          <w:szCs w:val="21"/>
          <w:highlight w:val="none"/>
        </w:rPr>
        <w:t>。相关</w:t>
      </w:r>
      <w:r>
        <w:rPr>
          <w:rFonts w:hint="eastAsia" w:ascii="宋体" w:hAnsi="宋体"/>
          <w:szCs w:val="21"/>
          <w:highlight w:val="none"/>
        </w:rPr>
        <w:t>残疾人福利性单位</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，承接企业</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单位</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残疾人福利性单位</w:t>
      </w:r>
      <w:r>
        <w:rPr>
          <w:rFonts w:hint="eastAsia"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 xml:space="preserve">…… </w:t>
      </w:r>
    </w:p>
    <w:p>
      <w:pPr>
        <w:ind w:firstLine="422" w:firstLineChars="200"/>
        <w:rPr>
          <w:b/>
          <w:bCs/>
          <w:color w:val="0000FF"/>
          <w:highlight w:val="none"/>
        </w:rPr>
      </w:pPr>
      <w:r>
        <w:rPr>
          <w:rFonts w:hint="eastAsia"/>
          <w:b/>
          <w:bCs/>
          <w:color w:val="0000FF"/>
          <w:highlight w:val="none"/>
        </w:rPr>
        <w:t>本供应商已</w:t>
      </w:r>
      <w:r>
        <w:rPr>
          <w:b/>
          <w:bCs/>
          <w:color w:val="0000FF"/>
          <w:highlight w:val="none"/>
        </w:rPr>
        <w:t>知悉</w:t>
      </w:r>
      <w:r>
        <w:rPr>
          <w:rFonts w:hint="eastAsia"/>
          <w:b/>
          <w:bCs/>
          <w:color w:val="0000FF"/>
          <w:highlight w:val="none"/>
        </w:rPr>
        <w:t>《财政部民政部中国残疾人联合会关于促进残疾人就业政府采购政策的通知》（财库〔2017〕141 号）</w:t>
      </w:r>
      <w:r>
        <w:rPr>
          <w:b/>
          <w:bCs/>
          <w:color w:val="0000FF"/>
          <w:highlight w:val="none"/>
        </w:rPr>
        <w:t>的规定，承诺提供的声明函内容是真实的，如提供声明函内容不实，则依法追究相关法律责任</w:t>
      </w:r>
      <w:r>
        <w:rPr>
          <w:rFonts w:hint="eastAsia"/>
          <w:b/>
          <w:bCs/>
          <w:color w:val="0000FF"/>
          <w:highlight w:val="none"/>
        </w:rPr>
        <w:t>。</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2" w:firstLineChars="200"/>
        <w:rPr>
          <w:rFonts w:ascii="宋体" w:hAnsi="宋体"/>
          <w:b/>
          <w:szCs w:val="21"/>
          <w:highlight w:val="none"/>
        </w:rPr>
      </w:pPr>
      <w:r>
        <w:rPr>
          <w:rFonts w:hint="eastAsia" w:ascii="宋体" w:hAnsi="宋体"/>
          <w:b/>
          <w:szCs w:val="21"/>
          <w:highlight w:val="none"/>
        </w:rPr>
        <w:t>3</w:t>
      </w:r>
      <w:r>
        <w:rPr>
          <w:rFonts w:hint="eastAsia" w:ascii="宋体" w:hAnsi="宋体"/>
          <w:b/>
          <w:szCs w:val="21"/>
          <w:highlight w:val="none"/>
          <w:lang w:val="en-US" w:eastAsia="zh-CN"/>
        </w:rPr>
        <w:t>.</w:t>
      </w:r>
      <w:r>
        <w:rPr>
          <w:rFonts w:hint="eastAsia" w:ascii="宋体" w:hAnsi="宋体"/>
          <w:b/>
          <w:szCs w:val="21"/>
          <w:highlight w:val="none"/>
        </w:rPr>
        <w:t>监狱企业声明函【</w:t>
      </w:r>
      <w:r>
        <w:rPr>
          <w:rFonts w:hint="eastAsia" w:ascii="宋体" w:hAnsi="宋体"/>
          <w:b/>
          <w:szCs w:val="21"/>
          <w:highlight w:val="none"/>
          <w:lang w:val="en-US" w:eastAsia="zh-CN"/>
        </w:rPr>
        <w:t>工程</w:t>
      </w:r>
      <w:r>
        <w:rPr>
          <w:rFonts w:hint="eastAsia" w:ascii="宋体" w:hAnsi="宋体"/>
          <w:b/>
          <w:szCs w:val="21"/>
          <w:highlight w:val="none"/>
        </w:rPr>
        <w:t>类，监狱企业如需享受优惠政策，还须另行提供省级以上监狱管理局、戒毒管理局（含新疆生产建设兵团）出具的监狱企业证明文件】</w:t>
      </w:r>
    </w:p>
    <w:p>
      <w:pPr>
        <w:ind w:firstLine="420" w:firstLineChars="200"/>
        <w:rPr>
          <w:rFonts w:ascii="宋体" w:hAnsi="宋体"/>
          <w:szCs w:val="21"/>
          <w:highlight w:val="none"/>
        </w:rPr>
      </w:pPr>
      <w:r>
        <w:rPr>
          <w:rFonts w:hint="eastAsia" w:ascii="宋体" w:hAnsi="宋体"/>
          <w:szCs w:val="21"/>
          <w:highlight w:val="none"/>
        </w:rPr>
        <w:t>本供应商郑重声明，根据《财政部司法部关于政府采购支持监狱企业发展有关问题的通知》（财库〔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号）的规定，本供应商</w:t>
      </w:r>
      <w:r>
        <w:rPr>
          <w:rFonts w:ascii="宋体" w:hAnsi="宋体"/>
          <w:szCs w:val="21"/>
          <w:highlight w:val="none"/>
        </w:rPr>
        <w:t>参加</w:t>
      </w:r>
      <w:r>
        <w:rPr>
          <w:rFonts w:ascii="宋体" w:hAnsi="宋体"/>
          <w:b/>
          <w:szCs w:val="21"/>
          <w:highlight w:val="none"/>
          <w:u w:val="single"/>
        </w:rPr>
        <w:t>（</w:t>
      </w:r>
      <w:r>
        <w:rPr>
          <w:rFonts w:hint="eastAsia" w:ascii="宋体" w:hAnsi="宋体"/>
          <w:b/>
          <w:szCs w:val="21"/>
          <w:highlight w:val="none"/>
          <w:u w:val="single"/>
        </w:rPr>
        <w:t>采购人</w:t>
      </w:r>
      <w:r>
        <w:rPr>
          <w:rFonts w:ascii="宋体" w:hAnsi="宋体"/>
          <w:b/>
          <w:szCs w:val="21"/>
          <w:highlight w:val="none"/>
          <w:u w:val="single"/>
        </w:rPr>
        <w:t>名称）</w:t>
      </w:r>
      <w:r>
        <w:rPr>
          <w:rFonts w:ascii="宋体" w:hAnsi="宋体"/>
          <w:szCs w:val="21"/>
          <w:highlight w:val="none"/>
        </w:rPr>
        <w:t>的</w:t>
      </w:r>
      <w:r>
        <w:rPr>
          <w:rFonts w:ascii="宋体" w:hAnsi="宋体"/>
          <w:b/>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pPr>
        <w:ind w:firstLine="420" w:firstLineChars="200"/>
        <w:rPr>
          <w:rFonts w:ascii="宋体" w:hAnsi="宋体"/>
          <w:szCs w:val="21"/>
          <w:highlight w:val="none"/>
        </w:rPr>
      </w:pPr>
      <w:r>
        <w:rPr>
          <w:rFonts w:ascii="宋体" w:hAnsi="宋体"/>
          <w:szCs w:val="21"/>
          <w:highlight w:val="none"/>
        </w:rPr>
        <w:t>1.</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2.</w:t>
      </w:r>
      <w:r>
        <w:rPr>
          <w:rFonts w:ascii="宋体" w:hAnsi="宋体"/>
          <w:bCs/>
          <w:szCs w:val="21"/>
          <w:highlight w:val="none"/>
          <w:u w:val="single"/>
        </w:rPr>
        <w:t xml:space="preserve"> </w:t>
      </w:r>
      <w:r>
        <w:rPr>
          <w:rFonts w:ascii="宋体" w:hAnsi="宋体"/>
          <w:b/>
          <w:szCs w:val="21"/>
          <w:highlight w:val="none"/>
          <w:u w:val="single"/>
        </w:rPr>
        <w:t>（标的名称）</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szCs w:val="21"/>
          <w:highlight w:val="none"/>
          <w:u w:val="single"/>
        </w:rPr>
        <w:t>（</w:t>
      </w:r>
      <w:r>
        <w:rPr>
          <w:rFonts w:hint="eastAsia" w:ascii="宋体" w:hAnsi="宋体"/>
          <w:b/>
          <w:szCs w:val="21"/>
          <w:highlight w:val="none"/>
          <w:u w:val="single"/>
        </w:rPr>
        <w:t>企业</w:t>
      </w:r>
      <w:r>
        <w:rPr>
          <w:rFonts w:ascii="宋体" w:hAnsi="宋体"/>
          <w:b/>
          <w:szCs w:val="21"/>
          <w:highlight w:val="none"/>
          <w:u w:val="single"/>
        </w:rPr>
        <w:t>名称）</w:t>
      </w:r>
      <w:r>
        <w:rPr>
          <w:rFonts w:ascii="宋体" w:hAnsi="宋体"/>
          <w:szCs w:val="21"/>
          <w:highlight w:val="none"/>
        </w:rPr>
        <w:t>，属于</w:t>
      </w:r>
      <w:r>
        <w:rPr>
          <w:rFonts w:hint="eastAsia" w:ascii="宋体" w:hAnsi="宋体"/>
          <w:b/>
          <w:szCs w:val="21"/>
          <w:highlight w:val="none"/>
          <w:u w:val="single"/>
        </w:rPr>
        <w:t>监狱企业</w:t>
      </w:r>
      <w:r>
        <w:rPr>
          <w:rFonts w:hint="eastAsia" w:ascii="宋体" w:hAnsi="宋体"/>
          <w:szCs w:val="21"/>
          <w:highlight w:val="none"/>
        </w:rPr>
        <w:t>。</w:t>
      </w:r>
    </w:p>
    <w:p>
      <w:pPr>
        <w:ind w:firstLine="420" w:firstLineChars="200"/>
        <w:rPr>
          <w:rFonts w:ascii="宋体" w:hAnsi="宋体"/>
          <w:szCs w:val="21"/>
          <w:highlight w:val="none"/>
        </w:rPr>
      </w:pPr>
      <w:r>
        <w:rPr>
          <w:rFonts w:ascii="宋体" w:hAnsi="宋体"/>
          <w:szCs w:val="21"/>
          <w:highlight w:val="none"/>
        </w:rPr>
        <w:t xml:space="preserve">…… </w:t>
      </w:r>
    </w:p>
    <w:p>
      <w:pPr>
        <w:ind w:firstLine="422" w:firstLineChars="200"/>
        <w:rPr>
          <w:b/>
          <w:bCs/>
          <w:color w:val="0000FF"/>
          <w:highlight w:val="none"/>
        </w:rPr>
      </w:pPr>
      <w:r>
        <w:rPr>
          <w:b/>
          <w:bCs/>
          <w:color w:val="0000FF"/>
          <w:highlight w:val="none"/>
        </w:rPr>
        <w:t>本</w:t>
      </w:r>
      <w:r>
        <w:rPr>
          <w:rFonts w:hint="eastAsia"/>
          <w:b/>
          <w:bCs/>
          <w:color w:val="0000FF"/>
          <w:highlight w:val="none"/>
        </w:rPr>
        <w:t>供应商</w:t>
      </w:r>
      <w:r>
        <w:rPr>
          <w:b/>
          <w:bCs/>
          <w:color w:val="0000FF"/>
          <w:highlight w:val="none"/>
        </w:rPr>
        <w:t>对上述声明内容的真实性负责。如有虚假，将依法承担相应责任。</w:t>
      </w:r>
    </w:p>
    <w:p>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pPr>
        <w:ind w:left="723" w:hanging="723" w:hangingChars="300"/>
        <w:rPr>
          <w:b/>
          <w:sz w:val="24"/>
          <w:highlight w:val="none"/>
        </w:rPr>
      </w:pPr>
    </w:p>
    <w:p>
      <w:pPr>
        <w:ind w:left="723" w:hanging="723" w:hangingChars="300"/>
        <w:rPr>
          <w:b/>
          <w:sz w:val="24"/>
          <w:highlight w:val="none"/>
        </w:rPr>
      </w:pPr>
    </w:p>
    <w:p>
      <w:pPr>
        <w:rPr>
          <w:rFonts w:hint="eastAsia" w:ascii="黑体" w:eastAsia="黑体"/>
          <w:b w:val="0"/>
          <w:sz w:val="24"/>
          <w:szCs w:val="24"/>
          <w:highlight w:val="none"/>
        </w:rPr>
      </w:pPr>
      <w:r>
        <w:rPr>
          <w:rFonts w:hint="eastAsia" w:ascii="黑体" w:eastAsia="黑体"/>
          <w:b w:val="0"/>
          <w:sz w:val="24"/>
          <w:szCs w:val="24"/>
          <w:highlight w:val="none"/>
        </w:rPr>
        <w:br w:type="page"/>
      </w:r>
    </w:p>
    <w:p>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pPr>
        <w:tabs>
          <w:tab w:val="left" w:pos="720"/>
        </w:tabs>
        <w:ind w:firstLine="3132" w:firstLineChars="1300"/>
        <w:rPr>
          <w:rFonts w:hint="eastAsia"/>
          <w:b/>
          <w:sz w:val="24"/>
          <w:highlight w:val="none"/>
        </w:rPr>
      </w:pPr>
      <w:r>
        <w:rPr>
          <w:rFonts w:hint="eastAsia"/>
          <w:b/>
          <w:sz w:val="24"/>
          <w:highlight w:val="none"/>
        </w:rPr>
        <w:t>（一）分项报价表</w:t>
      </w:r>
    </w:p>
    <w:p>
      <w:pPr>
        <w:pStyle w:val="2"/>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3163"/>
        <w:gridCol w:w="1146"/>
        <w:gridCol w:w="1083"/>
        <w:gridCol w:w="135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4" w:hRule="atLeast"/>
        </w:trPr>
        <w:tc>
          <w:tcPr>
            <w:tcW w:w="852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工程项目招标控制价汇总表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6098"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431"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1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51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4"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暂估价</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施工费</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5" w:hRule="atLeast"/>
        </w:trPr>
        <w:tc>
          <w:tcPr>
            <w:tcW w:w="70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1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1146"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07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70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工程建设其他费</w:t>
            </w:r>
          </w:p>
        </w:tc>
        <w:tc>
          <w:tcPr>
            <w:tcW w:w="1146"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706"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6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设备及工器具购置费</w:t>
            </w:r>
          </w:p>
        </w:tc>
        <w:tc>
          <w:tcPr>
            <w:tcW w:w="1146"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7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386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8529" w:type="dxa"/>
            <w:gridSpan w:val="6"/>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注：本表适用于建设项目招标控制价或投标报价的汇总。</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3065"/>
        <w:gridCol w:w="1119"/>
        <w:gridCol w:w="1165"/>
        <w:gridCol w:w="1324"/>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5" w:hRule="atLeast"/>
        </w:trPr>
        <w:tc>
          <w:tcPr>
            <w:tcW w:w="852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 w:hRule="atLeast"/>
        </w:trPr>
        <w:tc>
          <w:tcPr>
            <w:tcW w:w="687"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065"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119"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165"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324"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169" w:type="dxa"/>
            <w:tcBorders>
              <w:top w:val="nil"/>
              <w:left w:val="nil"/>
              <w:bottom w:val="nil"/>
              <w:right w:val="nil"/>
            </w:tcBorders>
            <w:shd w:val="clear" w:color="auto" w:fill="auto"/>
            <w:noWrap/>
            <w:vAlign w:val="top"/>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036"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493" w:type="dxa"/>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单位工程名称</w:t>
            </w:r>
          </w:p>
        </w:tc>
        <w:tc>
          <w:tcPr>
            <w:tcW w:w="11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65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施工措施费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专业工程暂估价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专业工程结算价</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1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8529"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注：本表适用于单项工程招标控制价或投标报价的汇总。</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3"/>
        <w:gridCol w:w="2656"/>
        <w:gridCol w:w="1155"/>
        <w:gridCol w:w="1474"/>
        <w:gridCol w:w="2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5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309"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629" w:type="dxa"/>
            <w:gridSpan w:val="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591"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暂列金额(元)</w:t>
            </w: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44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4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591"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8529"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注：本表由招标人填写，如不能详列，也可只列暂列金额总额。</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1680"/>
        <w:gridCol w:w="1597"/>
        <w:gridCol w:w="664"/>
        <w:gridCol w:w="853"/>
        <w:gridCol w:w="652"/>
        <w:gridCol w:w="650"/>
        <w:gridCol w:w="1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529"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工程建设其他费计价表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91"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169" w:type="dxa"/>
            <w:gridSpan w:val="3"/>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w:t>
            </w:r>
          </w:p>
        </w:tc>
        <w:tc>
          <w:tcPr>
            <w:tcW w:w="2369"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5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工作内容</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单位</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1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5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1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勘察设计费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工程检测费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基桩检测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地基基础检测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锚栓（植筋）抗拔、抗剪试验</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钢结构探伤检测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钢网架构变形检测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建筑幕墙及建筑外窗气密性、水密性、风压变形性能检测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外墙饰面砖粘结强度检测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建筑物沉降、变形检测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室内环境质量检测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智能建筑检测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建筑节能检测</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其他检验费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城市道路临时占用费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城市道路挖掘修复费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临时占用绿地费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绿化补偿（赔偿）费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1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工程保险费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(含税建安工程造价+设备及工器具购置费)×工程保险费费率(房建工程参考范围0.8~3.0‰；市政工程参考范围1.0~7.0‰；轨道交通与综合管廊工程参考范围1.2~9.0‰；详见《深圳市建设工程计价费率标准(2023)》)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弃土场受纳处置费</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深建价[2013]3号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5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1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2852"/>
        <w:gridCol w:w="1114"/>
        <w:gridCol w:w="1245"/>
        <w:gridCol w:w="140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3" w:hRule="atLeast"/>
        </w:trPr>
        <w:tc>
          <w:tcPr>
            <w:tcW w:w="8529"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5895" w:type="dxa"/>
            <w:gridSpan w:val="4"/>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634" w:type="dxa"/>
            <w:gridSpan w:val="2"/>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85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单项工程名称</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38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暂估价(元)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安全文明施工措施费(元)</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68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园岭街道华林社区儿童友好空间壹宝天地乐园工程项目</w:t>
            </w:r>
          </w:p>
        </w:tc>
        <w:tc>
          <w:tcPr>
            <w:tcW w:w="1114"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trPr>
        <w:tc>
          <w:tcPr>
            <w:tcW w:w="68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2"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3" w:hRule="atLeast"/>
        </w:trPr>
        <w:tc>
          <w:tcPr>
            <w:tcW w:w="684"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852"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114"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30" w:type="dxa"/>
            <w:tcBorders>
              <w:top w:val="single" w:color="000000" w:sz="4" w:space="0"/>
              <w:left w:val="single" w:color="000000" w:sz="4" w:space="0"/>
              <w:bottom w:val="nil"/>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 w:hRule="atLeast"/>
        </w:trPr>
        <w:tc>
          <w:tcPr>
            <w:tcW w:w="8529" w:type="dxa"/>
            <w:gridSpan w:val="6"/>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注：本表适用于单项工程招标控制价或投标价的汇总。</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60"/>
        <w:gridCol w:w="3012"/>
        <w:gridCol w:w="1885"/>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3" w:hRule="atLeast"/>
        </w:trPr>
        <w:tc>
          <w:tcPr>
            <w:tcW w:w="852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9" w:hRule="atLeast"/>
        </w:trPr>
        <w:tc>
          <w:tcPr>
            <w:tcW w:w="1160"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012"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4357"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9"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汇 总 内 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c>
          <w:tcPr>
            <w:tcW w:w="24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材料设备暂估价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拆除工程</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铺装工程</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小品及设施</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照明系统</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监控系统</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措施项目费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其中：混凝土、钢筋混凝土模板及支架费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履约担保手续费、赶工措施费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其它措施项目费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其他项目费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计日工</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总承包服务费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发包人供应材料费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不含税建安工程造价</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417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含税建安工程造价=5+6</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24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9" w:hRule="atLeast"/>
        </w:trPr>
        <w:tc>
          <w:tcPr>
            <w:tcW w:w="8529"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注：本表适用于单位工程招标控制价或投标价的汇总，如无单位工程划分，单项工程也使用本表汇总。</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6"/>
        <w:gridCol w:w="1296"/>
        <w:gridCol w:w="1086"/>
        <w:gridCol w:w="2016"/>
        <w:gridCol w:w="489"/>
        <w:gridCol w:w="756"/>
        <w:gridCol w:w="937"/>
        <w:gridCol w:w="847"/>
        <w:gridCol w:w="7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拆除工程</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挖一般土方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1、履带式挖掘机挖土方 装车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161.15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铺装工程</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050201001001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EPDM彩色地垫（20mm厚）</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1、10厚粒径1-2彩色EPDM颗粒整体现浇，颜色详平面（含划线）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2、10厚粒径2-4再生胶整体现浇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3、专用胶水固定粘结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4、20厚1:2.5水泥砂浆找平层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5、100厚C20混凝土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6、150厚级配碎石垫层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7、素土夯实,夯实系数98%</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519.85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050201003003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金属收边条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1、60x60x2厚304#拉丝面不锈钢收边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218.03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040205007001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地面图案</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1、彩色划线漆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2、详见LP-1.01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39.33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010101004001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挖基坑土方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1.人工挖基坑土方 深度H(m) H≤2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eastAsia"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2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1、原土回填、夯实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1、级配碎石垫层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010501001002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1、C15垫层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010401001001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砖基础</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1、120厚MU10M7.5砖砌体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010501002001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带形基础</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1、C20混凝土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041102001001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垫层模板</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041102002001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基础模板</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010515001001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现浇构件钢筋</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1、现浇构件螺纹钢筋 制安 Φ25以内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010516002001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预埋铁件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1、150x150x10厚热镀锌钢板+4φ10钢筋，L=150mm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011203001001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零星项目一般抹灰</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1、30厚1：2.5水泥砂浆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011406001001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抹灰面油漆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1、面饰灰色外墙漆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3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050307009002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标识LOGO</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1、2厚#304哑光面不锈钢板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2、长4.7m，高1.1m，宽0.1m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3、由专业厂商二次深化设计、安装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小品及设施</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050307009001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儿童乐园提示牌1</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1、2厚镀锌钢板，面喷深绿色氟碳漆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2、长0.6m，高1.9m，厚0.1m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3、LOGO字体由专业厂家二次深化设计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儿童乐园提示牌2</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1、2厚镀锌钢板，面喷深绿色氟碳漆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2、LOGO字体由专业厂家二次深化设计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050307008001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宠物围栏</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1、部位：宠物围栏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2、立柱：φ50X3厚镀锌钢管，面刷仿木纹漆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3、扶手：φ80X3厚镀锌钢管，面刷仿木纹漆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4、围栏：1.5厚φ80白色铁丝网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5、含成品门、基础、等五金配件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050307019008</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1、参数：88x33x100cm，1组2个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050307019007</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儿童秋千</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1、参数：318x120x240cm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2、材质;镀锌钢+防腐木,成品采购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4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滑梯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1、成品定制器械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050307019009</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成品背景墙</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1、特殊定制，有厂家二次优化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2、材质;镀锌钢板/玻璃钢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050307019006</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大型儿童游乐设施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1、特殊定制，有厂家二次优化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7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成品座椅</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1、规格:70x40x60cm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2、材质;镀锌钢+防腐木，成品采购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成品宠物饮水器意向图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1、规格:φ500X1200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2、材质;镀锌钢管+#304不锈钢，定制、由专业厂家深化设计制作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050307019005</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成品宠物便便箱意向图</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1、规格:1700X400X300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2、材质;镀锌钢管+#304不锈钢，定制、由专业厂家深化设计制作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照明系统</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9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030412007001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庭院灯</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1.名称:庭院灯H=3.5m(防护等级IP65)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2.光源:LED 220V 40W 3000K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3.混凝土基础制安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4.不锈钢管接地极安装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5.其他:具体要求详见设计大样图纸及设计要求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2.规格:YJV--1KV-3*4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3.敷设方式、部位:埋地敷设</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5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030408006001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2.规格:10mm2以下</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030414002001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(1)名称:1kV以下交流供电系统调试</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1.类型：人工回填夯实 回填石粉渣</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监控系统</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030507008001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1.名称:监控摄像枪机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2.规格参数:400万智能枪机,内置32倍变焦镜头;镜头采用1/1.8"CMOS传感器,高清成像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3.其他:详见图纸及相关规范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030507008002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1.名称:监控摄像球机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2.规格参数:轻智能筒型网络摄像机,支持鳞镜补光、F1.0光圈镜头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3.其他:详见图纸及相关规范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080703008001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二合一防雷器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1.名称:二合一防雷器（1000M RJ45口;出入电压12~220V）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2.其他:详见图纸及相关规范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030411004001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2.规格:RVV-2*1.5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4.其他:详见图纸及相关规范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5"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2.规格:0.6/1.0KV-YJV-3*4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3.敷设方式、部位:穿管敷设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4.其他:详见图纸及相关规范</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2.规格:PVC25*1.5mm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6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9"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030411001004</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1.名称:配管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2.规格:PVC50*2.0mm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3.敷设方式:埋地敷设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4..其它:详见设计图纸及相关规范要求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51"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040205003001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弱电设备杆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1.名称:监控立杆高度4000mm;避雷针长500mm;支臂长500mm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2.材质:Q235钢材质,3.0mm厚,钢构件所采用的钢材应符合GB-700的标准;在立杆0.7米高处设置一个110X300mm的检修口;采用活动支架安装摄像机,定制支架;含设备箱250*400*400mm304不锈钢材质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3.含基础制作安装</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040205001001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弱电拉线井</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1.名称:弱电拉线井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2.其它:详电缆井大样图及相关规范要求</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4"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1.类型：人工回填夯实 回填石粉渣</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1"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010103002002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1、运距 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36.96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给排水</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50"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040504009001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雨水口</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1、雨水口改造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2、500X1000X50厚5厚成品深灰色铸铁篦子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3、200厚C20混凝土结构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4、详见LT-1.01-5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5、其他:未尽事项详见图纸、招标文件、报价要求及编制说明、国家相关规范等</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040501004001</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UH排水管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1.安装部位:PVC- UH排水管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4.连接形式:专用胶粘接</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040501004002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PVC- UH排水管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1.安装部位:PVC- UH排水管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2.材质、规格:DN300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4.连接形式:专用胶粘接</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29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108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201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489"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5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93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847"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c>
          <w:tcPr>
            <w:tcW w:w="706" w:type="dxa"/>
            <w:tcBorders>
              <w:top w:val="nil"/>
              <w:left w:val="nil"/>
              <w:bottom w:val="nil"/>
              <w:right w:val="nil"/>
            </w:tcBorders>
            <w:shd w:val="clear" w:color="auto" w:fill="auto"/>
            <w:noWrap/>
            <w:vAlign w:val="bottom"/>
          </w:tcPr>
          <w:p>
            <w:pPr>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分部分项工程量清单与计价表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（适用于工程量清单计价）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2778"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3261"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490"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7 页 共 7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5" w:hRule="atLeast"/>
        </w:trPr>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项目编码</w:t>
            </w: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0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249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0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综合单价</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材料设备暂估合价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010101003002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挖沟槽土方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1.类型：人工挖沟槽土方</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010103001003</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回填方</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1.类型：人工回填土方</w:t>
            </w:r>
          </w:p>
        </w:tc>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40.5</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2"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分部小计</w:t>
            </w: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trPr>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31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本页小计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3412.13</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697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4536"/>
        <w:gridCol w:w="1761"/>
        <w:gridCol w:w="15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2" w:hRule="atLeast"/>
        </w:trPr>
        <w:tc>
          <w:tcPr>
            <w:tcW w:w="8529"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措施项目清单与计价汇总表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3" w:hRule="atLeast"/>
        </w:trPr>
        <w:tc>
          <w:tcPr>
            <w:tcW w:w="5202" w:type="dxa"/>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176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1566" w:type="dxa"/>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 目 名 称</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9809.99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安全文明施工措施费(按费率计算)</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其他安全文明施工措施(按清单列项)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施工临时围挡费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基坑内场地硬地化</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产业工人职业训练专项经费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履约担保手续费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夜间施工增加费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赶工措施费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冬雨季施工费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已完成工程及设备保护费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地上地下设施及建筑物的临时保护费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混凝土、钢筋混凝土模板及支架费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二次搬运费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脚手架费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垂直运输机械费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大型机械设备进出场及安拆费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施工排水、降水费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专业工程措施项目费</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围堰</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筑岛</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便道</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便桥</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洞内施工的通风、供水、供气、供电、照明及通讯设施</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驳岸块石清理</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地下管线交叉处理</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行车、行人干扰增加</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轨道交通工程路桥</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14.10</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市政基础设施施工监测、监控、保护</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6" w:hRule="atLeast"/>
        </w:trPr>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8"/>
                <w:szCs w:val="18"/>
                <w:u w:val="none"/>
              </w:rPr>
            </w:pP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520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33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9" w:hRule="atLeast"/>
        </w:trPr>
        <w:tc>
          <w:tcPr>
            <w:tcW w:w="8529" w:type="dxa"/>
            <w:gridSpan w:val="4"/>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注：专业工程措施项目费可根据工程实际在本表中补充。</w:t>
            </w:r>
          </w:p>
        </w:tc>
      </w:tr>
    </w:tbl>
    <w:p>
      <w:pPr>
        <w:pStyle w:val="20"/>
        <w:rPr>
          <w:rFonts w:hint="default"/>
          <w:lang w:val="en-US" w:eastAsia="zh-CN"/>
        </w:rPr>
      </w:pPr>
    </w:p>
    <w:tbl>
      <w:tblPr>
        <w:tblStyle w:val="43"/>
        <w:tblW w:w="8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2936"/>
        <w:gridCol w:w="2303"/>
        <w:gridCol w:w="1051"/>
        <w:gridCol w:w="1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8529"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规费、应纳税费项目清单与计价表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3650" w:type="dxa"/>
            <w:gridSpan w:val="2"/>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工程名称：园岭街道华林社区儿童友好空间壹宝天地乐园工程项目</w:t>
            </w:r>
          </w:p>
        </w:tc>
        <w:tc>
          <w:tcPr>
            <w:tcW w:w="2303" w:type="dxa"/>
            <w:tcBorders>
              <w:top w:val="nil"/>
              <w:left w:val="nil"/>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标段：园岭街道华林社区儿童友好空间壹宝天地乐园工程项目</w:t>
            </w:r>
          </w:p>
        </w:tc>
        <w:tc>
          <w:tcPr>
            <w:tcW w:w="2576" w:type="dxa"/>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29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2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计算基础</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费率(%)</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(分部分项工程费+措施项目费+其他项目费)中的人工费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2"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应纳税费合计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3"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分部分项工程费+措施项目费+其他项目费+规费-发包人供应材料费</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7"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城市维护建设税、教育费附加及地方教育费附加</w:t>
            </w: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增值税应纳税额</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23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00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8"/>
                <w:szCs w:val="18"/>
                <w:u w:val="none"/>
              </w:rPr>
            </w:pPr>
          </w:p>
        </w:tc>
      </w:tr>
    </w:tbl>
    <w:p>
      <w:pPr>
        <w:pStyle w:val="20"/>
        <w:rPr>
          <w:rFonts w:hint="default"/>
          <w:lang w:val="en-US" w:eastAsia="zh-CN"/>
        </w:rPr>
      </w:pPr>
    </w:p>
    <w:p>
      <w:pPr>
        <w:ind w:firstLine="420" w:firstLineChars="200"/>
        <w:rPr>
          <w:rFonts w:ascii="宋体" w:hAnsi="宋体"/>
          <w:szCs w:val="21"/>
          <w:highlight w:val="none"/>
        </w:rPr>
      </w:pPr>
      <w:r>
        <w:rPr>
          <w:rFonts w:hint="eastAsia" w:ascii="宋体" w:hAnsi="宋体"/>
          <w:szCs w:val="21"/>
          <w:highlight w:val="none"/>
        </w:rPr>
        <w:t>1.所有价格应按</w:t>
      </w:r>
      <w:r>
        <w:rPr>
          <w:rFonts w:hint="eastAsia" w:ascii="宋体" w:hAnsi="宋体"/>
          <w:szCs w:val="21"/>
          <w:highlight w:val="none"/>
          <w:lang w:val="en-US" w:eastAsia="zh-CN"/>
        </w:rPr>
        <w:t>表格</w:t>
      </w:r>
      <w:r>
        <w:rPr>
          <w:rFonts w:hint="eastAsia" w:ascii="宋体" w:hAnsi="宋体"/>
          <w:szCs w:val="21"/>
          <w:highlight w:val="none"/>
        </w:rPr>
        <w:t>中规定的货币单位填写；</w:t>
      </w:r>
    </w:p>
    <w:p>
      <w:pPr>
        <w:rPr>
          <w:rFonts w:ascii="宋体" w:hAnsi="宋体"/>
          <w:szCs w:val="21"/>
          <w:highlight w:val="none"/>
        </w:rPr>
      </w:pPr>
      <w:r>
        <w:rPr>
          <w:rFonts w:ascii="宋体" w:hAnsi="宋体"/>
          <w:szCs w:val="21"/>
          <w:highlight w:val="none"/>
        </w:rPr>
        <w:t xml:space="preserve">    2</w:t>
      </w:r>
      <w:r>
        <w:rPr>
          <w:rFonts w:hint="eastAsia" w:ascii="宋体" w:hAnsi="宋体"/>
          <w:szCs w:val="21"/>
          <w:highlight w:val="none"/>
        </w:rPr>
        <w:t>.</w:t>
      </w:r>
      <w:r>
        <w:rPr>
          <w:rFonts w:hint="eastAsia" w:ascii="宋体" w:hAnsi="宋体"/>
          <w:szCs w:val="21"/>
          <w:highlight w:val="none"/>
          <w:lang w:val="en-US" w:eastAsia="zh-CN"/>
        </w:rPr>
        <w:t>投标</w:t>
      </w:r>
      <w:r>
        <w:rPr>
          <w:rFonts w:hint="eastAsia" w:ascii="宋体" w:hAnsi="宋体"/>
          <w:szCs w:val="21"/>
          <w:highlight w:val="none"/>
        </w:rPr>
        <w:t>总价应为以上各分项价格之和；</w:t>
      </w:r>
    </w:p>
    <w:p>
      <w:pPr>
        <w:ind w:firstLine="420" w:firstLineChars="200"/>
        <w:rPr>
          <w:rFonts w:ascii="宋体" w:hAnsi="宋体"/>
          <w:szCs w:val="21"/>
          <w:highlight w:val="none"/>
        </w:rPr>
      </w:pPr>
      <w:r>
        <w:rPr>
          <w:rFonts w:hint="eastAsia" w:ascii="宋体" w:hAnsi="宋体"/>
          <w:szCs w:val="21"/>
          <w:highlight w:val="none"/>
        </w:rPr>
        <w:t>3.本表格式可根据项目具体情况进行修改；</w:t>
      </w:r>
    </w:p>
    <w:p>
      <w:pPr>
        <w:ind w:firstLine="411" w:firstLineChars="196"/>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w:t>
      </w:r>
      <w:r>
        <w:rPr>
          <w:rFonts w:hint="eastAsia" w:ascii="宋体" w:hAnsi="宋体"/>
          <w:szCs w:val="21"/>
          <w:highlight w:val="none"/>
          <w:lang w:val="en-US" w:eastAsia="zh-CN"/>
        </w:rPr>
        <w:t>分项报价</w:t>
      </w:r>
      <w:r>
        <w:rPr>
          <w:rFonts w:hint="eastAsia" w:ascii="宋体" w:hAnsi="宋体"/>
          <w:szCs w:val="21"/>
          <w:highlight w:val="none"/>
        </w:rPr>
        <w:t>表》的总价应与开标一览表的总价一致。</w:t>
      </w:r>
    </w:p>
    <w:p>
      <w:pPr>
        <w:pStyle w:val="20"/>
        <w:rPr>
          <w:rFonts w:hint="default"/>
          <w:lang w:val="en-US" w:eastAsia="zh-CN"/>
        </w:rPr>
      </w:pPr>
    </w:p>
    <w:p>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pPr>
        <w:rPr>
          <w:highlight w:val="none"/>
        </w:rPr>
      </w:pP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3"/>
        <w:tblW w:w="9015" w:type="dxa"/>
        <w:jc w:val="center"/>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756" w:hRule="atLeast"/>
          <w:jc w:val="center"/>
        </w:trPr>
        <w:tc>
          <w:tcPr>
            <w:tcW w:w="675" w:type="dxa"/>
            <w:vAlign w:val="center"/>
          </w:tcPr>
          <w:p>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pPr>
              <w:spacing w:line="276" w:lineRule="auto"/>
              <w:jc w:val="center"/>
              <w:rPr>
                <w:rFonts w:ascii="宋体"/>
                <w:szCs w:val="21"/>
                <w:highlight w:val="none"/>
              </w:rPr>
            </w:pPr>
            <w:r>
              <w:rPr>
                <w:rFonts w:hint="eastAsia" w:ascii="宋体" w:hAnsi="宋体"/>
                <w:szCs w:val="21"/>
                <w:highlight w:val="none"/>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cantSplit/>
          <w:trHeight w:val="392"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cantSplit/>
          <w:trHeight w:val="423" w:hRule="atLeast"/>
          <w:jc w:val="center"/>
        </w:trPr>
        <w:tc>
          <w:tcPr>
            <w:tcW w:w="675" w:type="dxa"/>
          </w:tcPr>
          <w:p>
            <w:pPr>
              <w:spacing w:line="276" w:lineRule="auto"/>
              <w:rPr>
                <w:rFonts w:ascii="宋体"/>
                <w:szCs w:val="21"/>
                <w:highlight w:val="none"/>
              </w:rPr>
            </w:pPr>
          </w:p>
        </w:tc>
        <w:tc>
          <w:tcPr>
            <w:tcW w:w="1267" w:type="dxa"/>
          </w:tcPr>
          <w:p>
            <w:pPr>
              <w:spacing w:line="276" w:lineRule="auto"/>
              <w:rPr>
                <w:rFonts w:ascii="宋体"/>
                <w:szCs w:val="21"/>
                <w:highlight w:val="none"/>
              </w:rPr>
            </w:pPr>
          </w:p>
        </w:tc>
        <w:tc>
          <w:tcPr>
            <w:tcW w:w="1105" w:type="dxa"/>
          </w:tcPr>
          <w:p>
            <w:pPr>
              <w:spacing w:line="276" w:lineRule="auto"/>
              <w:rPr>
                <w:rFonts w:ascii="宋体"/>
                <w:szCs w:val="21"/>
                <w:highlight w:val="none"/>
              </w:rPr>
            </w:pPr>
          </w:p>
        </w:tc>
        <w:tc>
          <w:tcPr>
            <w:tcW w:w="1538" w:type="dxa"/>
          </w:tcPr>
          <w:p>
            <w:pPr>
              <w:spacing w:line="276" w:lineRule="auto"/>
              <w:rPr>
                <w:rFonts w:ascii="宋体"/>
                <w:szCs w:val="21"/>
                <w:highlight w:val="none"/>
              </w:rPr>
            </w:pPr>
          </w:p>
        </w:tc>
        <w:tc>
          <w:tcPr>
            <w:tcW w:w="1287" w:type="dxa"/>
          </w:tcPr>
          <w:p>
            <w:pPr>
              <w:spacing w:line="276" w:lineRule="auto"/>
              <w:rPr>
                <w:rFonts w:ascii="宋体"/>
                <w:szCs w:val="21"/>
                <w:highlight w:val="none"/>
              </w:rPr>
            </w:pPr>
          </w:p>
        </w:tc>
        <w:tc>
          <w:tcPr>
            <w:tcW w:w="1113" w:type="dxa"/>
          </w:tcPr>
          <w:p>
            <w:pPr>
              <w:spacing w:line="276" w:lineRule="auto"/>
              <w:rPr>
                <w:rFonts w:ascii="宋体"/>
                <w:szCs w:val="21"/>
                <w:highlight w:val="none"/>
              </w:rPr>
            </w:pPr>
          </w:p>
        </w:tc>
        <w:tc>
          <w:tcPr>
            <w:tcW w:w="907" w:type="dxa"/>
          </w:tcPr>
          <w:p>
            <w:pPr>
              <w:spacing w:line="276" w:lineRule="auto"/>
              <w:rPr>
                <w:rFonts w:ascii="宋体"/>
                <w:szCs w:val="21"/>
                <w:highlight w:val="none"/>
              </w:rPr>
            </w:pPr>
          </w:p>
        </w:tc>
        <w:tc>
          <w:tcPr>
            <w:tcW w:w="1123" w:type="dxa"/>
          </w:tcPr>
          <w:p>
            <w:pPr>
              <w:spacing w:line="276" w:lineRule="auto"/>
              <w:rPr>
                <w:rFonts w:ascii="宋体"/>
                <w:szCs w:val="21"/>
                <w:highlight w:val="none"/>
              </w:rPr>
            </w:pPr>
          </w:p>
        </w:tc>
      </w:tr>
    </w:tbl>
    <w:p>
      <w:pPr>
        <w:pStyle w:val="1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、履约评价</w:t>
      </w:r>
    </w:p>
    <w:p>
      <w:pPr>
        <w:pStyle w:val="19"/>
        <w:spacing w:line="276" w:lineRule="auto"/>
        <w:rPr>
          <w:b w:val="0"/>
          <w:bCs w:val="0"/>
          <w:sz w:val="21"/>
          <w:szCs w:val="21"/>
          <w:highlight w:val="none"/>
        </w:rPr>
      </w:pPr>
      <w:r>
        <w:rPr>
          <w:rFonts w:hint="eastAsia"/>
          <w:b w:val="0"/>
          <w:bCs w:val="0"/>
          <w:sz w:val="21"/>
          <w:szCs w:val="21"/>
          <w:highlight w:val="none"/>
        </w:rPr>
        <w:t>（特别提示：投标人须按本招标文件评标信息中“同类项目业绩”这一评分因素要求，提供证明资料）</w:t>
      </w:r>
    </w:p>
    <w:p>
      <w:pPr>
        <w:pStyle w:val="2"/>
        <w:rPr>
          <w:highlight w:val="none"/>
        </w:rPr>
      </w:pPr>
    </w:p>
    <w:p>
      <w:pPr>
        <w:pStyle w:val="8"/>
        <w:rPr>
          <w:highlight w:val="none"/>
        </w:rPr>
      </w:pPr>
    </w:p>
    <w:p>
      <w:pPr>
        <w:rPr>
          <w:rFonts w:hint="default" w:eastAsia="宋体"/>
          <w:highlight w:val="none"/>
          <w:lang w:val="en-US" w:eastAsia="zh-CN"/>
        </w:rPr>
      </w:pP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、体系认证情况</w:t>
      </w:r>
    </w:p>
    <w:p>
      <w:pPr>
        <w:pStyle w:val="19"/>
        <w:spacing w:line="276" w:lineRule="auto"/>
        <w:rPr>
          <w:b w:val="0"/>
          <w:bCs w:val="0"/>
          <w:sz w:val="21"/>
          <w:szCs w:val="21"/>
          <w:highlight w:val="none"/>
        </w:rPr>
      </w:pPr>
      <w:r>
        <w:rPr>
          <w:rFonts w:hint="eastAsia"/>
          <w:b w:val="0"/>
          <w:bCs w:val="0"/>
          <w:sz w:val="21"/>
          <w:szCs w:val="21"/>
          <w:highlight w:val="none"/>
        </w:rPr>
        <w:t>（特别提示：投标人须按本招标文件评标信息中“体系认证情况”这一评分因素要求，提供证明资料）</w:t>
      </w:r>
    </w:p>
    <w:p>
      <w:pPr>
        <w:pStyle w:val="4"/>
        <w:spacing w:line="276" w:lineRule="auto"/>
        <w:jc w:val="center"/>
        <w:rPr>
          <w:rFonts w:ascii="黑体" w:eastAsia="黑体"/>
          <w:b w:val="0"/>
          <w:kern w:val="0"/>
          <w:sz w:val="24"/>
          <w:szCs w:val="24"/>
          <w:highlight w:val="none"/>
        </w:rPr>
      </w:pPr>
      <w:r>
        <w:rPr>
          <w:rFonts w:hint="eastAsia"/>
          <w:b/>
          <w:color w:val="FF0000"/>
          <w:sz w:val="24"/>
          <w:highlight w:val="none"/>
        </w:rPr>
        <w:br w:type="page"/>
      </w:r>
      <w:r>
        <w:rPr>
          <w:rFonts w:hint="eastAsia" w:ascii="黑体" w:hAnsi="宋体" w:eastAsia="黑体" w:cs="Times New Roman"/>
          <w:b w:val="0"/>
          <w:kern w:val="0"/>
          <w:sz w:val="24"/>
          <w:szCs w:val="24"/>
          <w:highlight w:val="none"/>
          <w:lang w:val="en-US" w:eastAsia="zh-CN"/>
        </w:rPr>
        <w:t>八</w:t>
      </w:r>
      <w:r>
        <w:rPr>
          <w:rFonts w:hint="eastAsia" w:ascii="黑体" w:hAnsi="宋体" w:eastAsia="黑体" w:cs="Times New Roman"/>
          <w:b w:val="0"/>
          <w:kern w:val="0"/>
          <w:sz w:val="24"/>
          <w:szCs w:val="24"/>
          <w:highlight w:val="none"/>
        </w:rPr>
        <w:t>、</w:t>
      </w:r>
      <w:r>
        <w:rPr>
          <w:rFonts w:hint="eastAsia" w:ascii="黑体" w:eastAsia="黑体" w:cs="Times New Roman"/>
          <w:b w:val="0"/>
          <w:kern w:val="0"/>
          <w:sz w:val="24"/>
          <w:szCs w:val="24"/>
          <w:highlight w:val="none"/>
        </w:rPr>
        <w:t>投标人认为需要加以说明的其他内容（信息公开部分）</w:t>
      </w:r>
    </w:p>
    <w:p>
      <w:pPr>
        <w:rPr>
          <w:rFonts w:hint="eastAsia"/>
          <w:b/>
          <w:color w:val="FF0000"/>
          <w:sz w:val="24"/>
          <w:highlight w:val="none"/>
        </w:rPr>
      </w:pPr>
      <w:r>
        <w:rPr>
          <w:rFonts w:hint="eastAsia"/>
          <w:b/>
          <w:color w:val="FF0000"/>
          <w:sz w:val="24"/>
          <w:highlight w:val="none"/>
        </w:rPr>
        <w:br w:type="page"/>
      </w:r>
    </w:p>
    <w:p>
      <w:pPr>
        <w:rPr>
          <w:rFonts w:hint="eastAsia" w:ascii="宋体" w:hAnsi="宋体"/>
          <w:b/>
          <w:color w:val="FF0000"/>
          <w:sz w:val="28"/>
          <w:szCs w:val="28"/>
          <w:highlight w:val="none"/>
        </w:rPr>
      </w:pPr>
      <w:r>
        <w:rPr>
          <w:rFonts w:hint="eastAsia"/>
          <w:b/>
          <w:color w:val="FF0000"/>
          <w:sz w:val="24"/>
          <w:highlight w:val="none"/>
        </w:rPr>
        <w:t>（信息公开部分的内容到此为止！以下为信息不公开部分。）</w:t>
      </w:r>
    </w:p>
    <w:p>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85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45"/>
        <w:gridCol w:w="1530"/>
        <w:gridCol w:w="904"/>
        <w:gridCol w:w="752"/>
        <w:gridCol w:w="1146"/>
        <w:gridCol w:w="1429"/>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45" w:type="dxa"/>
            <w:gridSpan w:val="2"/>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434"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2849"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6" w:type="dxa"/>
            <w:gridSpan w:val="8"/>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75" w:type="dxa"/>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04" w:type="dxa"/>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898" w:type="dxa"/>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429" w:type="dxa"/>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20" w:type="dxa"/>
            <w:tcBorders>
              <w:bottom w:val="single" w:color="auto" w:sz="4" w:space="0"/>
            </w:tcBorders>
            <w:noWrap w:val="0"/>
            <w:vAlign w:val="center"/>
          </w:tcPr>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tcBorders>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175" w:type="dxa"/>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04" w:type="dxa"/>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9" w:type="dxa"/>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0" w:type="dxa"/>
            <w:tcBorders>
              <w:top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175"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04"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9"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0"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noWrap w:val="0"/>
            <w:vAlign w:val="center"/>
          </w:tcPr>
          <w:p>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175" w:type="dxa"/>
            <w:gridSpan w:val="2"/>
            <w:noWrap w:val="0"/>
            <w:vAlign w:val="center"/>
          </w:tcPr>
          <w:p>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904"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898" w:type="dxa"/>
            <w:gridSpan w:val="2"/>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9"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1420" w:type="dxa"/>
            <w:noWrap w:val="0"/>
            <w:vAlign w:val="center"/>
          </w:tcPr>
          <w:p>
            <w:pPr>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6" w:type="dxa"/>
            <w:gridSpan w:val="8"/>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8526" w:type="dxa"/>
            <w:gridSpan w:val="8"/>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175" w:type="dxa"/>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656" w:type="dxa"/>
            <w:gridSpan w:val="2"/>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3995" w:type="dxa"/>
            <w:gridSpan w:val="3"/>
            <w:tcBorders>
              <w:bottom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7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65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vertAlign w:val="baseline"/>
                <w:lang w:val="en-US" w:eastAsia="zh-CN"/>
              </w:rPr>
            </w:pPr>
          </w:p>
        </w:tc>
        <w:tc>
          <w:tcPr>
            <w:tcW w:w="399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8526"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pStyle w:val="2"/>
        <w:rPr>
          <w:rFonts w:hint="eastAsia" w:ascii="宋体" w:hAnsi="宋体"/>
          <w:b/>
          <w:color w:val="FF0000"/>
          <w:sz w:val="28"/>
          <w:szCs w:val="28"/>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39" w:name="_Hlk72092499"/>
      <w:r>
        <w:rPr>
          <w:rFonts w:hint="eastAsia" w:ascii="黑体" w:eastAsia="黑体"/>
          <w:b w:val="0"/>
          <w:sz w:val="24"/>
          <w:highlight w:val="none"/>
        </w:rPr>
        <w:t>法定代表人（负责人）证明书</w:t>
      </w:r>
      <w:bookmarkEnd w:id="39"/>
    </w:p>
    <w:p>
      <w:pPr>
        <w:rPr>
          <w:sz w:val="24"/>
          <w:highlight w:val="none"/>
        </w:rPr>
      </w:pPr>
    </w:p>
    <w:p>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pPr>
        <w:spacing w:line="360" w:lineRule="auto"/>
        <w:ind w:firstLine="420" w:firstLineChars="200"/>
        <w:rPr>
          <w:szCs w:val="21"/>
          <w:highlight w:val="none"/>
        </w:rPr>
      </w:pPr>
      <w:r>
        <w:rPr>
          <w:rFonts w:hint="eastAsia"/>
          <w:szCs w:val="21"/>
          <w:highlight w:val="none"/>
        </w:rPr>
        <w:t>特此证明。</w:t>
      </w:r>
    </w:p>
    <w:p>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19"/>
              <w:jc w:val="center"/>
              <w:rPr>
                <w:rFonts w:hint="eastAsia"/>
                <w:highlight w:val="none"/>
                <w:lang w:val="en-US" w:eastAsia="zh-CN"/>
              </w:rPr>
            </w:pPr>
            <w:r>
              <w:rPr>
                <w:rFonts w:hint="eastAsia"/>
                <w:highlight w:val="none"/>
                <w:lang w:val="en-US" w:eastAsia="zh-CN"/>
              </w:rPr>
              <w:t xml:space="preserve"> </w:t>
            </w:r>
          </w:p>
          <w:p>
            <w:pPr>
              <w:pStyle w:val="20"/>
              <w:rPr>
                <w:rFonts w:hint="eastAsia"/>
                <w:highlight w:val="none"/>
                <w:lang w:val="en-US" w:eastAsia="zh-CN"/>
              </w:rPr>
            </w:pPr>
          </w:p>
          <w:p>
            <w:pPr>
              <w:pStyle w:val="20"/>
              <w:rPr>
                <w:rFonts w:hint="eastAsia"/>
                <w:highlight w:val="none"/>
                <w:lang w:val="en-US" w:eastAsia="zh-CN"/>
              </w:rPr>
            </w:pPr>
          </w:p>
          <w:p>
            <w:pPr>
              <w:pStyle w:val="20"/>
              <w:rPr>
                <w:rFonts w:hint="eastAsia"/>
                <w:highlight w:val="none"/>
                <w:lang w:val="en-US" w:eastAsia="zh-CN"/>
              </w:rPr>
            </w:pPr>
          </w:p>
          <w:p>
            <w:pPr>
              <w:pStyle w:val="20"/>
              <w:rPr>
                <w:rFonts w:hint="default"/>
                <w:highlight w:val="none"/>
                <w:lang w:val="en-US" w:eastAsia="zh-CN"/>
              </w:rPr>
            </w:pPr>
          </w:p>
          <w:p>
            <w:pPr>
              <w:pStyle w:val="2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19"/>
              <w:jc w:val="center"/>
              <w:rPr>
                <w:rFonts w:hint="eastAsia"/>
                <w:highlight w:val="none"/>
                <w:lang w:val="en-US" w:eastAsia="zh-CN"/>
              </w:rPr>
            </w:pPr>
          </w:p>
          <w:p>
            <w:pPr>
              <w:pStyle w:val="20"/>
              <w:jc w:val="center"/>
              <w:rPr>
                <w:rFonts w:hint="eastAsia"/>
                <w:sz w:val="24"/>
                <w:highlight w:val="none"/>
                <w:vertAlign w:val="baseline"/>
                <w:lang w:val="en-US" w:eastAsia="zh-CN"/>
              </w:rPr>
            </w:pPr>
          </w:p>
        </w:tc>
      </w:tr>
    </w:tbl>
    <w:p>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sz w:val="24"/>
          <w:highlight w:val="none"/>
        </w:rPr>
      </w:pPr>
    </w:p>
    <w:p>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pPr>
        <w:spacing w:line="360" w:lineRule="auto"/>
        <w:ind w:firstLine="420" w:firstLineChars="200"/>
        <w:rPr>
          <w:rFonts w:hint="eastAsia"/>
          <w:szCs w:val="21"/>
          <w:highlight w:val="none"/>
        </w:rPr>
      </w:pPr>
      <w:r>
        <w:rPr>
          <w:rFonts w:hint="eastAsia"/>
          <w:szCs w:val="21"/>
          <w:highlight w:val="none"/>
        </w:rPr>
        <w:t>代理人无转委托权，特此委托。</w:t>
      </w:r>
    </w:p>
    <w:p>
      <w:pPr>
        <w:spacing w:line="360" w:lineRule="auto"/>
        <w:ind w:firstLine="420" w:firstLineChars="200"/>
        <w:rPr>
          <w:rFonts w:hint="eastAsia"/>
          <w:szCs w:val="21"/>
          <w:highlight w:val="none"/>
        </w:rPr>
      </w:pPr>
    </w:p>
    <w:p>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4"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证件扫描件正面</w:t>
            </w:r>
          </w:p>
          <w:p>
            <w:pPr>
              <w:pStyle w:val="19"/>
              <w:jc w:val="center"/>
              <w:rPr>
                <w:rFonts w:hint="eastAsia"/>
                <w:highlight w:val="none"/>
                <w:lang w:val="en-US" w:eastAsia="zh-CN"/>
              </w:rPr>
            </w:pPr>
          </w:p>
          <w:p>
            <w:pPr>
              <w:pStyle w:val="20"/>
              <w:jc w:val="center"/>
              <w:rPr>
                <w:rFonts w:hint="default"/>
                <w:highlight w:val="none"/>
                <w:lang w:val="en-US" w:eastAsia="zh-CN"/>
              </w:rPr>
            </w:pPr>
          </w:p>
        </w:tc>
        <w:tc>
          <w:tcPr>
            <w:tcW w:w="4265" w:type="dxa"/>
            <w:vAlign w:val="top"/>
          </w:tcPr>
          <w:p>
            <w:pPr>
              <w:jc w:val="center"/>
              <w:rPr>
                <w:rFonts w:hint="eastAsia"/>
                <w:highlight w:val="none"/>
                <w:lang w:val="en-US" w:eastAsia="zh-CN"/>
              </w:rPr>
            </w:pPr>
            <w:r>
              <w:rPr>
                <w:rFonts w:hint="eastAsia" w:ascii="Times New Roman" w:eastAsia="宋体"/>
                <w:highlight w:val="none"/>
                <w:lang w:val="en-US" w:eastAsia="zh-CN"/>
              </w:rPr>
              <w:t>证件扫描件反面</w:t>
            </w:r>
          </w:p>
          <w:p>
            <w:pPr>
              <w:pStyle w:val="19"/>
              <w:jc w:val="center"/>
              <w:rPr>
                <w:rFonts w:hint="eastAsia"/>
                <w:highlight w:val="none"/>
                <w:lang w:val="en-US" w:eastAsia="zh-CN"/>
              </w:rPr>
            </w:pPr>
          </w:p>
          <w:p>
            <w:pPr>
              <w:pStyle w:val="20"/>
              <w:jc w:val="center"/>
              <w:rPr>
                <w:rFonts w:hint="eastAsia"/>
                <w:sz w:val="24"/>
                <w:highlight w:val="none"/>
                <w:vertAlign w:val="baseline"/>
                <w:lang w:val="en-US" w:eastAsia="zh-CN"/>
              </w:rPr>
            </w:pPr>
          </w:p>
        </w:tc>
      </w:tr>
    </w:tbl>
    <w:p>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0" w:name="_Hlk72092634"/>
      <w:r>
        <w:rPr>
          <w:rFonts w:hint="eastAsia" w:ascii="黑体" w:eastAsia="黑体"/>
          <w:b w:val="0"/>
          <w:kern w:val="0"/>
          <w:sz w:val="24"/>
          <w:szCs w:val="24"/>
          <w:highlight w:val="none"/>
        </w:rPr>
        <w:t>实质性条款响应情况表</w:t>
      </w:r>
      <w:bookmarkEnd w:id="40"/>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705" w:type="dxa"/>
            <w:vAlign w:val="center"/>
          </w:tcPr>
          <w:p>
            <w:pPr>
              <w:adjustRightInd w:val="0"/>
              <w:snapToGrid w:val="0"/>
              <w:spacing w:line="360" w:lineRule="auto"/>
              <w:jc w:val="center"/>
              <w:rPr>
                <w:rFonts w:ascii="宋体" w:hAnsi="宋体"/>
                <w:kern w:val="0"/>
                <w:szCs w:val="21"/>
                <w:highlight w:val="none"/>
              </w:rPr>
            </w:pPr>
            <w:bookmarkStart w:id="41" w:name="_Hlk72092651"/>
            <w:r>
              <w:rPr>
                <w:rFonts w:hint="eastAsia" w:ascii="宋体" w:hAnsi="宋体"/>
                <w:kern w:val="0"/>
                <w:szCs w:val="21"/>
                <w:highlight w:val="none"/>
              </w:rPr>
              <w:t>序号</w:t>
            </w:r>
          </w:p>
        </w:tc>
        <w:tc>
          <w:tcPr>
            <w:tcW w:w="2664" w:type="dxa"/>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pPr>
              <w:adjustRightInd w:val="0"/>
              <w:snapToGrid w:val="0"/>
              <w:spacing w:line="360" w:lineRule="auto"/>
              <w:jc w:val="center"/>
              <w:rPr>
                <w:rFonts w:hAnsi="宋体"/>
                <w:kern w:val="0"/>
                <w:szCs w:val="21"/>
                <w:highlight w:val="none"/>
              </w:rPr>
            </w:pPr>
            <w:r>
              <w:rPr>
                <w:rFonts w:hint="eastAsia" w:hAnsi="宋体" w:eastAsiaTheme="minorEastAsia"/>
                <w:color w:val="FF0000"/>
                <w:kern w:val="0"/>
                <w:szCs w:val="21"/>
                <w:highlight w:val="none"/>
              </w:rPr>
              <w:t>招标文件《商务要求★》的所有内容。</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5" w:type="dxa"/>
          </w:tcPr>
          <w:p>
            <w:pPr>
              <w:adjustRightInd w:val="0"/>
              <w:snapToGrid w:val="0"/>
              <w:spacing w:line="360" w:lineRule="auto"/>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2</w:t>
            </w:r>
          </w:p>
        </w:tc>
        <w:tc>
          <w:tcPr>
            <w:tcW w:w="2664" w:type="dxa"/>
            <w:vAlign w:val="top"/>
          </w:tcPr>
          <w:p>
            <w:pPr>
              <w:spacing w:line="240" w:lineRule="auto"/>
              <w:rPr>
                <w:rFonts w:hint="default" w:hAnsi="宋体" w:eastAsiaTheme="minorEastAsia"/>
                <w:color w:val="FF0000"/>
                <w:kern w:val="0"/>
                <w:szCs w:val="21"/>
                <w:highlight w:val="none"/>
                <w:lang w:val="en-US" w:eastAsia="zh-CN"/>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拟派的项目负责人需</w:t>
            </w:r>
            <w:r>
              <w:rPr>
                <w:rFonts w:hint="eastAsia" w:hAnsi="宋体" w:eastAsiaTheme="minorEastAsia"/>
                <w:color w:val="FF0000"/>
                <w:kern w:val="0"/>
                <w:szCs w:val="21"/>
                <w:highlight w:val="none"/>
              </w:rPr>
              <w:t>具备注册安全员证书（注册单位名称与投标人名称须一致</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r>
        <w:tblPrEx>
          <w:tblLayout w:type="fixed"/>
          <w:tblCellMar>
            <w:top w:w="0" w:type="dxa"/>
            <w:left w:w="108" w:type="dxa"/>
            <w:bottom w:w="0" w:type="dxa"/>
            <w:right w:w="108" w:type="dxa"/>
          </w:tblCellMar>
        </w:tblPrEx>
        <w:tc>
          <w:tcPr>
            <w:tcW w:w="705" w:type="dxa"/>
          </w:tcPr>
          <w:p>
            <w:pPr>
              <w:adjustRightInd w:val="0"/>
              <w:snapToGrid w:val="0"/>
              <w:spacing w:line="360" w:lineRule="auto"/>
              <w:rPr>
                <w:rFonts w:hint="default" w:ascii="宋体" w:hAnsi="宋体"/>
                <w:kern w:val="0"/>
                <w:szCs w:val="21"/>
                <w:highlight w:val="none"/>
                <w:lang w:val="en-US" w:eastAsia="zh-CN"/>
              </w:rPr>
            </w:pPr>
            <w:r>
              <w:rPr>
                <w:rFonts w:hint="eastAsia" w:ascii="宋体" w:hAnsi="宋体"/>
                <w:kern w:val="0"/>
                <w:szCs w:val="21"/>
                <w:highlight w:val="none"/>
                <w:lang w:val="en-US" w:eastAsia="zh-CN"/>
              </w:rPr>
              <w:t>3</w:t>
            </w:r>
          </w:p>
        </w:tc>
        <w:tc>
          <w:tcPr>
            <w:tcW w:w="2664" w:type="dxa"/>
            <w:vAlign w:val="center"/>
          </w:tcPr>
          <w:p>
            <w:pPr>
              <w:adjustRightInd w:val="0"/>
              <w:snapToGrid w:val="0"/>
              <w:spacing w:line="240" w:lineRule="auto"/>
              <w:jc w:val="both"/>
              <w:rPr>
                <w:rFonts w:hint="eastAsia" w:hAnsi="宋体" w:eastAsiaTheme="minorEastAsia"/>
                <w:color w:val="FF0000"/>
                <w:kern w:val="0"/>
                <w:szCs w:val="21"/>
                <w:highlight w:val="none"/>
              </w:rPr>
            </w:pPr>
            <w:r>
              <w:rPr>
                <w:rFonts w:hint="eastAsia" w:hAnsi="宋体" w:eastAsiaTheme="minorEastAsia"/>
                <w:color w:val="FF0000"/>
                <w:kern w:val="0"/>
                <w:szCs w:val="21"/>
                <w:highlight w:val="none"/>
              </w:rPr>
              <w:t>★</w:t>
            </w:r>
            <w:r>
              <w:rPr>
                <w:rFonts w:hint="eastAsia" w:hAnsi="宋体" w:eastAsiaTheme="minorEastAsia"/>
                <w:color w:val="FF0000"/>
                <w:kern w:val="0"/>
                <w:szCs w:val="21"/>
                <w:highlight w:val="none"/>
                <w:lang w:val="en-US" w:eastAsia="zh-CN"/>
              </w:rPr>
              <w:t>团队成员需有一名以上具有</w:t>
            </w:r>
            <w:r>
              <w:rPr>
                <w:rFonts w:hint="eastAsia" w:hAnsi="宋体" w:eastAsiaTheme="minorEastAsia"/>
                <w:color w:val="FF0000"/>
                <w:kern w:val="0"/>
                <w:szCs w:val="21"/>
                <w:highlight w:val="none"/>
              </w:rPr>
              <w:t>二级或以上建筑工程注册建造师证书</w:t>
            </w:r>
            <w:r>
              <w:rPr>
                <w:rFonts w:hint="eastAsia" w:hAnsi="宋体" w:eastAsiaTheme="minorEastAsia"/>
                <w:color w:val="FF0000"/>
                <w:kern w:val="0"/>
                <w:szCs w:val="21"/>
                <w:highlight w:val="none"/>
                <w:lang w:eastAsia="zh-CN"/>
              </w:rPr>
              <w:t>，</w:t>
            </w:r>
            <w:r>
              <w:rPr>
                <w:rFonts w:hint="eastAsia" w:hAnsi="宋体" w:eastAsiaTheme="minorEastAsia"/>
                <w:color w:val="FF0000"/>
                <w:kern w:val="0"/>
                <w:szCs w:val="21"/>
                <w:highlight w:val="none"/>
                <w:lang w:val="en-US" w:eastAsia="zh-CN"/>
              </w:rPr>
              <w:t>提供证书扫描件。</w:t>
            </w:r>
          </w:p>
        </w:tc>
        <w:tc>
          <w:tcPr>
            <w:tcW w:w="1588" w:type="dxa"/>
          </w:tcPr>
          <w:p>
            <w:pPr>
              <w:adjustRightInd w:val="0"/>
              <w:snapToGrid w:val="0"/>
              <w:spacing w:line="360" w:lineRule="auto"/>
              <w:rPr>
                <w:rFonts w:ascii="宋体" w:hAnsi="宋体"/>
                <w:kern w:val="0"/>
                <w:szCs w:val="21"/>
                <w:highlight w:val="none"/>
              </w:rPr>
            </w:pPr>
          </w:p>
        </w:tc>
        <w:tc>
          <w:tcPr>
            <w:tcW w:w="1842" w:type="dxa"/>
          </w:tcPr>
          <w:p>
            <w:pPr>
              <w:adjustRightInd w:val="0"/>
              <w:snapToGrid w:val="0"/>
              <w:spacing w:line="360" w:lineRule="auto"/>
              <w:rPr>
                <w:rFonts w:ascii="宋体" w:hAnsi="宋体"/>
                <w:kern w:val="0"/>
                <w:szCs w:val="21"/>
                <w:highlight w:val="none"/>
              </w:rPr>
            </w:pPr>
          </w:p>
        </w:tc>
        <w:tc>
          <w:tcPr>
            <w:tcW w:w="1418" w:type="dxa"/>
          </w:tcPr>
          <w:p>
            <w:pPr>
              <w:adjustRightInd w:val="0"/>
              <w:snapToGrid w:val="0"/>
              <w:spacing w:line="360" w:lineRule="auto"/>
              <w:rPr>
                <w:rFonts w:ascii="宋体" w:hAnsi="宋体"/>
                <w:kern w:val="0"/>
                <w:szCs w:val="21"/>
                <w:highlight w:val="none"/>
              </w:rPr>
            </w:pPr>
          </w:p>
        </w:tc>
      </w:tr>
    </w:tbl>
    <w:p>
      <w:pPr>
        <w:ind w:firstLine="482" w:firstLineChars="200"/>
        <w:rPr>
          <w:b/>
          <w:sz w:val="24"/>
          <w:szCs w:val="22"/>
          <w:highlight w:val="none"/>
        </w:rPr>
      </w:pPr>
      <w:r>
        <w:rPr>
          <w:rFonts w:hint="eastAsia"/>
          <w:b/>
          <w:sz w:val="24"/>
          <w:szCs w:val="22"/>
          <w:highlight w:val="none"/>
        </w:rPr>
        <w:t>注：1.上表所列各项均为不可负偏离条款。</w:t>
      </w:r>
    </w:p>
    <w:p>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pPr>
        <w:ind w:firstLine="482" w:firstLineChars="200"/>
        <w:rPr>
          <w:rFonts w:hint="eastAsia"/>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、项目总体概述及理解</w:t>
      </w:r>
    </w:p>
    <w:p>
      <w:pPr>
        <w:pStyle w:val="1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（特别提示：投标人须按本招标文件评标信息中“项目总体概述及理解”这一评分因素要求，提供证明资料）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项目服务方案</w:t>
      </w:r>
    </w:p>
    <w:p>
      <w:pPr>
        <w:pStyle w:val="1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项目服务方案</w:t>
      </w:r>
      <w:r>
        <w:rPr>
          <w:rFonts w:hint="eastAsia"/>
          <w:b w:val="0"/>
          <w:bCs w:val="0"/>
          <w:sz w:val="21"/>
          <w:szCs w:val="21"/>
          <w:highlight w:val="none"/>
        </w:rPr>
        <w:t>”这一评分因素要求，提供证明资料）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项目重点难点分析、应对措施及相关的合理化建议</w:t>
      </w:r>
    </w:p>
    <w:p>
      <w:pPr>
        <w:pStyle w:val="1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项目重点难点分析、应对措施及相关的合理化建议</w:t>
      </w:r>
      <w:r>
        <w:rPr>
          <w:rFonts w:hint="eastAsia"/>
          <w:b w:val="0"/>
          <w:bCs w:val="0"/>
          <w:sz w:val="21"/>
          <w:szCs w:val="21"/>
          <w:highlight w:val="none"/>
        </w:rPr>
        <w:t>”这一评分因素要求，提供证明资料）</w:t>
      </w:r>
    </w:p>
    <w:p>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 xml:space="preserve">、质量保障措施  </w:t>
      </w:r>
    </w:p>
    <w:p>
      <w:pPr>
        <w:pStyle w:val="19"/>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w:t>
      </w:r>
      <w:r>
        <w:rPr>
          <w:rFonts w:hint="eastAsia"/>
          <w:b w:val="0"/>
          <w:bCs w:val="0"/>
          <w:sz w:val="21"/>
          <w:szCs w:val="21"/>
          <w:highlight w:val="none"/>
          <w:lang w:eastAsia="zh-CN"/>
        </w:rPr>
        <w:t>质量保障措施</w:t>
      </w:r>
      <w:r>
        <w:rPr>
          <w:rFonts w:hint="eastAsia"/>
          <w:b w:val="0"/>
          <w:bCs w:val="0"/>
          <w:sz w:val="21"/>
          <w:szCs w:val="21"/>
          <w:highlight w:val="none"/>
        </w:rPr>
        <w:t>”这一评分因素要求，提供证明资料）</w:t>
      </w:r>
    </w:p>
    <w:p>
      <w:pPr>
        <w:rPr>
          <w:rFonts w:ascii="黑体" w:hAnsi="宋体" w:eastAsia="黑体"/>
          <w:bCs/>
          <w:kern w:val="0"/>
          <w:sz w:val="24"/>
          <w:highlight w:val="none"/>
        </w:rPr>
      </w:pPr>
    </w:p>
    <w:p>
      <w:pPr>
        <w:pStyle w:val="19"/>
        <w:adjustRightInd w:val="0"/>
        <w:snapToGrid w:val="0"/>
        <w:spacing w:line="276" w:lineRule="auto"/>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pPr>
        <w:pStyle w:val="4"/>
        <w:adjustRightInd w:val="0"/>
        <w:snapToGrid w:val="0"/>
        <w:spacing w:line="276" w:lineRule="auto"/>
        <w:jc w:val="center"/>
        <w:rPr>
          <w:rFonts w:hint="eastAsia" w:ascii="黑体" w:eastAsia="黑体"/>
          <w:b w:val="0"/>
          <w:kern w:val="0"/>
          <w:sz w:val="24"/>
          <w:szCs w:val="24"/>
          <w:highlight w:val="none"/>
          <w:lang w:eastAsia="zh-CN"/>
        </w:rPr>
      </w:pPr>
      <w:r>
        <w:rPr>
          <w:rFonts w:hint="eastAsia" w:ascii="黑体" w:eastAsia="黑体"/>
          <w:b w:val="0"/>
          <w:kern w:val="0"/>
          <w:sz w:val="24"/>
          <w:szCs w:val="24"/>
          <w:highlight w:val="none"/>
          <w:lang w:val="en-US" w:eastAsia="zh-CN"/>
        </w:rPr>
        <w:t>九</w:t>
      </w:r>
      <w:r>
        <w:rPr>
          <w:rFonts w:hint="eastAsia" w:ascii="黑体" w:eastAsia="黑体"/>
          <w:b w:val="0"/>
          <w:kern w:val="0"/>
          <w:sz w:val="24"/>
          <w:szCs w:val="24"/>
          <w:highlight w:val="none"/>
        </w:rPr>
        <w:t>、</w:t>
      </w:r>
      <w:r>
        <w:rPr>
          <w:rFonts w:hint="eastAsia" w:ascii="黑体" w:eastAsia="黑体"/>
          <w:b w:val="0"/>
          <w:kern w:val="0"/>
          <w:sz w:val="24"/>
          <w:szCs w:val="24"/>
          <w:highlight w:val="none"/>
          <w:lang w:eastAsia="zh-CN"/>
        </w:rPr>
        <w:t>拟派本项目的服务人数、服务人员素质</w:t>
      </w:r>
    </w:p>
    <w:p>
      <w:pPr>
        <w:pStyle w:val="5"/>
        <w:spacing w:before="0" w:after="0" w:line="240" w:lineRule="auto"/>
        <w:jc w:val="left"/>
        <w:rPr>
          <w:rFonts w:ascii="宋体" w:hAnsi="宋体" w:eastAsia="宋体"/>
          <w:sz w:val="21"/>
          <w:szCs w:val="21"/>
          <w:highlight w:val="none"/>
        </w:rPr>
      </w:pP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-1人员配备承诺</w:t>
      </w:r>
    </w:p>
    <w:p>
      <w:pPr>
        <w:adjustRightInd w:val="0"/>
        <w:snapToGrid w:val="0"/>
        <w:spacing w:line="276" w:lineRule="auto"/>
        <w:jc w:val="center"/>
        <w:rPr>
          <w:rFonts w:ascii="宋体"/>
          <w:kern w:val="0"/>
          <w:szCs w:val="21"/>
          <w:highlight w:val="none"/>
        </w:rPr>
      </w:pPr>
      <w:r>
        <w:rPr>
          <w:rFonts w:hint="eastAsia" w:ascii="宋体" w:hAnsi="宋体"/>
          <w:b/>
          <w:szCs w:val="21"/>
          <w:highlight w:val="none"/>
        </w:rPr>
        <w:t>人员配备承诺</w:t>
      </w:r>
    </w:p>
    <w:p>
      <w:pPr>
        <w:adjustRightInd w:val="0"/>
        <w:snapToGrid w:val="0"/>
        <w:spacing w:line="276" w:lineRule="auto"/>
        <w:jc w:val="left"/>
        <w:rPr>
          <w:rFonts w:ascii="宋体"/>
          <w:color w:val="000000"/>
          <w:szCs w:val="21"/>
          <w:highlight w:val="none"/>
          <w:u w:val="single"/>
        </w:rPr>
      </w:pPr>
      <w:r>
        <w:rPr>
          <w:rFonts w:hint="eastAsia" w:ascii="宋体" w:hAnsi="宋体"/>
          <w:color w:val="000000"/>
          <w:szCs w:val="21"/>
          <w:highlight w:val="none"/>
        </w:rPr>
        <w:t>致：</w:t>
      </w:r>
      <w:r>
        <w:rPr>
          <w:rFonts w:ascii="宋体" w:hAnsi="宋体"/>
          <w:color w:val="000000"/>
          <w:szCs w:val="21"/>
          <w:highlight w:val="none"/>
          <w:u w:val="single"/>
        </w:rPr>
        <w:t xml:space="preserve">     </w:t>
      </w:r>
      <w:r>
        <w:rPr>
          <w:rFonts w:hint="eastAsia" w:ascii="宋体" w:hAnsi="宋体"/>
          <w:color w:val="000000"/>
          <w:szCs w:val="21"/>
          <w:highlight w:val="none"/>
          <w:u w:val="single"/>
        </w:rPr>
        <w:t>（采购人）</w:t>
      </w:r>
      <w:r>
        <w:rPr>
          <w:rFonts w:ascii="宋体" w:hAnsi="宋体"/>
          <w:color w:val="000000"/>
          <w:szCs w:val="21"/>
          <w:highlight w:val="none"/>
          <w:u w:val="single"/>
        </w:rPr>
        <w:t xml:space="preserve">          </w:t>
      </w:r>
    </w:p>
    <w:p>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根据已收到贵方的项目编号为</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招标文件，遵照《中华人民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pPr>
        <w:adjustRightInd w:val="0"/>
        <w:snapToGrid w:val="0"/>
        <w:spacing w:line="276" w:lineRule="auto"/>
        <w:ind w:firstLine="420" w:firstLineChars="200"/>
        <w:rPr>
          <w:rFonts w:hint="eastAsia" w:ascii="宋体" w:hAnsi="宋体"/>
          <w:color w:val="000000" w:themeColor="text1"/>
          <w:szCs w:val="21"/>
          <w:highlight w:val="none"/>
          <w14:textFill>
            <w14:solidFill>
              <w14:schemeClr w14:val="tx1"/>
            </w14:solidFill>
          </w14:textFill>
        </w:rPr>
      </w:pPr>
    </w:p>
    <w:p>
      <w:pPr>
        <w:numPr>
          <w:ilvl w:val="-1"/>
          <w:numId w:val="0"/>
        </w:numPr>
        <w:ind w:left="0" w:firstLine="0"/>
        <w:jc w:val="left"/>
        <w:rPr>
          <w:rFonts w:hint="default" w:eastAsia="宋体"/>
          <w:highlight w:val="none"/>
          <w:lang w:val="en-US" w:eastAsia="zh-CN"/>
        </w:rPr>
      </w:pPr>
      <w:r>
        <w:rPr>
          <w:rFonts w:hint="eastAsia"/>
          <w:highlight w:val="none"/>
          <w:lang w:val="en-US" w:eastAsia="zh-CN"/>
        </w:rPr>
        <w:t>人数：3人以上。其中至少包含项目负责人1名</w:t>
      </w:r>
    </w:p>
    <w:p>
      <w:pPr>
        <w:adjustRightInd w:val="0"/>
        <w:snapToGrid w:val="0"/>
        <w:spacing w:line="276" w:lineRule="auto"/>
        <w:ind w:firstLine="420" w:firstLineChars="200"/>
        <w:rPr>
          <w:rFonts w:hint="eastAsia"/>
          <w:highlight w:val="none"/>
        </w:rPr>
      </w:pP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如果违反本承诺书中任何条款，我方愿意接受：</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1.取消我方中标资格并按照虚假投标进行相应处理；</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2.视作我方单方面违约，并按照合同规定向贵方支付违约金或解除合同；</w:t>
      </w:r>
    </w:p>
    <w:p>
      <w:pPr>
        <w:adjustRightInd w:val="0"/>
        <w:snapToGrid w:val="0"/>
        <w:spacing w:line="276"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3.履约评价评定为合格及以下；</w:t>
      </w:r>
    </w:p>
    <w:p>
      <w:pPr>
        <w:adjustRightInd w:val="0"/>
        <w:snapToGrid w:val="0"/>
        <w:spacing w:line="276"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none"/>
          <w14:textFill>
            <w14:solidFill>
              <w14:schemeClr w14:val="tx1"/>
            </w14:solidFill>
          </w14:textFill>
        </w:rPr>
        <w:t>罚。</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276" w:lineRule="auto"/>
        <w:ind w:right="960" w:firstLine="210" w:firstLineChars="100"/>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投标供应商：  </w:t>
      </w:r>
    </w:p>
    <w:p>
      <w:pPr>
        <w:adjustRightInd w:val="0"/>
        <w:snapToGrid w:val="0"/>
        <w:spacing w:line="276" w:lineRule="auto"/>
        <w:jc w:val="center"/>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日      期：  </w:t>
      </w:r>
      <w:r>
        <w:rPr>
          <w:rFonts w:hint="eastAsia" w:ascii="宋体" w:hAnsi="宋体"/>
          <w:color w:val="000000" w:themeColor="text1"/>
          <w:szCs w:val="21"/>
          <w:highlight w:val="none"/>
          <w:u w:val="single"/>
          <w14:textFill>
            <w14:solidFill>
              <w14:schemeClr w14:val="tx1"/>
            </w14:solidFill>
          </w14:textFill>
        </w:rPr>
        <w:t xml:space="preserve">       年    月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日</w:t>
      </w:r>
    </w:p>
    <w:p>
      <w:pPr>
        <w:pStyle w:val="5"/>
        <w:adjustRightInd w:val="0"/>
        <w:snapToGrid w:val="0"/>
        <w:spacing w:before="0" w:after="0" w:line="276" w:lineRule="auto"/>
        <w:jc w:val="left"/>
        <w:rPr>
          <w:highlight w:val="none"/>
        </w:rPr>
      </w:pPr>
      <w:r>
        <w:rPr>
          <w:rFonts w:hint="eastAsia" w:ascii="宋体" w:hAnsi="宋体" w:eastAsia="宋体"/>
          <w:sz w:val="21"/>
          <w:szCs w:val="21"/>
          <w:highlight w:val="none"/>
          <w:lang w:val="en-US" w:eastAsia="zh-CN"/>
        </w:rPr>
        <w:t>9</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3"/>
        <w:tblW w:w="845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jc w:val="center"/>
        </w:trPr>
        <w:tc>
          <w:tcPr>
            <w:tcW w:w="1125"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pPr>
              <w:spacing w:line="276" w:lineRule="auto"/>
              <w:jc w:val="center"/>
              <w:rPr>
                <w:rFonts w:ascii="宋体" w:hAnsi="宋体"/>
                <w:szCs w:val="21"/>
                <w:highlight w:val="none"/>
              </w:rPr>
            </w:pPr>
            <w:r>
              <w:rPr>
                <w:rFonts w:hint="eastAsia" w:ascii="宋体" w:hAnsi="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0" w:hRule="atLeast"/>
          <w:jc w:val="center"/>
        </w:trPr>
        <w:tc>
          <w:tcPr>
            <w:tcW w:w="1125" w:type="dxa"/>
            <w:vMerge w:val="continue"/>
            <w:vAlign w:val="center"/>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932" w:type="dxa"/>
            <w:vMerge w:val="continue"/>
          </w:tcPr>
          <w:p>
            <w:pPr>
              <w:spacing w:line="276" w:lineRule="auto"/>
              <w:jc w:val="center"/>
              <w:rPr>
                <w:rFonts w:ascii="宋体" w:hAnsi="宋体"/>
                <w:szCs w:val="21"/>
                <w:highlight w:val="none"/>
              </w:rPr>
            </w:pPr>
          </w:p>
        </w:tc>
        <w:tc>
          <w:tcPr>
            <w:tcW w:w="932" w:type="dxa"/>
            <w:vMerge w:val="continue"/>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pPr>
              <w:spacing w:line="276" w:lineRule="auto"/>
              <w:jc w:val="center"/>
              <w:rPr>
                <w:rFonts w:ascii="宋体" w:hAnsi="宋体"/>
                <w:szCs w:val="21"/>
                <w:highlight w:val="none"/>
              </w:rPr>
            </w:pPr>
            <w:r>
              <w:rPr>
                <w:rFonts w:hint="eastAsia" w:ascii="宋体" w:hAnsi="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1" w:hRule="atLeast"/>
          <w:jc w:val="center"/>
        </w:trPr>
        <w:tc>
          <w:tcPr>
            <w:tcW w:w="1125" w:type="dxa"/>
            <w:vAlign w:val="center"/>
          </w:tcPr>
          <w:p>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pPr>
              <w:spacing w:line="276" w:lineRule="auto"/>
              <w:jc w:val="center"/>
              <w:rPr>
                <w:rFonts w:ascii="宋体" w:hAnsi="宋体"/>
                <w:szCs w:val="21"/>
                <w:highlight w:val="none"/>
              </w:rPr>
            </w:pPr>
          </w:p>
        </w:tc>
        <w:tc>
          <w:tcPr>
            <w:tcW w:w="932" w:type="dxa"/>
          </w:tcPr>
          <w:p>
            <w:pPr>
              <w:spacing w:line="276" w:lineRule="auto"/>
              <w:jc w:val="center"/>
              <w:rPr>
                <w:rFonts w:ascii="宋体" w:hAnsi="宋体"/>
                <w:szCs w:val="21"/>
                <w:highlight w:val="none"/>
              </w:rPr>
            </w:pPr>
          </w:p>
        </w:tc>
        <w:tc>
          <w:tcPr>
            <w:tcW w:w="932" w:type="dxa"/>
            <w:vAlign w:val="center"/>
          </w:tcPr>
          <w:p>
            <w:pPr>
              <w:spacing w:line="276" w:lineRule="auto"/>
              <w:jc w:val="center"/>
              <w:rPr>
                <w:rFonts w:ascii="宋体" w:hAnsi="宋体"/>
                <w:szCs w:val="21"/>
                <w:highlight w:val="none"/>
              </w:rPr>
            </w:pPr>
          </w:p>
        </w:tc>
        <w:tc>
          <w:tcPr>
            <w:tcW w:w="1224" w:type="dxa"/>
            <w:vAlign w:val="center"/>
          </w:tcPr>
          <w:p>
            <w:pPr>
              <w:spacing w:line="276" w:lineRule="auto"/>
              <w:jc w:val="center"/>
              <w:rPr>
                <w:rFonts w:ascii="宋体" w:hAnsi="宋体"/>
                <w:szCs w:val="21"/>
                <w:highlight w:val="none"/>
              </w:rPr>
            </w:pPr>
          </w:p>
        </w:tc>
        <w:tc>
          <w:tcPr>
            <w:tcW w:w="992" w:type="dxa"/>
            <w:vAlign w:val="center"/>
          </w:tcPr>
          <w:p>
            <w:pPr>
              <w:spacing w:line="276" w:lineRule="auto"/>
              <w:jc w:val="center"/>
              <w:rPr>
                <w:rFonts w:ascii="宋体" w:hAnsi="宋体"/>
                <w:szCs w:val="21"/>
                <w:highlight w:val="none"/>
              </w:rPr>
            </w:pPr>
          </w:p>
        </w:tc>
        <w:tc>
          <w:tcPr>
            <w:tcW w:w="1171" w:type="dxa"/>
            <w:vAlign w:val="center"/>
          </w:tcPr>
          <w:p>
            <w:pPr>
              <w:spacing w:line="276" w:lineRule="auto"/>
              <w:jc w:val="center"/>
              <w:rPr>
                <w:rFonts w:ascii="宋体" w:hAnsi="宋体"/>
                <w:szCs w:val="21"/>
                <w:highlight w:val="none"/>
              </w:rPr>
            </w:pPr>
          </w:p>
        </w:tc>
        <w:tc>
          <w:tcPr>
            <w:tcW w:w="1149" w:type="dxa"/>
            <w:vAlign w:val="center"/>
          </w:tcPr>
          <w:p>
            <w:pPr>
              <w:spacing w:line="276" w:lineRule="auto"/>
              <w:jc w:val="center"/>
              <w:rPr>
                <w:rFonts w:ascii="宋体" w:hAnsi="宋体"/>
                <w:szCs w:val="21"/>
                <w:highlight w:val="none"/>
              </w:rPr>
            </w:pPr>
          </w:p>
        </w:tc>
      </w:tr>
    </w:tbl>
    <w:p>
      <w:pPr>
        <w:pStyle w:val="5"/>
        <w:adjustRightInd w:val="0"/>
        <w:snapToGrid w:val="0"/>
        <w:spacing w:before="0" w:after="0" w:line="276" w:lineRule="auto"/>
        <w:jc w:val="left"/>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9-3拟安排的项目主要团队成员（主要技术人员）情况</w:t>
      </w:r>
    </w:p>
    <w:tbl>
      <w:tblPr>
        <w:tblStyle w:val="43"/>
        <w:tblW w:w="883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Merge w:val="continue"/>
            <w:vAlign w:val="center"/>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877" w:type="dxa"/>
            <w:vMerge w:val="continue"/>
          </w:tcPr>
          <w:p>
            <w:pPr>
              <w:spacing w:line="276" w:lineRule="auto"/>
              <w:jc w:val="center"/>
              <w:rPr>
                <w:rFonts w:ascii="宋体" w:hAnsi="宋体" w:cs="宋体"/>
                <w:szCs w:val="21"/>
                <w:highlight w:val="none"/>
              </w:rPr>
            </w:pPr>
          </w:p>
        </w:tc>
        <w:tc>
          <w:tcPr>
            <w:tcW w:w="877" w:type="dxa"/>
            <w:vMerge w:val="continue"/>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pPr>
              <w:spacing w:line="276" w:lineRule="auto"/>
              <w:jc w:val="center"/>
              <w:rPr>
                <w:rFonts w:ascii="宋体" w:hAnsi="宋体" w:cs="宋体"/>
                <w:szCs w:val="21"/>
                <w:highlight w:val="none"/>
              </w:rPr>
            </w:pPr>
            <w:r>
              <w:rPr>
                <w:rFonts w:hint="eastAsia" w:ascii="宋体" w:hAnsi="宋体" w:cs="宋体"/>
                <w:szCs w:val="21"/>
                <w:highlight w:val="none"/>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1058" w:type="dxa"/>
            <w:vMerge w:val="continue"/>
            <w:vAlign w:val="center"/>
          </w:tcPr>
          <w:p>
            <w:pPr>
              <w:spacing w:line="276" w:lineRule="auto"/>
              <w:jc w:val="center"/>
              <w:rPr>
                <w:rFonts w:ascii="宋体" w:hAnsi="宋体" w:cs="宋体"/>
                <w:szCs w:val="21"/>
                <w:highlight w:val="none"/>
              </w:rPr>
            </w:pPr>
          </w:p>
        </w:tc>
        <w:tc>
          <w:tcPr>
            <w:tcW w:w="876" w:type="dxa"/>
            <w:vAlign w:val="center"/>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877" w:type="dxa"/>
          </w:tcPr>
          <w:p>
            <w:pPr>
              <w:spacing w:line="276" w:lineRule="auto"/>
              <w:jc w:val="center"/>
              <w:rPr>
                <w:rFonts w:ascii="宋体" w:hAnsi="宋体" w:cs="宋体"/>
                <w:szCs w:val="21"/>
                <w:highlight w:val="none"/>
              </w:rPr>
            </w:pPr>
          </w:p>
        </w:tc>
        <w:tc>
          <w:tcPr>
            <w:tcW w:w="877" w:type="dxa"/>
            <w:vAlign w:val="center"/>
          </w:tcPr>
          <w:p>
            <w:pPr>
              <w:spacing w:line="276" w:lineRule="auto"/>
              <w:jc w:val="center"/>
              <w:rPr>
                <w:rFonts w:ascii="宋体" w:hAnsi="宋体" w:cs="宋体"/>
                <w:szCs w:val="21"/>
                <w:highlight w:val="none"/>
              </w:rPr>
            </w:pPr>
          </w:p>
        </w:tc>
        <w:tc>
          <w:tcPr>
            <w:tcW w:w="1151" w:type="dxa"/>
            <w:vAlign w:val="center"/>
          </w:tcPr>
          <w:p>
            <w:pPr>
              <w:spacing w:line="276" w:lineRule="auto"/>
              <w:jc w:val="center"/>
              <w:rPr>
                <w:rFonts w:ascii="宋体" w:hAnsi="宋体" w:cs="宋体"/>
                <w:szCs w:val="21"/>
                <w:highlight w:val="none"/>
              </w:rPr>
            </w:pPr>
          </w:p>
        </w:tc>
        <w:tc>
          <w:tcPr>
            <w:tcW w:w="933" w:type="dxa"/>
            <w:vAlign w:val="center"/>
          </w:tcPr>
          <w:p>
            <w:pPr>
              <w:spacing w:line="276" w:lineRule="auto"/>
              <w:jc w:val="center"/>
              <w:rPr>
                <w:rFonts w:ascii="宋体" w:hAnsi="宋体" w:cs="宋体"/>
                <w:szCs w:val="21"/>
                <w:highlight w:val="none"/>
              </w:rPr>
            </w:pPr>
          </w:p>
        </w:tc>
        <w:tc>
          <w:tcPr>
            <w:tcW w:w="1101" w:type="dxa"/>
            <w:vAlign w:val="center"/>
          </w:tcPr>
          <w:p>
            <w:pPr>
              <w:spacing w:line="276" w:lineRule="auto"/>
              <w:jc w:val="center"/>
              <w:rPr>
                <w:rFonts w:ascii="宋体" w:hAnsi="宋体" w:cs="宋体"/>
                <w:szCs w:val="21"/>
                <w:highlight w:val="none"/>
              </w:rPr>
            </w:pPr>
          </w:p>
        </w:tc>
        <w:tc>
          <w:tcPr>
            <w:tcW w:w="1080" w:type="dxa"/>
            <w:vAlign w:val="center"/>
          </w:tcPr>
          <w:p>
            <w:pPr>
              <w:spacing w:line="276" w:lineRule="auto"/>
              <w:jc w:val="center"/>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8" w:type="dxa"/>
            <w:vMerge w:val="restart"/>
            <w:vAlign w:val="center"/>
          </w:tcPr>
          <w:p>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058" w:type="dxa"/>
            <w:vMerge w:val="continue"/>
          </w:tcPr>
          <w:p>
            <w:pPr>
              <w:spacing w:line="276" w:lineRule="auto"/>
              <w:rPr>
                <w:rFonts w:ascii="宋体" w:hAnsi="宋体" w:cs="宋体"/>
                <w:szCs w:val="21"/>
                <w:highlight w:val="none"/>
              </w:rPr>
            </w:pPr>
          </w:p>
        </w:tc>
        <w:tc>
          <w:tcPr>
            <w:tcW w:w="876"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877" w:type="dxa"/>
          </w:tcPr>
          <w:p>
            <w:pPr>
              <w:spacing w:line="276" w:lineRule="auto"/>
              <w:rPr>
                <w:rFonts w:ascii="宋体" w:hAnsi="宋体" w:cs="宋体"/>
                <w:szCs w:val="21"/>
                <w:highlight w:val="none"/>
              </w:rPr>
            </w:pPr>
          </w:p>
        </w:tc>
        <w:tc>
          <w:tcPr>
            <w:tcW w:w="1151" w:type="dxa"/>
          </w:tcPr>
          <w:p>
            <w:pPr>
              <w:spacing w:line="276" w:lineRule="auto"/>
              <w:rPr>
                <w:rFonts w:ascii="宋体" w:hAnsi="宋体" w:cs="宋体"/>
                <w:szCs w:val="21"/>
                <w:highlight w:val="none"/>
              </w:rPr>
            </w:pPr>
          </w:p>
        </w:tc>
        <w:tc>
          <w:tcPr>
            <w:tcW w:w="933" w:type="dxa"/>
          </w:tcPr>
          <w:p>
            <w:pPr>
              <w:spacing w:line="276" w:lineRule="auto"/>
              <w:rPr>
                <w:rFonts w:ascii="宋体" w:hAnsi="宋体" w:cs="宋体"/>
                <w:szCs w:val="21"/>
                <w:highlight w:val="none"/>
              </w:rPr>
            </w:pPr>
          </w:p>
        </w:tc>
        <w:tc>
          <w:tcPr>
            <w:tcW w:w="1101" w:type="dxa"/>
          </w:tcPr>
          <w:p>
            <w:pPr>
              <w:spacing w:line="276" w:lineRule="auto"/>
              <w:rPr>
                <w:rFonts w:ascii="宋体" w:hAnsi="宋体" w:cs="宋体"/>
                <w:szCs w:val="21"/>
                <w:highlight w:val="none"/>
              </w:rPr>
            </w:pPr>
          </w:p>
        </w:tc>
        <w:tc>
          <w:tcPr>
            <w:tcW w:w="1080" w:type="dxa"/>
          </w:tcPr>
          <w:p>
            <w:pPr>
              <w:spacing w:line="276" w:lineRule="auto"/>
              <w:rPr>
                <w:rFonts w:ascii="宋体" w:hAnsi="宋体" w:cs="宋体"/>
                <w:szCs w:val="21"/>
                <w:highlight w:val="none"/>
              </w:rPr>
            </w:pPr>
          </w:p>
        </w:tc>
      </w:tr>
    </w:tbl>
    <w:p>
      <w:pPr>
        <w:pStyle w:val="19"/>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w:t>
      </w:r>
      <w:r>
        <w:rPr>
          <w:rFonts w:hint="eastAsia"/>
          <w:b w:val="0"/>
          <w:bCs w:val="0"/>
          <w:sz w:val="21"/>
          <w:szCs w:val="21"/>
          <w:highlight w:val="none"/>
          <w:lang w:eastAsia="zh-CN"/>
        </w:rPr>
        <w:t>拟派本项目的服务人数、服务人员素质</w:t>
      </w:r>
      <w:r>
        <w:rPr>
          <w:rFonts w:hint="eastAsia"/>
          <w:b w:val="0"/>
          <w:bCs w:val="0"/>
          <w:sz w:val="21"/>
          <w:szCs w:val="21"/>
          <w:highlight w:val="none"/>
        </w:rPr>
        <w:t>”这一评分因素要求，提供证明资料）</w:t>
      </w:r>
    </w:p>
    <w:p>
      <w:pPr>
        <w:pStyle w:val="8"/>
        <w:spacing w:before="60" w:beforeLines="25" w:after="60" w:afterLines="25"/>
        <w:ind w:firstLine="0"/>
        <w:rPr>
          <w:rFonts w:ascii="黑体" w:hAnsi="宋体" w:eastAsia="黑体"/>
          <w:sz w:val="24"/>
          <w:highlight w:val="none"/>
        </w:rPr>
      </w:pPr>
    </w:p>
    <w:p>
      <w:pPr>
        <w:rPr>
          <w:rFonts w:ascii="黑体" w:hAnsi="宋体" w:eastAsia="黑体"/>
          <w:sz w:val="24"/>
          <w:highlight w:val="none"/>
        </w:rPr>
      </w:pPr>
    </w:p>
    <w:p>
      <w:pPr>
        <w:rPr>
          <w:rFonts w:hint="eastAsia" w:ascii="黑体" w:eastAsia="黑体" w:cs="Times New Roman"/>
          <w:b w:val="0"/>
          <w:bCs w:val="0"/>
          <w:sz w:val="24"/>
          <w:szCs w:val="28"/>
          <w:highlight w:val="none"/>
          <w:lang w:val="en-US" w:eastAsia="zh-CN"/>
        </w:rPr>
      </w:pPr>
      <w:r>
        <w:rPr>
          <w:rFonts w:hint="eastAsia" w:ascii="黑体" w:eastAsia="黑体" w:cs="Times New Roman"/>
          <w:b w:val="0"/>
          <w:bCs w:val="0"/>
          <w:sz w:val="24"/>
          <w:szCs w:val="28"/>
          <w:highlight w:val="none"/>
          <w:lang w:val="en-US" w:eastAsia="zh-CN"/>
        </w:rPr>
        <w:br w:type="page"/>
      </w:r>
    </w:p>
    <w:p>
      <w:pPr>
        <w:pStyle w:val="4"/>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1"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pPr>
        <w:spacing w:beforeLines="0" w:line="340" w:lineRule="exact"/>
        <w:ind w:firstLine="420" w:firstLineChars="200"/>
        <w:rPr>
          <w:color w:val="auto"/>
          <w:highlight w:val="none"/>
        </w:rPr>
      </w:pPr>
      <w:r>
        <w:rPr>
          <w:rFonts w:hint="eastAsia"/>
          <w:color w:val="auto"/>
          <w:highlight w:val="none"/>
        </w:rPr>
        <w:t>（七）不同投标人的投标报价呈规律性差异。</w:t>
      </w:r>
    </w:p>
    <w:p>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pPr>
              <w:autoSpaceDE w:val="0"/>
              <w:autoSpaceDN w:val="0"/>
              <w:spacing w:beforeLines="0" w:line="340" w:lineRule="exact"/>
              <w:ind w:firstLine="1866"/>
              <w:rPr>
                <w:rFonts w:ascii="宋体" w:hAnsi="宋体" w:eastAsia="宋体"/>
                <w:color w:val="auto"/>
                <w:spacing w:val="-4"/>
                <w:kern w:val="0"/>
                <w:szCs w:val="21"/>
                <w:highlight w:val="none"/>
              </w:rPr>
            </w:pPr>
          </w:p>
        </w:tc>
      </w:tr>
    </w:tbl>
    <w:p>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pPr>
        <w:widowControl/>
        <w:autoSpaceDE w:val="0"/>
        <w:autoSpaceDN w:val="0"/>
        <w:spacing w:line="400" w:lineRule="exact"/>
        <w:ind w:right="1414" w:firstLine="480" w:firstLineChars="200"/>
        <w:jc w:val="right"/>
        <w:rPr>
          <w:rFonts w:eastAsiaTheme="minorEastAsia"/>
          <w:kern w:val="0"/>
          <w:sz w:val="24"/>
          <w:highlight w:val="none"/>
        </w:rPr>
      </w:pPr>
    </w:p>
    <w:p>
      <w:pP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br w:type="page"/>
      </w:r>
    </w:p>
    <w:p>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pPr>
        <w:pStyle w:val="1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pPr>
        <w:widowControl/>
        <w:autoSpaceDE w:val="0"/>
        <w:autoSpaceDN w:val="0"/>
        <w:spacing w:line="400" w:lineRule="exact"/>
        <w:ind w:right="1414" w:firstLine="480" w:firstLineChars="200"/>
        <w:jc w:val="right"/>
        <w:rPr>
          <w:rFonts w:eastAsiaTheme="minorEastAsia"/>
          <w:kern w:val="0"/>
          <w:sz w:val="24"/>
          <w:highlight w:val="none"/>
        </w:rPr>
      </w:pPr>
    </w:p>
    <w:p>
      <w:pPr>
        <w:widowControl/>
        <w:autoSpaceDE w:val="0"/>
        <w:autoSpaceDN w:val="0"/>
        <w:spacing w:line="400" w:lineRule="exact"/>
        <w:ind w:right="1414" w:firstLine="480" w:firstLineChars="200"/>
        <w:jc w:val="right"/>
        <w:rPr>
          <w:rFonts w:eastAsiaTheme="minorEastAsia"/>
          <w:kern w:val="0"/>
          <w:sz w:val="24"/>
          <w:highlight w:val="none"/>
        </w:rPr>
      </w:pPr>
    </w:p>
    <w:p>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pPr>
        <w:ind w:firstLine="720" w:firstLineChars="300"/>
        <w:rPr>
          <w:sz w:val="24"/>
          <w:highlight w:val="none"/>
        </w:rPr>
      </w:pPr>
    </w:p>
    <w:p>
      <w:pPr>
        <w:widowControl/>
        <w:spacing w:line="360" w:lineRule="auto"/>
        <w:jc w:val="left"/>
        <w:rPr>
          <w:rFonts w:eastAsiaTheme="minorEastAsia"/>
          <w:b/>
          <w:bCs/>
          <w:kern w:val="0"/>
          <w:sz w:val="24"/>
          <w:highlight w:val="none"/>
        </w:rPr>
      </w:pPr>
    </w:p>
    <w:p>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pPr>
        <w:rPr>
          <w:highlight w:val="none"/>
        </w:rPr>
      </w:pPr>
    </w:p>
    <w:p>
      <w:pPr>
        <w:pStyle w:val="19"/>
        <w:rPr>
          <w:highlight w:val="none"/>
        </w:rPr>
        <w:sectPr>
          <w:pgSz w:w="11907" w:h="16840"/>
          <w:pgMar w:top="1440" w:right="1797" w:bottom="1440" w:left="1797" w:header="851" w:footer="992" w:gutter="0"/>
          <w:cols w:space="425" w:num="1"/>
          <w:titlePg/>
          <w:docGrid w:linePitch="462" w:charSpace="0"/>
        </w:sectPr>
      </w:pPr>
    </w:p>
    <w:p>
      <w:pPr>
        <w:pStyle w:val="19"/>
        <w:rPr>
          <w:highlight w:val="none"/>
        </w:rPr>
      </w:pPr>
    </w:p>
    <w:p>
      <w:pPr>
        <w:pStyle w:val="6"/>
        <w:rPr>
          <w:highlight w:val="none"/>
        </w:rPr>
      </w:pPr>
      <w:r>
        <w:rPr>
          <w:rFonts w:hint="eastAsia"/>
          <w:highlight w:val="none"/>
        </w:rPr>
        <w:t>第五章  合同条款及格式</w:t>
      </w:r>
    </w:p>
    <w:p>
      <w:pPr>
        <w:ind w:firstLine="411" w:firstLineChars="196"/>
        <w:rPr>
          <w:highlight w:val="none"/>
        </w:rPr>
      </w:pPr>
    </w:p>
    <w:p>
      <w:pPr>
        <w:jc w:val="center"/>
        <w:outlineLvl w:val="0"/>
        <w:rPr>
          <w:highlight w:val="none"/>
        </w:rPr>
      </w:pPr>
      <w:r>
        <w:rPr>
          <w:rFonts w:hint="eastAsia"/>
          <w:b/>
          <w:sz w:val="24"/>
          <w:highlight w:val="none"/>
        </w:rPr>
        <w:t>（仅供参考，具体以项目需求及采购结果为准）</w:t>
      </w:r>
    </w:p>
    <w:p>
      <w:pPr>
        <w:rPr>
          <w:rFonts w:ascii="宋体" w:hAnsi="宋体"/>
          <w:b/>
          <w:bCs/>
          <w:szCs w:val="21"/>
          <w:highlight w:val="none"/>
        </w:rPr>
      </w:pPr>
      <w:r>
        <w:rPr>
          <w:rFonts w:hint="eastAsia" w:ascii="宋体" w:hAnsi="宋体"/>
          <w:b/>
          <w:bCs/>
          <w:szCs w:val="21"/>
          <w:highlight w:val="none"/>
        </w:rPr>
        <w:t>甲方：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pPr>
        <w:rPr>
          <w:rFonts w:ascii="宋体" w:hAnsi="宋体"/>
          <w:b/>
          <w:bCs/>
          <w:szCs w:val="21"/>
          <w:highlight w:val="none"/>
        </w:rPr>
      </w:pPr>
      <w:r>
        <w:rPr>
          <w:rFonts w:hint="eastAsia" w:ascii="宋体" w:hAnsi="宋体"/>
          <w:b/>
          <w:bCs/>
          <w:szCs w:val="21"/>
          <w:highlight w:val="none"/>
        </w:rPr>
        <w:t>乙方：</w:t>
      </w:r>
    </w:p>
    <w:p>
      <w:pPr>
        <w:rPr>
          <w:rFonts w:ascii="宋体" w:hAnsi="宋体"/>
          <w:szCs w:val="21"/>
          <w:highlight w:val="none"/>
        </w:rPr>
      </w:pPr>
      <w:r>
        <w:rPr>
          <w:rFonts w:hint="eastAsia" w:ascii="宋体" w:hAnsi="宋体"/>
          <w:szCs w:val="21"/>
          <w:highlight w:val="none"/>
        </w:rPr>
        <w:t>地址：</w:t>
      </w:r>
    </w:p>
    <w:p>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pPr>
        <w:rPr>
          <w:rFonts w:ascii="宋体" w:hAnsi="宋体"/>
          <w:b/>
          <w:bCs/>
          <w:szCs w:val="21"/>
          <w:highlight w:val="none"/>
        </w:rPr>
      </w:pPr>
      <w:r>
        <w:rPr>
          <w:rFonts w:hint="eastAsia" w:ascii="宋体" w:hAnsi="宋体"/>
          <w:szCs w:val="21"/>
          <w:highlight w:val="none"/>
        </w:rPr>
        <w:t>联系电话：</w:t>
      </w:r>
    </w:p>
    <w:p>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pPr>
        <w:ind w:firstLine="422" w:firstLineChars="200"/>
        <w:rPr>
          <w:rFonts w:ascii="宋体" w:hAnsi="宋体"/>
          <w:b/>
          <w:bCs/>
          <w:szCs w:val="21"/>
          <w:highlight w:val="none"/>
        </w:rPr>
      </w:pPr>
      <w:r>
        <w:rPr>
          <w:rFonts w:hint="eastAsia" w:ascii="宋体" w:hAnsi="宋体"/>
          <w:b/>
          <w:bCs/>
          <w:szCs w:val="21"/>
          <w:highlight w:val="none"/>
        </w:rPr>
        <w:t>第一条　项目概况</w:t>
      </w:r>
    </w:p>
    <w:p>
      <w:pPr>
        <w:ind w:firstLine="420" w:firstLineChars="200"/>
        <w:rPr>
          <w:rFonts w:ascii="宋体" w:hAnsi="宋体"/>
          <w:szCs w:val="21"/>
          <w:highlight w:val="none"/>
        </w:rPr>
      </w:pPr>
      <w:r>
        <w:rPr>
          <w:rFonts w:hint="eastAsia" w:ascii="宋体" w:hAnsi="宋体"/>
          <w:szCs w:val="21"/>
          <w:highlight w:val="none"/>
        </w:rPr>
        <w:t xml:space="preserve">项目名称： </w:t>
      </w:r>
    </w:p>
    <w:p>
      <w:pPr>
        <w:ind w:firstLine="420" w:firstLineChars="200"/>
        <w:rPr>
          <w:rFonts w:ascii="宋体" w:hAnsi="宋体"/>
          <w:szCs w:val="21"/>
          <w:highlight w:val="none"/>
        </w:rPr>
      </w:pPr>
      <w:r>
        <w:rPr>
          <w:rFonts w:hint="eastAsia" w:ascii="宋体" w:hAnsi="宋体"/>
          <w:szCs w:val="21"/>
          <w:highlight w:val="none"/>
        </w:rPr>
        <w:t xml:space="preserve">项目内容： </w:t>
      </w:r>
    </w:p>
    <w:p>
      <w:pPr>
        <w:ind w:firstLine="420" w:firstLineChars="200"/>
        <w:rPr>
          <w:rFonts w:ascii="宋体" w:hAnsi="宋体"/>
          <w:szCs w:val="21"/>
          <w:highlight w:val="none"/>
        </w:rPr>
      </w:pPr>
      <w:r>
        <w:rPr>
          <w:rFonts w:hint="eastAsia" w:ascii="宋体" w:hAnsi="宋体"/>
          <w:szCs w:val="21"/>
          <w:highlight w:val="none"/>
        </w:rPr>
        <w:t xml:space="preserve">服务时间： </w:t>
      </w:r>
    </w:p>
    <w:p>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pPr>
        <w:pStyle w:val="8"/>
        <w:rPr>
          <w:rFonts w:ascii="宋体" w:hAnsi="宋体"/>
          <w:szCs w:val="21"/>
          <w:highlight w:val="none"/>
        </w:rPr>
      </w:pPr>
      <w:r>
        <w:rPr>
          <w:rFonts w:hint="eastAsia" w:ascii="宋体" w:hAnsi="宋体"/>
          <w:szCs w:val="21"/>
          <w:highlight w:val="none"/>
        </w:rPr>
        <w:t>支付方式：分期支付。</w:t>
      </w:r>
    </w:p>
    <w:p>
      <w:pPr>
        <w:ind w:firstLine="422" w:firstLineChars="200"/>
        <w:rPr>
          <w:rFonts w:ascii="宋体" w:hAnsi="宋体"/>
          <w:b/>
          <w:bCs/>
          <w:szCs w:val="21"/>
          <w:highlight w:val="none"/>
        </w:rPr>
      </w:pPr>
      <w:r>
        <w:rPr>
          <w:rFonts w:hint="eastAsia" w:ascii="宋体" w:hAnsi="宋体"/>
          <w:b/>
          <w:bCs/>
          <w:szCs w:val="21"/>
          <w:highlight w:val="none"/>
        </w:rPr>
        <w:t>第二条  服务范围</w:t>
      </w:r>
    </w:p>
    <w:p>
      <w:pPr>
        <w:ind w:firstLine="420" w:firstLineChars="200"/>
        <w:rPr>
          <w:rFonts w:ascii="宋体" w:hAnsi="宋体"/>
          <w:szCs w:val="21"/>
          <w:highlight w:val="none"/>
        </w:rPr>
      </w:pPr>
      <w:r>
        <w:rPr>
          <w:rFonts w:hint="eastAsia" w:ascii="宋体" w:hAnsi="宋体"/>
          <w:szCs w:val="21"/>
          <w:highlight w:val="none"/>
        </w:rPr>
        <w:t xml:space="preserve">1、  </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 xml:space="preserve">3、  </w:t>
      </w:r>
    </w:p>
    <w:p>
      <w:pPr>
        <w:ind w:firstLine="420" w:firstLineChars="200"/>
        <w:rPr>
          <w:rFonts w:ascii="宋体" w:hAnsi="宋体"/>
          <w:szCs w:val="21"/>
          <w:highlight w:val="none"/>
        </w:rPr>
      </w:pPr>
      <w:r>
        <w:rPr>
          <w:rFonts w:hint="eastAsia" w:ascii="宋体" w:hAnsi="宋体"/>
          <w:szCs w:val="21"/>
          <w:highlight w:val="none"/>
        </w:rPr>
        <w:t>4、 其他合同未明示的相关工作。</w:t>
      </w:r>
    </w:p>
    <w:p>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pPr>
        <w:ind w:firstLine="420" w:firstLineChars="200"/>
        <w:rPr>
          <w:rFonts w:ascii="宋体" w:hAnsi="宋体"/>
          <w:szCs w:val="21"/>
          <w:highlight w:val="none"/>
        </w:rPr>
      </w:pPr>
      <w:r>
        <w:rPr>
          <w:rFonts w:hint="eastAsia" w:ascii="宋体" w:hAnsi="宋体"/>
          <w:szCs w:val="21"/>
          <w:highlight w:val="none"/>
        </w:rPr>
        <w:t xml:space="preserve">2、 </w:t>
      </w:r>
    </w:p>
    <w:p>
      <w:pPr>
        <w:ind w:firstLine="420" w:firstLineChars="200"/>
        <w:rPr>
          <w:rFonts w:ascii="宋体" w:hAnsi="宋体"/>
          <w:szCs w:val="21"/>
          <w:highlight w:val="none"/>
        </w:rPr>
      </w:pPr>
      <w:r>
        <w:rPr>
          <w:rFonts w:hint="eastAsia" w:ascii="宋体" w:hAnsi="宋体"/>
          <w:szCs w:val="21"/>
          <w:highlight w:val="none"/>
        </w:rPr>
        <w:t>3、</w:t>
      </w:r>
    </w:p>
    <w:p>
      <w:pPr>
        <w:ind w:firstLine="420" w:firstLineChars="200"/>
        <w:rPr>
          <w:rFonts w:ascii="宋体" w:hAnsi="宋体"/>
          <w:szCs w:val="21"/>
          <w:highlight w:val="none"/>
        </w:rPr>
      </w:pPr>
      <w:r>
        <w:rPr>
          <w:rFonts w:hint="eastAsia" w:ascii="宋体" w:hAnsi="宋体"/>
          <w:szCs w:val="21"/>
          <w:highlight w:val="none"/>
        </w:rPr>
        <w:t>4、</w:t>
      </w:r>
    </w:p>
    <w:p>
      <w:pPr>
        <w:ind w:firstLine="422" w:firstLineChars="200"/>
        <w:rPr>
          <w:rFonts w:ascii="宋体" w:hAnsi="宋体"/>
          <w:b/>
          <w:bCs/>
          <w:szCs w:val="21"/>
          <w:highlight w:val="none"/>
        </w:rPr>
      </w:pPr>
      <w:r>
        <w:rPr>
          <w:rFonts w:hint="eastAsia" w:ascii="宋体" w:hAnsi="宋体"/>
          <w:b/>
          <w:bCs/>
          <w:szCs w:val="21"/>
          <w:highlight w:val="none"/>
        </w:rPr>
        <w:t>第四条  服务资料归属</w:t>
      </w:r>
    </w:p>
    <w:p>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pPr>
        <w:ind w:firstLine="422" w:firstLineChars="200"/>
        <w:rPr>
          <w:rFonts w:ascii="宋体" w:hAnsi="宋体"/>
          <w:b/>
          <w:bCs/>
          <w:szCs w:val="21"/>
          <w:highlight w:val="none"/>
        </w:rPr>
      </w:pPr>
      <w:r>
        <w:rPr>
          <w:rFonts w:hint="eastAsia" w:ascii="宋体" w:hAnsi="宋体"/>
          <w:b/>
          <w:bCs/>
          <w:szCs w:val="21"/>
          <w:highlight w:val="none"/>
        </w:rPr>
        <w:t>第五条  甲方的义务</w:t>
      </w:r>
    </w:p>
    <w:p>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pPr>
        <w:ind w:firstLine="422" w:firstLineChars="200"/>
        <w:rPr>
          <w:rFonts w:ascii="宋体" w:hAnsi="宋体"/>
          <w:b/>
          <w:bCs/>
          <w:szCs w:val="21"/>
          <w:highlight w:val="none"/>
        </w:rPr>
      </w:pPr>
      <w:r>
        <w:rPr>
          <w:rFonts w:hint="eastAsia" w:ascii="宋体" w:hAnsi="宋体"/>
          <w:b/>
          <w:bCs/>
          <w:szCs w:val="21"/>
          <w:highlight w:val="none"/>
        </w:rPr>
        <w:t>第六条　乙方的义务</w:t>
      </w:r>
    </w:p>
    <w:p>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pPr>
        <w:ind w:firstLine="422" w:firstLineChars="200"/>
        <w:rPr>
          <w:rFonts w:ascii="宋体" w:hAnsi="宋体"/>
          <w:b/>
          <w:bCs/>
          <w:szCs w:val="21"/>
          <w:highlight w:val="none"/>
        </w:rPr>
      </w:pPr>
      <w:r>
        <w:rPr>
          <w:rFonts w:hint="eastAsia" w:ascii="宋体" w:hAnsi="宋体"/>
          <w:b/>
          <w:bCs/>
          <w:szCs w:val="21"/>
          <w:highlight w:val="none"/>
        </w:rPr>
        <w:t>第七条  甲方的权利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pPr>
        <w:ind w:firstLine="422" w:firstLineChars="200"/>
        <w:rPr>
          <w:rFonts w:ascii="宋体" w:hAnsi="宋体"/>
          <w:b/>
          <w:bCs/>
          <w:szCs w:val="21"/>
          <w:highlight w:val="none"/>
        </w:rPr>
      </w:pPr>
      <w:r>
        <w:rPr>
          <w:rFonts w:hint="eastAsia" w:ascii="宋体" w:hAnsi="宋体"/>
          <w:b/>
          <w:bCs/>
          <w:szCs w:val="21"/>
          <w:highlight w:val="none"/>
        </w:rPr>
        <w:t>第八条  乙方的权利</w:t>
      </w:r>
    </w:p>
    <w:p>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pPr>
        <w:ind w:firstLine="422" w:firstLineChars="200"/>
        <w:rPr>
          <w:rFonts w:ascii="宋体" w:hAnsi="宋体"/>
          <w:b/>
          <w:bCs/>
          <w:szCs w:val="21"/>
          <w:highlight w:val="none"/>
        </w:rPr>
      </w:pPr>
      <w:r>
        <w:rPr>
          <w:rFonts w:hint="eastAsia" w:ascii="宋体" w:hAnsi="宋体"/>
          <w:b/>
          <w:bCs/>
          <w:szCs w:val="21"/>
          <w:highlight w:val="none"/>
        </w:rPr>
        <w:t>第九条  甲方的责任</w:t>
      </w:r>
    </w:p>
    <w:p>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第十条  乙方的责任</w:t>
      </w:r>
    </w:p>
    <w:p>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pPr>
        <w:ind w:firstLine="422" w:firstLineChars="200"/>
        <w:rPr>
          <w:rFonts w:ascii="宋体" w:hAnsi="宋体"/>
          <w:b/>
          <w:bCs/>
          <w:szCs w:val="21"/>
          <w:highlight w:val="none"/>
        </w:rPr>
      </w:pPr>
      <w:r>
        <w:rPr>
          <w:rFonts w:hint="eastAsia" w:ascii="宋体" w:hAnsi="宋体"/>
          <w:b/>
          <w:bCs/>
          <w:szCs w:val="21"/>
          <w:highlight w:val="none"/>
        </w:rPr>
        <w:t>第十一条  人员要求</w:t>
      </w:r>
    </w:p>
    <w:p>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pPr>
        <w:ind w:firstLine="422" w:firstLineChars="200"/>
        <w:rPr>
          <w:rFonts w:ascii="宋体" w:hAnsi="宋体"/>
          <w:b/>
          <w:bCs/>
          <w:szCs w:val="21"/>
          <w:highlight w:val="none"/>
        </w:rPr>
      </w:pPr>
      <w:r>
        <w:rPr>
          <w:rFonts w:hint="eastAsia" w:ascii="宋体" w:hAnsi="宋体"/>
          <w:b/>
          <w:bCs/>
          <w:szCs w:val="21"/>
          <w:highlight w:val="none"/>
        </w:rPr>
        <w:t>第十三条  保密要求</w:t>
      </w:r>
    </w:p>
    <w:p>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pPr>
        <w:ind w:firstLine="422" w:firstLineChars="200"/>
        <w:rPr>
          <w:rFonts w:ascii="宋体" w:hAnsi="宋体"/>
          <w:b/>
          <w:bCs/>
          <w:szCs w:val="21"/>
          <w:highlight w:val="none"/>
        </w:rPr>
      </w:pPr>
      <w:r>
        <w:rPr>
          <w:rFonts w:hint="eastAsia" w:ascii="宋体" w:hAnsi="宋体"/>
          <w:b/>
          <w:bCs/>
          <w:szCs w:val="21"/>
          <w:highlight w:val="none"/>
        </w:rPr>
        <w:t>第十五条  付款方式</w:t>
      </w:r>
    </w:p>
    <w:p>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pPr>
        <w:ind w:firstLine="422" w:firstLineChars="200"/>
        <w:rPr>
          <w:rFonts w:ascii="宋体" w:hAnsi="宋体"/>
          <w:b/>
          <w:bCs/>
          <w:szCs w:val="21"/>
          <w:highlight w:val="none"/>
        </w:rPr>
      </w:pPr>
      <w:r>
        <w:rPr>
          <w:rFonts w:hint="eastAsia" w:ascii="宋体" w:hAnsi="宋体"/>
          <w:b/>
          <w:bCs/>
          <w:szCs w:val="21"/>
          <w:highlight w:val="none"/>
        </w:rPr>
        <w:t>第十七条  风险责任</w:t>
      </w:r>
    </w:p>
    <w:p>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pPr>
        <w:ind w:firstLine="422" w:firstLineChars="200"/>
        <w:rPr>
          <w:rFonts w:ascii="宋体" w:hAnsi="宋体"/>
          <w:b/>
          <w:bCs/>
          <w:szCs w:val="21"/>
          <w:highlight w:val="none"/>
        </w:rPr>
      </w:pPr>
      <w:r>
        <w:rPr>
          <w:rFonts w:hint="eastAsia" w:ascii="宋体" w:hAnsi="宋体"/>
          <w:b/>
          <w:bCs/>
          <w:szCs w:val="21"/>
          <w:highlight w:val="none"/>
        </w:rPr>
        <w:t>第十八条  违约责任</w:t>
      </w:r>
    </w:p>
    <w:p>
      <w:pPr>
        <w:pStyle w:val="21"/>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pPr>
        <w:ind w:firstLine="422" w:firstLineChars="200"/>
        <w:rPr>
          <w:rFonts w:ascii="宋体" w:hAnsi="宋体"/>
          <w:b/>
          <w:bCs/>
          <w:szCs w:val="21"/>
          <w:highlight w:val="none"/>
        </w:rPr>
      </w:pPr>
      <w:r>
        <w:rPr>
          <w:rFonts w:hint="eastAsia" w:ascii="宋体" w:hAnsi="宋体"/>
          <w:b/>
          <w:bCs/>
          <w:szCs w:val="21"/>
          <w:highlight w:val="none"/>
        </w:rPr>
        <w:t>第十九条  其他</w:t>
      </w:r>
    </w:p>
    <w:p>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pPr>
        <w:ind w:firstLine="420" w:firstLineChars="200"/>
        <w:rPr>
          <w:rFonts w:hint="eastAsia" w:ascii="宋体" w:hAnsi="宋体"/>
          <w:szCs w:val="21"/>
          <w:highlight w:val="none"/>
        </w:rPr>
      </w:pPr>
      <w:r>
        <w:rPr>
          <w:rFonts w:hint="eastAsia" w:ascii="宋体" w:hAnsi="宋体"/>
          <w:szCs w:val="21"/>
          <w:highlight w:val="none"/>
        </w:rPr>
        <w:t>（4）中标（成交）通知书</w:t>
      </w:r>
    </w:p>
    <w:p>
      <w:pPr>
        <w:ind w:firstLine="420" w:firstLineChars="200"/>
        <w:rPr>
          <w:rFonts w:hint="eastAsia" w:ascii="宋体" w:hAnsi="宋体"/>
          <w:szCs w:val="21"/>
          <w:highlight w:val="none"/>
        </w:rPr>
      </w:pPr>
      <w:r>
        <w:rPr>
          <w:rFonts w:hint="eastAsia" w:ascii="宋体" w:hAnsi="宋体"/>
          <w:szCs w:val="21"/>
          <w:highlight w:val="none"/>
        </w:rPr>
        <w:t>（5）投标（响应）文件</w:t>
      </w:r>
    </w:p>
    <w:p>
      <w:pPr>
        <w:ind w:firstLine="420" w:firstLineChars="200"/>
        <w:rPr>
          <w:rFonts w:hint="eastAsia" w:ascii="宋体" w:hAnsi="宋体"/>
          <w:szCs w:val="21"/>
          <w:highlight w:val="none"/>
        </w:rPr>
      </w:pPr>
      <w:r>
        <w:rPr>
          <w:rFonts w:hint="eastAsia" w:ascii="宋体" w:hAnsi="宋体"/>
          <w:szCs w:val="21"/>
          <w:highlight w:val="none"/>
        </w:rPr>
        <w:t>（6）采购文件</w:t>
      </w:r>
    </w:p>
    <w:p>
      <w:pPr>
        <w:ind w:firstLine="420" w:firstLineChars="200"/>
        <w:rPr>
          <w:rFonts w:hint="eastAsia" w:ascii="宋体" w:hAnsi="宋体"/>
          <w:szCs w:val="21"/>
          <w:highlight w:val="none"/>
        </w:rPr>
      </w:pPr>
      <w:r>
        <w:rPr>
          <w:rFonts w:hint="eastAsia" w:ascii="宋体" w:hAnsi="宋体"/>
          <w:szCs w:val="21"/>
          <w:highlight w:val="none"/>
        </w:rPr>
        <w:t>（7）有关技术文件，图纸</w:t>
      </w:r>
    </w:p>
    <w:p>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pPr>
        <w:ind w:firstLine="420" w:firstLineChars="200"/>
        <w:rPr>
          <w:rFonts w:ascii="宋体" w:hAnsi="宋体"/>
          <w:szCs w:val="21"/>
          <w:highlight w:val="none"/>
        </w:rPr>
      </w:pPr>
      <w:r>
        <w:rPr>
          <w:rFonts w:hint="eastAsia" w:ascii="宋体" w:hAnsi="宋体"/>
          <w:szCs w:val="21"/>
          <w:highlight w:val="none"/>
        </w:rPr>
        <w:t>2、下列文件均为本合同的组成部分：</w:t>
      </w:r>
    </w:p>
    <w:p>
      <w:pPr>
        <w:ind w:firstLine="420" w:firstLineChars="200"/>
        <w:rPr>
          <w:rFonts w:ascii="宋体" w:hAnsi="宋体"/>
          <w:szCs w:val="21"/>
          <w:highlight w:val="none"/>
        </w:rPr>
      </w:pPr>
      <w:r>
        <w:rPr>
          <w:rFonts w:hint="eastAsia" w:ascii="宋体" w:hAnsi="宋体"/>
          <w:szCs w:val="21"/>
          <w:highlight w:val="none"/>
        </w:rPr>
        <w:t>（1）号招标文件、答疑及补充通知；</w:t>
      </w:r>
    </w:p>
    <w:p>
      <w:pPr>
        <w:ind w:firstLine="420" w:firstLineChars="200"/>
        <w:rPr>
          <w:rFonts w:ascii="宋体" w:hAnsi="宋体"/>
          <w:szCs w:val="21"/>
          <w:highlight w:val="none"/>
        </w:rPr>
      </w:pPr>
      <w:r>
        <w:rPr>
          <w:rFonts w:hint="eastAsia" w:ascii="宋体" w:hAnsi="宋体"/>
          <w:szCs w:val="21"/>
          <w:highlight w:val="none"/>
        </w:rPr>
        <w:t>（2）投标文件；</w:t>
      </w:r>
    </w:p>
    <w:p>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pPr>
        <w:ind w:firstLine="420" w:firstLineChars="200"/>
        <w:rPr>
          <w:rFonts w:ascii="宋体" w:hAnsi="宋体"/>
          <w:szCs w:val="21"/>
          <w:highlight w:val="none"/>
        </w:rPr>
      </w:pPr>
      <w:r>
        <w:rPr>
          <w:rFonts w:hint="eastAsia" w:ascii="宋体" w:hAnsi="宋体"/>
          <w:szCs w:val="21"/>
          <w:highlight w:val="none"/>
        </w:rPr>
        <w:t>日期：   年     月    日         日期：   年     月    日</w:t>
      </w: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pStyle w:val="6"/>
        <w:spacing w:before="120" w:beforeLines="50" w:after="120" w:afterLines="50"/>
        <w:ind w:left="562"/>
        <w:rPr>
          <w:sz w:val="28"/>
          <w:szCs w:val="28"/>
          <w:highlight w:val="none"/>
        </w:rPr>
      </w:pPr>
      <w:r>
        <w:rPr>
          <w:rFonts w:hint="eastAsia"/>
          <w:sz w:val="28"/>
          <w:szCs w:val="28"/>
          <w:highlight w:val="none"/>
        </w:rPr>
        <w:t>第二册  通用条款（</w:t>
      </w:r>
      <w:r>
        <w:rPr>
          <w:rFonts w:hint="eastAsia"/>
          <w:sz w:val="28"/>
          <w:szCs w:val="28"/>
          <w:highlight w:val="none"/>
          <w:lang w:eastAsia="zh-CN"/>
        </w:rPr>
        <w:t>公开征集</w:t>
      </w:r>
      <w:r>
        <w:rPr>
          <w:rFonts w:hint="eastAsia"/>
          <w:sz w:val="28"/>
          <w:szCs w:val="28"/>
          <w:highlight w:val="none"/>
        </w:rPr>
        <w:t>）</w:t>
      </w:r>
    </w:p>
    <w:p>
      <w:pPr>
        <w:pStyle w:val="6"/>
        <w:numPr>
          <w:ilvl w:val="0"/>
          <w:numId w:val="8"/>
        </w:numPr>
        <w:spacing w:before="120" w:beforeLines="50" w:after="120" w:afterLines="50"/>
        <w:ind w:left="562" w:hanging="562"/>
        <w:rPr>
          <w:sz w:val="28"/>
          <w:szCs w:val="28"/>
          <w:highlight w:val="none"/>
        </w:rPr>
      </w:pPr>
      <w:bookmarkStart w:id="42" w:name="_Hlk72399513"/>
      <w:r>
        <w:rPr>
          <w:rFonts w:hint="eastAsia"/>
          <w:sz w:val="28"/>
          <w:szCs w:val="28"/>
          <w:highlight w:val="none"/>
        </w:rPr>
        <w:t>总则</w:t>
      </w:r>
    </w:p>
    <w:bookmarkEnd w:id="42"/>
    <w:p>
      <w:pPr>
        <w:rPr>
          <w:rFonts w:ascii="黑体" w:hAnsi="宋体" w:eastAsia="黑体"/>
          <w:sz w:val="24"/>
          <w:highlight w:val="none"/>
        </w:rPr>
      </w:pPr>
      <w:r>
        <w:rPr>
          <w:rFonts w:hint="eastAsia" w:ascii="黑体" w:hAnsi="宋体" w:eastAsia="黑体"/>
          <w:sz w:val="24"/>
          <w:highlight w:val="none"/>
        </w:rPr>
        <w:t>1. 通用条款说明</w:t>
      </w:r>
    </w:p>
    <w:p>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3" w:name="_Hlk72399729"/>
      <w:r>
        <w:rPr>
          <w:rFonts w:hint="eastAsia" w:ascii="宋体" w:hAnsi="宋体"/>
          <w:szCs w:val="21"/>
          <w:highlight w:val="none"/>
        </w:rPr>
        <w:t>如有需要，政府集中采购机构可以对通用条款的内容进行补充。</w:t>
      </w:r>
      <w:bookmarkEnd w:id="43"/>
    </w:p>
    <w:p>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pPr>
        <w:ind w:firstLine="411" w:firstLineChars="196"/>
        <w:rPr>
          <w:rFonts w:ascii="宋体" w:hAnsi="宋体"/>
          <w:szCs w:val="21"/>
          <w:highlight w:val="none"/>
        </w:rPr>
      </w:pPr>
      <w:r>
        <w:rPr>
          <w:rFonts w:hint="eastAsia" w:ascii="宋体" w:hAnsi="宋体"/>
          <w:szCs w:val="21"/>
          <w:highlight w:val="none"/>
        </w:rPr>
        <w:t>1.4“通用条款”是适用于政府采购</w:t>
      </w:r>
      <w:r>
        <w:rPr>
          <w:rFonts w:hint="eastAsia" w:ascii="宋体" w:hAnsi="宋体"/>
          <w:szCs w:val="21"/>
          <w:highlight w:val="none"/>
          <w:lang w:eastAsia="zh-CN"/>
        </w:rPr>
        <w:t>公开征集</w:t>
      </w:r>
      <w:r>
        <w:rPr>
          <w:rFonts w:hint="eastAsia" w:ascii="宋体" w:hAnsi="宋体"/>
          <w:szCs w:val="21"/>
          <w:highlight w:val="none"/>
        </w:rPr>
        <w:t>项目的基础性条款，具有普遍性和通用性。</w:t>
      </w:r>
    </w:p>
    <w:p>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w:t>
      </w:r>
      <w:r>
        <w:rPr>
          <w:rFonts w:hint="eastAsia" w:ascii="宋体" w:hAnsi="宋体"/>
          <w:szCs w:val="21"/>
          <w:highlight w:val="none"/>
          <w:lang w:eastAsia="zh-CN"/>
        </w:rPr>
        <w:t>公开征集</w:t>
      </w:r>
      <w:r>
        <w:rPr>
          <w:rFonts w:hint="eastAsia" w:ascii="宋体" w:hAnsi="宋体"/>
          <w:szCs w:val="21"/>
          <w:highlight w:val="none"/>
        </w:rPr>
        <w:t>方式确定中标供应商。</w:t>
      </w:r>
    </w:p>
    <w:p>
      <w:pPr>
        <w:rPr>
          <w:rFonts w:ascii="黑体" w:hAnsi="宋体" w:eastAsia="黑体"/>
          <w:sz w:val="24"/>
          <w:highlight w:val="none"/>
        </w:rPr>
      </w:pPr>
      <w:r>
        <w:rPr>
          <w:rFonts w:hint="eastAsia" w:ascii="黑体" w:hAnsi="宋体" w:eastAsia="黑体"/>
          <w:sz w:val="24"/>
          <w:highlight w:val="none"/>
        </w:rPr>
        <w:t>3．定义</w:t>
      </w:r>
    </w:p>
    <w:p>
      <w:pPr>
        <w:ind w:firstLine="420" w:firstLineChars="200"/>
        <w:rPr>
          <w:rFonts w:ascii="宋体" w:hAnsi="宋体"/>
          <w:szCs w:val="21"/>
          <w:highlight w:val="none"/>
        </w:rPr>
      </w:pPr>
      <w:r>
        <w:rPr>
          <w:rFonts w:ascii="宋体" w:hAnsi="宋体"/>
          <w:szCs w:val="21"/>
          <w:highlight w:val="none"/>
        </w:rPr>
        <w:t>招标文件中下列术语应解释为：</w:t>
      </w:r>
    </w:p>
    <w:p>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pPr>
        <w:rPr>
          <w:rFonts w:ascii="黑体" w:hAnsi="宋体" w:eastAsia="黑体"/>
          <w:sz w:val="24"/>
          <w:highlight w:val="none"/>
        </w:rPr>
      </w:pPr>
      <w:r>
        <w:rPr>
          <w:rFonts w:hint="eastAsia" w:ascii="黑体" w:hAnsi="宋体" w:eastAsia="黑体"/>
          <w:sz w:val="24"/>
          <w:highlight w:val="none"/>
        </w:rPr>
        <w:t xml:space="preserve">4. </w:t>
      </w:r>
      <w:bookmarkStart w:id="44" w:name="_Hlk72398643"/>
      <w:r>
        <w:rPr>
          <w:rFonts w:hint="eastAsia" w:ascii="黑体" w:hAnsi="宋体" w:eastAsia="黑体"/>
          <w:sz w:val="24"/>
          <w:highlight w:val="none"/>
        </w:rPr>
        <w:t>政府采购供应商责任</w:t>
      </w:r>
    </w:p>
    <w:p>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pPr>
        <w:rPr>
          <w:rFonts w:ascii="黑体" w:hAnsi="宋体" w:eastAsia="黑体"/>
          <w:sz w:val="24"/>
          <w:highlight w:val="none"/>
        </w:rPr>
      </w:pPr>
      <w:r>
        <w:rPr>
          <w:rFonts w:hint="eastAsia" w:ascii="黑体" w:hAnsi="宋体" w:eastAsia="黑体"/>
          <w:sz w:val="24"/>
          <w:highlight w:val="none"/>
        </w:rPr>
        <w:t>5．投标人参加政府采购的条件</w:t>
      </w:r>
    </w:p>
    <w:p>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5.2投标人资格要求</w:t>
      </w:r>
    </w:p>
    <w:p>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pPr>
        <w:ind w:firstLine="411" w:firstLineChars="196"/>
        <w:rPr>
          <w:rFonts w:ascii="宋体" w:hAnsi="宋体"/>
          <w:szCs w:val="21"/>
          <w:highlight w:val="none"/>
        </w:rPr>
      </w:pPr>
      <w:r>
        <w:rPr>
          <w:rFonts w:hint="eastAsia" w:ascii="宋体" w:hAnsi="宋体"/>
          <w:szCs w:val="21"/>
          <w:highlight w:val="none"/>
        </w:rPr>
        <w:t>5.3联合体投标</w:t>
      </w:r>
    </w:p>
    <w:p>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pPr>
        <w:rPr>
          <w:rFonts w:ascii="黑体" w:hAnsi="宋体" w:eastAsia="黑体"/>
          <w:sz w:val="24"/>
          <w:highlight w:val="none"/>
        </w:rPr>
      </w:pPr>
      <w:r>
        <w:rPr>
          <w:rFonts w:hint="eastAsia" w:ascii="黑体" w:hAnsi="宋体" w:eastAsia="黑体"/>
          <w:sz w:val="24"/>
          <w:highlight w:val="none"/>
        </w:rPr>
        <w:t>6．政策导向</w:t>
      </w:r>
    </w:p>
    <w:p>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5"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5"/>
    </w:p>
    <w:p>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pPr>
        <w:rPr>
          <w:rFonts w:ascii="黑体" w:hAnsi="宋体" w:eastAsia="黑体"/>
          <w:sz w:val="24"/>
          <w:highlight w:val="none"/>
        </w:rPr>
      </w:pPr>
      <w:r>
        <w:rPr>
          <w:rFonts w:hint="eastAsia" w:ascii="黑体" w:hAnsi="宋体" w:eastAsia="黑体"/>
          <w:sz w:val="24"/>
          <w:highlight w:val="none"/>
        </w:rPr>
        <w:t>8．投标费用</w:t>
      </w:r>
    </w:p>
    <w:p>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pPr>
        <w:rPr>
          <w:rFonts w:ascii="黑体" w:hAnsi="宋体" w:eastAsia="黑体"/>
          <w:sz w:val="24"/>
          <w:highlight w:val="none"/>
        </w:rPr>
      </w:pPr>
      <w:r>
        <w:rPr>
          <w:rFonts w:hint="eastAsia" w:ascii="黑体" w:hAnsi="宋体" w:eastAsia="黑体"/>
          <w:sz w:val="24"/>
          <w:highlight w:val="none"/>
        </w:rPr>
        <w:t>9．踏勘现场</w:t>
      </w:r>
    </w:p>
    <w:p>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4"/>
    <w:p>
      <w:pPr>
        <w:ind w:firstLine="411" w:firstLineChars="196"/>
        <w:rPr>
          <w:rFonts w:ascii="宋体" w:hAnsi="宋体"/>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6" w:name="_Hlk72399819"/>
      <w:r>
        <w:rPr>
          <w:rFonts w:hint="eastAsia" w:ascii="黑体" w:hAnsi="宋体" w:eastAsia="黑体"/>
          <w:sz w:val="24"/>
          <w:highlight w:val="none"/>
        </w:rPr>
        <w:t>招标文件的编制与组成</w:t>
      </w:r>
    </w:p>
    <w:p>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pPr>
        <w:ind w:firstLine="411" w:firstLineChars="196"/>
        <w:rPr>
          <w:rFonts w:ascii="宋体" w:hAnsi="宋体"/>
          <w:szCs w:val="21"/>
          <w:highlight w:val="none"/>
        </w:rPr>
      </w:pPr>
      <w:r>
        <w:rPr>
          <w:rFonts w:hint="eastAsia" w:ascii="宋体" w:hAnsi="宋体"/>
          <w:szCs w:val="21"/>
          <w:highlight w:val="none"/>
        </w:rPr>
        <w:t>招标文件包括下列内容：</w:t>
      </w:r>
    </w:p>
    <w:p>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pPr>
        <w:ind w:left="1079" w:leftChars="514"/>
        <w:rPr>
          <w:rFonts w:ascii="宋体" w:hAnsi="宋体"/>
          <w:b/>
          <w:szCs w:val="21"/>
          <w:highlight w:val="none"/>
        </w:rPr>
      </w:pPr>
      <w:r>
        <w:rPr>
          <w:rFonts w:hint="eastAsia" w:ascii="宋体" w:hAnsi="宋体"/>
          <w:b/>
          <w:szCs w:val="21"/>
          <w:highlight w:val="none"/>
        </w:rPr>
        <w:t>关键信息</w:t>
      </w:r>
    </w:p>
    <w:p>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pPr>
        <w:ind w:left="630" w:leftChars="300" w:firstLine="411" w:firstLineChars="196"/>
        <w:rPr>
          <w:rFonts w:ascii="宋体" w:hAnsi="宋体"/>
          <w:szCs w:val="21"/>
          <w:highlight w:val="none"/>
        </w:rPr>
      </w:pPr>
      <w:r>
        <w:rPr>
          <w:rFonts w:hint="eastAsia" w:ascii="宋体" w:hAnsi="宋体"/>
          <w:szCs w:val="21"/>
          <w:highlight w:val="none"/>
        </w:rPr>
        <w:t>第一章  总则</w:t>
      </w:r>
    </w:p>
    <w:p>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pPr>
        <w:ind w:left="630" w:leftChars="300" w:firstLine="411" w:firstLineChars="196"/>
        <w:rPr>
          <w:rFonts w:ascii="宋体" w:hAnsi="宋体"/>
          <w:szCs w:val="21"/>
          <w:highlight w:val="none"/>
        </w:rPr>
      </w:pPr>
      <w:r>
        <w:rPr>
          <w:rFonts w:hint="eastAsia" w:ascii="宋体" w:hAnsi="宋体"/>
          <w:szCs w:val="21"/>
          <w:highlight w:val="none"/>
        </w:rPr>
        <w:t>第五章  开标</w:t>
      </w:r>
    </w:p>
    <w:p>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pPr>
        <w:ind w:left="630" w:leftChars="300" w:firstLine="411" w:firstLineChars="196"/>
        <w:rPr>
          <w:rFonts w:ascii="宋体" w:hAnsi="宋体"/>
          <w:szCs w:val="21"/>
          <w:highlight w:val="none"/>
        </w:rPr>
      </w:pPr>
      <w:r>
        <w:rPr>
          <w:rFonts w:hint="eastAsia" w:ascii="宋体" w:hAnsi="宋体"/>
          <w:szCs w:val="21"/>
          <w:highlight w:val="none"/>
        </w:rPr>
        <w:t xml:space="preserve">第九章  </w:t>
      </w:r>
      <w:r>
        <w:rPr>
          <w:rFonts w:hint="eastAsia" w:ascii="宋体" w:hAnsi="宋体"/>
          <w:szCs w:val="21"/>
          <w:highlight w:val="none"/>
          <w:lang w:eastAsia="zh-CN"/>
        </w:rPr>
        <w:t>公开征集</w:t>
      </w:r>
      <w:r>
        <w:rPr>
          <w:rFonts w:hint="eastAsia" w:ascii="宋体" w:hAnsi="宋体"/>
          <w:szCs w:val="21"/>
          <w:highlight w:val="none"/>
        </w:rPr>
        <w:t>失败的后续处理</w:t>
      </w:r>
    </w:p>
    <w:p>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pStyle w:val="19"/>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6"/>
    </w:p>
    <w:p>
      <w:pPr>
        <w:rPr>
          <w:rFonts w:ascii="宋体" w:hAnsi="宋体"/>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pPr>
        <w:rPr>
          <w:rFonts w:ascii="黑体" w:hAnsi="宋体" w:eastAsia="黑体"/>
          <w:sz w:val="24"/>
          <w:highlight w:val="none"/>
        </w:rPr>
      </w:pPr>
      <w:r>
        <w:rPr>
          <w:rFonts w:hint="eastAsia" w:ascii="黑体" w:hAnsi="宋体" w:eastAsia="黑体"/>
          <w:sz w:val="24"/>
          <w:highlight w:val="none"/>
        </w:rPr>
        <w:t>14．</w:t>
      </w:r>
      <w:bookmarkStart w:id="47" w:name="_Hlk72400236"/>
      <w:r>
        <w:rPr>
          <w:rFonts w:hint="eastAsia" w:ascii="黑体" w:hAnsi="宋体" w:eastAsia="黑体"/>
          <w:sz w:val="24"/>
          <w:highlight w:val="none"/>
        </w:rPr>
        <w:t>投标文件的语言及度量单位</w:t>
      </w:r>
    </w:p>
    <w:p>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7"/>
    <w:p>
      <w:pPr>
        <w:rPr>
          <w:rFonts w:ascii="黑体" w:hAnsi="宋体" w:eastAsia="黑体"/>
          <w:sz w:val="24"/>
          <w:highlight w:val="none"/>
        </w:rPr>
      </w:pPr>
      <w:r>
        <w:rPr>
          <w:rFonts w:hint="eastAsia" w:ascii="黑体" w:hAnsi="宋体" w:eastAsia="黑体"/>
          <w:sz w:val="24"/>
          <w:highlight w:val="none"/>
        </w:rPr>
        <w:t>15．</w:t>
      </w:r>
      <w:bookmarkStart w:id="48" w:name="_Hlk72401567"/>
      <w:r>
        <w:rPr>
          <w:rFonts w:hint="eastAsia" w:ascii="黑体" w:hAnsi="宋体" w:eastAsia="黑体"/>
          <w:sz w:val="24"/>
          <w:highlight w:val="none"/>
        </w:rPr>
        <w:t>投标文件的组成</w:t>
      </w:r>
    </w:p>
    <w:p>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pPr>
        <w:rPr>
          <w:rFonts w:ascii="黑体" w:hAnsi="宋体" w:eastAsia="黑体"/>
          <w:sz w:val="24"/>
          <w:highlight w:val="none"/>
        </w:rPr>
      </w:pPr>
      <w:r>
        <w:rPr>
          <w:rFonts w:ascii="黑体" w:hAnsi="宋体" w:eastAsia="黑体"/>
          <w:sz w:val="24"/>
          <w:highlight w:val="none"/>
        </w:rPr>
        <w:t>16．投标文件格式</w:t>
      </w:r>
    </w:p>
    <w:p>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pPr>
        <w:rPr>
          <w:rFonts w:ascii="黑体" w:hAnsi="宋体" w:eastAsia="黑体"/>
          <w:sz w:val="24"/>
          <w:highlight w:val="none"/>
        </w:rPr>
      </w:pPr>
      <w:r>
        <w:rPr>
          <w:rFonts w:hint="eastAsia" w:ascii="黑体" w:hAnsi="宋体" w:eastAsia="黑体"/>
          <w:sz w:val="24"/>
          <w:highlight w:val="none"/>
        </w:rPr>
        <w:t>17．投标货币</w:t>
      </w:r>
    </w:p>
    <w:p>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48"/>
    <w:p>
      <w:pPr>
        <w:rPr>
          <w:rFonts w:ascii="黑体" w:hAnsi="宋体" w:eastAsia="黑体"/>
          <w:sz w:val="24"/>
          <w:highlight w:val="none"/>
        </w:rPr>
      </w:pPr>
      <w:r>
        <w:rPr>
          <w:rFonts w:hint="eastAsia" w:ascii="黑体" w:hAnsi="宋体" w:eastAsia="黑体"/>
          <w:sz w:val="24"/>
          <w:highlight w:val="none"/>
        </w:rPr>
        <w:t>18．</w:t>
      </w:r>
      <w:bookmarkStart w:id="49" w:name="_Hlk72401735"/>
      <w:r>
        <w:rPr>
          <w:rFonts w:hint="eastAsia" w:ascii="黑体" w:hAnsi="宋体" w:eastAsia="黑体"/>
          <w:sz w:val="24"/>
          <w:highlight w:val="none"/>
        </w:rPr>
        <w:t>证明投标文件投标技术方案的合格性和符合招标文件规定的文件要求</w:t>
      </w:r>
    </w:p>
    <w:p>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49"/>
    <w:p>
      <w:pPr>
        <w:rPr>
          <w:rFonts w:ascii="黑体" w:hAnsi="宋体" w:eastAsia="黑体"/>
          <w:sz w:val="24"/>
          <w:highlight w:val="none"/>
        </w:rPr>
      </w:pPr>
      <w:r>
        <w:rPr>
          <w:rFonts w:hint="eastAsia" w:ascii="黑体" w:hAnsi="宋体" w:eastAsia="黑体"/>
          <w:sz w:val="24"/>
          <w:highlight w:val="none"/>
        </w:rPr>
        <w:t>19．</w:t>
      </w:r>
      <w:bookmarkStart w:id="50" w:name="_Hlk72402034"/>
      <w:r>
        <w:rPr>
          <w:rFonts w:hint="eastAsia" w:ascii="黑体" w:hAnsi="宋体" w:eastAsia="黑体"/>
          <w:sz w:val="24"/>
          <w:highlight w:val="none"/>
        </w:rPr>
        <w:t>投标文件其他证明文件的要求</w:t>
      </w:r>
    </w:p>
    <w:p>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1"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1"/>
    <w:p>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rPr>
          <w:rFonts w:ascii="黑体" w:hAnsi="宋体" w:eastAsia="黑体"/>
          <w:sz w:val="24"/>
          <w:highlight w:val="none"/>
        </w:rPr>
      </w:pPr>
      <w:r>
        <w:rPr>
          <w:rFonts w:hint="eastAsia" w:ascii="黑体" w:hAnsi="宋体" w:eastAsia="黑体"/>
          <w:sz w:val="24"/>
          <w:highlight w:val="none"/>
        </w:rPr>
        <w:t>20．投标有效期</w:t>
      </w:r>
    </w:p>
    <w:bookmarkEnd w:id="50"/>
    <w:p>
      <w:pPr>
        <w:ind w:firstLine="411" w:firstLineChars="196"/>
        <w:rPr>
          <w:rFonts w:ascii="宋体" w:hAnsi="宋体"/>
          <w:szCs w:val="21"/>
          <w:highlight w:val="none"/>
        </w:rPr>
      </w:pPr>
      <w:bookmarkStart w:id="52"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2"/>
    <w:p>
      <w:pPr>
        <w:rPr>
          <w:rFonts w:ascii="黑体" w:hAnsi="宋体" w:eastAsia="黑体"/>
          <w:sz w:val="24"/>
          <w:highlight w:val="none"/>
        </w:rPr>
      </w:pPr>
      <w:r>
        <w:rPr>
          <w:rFonts w:hint="eastAsia" w:ascii="黑体" w:hAnsi="宋体" w:eastAsia="黑体"/>
          <w:sz w:val="24"/>
          <w:highlight w:val="none"/>
        </w:rPr>
        <w:t>21．</w:t>
      </w:r>
      <w:bookmarkStart w:id="53" w:name="_Hlk72402325"/>
      <w:r>
        <w:rPr>
          <w:rFonts w:hint="eastAsia" w:ascii="黑体" w:hAnsi="宋体" w:eastAsia="黑体"/>
          <w:sz w:val="24"/>
          <w:highlight w:val="none"/>
        </w:rPr>
        <w:t xml:space="preserve">关于投标保证金 </w:t>
      </w:r>
    </w:p>
    <w:p>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pPr>
        <w:rPr>
          <w:rFonts w:ascii="黑体" w:hAnsi="宋体" w:eastAsia="黑体"/>
          <w:sz w:val="24"/>
          <w:highlight w:val="none"/>
        </w:rPr>
      </w:pPr>
      <w:r>
        <w:rPr>
          <w:rFonts w:hint="eastAsia" w:ascii="黑体" w:hAnsi="宋体" w:eastAsia="黑体"/>
          <w:sz w:val="24"/>
          <w:highlight w:val="none"/>
        </w:rPr>
        <w:t>22．投标人的替代方案</w:t>
      </w:r>
    </w:p>
    <w:p>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3"/>
    <w:p>
      <w:pPr>
        <w:rPr>
          <w:rFonts w:ascii="黑体" w:hAnsi="宋体" w:eastAsia="黑体"/>
          <w:sz w:val="24"/>
          <w:highlight w:val="none"/>
        </w:rPr>
      </w:pPr>
      <w:r>
        <w:rPr>
          <w:rFonts w:hint="eastAsia" w:ascii="黑体" w:hAnsi="宋体" w:eastAsia="黑体"/>
          <w:sz w:val="24"/>
          <w:highlight w:val="none"/>
        </w:rPr>
        <w:t>23．</w:t>
      </w:r>
      <w:bookmarkStart w:id="54"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pPr>
        <w:ind w:firstLine="411" w:firstLineChars="196"/>
        <w:rPr>
          <w:rFonts w:ascii="宋体" w:hAnsi="宋体"/>
          <w:highlight w:val="none"/>
        </w:rPr>
      </w:pPr>
      <w:r>
        <w:rPr>
          <w:rFonts w:hint="eastAsia" w:ascii="宋体" w:hAnsi="宋体"/>
          <w:highlight w:val="none"/>
        </w:rPr>
        <w:t>23.2投标人在使用《投标书编制软件》编制投标书时须注意：</w:t>
      </w:r>
    </w:p>
    <w:p>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pPr>
        <w:ind w:firstLine="411" w:firstLineChars="196"/>
        <w:rPr>
          <w:rFonts w:ascii="宋体" w:hAnsi="宋体"/>
          <w:highlight w:val="none"/>
        </w:rPr>
      </w:pPr>
      <w:r>
        <w:rPr>
          <w:rFonts w:hint="eastAsia" w:ascii="宋体" w:hAnsi="宋体"/>
          <w:highlight w:val="none"/>
        </w:rPr>
        <w:t>23.3电报、电话、传真形式的投标概不接受。</w:t>
      </w:r>
    </w:p>
    <w:p>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4"/>
    </w:p>
    <w:p>
      <w:pPr>
        <w:ind w:firstLine="411" w:firstLineChars="196"/>
        <w:rPr>
          <w:rFonts w:ascii="宋体" w:hAnsi="宋体"/>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pPr>
        <w:rPr>
          <w:rFonts w:ascii="黑体" w:hAnsi="宋体" w:eastAsia="黑体"/>
          <w:sz w:val="24"/>
          <w:highlight w:val="none"/>
        </w:rPr>
      </w:pPr>
      <w:bookmarkStart w:id="55" w:name="_Hlk72405459"/>
      <w:r>
        <w:rPr>
          <w:rFonts w:hint="eastAsia" w:ascii="黑体" w:hAnsi="宋体" w:eastAsia="黑体"/>
          <w:sz w:val="24"/>
          <w:highlight w:val="none"/>
        </w:rPr>
        <w:t>24．投标文件的保密</w:t>
      </w:r>
    </w:p>
    <w:p>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pPr>
        <w:spacing w:line="276" w:lineRule="auto"/>
        <w:ind w:firstLine="422" w:firstLineChars="200"/>
        <w:rPr>
          <w:b/>
          <w:highlight w:val="none"/>
        </w:rPr>
      </w:pPr>
      <w:r>
        <w:rPr>
          <w:b/>
          <w:highlight w:val="none"/>
        </w:rPr>
        <w:t>24.2若采购项目出现延期情况：</w:t>
      </w:r>
    </w:p>
    <w:p>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pPr>
        <w:spacing w:line="276" w:lineRule="auto"/>
        <w:rPr>
          <w:rFonts w:eastAsia="黑体"/>
          <w:sz w:val="24"/>
          <w:highlight w:val="none"/>
        </w:rPr>
      </w:pPr>
      <w:r>
        <w:rPr>
          <w:rFonts w:eastAsia="黑体"/>
          <w:sz w:val="24"/>
          <w:highlight w:val="none"/>
        </w:rPr>
        <w:t>25．上传投标文件及投标截止日期</w:t>
      </w:r>
    </w:p>
    <w:p>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pPr>
        <w:ind w:firstLine="411" w:firstLineChars="196"/>
        <w:rPr>
          <w:rFonts w:ascii="宋体" w:hAnsi="宋体"/>
          <w:highlight w:val="none"/>
        </w:rPr>
      </w:pPr>
    </w:p>
    <w:bookmarkEnd w:id="55"/>
    <w:p>
      <w:pPr>
        <w:rPr>
          <w:rFonts w:ascii="黑体" w:hAnsi="宋体" w:eastAsia="黑体"/>
          <w:sz w:val="24"/>
          <w:highlight w:val="none"/>
        </w:rPr>
      </w:pPr>
      <w:r>
        <w:rPr>
          <w:rFonts w:hint="eastAsia" w:ascii="黑体" w:hAnsi="宋体" w:eastAsia="黑体"/>
          <w:sz w:val="24"/>
          <w:highlight w:val="none"/>
        </w:rPr>
        <w:t>26. 样品、现场演示、方案讲解</w:t>
      </w:r>
    </w:p>
    <w:p>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pPr>
        <w:rPr>
          <w:rFonts w:ascii="黑体" w:hAnsi="宋体" w:eastAsia="黑体"/>
          <w:sz w:val="24"/>
          <w:highlight w:val="none"/>
        </w:rPr>
      </w:pPr>
      <w:bookmarkStart w:id="56"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6"/>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pPr>
        <w:rPr>
          <w:rFonts w:ascii="黑体" w:hAnsi="宋体" w:eastAsia="黑体"/>
          <w:sz w:val="24"/>
          <w:highlight w:val="none"/>
        </w:rPr>
      </w:pPr>
      <w:r>
        <w:rPr>
          <w:rFonts w:hint="eastAsia" w:ascii="黑体" w:hAnsi="宋体" w:eastAsia="黑体"/>
          <w:sz w:val="24"/>
          <w:highlight w:val="none"/>
        </w:rPr>
        <w:t>28．开标</w:t>
      </w:r>
    </w:p>
    <w:p>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pPr>
        <w:ind w:firstLine="315" w:firstLineChars="150"/>
        <w:rPr>
          <w:rFonts w:ascii="宋体" w:hAnsi="宋体"/>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pPr>
        <w:rPr>
          <w:rFonts w:ascii="黑体" w:hAnsi="宋体" w:eastAsia="黑体"/>
          <w:sz w:val="24"/>
          <w:highlight w:val="none"/>
        </w:rPr>
      </w:pPr>
      <w:r>
        <w:rPr>
          <w:rFonts w:hint="eastAsia" w:ascii="黑体" w:hAnsi="宋体" w:eastAsia="黑体"/>
          <w:sz w:val="24"/>
          <w:highlight w:val="none"/>
        </w:rPr>
        <w:t>29．评审委员会组成</w:t>
      </w:r>
    </w:p>
    <w:p>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pPr>
        <w:ind w:firstLine="411" w:firstLineChars="196"/>
        <w:rPr>
          <w:rFonts w:hint="eastAsia" w:ascii="宋体" w:hAnsi="宋体"/>
          <w:highlight w:val="none"/>
        </w:rPr>
      </w:pPr>
      <w:bookmarkStart w:id="57"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7"/>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pPr>
        <w:pStyle w:val="19"/>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pPr>
        <w:ind w:firstLine="411" w:firstLineChars="196"/>
        <w:rPr>
          <w:rFonts w:ascii="宋体" w:hAnsi="宋体"/>
          <w:highlight w:val="none"/>
        </w:rPr>
      </w:pPr>
      <w:r>
        <w:rPr>
          <w:rFonts w:hint="eastAsia" w:ascii="宋体" w:hAnsi="宋体"/>
          <w:highlight w:val="none"/>
        </w:rPr>
        <w:t>29.2评审定标应当遵循公平、公正、科学、择优的原则。</w:t>
      </w:r>
    </w:p>
    <w:p>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pPr>
        <w:rPr>
          <w:rFonts w:ascii="黑体" w:hAnsi="宋体" w:eastAsia="黑体"/>
          <w:sz w:val="24"/>
          <w:highlight w:val="none"/>
        </w:rPr>
      </w:pPr>
      <w:r>
        <w:rPr>
          <w:rFonts w:hint="eastAsia" w:ascii="黑体" w:hAnsi="宋体" w:eastAsia="黑体"/>
          <w:sz w:val="24"/>
          <w:highlight w:val="none"/>
        </w:rPr>
        <w:t>30．向评审委员会提供的资料</w:t>
      </w:r>
    </w:p>
    <w:p>
      <w:pPr>
        <w:ind w:firstLine="411" w:firstLineChars="196"/>
        <w:rPr>
          <w:rFonts w:ascii="宋体" w:hAnsi="宋体"/>
          <w:highlight w:val="none"/>
        </w:rPr>
      </w:pPr>
      <w:r>
        <w:rPr>
          <w:rFonts w:hint="eastAsia" w:ascii="宋体" w:hAnsi="宋体"/>
          <w:highlight w:val="none"/>
        </w:rPr>
        <w:t>30.1公开发布的招标文件，包括图纸、服务清单、答疑文件等；</w:t>
      </w:r>
    </w:p>
    <w:p>
      <w:pPr>
        <w:ind w:firstLine="411" w:firstLineChars="196"/>
        <w:rPr>
          <w:rFonts w:ascii="宋体" w:hAnsi="宋体"/>
          <w:highlight w:val="none"/>
        </w:rPr>
      </w:pPr>
      <w:r>
        <w:rPr>
          <w:rFonts w:hint="eastAsia" w:ascii="宋体" w:hAnsi="宋体"/>
          <w:highlight w:val="none"/>
        </w:rPr>
        <w:t>30.2其他评标必须的资料。</w:t>
      </w:r>
    </w:p>
    <w:p>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pPr>
        <w:ind w:firstLine="411" w:firstLineChars="196"/>
        <w:rPr>
          <w:rFonts w:ascii="宋体" w:hAnsi="宋体"/>
          <w:highlight w:val="none"/>
        </w:rPr>
      </w:pPr>
      <w:r>
        <w:rPr>
          <w:rFonts w:hint="eastAsia" w:ascii="宋体" w:hAnsi="宋体"/>
          <w:highlight w:val="none"/>
        </w:rPr>
        <w:t>（1）招标的目的；</w:t>
      </w:r>
    </w:p>
    <w:p>
      <w:pPr>
        <w:ind w:firstLine="411" w:firstLineChars="196"/>
        <w:rPr>
          <w:rFonts w:ascii="宋体" w:hAnsi="宋体"/>
          <w:highlight w:val="none"/>
        </w:rPr>
      </w:pPr>
      <w:r>
        <w:rPr>
          <w:rFonts w:hint="eastAsia" w:ascii="宋体" w:hAnsi="宋体"/>
          <w:highlight w:val="none"/>
        </w:rPr>
        <w:t>（2）招标项目需求的范围和性质；</w:t>
      </w:r>
    </w:p>
    <w:p>
      <w:pPr>
        <w:ind w:firstLine="411" w:firstLineChars="196"/>
        <w:rPr>
          <w:rFonts w:ascii="宋体" w:hAnsi="宋体"/>
          <w:highlight w:val="none"/>
        </w:rPr>
      </w:pPr>
      <w:r>
        <w:rPr>
          <w:rFonts w:hint="eastAsia" w:ascii="宋体" w:hAnsi="宋体"/>
          <w:highlight w:val="none"/>
        </w:rPr>
        <w:t>（3）招标文件规定的投标人的资格、财政预算限额、商务条款；</w:t>
      </w:r>
    </w:p>
    <w:p>
      <w:pPr>
        <w:ind w:firstLine="411" w:firstLineChars="196"/>
        <w:rPr>
          <w:rFonts w:ascii="宋体" w:hAnsi="宋体"/>
          <w:highlight w:val="none"/>
        </w:rPr>
      </w:pPr>
      <w:r>
        <w:rPr>
          <w:rFonts w:hint="eastAsia" w:ascii="宋体" w:hAnsi="宋体"/>
          <w:highlight w:val="none"/>
        </w:rPr>
        <w:t>（4）招标文件规定的评标程序、评标方法和评标因素；</w:t>
      </w:r>
    </w:p>
    <w:p>
      <w:pPr>
        <w:ind w:firstLine="411" w:firstLineChars="196"/>
        <w:rPr>
          <w:rFonts w:ascii="宋体" w:hAnsi="宋体"/>
          <w:highlight w:val="none"/>
        </w:rPr>
      </w:pPr>
      <w:r>
        <w:rPr>
          <w:rFonts w:hint="eastAsia" w:ascii="宋体" w:hAnsi="宋体"/>
          <w:highlight w:val="none"/>
        </w:rPr>
        <w:t>（5）招标文件所列示的资格性审查表及符合性审查表。</w:t>
      </w:r>
    </w:p>
    <w:p>
      <w:pPr>
        <w:rPr>
          <w:rFonts w:ascii="黑体" w:hAnsi="宋体" w:eastAsia="黑体"/>
          <w:sz w:val="24"/>
          <w:highlight w:val="none"/>
        </w:rPr>
      </w:pPr>
      <w:r>
        <w:rPr>
          <w:rFonts w:hint="eastAsia" w:ascii="黑体" w:hAnsi="宋体" w:eastAsia="黑体"/>
          <w:sz w:val="24"/>
          <w:highlight w:val="none"/>
        </w:rPr>
        <w:t>31．独立评审</w:t>
      </w:r>
    </w:p>
    <w:p>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pPr>
        <w:ind w:firstLine="411" w:firstLineChars="196"/>
        <w:rPr>
          <w:rFonts w:ascii="宋体" w:hAnsi="宋体"/>
          <w:bCs/>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pPr>
        <w:rPr>
          <w:rFonts w:ascii="黑体" w:hAnsi="宋体" w:eastAsia="黑体"/>
          <w:sz w:val="24"/>
          <w:highlight w:val="none"/>
        </w:rPr>
      </w:pPr>
      <w:r>
        <w:rPr>
          <w:rFonts w:hint="eastAsia" w:ascii="黑体" w:hAnsi="宋体" w:eastAsia="黑体"/>
          <w:sz w:val="24"/>
          <w:highlight w:val="none"/>
        </w:rPr>
        <w:t>32．投标文件初审</w:t>
      </w:r>
    </w:p>
    <w:p>
      <w:pPr>
        <w:ind w:firstLine="411" w:firstLineChars="196"/>
        <w:rPr>
          <w:rFonts w:ascii="宋体" w:hAnsi="宋体"/>
          <w:highlight w:val="none"/>
        </w:rPr>
      </w:pPr>
      <w:r>
        <w:rPr>
          <w:rFonts w:hint="eastAsia" w:ascii="宋体" w:hAnsi="宋体"/>
          <w:highlight w:val="none"/>
        </w:rPr>
        <w:t>32.1投标文件初审包括资格性审查和符合性审查。</w:t>
      </w:r>
    </w:p>
    <w:p>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pPr>
        <w:ind w:firstLine="411" w:firstLineChars="196"/>
        <w:rPr>
          <w:rFonts w:ascii="宋体" w:hAnsi="宋体"/>
          <w:bCs/>
          <w:highlight w:val="none"/>
        </w:rPr>
      </w:pPr>
      <w:r>
        <w:rPr>
          <w:rFonts w:hint="eastAsia" w:ascii="宋体" w:hAnsi="宋体"/>
          <w:bCs/>
          <w:highlight w:val="none"/>
        </w:rPr>
        <w:t>32.3 投标文件初审中关于供应商家数的计算:</w:t>
      </w:r>
    </w:p>
    <w:p>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pPr>
        <w:ind w:firstLine="411" w:firstLineChars="196"/>
        <w:rPr>
          <w:rFonts w:ascii="宋体" w:hAnsi="宋体"/>
          <w:highlight w:val="none"/>
        </w:rPr>
      </w:pPr>
      <w:r>
        <w:rPr>
          <w:rFonts w:hint="eastAsia" w:ascii="宋体" w:hAnsi="宋体"/>
          <w:highlight w:val="none"/>
        </w:rPr>
        <w:t>32.4.8不同投标供应商的投标文件内容存在非正常一致；</w:t>
      </w:r>
    </w:p>
    <w:p>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pPr>
        <w:ind w:firstLine="411" w:firstLineChars="196"/>
        <w:rPr>
          <w:rFonts w:ascii="宋体" w:hAnsi="宋体"/>
          <w:highlight w:val="none"/>
        </w:rPr>
      </w:pPr>
      <w:r>
        <w:rPr>
          <w:rFonts w:hint="eastAsia" w:ascii="宋体" w:hAnsi="宋体"/>
          <w:highlight w:val="none"/>
        </w:rPr>
        <w:t>32.4.10主管部门依照法律、法规认定的其他情形。</w:t>
      </w:r>
    </w:p>
    <w:p>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pPr>
        <w:rPr>
          <w:rFonts w:ascii="黑体" w:hAnsi="宋体" w:eastAsia="黑体"/>
          <w:sz w:val="24"/>
          <w:highlight w:val="none"/>
        </w:rPr>
      </w:pPr>
      <w:r>
        <w:rPr>
          <w:rFonts w:hint="eastAsia" w:ascii="黑体" w:hAnsi="宋体" w:eastAsia="黑体"/>
          <w:sz w:val="24"/>
          <w:highlight w:val="none"/>
        </w:rPr>
        <w:t>33．澄清有关问题</w:t>
      </w:r>
    </w:p>
    <w:p>
      <w:pPr>
        <w:ind w:firstLine="411" w:firstLineChars="196"/>
        <w:rPr>
          <w:rFonts w:ascii="宋体" w:hAnsi="宋体"/>
          <w:highlight w:val="none"/>
        </w:rPr>
      </w:pPr>
      <w:bookmarkStart w:id="58"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58"/>
    </w:p>
    <w:p>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pPr>
        <w:rPr>
          <w:rFonts w:ascii="黑体" w:hAnsi="宋体" w:eastAsia="黑体"/>
          <w:sz w:val="24"/>
          <w:highlight w:val="none"/>
        </w:rPr>
      </w:pPr>
      <w:bookmarkStart w:id="59" w:name="_Toc73517673"/>
      <w:bookmarkStart w:id="60" w:name="_Toc73518151"/>
      <w:bookmarkStart w:id="61" w:name="_Toc100052400"/>
      <w:bookmarkStart w:id="62" w:name="_Toc73521669"/>
      <w:bookmarkStart w:id="63" w:name="_Toc73521581"/>
      <w:r>
        <w:rPr>
          <w:rFonts w:hint="eastAsia" w:ascii="黑体" w:hAnsi="宋体" w:eastAsia="黑体"/>
          <w:sz w:val="24"/>
          <w:highlight w:val="none"/>
        </w:rPr>
        <w:t>34．错误的修正</w:t>
      </w:r>
      <w:bookmarkEnd w:id="59"/>
      <w:bookmarkEnd w:id="60"/>
      <w:bookmarkEnd w:id="61"/>
      <w:bookmarkEnd w:id="62"/>
      <w:bookmarkEnd w:id="63"/>
    </w:p>
    <w:p>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pPr>
        <w:rPr>
          <w:rFonts w:ascii="黑体" w:hAnsi="宋体" w:eastAsia="黑体"/>
          <w:sz w:val="24"/>
          <w:highlight w:val="none"/>
        </w:rPr>
      </w:pPr>
      <w:r>
        <w:rPr>
          <w:rFonts w:hint="eastAsia" w:ascii="黑体" w:hAnsi="宋体" w:eastAsia="黑体"/>
          <w:sz w:val="24"/>
          <w:highlight w:val="none"/>
        </w:rPr>
        <w:t>35．投标文件的比较与评价</w:t>
      </w:r>
    </w:p>
    <w:p>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pPr>
        <w:rPr>
          <w:rFonts w:ascii="黑体" w:hAnsi="宋体" w:eastAsia="黑体"/>
          <w:sz w:val="24"/>
          <w:highlight w:val="none"/>
        </w:rPr>
      </w:pPr>
      <w:r>
        <w:rPr>
          <w:rFonts w:hint="eastAsia" w:ascii="黑体" w:hAnsi="宋体" w:eastAsia="黑体"/>
          <w:sz w:val="24"/>
          <w:highlight w:val="none"/>
        </w:rPr>
        <w:t>36. 实地考察</w:t>
      </w:r>
    </w:p>
    <w:p>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pPr>
        <w:rPr>
          <w:rFonts w:ascii="黑体" w:hAnsi="宋体" w:eastAsia="黑体"/>
          <w:sz w:val="24"/>
          <w:highlight w:val="none"/>
        </w:rPr>
      </w:pPr>
      <w:r>
        <w:rPr>
          <w:rFonts w:hint="eastAsia" w:ascii="黑体" w:hAnsi="宋体" w:eastAsia="黑体"/>
          <w:sz w:val="24"/>
          <w:highlight w:val="none"/>
        </w:rPr>
        <w:t>37．评审方法</w:t>
      </w:r>
    </w:p>
    <w:p>
      <w:pPr>
        <w:ind w:firstLine="413" w:firstLineChars="196"/>
        <w:rPr>
          <w:rFonts w:ascii="宋体" w:hAnsi="宋体"/>
          <w:b/>
          <w:bCs/>
          <w:szCs w:val="21"/>
          <w:highlight w:val="none"/>
        </w:rPr>
      </w:pPr>
      <w:r>
        <w:rPr>
          <w:rFonts w:hint="eastAsia" w:ascii="宋体" w:hAnsi="宋体"/>
          <w:b/>
          <w:bCs/>
          <w:szCs w:val="21"/>
          <w:highlight w:val="none"/>
        </w:rPr>
        <w:t>37.1.1最低价法</w:t>
      </w:r>
    </w:p>
    <w:p>
      <w:pPr>
        <w:ind w:firstLine="411" w:firstLineChars="196"/>
        <w:rPr>
          <w:rFonts w:ascii="ˎ̥" w:hAnsi="ˎ̥"/>
          <w:highlight w:val="none"/>
        </w:rPr>
      </w:pPr>
      <w:bookmarkStart w:id="64"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pPr>
        <w:ind w:firstLine="413" w:firstLineChars="196"/>
        <w:rPr>
          <w:rFonts w:ascii="宋体" w:hAnsi="宋体"/>
          <w:b/>
          <w:bCs/>
          <w:szCs w:val="21"/>
          <w:highlight w:val="none"/>
        </w:rPr>
      </w:pPr>
      <w:r>
        <w:rPr>
          <w:rFonts w:hint="eastAsia" w:ascii="宋体" w:hAnsi="宋体"/>
          <w:b/>
          <w:bCs/>
          <w:szCs w:val="21"/>
          <w:highlight w:val="none"/>
        </w:rPr>
        <w:t>37.1.2综合评分法</w:t>
      </w:r>
    </w:p>
    <w:p>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4"/>
    </w:p>
    <w:p>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pPr>
        <w:ind w:firstLine="413" w:firstLineChars="196"/>
        <w:rPr>
          <w:rFonts w:ascii="宋体" w:hAnsi="宋体"/>
          <w:b/>
          <w:bCs/>
          <w:szCs w:val="21"/>
          <w:highlight w:val="none"/>
        </w:rPr>
      </w:pPr>
      <w:r>
        <w:rPr>
          <w:rFonts w:hint="eastAsia" w:ascii="宋体" w:hAnsi="宋体"/>
          <w:b/>
          <w:bCs/>
          <w:szCs w:val="21"/>
          <w:highlight w:val="none"/>
        </w:rPr>
        <w:t>37.3重新评审的情形</w:t>
      </w:r>
    </w:p>
    <w:p>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pPr>
        <w:ind w:firstLine="411" w:firstLineChars="196"/>
        <w:rPr>
          <w:rFonts w:ascii="宋体" w:hAnsi="宋体"/>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pPr>
        <w:rPr>
          <w:rFonts w:ascii="黑体" w:hAnsi="宋体" w:eastAsia="黑体"/>
          <w:sz w:val="24"/>
          <w:highlight w:val="none"/>
        </w:rPr>
      </w:pPr>
      <w:r>
        <w:rPr>
          <w:rFonts w:hint="eastAsia" w:ascii="黑体" w:hAnsi="宋体" w:eastAsia="黑体"/>
          <w:sz w:val="24"/>
          <w:highlight w:val="none"/>
        </w:rPr>
        <w:t>38．定标方法</w:t>
      </w:r>
    </w:p>
    <w:p>
      <w:pPr>
        <w:ind w:firstLine="411" w:firstLineChars="196"/>
        <w:rPr>
          <w:rFonts w:ascii="宋体" w:hAnsi="宋体"/>
          <w:szCs w:val="21"/>
          <w:highlight w:val="none"/>
        </w:rPr>
      </w:pPr>
      <w:r>
        <w:rPr>
          <w:rFonts w:hint="eastAsia" w:ascii="宋体" w:hAnsi="宋体"/>
          <w:szCs w:val="21"/>
          <w:highlight w:val="none"/>
        </w:rPr>
        <w:t>38.1非评定分离项目定标方法</w:t>
      </w:r>
    </w:p>
    <w:p>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pPr>
        <w:ind w:firstLine="411" w:firstLineChars="196"/>
        <w:rPr>
          <w:rFonts w:ascii="宋体" w:hAnsi="宋体"/>
          <w:szCs w:val="21"/>
          <w:highlight w:val="none"/>
        </w:rPr>
      </w:pPr>
      <w:r>
        <w:rPr>
          <w:rFonts w:hint="eastAsia" w:ascii="宋体" w:hAnsi="宋体"/>
          <w:szCs w:val="21"/>
          <w:highlight w:val="none"/>
        </w:rPr>
        <w:t>38.2评定分离项目定标方法</w:t>
      </w:r>
    </w:p>
    <w:p>
      <w:pPr>
        <w:ind w:firstLine="411" w:firstLineChars="196"/>
        <w:rPr>
          <w:rFonts w:ascii="宋体" w:hAnsi="宋体"/>
          <w:szCs w:val="21"/>
          <w:highlight w:val="none"/>
        </w:rPr>
      </w:pPr>
      <w:r>
        <w:rPr>
          <w:rFonts w:hint="eastAsia" w:ascii="宋体" w:hAnsi="宋体"/>
          <w:szCs w:val="21"/>
          <w:highlight w:val="none"/>
        </w:rPr>
        <w:t>38.2.1评定分离是指在政府集中采购程序中，以</w:t>
      </w:r>
      <w:r>
        <w:rPr>
          <w:rFonts w:hint="eastAsia" w:ascii="宋体" w:hAnsi="宋体"/>
          <w:szCs w:val="21"/>
          <w:highlight w:val="none"/>
          <w:lang w:eastAsia="zh-CN"/>
        </w:rPr>
        <w:t>公开征集</w:t>
      </w:r>
      <w:r>
        <w:rPr>
          <w:rFonts w:hint="eastAsia" w:ascii="宋体" w:hAnsi="宋体"/>
          <w:szCs w:val="21"/>
          <w:highlight w:val="none"/>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ind w:firstLine="411" w:firstLineChars="196"/>
        <w:rPr>
          <w:highlight w:val="none"/>
        </w:rPr>
      </w:pPr>
      <w:r>
        <w:rPr>
          <w:rFonts w:ascii="宋体" w:hAnsi="宋体"/>
          <w:szCs w:val="21"/>
          <w:highlight w:val="none"/>
        </w:rPr>
        <w:t xml:space="preserve">38.2.2 </w:t>
      </w:r>
      <w:bookmarkStart w:id="65"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pPr>
        <w:ind w:firstLine="411" w:firstLineChars="196"/>
        <w:rPr>
          <w:rFonts w:ascii="宋体" w:hAnsi="宋体"/>
          <w:szCs w:val="21"/>
          <w:highlight w:val="none"/>
        </w:rPr>
      </w:pPr>
      <w:r>
        <w:rPr>
          <w:rFonts w:hint="eastAsia" w:ascii="宋体" w:hAnsi="宋体"/>
          <w:szCs w:val="21"/>
          <w:highlight w:val="none"/>
        </w:rPr>
        <w:t>38.2.3</w:t>
      </w:r>
      <w:bookmarkStart w:id="66"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5"/>
      <w:bookmarkEnd w:id="66"/>
    </w:p>
    <w:p>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pPr>
        <w:rPr>
          <w:rFonts w:ascii="黑体" w:hAnsi="宋体" w:eastAsia="黑体"/>
          <w:sz w:val="24"/>
          <w:highlight w:val="none"/>
        </w:rPr>
      </w:pPr>
      <w:r>
        <w:rPr>
          <w:rFonts w:hint="eastAsia" w:ascii="黑体" w:hAnsi="宋体" w:eastAsia="黑体"/>
          <w:sz w:val="24"/>
          <w:highlight w:val="none"/>
        </w:rPr>
        <w:t>39．编写评审报告</w:t>
      </w:r>
    </w:p>
    <w:p>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rPr>
          <w:rFonts w:ascii="黑体" w:hAnsi="宋体" w:eastAsia="黑体"/>
          <w:sz w:val="24"/>
          <w:highlight w:val="none"/>
        </w:rPr>
      </w:pPr>
      <w:r>
        <w:rPr>
          <w:rFonts w:hint="eastAsia" w:ascii="黑体" w:hAnsi="宋体" w:eastAsia="黑体"/>
          <w:sz w:val="24"/>
          <w:highlight w:val="none"/>
        </w:rPr>
        <w:t>40．中标公告</w:t>
      </w:r>
    </w:p>
    <w:p>
      <w:pPr>
        <w:ind w:firstLine="411" w:firstLineChars="196"/>
        <w:rPr>
          <w:rFonts w:ascii="宋体" w:hAnsi="宋体"/>
          <w:szCs w:val="21"/>
          <w:highlight w:val="none"/>
        </w:rPr>
      </w:pPr>
      <w:r>
        <w:rPr>
          <w:rFonts w:hint="eastAsia" w:ascii="宋体" w:hAnsi="宋体"/>
          <w:szCs w:val="21"/>
          <w:highlight w:val="none"/>
        </w:rPr>
        <w:t>40.1</w:t>
      </w:r>
      <w:bookmarkStart w:id="67"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7"/>
      <w:bookmarkStart w:id="68"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68"/>
    <w:p>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pPr>
        <w:rPr>
          <w:rFonts w:ascii="黑体" w:hAnsi="宋体" w:eastAsia="黑体"/>
          <w:sz w:val="24"/>
          <w:highlight w:val="none"/>
        </w:rPr>
      </w:pPr>
      <w:r>
        <w:rPr>
          <w:rFonts w:hint="eastAsia" w:ascii="黑体" w:hAnsi="宋体" w:eastAsia="黑体"/>
          <w:sz w:val="24"/>
          <w:highlight w:val="none"/>
        </w:rPr>
        <w:t>41．中标通知书</w:t>
      </w:r>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69"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69"/>
    </w:p>
    <w:p>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pPr>
        <w:ind w:firstLine="411" w:firstLineChars="196"/>
        <w:rPr>
          <w:rFonts w:ascii="宋体" w:hAnsi="宋体"/>
          <w:szCs w:val="21"/>
          <w:highlight w:val="none"/>
        </w:rPr>
      </w:pPr>
      <w:bookmarkStart w:id="70" w:name="_Hlk71407340"/>
      <w:r>
        <w:rPr>
          <w:rFonts w:hint="eastAsia" w:ascii="宋体" w:hAnsi="宋体"/>
          <w:szCs w:val="21"/>
          <w:highlight w:val="none"/>
        </w:rPr>
        <w:t>41.3因质疑投诉或其它原因导致项目结果变更或采购终止的，政府集中采购机构有权吊销中标通知书。</w:t>
      </w:r>
    </w:p>
    <w:bookmarkEnd w:id="70"/>
    <w:p>
      <w:pPr>
        <w:ind w:firstLine="411" w:firstLineChars="196"/>
        <w:rPr>
          <w:rFonts w:ascii="宋体" w:hAnsi="宋体"/>
          <w:szCs w:val="21"/>
          <w:highlight w:val="none"/>
        </w:rPr>
      </w:pPr>
    </w:p>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lang w:eastAsia="zh-CN"/>
        </w:rPr>
        <w:t>公开征集</w:t>
      </w:r>
      <w:r>
        <w:rPr>
          <w:rFonts w:hint="eastAsia"/>
          <w:sz w:val="28"/>
          <w:szCs w:val="28"/>
          <w:highlight w:val="none"/>
        </w:rPr>
        <w:t>失败的后续处理</w:t>
      </w:r>
    </w:p>
    <w:p>
      <w:pPr>
        <w:rPr>
          <w:rFonts w:ascii="黑体" w:hAnsi="宋体" w:eastAsia="黑体"/>
          <w:sz w:val="24"/>
          <w:highlight w:val="none"/>
        </w:rPr>
      </w:pPr>
      <w:r>
        <w:rPr>
          <w:rFonts w:hint="eastAsia" w:ascii="黑体" w:hAnsi="宋体" w:eastAsia="黑体"/>
          <w:sz w:val="24"/>
          <w:highlight w:val="none"/>
        </w:rPr>
        <w:t>42．</w:t>
      </w:r>
      <w:r>
        <w:rPr>
          <w:rFonts w:hint="eastAsia" w:ascii="黑体" w:hAnsi="宋体" w:eastAsia="黑体"/>
          <w:sz w:val="24"/>
          <w:highlight w:val="none"/>
          <w:lang w:eastAsia="zh-CN"/>
        </w:rPr>
        <w:t>公开征集</w:t>
      </w:r>
      <w:r>
        <w:rPr>
          <w:rFonts w:hint="eastAsia" w:ascii="黑体" w:hAnsi="宋体" w:eastAsia="黑体"/>
          <w:sz w:val="24"/>
          <w:highlight w:val="none"/>
        </w:rPr>
        <w:t>失败的处理</w:t>
      </w:r>
    </w:p>
    <w:p>
      <w:pPr>
        <w:ind w:firstLine="411" w:firstLineChars="196"/>
        <w:rPr>
          <w:rFonts w:ascii="宋体" w:hAnsi="宋体"/>
          <w:highlight w:val="none"/>
        </w:rPr>
      </w:pPr>
      <w:r>
        <w:rPr>
          <w:rFonts w:hint="eastAsia" w:ascii="宋体" w:hAnsi="宋体"/>
          <w:szCs w:val="21"/>
          <w:highlight w:val="none"/>
        </w:rPr>
        <w:t>42.1本项目</w:t>
      </w:r>
      <w:r>
        <w:rPr>
          <w:rFonts w:hint="eastAsia" w:ascii="宋体" w:hAnsi="宋体"/>
          <w:szCs w:val="21"/>
          <w:highlight w:val="none"/>
          <w:lang w:eastAsia="zh-CN"/>
        </w:rPr>
        <w:t>公开征集</w:t>
      </w:r>
      <w:r>
        <w:rPr>
          <w:rFonts w:hint="eastAsia" w:ascii="宋体" w:hAnsi="宋体"/>
          <w:szCs w:val="21"/>
          <w:highlight w:val="none"/>
        </w:rPr>
        <w:t>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w:t>
      </w:r>
      <w:r>
        <w:rPr>
          <w:rFonts w:hint="eastAsia" w:ascii="宋体" w:hAnsi="宋体"/>
          <w:highlight w:val="none"/>
          <w:lang w:eastAsia="zh-CN"/>
        </w:rPr>
        <w:t>公开征集</w:t>
      </w:r>
      <w:r>
        <w:rPr>
          <w:rFonts w:hint="eastAsia" w:ascii="宋体" w:hAnsi="宋体"/>
          <w:highlight w:val="none"/>
        </w:rPr>
        <w:t>失败，可由</w:t>
      </w:r>
      <w:r>
        <w:rPr>
          <w:rFonts w:hint="eastAsia" w:ascii="宋体" w:hAnsi="宋体" w:cs="宋体"/>
          <w:highlight w:val="none"/>
        </w:rPr>
        <w:t>政府集中采购机构</w:t>
      </w:r>
      <w:r>
        <w:rPr>
          <w:rFonts w:hint="eastAsia" w:ascii="宋体" w:hAnsi="宋体"/>
          <w:highlight w:val="none"/>
        </w:rPr>
        <w:t>重新组织采购。</w:t>
      </w:r>
    </w:p>
    <w:p>
      <w:pPr>
        <w:ind w:firstLine="411" w:firstLineChars="196"/>
        <w:rPr>
          <w:rFonts w:ascii="宋体" w:hAnsi="宋体"/>
          <w:szCs w:val="21"/>
          <w:highlight w:val="none"/>
        </w:rPr>
      </w:pPr>
      <w:r>
        <w:rPr>
          <w:rFonts w:hint="eastAsia" w:ascii="宋体" w:hAnsi="宋体"/>
          <w:szCs w:val="21"/>
          <w:highlight w:val="none"/>
        </w:rPr>
        <w:t>42.2对</w:t>
      </w:r>
      <w:r>
        <w:rPr>
          <w:rFonts w:hint="eastAsia" w:ascii="宋体" w:hAnsi="宋体"/>
          <w:szCs w:val="21"/>
          <w:highlight w:val="none"/>
          <w:lang w:eastAsia="zh-CN"/>
        </w:rPr>
        <w:t>公开征集</w:t>
      </w:r>
      <w:r>
        <w:rPr>
          <w:rFonts w:hint="eastAsia" w:ascii="宋体" w:hAnsi="宋体"/>
          <w:szCs w:val="21"/>
          <w:highlight w:val="none"/>
        </w:rPr>
        <w:t>失败的项目，评审委员会在出具该项目招标失败结论的同时，可以提出重新采购组织形式的建议，以及进一步完善招标文件的资格、技术、商务要求的修改建议。</w:t>
      </w:r>
    </w:p>
    <w:p>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pPr>
        <w:ind w:firstLine="411" w:firstLineChars="196"/>
        <w:rPr>
          <w:rFonts w:ascii="宋体" w:hAnsi="宋体"/>
          <w:highlight w:val="none"/>
        </w:rPr>
      </w:pPr>
      <w:r>
        <w:rPr>
          <w:rFonts w:hint="eastAsia" w:ascii="宋体" w:hAnsi="宋体"/>
          <w:highlight w:val="none"/>
        </w:rPr>
        <w:t>（1）由政府集中采购机构重新组织</w:t>
      </w:r>
      <w:r>
        <w:rPr>
          <w:rFonts w:hint="eastAsia" w:ascii="宋体" w:hAnsi="宋体"/>
          <w:highlight w:val="none"/>
          <w:lang w:eastAsia="zh-CN"/>
        </w:rPr>
        <w:t>公开征集</w:t>
      </w:r>
      <w:r>
        <w:rPr>
          <w:rFonts w:hint="eastAsia" w:ascii="宋体" w:hAnsi="宋体"/>
          <w:highlight w:val="none"/>
        </w:rPr>
        <w:t>；</w:t>
      </w:r>
    </w:p>
    <w:p>
      <w:pPr>
        <w:ind w:firstLine="411" w:firstLineChars="196"/>
        <w:rPr>
          <w:rFonts w:ascii="宋体" w:hAnsi="宋体"/>
          <w:highlight w:val="none"/>
        </w:rPr>
      </w:pPr>
      <w:r>
        <w:rPr>
          <w:rFonts w:hint="eastAsia" w:ascii="宋体" w:hAnsi="宋体"/>
          <w:highlight w:val="none"/>
        </w:rPr>
        <w:t>（2）根据实际情况需要向同级财政部门提出非</w:t>
      </w:r>
      <w:r>
        <w:rPr>
          <w:rFonts w:hint="eastAsia" w:ascii="宋体" w:hAnsi="宋体"/>
          <w:highlight w:val="none"/>
          <w:lang w:eastAsia="zh-CN"/>
        </w:rPr>
        <w:t>公开征集</w:t>
      </w:r>
      <w:r>
        <w:rPr>
          <w:rFonts w:hint="eastAsia" w:ascii="宋体" w:hAnsi="宋体"/>
          <w:highlight w:val="none"/>
        </w:rPr>
        <w:t>方式申请，经同级财政部门批准，</w:t>
      </w:r>
      <w:r>
        <w:rPr>
          <w:rFonts w:hint="eastAsia" w:ascii="宋体" w:hAnsi="宋体"/>
          <w:highlight w:val="none"/>
          <w:lang w:eastAsia="zh-CN"/>
        </w:rPr>
        <w:t>公开征集</w:t>
      </w:r>
      <w:r>
        <w:rPr>
          <w:rFonts w:hint="eastAsia" w:ascii="宋体" w:hAnsi="宋体"/>
          <w:highlight w:val="none"/>
        </w:rPr>
        <w:t>失败采购项目可转为竞争性谈判或单一来源谈判方式采购。</w:t>
      </w:r>
    </w:p>
    <w:p>
      <w:pPr>
        <w:ind w:firstLine="411" w:firstLineChars="196"/>
        <w:rPr>
          <w:rFonts w:ascii="宋体" w:hAnsi="宋体"/>
          <w:highlight w:val="none"/>
        </w:rPr>
      </w:pPr>
      <w:r>
        <w:rPr>
          <w:rFonts w:hint="eastAsia" w:ascii="宋体" w:hAnsi="宋体"/>
          <w:highlight w:val="none"/>
        </w:rPr>
        <w:t>42.4</w:t>
      </w:r>
      <w:r>
        <w:rPr>
          <w:rFonts w:hint="eastAsia" w:ascii="宋体" w:hAnsi="宋体"/>
          <w:highlight w:val="none"/>
          <w:lang w:eastAsia="zh-CN"/>
        </w:rPr>
        <w:t>公开征集</w:t>
      </w:r>
      <w:r>
        <w:rPr>
          <w:rFonts w:hint="eastAsia" w:ascii="宋体" w:hAnsi="宋体"/>
          <w:highlight w:val="none"/>
        </w:rPr>
        <w:t>失败的采购项目重新组织</w:t>
      </w:r>
      <w:r>
        <w:rPr>
          <w:rFonts w:hint="eastAsia" w:ascii="宋体" w:hAnsi="宋体"/>
          <w:highlight w:val="none"/>
          <w:lang w:eastAsia="zh-CN"/>
        </w:rPr>
        <w:t>公开征集</w:t>
      </w:r>
      <w:r>
        <w:rPr>
          <w:rFonts w:hint="eastAsia" w:ascii="宋体" w:hAnsi="宋体"/>
          <w:highlight w:val="none"/>
        </w:rPr>
        <w:t>，由政府集中采购机构重新按</w:t>
      </w:r>
      <w:r>
        <w:rPr>
          <w:rFonts w:hint="eastAsia" w:ascii="宋体" w:hAnsi="宋体"/>
          <w:highlight w:val="none"/>
          <w:lang w:eastAsia="zh-CN"/>
        </w:rPr>
        <w:t>公开征集</w:t>
      </w:r>
      <w:r>
        <w:rPr>
          <w:rFonts w:hint="eastAsia" w:ascii="宋体" w:hAnsi="宋体"/>
          <w:highlight w:val="none"/>
        </w:rPr>
        <w:t>流程组织采购活动。</w:t>
      </w:r>
    </w:p>
    <w:p>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w:t>
      </w:r>
      <w:r>
        <w:rPr>
          <w:rFonts w:hint="eastAsia" w:ascii="宋体" w:hAnsi="宋体"/>
          <w:highlight w:val="none"/>
          <w:lang w:eastAsia="zh-CN"/>
        </w:rPr>
        <w:t>公开征集</w:t>
      </w:r>
      <w:r>
        <w:rPr>
          <w:rFonts w:hint="eastAsia" w:ascii="宋体" w:hAnsi="宋体"/>
          <w:highlight w:val="none"/>
        </w:rPr>
        <w:t>失败的采购项目经同级财政部门批准转为竞争性谈判或单一来源谈判方式采购的，按规定要求组织政府采购工作。</w:t>
      </w:r>
    </w:p>
    <w:p>
      <w:pPr>
        <w:rPr>
          <w:rFonts w:ascii="黑体" w:hAnsi="宋体" w:eastAsia="黑体"/>
          <w:sz w:val="24"/>
          <w:highlight w:val="none"/>
        </w:rPr>
      </w:pPr>
    </w:p>
    <w:p>
      <w:pPr>
        <w:pStyle w:val="6"/>
        <w:numPr>
          <w:ilvl w:val="0"/>
          <w:numId w:val="8"/>
        </w:numPr>
        <w:spacing w:before="120" w:beforeLines="50" w:after="120" w:afterLines="50"/>
        <w:ind w:left="562" w:hanging="562"/>
        <w:rPr>
          <w:sz w:val="28"/>
          <w:szCs w:val="28"/>
          <w:highlight w:val="none"/>
        </w:rPr>
      </w:pPr>
      <w:bookmarkStart w:id="71" w:name="_Hlk72439043"/>
      <w:r>
        <w:rPr>
          <w:rFonts w:hint="eastAsia"/>
          <w:sz w:val="28"/>
          <w:szCs w:val="28"/>
          <w:highlight w:val="none"/>
        </w:rPr>
        <w:t>合同的授予与备案</w:t>
      </w:r>
      <w:bookmarkEnd w:id="71"/>
    </w:p>
    <w:p>
      <w:pPr>
        <w:rPr>
          <w:rFonts w:ascii="黑体" w:hAnsi="宋体" w:eastAsia="黑体"/>
          <w:sz w:val="24"/>
          <w:highlight w:val="none"/>
        </w:rPr>
      </w:pPr>
      <w:bookmarkStart w:id="72" w:name="_Toc73521586"/>
      <w:bookmarkStart w:id="73" w:name="_Toc100052408"/>
      <w:bookmarkStart w:id="74" w:name="_Toc73518157"/>
      <w:bookmarkStart w:id="75" w:name="_Toc73517679"/>
      <w:bookmarkStart w:id="76" w:name="_Toc73521674"/>
      <w:bookmarkStart w:id="77" w:name="_Hlk72439088"/>
      <w:r>
        <w:rPr>
          <w:rFonts w:hint="eastAsia" w:ascii="黑体" w:hAnsi="宋体" w:eastAsia="黑体"/>
          <w:sz w:val="24"/>
          <w:highlight w:val="none"/>
        </w:rPr>
        <w:t>43．合同授予标准</w:t>
      </w:r>
      <w:bookmarkEnd w:id="72"/>
      <w:bookmarkEnd w:id="73"/>
      <w:bookmarkEnd w:id="74"/>
      <w:bookmarkEnd w:id="75"/>
      <w:bookmarkEnd w:id="76"/>
    </w:p>
    <w:p>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pPr>
        <w:rPr>
          <w:rFonts w:ascii="黑体" w:hAnsi="宋体" w:eastAsia="黑体"/>
          <w:sz w:val="24"/>
          <w:highlight w:val="none"/>
        </w:rPr>
      </w:pPr>
      <w:bookmarkStart w:id="78" w:name="_Toc73518158"/>
      <w:bookmarkStart w:id="79" w:name="_Toc100052409"/>
      <w:bookmarkStart w:id="80" w:name="_Toc73521587"/>
      <w:bookmarkStart w:id="81" w:name="_Toc73521675"/>
      <w:bookmarkStart w:id="82" w:name="_Toc73517680"/>
      <w:r>
        <w:rPr>
          <w:rFonts w:hint="eastAsia" w:ascii="黑体" w:hAnsi="宋体" w:eastAsia="黑体"/>
          <w:sz w:val="24"/>
          <w:highlight w:val="none"/>
        </w:rPr>
        <w:t>44．</w:t>
      </w:r>
      <w:bookmarkEnd w:id="78"/>
      <w:bookmarkEnd w:id="79"/>
      <w:bookmarkEnd w:id="80"/>
      <w:bookmarkEnd w:id="81"/>
      <w:bookmarkEnd w:id="82"/>
      <w:r>
        <w:rPr>
          <w:rFonts w:hint="eastAsia" w:ascii="黑体" w:hAnsi="宋体" w:eastAsia="黑体"/>
          <w:sz w:val="24"/>
          <w:highlight w:val="none"/>
        </w:rPr>
        <w:t>接受和拒绝任何或所有投标的权力</w:t>
      </w:r>
    </w:p>
    <w:p>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rPr>
          <w:rFonts w:ascii="黑体" w:hAnsi="宋体" w:eastAsia="黑体"/>
          <w:sz w:val="24"/>
          <w:highlight w:val="none"/>
        </w:rPr>
      </w:pPr>
      <w:bookmarkStart w:id="83" w:name="_Toc73521589"/>
      <w:bookmarkStart w:id="84" w:name="_Toc73517682"/>
      <w:bookmarkStart w:id="85" w:name="_Toc73518160"/>
      <w:bookmarkStart w:id="86" w:name="_Toc73521677"/>
      <w:bookmarkStart w:id="87" w:name="_Toc100052410"/>
      <w:r>
        <w:rPr>
          <w:rFonts w:hint="eastAsia" w:ascii="黑体" w:hAnsi="宋体" w:eastAsia="黑体"/>
          <w:sz w:val="24"/>
          <w:highlight w:val="none"/>
        </w:rPr>
        <w:t>45．合同的签订</w:t>
      </w:r>
      <w:bookmarkEnd w:id="83"/>
      <w:bookmarkEnd w:id="84"/>
      <w:bookmarkEnd w:id="85"/>
      <w:bookmarkEnd w:id="86"/>
      <w:bookmarkEnd w:id="87"/>
    </w:p>
    <w:p>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pPr>
        <w:rPr>
          <w:rFonts w:ascii="黑体" w:hAnsi="宋体" w:eastAsia="黑体"/>
          <w:sz w:val="24"/>
          <w:highlight w:val="none"/>
        </w:rPr>
      </w:pPr>
      <w:bookmarkStart w:id="88" w:name="_Toc73517683"/>
      <w:bookmarkStart w:id="89" w:name="_Toc73521678"/>
      <w:bookmarkStart w:id="90" w:name="_Toc73518161"/>
      <w:bookmarkStart w:id="91" w:name="_Toc100052411"/>
      <w:bookmarkStart w:id="92" w:name="_Toc73521590"/>
      <w:r>
        <w:rPr>
          <w:rFonts w:hint="eastAsia" w:ascii="黑体" w:hAnsi="宋体" w:eastAsia="黑体"/>
          <w:sz w:val="24"/>
          <w:highlight w:val="none"/>
        </w:rPr>
        <w:t>46．履约担保</w:t>
      </w:r>
      <w:bookmarkEnd w:id="88"/>
      <w:bookmarkEnd w:id="89"/>
      <w:bookmarkEnd w:id="90"/>
      <w:bookmarkEnd w:id="91"/>
      <w:bookmarkEnd w:id="92"/>
    </w:p>
    <w:p>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pPr>
        <w:rPr>
          <w:rFonts w:ascii="黑体" w:hAnsi="宋体" w:eastAsia="黑体"/>
          <w:sz w:val="24"/>
          <w:highlight w:val="none"/>
        </w:rPr>
      </w:pPr>
      <w:r>
        <w:rPr>
          <w:rFonts w:hint="eastAsia" w:ascii="黑体" w:hAnsi="宋体" w:eastAsia="黑体"/>
          <w:sz w:val="24"/>
          <w:highlight w:val="none"/>
        </w:rPr>
        <w:t>47. 合同备案</w:t>
      </w:r>
    </w:p>
    <w:p>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pPr>
        <w:rPr>
          <w:rFonts w:ascii="黑体" w:hAnsi="宋体" w:eastAsia="黑体"/>
          <w:sz w:val="24"/>
          <w:highlight w:val="none"/>
        </w:rPr>
      </w:pPr>
      <w:r>
        <w:rPr>
          <w:rFonts w:hint="eastAsia" w:ascii="黑体" w:hAnsi="宋体" w:eastAsia="黑体"/>
          <w:sz w:val="24"/>
          <w:highlight w:val="none"/>
        </w:rPr>
        <w:t>48. 合同变更</w:t>
      </w:r>
    </w:p>
    <w:p>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pPr>
        <w:rPr>
          <w:rFonts w:ascii="黑体" w:hAnsi="宋体" w:eastAsia="黑体"/>
          <w:sz w:val="24"/>
          <w:highlight w:val="none"/>
        </w:rPr>
      </w:pPr>
      <w:r>
        <w:rPr>
          <w:rFonts w:hint="eastAsia" w:ascii="黑体" w:hAnsi="宋体" w:eastAsia="黑体"/>
          <w:sz w:val="24"/>
          <w:highlight w:val="none"/>
        </w:rPr>
        <w:t>49. 项目验收</w:t>
      </w:r>
    </w:p>
    <w:p>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pPr>
        <w:rPr>
          <w:rFonts w:ascii="黑体" w:hAnsi="宋体" w:eastAsia="黑体"/>
          <w:sz w:val="24"/>
          <w:highlight w:val="none"/>
        </w:rPr>
      </w:pPr>
      <w:r>
        <w:rPr>
          <w:rFonts w:hint="eastAsia" w:ascii="黑体" w:hAnsi="宋体" w:eastAsia="黑体"/>
          <w:sz w:val="24"/>
          <w:highlight w:val="none"/>
        </w:rPr>
        <w:t>50. 宣传</w:t>
      </w:r>
    </w:p>
    <w:p>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pPr>
        <w:ind w:left="210" w:leftChars="100" w:firstLine="411" w:firstLineChars="196"/>
        <w:rPr>
          <w:rFonts w:ascii="宋体" w:hAnsi="宋体"/>
          <w:highlight w:val="none"/>
        </w:rPr>
      </w:pPr>
      <w:r>
        <w:rPr>
          <w:rFonts w:ascii="宋体" w:hAnsi="宋体"/>
          <w:highlight w:val="none"/>
        </w:rPr>
        <w:t>a.名片、宣传册、广告标语等；</w:t>
      </w:r>
    </w:p>
    <w:p>
      <w:pPr>
        <w:ind w:left="210" w:leftChars="100" w:firstLine="411" w:firstLineChars="196"/>
        <w:rPr>
          <w:rFonts w:ascii="宋体" w:hAnsi="宋体"/>
          <w:highlight w:val="none"/>
        </w:rPr>
      </w:pPr>
      <w:r>
        <w:rPr>
          <w:rFonts w:ascii="宋体" w:hAnsi="宋体"/>
          <w:highlight w:val="none"/>
        </w:rPr>
        <w:t>b.案例介绍、推广等；</w:t>
      </w:r>
    </w:p>
    <w:p>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pPr>
        <w:rPr>
          <w:rFonts w:ascii="黑体" w:hAnsi="宋体" w:eastAsia="黑体"/>
          <w:sz w:val="24"/>
          <w:highlight w:val="none"/>
        </w:rPr>
      </w:pPr>
      <w:r>
        <w:rPr>
          <w:rFonts w:hint="eastAsia" w:ascii="黑体" w:hAnsi="宋体" w:eastAsia="黑体"/>
          <w:sz w:val="24"/>
          <w:highlight w:val="none"/>
        </w:rPr>
        <w:t>51. 供应商违法责任</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pPr>
        <w:ind w:firstLine="411" w:firstLineChars="196"/>
        <w:rPr>
          <w:rFonts w:ascii="宋体" w:hAnsi="宋体"/>
          <w:szCs w:val="21"/>
          <w:highlight w:val="none"/>
        </w:rPr>
      </w:pPr>
      <w:r>
        <w:rPr>
          <w:rFonts w:hint="eastAsia" w:ascii="宋体" w:hAnsi="宋体"/>
          <w:szCs w:val="21"/>
          <w:highlight w:val="none"/>
        </w:rPr>
        <w:t>（3）隐瞒真实情况，提供虚假资料的；</w:t>
      </w:r>
    </w:p>
    <w:p>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pPr>
        <w:ind w:firstLine="411" w:firstLineChars="196"/>
        <w:rPr>
          <w:rFonts w:ascii="宋体" w:hAnsi="宋体"/>
          <w:szCs w:val="21"/>
          <w:highlight w:val="none"/>
        </w:rPr>
      </w:pPr>
      <w:r>
        <w:rPr>
          <w:rFonts w:hint="eastAsia" w:ascii="宋体" w:hAnsi="宋体"/>
          <w:szCs w:val="21"/>
          <w:highlight w:val="none"/>
        </w:rPr>
        <w:t>（5）与其他采购参加人串通投标的；</w:t>
      </w:r>
    </w:p>
    <w:p>
      <w:pPr>
        <w:ind w:firstLine="411" w:firstLineChars="196"/>
        <w:rPr>
          <w:rFonts w:ascii="宋体" w:hAnsi="宋体"/>
          <w:szCs w:val="21"/>
          <w:highlight w:val="none"/>
        </w:rPr>
      </w:pPr>
      <w:r>
        <w:rPr>
          <w:rFonts w:hint="eastAsia" w:ascii="宋体" w:hAnsi="宋体"/>
          <w:szCs w:val="21"/>
          <w:highlight w:val="none"/>
        </w:rPr>
        <w:t>（6）恶意投诉的；</w:t>
      </w:r>
    </w:p>
    <w:p>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pPr>
        <w:ind w:firstLine="411" w:firstLineChars="196"/>
        <w:rPr>
          <w:rFonts w:ascii="宋体" w:hAnsi="宋体"/>
          <w:szCs w:val="21"/>
          <w:highlight w:val="none"/>
        </w:rPr>
      </w:pPr>
      <w:r>
        <w:rPr>
          <w:rFonts w:hint="eastAsia" w:ascii="宋体" w:hAnsi="宋体"/>
          <w:szCs w:val="21"/>
          <w:highlight w:val="none"/>
        </w:rPr>
        <w:t>（8）阻碍、抗拒主管部门监督检查的；</w:t>
      </w:r>
    </w:p>
    <w:p>
      <w:pPr>
        <w:ind w:firstLine="411" w:firstLineChars="196"/>
        <w:rPr>
          <w:rFonts w:ascii="宋体" w:hAnsi="宋体"/>
          <w:szCs w:val="21"/>
          <w:highlight w:val="none"/>
        </w:rPr>
      </w:pPr>
      <w:r>
        <w:rPr>
          <w:rFonts w:hint="eastAsia" w:ascii="宋体" w:hAnsi="宋体"/>
          <w:szCs w:val="21"/>
          <w:highlight w:val="none"/>
        </w:rPr>
        <w:t>（9）其他违反本条例规定的行为。</w:t>
      </w:r>
    </w:p>
    <w:p>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3" w:name="_Hlk72440769"/>
      <w:r>
        <w:rPr>
          <w:rFonts w:hint="eastAsia" w:ascii="宋体" w:hAnsi="宋体"/>
          <w:szCs w:val="21"/>
          <w:highlight w:val="none"/>
        </w:rPr>
        <w:t>政府集中采购机构或采购人不予退还其交纳的谈判保证金，情节严重的，并由主管部门</w:t>
      </w:r>
      <w:bookmarkEnd w:id="93"/>
      <w:r>
        <w:rPr>
          <w:rFonts w:hint="eastAsia" w:ascii="宋体" w:hAnsi="宋体"/>
          <w:szCs w:val="21"/>
          <w:highlight w:val="none"/>
        </w:rPr>
        <w:t>记入供应商诚信档案，予以通报：</w:t>
      </w:r>
    </w:p>
    <w:p>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7"/>
    <w:p>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pPr>
        <w:rPr>
          <w:rFonts w:ascii="黑体" w:hAnsi="宋体" w:eastAsia="黑体"/>
          <w:sz w:val="24"/>
          <w:highlight w:val="none"/>
        </w:rPr>
      </w:pPr>
      <w:bookmarkStart w:id="94" w:name="_Hlk72439706"/>
      <w:r>
        <w:rPr>
          <w:rFonts w:hint="eastAsia" w:ascii="黑体" w:hAnsi="宋体" w:eastAsia="黑体"/>
          <w:sz w:val="24"/>
          <w:highlight w:val="none"/>
        </w:rPr>
        <w:t>52.质疑提出与答复</w:t>
      </w:r>
    </w:p>
    <w:p>
      <w:pPr>
        <w:rPr>
          <w:rFonts w:ascii="宋体" w:hAnsi="宋体"/>
          <w:szCs w:val="21"/>
          <w:highlight w:val="none"/>
        </w:rPr>
      </w:pPr>
      <w:r>
        <w:rPr>
          <w:rFonts w:hint="eastAsia" w:ascii="宋体" w:hAnsi="宋体"/>
          <w:szCs w:val="21"/>
          <w:highlight w:val="none"/>
        </w:rPr>
        <w:t xml:space="preserve">    52.1提出质疑</w:t>
      </w:r>
    </w:p>
    <w:p>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pPr>
        <w:ind w:firstLine="420" w:firstLineChars="200"/>
        <w:rPr>
          <w:rFonts w:ascii="宋体" w:hAnsi="宋体"/>
          <w:szCs w:val="21"/>
          <w:highlight w:val="none"/>
        </w:rPr>
      </w:pPr>
      <w:r>
        <w:rPr>
          <w:rFonts w:hint="eastAsia" w:ascii="宋体" w:hAnsi="宋体"/>
          <w:szCs w:val="21"/>
          <w:highlight w:val="none"/>
        </w:rPr>
        <w:t>（2）质疑项目的名称、编号；</w:t>
      </w:r>
    </w:p>
    <w:p>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pPr>
        <w:ind w:firstLine="420" w:firstLineChars="200"/>
        <w:rPr>
          <w:rFonts w:ascii="宋体" w:hAnsi="宋体"/>
          <w:szCs w:val="21"/>
          <w:highlight w:val="none"/>
        </w:rPr>
      </w:pPr>
      <w:r>
        <w:rPr>
          <w:rFonts w:hint="eastAsia" w:ascii="宋体" w:hAnsi="宋体"/>
          <w:szCs w:val="21"/>
          <w:highlight w:val="none"/>
        </w:rPr>
        <w:t>（4）因质疑事项而受损害的权益；</w:t>
      </w:r>
    </w:p>
    <w:p>
      <w:pPr>
        <w:ind w:firstLine="420" w:firstLineChars="200"/>
        <w:rPr>
          <w:rFonts w:ascii="宋体" w:hAnsi="宋体"/>
          <w:szCs w:val="21"/>
          <w:highlight w:val="none"/>
        </w:rPr>
      </w:pPr>
      <w:r>
        <w:rPr>
          <w:rFonts w:hint="eastAsia" w:ascii="宋体" w:hAnsi="宋体"/>
          <w:szCs w:val="21"/>
          <w:highlight w:val="none"/>
        </w:rPr>
        <w:t>（5）事实依据；</w:t>
      </w:r>
    </w:p>
    <w:p>
      <w:pPr>
        <w:ind w:firstLine="420" w:firstLineChars="200"/>
        <w:rPr>
          <w:rFonts w:ascii="宋体" w:hAnsi="宋体"/>
          <w:szCs w:val="21"/>
          <w:highlight w:val="none"/>
        </w:rPr>
      </w:pPr>
      <w:r>
        <w:rPr>
          <w:rFonts w:hint="eastAsia" w:ascii="宋体" w:hAnsi="宋体"/>
          <w:szCs w:val="21"/>
          <w:highlight w:val="none"/>
        </w:rPr>
        <w:t>（6）必要的法律依据；</w:t>
      </w:r>
    </w:p>
    <w:p>
      <w:pPr>
        <w:ind w:firstLine="420" w:firstLineChars="200"/>
        <w:rPr>
          <w:rFonts w:ascii="宋体" w:hAnsi="宋体"/>
          <w:szCs w:val="21"/>
          <w:highlight w:val="none"/>
        </w:rPr>
      </w:pPr>
      <w:r>
        <w:rPr>
          <w:rFonts w:hint="eastAsia" w:ascii="宋体" w:hAnsi="宋体"/>
          <w:szCs w:val="21"/>
          <w:highlight w:val="none"/>
        </w:rPr>
        <w:t>（7）提出质疑的日期。</w:t>
      </w:r>
    </w:p>
    <w:p>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20" w:firstLineChars="200"/>
        <w:rPr>
          <w:rFonts w:ascii="宋体" w:hAnsi="宋体"/>
          <w:szCs w:val="21"/>
          <w:highlight w:val="none"/>
        </w:rPr>
      </w:pPr>
      <w:r>
        <w:rPr>
          <w:rFonts w:hint="eastAsia" w:ascii="宋体" w:hAnsi="宋体"/>
          <w:szCs w:val="21"/>
          <w:highlight w:val="none"/>
        </w:rPr>
        <w:t>52.5收文地点</w:t>
      </w:r>
    </w:p>
    <w:p>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pPr>
        <w:ind w:firstLine="420" w:firstLineChars="200"/>
        <w:rPr>
          <w:rFonts w:ascii="宋体" w:hAnsi="宋体"/>
          <w:szCs w:val="21"/>
          <w:highlight w:val="none"/>
        </w:rPr>
      </w:pPr>
      <w:r>
        <w:rPr>
          <w:rFonts w:hint="eastAsia" w:ascii="宋体" w:hAnsi="宋体"/>
          <w:szCs w:val="21"/>
          <w:highlight w:val="none"/>
        </w:rPr>
        <w:t>（1）质疑主体不满足要求的；</w:t>
      </w:r>
    </w:p>
    <w:p>
      <w:pPr>
        <w:ind w:firstLine="420" w:firstLineChars="200"/>
        <w:rPr>
          <w:rFonts w:ascii="宋体" w:hAnsi="宋体"/>
          <w:szCs w:val="21"/>
          <w:highlight w:val="none"/>
        </w:rPr>
      </w:pPr>
      <w:r>
        <w:rPr>
          <w:rFonts w:hint="eastAsia" w:ascii="宋体" w:hAnsi="宋体"/>
          <w:szCs w:val="21"/>
          <w:highlight w:val="none"/>
        </w:rPr>
        <w:t>（2）供应商自身权益未受到损害的；</w:t>
      </w:r>
    </w:p>
    <w:p>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pPr>
        <w:ind w:firstLine="420" w:firstLineChars="200"/>
        <w:rPr>
          <w:rFonts w:ascii="宋体" w:hAnsi="宋体"/>
          <w:szCs w:val="21"/>
          <w:highlight w:val="none"/>
        </w:rPr>
      </w:pPr>
      <w:r>
        <w:rPr>
          <w:rFonts w:hint="eastAsia" w:ascii="宋体" w:hAnsi="宋体"/>
          <w:szCs w:val="21"/>
          <w:highlight w:val="none"/>
        </w:rPr>
        <w:t>（5）其他不符合受理条件情形的。</w:t>
      </w:r>
    </w:p>
    <w:p>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pPr>
        <w:rPr>
          <w:rFonts w:ascii="宋体" w:hAnsi="宋体"/>
          <w:szCs w:val="21"/>
          <w:highlight w:val="none"/>
        </w:rPr>
      </w:pPr>
      <w:r>
        <w:rPr>
          <w:rFonts w:hint="eastAsia" w:ascii="宋体" w:hAnsi="宋体"/>
          <w:szCs w:val="21"/>
          <w:highlight w:val="none"/>
        </w:rPr>
        <w:t xml:space="preserve">    自收文之日起七个工作日内。</w:t>
      </w:r>
    </w:p>
    <w:p>
      <w:pPr>
        <w:rPr>
          <w:rFonts w:ascii="宋体" w:hAnsi="宋体"/>
          <w:szCs w:val="21"/>
          <w:highlight w:val="none"/>
        </w:rPr>
      </w:pPr>
      <w:r>
        <w:rPr>
          <w:rFonts w:hint="eastAsia" w:ascii="宋体" w:hAnsi="宋体"/>
          <w:szCs w:val="21"/>
          <w:highlight w:val="none"/>
        </w:rPr>
        <w:t xml:space="preserve">    52.8投诉</w:t>
      </w:r>
    </w:p>
    <w:p>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pPr>
        <w:rPr>
          <w:rFonts w:ascii="黑体" w:hAnsi="宋体" w:eastAsia="黑体"/>
          <w:sz w:val="24"/>
          <w:highlight w:val="none"/>
        </w:rPr>
      </w:pPr>
      <w:r>
        <w:rPr>
          <w:rFonts w:hint="eastAsia" w:ascii="黑体" w:hAnsi="宋体" w:eastAsia="黑体"/>
          <w:sz w:val="24"/>
          <w:highlight w:val="none"/>
        </w:rPr>
        <w:t>53. 质疑后续处理</w:t>
      </w:r>
    </w:p>
    <w:p>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pPr>
        <w:pStyle w:val="2"/>
        <w:ind w:firstLine="420"/>
        <w:rPr>
          <w:highlight w:val="none"/>
        </w:rPr>
      </w:pPr>
    </w:p>
    <w:p>
      <w:pPr>
        <w:jc w:val="center"/>
        <w:rPr>
          <w:highlight w:val="none"/>
        </w:rPr>
      </w:pPr>
      <w:r>
        <w:rPr>
          <w:highlight w:val="none"/>
        </w:rPr>
        <w:t>---- END ----</w:t>
      </w:r>
    </w:p>
    <w:bookmarkEnd w:id="94"/>
    <w:p>
      <w:pPr>
        <w:rPr>
          <w:highlight w:val="none"/>
        </w:rPr>
      </w:pPr>
    </w:p>
    <w:p>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F11B60"/>
    <w:multiLevelType w:val="singleLevel"/>
    <w:tmpl w:val="A9F11B60"/>
    <w:lvl w:ilvl="0" w:tentative="0">
      <w:start w:val="2"/>
      <w:numFmt w:val="chineseCounting"/>
      <w:suff w:val="nothing"/>
      <w:lvlText w:val="（%1）"/>
      <w:lvlJc w:val="left"/>
      <w:rPr>
        <w:rFonts w:hint="eastAsia"/>
      </w:rPr>
    </w:lvl>
  </w:abstractNum>
  <w:abstractNum w:abstractNumId="1">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5"/>
  </w:num>
  <w:num w:numId="4">
    <w:abstractNumId w:val="4"/>
  </w:num>
  <w:num w:numId="5">
    <w:abstractNumId w:val="7"/>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23A3"/>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074550"/>
    <w:rsid w:val="03613039"/>
    <w:rsid w:val="036202D4"/>
    <w:rsid w:val="038A236C"/>
    <w:rsid w:val="038A4A16"/>
    <w:rsid w:val="038A798B"/>
    <w:rsid w:val="03B4023E"/>
    <w:rsid w:val="03D07714"/>
    <w:rsid w:val="03EC6FAB"/>
    <w:rsid w:val="04B94B88"/>
    <w:rsid w:val="05262D76"/>
    <w:rsid w:val="056F462F"/>
    <w:rsid w:val="05B45F67"/>
    <w:rsid w:val="06270849"/>
    <w:rsid w:val="06552DE0"/>
    <w:rsid w:val="067D4F9E"/>
    <w:rsid w:val="06D71535"/>
    <w:rsid w:val="07515FD1"/>
    <w:rsid w:val="07991A83"/>
    <w:rsid w:val="087B2F8F"/>
    <w:rsid w:val="08B93FAD"/>
    <w:rsid w:val="08CA370B"/>
    <w:rsid w:val="09502F56"/>
    <w:rsid w:val="09E428B0"/>
    <w:rsid w:val="09F07824"/>
    <w:rsid w:val="0A0932C7"/>
    <w:rsid w:val="0A506477"/>
    <w:rsid w:val="0A8A4C86"/>
    <w:rsid w:val="0B547001"/>
    <w:rsid w:val="0C8D726E"/>
    <w:rsid w:val="0CE05750"/>
    <w:rsid w:val="0D1077DD"/>
    <w:rsid w:val="0EA162F1"/>
    <w:rsid w:val="0F4F55B5"/>
    <w:rsid w:val="0F523385"/>
    <w:rsid w:val="10907D14"/>
    <w:rsid w:val="110658A6"/>
    <w:rsid w:val="114A387E"/>
    <w:rsid w:val="116D2364"/>
    <w:rsid w:val="11A5684D"/>
    <w:rsid w:val="120E7E09"/>
    <w:rsid w:val="123D4E07"/>
    <w:rsid w:val="12562AA0"/>
    <w:rsid w:val="128C51F9"/>
    <w:rsid w:val="1478143A"/>
    <w:rsid w:val="15525935"/>
    <w:rsid w:val="156B7273"/>
    <w:rsid w:val="15722CF6"/>
    <w:rsid w:val="159B504D"/>
    <w:rsid w:val="167F40D4"/>
    <w:rsid w:val="169B65A7"/>
    <w:rsid w:val="16CB4F50"/>
    <w:rsid w:val="17576D8C"/>
    <w:rsid w:val="17853B61"/>
    <w:rsid w:val="17A710C7"/>
    <w:rsid w:val="17CB121D"/>
    <w:rsid w:val="18206B15"/>
    <w:rsid w:val="182A20A4"/>
    <w:rsid w:val="183A1C0C"/>
    <w:rsid w:val="18B310B8"/>
    <w:rsid w:val="199E5A21"/>
    <w:rsid w:val="19D2715C"/>
    <w:rsid w:val="1B942A09"/>
    <w:rsid w:val="1BB61013"/>
    <w:rsid w:val="1BCE272A"/>
    <w:rsid w:val="1BDF7E16"/>
    <w:rsid w:val="1BEC2078"/>
    <w:rsid w:val="1C0A51E7"/>
    <w:rsid w:val="1C4C11C0"/>
    <w:rsid w:val="1C6A2129"/>
    <w:rsid w:val="1D035455"/>
    <w:rsid w:val="1D2B1804"/>
    <w:rsid w:val="1D2D465B"/>
    <w:rsid w:val="1E0A297A"/>
    <w:rsid w:val="1E3950C5"/>
    <w:rsid w:val="1E4808ED"/>
    <w:rsid w:val="1FF71956"/>
    <w:rsid w:val="20913CBA"/>
    <w:rsid w:val="20B71A14"/>
    <w:rsid w:val="20DB5404"/>
    <w:rsid w:val="210118AD"/>
    <w:rsid w:val="25B12A01"/>
    <w:rsid w:val="25C017D5"/>
    <w:rsid w:val="25C31279"/>
    <w:rsid w:val="26101C34"/>
    <w:rsid w:val="27034AD1"/>
    <w:rsid w:val="280C250B"/>
    <w:rsid w:val="28CF69C0"/>
    <w:rsid w:val="28DD6E23"/>
    <w:rsid w:val="29646495"/>
    <w:rsid w:val="298D24BC"/>
    <w:rsid w:val="2A4F0167"/>
    <w:rsid w:val="2AD91221"/>
    <w:rsid w:val="2ADE7026"/>
    <w:rsid w:val="2AF77A61"/>
    <w:rsid w:val="2B057693"/>
    <w:rsid w:val="2CDD1D35"/>
    <w:rsid w:val="2CDD21EA"/>
    <w:rsid w:val="2D8206C8"/>
    <w:rsid w:val="2EEC40A0"/>
    <w:rsid w:val="2FD74BE1"/>
    <w:rsid w:val="307410C2"/>
    <w:rsid w:val="308D0856"/>
    <w:rsid w:val="30EE2ED1"/>
    <w:rsid w:val="31121EF5"/>
    <w:rsid w:val="311F6BF0"/>
    <w:rsid w:val="31EF7704"/>
    <w:rsid w:val="33305B83"/>
    <w:rsid w:val="338B6C3E"/>
    <w:rsid w:val="34676DD8"/>
    <w:rsid w:val="34C17D58"/>
    <w:rsid w:val="35AF558A"/>
    <w:rsid w:val="361D05E2"/>
    <w:rsid w:val="38F93A05"/>
    <w:rsid w:val="39AF0A37"/>
    <w:rsid w:val="39E14173"/>
    <w:rsid w:val="3A660185"/>
    <w:rsid w:val="3B903ACE"/>
    <w:rsid w:val="3BDD4E74"/>
    <w:rsid w:val="3C7E4EDD"/>
    <w:rsid w:val="3CB21EDE"/>
    <w:rsid w:val="3D303E99"/>
    <w:rsid w:val="3D846DD4"/>
    <w:rsid w:val="3E824310"/>
    <w:rsid w:val="3EB53DB8"/>
    <w:rsid w:val="3ECD55FD"/>
    <w:rsid w:val="3F2268A2"/>
    <w:rsid w:val="3F2415CF"/>
    <w:rsid w:val="405C2C22"/>
    <w:rsid w:val="40B97C69"/>
    <w:rsid w:val="41103AB3"/>
    <w:rsid w:val="411A2A57"/>
    <w:rsid w:val="4185067D"/>
    <w:rsid w:val="41A2641C"/>
    <w:rsid w:val="426828AB"/>
    <w:rsid w:val="42A11473"/>
    <w:rsid w:val="42BC61BB"/>
    <w:rsid w:val="42D24149"/>
    <w:rsid w:val="42E51F94"/>
    <w:rsid w:val="433A6415"/>
    <w:rsid w:val="436C2E0C"/>
    <w:rsid w:val="437E4705"/>
    <w:rsid w:val="43B83400"/>
    <w:rsid w:val="43E93360"/>
    <w:rsid w:val="44181DC4"/>
    <w:rsid w:val="44502E5B"/>
    <w:rsid w:val="44C558EE"/>
    <w:rsid w:val="45882058"/>
    <w:rsid w:val="45E17242"/>
    <w:rsid w:val="46CF4FC2"/>
    <w:rsid w:val="46EC288D"/>
    <w:rsid w:val="47B6656B"/>
    <w:rsid w:val="48C170B3"/>
    <w:rsid w:val="490E39E8"/>
    <w:rsid w:val="49574862"/>
    <w:rsid w:val="4A5406A2"/>
    <w:rsid w:val="4AA13BA6"/>
    <w:rsid w:val="4AC519F6"/>
    <w:rsid w:val="4B076C12"/>
    <w:rsid w:val="4B110B90"/>
    <w:rsid w:val="4B2E0642"/>
    <w:rsid w:val="4B645E12"/>
    <w:rsid w:val="4C0A12CF"/>
    <w:rsid w:val="4D4B1098"/>
    <w:rsid w:val="4D624570"/>
    <w:rsid w:val="4E444B87"/>
    <w:rsid w:val="4E5E5755"/>
    <w:rsid w:val="4FB34218"/>
    <w:rsid w:val="52E066C6"/>
    <w:rsid w:val="53083749"/>
    <w:rsid w:val="5355411C"/>
    <w:rsid w:val="53590226"/>
    <w:rsid w:val="53BF38EC"/>
    <w:rsid w:val="54025297"/>
    <w:rsid w:val="545C3B2A"/>
    <w:rsid w:val="54803EF9"/>
    <w:rsid w:val="55027375"/>
    <w:rsid w:val="552D54C7"/>
    <w:rsid w:val="55FD133D"/>
    <w:rsid w:val="561244DD"/>
    <w:rsid w:val="562B3B54"/>
    <w:rsid w:val="563A27AE"/>
    <w:rsid w:val="563E276B"/>
    <w:rsid w:val="56412C14"/>
    <w:rsid w:val="565A63A3"/>
    <w:rsid w:val="56BD644F"/>
    <w:rsid w:val="56F15429"/>
    <w:rsid w:val="573F362D"/>
    <w:rsid w:val="57752C31"/>
    <w:rsid w:val="581B1F4E"/>
    <w:rsid w:val="5879650B"/>
    <w:rsid w:val="58B205DA"/>
    <w:rsid w:val="59562254"/>
    <w:rsid w:val="59F22E73"/>
    <w:rsid w:val="5A955FE8"/>
    <w:rsid w:val="5AA23067"/>
    <w:rsid w:val="5AB92201"/>
    <w:rsid w:val="5AD8718F"/>
    <w:rsid w:val="5B4A5B4F"/>
    <w:rsid w:val="5B7756EE"/>
    <w:rsid w:val="5B847B74"/>
    <w:rsid w:val="5CED3FF9"/>
    <w:rsid w:val="5D4476FB"/>
    <w:rsid w:val="5D6E4944"/>
    <w:rsid w:val="5DF9063C"/>
    <w:rsid w:val="5E8B3C4B"/>
    <w:rsid w:val="5EAF5E52"/>
    <w:rsid w:val="5ED8763C"/>
    <w:rsid w:val="5EDC02E9"/>
    <w:rsid w:val="5EE80ED1"/>
    <w:rsid w:val="5F771986"/>
    <w:rsid w:val="5FC2559D"/>
    <w:rsid w:val="5FC96642"/>
    <w:rsid w:val="60032513"/>
    <w:rsid w:val="601574AE"/>
    <w:rsid w:val="60257F58"/>
    <w:rsid w:val="61250170"/>
    <w:rsid w:val="614B2DC9"/>
    <w:rsid w:val="614E3B2C"/>
    <w:rsid w:val="62111B39"/>
    <w:rsid w:val="634925E3"/>
    <w:rsid w:val="63814ECA"/>
    <w:rsid w:val="63EE1813"/>
    <w:rsid w:val="65735661"/>
    <w:rsid w:val="665E5750"/>
    <w:rsid w:val="66DC2EB8"/>
    <w:rsid w:val="678877B3"/>
    <w:rsid w:val="67D5238D"/>
    <w:rsid w:val="67E1648C"/>
    <w:rsid w:val="67EE261E"/>
    <w:rsid w:val="68691E38"/>
    <w:rsid w:val="686F52C0"/>
    <w:rsid w:val="68DA5D31"/>
    <w:rsid w:val="69A9410F"/>
    <w:rsid w:val="6A861113"/>
    <w:rsid w:val="6AA53FB3"/>
    <w:rsid w:val="6B100175"/>
    <w:rsid w:val="6C17031C"/>
    <w:rsid w:val="6D0E2679"/>
    <w:rsid w:val="6D4621DE"/>
    <w:rsid w:val="6DE55656"/>
    <w:rsid w:val="6E261BA7"/>
    <w:rsid w:val="6E660432"/>
    <w:rsid w:val="6E681C31"/>
    <w:rsid w:val="6E8D3E82"/>
    <w:rsid w:val="6EA77C40"/>
    <w:rsid w:val="6ED7625C"/>
    <w:rsid w:val="6F135292"/>
    <w:rsid w:val="70F50EBA"/>
    <w:rsid w:val="71266569"/>
    <w:rsid w:val="717C6A58"/>
    <w:rsid w:val="71D60130"/>
    <w:rsid w:val="72277A0C"/>
    <w:rsid w:val="735A4762"/>
    <w:rsid w:val="73A155A6"/>
    <w:rsid w:val="73FA5E27"/>
    <w:rsid w:val="741E4FC3"/>
    <w:rsid w:val="74215AE0"/>
    <w:rsid w:val="7447637A"/>
    <w:rsid w:val="74C667AB"/>
    <w:rsid w:val="74C876B4"/>
    <w:rsid w:val="750F4C5D"/>
    <w:rsid w:val="757440A2"/>
    <w:rsid w:val="75F73A2A"/>
    <w:rsid w:val="75FC7405"/>
    <w:rsid w:val="769958F2"/>
    <w:rsid w:val="76E96805"/>
    <w:rsid w:val="770266B0"/>
    <w:rsid w:val="779D6084"/>
    <w:rsid w:val="77E577FB"/>
    <w:rsid w:val="78174C2D"/>
    <w:rsid w:val="784576F8"/>
    <w:rsid w:val="78767A5E"/>
    <w:rsid w:val="793D0B51"/>
    <w:rsid w:val="799139C7"/>
    <w:rsid w:val="7B471C92"/>
    <w:rsid w:val="7CFE3D1B"/>
    <w:rsid w:val="7D534683"/>
    <w:rsid w:val="7DEB27D3"/>
    <w:rsid w:val="7E816BC7"/>
    <w:rsid w:val="7EF402AF"/>
    <w:rsid w:val="7F2E3DC9"/>
    <w:rsid w:val="7F4F5EB6"/>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4"/>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69"/>
    <w:qFormat/>
    <w:uiPriority w:val="0"/>
    <w:pPr>
      <w:adjustRightInd w:val="0"/>
      <w:jc w:val="center"/>
      <w:textAlignment w:val="baseline"/>
      <w:outlineLvl w:val="1"/>
    </w:pPr>
    <w:rPr>
      <w:kern w:val="0"/>
      <w:sz w:val="24"/>
      <w:szCs w:val="20"/>
    </w:rPr>
  </w:style>
  <w:style w:type="paragraph" w:styleId="4">
    <w:name w:val="heading 3"/>
    <w:basedOn w:val="5"/>
    <w:next w:val="1"/>
    <w:link w:val="53"/>
    <w:qFormat/>
    <w:uiPriority w:val="9"/>
    <w:pPr>
      <w:spacing w:before="260" w:after="260" w:line="240" w:lineRule="auto"/>
      <w:outlineLvl w:val="2"/>
    </w:pPr>
    <w:rPr>
      <w:rFonts w:ascii="宋体" w:hAnsi="宋体" w:eastAsia="宋体"/>
      <w:szCs w:val="32"/>
    </w:rPr>
  </w:style>
  <w:style w:type="paragraph" w:styleId="5">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8"/>
    <w:qFormat/>
    <w:uiPriority w:val="0"/>
    <w:pPr>
      <w:keepNext/>
      <w:keepLines/>
      <w:spacing w:before="280" w:after="290" w:line="376" w:lineRule="auto"/>
      <w:outlineLvl w:val="4"/>
    </w:pPr>
    <w:rPr>
      <w:b/>
      <w:sz w:val="28"/>
      <w:szCs w:val="20"/>
    </w:rPr>
  </w:style>
  <w:style w:type="paragraph" w:styleId="9">
    <w:name w:val="heading 6"/>
    <w:basedOn w:val="1"/>
    <w:next w:val="8"/>
    <w:link w:val="81"/>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2"/>
    <w:qFormat/>
    <w:uiPriority w:val="0"/>
    <w:pPr>
      <w:keepNext/>
      <w:keepLines/>
      <w:spacing w:before="240" w:after="64" w:line="320" w:lineRule="auto"/>
      <w:outlineLvl w:val="6"/>
    </w:pPr>
    <w:rPr>
      <w:b/>
      <w:sz w:val="24"/>
      <w:szCs w:val="20"/>
    </w:rPr>
  </w:style>
  <w:style w:type="paragraph" w:styleId="11">
    <w:name w:val="heading 8"/>
    <w:basedOn w:val="1"/>
    <w:next w:val="8"/>
    <w:link w:val="83"/>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8">
    <w:name w:val="Normal Indent"/>
    <w:basedOn w:val="1"/>
    <w:link w:val="55"/>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96"/>
    <w:qFormat/>
    <w:uiPriority w:val="0"/>
    <w:pPr>
      <w:spacing w:after="120"/>
    </w:pPr>
    <w:rPr>
      <w:sz w:val="16"/>
      <w:szCs w:val="16"/>
    </w:rPr>
  </w:style>
  <w:style w:type="paragraph" w:styleId="19">
    <w:name w:val="Body Text"/>
    <w:basedOn w:val="1"/>
    <w:next w:val="20"/>
    <w:link w:val="90"/>
    <w:qFormat/>
    <w:uiPriority w:val="0"/>
    <w:pPr>
      <w:spacing w:line="360" w:lineRule="auto"/>
    </w:pPr>
    <w:rPr>
      <w:b/>
      <w:bCs/>
      <w:sz w:val="24"/>
    </w:rPr>
  </w:style>
  <w:style w:type="paragraph" w:styleId="20">
    <w:name w:val="Body Text 2"/>
    <w:basedOn w:val="1"/>
    <w:link w:val="94"/>
    <w:qFormat/>
    <w:uiPriority w:val="0"/>
    <w:pPr>
      <w:spacing w:line="360" w:lineRule="auto"/>
    </w:pPr>
    <w:rPr>
      <w:sz w:val="24"/>
    </w:rPr>
  </w:style>
  <w:style w:type="paragraph" w:styleId="21">
    <w:name w:val="Body Text Indent"/>
    <w:basedOn w:val="1"/>
    <w:link w:val="77"/>
    <w:qFormat/>
    <w:uiPriority w:val="0"/>
    <w:pPr>
      <w:spacing w:line="360" w:lineRule="auto"/>
      <w:ind w:firstLine="420" w:firstLineChars="200"/>
    </w:p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8"/>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6"/>
    <w:qFormat/>
    <w:uiPriority w:val="0"/>
    <w:rPr>
      <w:rFonts w:ascii="宋体" w:hAnsi="Courier New"/>
      <w:sz w:val="32"/>
      <w:szCs w:val="20"/>
    </w:rPr>
  </w:style>
  <w:style w:type="paragraph" w:styleId="27">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7"/>
    <w:semiHidden/>
    <w:qFormat/>
    <w:uiPriority w:val="99"/>
    <w:rPr>
      <w:sz w:val="18"/>
      <w:szCs w:val="18"/>
    </w:rPr>
  </w:style>
  <w:style w:type="paragraph" w:styleId="29">
    <w:name w:val="footer"/>
    <w:basedOn w:val="1"/>
    <w:link w:val="95"/>
    <w:qFormat/>
    <w:uiPriority w:val="0"/>
    <w:pPr>
      <w:tabs>
        <w:tab w:val="center" w:pos="4153"/>
        <w:tab w:val="right" w:pos="8306"/>
      </w:tabs>
      <w:snapToGrid w:val="0"/>
      <w:jc w:val="left"/>
    </w:pPr>
    <w:rPr>
      <w:sz w:val="18"/>
      <w:szCs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7"/>
    <w:next w:val="17"/>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19"/>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5"/>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4"/>
    <w:qFormat/>
    <w:uiPriority w:val="9"/>
    <w:rPr>
      <w:rFonts w:ascii="宋体" w:hAnsi="宋体" w:eastAsia="宋体"/>
      <w:b/>
      <w:bCs/>
      <w:kern w:val="2"/>
      <w:sz w:val="28"/>
      <w:szCs w:val="32"/>
      <w:lang w:val="en-US" w:eastAsia="zh-CN" w:bidi="ar-SA"/>
    </w:rPr>
  </w:style>
  <w:style w:type="character" w:customStyle="1" w:styleId="54">
    <w:name w:val="标题 1 Char"/>
    <w:link w:val="3"/>
    <w:qFormat/>
    <w:uiPriority w:val="0"/>
    <w:rPr>
      <w:rFonts w:ascii="宋体" w:hAnsi="宋体" w:eastAsia="黑体"/>
      <w:b/>
      <w:bCs/>
      <w:kern w:val="44"/>
      <w:sz w:val="28"/>
      <w:szCs w:val="44"/>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6"/>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1"/>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1"/>
    <w:qFormat/>
    <w:uiPriority w:val="0"/>
    <w:rPr>
      <w:rFonts w:eastAsia="宋体"/>
      <w:kern w:val="2"/>
      <w:sz w:val="21"/>
      <w:szCs w:val="24"/>
      <w:lang w:val="en-US" w:eastAsia="zh-CN" w:bidi="ar-SA"/>
    </w:rPr>
  </w:style>
  <w:style w:type="character" w:customStyle="1" w:styleId="78">
    <w:name w:val="标题 5 Char"/>
    <w:link w:val="7"/>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9"/>
    <w:qFormat/>
    <w:uiPriority w:val="0"/>
    <w:rPr>
      <w:rFonts w:ascii="Arial" w:hAnsi="Arial" w:eastAsia="黑体"/>
      <w:b/>
      <w:kern w:val="2"/>
      <w:sz w:val="24"/>
      <w:lang w:val="en-US" w:eastAsia="zh-CN" w:bidi="ar-SA"/>
    </w:rPr>
  </w:style>
  <w:style w:type="character" w:customStyle="1" w:styleId="82">
    <w:name w:val="标题 7 Char"/>
    <w:link w:val="10"/>
    <w:qFormat/>
    <w:uiPriority w:val="0"/>
    <w:rPr>
      <w:rFonts w:eastAsia="宋体"/>
      <w:b/>
      <w:kern w:val="2"/>
      <w:sz w:val="24"/>
      <w:lang w:val="en-US" w:eastAsia="zh-CN" w:bidi="ar-SA"/>
    </w:rPr>
  </w:style>
  <w:style w:type="character" w:customStyle="1" w:styleId="83">
    <w:name w:val="标题 8 Char"/>
    <w:link w:val="11"/>
    <w:qFormat/>
    <w:uiPriority w:val="0"/>
    <w:rPr>
      <w:rFonts w:ascii="Arial" w:hAnsi="Arial" w:eastAsia="黑体"/>
      <w:kern w:val="2"/>
      <w:sz w:val="24"/>
      <w:lang w:val="en-US" w:eastAsia="zh-CN" w:bidi="ar-SA"/>
    </w:rPr>
  </w:style>
  <w:style w:type="character" w:customStyle="1" w:styleId="84">
    <w:name w:val="标题 9 Char"/>
    <w:link w:val="12"/>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6"/>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4"/>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19"/>
    <w:qFormat/>
    <w:uiPriority w:val="0"/>
    <w:rPr>
      <w:rFonts w:eastAsia="宋体"/>
      <w:b/>
      <w:bCs/>
      <w:kern w:val="2"/>
      <w:sz w:val="24"/>
      <w:szCs w:val="24"/>
      <w:lang w:val="en-US" w:eastAsia="zh-CN" w:bidi="ar-SA"/>
    </w:rPr>
  </w:style>
  <w:style w:type="character" w:customStyle="1" w:styleId="91">
    <w:name w:val="正文文本缩进 2 Char"/>
    <w:link w:val="27"/>
    <w:qFormat/>
    <w:uiPriority w:val="0"/>
    <w:rPr>
      <w:rFonts w:ascii="宋体" w:hAnsi="宋体" w:eastAsia="宋体"/>
      <w:kern w:val="2"/>
      <w:sz w:val="21"/>
      <w:szCs w:val="24"/>
      <w:lang w:val="en-US" w:eastAsia="zh-CN" w:bidi="ar-SA"/>
    </w:rPr>
  </w:style>
  <w:style w:type="character" w:customStyle="1" w:styleId="92">
    <w:name w:val="页眉 Char"/>
    <w:link w:val="30"/>
    <w:qFormat/>
    <w:uiPriority w:val="99"/>
    <w:rPr>
      <w:rFonts w:eastAsia="宋体"/>
      <w:kern w:val="2"/>
      <w:sz w:val="18"/>
      <w:szCs w:val="18"/>
      <w:lang w:val="en-US" w:eastAsia="zh-CN" w:bidi="ar-SA"/>
    </w:rPr>
  </w:style>
  <w:style w:type="character" w:customStyle="1" w:styleId="93">
    <w:name w:val="正文文本缩进 3 Char"/>
    <w:link w:val="34"/>
    <w:qFormat/>
    <w:uiPriority w:val="0"/>
    <w:rPr>
      <w:rFonts w:ascii="宋体" w:eastAsia="宋体"/>
      <w:b/>
      <w:bCs/>
      <w:kern w:val="2"/>
      <w:sz w:val="24"/>
      <w:szCs w:val="24"/>
      <w:lang w:val="en-US" w:eastAsia="zh-CN" w:bidi="ar-SA"/>
    </w:rPr>
  </w:style>
  <w:style w:type="character" w:customStyle="1" w:styleId="94">
    <w:name w:val="正文文本 2 Char"/>
    <w:link w:val="20"/>
    <w:qFormat/>
    <w:uiPriority w:val="0"/>
    <w:rPr>
      <w:rFonts w:eastAsia="宋体"/>
      <w:kern w:val="2"/>
      <w:sz w:val="24"/>
      <w:szCs w:val="24"/>
      <w:lang w:val="en-US" w:eastAsia="zh-CN" w:bidi="ar-SA"/>
    </w:rPr>
  </w:style>
  <w:style w:type="character" w:customStyle="1" w:styleId="95">
    <w:name w:val="页脚 Char"/>
    <w:link w:val="29"/>
    <w:qFormat/>
    <w:uiPriority w:val="0"/>
    <w:rPr>
      <w:rFonts w:eastAsia="宋体"/>
      <w:kern w:val="2"/>
      <w:sz w:val="18"/>
      <w:szCs w:val="18"/>
      <w:lang w:val="en-US" w:eastAsia="zh-CN" w:bidi="ar-SA"/>
    </w:rPr>
  </w:style>
  <w:style w:type="character" w:customStyle="1" w:styleId="96">
    <w:name w:val="正文文本 3 Char"/>
    <w:link w:val="18"/>
    <w:qFormat/>
    <w:uiPriority w:val="0"/>
    <w:rPr>
      <w:rFonts w:eastAsia="宋体"/>
      <w:kern w:val="2"/>
      <w:sz w:val="16"/>
      <w:szCs w:val="16"/>
      <w:lang w:val="en-US" w:eastAsia="zh-CN" w:bidi="ar-SA"/>
    </w:rPr>
  </w:style>
  <w:style w:type="character" w:customStyle="1" w:styleId="97">
    <w:name w:val="批注框文本 Char"/>
    <w:link w:val="28"/>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19"/>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21"/>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4"/>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7"/>
    <w:qFormat/>
    <w:uiPriority w:val="99"/>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76</Pages>
  <Words>4409</Words>
  <Characters>4515</Characters>
  <Lines>332</Lines>
  <Paragraphs>93</Paragraphs>
  <TotalTime>7</TotalTime>
  <ScaleCrop>false</ScaleCrop>
  <LinksUpToDate>false</LinksUpToDate>
  <CharactersWithSpaces>4532</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钱晨跃</cp:lastModifiedBy>
  <cp:lastPrinted>2021-05-09T08:02:00Z</cp:lastPrinted>
  <dcterms:modified xsi:type="dcterms:W3CDTF">2025-12-01T09:48:52Z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13EFB6403DE448728F2F206466D6EE7D_13</vt:lpwstr>
  </property>
  <property fmtid="{D5CDD505-2E9C-101B-9397-08002B2CF9AE}" pid="4" name="KSOTemplateDocerSaveRecord">
    <vt:lpwstr>eyJoZGlkIjoiMTEzMmY3N2I4ZDI1ZjE2ODBjMDFkZjY1NmM5NWQwZWUiLCJ1c2VySWQiOiIzODU2MzU4NTIifQ==</vt:lpwstr>
  </property>
</Properties>
</file>