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57F7E">
      <w:pPr>
        <w:adjustRightInd w:val="0"/>
        <w:snapToGrid w:val="0"/>
        <w:spacing w:before="480" w:after="480" w:line="240" w:lineRule="auto"/>
        <w:jc w:val="center"/>
        <w:rPr>
          <w:rFonts w:hint="eastAsia" w:ascii="宋体" w:hAnsi="宋体" w:eastAsia="宋体" w:cs="Arial"/>
          <w:b/>
          <w:sz w:val="44"/>
          <w:szCs w:val="44"/>
          <w:highlight w:val="none"/>
        </w:rPr>
      </w:pPr>
      <w:bookmarkStart w:id="13" w:name="_GoBack"/>
      <w:r>
        <w:rPr>
          <w:rFonts w:hint="eastAsia" w:ascii="宋体" w:hAnsi="宋体" w:eastAsia="宋体" w:cs="Arial"/>
          <w:b/>
          <w:sz w:val="44"/>
          <w:szCs w:val="44"/>
          <w:highlight w:val="none"/>
        </w:rPr>
        <w:t>深圳市深环绿盾环保科技有限公司</w:t>
      </w:r>
    </w:p>
    <w:bookmarkEnd w:id="13"/>
    <w:p w14:paraId="7E8E8041">
      <w:pPr>
        <w:adjustRightInd w:val="0"/>
        <w:snapToGrid w:val="0"/>
        <w:spacing w:before="480" w:after="480" w:line="240" w:lineRule="auto"/>
        <w:jc w:val="center"/>
        <w:rPr>
          <w:rFonts w:hint="eastAsia"/>
          <w:highlight w:val="none"/>
        </w:rPr>
      </w:pPr>
      <w:r>
        <w:rPr>
          <w:rFonts w:hint="eastAsia" w:ascii="宋体" w:hAnsi="宋体" w:eastAsia="宋体" w:cs="Arial"/>
          <w:b/>
          <w:sz w:val="36"/>
          <w:szCs w:val="36"/>
          <w:highlight w:val="none"/>
        </w:rPr>
        <w:t>医疗废物</w:t>
      </w:r>
      <w:r>
        <w:rPr>
          <w:rFonts w:ascii="宋体" w:hAnsi="宋体" w:eastAsia="宋体" w:cs="Arial"/>
          <w:b/>
          <w:sz w:val="36"/>
          <w:szCs w:val="36"/>
          <w:highlight w:val="none"/>
        </w:rPr>
        <w:t>运输车</w:t>
      </w:r>
      <w:r>
        <w:rPr>
          <w:rFonts w:hint="eastAsia" w:ascii="宋体" w:hAnsi="宋体" w:eastAsia="宋体" w:cs="Arial"/>
          <w:b/>
          <w:sz w:val="36"/>
          <w:szCs w:val="36"/>
          <w:highlight w:val="none"/>
        </w:rPr>
        <w:t>年</w:t>
      </w:r>
      <w:r>
        <w:rPr>
          <w:rFonts w:ascii="宋体" w:hAnsi="宋体" w:eastAsia="宋体" w:cs="Arial"/>
          <w:b/>
          <w:sz w:val="36"/>
          <w:szCs w:val="36"/>
          <w:highlight w:val="none"/>
        </w:rPr>
        <w:t>审</w:t>
      </w:r>
      <w:r>
        <w:rPr>
          <w:rFonts w:hint="eastAsia" w:ascii="宋体" w:hAnsi="宋体" w:eastAsia="宋体" w:cs="Arial"/>
          <w:b/>
          <w:sz w:val="36"/>
          <w:szCs w:val="36"/>
          <w:highlight w:val="none"/>
        </w:rPr>
        <w:t>及综合审</w:t>
      </w:r>
      <w:r>
        <w:rPr>
          <w:rFonts w:ascii="宋体" w:hAnsi="宋体" w:eastAsia="宋体" w:cs="Arial"/>
          <w:b/>
          <w:sz w:val="36"/>
          <w:szCs w:val="36"/>
          <w:highlight w:val="none"/>
        </w:rPr>
        <w:t>询价文件</w:t>
      </w:r>
    </w:p>
    <w:p w14:paraId="3BDB4875">
      <w:pPr>
        <w:spacing w:before="380" w:after="140" w:line="288" w:lineRule="auto"/>
        <w:outlineLvl w:val="0"/>
        <w:rPr>
          <w:rFonts w:hint="eastAsia" w:ascii="宋体" w:hAnsi="宋体" w:eastAsia="宋体"/>
          <w:sz w:val="30"/>
          <w:szCs w:val="30"/>
          <w:highlight w:val="none"/>
        </w:rPr>
      </w:pPr>
      <w:bookmarkStart w:id="0" w:name="heading_1"/>
      <w:r>
        <w:rPr>
          <w:rFonts w:ascii="宋体" w:hAnsi="宋体" w:eastAsia="宋体" w:cs="Arial"/>
          <w:b/>
          <w:sz w:val="30"/>
          <w:szCs w:val="30"/>
          <w:highlight w:val="none"/>
        </w:rPr>
        <w:t>一、询价概况</w:t>
      </w:r>
      <w:bookmarkEnd w:id="0"/>
    </w:p>
    <w:p w14:paraId="66777A4E">
      <w:pPr>
        <w:spacing w:before="120" w:after="120" w:line="288" w:lineRule="auto"/>
        <w:ind w:firstLine="480" w:firstLineChars="200"/>
        <w:rPr>
          <w:rFonts w:hint="eastAsia" w:ascii="宋体" w:hAnsi="宋体" w:eastAsia="宋体" w:cs="Arial"/>
          <w:sz w:val="24"/>
          <w:highlight w:val="none"/>
        </w:rPr>
      </w:pPr>
      <w:r>
        <w:rPr>
          <w:rFonts w:ascii="宋体" w:hAnsi="宋体" w:eastAsia="宋体" w:cs="Arial"/>
          <w:sz w:val="24"/>
          <w:highlight w:val="none"/>
        </w:rPr>
        <w:t>1. 项目名称：</w:t>
      </w:r>
      <w:r>
        <w:rPr>
          <w:rFonts w:hint="eastAsia" w:ascii="宋体" w:hAnsi="宋体" w:eastAsia="宋体" w:cs="Arial"/>
          <w:sz w:val="24"/>
          <w:highlight w:val="none"/>
        </w:rPr>
        <w:t>医疗废物</w:t>
      </w:r>
      <w:r>
        <w:rPr>
          <w:rFonts w:ascii="宋体" w:hAnsi="宋体" w:eastAsia="宋体" w:cs="Arial"/>
          <w:sz w:val="24"/>
          <w:highlight w:val="none"/>
        </w:rPr>
        <w:t>运输车</w:t>
      </w:r>
      <w:r>
        <w:rPr>
          <w:rFonts w:hint="eastAsia" w:ascii="宋体" w:hAnsi="宋体" w:eastAsia="宋体" w:cs="Arial"/>
          <w:sz w:val="24"/>
          <w:highlight w:val="none"/>
        </w:rPr>
        <w:t>年</w:t>
      </w:r>
      <w:r>
        <w:rPr>
          <w:rFonts w:ascii="宋体" w:hAnsi="宋体" w:eastAsia="宋体" w:cs="Arial"/>
          <w:sz w:val="24"/>
          <w:highlight w:val="none"/>
        </w:rPr>
        <w:t>审</w:t>
      </w:r>
      <w:r>
        <w:rPr>
          <w:rFonts w:hint="eastAsia" w:ascii="宋体" w:hAnsi="宋体" w:eastAsia="宋体" w:cs="Arial"/>
          <w:sz w:val="24"/>
          <w:highlight w:val="none"/>
        </w:rPr>
        <w:t>及综合审</w:t>
      </w:r>
    </w:p>
    <w:p w14:paraId="109BFF52">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2. 采购单位：</w:t>
      </w:r>
      <w:r>
        <w:rPr>
          <w:rFonts w:hint="eastAsia" w:ascii="宋体" w:hAnsi="宋体" w:eastAsia="宋体" w:cs="Arial"/>
          <w:sz w:val="24"/>
          <w:highlight w:val="none"/>
        </w:rPr>
        <w:t>深圳市深环绿盾环保科技有限公司</w:t>
      </w:r>
    </w:p>
    <w:p w14:paraId="4B9E9F5E">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3. 服务内容：公司现有</w:t>
      </w:r>
      <w:r>
        <w:rPr>
          <w:rFonts w:ascii="宋体" w:hAnsi="宋体" w:eastAsia="宋体" w:cs="Arial"/>
          <w:bCs/>
          <w:sz w:val="24"/>
          <w:highlight w:val="none"/>
        </w:rPr>
        <w:t>厢式</w:t>
      </w:r>
      <w:r>
        <w:rPr>
          <w:rFonts w:hint="eastAsia" w:ascii="宋体" w:hAnsi="宋体" w:eastAsia="宋体" w:cs="Arial"/>
          <w:bCs/>
          <w:sz w:val="24"/>
          <w:highlight w:val="none"/>
        </w:rPr>
        <w:t>医疗废物</w:t>
      </w:r>
      <w:r>
        <w:rPr>
          <w:rFonts w:ascii="宋体" w:hAnsi="宋体" w:eastAsia="宋体" w:cs="Arial"/>
          <w:bCs/>
          <w:sz w:val="24"/>
          <w:highlight w:val="none"/>
        </w:rPr>
        <w:t>运输车</w:t>
      </w:r>
      <w:r>
        <w:rPr>
          <w:rFonts w:hint="eastAsia" w:ascii="宋体" w:hAnsi="宋体" w:eastAsia="宋体" w:cs="Arial"/>
          <w:bCs/>
          <w:sz w:val="24"/>
          <w:highlight w:val="none"/>
        </w:rPr>
        <w:t>进行下一年度</w:t>
      </w:r>
      <w:r>
        <w:rPr>
          <w:rFonts w:hint="eastAsia" w:ascii="宋体" w:hAnsi="宋体" w:eastAsia="宋体" w:cs="Arial"/>
          <w:sz w:val="24"/>
          <w:highlight w:val="none"/>
        </w:rPr>
        <w:t>年审</w:t>
      </w:r>
      <w:r>
        <w:rPr>
          <w:rFonts w:ascii="宋体" w:hAnsi="宋体" w:eastAsia="宋体" w:cs="Arial"/>
          <w:sz w:val="24"/>
          <w:highlight w:val="none"/>
        </w:rPr>
        <w:t>、</w:t>
      </w:r>
      <w:r>
        <w:rPr>
          <w:rFonts w:hint="eastAsia" w:ascii="宋体" w:hAnsi="宋体" w:eastAsia="宋体" w:cs="Arial"/>
          <w:sz w:val="24"/>
          <w:highlight w:val="none"/>
        </w:rPr>
        <w:t>综合审、</w:t>
      </w:r>
      <w:r>
        <w:rPr>
          <w:rFonts w:ascii="宋体" w:hAnsi="宋体" w:eastAsia="宋体" w:cs="Arial"/>
          <w:sz w:val="24"/>
          <w:highlight w:val="none"/>
        </w:rPr>
        <w:t>交通监管平台备案</w:t>
      </w:r>
      <w:r>
        <w:rPr>
          <w:rFonts w:hint="eastAsia" w:ascii="宋体" w:hAnsi="宋体" w:eastAsia="宋体" w:cs="Arial"/>
          <w:sz w:val="24"/>
          <w:highlight w:val="none"/>
        </w:rPr>
        <w:t>，</w:t>
      </w:r>
      <w:r>
        <w:rPr>
          <w:rFonts w:ascii="宋体" w:hAnsi="宋体" w:eastAsia="宋体" w:cs="Arial"/>
          <w:sz w:val="24"/>
          <w:highlight w:val="none"/>
        </w:rPr>
        <w:t>符合属地危运车辆</w:t>
      </w:r>
      <w:r>
        <w:rPr>
          <w:rFonts w:hint="eastAsia" w:ascii="宋体" w:hAnsi="宋体" w:eastAsia="宋体" w:cs="Arial"/>
          <w:sz w:val="24"/>
          <w:highlight w:val="none"/>
        </w:rPr>
        <w:t>年</w:t>
      </w:r>
      <w:r>
        <w:rPr>
          <w:rFonts w:ascii="宋体" w:hAnsi="宋体" w:eastAsia="宋体" w:cs="Arial"/>
          <w:sz w:val="24"/>
          <w:highlight w:val="none"/>
        </w:rPr>
        <w:t>度审验合规要求</w:t>
      </w:r>
      <w:r>
        <w:rPr>
          <w:rFonts w:hint="eastAsia" w:ascii="宋体" w:hAnsi="宋体" w:eastAsia="宋体" w:cs="Arial"/>
          <w:sz w:val="24"/>
          <w:highlight w:val="none"/>
        </w:rPr>
        <w:t>和车辆安全行驶要求</w:t>
      </w:r>
      <w:r>
        <w:rPr>
          <w:rFonts w:ascii="宋体" w:hAnsi="宋体" w:eastAsia="宋体" w:cs="Arial"/>
          <w:sz w:val="24"/>
          <w:highlight w:val="none"/>
        </w:rPr>
        <w:t>。</w:t>
      </w:r>
    </w:p>
    <w:p w14:paraId="1F54A3EE">
      <w:pPr>
        <w:spacing w:before="120" w:after="120" w:line="288" w:lineRule="auto"/>
        <w:ind w:firstLine="480" w:firstLineChars="200"/>
        <w:rPr>
          <w:rFonts w:hint="eastAsia" w:ascii="宋体" w:hAnsi="宋体" w:eastAsia="宋体" w:cs="Arial"/>
          <w:sz w:val="24"/>
          <w:highlight w:val="none"/>
        </w:rPr>
      </w:pPr>
      <w:r>
        <w:rPr>
          <w:rFonts w:ascii="宋体" w:hAnsi="宋体" w:eastAsia="宋体" w:cs="Arial"/>
          <w:sz w:val="24"/>
          <w:highlight w:val="none"/>
        </w:rPr>
        <w:t>4. 服务工期：合同签订</w:t>
      </w:r>
      <w:r>
        <w:rPr>
          <w:rFonts w:hint="eastAsia" w:ascii="宋体" w:hAnsi="宋体" w:eastAsia="宋体" w:cs="Arial"/>
          <w:sz w:val="24"/>
          <w:highlight w:val="none"/>
        </w:rPr>
        <w:t>10</w:t>
      </w:r>
      <w:r>
        <w:rPr>
          <w:rFonts w:ascii="宋体" w:hAnsi="宋体" w:eastAsia="宋体" w:cs="Arial"/>
          <w:sz w:val="24"/>
          <w:highlight w:val="none"/>
        </w:rPr>
        <w:t>个</w:t>
      </w:r>
      <w:r>
        <w:rPr>
          <w:rFonts w:hint="eastAsia" w:ascii="宋体" w:hAnsi="宋体" w:eastAsia="宋体" w:cs="Arial"/>
          <w:sz w:val="24"/>
          <w:highlight w:val="none"/>
          <w:lang w:val="en-US" w:eastAsia="zh-CN"/>
        </w:rPr>
        <w:t>工作日</w:t>
      </w:r>
      <w:r>
        <w:rPr>
          <w:rFonts w:ascii="宋体" w:hAnsi="宋体" w:eastAsia="宋体" w:cs="Arial"/>
          <w:sz w:val="24"/>
          <w:highlight w:val="none"/>
        </w:rPr>
        <w:t>内完成全部车辆审验办结。</w:t>
      </w:r>
    </w:p>
    <w:p w14:paraId="0D219F94">
      <w:pPr>
        <w:spacing w:before="120" w:after="120" w:line="288" w:lineRule="auto"/>
        <w:ind w:firstLine="480" w:firstLineChars="200"/>
        <w:rPr>
          <w:rFonts w:hint="eastAsia" w:ascii="宋体" w:hAnsi="宋体" w:eastAsia="宋体" w:cs="Arial"/>
          <w:sz w:val="24"/>
          <w:highlight w:val="none"/>
        </w:rPr>
      </w:pPr>
      <w:r>
        <w:rPr>
          <w:rFonts w:hint="eastAsia" w:ascii="宋体" w:hAnsi="宋体" w:eastAsia="宋体" w:cs="Arial"/>
          <w:sz w:val="24"/>
          <w:highlight w:val="none"/>
        </w:rPr>
        <w:t>5.预算金额：人民币 30900.00元，大写：叁万零玖佰元整。</w:t>
      </w:r>
    </w:p>
    <w:p w14:paraId="5DF3BA7E">
      <w:pPr>
        <w:adjustRightInd w:val="0"/>
        <w:spacing w:before="120" w:after="120" w:line="360" w:lineRule="auto"/>
        <w:ind w:firstLine="480" w:firstLineChars="200"/>
        <w:rPr>
          <w:rFonts w:hint="eastAsia" w:ascii="宋体" w:hAnsi="宋体" w:eastAsia="宋体" w:cs="Arial"/>
          <w:sz w:val="24"/>
          <w:highlight w:val="none"/>
        </w:rPr>
      </w:pPr>
      <w:r>
        <w:rPr>
          <w:rFonts w:hint="eastAsia" w:ascii="宋体" w:hAnsi="宋体" w:eastAsia="宋体" w:cs="Arial"/>
          <w:sz w:val="24"/>
          <w:highlight w:val="none"/>
        </w:rPr>
        <w:t>6.</w:t>
      </w:r>
      <w:r>
        <w:rPr>
          <w:rFonts w:hint="eastAsia"/>
          <w:sz w:val="24"/>
          <w:highlight w:val="none"/>
        </w:rPr>
        <w:t xml:space="preserve"> </w:t>
      </w:r>
      <w:r>
        <w:rPr>
          <w:rFonts w:ascii="宋体" w:hAnsi="宋体" w:eastAsia="宋体" w:cs="Arial"/>
          <w:sz w:val="24"/>
          <w:highlight w:val="none"/>
        </w:rPr>
        <w:t>采购人信息：</w:t>
      </w:r>
    </w:p>
    <w:p w14:paraId="6A4669C9">
      <w:pPr>
        <w:pStyle w:val="3"/>
        <w:adjustRightInd w:val="0"/>
        <w:spacing w:before="0" w:after="0" w:line="360" w:lineRule="auto"/>
        <w:ind w:firstLine="720" w:firstLineChars="300"/>
        <w:rPr>
          <w:rFonts w:hint="eastAsia" w:ascii="宋体" w:hAnsi="宋体" w:eastAsia="宋体"/>
          <w:b w:val="0"/>
          <w:bCs w:val="0"/>
          <w:kern w:val="2"/>
          <w:sz w:val="24"/>
          <w:szCs w:val="24"/>
          <w:highlight w:val="none"/>
          <w14:ligatures w14:val="standardContextual"/>
        </w:rPr>
      </w:pPr>
      <w:bookmarkStart w:id="1" w:name="OLE_LINK38"/>
      <w:bookmarkStart w:id="2" w:name="OLE_LINK37"/>
      <w:bookmarkStart w:id="3" w:name="OLE_LINK41"/>
      <w:r>
        <w:rPr>
          <w:rFonts w:ascii="宋体" w:hAnsi="宋体" w:eastAsia="宋体"/>
          <w:b w:val="0"/>
          <w:bCs w:val="0"/>
          <w:kern w:val="2"/>
          <w:sz w:val="24"/>
          <w:szCs w:val="24"/>
          <w:highlight w:val="none"/>
          <w14:ligatures w14:val="standardContextual"/>
        </w:rPr>
        <w:t>联系人：</w:t>
      </w:r>
      <w:r>
        <w:rPr>
          <w:rFonts w:hint="eastAsia" w:ascii="宋体" w:hAnsi="宋体" w:eastAsia="宋体"/>
          <w:b w:val="0"/>
          <w:bCs w:val="0"/>
          <w:kern w:val="2"/>
          <w:sz w:val="24"/>
          <w:szCs w:val="24"/>
          <w:highlight w:val="none"/>
          <w14:ligatures w14:val="standardContextual"/>
        </w:rPr>
        <w:t>刘</w:t>
      </w:r>
      <w:r>
        <w:rPr>
          <w:rFonts w:ascii="宋体" w:hAnsi="宋体" w:eastAsia="宋体"/>
          <w:b w:val="0"/>
          <w:bCs w:val="0"/>
          <w:kern w:val="2"/>
          <w:sz w:val="24"/>
          <w:szCs w:val="24"/>
          <w:highlight w:val="none"/>
          <w14:ligatures w14:val="standardContextual"/>
        </w:rPr>
        <w:t>工  联</w:t>
      </w:r>
      <w:r>
        <w:rPr>
          <w:rFonts w:hint="eastAsia" w:ascii="宋体" w:hAnsi="宋体" w:eastAsia="宋体"/>
          <w:b w:val="0"/>
          <w:bCs w:val="0"/>
          <w:kern w:val="2"/>
          <w:sz w:val="24"/>
          <w:szCs w:val="24"/>
          <w:highlight w:val="none"/>
          <w14:ligatures w14:val="standardContextual"/>
        </w:rPr>
        <w:t>系电话：13798452467</w:t>
      </w:r>
    </w:p>
    <w:p w14:paraId="2A552115">
      <w:pPr>
        <w:pStyle w:val="3"/>
        <w:adjustRightInd w:val="0"/>
        <w:spacing w:before="0" w:after="0" w:line="360" w:lineRule="auto"/>
        <w:ind w:firstLine="720" w:firstLineChars="300"/>
        <w:rPr>
          <w:rFonts w:hint="eastAsia" w:ascii="宋体" w:hAnsi="宋体" w:eastAsia="宋体"/>
          <w:b w:val="0"/>
          <w:bCs w:val="0"/>
          <w:kern w:val="2"/>
          <w:sz w:val="24"/>
          <w:szCs w:val="24"/>
          <w:highlight w:val="none"/>
          <w14:ligatures w14:val="standardContextual"/>
        </w:rPr>
      </w:pPr>
      <w:r>
        <w:rPr>
          <w:rFonts w:hint="eastAsia" w:ascii="宋体" w:hAnsi="宋体" w:eastAsia="宋体"/>
          <w:b w:val="0"/>
          <w:bCs w:val="0"/>
          <w:kern w:val="2"/>
          <w:sz w:val="24"/>
          <w:szCs w:val="24"/>
          <w:highlight w:val="none"/>
          <w14:ligatures w14:val="standardContextual"/>
        </w:rPr>
        <w:t>地址：</w:t>
      </w:r>
      <w:bookmarkStart w:id="4" w:name="OLE_LINK19"/>
      <w:bookmarkStart w:id="5" w:name="OLE_LINK18"/>
      <w:r>
        <w:rPr>
          <w:rFonts w:hint="eastAsia" w:ascii="宋体" w:hAnsi="宋体" w:eastAsia="宋体"/>
          <w:b w:val="0"/>
          <w:bCs w:val="0"/>
          <w:kern w:val="2"/>
          <w:sz w:val="24"/>
          <w:szCs w:val="24"/>
          <w:highlight w:val="none"/>
          <w14:ligatures w14:val="standardContextual"/>
        </w:rPr>
        <w:t>深圳市福田区梅林街道梅观路</w:t>
      </w:r>
      <w:r>
        <w:rPr>
          <w:rFonts w:ascii="宋体" w:hAnsi="宋体" w:eastAsia="宋体"/>
          <w:b w:val="0"/>
          <w:bCs w:val="0"/>
          <w:kern w:val="2"/>
          <w:sz w:val="24"/>
          <w:szCs w:val="24"/>
          <w:highlight w:val="none"/>
          <w14:ligatures w14:val="standardContextual"/>
        </w:rPr>
        <w:t>8</w:t>
      </w:r>
      <w:r>
        <w:rPr>
          <w:rFonts w:hint="eastAsia" w:ascii="宋体" w:hAnsi="宋体" w:eastAsia="宋体"/>
          <w:b w:val="0"/>
          <w:bCs w:val="0"/>
          <w:kern w:val="2"/>
          <w:sz w:val="24"/>
          <w:szCs w:val="24"/>
          <w:highlight w:val="none"/>
          <w14:ligatures w14:val="standardContextual"/>
        </w:rPr>
        <w:t>—</w:t>
      </w:r>
      <w:r>
        <w:rPr>
          <w:rFonts w:ascii="宋体" w:hAnsi="宋体" w:eastAsia="宋体"/>
          <w:b w:val="0"/>
          <w:bCs w:val="0"/>
          <w:kern w:val="2"/>
          <w:sz w:val="24"/>
          <w:szCs w:val="24"/>
          <w:highlight w:val="none"/>
          <w14:ligatures w14:val="standardContextual"/>
        </w:rPr>
        <w:t>6</w:t>
      </w:r>
      <w:r>
        <w:rPr>
          <w:rFonts w:hint="eastAsia" w:ascii="宋体" w:hAnsi="宋体" w:eastAsia="宋体"/>
          <w:b w:val="0"/>
          <w:bCs w:val="0"/>
          <w:kern w:val="2"/>
          <w:sz w:val="24"/>
          <w:szCs w:val="24"/>
          <w:highlight w:val="none"/>
          <w14:ligatures w14:val="standardContextual"/>
        </w:rPr>
        <w:t>号福田生产基地办公楼三楼</w:t>
      </w:r>
    </w:p>
    <w:bookmarkEnd w:id="1"/>
    <w:bookmarkEnd w:id="2"/>
    <w:bookmarkEnd w:id="3"/>
    <w:bookmarkEnd w:id="4"/>
    <w:bookmarkEnd w:id="5"/>
    <w:p w14:paraId="1EE2ED09">
      <w:pPr>
        <w:spacing w:before="120" w:after="120" w:line="288" w:lineRule="auto"/>
        <w:ind w:firstLine="480" w:firstLineChars="200"/>
        <w:rPr>
          <w:rFonts w:hint="eastAsia" w:ascii="宋体" w:hAnsi="宋体" w:eastAsia="宋体"/>
          <w:sz w:val="24"/>
          <w:highlight w:val="none"/>
        </w:rPr>
      </w:pPr>
      <w:r>
        <w:rPr>
          <w:rFonts w:hint="eastAsia" w:ascii="宋体" w:hAnsi="宋体" w:eastAsia="宋体" w:cs="Arial"/>
          <w:sz w:val="24"/>
          <w:highlight w:val="none"/>
        </w:rPr>
        <w:t>7</w:t>
      </w:r>
      <w:r>
        <w:rPr>
          <w:rFonts w:ascii="宋体" w:hAnsi="宋体" w:eastAsia="宋体" w:cs="Arial"/>
          <w:sz w:val="24"/>
          <w:highlight w:val="none"/>
        </w:rPr>
        <w:t>. 车辆</w:t>
      </w:r>
      <w:r>
        <w:rPr>
          <w:rFonts w:hint="eastAsia" w:ascii="宋体" w:hAnsi="宋体" w:eastAsia="宋体" w:cs="Arial"/>
          <w:sz w:val="24"/>
          <w:highlight w:val="none"/>
        </w:rPr>
        <w:t>基本信息</w:t>
      </w:r>
    </w:p>
    <w:tbl>
      <w:tblPr>
        <w:tblStyle w:val="6"/>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75"/>
        <w:gridCol w:w="995"/>
        <w:gridCol w:w="1155"/>
        <w:gridCol w:w="1702"/>
        <w:gridCol w:w="997"/>
        <w:gridCol w:w="1134"/>
        <w:gridCol w:w="1417"/>
        <w:gridCol w:w="1276"/>
      </w:tblGrid>
      <w:tr w14:paraId="05AF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75" w:type="dxa"/>
            <w:tcMar>
              <w:top w:w="60" w:type="dxa"/>
              <w:left w:w="120" w:type="dxa"/>
              <w:bottom w:w="30" w:type="dxa"/>
              <w:right w:w="120" w:type="dxa"/>
            </w:tcMar>
          </w:tcPr>
          <w:p w14:paraId="02AC33E9">
            <w:pPr>
              <w:spacing w:before="120" w:after="120" w:line="288" w:lineRule="auto"/>
              <w:jc w:val="center"/>
              <w:rPr>
                <w:rFonts w:hint="eastAsia" w:ascii="宋体" w:hAnsi="宋体" w:eastAsia="宋体"/>
                <w:b/>
                <w:bCs/>
                <w:highlight w:val="none"/>
              </w:rPr>
            </w:pPr>
            <w:r>
              <w:rPr>
                <w:rFonts w:ascii="宋体" w:hAnsi="宋体" w:eastAsia="宋体" w:cs="Arial"/>
                <w:b/>
                <w:bCs/>
                <w:highlight w:val="none"/>
              </w:rPr>
              <w:t>序号</w:t>
            </w:r>
          </w:p>
        </w:tc>
        <w:tc>
          <w:tcPr>
            <w:tcW w:w="995" w:type="dxa"/>
            <w:tcMar>
              <w:top w:w="60" w:type="dxa"/>
              <w:left w:w="120" w:type="dxa"/>
              <w:bottom w:w="30" w:type="dxa"/>
              <w:right w:w="120" w:type="dxa"/>
            </w:tcMar>
          </w:tcPr>
          <w:p w14:paraId="2350299E">
            <w:pPr>
              <w:spacing w:before="120" w:after="120" w:line="288" w:lineRule="auto"/>
              <w:jc w:val="center"/>
              <w:rPr>
                <w:rFonts w:hint="eastAsia" w:ascii="宋体" w:hAnsi="宋体" w:eastAsia="宋体"/>
                <w:b/>
                <w:bCs/>
                <w:sz w:val="18"/>
                <w:szCs w:val="18"/>
                <w:highlight w:val="none"/>
              </w:rPr>
            </w:pPr>
            <w:r>
              <w:rPr>
                <w:rFonts w:hint="eastAsia" w:ascii="宋体" w:hAnsi="宋体" w:eastAsia="宋体" w:cs="Arial"/>
                <w:b/>
                <w:bCs/>
                <w:sz w:val="18"/>
                <w:szCs w:val="18"/>
                <w:highlight w:val="none"/>
              </w:rPr>
              <w:t>车辆品牌</w:t>
            </w:r>
          </w:p>
        </w:tc>
        <w:tc>
          <w:tcPr>
            <w:tcW w:w="1155" w:type="dxa"/>
            <w:tcMar>
              <w:top w:w="60" w:type="dxa"/>
              <w:left w:w="120" w:type="dxa"/>
              <w:bottom w:w="30" w:type="dxa"/>
              <w:right w:w="120" w:type="dxa"/>
            </w:tcMar>
          </w:tcPr>
          <w:p w14:paraId="5559602D">
            <w:pPr>
              <w:spacing w:before="120" w:after="120" w:line="288" w:lineRule="auto"/>
              <w:jc w:val="center"/>
              <w:rPr>
                <w:rFonts w:hint="eastAsia" w:ascii="宋体" w:hAnsi="宋体" w:eastAsia="宋体"/>
                <w:b/>
                <w:bCs/>
                <w:sz w:val="18"/>
                <w:szCs w:val="18"/>
                <w:highlight w:val="none"/>
              </w:rPr>
            </w:pPr>
            <w:r>
              <w:rPr>
                <w:rFonts w:ascii="宋体" w:hAnsi="宋体" w:eastAsia="宋体" w:cs="Arial"/>
                <w:b/>
                <w:bCs/>
                <w:sz w:val="18"/>
                <w:szCs w:val="18"/>
                <w:highlight w:val="none"/>
              </w:rPr>
              <w:t>车辆类型</w:t>
            </w:r>
          </w:p>
        </w:tc>
        <w:tc>
          <w:tcPr>
            <w:tcW w:w="1702" w:type="dxa"/>
          </w:tcPr>
          <w:p w14:paraId="60CB7DA8">
            <w:pPr>
              <w:spacing w:before="120" w:after="120" w:line="288" w:lineRule="auto"/>
              <w:jc w:val="center"/>
              <w:rPr>
                <w:rFonts w:hint="eastAsia" w:ascii="宋体" w:hAnsi="宋体" w:eastAsia="宋体" w:cs="Arial"/>
                <w:b/>
                <w:bCs/>
                <w:sz w:val="18"/>
                <w:szCs w:val="18"/>
                <w:highlight w:val="none"/>
              </w:rPr>
            </w:pPr>
            <w:r>
              <w:rPr>
                <w:rFonts w:hint="eastAsia" w:ascii="宋体" w:hAnsi="宋体" w:eastAsia="宋体" w:cs="Arial"/>
                <w:b/>
                <w:bCs/>
                <w:sz w:val="18"/>
                <w:szCs w:val="18"/>
                <w:highlight w:val="none"/>
              </w:rPr>
              <w:t>车体尺寸（mm）</w:t>
            </w:r>
          </w:p>
        </w:tc>
        <w:tc>
          <w:tcPr>
            <w:tcW w:w="997" w:type="dxa"/>
          </w:tcPr>
          <w:p w14:paraId="496DC76B">
            <w:pPr>
              <w:spacing w:before="120" w:after="120" w:line="288" w:lineRule="auto"/>
              <w:jc w:val="center"/>
              <w:rPr>
                <w:rFonts w:ascii="宋体" w:hAnsi="宋体" w:eastAsia="宋体" w:cs="Arial"/>
                <w:b/>
                <w:bCs/>
                <w:sz w:val="18"/>
                <w:szCs w:val="18"/>
                <w:highlight w:val="none"/>
              </w:rPr>
            </w:pPr>
            <w:r>
              <w:rPr>
                <w:rFonts w:hint="eastAsia" w:ascii="宋体" w:hAnsi="宋体" w:eastAsia="宋体" w:cs="Arial"/>
                <w:b/>
                <w:bCs/>
                <w:sz w:val="18"/>
                <w:szCs w:val="18"/>
                <w:highlight w:val="none"/>
              </w:rPr>
              <w:t>排放标准</w:t>
            </w:r>
          </w:p>
        </w:tc>
        <w:tc>
          <w:tcPr>
            <w:tcW w:w="1134" w:type="dxa"/>
            <w:tcMar>
              <w:top w:w="60" w:type="dxa"/>
              <w:left w:w="120" w:type="dxa"/>
              <w:bottom w:w="30" w:type="dxa"/>
              <w:right w:w="120" w:type="dxa"/>
            </w:tcMar>
          </w:tcPr>
          <w:p w14:paraId="79A071AA">
            <w:pPr>
              <w:spacing w:before="120" w:after="120" w:line="288" w:lineRule="auto"/>
              <w:jc w:val="center"/>
              <w:rPr>
                <w:rFonts w:hint="eastAsia" w:ascii="宋体" w:hAnsi="宋体" w:eastAsia="宋体"/>
                <w:b/>
                <w:bCs/>
                <w:sz w:val="18"/>
                <w:szCs w:val="18"/>
                <w:highlight w:val="none"/>
              </w:rPr>
            </w:pPr>
            <w:r>
              <w:rPr>
                <w:rFonts w:ascii="宋体" w:hAnsi="宋体" w:eastAsia="宋体" w:cs="Arial"/>
                <w:b/>
                <w:bCs/>
                <w:sz w:val="18"/>
                <w:szCs w:val="18"/>
                <w:highlight w:val="none"/>
              </w:rPr>
              <w:t>货物类别</w:t>
            </w:r>
          </w:p>
        </w:tc>
        <w:tc>
          <w:tcPr>
            <w:tcW w:w="1417" w:type="dxa"/>
            <w:tcMar>
              <w:top w:w="60" w:type="dxa"/>
              <w:left w:w="120" w:type="dxa"/>
              <w:bottom w:w="30" w:type="dxa"/>
              <w:right w:w="120" w:type="dxa"/>
            </w:tcMar>
          </w:tcPr>
          <w:p w14:paraId="1B358C95">
            <w:pPr>
              <w:spacing w:before="120" w:after="120" w:line="288" w:lineRule="auto"/>
              <w:jc w:val="center"/>
              <w:rPr>
                <w:rFonts w:hint="eastAsia" w:ascii="宋体" w:hAnsi="宋体" w:eastAsia="宋体"/>
                <w:b/>
                <w:bCs/>
                <w:sz w:val="18"/>
                <w:szCs w:val="18"/>
                <w:highlight w:val="none"/>
              </w:rPr>
            </w:pPr>
            <w:r>
              <w:rPr>
                <w:rFonts w:hint="eastAsia" w:ascii="宋体" w:hAnsi="宋体" w:eastAsia="宋体" w:cs="Arial"/>
                <w:b/>
                <w:bCs/>
                <w:sz w:val="18"/>
                <w:szCs w:val="18"/>
                <w:highlight w:val="none"/>
              </w:rPr>
              <w:t>项 目</w:t>
            </w:r>
          </w:p>
        </w:tc>
        <w:tc>
          <w:tcPr>
            <w:tcW w:w="1276" w:type="dxa"/>
            <w:tcMar>
              <w:top w:w="60" w:type="dxa"/>
              <w:left w:w="120" w:type="dxa"/>
              <w:bottom w:w="30" w:type="dxa"/>
              <w:right w:w="120" w:type="dxa"/>
            </w:tcMar>
          </w:tcPr>
          <w:p w14:paraId="705EF37D">
            <w:pPr>
              <w:spacing w:before="120" w:after="120" w:line="288" w:lineRule="auto"/>
              <w:jc w:val="center"/>
              <w:rPr>
                <w:rFonts w:hint="eastAsia" w:ascii="宋体" w:hAnsi="宋体" w:eastAsia="宋体" w:cs="Arial"/>
                <w:b/>
                <w:bCs/>
                <w:sz w:val="18"/>
                <w:szCs w:val="18"/>
                <w:highlight w:val="none"/>
              </w:rPr>
            </w:pPr>
            <w:r>
              <w:rPr>
                <w:rFonts w:hint="eastAsia" w:ascii="宋体" w:hAnsi="宋体" w:eastAsia="宋体" w:cs="Arial"/>
                <w:b/>
                <w:bCs/>
                <w:sz w:val="18"/>
                <w:szCs w:val="18"/>
                <w:highlight w:val="none"/>
              </w:rPr>
              <w:t>数量（台）</w:t>
            </w:r>
          </w:p>
        </w:tc>
      </w:tr>
      <w:tr w14:paraId="2AAA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trPr>
        <w:tc>
          <w:tcPr>
            <w:tcW w:w="675" w:type="dxa"/>
            <w:tcMar>
              <w:top w:w="60" w:type="dxa"/>
              <w:left w:w="120" w:type="dxa"/>
              <w:bottom w:w="30" w:type="dxa"/>
              <w:right w:w="120" w:type="dxa"/>
            </w:tcMar>
            <w:vAlign w:val="center"/>
          </w:tcPr>
          <w:p w14:paraId="4853618B">
            <w:pPr>
              <w:spacing w:before="120" w:after="120" w:line="288" w:lineRule="auto"/>
              <w:jc w:val="center"/>
              <w:rPr>
                <w:rFonts w:hint="eastAsia" w:ascii="宋体" w:hAnsi="宋体" w:eastAsia="宋体"/>
                <w:highlight w:val="none"/>
              </w:rPr>
            </w:pPr>
            <w:bookmarkStart w:id="6" w:name="_Hlk232428610"/>
            <w:r>
              <w:rPr>
                <w:rFonts w:ascii="宋体" w:hAnsi="宋体" w:eastAsia="宋体" w:cs="Arial"/>
                <w:highlight w:val="none"/>
              </w:rPr>
              <w:t>1</w:t>
            </w:r>
          </w:p>
        </w:tc>
        <w:tc>
          <w:tcPr>
            <w:tcW w:w="995" w:type="dxa"/>
            <w:tcMar>
              <w:top w:w="60" w:type="dxa"/>
              <w:left w:w="120" w:type="dxa"/>
              <w:bottom w:w="30" w:type="dxa"/>
              <w:right w:w="120" w:type="dxa"/>
            </w:tcMar>
            <w:vAlign w:val="center"/>
          </w:tcPr>
          <w:p w14:paraId="41D1F05B">
            <w:pPr>
              <w:spacing w:before="120" w:after="120" w:line="288" w:lineRule="auto"/>
              <w:jc w:val="center"/>
              <w:rPr>
                <w:rFonts w:hint="eastAsia" w:ascii="宋体" w:hAnsi="宋体" w:eastAsia="宋体"/>
                <w:sz w:val="20"/>
                <w:szCs w:val="20"/>
                <w:highlight w:val="none"/>
              </w:rPr>
            </w:pPr>
            <w:r>
              <w:rPr>
                <w:rFonts w:ascii="宋体" w:hAnsi="宋体" w:eastAsia="宋体"/>
                <w:sz w:val="20"/>
                <w:szCs w:val="20"/>
                <w:highlight w:val="none"/>
              </w:rPr>
              <w:t>鸿星达</w:t>
            </w:r>
          </w:p>
        </w:tc>
        <w:tc>
          <w:tcPr>
            <w:tcW w:w="1155" w:type="dxa"/>
            <w:tcMar>
              <w:top w:w="60" w:type="dxa"/>
              <w:left w:w="120" w:type="dxa"/>
              <w:bottom w:w="30" w:type="dxa"/>
              <w:right w:w="120" w:type="dxa"/>
            </w:tcMar>
            <w:vAlign w:val="center"/>
          </w:tcPr>
          <w:p w14:paraId="2DFEAB40">
            <w:pPr>
              <w:spacing w:before="120" w:after="120" w:line="288" w:lineRule="auto"/>
              <w:jc w:val="center"/>
              <w:rPr>
                <w:rFonts w:hint="eastAsia" w:ascii="宋体" w:hAnsi="宋体" w:eastAsia="宋体"/>
                <w:sz w:val="20"/>
                <w:szCs w:val="20"/>
                <w:highlight w:val="none"/>
              </w:rPr>
            </w:pPr>
            <w:r>
              <w:rPr>
                <w:rFonts w:hint="eastAsia" w:ascii="宋体" w:hAnsi="宋体" w:eastAsia="宋体" w:cs="Arial"/>
                <w:sz w:val="20"/>
                <w:szCs w:val="20"/>
                <w:highlight w:val="none"/>
              </w:rPr>
              <w:t>轻型</w:t>
            </w:r>
            <w:r>
              <w:rPr>
                <w:rFonts w:ascii="宋体" w:hAnsi="宋体" w:eastAsia="宋体" w:cs="Arial"/>
                <w:sz w:val="20"/>
                <w:szCs w:val="20"/>
                <w:highlight w:val="none"/>
              </w:rPr>
              <w:t>厢</w:t>
            </w:r>
            <w:r>
              <w:rPr>
                <w:rFonts w:hint="eastAsia" w:ascii="宋体" w:hAnsi="宋体" w:eastAsia="宋体" w:cs="Arial"/>
                <w:sz w:val="20"/>
                <w:szCs w:val="20"/>
                <w:highlight w:val="none"/>
              </w:rPr>
              <w:t>货</w:t>
            </w:r>
          </w:p>
        </w:tc>
        <w:tc>
          <w:tcPr>
            <w:tcW w:w="1702" w:type="dxa"/>
            <w:vAlign w:val="center"/>
          </w:tcPr>
          <w:p w14:paraId="1DFC8813">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5995</w:t>
            </w:r>
            <w:r>
              <w:rPr>
                <w:rFonts w:ascii="宋体" w:hAnsi="宋体" w:eastAsia="宋体" w:cs="Arial"/>
                <w:sz w:val="20"/>
                <w:szCs w:val="20"/>
                <w:highlight w:val="none"/>
              </w:rPr>
              <w:t>×</w:t>
            </w:r>
            <w:r>
              <w:rPr>
                <w:rFonts w:hint="eastAsia" w:ascii="宋体" w:hAnsi="宋体" w:eastAsia="宋体" w:cs="Arial"/>
                <w:sz w:val="20"/>
                <w:szCs w:val="20"/>
                <w:highlight w:val="none"/>
              </w:rPr>
              <w:t>2265</w:t>
            </w:r>
            <w:r>
              <w:rPr>
                <w:rFonts w:ascii="宋体" w:hAnsi="宋体" w:eastAsia="宋体" w:cs="Arial"/>
                <w:sz w:val="20"/>
                <w:szCs w:val="20"/>
                <w:highlight w:val="none"/>
              </w:rPr>
              <w:t>×</w:t>
            </w:r>
            <w:r>
              <w:rPr>
                <w:rFonts w:hint="eastAsia" w:ascii="宋体" w:hAnsi="宋体" w:eastAsia="宋体" w:cs="Arial"/>
                <w:sz w:val="20"/>
                <w:szCs w:val="20"/>
                <w:highlight w:val="none"/>
              </w:rPr>
              <w:t>3180</w:t>
            </w:r>
          </w:p>
        </w:tc>
        <w:tc>
          <w:tcPr>
            <w:tcW w:w="997" w:type="dxa"/>
          </w:tcPr>
          <w:p w14:paraId="6AAA6CA6">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国六</w:t>
            </w:r>
          </w:p>
        </w:tc>
        <w:tc>
          <w:tcPr>
            <w:tcW w:w="1134" w:type="dxa"/>
            <w:tcMar>
              <w:top w:w="60" w:type="dxa"/>
              <w:left w:w="120" w:type="dxa"/>
              <w:bottom w:w="30" w:type="dxa"/>
              <w:right w:w="120" w:type="dxa"/>
            </w:tcMar>
            <w:vAlign w:val="center"/>
          </w:tcPr>
          <w:p w14:paraId="7BFD01DD">
            <w:pPr>
              <w:spacing w:before="120" w:after="120" w:line="288" w:lineRule="auto"/>
              <w:jc w:val="center"/>
              <w:rPr>
                <w:rFonts w:hint="eastAsia" w:ascii="宋体" w:hAnsi="宋体" w:eastAsia="宋体"/>
                <w:sz w:val="20"/>
                <w:szCs w:val="20"/>
                <w:highlight w:val="none"/>
              </w:rPr>
            </w:pPr>
            <w:r>
              <w:rPr>
                <w:rFonts w:hint="eastAsia" w:ascii="宋体" w:hAnsi="宋体" w:eastAsia="宋体" w:cs="Arial"/>
                <w:sz w:val="20"/>
                <w:szCs w:val="20"/>
                <w:highlight w:val="none"/>
              </w:rPr>
              <w:t>医疗废物</w:t>
            </w:r>
          </w:p>
        </w:tc>
        <w:tc>
          <w:tcPr>
            <w:tcW w:w="1417" w:type="dxa"/>
            <w:tcMar>
              <w:top w:w="60" w:type="dxa"/>
              <w:left w:w="120" w:type="dxa"/>
              <w:bottom w:w="30" w:type="dxa"/>
              <w:right w:w="120" w:type="dxa"/>
            </w:tcMar>
            <w:vAlign w:val="center"/>
          </w:tcPr>
          <w:p w14:paraId="343D67A2">
            <w:pPr>
              <w:spacing w:before="120" w:after="120" w:line="288" w:lineRule="auto"/>
              <w:jc w:val="center"/>
              <w:rPr>
                <w:rFonts w:hint="eastAsia" w:ascii="宋体" w:hAnsi="宋体" w:eastAsia="宋体"/>
                <w:sz w:val="18"/>
                <w:szCs w:val="18"/>
                <w:highlight w:val="none"/>
              </w:rPr>
            </w:pPr>
            <w:r>
              <w:rPr>
                <w:rFonts w:hint="eastAsia" w:ascii="宋体" w:hAnsi="宋体" w:eastAsia="宋体" w:cs="Arial"/>
                <w:sz w:val="18"/>
                <w:szCs w:val="18"/>
                <w:highlight w:val="none"/>
              </w:rPr>
              <w:t>年</w:t>
            </w:r>
            <w:r>
              <w:rPr>
                <w:rFonts w:ascii="宋体" w:hAnsi="宋体" w:eastAsia="宋体" w:cs="Arial"/>
                <w:sz w:val="18"/>
                <w:szCs w:val="18"/>
                <w:highlight w:val="none"/>
              </w:rPr>
              <w:t>审</w:t>
            </w:r>
            <w:r>
              <w:rPr>
                <w:rFonts w:hint="eastAsia" w:ascii="宋体" w:hAnsi="宋体" w:eastAsia="宋体" w:cs="Arial"/>
                <w:sz w:val="18"/>
                <w:szCs w:val="18"/>
                <w:highlight w:val="none"/>
              </w:rPr>
              <w:t>、综合审</w:t>
            </w:r>
          </w:p>
        </w:tc>
        <w:tc>
          <w:tcPr>
            <w:tcW w:w="1276" w:type="dxa"/>
            <w:tcMar>
              <w:top w:w="60" w:type="dxa"/>
              <w:left w:w="120" w:type="dxa"/>
              <w:bottom w:w="30" w:type="dxa"/>
              <w:right w:w="120" w:type="dxa"/>
            </w:tcMar>
            <w:vAlign w:val="center"/>
          </w:tcPr>
          <w:p w14:paraId="32BD7E81">
            <w:pPr>
              <w:spacing w:before="120" w:after="120" w:line="288" w:lineRule="auto"/>
              <w:jc w:val="center"/>
              <w:rPr>
                <w:rFonts w:hint="eastAsia" w:ascii="宋体" w:hAnsi="宋体" w:eastAsia="宋体" w:cs="Arial"/>
                <w:szCs w:val="22"/>
                <w:highlight w:val="none"/>
              </w:rPr>
            </w:pPr>
            <w:r>
              <w:rPr>
                <w:rFonts w:hint="eastAsia" w:ascii="宋体" w:hAnsi="宋体" w:eastAsia="宋体" w:cs="Arial"/>
                <w:szCs w:val="22"/>
                <w:highlight w:val="none"/>
              </w:rPr>
              <w:t>16</w:t>
            </w:r>
          </w:p>
        </w:tc>
      </w:tr>
      <w:bookmarkEnd w:id="6"/>
      <w:tr w14:paraId="06DB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trPr>
        <w:tc>
          <w:tcPr>
            <w:tcW w:w="675" w:type="dxa"/>
            <w:tcMar>
              <w:top w:w="60" w:type="dxa"/>
              <w:left w:w="120" w:type="dxa"/>
              <w:bottom w:w="30" w:type="dxa"/>
              <w:right w:w="120" w:type="dxa"/>
            </w:tcMar>
            <w:vAlign w:val="center"/>
          </w:tcPr>
          <w:p w14:paraId="7A6F1B16">
            <w:pPr>
              <w:spacing w:before="120" w:after="120" w:line="288" w:lineRule="auto"/>
              <w:jc w:val="center"/>
              <w:rPr>
                <w:rFonts w:hint="eastAsia" w:ascii="宋体" w:hAnsi="宋体" w:eastAsia="宋体" w:cs="Arial"/>
                <w:highlight w:val="none"/>
              </w:rPr>
            </w:pPr>
            <w:r>
              <w:rPr>
                <w:rFonts w:hint="eastAsia" w:ascii="宋体" w:hAnsi="宋体" w:eastAsia="宋体" w:cs="Arial"/>
                <w:highlight w:val="none"/>
              </w:rPr>
              <w:t>2</w:t>
            </w:r>
          </w:p>
        </w:tc>
        <w:tc>
          <w:tcPr>
            <w:tcW w:w="995" w:type="dxa"/>
            <w:tcMar>
              <w:top w:w="60" w:type="dxa"/>
              <w:left w:w="120" w:type="dxa"/>
              <w:bottom w:w="30" w:type="dxa"/>
              <w:right w:w="120" w:type="dxa"/>
            </w:tcMar>
            <w:vAlign w:val="center"/>
          </w:tcPr>
          <w:p w14:paraId="136F1A60">
            <w:pPr>
              <w:spacing w:before="120" w:after="120" w:line="288" w:lineRule="auto"/>
              <w:jc w:val="center"/>
              <w:rPr>
                <w:rFonts w:hint="eastAsia" w:ascii="宋体" w:hAnsi="宋体" w:eastAsia="宋体"/>
                <w:sz w:val="20"/>
                <w:szCs w:val="20"/>
                <w:highlight w:val="none"/>
              </w:rPr>
            </w:pPr>
            <w:r>
              <w:rPr>
                <w:rFonts w:hint="eastAsia" w:ascii="宋体" w:hAnsi="宋体" w:eastAsia="宋体"/>
                <w:sz w:val="20"/>
                <w:szCs w:val="20"/>
                <w:highlight w:val="none"/>
              </w:rPr>
              <w:t>江铃江</w:t>
            </w:r>
            <w:r>
              <w:rPr>
                <w:rFonts w:hint="eastAsia" w:ascii="宋体" w:hAnsi="宋体" w:eastAsia="宋体"/>
                <w:sz w:val="20"/>
                <w:szCs w:val="20"/>
                <w:highlight w:val="none"/>
                <w:lang w:val="en-US" w:eastAsia="zh-CN"/>
              </w:rPr>
              <w:t>特</w:t>
            </w:r>
          </w:p>
        </w:tc>
        <w:tc>
          <w:tcPr>
            <w:tcW w:w="1155" w:type="dxa"/>
            <w:tcMar>
              <w:top w:w="60" w:type="dxa"/>
              <w:left w:w="120" w:type="dxa"/>
              <w:bottom w:w="30" w:type="dxa"/>
              <w:right w:w="120" w:type="dxa"/>
            </w:tcMar>
            <w:vAlign w:val="center"/>
          </w:tcPr>
          <w:p w14:paraId="28538043">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轻型</w:t>
            </w:r>
            <w:r>
              <w:rPr>
                <w:rFonts w:ascii="宋体" w:hAnsi="宋体" w:eastAsia="宋体" w:cs="Arial"/>
                <w:sz w:val="20"/>
                <w:szCs w:val="20"/>
                <w:highlight w:val="none"/>
              </w:rPr>
              <w:t>厢</w:t>
            </w:r>
            <w:r>
              <w:rPr>
                <w:rFonts w:hint="eastAsia" w:ascii="宋体" w:hAnsi="宋体" w:eastAsia="宋体" w:cs="Arial"/>
                <w:sz w:val="20"/>
                <w:szCs w:val="20"/>
                <w:highlight w:val="none"/>
              </w:rPr>
              <w:t>货</w:t>
            </w:r>
            <w:r>
              <w:rPr>
                <w:rFonts w:ascii="宋体" w:hAnsi="宋体" w:eastAsia="宋体" w:cs="Arial"/>
                <w:sz w:val="20"/>
                <w:szCs w:val="20"/>
                <w:highlight w:val="none"/>
              </w:rPr>
              <w:t>车</w:t>
            </w:r>
          </w:p>
        </w:tc>
        <w:tc>
          <w:tcPr>
            <w:tcW w:w="1702" w:type="dxa"/>
            <w:vAlign w:val="center"/>
          </w:tcPr>
          <w:p w14:paraId="266C4456">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5985</w:t>
            </w:r>
            <w:r>
              <w:rPr>
                <w:rFonts w:ascii="宋体" w:hAnsi="宋体" w:eastAsia="宋体" w:cs="Arial"/>
                <w:sz w:val="20"/>
                <w:szCs w:val="20"/>
                <w:highlight w:val="none"/>
              </w:rPr>
              <w:t>×</w:t>
            </w:r>
            <w:r>
              <w:rPr>
                <w:rFonts w:hint="eastAsia" w:ascii="宋体" w:hAnsi="宋体" w:eastAsia="宋体" w:cs="Arial"/>
                <w:sz w:val="20"/>
                <w:szCs w:val="20"/>
                <w:highlight w:val="none"/>
              </w:rPr>
              <w:t>2050</w:t>
            </w:r>
            <w:r>
              <w:rPr>
                <w:rFonts w:ascii="宋体" w:hAnsi="宋体" w:eastAsia="宋体" w:cs="Arial"/>
                <w:sz w:val="20"/>
                <w:szCs w:val="20"/>
                <w:highlight w:val="none"/>
              </w:rPr>
              <w:t>×</w:t>
            </w:r>
            <w:r>
              <w:rPr>
                <w:rFonts w:hint="eastAsia" w:ascii="宋体" w:hAnsi="宋体" w:eastAsia="宋体" w:cs="Arial"/>
                <w:sz w:val="20"/>
                <w:szCs w:val="20"/>
                <w:highlight w:val="none"/>
              </w:rPr>
              <w:t>2890</w:t>
            </w:r>
          </w:p>
        </w:tc>
        <w:tc>
          <w:tcPr>
            <w:tcW w:w="997" w:type="dxa"/>
          </w:tcPr>
          <w:p w14:paraId="3A1856A5">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国六</w:t>
            </w:r>
          </w:p>
        </w:tc>
        <w:tc>
          <w:tcPr>
            <w:tcW w:w="1134" w:type="dxa"/>
            <w:tcMar>
              <w:top w:w="60" w:type="dxa"/>
              <w:left w:w="120" w:type="dxa"/>
              <w:bottom w:w="30" w:type="dxa"/>
              <w:right w:w="120" w:type="dxa"/>
            </w:tcMar>
            <w:vAlign w:val="center"/>
          </w:tcPr>
          <w:p w14:paraId="22866159">
            <w:pPr>
              <w:spacing w:before="120" w:after="120" w:line="288" w:lineRule="auto"/>
              <w:jc w:val="center"/>
              <w:rPr>
                <w:rFonts w:hint="eastAsia" w:ascii="宋体" w:hAnsi="宋体" w:eastAsia="宋体" w:cs="Arial"/>
                <w:sz w:val="20"/>
                <w:szCs w:val="20"/>
                <w:highlight w:val="none"/>
              </w:rPr>
            </w:pPr>
            <w:r>
              <w:rPr>
                <w:rFonts w:hint="eastAsia" w:ascii="宋体" w:hAnsi="宋体" w:eastAsia="宋体" w:cs="Arial"/>
                <w:sz w:val="20"/>
                <w:szCs w:val="20"/>
                <w:highlight w:val="none"/>
              </w:rPr>
              <w:t>医疗废物</w:t>
            </w:r>
          </w:p>
        </w:tc>
        <w:tc>
          <w:tcPr>
            <w:tcW w:w="1417" w:type="dxa"/>
            <w:tcMar>
              <w:top w:w="60" w:type="dxa"/>
              <w:left w:w="120" w:type="dxa"/>
              <w:bottom w:w="30" w:type="dxa"/>
              <w:right w:w="120" w:type="dxa"/>
            </w:tcMar>
            <w:vAlign w:val="center"/>
          </w:tcPr>
          <w:p w14:paraId="18515F76">
            <w:pPr>
              <w:spacing w:before="120" w:after="120" w:line="288" w:lineRule="auto"/>
              <w:jc w:val="center"/>
              <w:rPr>
                <w:rFonts w:hint="eastAsia" w:ascii="宋体" w:hAnsi="宋体" w:eastAsia="宋体" w:cs="Arial"/>
                <w:sz w:val="18"/>
                <w:szCs w:val="18"/>
                <w:highlight w:val="none"/>
              </w:rPr>
            </w:pPr>
            <w:r>
              <w:rPr>
                <w:rFonts w:hint="eastAsia" w:ascii="宋体" w:hAnsi="宋体" w:eastAsia="宋体" w:cs="Arial"/>
                <w:sz w:val="18"/>
                <w:szCs w:val="18"/>
                <w:highlight w:val="none"/>
              </w:rPr>
              <w:t>综合审</w:t>
            </w:r>
          </w:p>
        </w:tc>
        <w:tc>
          <w:tcPr>
            <w:tcW w:w="1276" w:type="dxa"/>
            <w:tcMar>
              <w:top w:w="60" w:type="dxa"/>
              <w:left w:w="120" w:type="dxa"/>
              <w:bottom w:w="30" w:type="dxa"/>
              <w:right w:w="120" w:type="dxa"/>
            </w:tcMar>
            <w:vAlign w:val="center"/>
          </w:tcPr>
          <w:p w14:paraId="04C7FA54">
            <w:pPr>
              <w:spacing w:before="120" w:after="120" w:line="288" w:lineRule="auto"/>
              <w:jc w:val="center"/>
              <w:rPr>
                <w:rFonts w:hint="eastAsia" w:ascii="宋体" w:hAnsi="宋体" w:eastAsia="宋体" w:cs="Arial"/>
                <w:szCs w:val="22"/>
                <w:highlight w:val="none"/>
              </w:rPr>
            </w:pPr>
            <w:r>
              <w:rPr>
                <w:rFonts w:hint="eastAsia" w:ascii="宋体" w:hAnsi="宋体" w:eastAsia="宋体" w:cs="Arial"/>
                <w:szCs w:val="22"/>
                <w:highlight w:val="none"/>
              </w:rPr>
              <w:t>2</w:t>
            </w:r>
          </w:p>
        </w:tc>
      </w:tr>
      <w:tr w14:paraId="330A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trPr>
        <w:tc>
          <w:tcPr>
            <w:tcW w:w="675" w:type="dxa"/>
            <w:tcMar>
              <w:top w:w="60" w:type="dxa"/>
              <w:left w:w="120" w:type="dxa"/>
              <w:bottom w:w="30" w:type="dxa"/>
              <w:right w:w="120" w:type="dxa"/>
            </w:tcMar>
            <w:vAlign w:val="center"/>
          </w:tcPr>
          <w:p w14:paraId="5175CAAF">
            <w:pPr>
              <w:spacing w:before="120" w:after="120" w:line="288" w:lineRule="auto"/>
              <w:jc w:val="center"/>
              <w:rPr>
                <w:rFonts w:hint="eastAsia" w:ascii="宋体" w:hAnsi="宋体" w:eastAsia="宋体" w:cs="Arial"/>
                <w:highlight w:val="none"/>
              </w:rPr>
            </w:pPr>
            <w:r>
              <w:rPr>
                <w:rFonts w:ascii="宋体" w:hAnsi="宋体" w:eastAsia="宋体" w:cs="Arial"/>
                <w:b/>
                <w:bCs/>
                <w:highlight w:val="none"/>
              </w:rPr>
              <w:t>合计</w:t>
            </w:r>
          </w:p>
        </w:tc>
        <w:tc>
          <w:tcPr>
            <w:tcW w:w="8676" w:type="dxa"/>
            <w:gridSpan w:val="7"/>
            <w:tcMar>
              <w:top w:w="60" w:type="dxa"/>
              <w:left w:w="120" w:type="dxa"/>
              <w:bottom w:w="30" w:type="dxa"/>
              <w:right w:w="120" w:type="dxa"/>
            </w:tcMar>
            <w:vAlign w:val="center"/>
          </w:tcPr>
          <w:p w14:paraId="158F3C54">
            <w:pPr>
              <w:spacing w:before="120" w:after="120" w:line="288" w:lineRule="auto"/>
              <w:jc w:val="center"/>
              <w:rPr>
                <w:rFonts w:hint="eastAsia" w:ascii="宋体" w:hAnsi="宋体" w:eastAsia="宋体" w:cs="Arial"/>
                <w:szCs w:val="22"/>
                <w:highlight w:val="none"/>
              </w:rPr>
            </w:pPr>
            <w:r>
              <w:rPr>
                <w:rFonts w:hint="eastAsia" w:ascii="宋体" w:hAnsi="宋体" w:eastAsia="宋体" w:cs="Arial"/>
                <w:szCs w:val="22"/>
                <w:highlight w:val="none"/>
              </w:rPr>
              <w:t>共计18台</w:t>
            </w:r>
          </w:p>
        </w:tc>
      </w:tr>
    </w:tbl>
    <w:p w14:paraId="731A1916">
      <w:pPr>
        <w:spacing w:before="380" w:after="140" w:line="288" w:lineRule="auto"/>
        <w:ind w:left="-141" w:leftChars="-65" w:hanging="2"/>
        <w:outlineLvl w:val="0"/>
        <w:rPr>
          <w:rFonts w:hint="eastAsia" w:ascii="宋体" w:hAnsi="宋体" w:eastAsia="宋体"/>
          <w:sz w:val="30"/>
          <w:szCs w:val="30"/>
          <w:highlight w:val="none"/>
        </w:rPr>
      </w:pPr>
      <w:bookmarkStart w:id="7" w:name="heading_2"/>
      <w:r>
        <w:rPr>
          <w:rFonts w:ascii="宋体" w:hAnsi="宋体" w:eastAsia="宋体" w:cs="Arial"/>
          <w:b/>
          <w:sz w:val="30"/>
          <w:szCs w:val="30"/>
          <w:highlight w:val="none"/>
        </w:rPr>
        <w:t>二、供应商</w:t>
      </w:r>
      <w:r>
        <w:rPr>
          <w:rFonts w:hint="eastAsia" w:ascii="宋体" w:hAnsi="宋体" w:eastAsia="宋体" w:cs="Arial"/>
          <w:b/>
          <w:sz w:val="30"/>
          <w:szCs w:val="30"/>
          <w:highlight w:val="none"/>
        </w:rPr>
        <w:t>资质</w:t>
      </w:r>
      <w:r>
        <w:rPr>
          <w:rFonts w:ascii="宋体" w:hAnsi="宋体" w:eastAsia="宋体" w:cs="Arial"/>
          <w:b/>
          <w:sz w:val="30"/>
          <w:szCs w:val="30"/>
          <w:highlight w:val="none"/>
        </w:rPr>
        <w:t>要求</w:t>
      </w:r>
      <w:bookmarkEnd w:id="7"/>
    </w:p>
    <w:p w14:paraId="4B414818">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1. 合法独立法人，具备营业执照、</w:t>
      </w:r>
      <w:r>
        <w:rPr>
          <w:rFonts w:hint="eastAsia" w:ascii="宋体" w:hAnsi="宋体" w:eastAsia="宋体" w:cs="Arial"/>
          <w:sz w:val="24"/>
          <w:highlight w:val="none"/>
        </w:rPr>
        <w:t>并在</w:t>
      </w:r>
      <w:r>
        <w:rPr>
          <w:rFonts w:ascii="宋体" w:hAnsi="宋体" w:eastAsia="宋体" w:cs="Arial"/>
          <w:sz w:val="24"/>
          <w:highlight w:val="none"/>
        </w:rPr>
        <w:t>交通运输</w:t>
      </w:r>
      <w:r>
        <w:rPr>
          <w:rFonts w:hint="eastAsia" w:ascii="宋体" w:hAnsi="宋体" w:eastAsia="宋体" w:cs="Arial"/>
          <w:sz w:val="24"/>
          <w:highlight w:val="none"/>
        </w:rPr>
        <w:t>管理</w:t>
      </w:r>
      <w:r>
        <w:rPr>
          <w:rFonts w:ascii="宋体" w:hAnsi="宋体" w:eastAsia="宋体" w:cs="Arial"/>
          <w:sz w:val="24"/>
          <w:highlight w:val="none"/>
        </w:rPr>
        <w:t>部门危运车辆</w:t>
      </w:r>
      <w:r>
        <w:rPr>
          <w:rFonts w:hint="eastAsia" w:ascii="宋体" w:hAnsi="宋体" w:eastAsia="宋体" w:cs="Arial"/>
          <w:sz w:val="24"/>
          <w:highlight w:val="none"/>
        </w:rPr>
        <w:t>维修</w:t>
      </w:r>
      <w:r>
        <w:rPr>
          <w:rFonts w:ascii="宋体" w:hAnsi="宋体" w:eastAsia="宋体" w:cs="Arial"/>
          <w:sz w:val="24"/>
          <w:highlight w:val="none"/>
        </w:rPr>
        <w:t>资质备案；</w:t>
      </w:r>
    </w:p>
    <w:p w14:paraId="2277A3B3">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2. 具备厢式危运车辆</w:t>
      </w:r>
      <w:r>
        <w:rPr>
          <w:rFonts w:hint="eastAsia" w:ascii="宋体" w:hAnsi="宋体" w:eastAsia="宋体" w:cs="Arial"/>
          <w:sz w:val="24"/>
          <w:highlight w:val="none"/>
        </w:rPr>
        <w:t>维保</w:t>
      </w:r>
      <w:r>
        <w:rPr>
          <w:rFonts w:ascii="宋体" w:hAnsi="宋体" w:eastAsia="宋体" w:cs="Arial"/>
          <w:sz w:val="24"/>
          <w:highlight w:val="none"/>
        </w:rPr>
        <w:t>审</w:t>
      </w:r>
      <w:r>
        <w:rPr>
          <w:rFonts w:hint="eastAsia" w:ascii="宋体" w:hAnsi="宋体" w:eastAsia="宋体" w:cs="Arial"/>
          <w:sz w:val="24"/>
          <w:highlight w:val="none"/>
        </w:rPr>
        <w:t>验</w:t>
      </w:r>
      <w:r>
        <w:rPr>
          <w:rFonts w:ascii="宋体" w:hAnsi="宋体" w:eastAsia="宋体" w:cs="Arial"/>
          <w:sz w:val="24"/>
          <w:highlight w:val="none"/>
        </w:rPr>
        <w:t>服务经验，可出具</w:t>
      </w:r>
      <w:r>
        <w:rPr>
          <w:rFonts w:hint="eastAsia" w:ascii="宋体" w:hAnsi="宋体" w:eastAsia="宋体" w:cs="Arial"/>
          <w:sz w:val="24"/>
          <w:highlight w:val="none"/>
        </w:rPr>
        <w:t>监管部门</w:t>
      </w:r>
      <w:r>
        <w:rPr>
          <w:rFonts w:ascii="宋体" w:hAnsi="宋体" w:eastAsia="宋体" w:cs="Arial"/>
          <w:sz w:val="24"/>
          <w:highlight w:val="none"/>
        </w:rPr>
        <w:t>认可审验报告、合规台账；</w:t>
      </w:r>
    </w:p>
    <w:p w14:paraId="62CFE1D7">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3.</w:t>
      </w:r>
      <w:r>
        <w:rPr>
          <w:rFonts w:hint="eastAsia" w:ascii="宋体" w:hAnsi="宋体" w:eastAsia="宋体" w:cs="Arial"/>
          <w:sz w:val="24"/>
          <w:highlight w:val="none"/>
        </w:rPr>
        <w:t>未被“信用中国”网站（www.creditchina.gov.cn）列入失信被执行人，须提供网站完整截图。</w:t>
      </w:r>
      <w:r>
        <w:rPr>
          <w:rFonts w:ascii="宋体" w:hAnsi="宋体" w:eastAsia="宋体" w:cs="Arial"/>
          <w:sz w:val="24"/>
          <w:highlight w:val="none"/>
        </w:rPr>
        <w:t xml:space="preserve"> ；</w:t>
      </w:r>
    </w:p>
    <w:p w14:paraId="5C17F0D0">
      <w:pPr>
        <w:adjustRightInd w:val="0"/>
        <w:snapToGrid w:val="0"/>
        <w:spacing w:before="120" w:after="120" w:line="360" w:lineRule="auto"/>
        <w:ind w:firstLine="480" w:firstLineChars="200"/>
        <w:rPr>
          <w:rFonts w:hint="eastAsia" w:ascii="宋体" w:hAnsi="宋体" w:eastAsia="宋体" w:cs="Arial"/>
          <w:sz w:val="24"/>
          <w:highlight w:val="none"/>
        </w:rPr>
      </w:pPr>
      <w:r>
        <w:rPr>
          <w:rFonts w:hint="eastAsia" w:ascii="宋体" w:hAnsi="宋体" w:eastAsia="宋体" w:cs="Arial"/>
          <w:sz w:val="24"/>
          <w:highlight w:val="none"/>
        </w:rPr>
        <w:t>4.限深圳市范围内具备危险货物运输车辆整车维修且在深圳市交通运输局及下辖管理局备案的维修企业。</w:t>
      </w:r>
    </w:p>
    <w:p w14:paraId="1D7E3122">
      <w:pPr>
        <w:adjustRightInd w:val="0"/>
        <w:snapToGrid w:val="0"/>
        <w:spacing w:before="380" w:after="140" w:line="360" w:lineRule="auto"/>
        <w:outlineLvl w:val="0"/>
        <w:rPr>
          <w:rFonts w:hint="eastAsia" w:ascii="宋体" w:hAnsi="宋体" w:eastAsia="宋体" w:cs="Arial"/>
          <w:b/>
          <w:sz w:val="30"/>
          <w:szCs w:val="30"/>
          <w:highlight w:val="none"/>
        </w:rPr>
      </w:pPr>
      <w:r>
        <w:rPr>
          <w:rFonts w:hint="eastAsia" w:ascii="宋体" w:hAnsi="宋体" w:eastAsia="宋体" w:cs="Arial"/>
          <w:b/>
          <w:sz w:val="30"/>
          <w:szCs w:val="30"/>
          <w:highlight w:val="none"/>
        </w:rPr>
        <w:t>三、</w:t>
      </w:r>
      <w:r>
        <w:rPr>
          <w:rFonts w:ascii="宋体" w:hAnsi="宋体" w:eastAsia="宋体" w:cs="Arial"/>
          <w:b/>
          <w:sz w:val="30"/>
          <w:szCs w:val="30"/>
          <w:highlight w:val="none"/>
        </w:rPr>
        <w:t>服务标准及责任</w:t>
      </w:r>
    </w:p>
    <w:p w14:paraId="0D2FA977">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1. 执行《道路危险货物运输管理规定》</w:t>
      </w:r>
      <w:r>
        <w:rPr>
          <w:rFonts w:hint="eastAsia" w:ascii="宋体" w:hAnsi="宋体" w:eastAsia="宋体" w:cs="Arial"/>
          <w:sz w:val="24"/>
          <w:highlight w:val="none"/>
        </w:rPr>
        <w:t>及</w:t>
      </w:r>
      <w:r>
        <w:rPr>
          <w:rFonts w:ascii="宋体" w:hAnsi="宋体" w:eastAsia="宋体" w:cs="Arial"/>
          <w:sz w:val="24"/>
          <w:highlight w:val="none"/>
        </w:rPr>
        <w:t>GB/T 18344-2025</w:t>
      </w:r>
      <w:r>
        <w:rPr>
          <w:rFonts w:hint="eastAsia" w:ascii="宋体" w:hAnsi="宋体" w:eastAsia="宋体"/>
          <w:sz w:val="24"/>
          <w:highlight w:val="none"/>
        </w:rPr>
        <w:t>相关要求；</w:t>
      </w:r>
    </w:p>
    <w:p w14:paraId="7884F1F9">
      <w:pPr>
        <w:spacing w:before="120" w:after="120" w:line="288" w:lineRule="auto"/>
        <w:ind w:firstLine="480" w:firstLineChars="200"/>
        <w:rPr>
          <w:rFonts w:hint="eastAsia" w:ascii="宋体" w:hAnsi="宋体" w:eastAsia="宋体"/>
          <w:sz w:val="24"/>
          <w:highlight w:val="none"/>
        </w:rPr>
      </w:pPr>
      <w:r>
        <w:rPr>
          <w:rFonts w:ascii="宋体" w:hAnsi="宋体" w:eastAsia="宋体" w:cs="Arial"/>
          <w:sz w:val="24"/>
          <w:highlight w:val="none"/>
        </w:rPr>
        <w:t>2. 保证车辆一次性审验通过，免费隐患整改、免费二次复检；</w:t>
      </w:r>
    </w:p>
    <w:p w14:paraId="1F43E30E">
      <w:pPr>
        <w:adjustRightInd w:val="0"/>
        <w:snapToGrid w:val="0"/>
        <w:spacing w:before="120" w:after="120" w:line="360" w:lineRule="auto"/>
        <w:ind w:firstLine="480" w:firstLineChars="200"/>
        <w:rPr>
          <w:rFonts w:hint="eastAsia" w:ascii="宋体" w:hAnsi="宋体" w:eastAsia="宋体"/>
          <w:sz w:val="24"/>
          <w:highlight w:val="none"/>
        </w:rPr>
      </w:pPr>
      <w:r>
        <w:rPr>
          <w:rFonts w:ascii="宋体" w:hAnsi="宋体" w:eastAsia="宋体" w:cs="Arial"/>
          <w:sz w:val="24"/>
          <w:highlight w:val="none"/>
        </w:rPr>
        <w:t>3. 因服务商资料错误、检测失误导致罚款、停运，</w:t>
      </w:r>
      <w:r>
        <w:rPr>
          <w:rFonts w:hint="eastAsia" w:ascii="宋体" w:hAnsi="宋体" w:eastAsia="宋体" w:cs="Arial"/>
          <w:sz w:val="24"/>
          <w:highlight w:val="none"/>
        </w:rPr>
        <w:t>保养不当车辆故障</w:t>
      </w:r>
      <w:r>
        <w:rPr>
          <w:rFonts w:ascii="宋体" w:hAnsi="宋体" w:eastAsia="宋体" w:cs="Arial"/>
          <w:sz w:val="24"/>
          <w:highlight w:val="none"/>
        </w:rPr>
        <w:t>全部损失由乙方承担；</w:t>
      </w:r>
    </w:p>
    <w:p w14:paraId="0A6A64D5">
      <w:pPr>
        <w:spacing w:before="120" w:after="120" w:line="288" w:lineRule="auto"/>
        <w:ind w:firstLine="480" w:firstLineChars="200"/>
        <w:rPr>
          <w:rFonts w:ascii="宋体" w:hAnsi="宋体" w:eastAsia="宋体" w:cs="Arial"/>
          <w:sz w:val="24"/>
          <w:highlight w:val="none"/>
        </w:rPr>
      </w:pPr>
      <w:r>
        <w:rPr>
          <w:rFonts w:ascii="宋体" w:hAnsi="宋体" w:eastAsia="宋体" w:cs="Arial"/>
          <w:sz w:val="24"/>
          <w:highlight w:val="none"/>
        </w:rPr>
        <w:t>4. 交付：审验回执、盖章检测报告、纸质+电子安全台账。</w:t>
      </w:r>
    </w:p>
    <w:p w14:paraId="18EED778">
      <w:pPr>
        <w:spacing w:before="120" w:after="120" w:line="288" w:lineRule="auto"/>
        <w:ind w:firstLine="480" w:firstLineChars="200"/>
        <w:rPr>
          <w:rFonts w:hint="eastAsia" w:ascii="宋体" w:hAnsi="宋体" w:eastAsia="宋体" w:cs="Arial"/>
          <w:sz w:val="24"/>
          <w:highlight w:val="none"/>
        </w:rPr>
      </w:pPr>
      <w:r>
        <w:rPr>
          <w:rFonts w:hint="eastAsia" w:ascii="宋体" w:hAnsi="宋体" w:eastAsia="宋体" w:cs="Arial"/>
          <w:sz w:val="24"/>
          <w:highlight w:val="none"/>
          <w:lang w:val="en-US" w:eastAsia="zh-CN"/>
        </w:rPr>
        <w:t>5.服务响应时间：签订合同后5个工作日内</w:t>
      </w:r>
    </w:p>
    <w:p w14:paraId="2EAB0391">
      <w:pPr>
        <w:spacing w:before="380" w:after="140" w:line="288" w:lineRule="auto"/>
        <w:outlineLvl w:val="0"/>
        <w:rPr>
          <w:rFonts w:hint="eastAsia" w:ascii="宋体" w:hAnsi="宋体" w:eastAsia="宋体" w:cs="Arial"/>
          <w:b/>
          <w:sz w:val="30"/>
          <w:szCs w:val="30"/>
          <w:highlight w:val="none"/>
        </w:rPr>
      </w:pPr>
      <w:bookmarkStart w:id="8" w:name="heading_3"/>
      <w:r>
        <w:rPr>
          <w:rFonts w:hint="eastAsia" w:ascii="宋体" w:hAnsi="宋体" w:eastAsia="宋体" w:cs="Arial"/>
          <w:b/>
          <w:sz w:val="30"/>
          <w:szCs w:val="30"/>
          <w:highlight w:val="none"/>
        </w:rPr>
        <w:t>四</w:t>
      </w:r>
      <w:r>
        <w:rPr>
          <w:rFonts w:ascii="宋体" w:hAnsi="宋体" w:eastAsia="宋体" w:cs="Arial"/>
          <w:b/>
          <w:sz w:val="30"/>
          <w:szCs w:val="30"/>
          <w:highlight w:val="none"/>
        </w:rPr>
        <w:t>、报价要求</w:t>
      </w:r>
      <w:bookmarkEnd w:id="8"/>
    </w:p>
    <w:p w14:paraId="71B49063">
      <w:pPr>
        <w:pStyle w:val="3"/>
        <w:numPr>
          <w:ilvl w:val="0"/>
          <w:numId w:val="1"/>
        </w:numPr>
        <w:spacing w:before="0" w:after="0" w:line="360" w:lineRule="auto"/>
        <w:ind w:hanging="339"/>
        <w:rPr>
          <w:rStyle w:val="9"/>
          <w:rFonts w:hint="eastAsia" w:ascii="宋体" w:hAnsi="宋体" w:eastAsia="宋体" w:cs="仿宋"/>
          <w:b/>
          <w:color w:val="000000"/>
          <w:sz w:val="24"/>
          <w:szCs w:val="24"/>
          <w:highlight w:val="none"/>
        </w:rPr>
      </w:pPr>
      <w:r>
        <w:rPr>
          <w:rStyle w:val="9"/>
          <w:rFonts w:hint="eastAsia" w:ascii="宋体" w:hAnsi="宋体" w:eastAsia="宋体" w:cs="仿宋"/>
          <w:b/>
          <w:color w:val="000000"/>
          <w:sz w:val="24"/>
          <w:szCs w:val="24"/>
          <w:highlight w:val="none"/>
        </w:rPr>
        <w:t>、报价组成文件</w:t>
      </w:r>
    </w:p>
    <w:p w14:paraId="37142771">
      <w:pPr>
        <w:pStyle w:val="3"/>
        <w:tabs>
          <w:tab w:val="left" w:pos="360"/>
        </w:tabs>
        <w:adjustRightInd w:val="0"/>
        <w:snapToGrid w:val="0"/>
        <w:spacing w:before="0" w:after="0" w:line="360" w:lineRule="auto"/>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1.营业执照复印件;</w:t>
      </w:r>
    </w:p>
    <w:p w14:paraId="45ACE306">
      <w:pPr>
        <w:pStyle w:val="3"/>
        <w:adjustRightInd w:val="0"/>
        <w:snapToGrid w:val="0"/>
        <w:spacing w:before="0" w:after="0" w:line="360" w:lineRule="auto"/>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2.资质证明复印件;</w:t>
      </w:r>
    </w:p>
    <w:p w14:paraId="2374DA23">
      <w:pPr>
        <w:ind w:firstLine="480" w:firstLineChars="200"/>
        <w:rPr>
          <w:rFonts w:hint="eastAsia" w:eastAsia="宋体"/>
          <w:b/>
          <w:bCs/>
          <w:highlight w:val="none"/>
          <w:lang w:val="en-US" w:eastAsia="zh-CN"/>
        </w:rPr>
      </w:pPr>
      <w:r>
        <w:rPr>
          <w:rStyle w:val="9"/>
          <w:rFonts w:hint="eastAsia" w:ascii="宋体" w:hAnsi="宋体" w:eastAsia="宋体" w:cs="仿宋"/>
          <w:b w:val="0"/>
          <w:bCs w:val="0"/>
          <w:color w:val="000000"/>
          <w:sz w:val="24"/>
          <w:szCs w:val="24"/>
          <w:highlight w:val="none"/>
          <w:lang w:val="en-US" w:eastAsia="zh-CN"/>
        </w:rPr>
        <w:t>3.</w:t>
      </w:r>
      <w:r>
        <w:rPr>
          <w:rFonts w:hint="eastAsia" w:ascii="宋体" w:hAnsi="宋体" w:eastAsia="宋体" w:cs="Arial"/>
          <w:sz w:val="24"/>
          <w:highlight w:val="none"/>
        </w:rPr>
        <w:t>未被“信用中国”网站（www.creditchina.gov.cn）列入失信被执行人，须提供网站完整截图</w:t>
      </w:r>
      <w:r>
        <w:rPr>
          <w:rFonts w:hint="eastAsia" w:ascii="宋体" w:hAnsi="宋体" w:eastAsia="宋体" w:cs="Arial"/>
          <w:sz w:val="24"/>
          <w:highlight w:val="none"/>
          <w:lang w:eastAsia="zh-CN"/>
        </w:rPr>
        <w:t>。</w:t>
      </w:r>
    </w:p>
    <w:p w14:paraId="27BFBB95">
      <w:pPr>
        <w:pStyle w:val="3"/>
        <w:adjustRightInd w:val="0"/>
        <w:snapToGrid w:val="0"/>
        <w:spacing w:before="0" w:after="0" w:line="360" w:lineRule="auto"/>
        <w:ind w:firstLine="480" w:firstLineChars="200"/>
        <w:rPr>
          <w:rFonts w:hint="eastAsia"/>
          <w:b/>
          <w:bCs/>
          <w:highlight w:val="none"/>
        </w:rPr>
      </w:pPr>
      <w:r>
        <w:rPr>
          <w:rStyle w:val="9"/>
          <w:rFonts w:hint="eastAsia" w:ascii="宋体" w:hAnsi="宋体" w:eastAsia="宋体" w:cs="仿宋"/>
          <w:b w:val="0"/>
          <w:bCs/>
          <w:color w:val="000000"/>
          <w:kern w:val="0"/>
          <w:sz w:val="24"/>
          <w:highlight w:val="none"/>
          <w:lang w:val="en-US" w:eastAsia="zh-CN"/>
          <w14:ligatures w14:val="none"/>
        </w:rPr>
        <w:t>4.</w:t>
      </w:r>
      <w:r>
        <w:rPr>
          <w:rStyle w:val="9"/>
          <w:rFonts w:ascii="宋体" w:hAnsi="宋体" w:eastAsia="宋体" w:cs="仿宋"/>
          <w:b w:val="0"/>
          <w:bCs/>
          <w:color w:val="000000"/>
          <w:kern w:val="0"/>
          <w:sz w:val="24"/>
          <w:highlight w:val="none"/>
          <w14:ligatures w14:val="none"/>
        </w:rPr>
        <w:t>.报价函。</w:t>
      </w:r>
    </w:p>
    <w:p w14:paraId="18964BC8">
      <w:pPr>
        <w:pStyle w:val="3"/>
        <w:adjustRightInd w:val="0"/>
        <w:snapToGrid w:val="0"/>
        <w:spacing w:before="0" w:after="0" w:line="360" w:lineRule="auto"/>
        <w:ind w:firstLine="720" w:firstLineChars="300"/>
        <w:rPr>
          <w:rStyle w:val="9"/>
          <w:rFonts w:hint="eastAsia" w:ascii="宋体" w:hAnsi="宋体" w:eastAsia="宋体" w:cs="仿宋"/>
          <w:b w:val="0"/>
          <w:bCs w:val="0"/>
          <w:sz w:val="24"/>
          <w:szCs w:val="24"/>
          <w:highlight w:val="none"/>
        </w:rPr>
      </w:pPr>
      <w:r>
        <w:rPr>
          <w:rStyle w:val="9"/>
          <w:rFonts w:hint="eastAsia" w:ascii="宋体" w:hAnsi="宋体" w:eastAsia="宋体" w:cs="仿宋"/>
          <w:b w:val="0"/>
          <w:bCs w:val="0"/>
          <w:sz w:val="24"/>
          <w:szCs w:val="24"/>
          <w:highlight w:val="none"/>
        </w:rPr>
        <w:t>以上均须加盖公章。</w:t>
      </w:r>
    </w:p>
    <w:p w14:paraId="520F5039">
      <w:pPr>
        <w:pStyle w:val="3"/>
        <w:snapToGrid w:val="0"/>
        <w:spacing w:before="0" w:after="0" w:line="360" w:lineRule="auto"/>
        <w:ind w:firstLine="281" w:firstLineChars="100"/>
        <w:rPr>
          <w:rStyle w:val="9"/>
          <w:rFonts w:hint="eastAsia" w:ascii="宋体" w:hAnsi="宋体" w:eastAsia="宋体" w:cs="仿宋"/>
          <w:b/>
          <w:color w:val="000000"/>
          <w:sz w:val="28"/>
          <w:szCs w:val="28"/>
          <w:highlight w:val="none"/>
        </w:rPr>
      </w:pPr>
      <w:r>
        <w:rPr>
          <w:rStyle w:val="9"/>
          <w:rFonts w:hint="eastAsia" w:ascii="宋体" w:hAnsi="宋体" w:eastAsia="宋体" w:cs="仿宋"/>
          <w:b/>
          <w:color w:val="000000"/>
          <w:sz w:val="28"/>
          <w:szCs w:val="28"/>
          <w:highlight w:val="none"/>
        </w:rPr>
        <w:t>（二）、</w:t>
      </w:r>
      <w:r>
        <w:rPr>
          <w:rStyle w:val="9"/>
          <w:rFonts w:hint="eastAsia" w:ascii="宋体" w:hAnsi="宋体" w:eastAsia="宋体" w:cs="仿宋"/>
          <w:b/>
          <w:color w:val="000000"/>
          <w:sz w:val="24"/>
          <w:szCs w:val="24"/>
          <w:highlight w:val="none"/>
        </w:rPr>
        <w:t>报价方式</w:t>
      </w:r>
    </w:p>
    <w:p w14:paraId="30857512">
      <w:pPr>
        <w:spacing w:before="120" w:after="120" w:line="360" w:lineRule="auto"/>
        <w:ind w:firstLine="480" w:firstLineChars="200"/>
        <w:rPr>
          <w:rFonts w:hint="eastAsia" w:ascii="宋体" w:hAnsi="宋体" w:eastAsia="宋体" w:cs="Arial"/>
          <w:sz w:val="24"/>
          <w:highlight w:val="none"/>
        </w:rPr>
      </w:pPr>
      <w:r>
        <w:rPr>
          <w:rFonts w:ascii="宋体" w:hAnsi="宋体" w:eastAsia="宋体" w:cs="Arial"/>
          <w:sz w:val="24"/>
          <w:highlight w:val="none"/>
        </w:rPr>
        <w:t>1.报价人将本部分第一条所列内容扫描成一个报价文件，在报价截止时间（见公告）前发至邮箱</w:t>
      </w:r>
      <w:r>
        <w:rPr>
          <w:rFonts w:hint="eastAsia" w:ascii="宋体" w:hAnsi="宋体" w:eastAsia="宋体" w:cs="Arial"/>
          <w:highlight w:val="yellow"/>
        </w:rPr>
        <w:t>shldwxgzh@163.com</w:t>
      </w:r>
      <w:r>
        <w:rPr>
          <w:rFonts w:ascii="宋体" w:hAnsi="宋体" w:eastAsia="宋体" w:cs="Arial"/>
          <w:sz w:val="24"/>
          <w:highlight w:val="none"/>
        </w:rPr>
        <w:t>，邮件主题注明：</w:t>
      </w:r>
      <w:r>
        <w:rPr>
          <w:rFonts w:hint="eastAsia" w:ascii="宋体" w:hAnsi="宋体" w:eastAsia="宋体" w:cs="Arial"/>
          <w:sz w:val="24"/>
          <w:highlight w:val="none"/>
        </w:rPr>
        <w:t>医疗废物</w:t>
      </w:r>
      <w:r>
        <w:rPr>
          <w:rFonts w:ascii="宋体" w:hAnsi="宋体" w:eastAsia="宋体" w:cs="Arial"/>
          <w:sz w:val="24"/>
          <w:highlight w:val="none"/>
        </w:rPr>
        <w:t>运输车</w:t>
      </w:r>
      <w:r>
        <w:rPr>
          <w:rFonts w:hint="eastAsia" w:ascii="宋体" w:hAnsi="宋体" w:eastAsia="宋体" w:cs="Arial"/>
          <w:sz w:val="24"/>
          <w:highlight w:val="none"/>
        </w:rPr>
        <w:t>年</w:t>
      </w:r>
      <w:r>
        <w:rPr>
          <w:rFonts w:ascii="宋体" w:hAnsi="宋体" w:eastAsia="宋体" w:cs="Arial"/>
          <w:sz w:val="24"/>
          <w:highlight w:val="none"/>
        </w:rPr>
        <w:t>审</w:t>
      </w:r>
      <w:r>
        <w:rPr>
          <w:rFonts w:hint="eastAsia" w:ascii="宋体" w:hAnsi="宋体" w:eastAsia="宋体" w:cs="Arial"/>
          <w:sz w:val="24"/>
          <w:highlight w:val="none"/>
        </w:rPr>
        <w:t>及综合审</w:t>
      </w:r>
      <w:r>
        <w:rPr>
          <w:rFonts w:ascii="宋体" w:hAnsi="宋体" w:eastAsia="宋体" w:cs="Arial"/>
          <w:sz w:val="24"/>
          <w:highlight w:val="none"/>
        </w:rPr>
        <w:t>报价</w:t>
      </w:r>
      <w:r>
        <w:rPr>
          <w:rFonts w:hint="eastAsia" w:ascii="宋体" w:hAnsi="宋体" w:eastAsia="宋体" w:cs="Arial"/>
          <w:sz w:val="24"/>
          <w:highlight w:val="none"/>
        </w:rPr>
        <w:t>。</w:t>
      </w:r>
      <w:r>
        <w:rPr>
          <w:rFonts w:ascii="宋体" w:hAnsi="宋体" w:eastAsia="宋体" w:cs="Arial"/>
          <w:sz w:val="24"/>
          <w:highlight w:val="none"/>
        </w:rPr>
        <w:t>逾期的报价无效。</w:t>
      </w:r>
      <w:r>
        <w:rPr>
          <w:rFonts w:ascii="宋体" w:hAnsi="宋体" w:eastAsia="宋体" w:cs="Arial"/>
          <w:sz w:val="24"/>
          <w:highlight w:val="none"/>
        </w:rPr>
        <w:cr/>
      </w:r>
      <w:r>
        <w:rPr>
          <w:rFonts w:hint="eastAsia" w:ascii="宋体" w:hAnsi="宋体" w:eastAsia="宋体" w:cs="Arial"/>
          <w:sz w:val="24"/>
          <w:highlight w:val="none"/>
        </w:rPr>
        <w:t xml:space="preserve">    2</w:t>
      </w:r>
      <w:r>
        <w:rPr>
          <w:rFonts w:ascii="宋体" w:hAnsi="宋体" w:eastAsia="宋体" w:cs="Arial"/>
          <w:sz w:val="24"/>
          <w:highlight w:val="none"/>
        </w:rPr>
        <w:t>.报价有效期：自报价截止日起 5 个</w:t>
      </w:r>
      <w:r>
        <w:rPr>
          <w:rFonts w:hint="eastAsia" w:ascii="宋体" w:hAnsi="宋体" w:eastAsia="宋体" w:cs="Arial"/>
          <w:sz w:val="24"/>
          <w:highlight w:val="none"/>
          <w:lang w:val="en-US" w:eastAsia="zh-CN"/>
        </w:rPr>
        <w:t>工作日</w:t>
      </w:r>
      <w:r>
        <w:rPr>
          <w:rFonts w:ascii="宋体" w:hAnsi="宋体" w:eastAsia="宋体" w:cs="Arial"/>
          <w:sz w:val="24"/>
          <w:highlight w:val="none"/>
        </w:rPr>
        <w:t>（有效期内，报价人不得撤回或修改报价）；</w:t>
      </w:r>
    </w:p>
    <w:p w14:paraId="0AE90FA1">
      <w:pPr>
        <w:pStyle w:val="3"/>
        <w:adjustRightInd w:val="0"/>
        <w:snapToGrid w:val="0"/>
        <w:spacing w:before="0" w:after="0" w:line="360" w:lineRule="auto"/>
        <w:ind w:firstLine="480" w:firstLineChars="200"/>
        <w:rPr>
          <w:rFonts w:hint="eastAsia" w:ascii="宋体" w:hAnsi="宋体" w:eastAsia="宋体"/>
          <w:b w:val="0"/>
          <w:bCs w:val="0"/>
          <w:kern w:val="2"/>
          <w:sz w:val="24"/>
          <w:szCs w:val="24"/>
          <w:highlight w:val="none"/>
          <w14:ligatures w14:val="standardContextual"/>
        </w:rPr>
      </w:pPr>
      <w:r>
        <w:rPr>
          <w:rFonts w:hint="eastAsia" w:ascii="宋体" w:hAnsi="宋体" w:eastAsia="宋体"/>
          <w:b w:val="0"/>
          <w:bCs w:val="0"/>
          <w:kern w:val="2"/>
          <w:sz w:val="24"/>
          <w:szCs w:val="24"/>
          <w:highlight w:val="none"/>
          <w14:ligatures w14:val="standardContextual"/>
        </w:rPr>
        <w:t>3</w:t>
      </w:r>
      <w:r>
        <w:rPr>
          <w:rFonts w:ascii="宋体" w:hAnsi="宋体" w:eastAsia="宋体"/>
          <w:b w:val="0"/>
          <w:bCs w:val="0"/>
          <w:kern w:val="2"/>
          <w:sz w:val="24"/>
          <w:szCs w:val="24"/>
          <w:highlight w:val="none"/>
          <w14:ligatures w14:val="standardContextual"/>
        </w:rPr>
        <w:t>.报价单需由法定代表人或授权代表签字并加盖公章，大小写金额一致（不一致时以大写为准）。</w:t>
      </w:r>
    </w:p>
    <w:p w14:paraId="0F6A17D2">
      <w:pPr>
        <w:spacing w:before="380" w:after="140" w:line="288" w:lineRule="auto"/>
        <w:outlineLvl w:val="0"/>
        <w:rPr>
          <w:rFonts w:hint="eastAsia" w:ascii="宋体" w:hAnsi="宋体" w:eastAsia="宋体" w:cs="Arial"/>
          <w:b/>
          <w:sz w:val="30"/>
          <w:szCs w:val="30"/>
          <w:highlight w:val="none"/>
        </w:rPr>
      </w:pPr>
      <w:bookmarkStart w:id="9" w:name="OLE_LINK3"/>
      <w:r>
        <w:rPr>
          <w:rFonts w:hint="eastAsia" w:ascii="宋体" w:hAnsi="宋体" w:eastAsia="宋体" w:cs="Arial"/>
          <w:b/>
          <w:sz w:val="30"/>
          <w:szCs w:val="30"/>
          <w:highlight w:val="none"/>
        </w:rPr>
        <w:t>五、 评审与成交</w:t>
      </w:r>
    </w:p>
    <w:p w14:paraId="74207C6C">
      <w:pPr>
        <w:pStyle w:val="3"/>
        <w:spacing w:before="0" w:after="0" w:line="480" w:lineRule="exact"/>
        <w:rPr>
          <w:rStyle w:val="9"/>
          <w:rFonts w:hint="eastAsia" w:ascii="宋体" w:hAnsi="宋体" w:eastAsia="宋体" w:cs="仿宋"/>
          <w:b/>
          <w:color w:val="000000"/>
          <w:sz w:val="24"/>
          <w:szCs w:val="24"/>
          <w:highlight w:val="none"/>
        </w:rPr>
      </w:pPr>
      <w:r>
        <w:rPr>
          <w:rStyle w:val="9"/>
          <w:rFonts w:hint="eastAsia" w:ascii="宋体" w:hAnsi="宋体" w:eastAsia="宋体" w:cs="仿宋"/>
          <w:b/>
          <w:color w:val="000000"/>
          <w:sz w:val="24"/>
          <w:szCs w:val="24"/>
          <w:highlight w:val="none"/>
        </w:rPr>
        <w:t>（一）、评审规则</w:t>
      </w:r>
    </w:p>
    <w:p w14:paraId="1D5230B9">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1.评审小组：由采购人组建</w:t>
      </w:r>
      <w:r>
        <w:rPr>
          <w:rStyle w:val="9"/>
          <w:rFonts w:hint="eastAsia" w:ascii="宋体" w:hAnsi="宋体" w:eastAsia="宋体" w:cs="仿宋"/>
          <w:b w:val="0"/>
          <w:bCs w:val="0"/>
          <w:color w:val="000000"/>
          <w:sz w:val="24"/>
          <w:szCs w:val="24"/>
          <w:highlight w:val="none"/>
          <w:lang w:val="en-US" w:eastAsia="zh-CN"/>
        </w:rPr>
        <w:t>3</w:t>
      </w:r>
      <w:r>
        <w:rPr>
          <w:rStyle w:val="9"/>
          <w:rFonts w:hint="eastAsia" w:ascii="宋体" w:hAnsi="宋体" w:eastAsia="宋体" w:cs="仿宋"/>
          <w:b w:val="0"/>
          <w:bCs w:val="0"/>
          <w:color w:val="000000"/>
          <w:sz w:val="24"/>
          <w:szCs w:val="24"/>
          <w:highlight w:val="none"/>
        </w:rPr>
        <w:t>人及以上单数评审组；</w:t>
      </w:r>
    </w:p>
    <w:p w14:paraId="7523FBDA">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2.</w:t>
      </w:r>
      <w:r>
        <w:rPr>
          <w:rStyle w:val="9"/>
          <w:rFonts w:ascii="宋体" w:hAnsi="宋体" w:eastAsia="宋体" w:cs="仿宋"/>
          <w:b w:val="0"/>
          <w:bCs w:val="0"/>
          <w:color w:val="000000"/>
          <w:sz w:val="24"/>
          <w:szCs w:val="24"/>
          <w:highlight w:val="none"/>
        </w:rPr>
        <w:t>评审方法：经评审最低价法；</w:t>
      </w:r>
      <w:r>
        <w:rPr>
          <w:rStyle w:val="9"/>
          <w:rFonts w:hint="eastAsia" w:ascii="宋体" w:hAnsi="宋体" w:eastAsia="宋体" w:cs="仿宋"/>
          <w:b w:val="0"/>
          <w:bCs w:val="0"/>
          <w:color w:val="000000"/>
          <w:sz w:val="24"/>
          <w:szCs w:val="24"/>
          <w:highlight w:val="none"/>
        </w:rPr>
        <w:t xml:space="preserve"> </w:t>
      </w:r>
    </w:p>
    <w:p w14:paraId="0081C173">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3.评审流程</w:t>
      </w:r>
    </w:p>
    <w:p w14:paraId="0CE717F2">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3.1符合性审查：核查报价文件完整性，是否响应采购需求（营业执照、报价函）；</w:t>
      </w:r>
    </w:p>
    <w:p w14:paraId="188E571D">
      <w:pPr>
        <w:adjustRightInd w:val="0"/>
        <w:snapToGrid w:val="0"/>
        <w:spacing w:before="120" w:after="120" w:line="360" w:lineRule="auto"/>
        <w:ind w:firstLine="480" w:firstLineChars="200"/>
        <w:rPr>
          <w:rStyle w:val="9"/>
          <w:rFonts w:hint="eastAsia" w:ascii="宋体" w:hAnsi="宋体" w:eastAsia="宋体" w:cs="仿宋"/>
          <w:b w:val="0"/>
          <w:color w:val="000000"/>
          <w:kern w:val="0"/>
          <w:sz w:val="24"/>
          <w:highlight w:val="none"/>
          <w14:ligatures w14:val="none"/>
        </w:rPr>
      </w:pPr>
      <w:r>
        <w:rPr>
          <w:rStyle w:val="9"/>
          <w:rFonts w:hint="eastAsia" w:ascii="宋体" w:hAnsi="宋体" w:eastAsia="宋体" w:cs="仿宋"/>
          <w:b w:val="0"/>
          <w:color w:val="000000"/>
          <w:kern w:val="0"/>
          <w:sz w:val="24"/>
          <w:highlight w:val="none"/>
          <w14:ligatures w14:val="none"/>
        </w:rPr>
        <w:t>3.2价格评审：对通过符合性审查的有效报价，</w:t>
      </w:r>
      <w:r>
        <w:rPr>
          <w:rStyle w:val="9"/>
          <w:rFonts w:ascii="宋体" w:hAnsi="宋体" w:eastAsia="宋体" w:cs="仿宋"/>
          <w:b w:val="0"/>
          <w:color w:val="000000"/>
          <w:kern w:val="0"/>
          <w:sz w:val="24"/>
          <w:highlight w:val="none"/>
          <w14:ligatures w14:val="none"/>
        </w:rPr>
        <w:t>维修企业的资质合格和所在地符合要求前提下，</w:t>
      </w:r>
      <w:r>
        <w:rPr>
          <w:rStyle w:val="9"/>
          <w:rFonts w:hint="eastAsia" w:ascii="宋体" w:hAnsi="宋体" w:eastAsia="宋体" w:cs="仿宋"/>
          <w:b w:val="0"/>
          <w:color w:val="000000"/>
          <w:kern w:val="0"/>
          <w:sz w:val="24"/>
          <w:highlight w:val="none"/>
          <w:lang w:val="en-US" w:eastAsia="zh-CN"/>
          <w14:ligatures w14:val="none"/>
        </w:rPr>
        <w:t>按不含税价格排序，报价最低者为第一成交候选人；</w:t>
      </w:r>
    </w:p>
    <w:p w14:paraId="27B0BB5B">
      <w:pPr>
        <w:pStyle w:val="3"/>
        <w:adjustRightInd w:val="0"/>
        <w:snapToGrid w:val="0"/>
        <w:spacing w:before="0" w:after="0" w:line="360" w:lineRule="auto"/>
        <w:ind w:firstLine="480" w:firstLineChars="200"/>
        <w:rPr>
          <w:rStyle w:val="9"/>
          <w:rFonts w:hint="eastAsia" w:ascii="宋体" w:hAnsi="宋体" w:eastAsia="宋体" w:cs="仿宋"/>
          <w:b w:val="0"/>
          <w:bCs w:val="0"/>
          <w:color w:val="000000"/>
          <w:sz w:val="22"/>
          <w:szCs w:val="22"/>
          <w:highlight w:val="none"/>
        </w:rPr>
      </w:pPr>
      <w:r>
        <w:rPr>
          <w:rStyle w:val="9"/>
          <w:rFonts w:hint="eastAsia" w:ascii="宋体" w:hAnsi="宋体" w:eastAsia="宋体" w:cs="仿宋"/>
          <w:b w:val="0"/>
          <w:bCs w:val="0"/>
          <w:color w:val="000000"/>
          <w:sz w:val="24"/>
          <w:szCs w:val="24"/>
          <w:highlight w:val="none"/>
        </w:rPr>
        <w:t>3.3若最低报价出现 2 家及以上相同情况，采取抽签方式确定第一成交候选人</w:t>
      </w:r>
      <w:r>
        <w:rPr>
          <w:rStyle w:val="9"/>
          <w:rFonts w:hint="eastAsia" w:ascii="宋体" w:hAnsi="宋体" w:eastAsia="宋体" w:cs="仿宋"/>
          <w:b w:val="0"/>
          <w:bCs w:val="0"/>
          <w:color w:val="000000"/>
          <w:sz w:val="22"/>
          <w:szCs w:val="22"/>
          <w:highlight w:val="none"/>
        </w:rPr>
        <w:t>。</w:t>
      </w:r>
    </w:p>
    <w:p w14:paraId="42105CA6">
      <w:pPr>
        <w:pStyle w:val="3"/>
        <w:spacing w:before="0" w:after="0" w:line="480" w:lineRule="exact"/>
        <w:rPr>
          <w:rStyle w:val="9"/>
          <w:rFonts w:hint="eastAsia" w:ascii="宋体" w:hAnsi="宋体" w:eastAsia="宋体" w:cs="仿宋"/>
          <w:b/>
          <w:color w:val="000000"/>
          <w:sz w:val="24"/>
          <w:szCs w:val="24"/>
          <w:highlight w:val="none"/>
        </w:rPr>
      </w:pPr>
      <w:r>
        <w:rPr>
          <w:rStyle w:val="9"/>
          <w:rFonts w:hint="eastAsia" w:ascii="宋体" w:hAnsi="宋体" w:eastAsia="宋体" w:cs="仿宋"/>
          <w:b/>
          <w:color w:val="000000"/>
          <w:sz w:val="24"/>
          <w:szCs w:val="24"/>
          <w:highlight w:val="none"/>
        </w:rPr>
        <w:t>（二）、成交后续</w:t>
      </w:r>
    </w:p>
    <w:p w14:paraId="08BF328C">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1.成交公示：确定成交候选人后，在深圳阳光采购平台公示3个</w:t>
      </w:r>
      <w:r>
        <w:rPr>
          <w:rStyle w:val="9"/>
          <w:rFonts w:hint="eastAsia" w:ascii="宋体" w:hAnsi="宋体" w:eastAsia="宋体" w:cs="仿宋"/>
          <w:b w:val="0"/>
          <w:bCs w:val="0"/>
          <w:color w:val="000000"/>
          <w:sz w:val="24"/>
          <w:szCs w:val="24"/>
          <w:highlight w:val="none"/>
          <w:lang w:val="en-US" w:eastAsia="zh-CN"/>
        </w:rPr>
        <w:t>工作日</w:t>
      </w:r>
      <w:r>
        <w:rPr>
          <w:rStyle w:val="9"/>
          <w:rFonts w:hint="eastAsia" w:ascii="宋体" w:hAnsi="宋体" w:eastAsia="宋体" w:cs="仿宋"/>
          <w:b w:val="0"/>
          <w:bCs w:val="0"/>
          <w:color w:val="000000"/>
          <w:sz w:val="24"/>
          <w:szCs w:val="24"/>
          <w:highlight w:val="none"/>
        </w:rPr>
        <w:t>，公示内容包含成交候选人名称、报价；</w:t>
      </w:r>
    </w:p>
    <w:p w14:paraId="2A02E5C0">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2.成交通知：公示无异议后 1 个工作日内，在深圳阳光采购平台公示成交结果，并通知成交供应商；</w:t>
      </w:r>
    </w:p>
    <w:p w14:paraId="4C34B5C4">
      <w:pPr>
        <w:pStyle w:val="3"/>
        <w:spacing w:before="0" w:after="0" w:line="480" w:lineRule="exact"/>
        <w:ind w:firstLine="480" w:firstLineChars="200"/>
        <w:rPr>
          <w:rStyle w:val="9"/>
          <w:rFonts w:hint="eastAsia" w:ascii="宋体" w:hAnsi="宋体" w:eastAsia="宋体" w:cs="仿宋"/>
          <w:b w:val="0"/>
          <w:bCs w:val="0"/>
          <w:color w:val="000000"/>
          <w:sz w:val="24"/>
          <w:szCs w:val="24"/>
          <w:highlight w:val="none"/>
        </w:rPr>
      </w:pPr>
      <w:r>
        <w:rPr>
          <w:rStyle w:val="9"/>
          <w:rFonts w:hint="eastAsia" w:ascii="宋体" w:hAnsi="宋体" w:eastAsia="宋体" w:cs="仿宋"/>
          <w:b w:val="0"/>
          <w:bCs w:val="0"/>
          <w:color w:val="000000"/>
          <w:sz w:val="24"/>
          <w:szCs w:val="24"/>
          <w:highlight w:val="none"/>
        </w:rPr>
        <w:t>3.合同签订：成交供应商收到通知后5个</w:t>
      </w:r>
      <w:r>
        <w:rPr>
          <w:rStyle w:val="9"/>
          <w:rFonts w:hint="eastAsia" w:ascii="宋体" w:hAnsi="宋体" w:eastAsia="宋体" w:cs="仿宋"/>
          <w:b w:val="0"/>
          <w:bCs w:val="0"/>
          <w:color w:val="000000"/>
          <w:sz w:val="24"/>
          <w:szCs w:val="24"/>
          <w:highlight w:val="none"/>
          <w:lang w:val="en-US" w:eastAsia="zh-CN"/>
        </w:rPr>
        <w:t>工作日</w:t>
      </w:r>
      <w:r>
        <w:rPr>
          <w:rStyle w:val="9"/>
          <w:rFonts w:hint="eastAsia" w:ascii="宋体" w:hAnsi="宋体" w:eastAsia="宋体" w:cs="仿宋"/>
          <w:b w:val="0"/>
          <w:bCs w:val="0"/>
          <w:color w:val="000000"/>
          <w:sz w:val="24"/>
          <w:szCs w:val="24"/>
          <w:highlight w:val="none"/>
        </w:rPr>
        <w:t>内，与采购人签订采购合同。</w:t>
      </w:r>
    </w:p>
    <w:p w14:paraId="1D2DF0D4">
      <w:pPr>
        <w:spacing w:before="380" w:after="140" w:line="288" w:lineRule="auto"/>
        <w:outlineLvl w:val="0"/>
        <w:rPr>
          <w:rFonts w:hint="eastAsia" w:ascii="宋体" w:hAnsi="宋体" w:eastAsia="宋体"/>
          <w:sz w:val="30"/>
          <w:szCs w:val="30"/>
          <w:highlight w:val="none"/>
        </w:rPr>
      </w:pPr>
      <w:bookmarkStart w:id="10" w:name="heading_6"/>
      <w:r>
        <w:rPr>
          <w:rFonts w:ascii="宋体" w:hAnsi="宋体" w:eastAsia="宋体" w:cs="Arial"/>
          <w:b/>
          <w:sz w:val="30"/>
          <w:szCs w:val="30"/>
          <w:highlight w:val="none"/>
        </w:rPr>
        <w:t>六、付款方式</w:t>
      </w:r>
      <w:bookmarkEnd w:id="10"/>
    </w:p>
    <w:p w14:paraId="79E81DF5">
      <w:pPr>
        <w:spacing w:before="120" w:after="120" w:line="288" w:lineRule="auto"/>
        <w:ind w:firstLine="480" w:firstLineChars="200"/>
        <w:rPr>
          <w:rStyle w:val="9"/>
          <w:rFonts w:hint="eastAsia" w:cs="仿宋"/>
          <w:color w:val="000000"/>
          <w:kern w:val="0"/>
          <w:sz w:val="24"/>
          <w:highlight w:val="none"/>
          <w14:ligatures w14:val="none"/>
        </w:rPr>
      </w:pPr>
      <w:r>
        <w:rPr>
          <w:rStyle w:val="9"/>
          <w:rFonts w:hint="eastAsia" w:ascii="宋体" w:hAnsi="宋体" w:eastAsia="宋体" w:cs="仿宋"/>
          <w:b w:val="0"/>
          <w:bCs w:val="0"/>
          <w:color w:val="000000"/>
          <w:kern w:val="0"/>
          <w:sz w:val="24"/>
          <w:szCs w:val="24"/>
          <w:highlight w:val="none"/>
          <w:lang w:val="en-US" w:eastAsia="zh-CN" w:bidi="ar-SA"/>
          <w14:ligatures w14:val="none"/>
        </w:rPr>
        <w:t>中标人于全部车辆审验办结、资料验收无误后，开具全额增值税发票，采购人见票</w:t>
      </w:r>
      <w:r>
        <w:rPr>
          <w:rStyle w:val="9"/>
          <w:rFonts w:hint="default" w:ascii="宋体" w:hAnsi="宋体" w:eastAsia="宋体" w:cs="仿宋"/>
          <w:b w:val="0"/>
          <w:bCs w:val="0"/>
          <w:color w:val="000000"/>
          <w:kern w:val="0"/>
          <w:sz w:val="24"/>
          <w:szCs w:val="24"/>
          <w:highlight w:val="none"/>
          <w:lang w:val="en-US" w:eastAsia="zh-CN" w:bidi="ar-SA"/>
          <w14:ligatures w14:val="none"/>
        </w:rPr>
        <w:t>3</w:t>
      </w:r>
      <w:r>
        <w:rPr>
          <w:rStyle w:val="9"/>
          <w:rFonts w:hint="eastAsia" w:ascii="宋体" w:hAnsi="宋体" w:eastAsia="宋体" w:cs="仿宋"/>
          <w:b w:val="0"/>
          <w:bCs w:val="0"/>
          <w:color w:val="000000"/>
          <w:kern w:val="0"/>
          <w:sz w:val="24"/>
          <w:szCs w:val="24"/>
          <w:highlight w:val="none"/>
          <w:lang w:val="en-US" w:eastAsia="zh-CN" w:bidi="ar-SA"/>
          <w14:ligatures w14:val="none"/>
        </w:rPr>
        <w:t>0日内支付全额款项。</w:t>
      </w:r>
      <w:bookmarkEnd w:id="9"/>
      <w:bookmarkStart w:id="11" w:name="heading_5"/>
    </w:p>
    <w:p w14:paraId="58D22CE0">
      <w:pPr>
        <w:spacing w:before="380" w:after="140" w:line="288" w:lineRule="auto"/>
        <w:outlineLvl w:val="0"/>
        <w:rPr>
          <w:rFonts w:hint="eastAsia" w:ascii="宋体" w:hAnsi="宋体" w:eastAsia="宋体" w:cs="Arial"/>
          <w:b/>
          <w:sz w:val="32"/>
          <w:szCs w:val="32"/>
          <w:highlight w:val="none"/>
        </w:rPr>
      </w:pPr>
    </w:p>
    <w:p w14:paraId="1210645F">
      <w:pPr>
        <w:spacing w:before="380" w:after="140" w:line="288" w:lineRule="auto"/>
        <w:outlineLvl w:val="0"/>
        <w:rPr>
          <w:rFonts w:hint="eastAsia" w:ascii="宋体" w:hAnsi="宋体" w:eastAsia="宋体" w:cs="Arial"/>
          <w:b/>
          <w:sz w:val="32"/>
          <w:szCs w:val="32"/>
          <w:highlight w:val="none"/>
        </w:rPr>
      </w:pPr>
    </w:p>
    <w:p w14:paraId="19E73F92">
      <w:pPr>
        <w:spacing w:before="380" w:after="140" w:line="288" w:lineRule="auto"/>
        <w:outlineLvl w:val="0"/>
        <w:rPr>
          <w:rFonts w:hint="eastAsia" w:ascii="宋体" w:hAnsi="宋体" w:eastAsia="宋体" w:cs="Arial"/>
          <w:b/>
          <w:sz w:val="32"/>
          <w:szCs w:val="32"/>
          <w:highlight w:val="none"/>
        </w:rPr>
      </w:pPr>
    </w:p>
    <w:p w14:paraId="577E7A36">
      <w:pPr>
        <w:spacing w:before="380" w:after="140" w:line="288" w:lineRule="auto"/>
        <w:outlineLvl w:val="0"/>
        <w:rPr>
          <w:rFonts w:hint="eastAsia" w:ascii="宋体" w:hAnsi="宋体" w:eastAsia="宋体"/>
          <w:sz w:val="32"/>
          <w:szCs w:val="32"/>
          <w:highlight w:val="none"/>
        </w:rPr>
      </w:pPr>
      <w:r>
        <w:rPr>
          <w:rFonts w:hint="eastAsia" w:ascii="宋体" w:hAnsi="宋体" w:eastAsia="宋体" w:cs="Arial"/>
          <w:b/>
          <w:sz w:val="32"/>
          <w:szCs w:val="32"/>
          <w:highlight w:val="none"/>
        </w:rPr>
        <w:t xml:space="preserve">附件 </w:t>
      </w:r>
      <w:r>
        <w:rPr>
          <w:rFonts w:ascii="宋体" w:hAnsi="宋体" w:eastAsia="宋体" w:cs="Arial"/>
          <w:b/>
          <w:sz w:val="32"/>
          <w:szCs w:val="32"/>
          <w:highlight w:val="none"/>
        </w:rPr>
        <w:t>报价</w:t>
      </w:r>
      <w:bookmarkEnd w:id="11"/>
      <w:r>
        <w:rPr>
          <w:rFonts w:hint="eastAsia" w:ascii="宋体" w:hAnsi="宋体" w:eastAsia="宋体" w:cs="Arial"/>
          <w:b/>
          <w:sz w:val="32"/>
          <w:szCs w:val="32"/>
          <w:highlight w:val="none"/>
        </w:rPr>
        <w:t>函</w:t>
      </w:r>
    </w:p>
    <w:p w14:paraId="13684E0B">
      <w:pPr>
        <w:spacing w:before="120" w:after="120" w:line="288" w:lineRule="auto"/>
        <w:rPr>
          <w:rFonts w:hint="eastAsia" w:ascii="宋体" w:hAnsi="宋体" w:eastAsia="宋体" w:cs="Arial"/>
          <w:sz w:val="24"/>
          <w:highlight w:val="none"/>
        </w:rPr>
      </w:pPr>
    </w:p>
    <w:p w14:paraId="04836822">
      <w:pPr>
        <w:spacing w:before="120" w:after="120" w:line="288" w:lineRule="auto"/>
        <w:rPr>
          <w:rFonts w:hint="eastAsia" w:ascii="宋体" w:hAnsi="宋体" w:eastAsia="宋体" w:cs="Arial"/>
          <w:sz w:val="24"/>
          <w:highlight w:val="none"/>
        </w:rPr>
      </w:pPr>
      <w:r>
        <w:rPr>
          <w:rFonts w:ascii="宋体" w:hAnsi="宋体" w:eastAsia="宋体" w:cs="Arial"/>
          <w:sz w:val="24"/>
          <w:highlight w:val="none"/>
        </w:rPr>
        <w:t>致：</w:t>
      </w:r>
      <w:r>
        <w:rPr>
          <w:rFonts w:hint="eastAsia" w:ascii="宋体" w:hAnsi="宋体" w:eastAsia="宋体" w:cs="Arial"/>
          <w:sz w:val="24"/>
          <w:highlight w:val="none"/>
          <w:lang w:val="en-US" w:eastAsia="zh-CN"/>
        </w:rPr>
        <w:t>深圳市深环绿盾环保科技有限公司</w:t>
      </w:r>
    </w:p>
    <w:p w14:paraId="7E72AC19">
      <w:pPr>
        <w:adjustRightInd w:val="0"/>
        <w:snapToGrid w:val="0"/>
        <w:spacing w:before="120" w:after="120" w:line="360" w:lineRule="auto"/>
        <w:ind w:firstLine="480" w:firstLineChars="200"/>
        <w:rPr>
          <w:rFonts w:hint="eastAsia" w:ascii="宋体" w:hAnsi="宋体" w:eastAsia="宋体"/>
          <w:sz w:val="24"/>
          <w:highlight w:val="none"/>
        </w:rPr>
      </w:pPr>
      <w:r>
        <w:rPr>
          <w:rFonts w:ascii="宋体" w:hAnsi="宋体" w:eastAsia="宋体" w:cs="Arial"/>
          <w:sz w:val="24"/>
          <w:highlight w:val="none"/>
        </w:rPr>
        <w:t>我方已熟读本询价文件，自愿承接本次厢式危运车</w:t>
      </w:r>
      <w:r>
        <w:rPr>
          <w:rFonts w:hint="eastAsia" w:ascii="宋体" w:hAnsi="宋体" w:eastAsia="宋体" w:cs="Arial"/>
          <w:sz w:val="24"/>
          <w:highlight w:val="none"/>
        </w:rPr>
        <w:t>年</w:t>
      </w:r>
      <w:r>
        <w:rPr>
          <w:rFonts w:ascii="宋体" w:hAnsi="宋体" w:eastAsia="宋体" w:cs="Arial"/>
          <w:sz w:val="24"/>
          <w:highlight w:val="none"/>
        </w:rPr>
        <w:t>度审验</w:t>
      </w:r>
      <w:r>
        <w:rPr>
          <w:rFonts w:hint="eastAsia" w:ascii="宋体" w:hAnsi="宋体" w:eastAsia="宋体" w:cs="Arial"/>
          <w:sz w:val="24"/>
          <w:highlight w:val="none"/>
        </w:rPr>
        <w:t>及综合审验</w:t>
      </w:r>
      <w:r>
        <w:rPr>
          <w:rFonts w:ascii="宋体" w:hAnsi="宋体" w:eastAsia="宋体" w:cs="Arial"/>
          <w:sz w:val="24"/>
          <w:highlight w:val="none"/>
        </w:rPr>
        <w:t>服务，承诺全部服务合规、按期完工</w:t>
      </w:r>
      <w:r>
        <w:rPr>
          <w:rFonts w:hint="eastAsia" w:ascii="宋体" w:hAnsi="宋体" w:eastAsia="宋体" w:cs="Arial"/>
          <w:sz w:val="24"/>
          <w:highlight w:val="none"/>
        </w:rPr>
        <w:t>，报价如下：</w:t>
      </w:r>
    </w:p>
    <w:tbl>
      <w:tblPr>
        <w:tblStyle w:val="7"/>
        <w:tblpPr w:leftFromText="180" w:rightFromText="180" w:vertAnchor="text" w:horzAnchor="page" w:tblpXSpec="center" w:tblpY="22"/>
        <w:tblOverlap w:val="never"/>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13"/>
        <w:gridCol w:w="1134"/>
        <w:gridCol w:w="709"/>
        <w:gridCol w:w="1134"/>
        <w:gridCol w:w="708"/>
        <w:gridCol w:w="1276"/>
        <w:gridCol w:w="1134"/>
        <w:gridCol w:w="1276"/>
      </w:tblGrid>
      <w:tr w14:paraId="683D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03E9986">
            <w:pPr>
              <w:spacing w:before="120" w:after="120" w:line="288" w:lineRule="auto"/>
              <w:jc w:val="center"/>
              <w:rPr>
                <w:rFonts w:ascii="Arial" w:hAnsi="Arial" w:eastAsia="等线" w:cs="Arial"/>
                <w:highlight w:val="none"/>
              </w:rPr>
            </w:pPr>
            <w:r>
              <w:rPr>
                <w:rFonts w:hint="eastAsia" w:ascii="Arial" w:hAnsi="Arial" w:eastAsia="等线" w:cs="Arial"/>
                <w:highlight w:val="none"/>
              </w:rPr>
              <w:t>序号</w:t>
            </w:r>
          </w:p>
        </w:tc>
        <w:tc>
          <w:tcPr>
            <w:tcW w:w="813" w:type="dxa"/>
            <w:vAlign w:val="center"/>
          </w:tcPr>
          <w:p w14:paraId="3C9473DC">
            <w:pPr>
              <w:spacing w:before="120" w:after="120" w:line="288" w:lineRule="auto"/>
              <w:jc w:val="center"/>
              <w:rPr>
                <w:rFonts w:ascii="Arial" w:hAnsi="Arial" w:eastAsia="等线" w:cs="Arial"/>
                <w:highlight w:val="none"/>
              </w:rPr>
            </w:pPr>
            <w:r>
              <w:rPr>
                <w:rFonts w:hint="eastAsia" w:ascii="Arial" w:hAnsi="Arial" w:eastAsia="等线" w:cs="Arial"/>
                <w:highlight w:val="none"/>
              </w:rPr>
              <w:t>车辆品牌</w:t>
            </w:r>
          </w:p>
        </w:tc>
        <w:tc>
          <w:tcPr>
            <w:tcW w:w="1134" w:type="dxa"/>
            <w:vAlign w:val="center"/>
          </w:tcPr>
          <w:p w14:paraId="262D9205">
            <w:pPr>
              <w:spacing w:before="120" w:after="120" w:line="288" w:lineRule="auto"/>
              <w:jc w:val="center"/>
              <w:rPr>
                <w:rFonts w:ascii="Arial" w:hAnsi="Arial" w:eastAsia="等线" w:cs="Arial"/>
                <w:highlight w:val="none"/>
              </w:rPr>
            </w:pPr>
            <w:r>
              <w:rPr>
                <w:rFonts w:hint="eastAsia" w:ascii="Arial" w:hAnsi="Arial" w:eastAsia="等线" w:cs="Arial"/>
                <w:highlight w:val="none"/>
              </w:rPr>
              <w:t>年审</w:t>
            </w:r>
          </w:p>
          <w:p w14:paraId="3D478E27">
            <w:pPr>
              <w:spacing w:before="120" w:after="120" w:line="288" w:lineRule="auto"/>
              <w:jc w:val="center"/>
              <w:rPr>
                <w:rFonts w:ascii="Arial" w:hAnsi="Arial" w:eastAsia="等线" w:cs="Arial"/>
                <w:highlight w:val="none"/>
              </w:rPr>
            </w:pPr>
            <w:r>
              <w:rPr>
                <w:rFonts w:hint="eastAsia" w:ascii="Arial" w:hAnsi="Arial" w:eastAsia="等线" w:cs="Arial"/>
                <w:highlight w:val="none"/>
              </w:rPr>
              <w:t>辆/元（不含税单价）</w:t>
            </w:r>
          </w:p>
        </w:tc>
        <w:tc>
          <w:tcPr>
            <w:tcW w:w="709" w:type="dxa"/>
            <w:vAlign w:val="center"/>
          </w:tcPr>
          <w:p w14:paraId="7D253AD1">
            <w:pPr>
              <w:spacing w:before="120" w:after="120" w:line="288" w:lineRule="auto"/>
              <w:jc w:val="center"/>
              <w:rPr>
                <w:rFonts w:ascii="Arial" w:hAnsi="Arial" w:eastAsia="等线" w:cs="Arial"/>
                <w:highlight w:val="none"/>
              </w:rPr>
            </w:pPr>
            <w:r>
              <w:rPr>
                <w:rFonts w:hint="eastAsia" w:ascii="Arial" w:hAnsi="Arial" w:eastAsia="等线" w:cs="Arial"/>
                <w:highlight w:val="none"/>
              </w:rPr>
              <w:t>税率</w:t>
            </w:r>
          </w:p>
        </w:tc>
        <w:tc>
          <w:tcPr>
            <w:tcW w:w="1134" w:type="dxa"/>
            <w:vAlign w:val="center"/>
          </w:tcPr>
          <w:p w14:paraId="184E5D2A">
            <w:pPr>
              <w:spacing w:before="120" w:after="120" w:line="288" w:lineRule="auto"/>
              <w:jc w:val="center"/>
              <w:rPr>
                <w:rFonts w:ascii="Arial" w:hAnsi="Arial" w:eastAsia="等线" w:cs="Arial"/>
                <w:highlight w:val="none"/>
              </w:rPr>
            </w:pPr>
            <w:r>
              <w:rPr>
                <w:rFonts w:hint="eastAsia" w:ascii="Arial" w:hAnsi="Arial" w:eastAsia="等线" w:cs="Arial"/>
                <w:highlight w:val="none"/>
              </w:rPr>
              <w:t>综合审</w:t>
            </w:r>
          </w:p>
          <w:p w14:paraId="1158C3D7">
            <w:pPr>
              <w:spacing w:before="120" w:after="120" w:line="288" w:lineRule="auto"/>
              <w:jc w:val="center"/>
              <w:rPr>
                <w:rFonts w:ascii="Arial" w:hAnsi="Arial" w:eastAsia="等线" w:cs="Arial"/>
                <w:highlight w:val="none"/>
              </w:rPr>
            </w:pPr>
            <w:r>
              <w:rPr>
                <w:rFonts w:hint="eastAsia" w:ascii="Arial" w:hAnsi="Arial" w:eastAsia="等线" w:cs="Arial"/>
                <w:highlight w:val="none"/>
              </w:rPr>
              <w:t>辆/元（不含税单价）</w:t>
            </w:r>
          </w:p>
        </w:tc>
        <w:tc>
          <w:tcPr>
            <w:tcW w:w="708" w:type="dxa"/>
            <w:vAlign w:val="center"/>
          </w:tcPr>
          <w:p w14:paraId="155DCFB2">
            <w:pPr>
              <w:spacing w:before="120" w:after="120" w:line="288" w:lineRule="auto"/>
              <w:jc w:val="center"/>
              <w:rPr>
                <w:rFonts w:ascii="Arial" w:hAnsi="Arial" w:eastAsia="等线" w:cs="Arial"/>
                <w:highlight w:val="none"/>
              </w:rPr>
            </w:pPr>
            <w:r>
              <w:rPr>
                <w:rFonts w:hint="eastAsia" w:ascii="Arial" w:hAnsi="Arial" w:eastAsia="等线" w:cs="Arial"/>
                <w:highlight w:val="none"/>
              </w:rPr>
              <w:t>税率</w:t>
            </w:r>
          </w:p>
        </w:tc>
        <w:tc>
          <w:tcPr>
            <w:tcW w:w="1276" w:type="dxa"/>
            <w:vAlign w:val="center"/>
          </w:tcPr>
          <w:p w14:paraId="4AF5A92B">
            <w:pPr>
              <w:spacing w:before="120" w:after="120" w:line="288" w:lineRule="auto"/>
              <w:jc w:val="center"/>
              <w:rPr>
                <w:rFonts w:ascii="Arial" w:hAnsi="Arial" w:eastAsia="等线" w:cs="Arial"/>
                <w:highlight w:val="none"/>
              </w:rPr>
            </w:pPr>
            <w:r>
              <w:rPr>
                <w:rFonts w:hint="eastAsia" w:ascii="Arial" w:hAnsi="Arial" w:eastAsia="等线" w:cs="Arial"/>
                <w:highlight w:val="none"/>
              </w:rPr>
              <w:t>数量</w:t>
            </w:r>
            <w:r>
              <w:rPr>
                <w:rFonts w:hint="eastAsia" w:ascii="Arial" w:hAnsi="Arial" w:eastAsia="等线" w:cs="Arial"/>
                <w:highlight w:val="none"/>
              </w:rPr>
              <w:br w:type="textWrapping"/>
            </w:r>
            <w:r>
              <w:rPr>
                <w:rFonts w:hint="eastAsia" w:ascii="Arial" w:hAnsi="Arial" w:eastAsia="等线" w:cs="Arial"/>
                <w:highlight w:val="none"/>
              </w:rPr>
              <w:t>（辆/项）</w:t>
            </w:r>
          </w:p>
        </w:tc>
        <w:tc>
          <w:tcPr>
            <w:tcW w:w="1134" w:type="dxa"/>
            <w:vAlign w:val="center"/>
          </w:tcPr>
          <w:p w14:paraId="4D67B7BA">
            <w:pPr>
              <w:spacing w:before="120" w:after="120" w:line="288" w:lineRule="auto"/>
              <w:jc w:val="center"/>
              <w:rPr>
                <w:rFonts w:ascii="Arial" w:hAnsi="Arial" w:eastAsia="等线" w:cs="Arial"/>
                <w:highlight w:val="none"/>
              </w:rPr>
            </w:pPr>
            <w:r>
              <w:rPr>
                <w:rFonts w:hint="eastAsia" w:ascii="Arial" w:hAnsi="Arial" w:eastAsia="等线" w:cs="Arial"/>
                <w:highlight w:val="none"/>
              </w:rPr>
              <w:t>不含税</w:t>
            </w:r>
            <w:r>
              <w:rPr>
                <w:rFonts w:hint="eastAsia" w:ascii="Arial" w:hAnsi="Arial" w:eastAsia="等线" w:cs="Arial"/>
                <w:highlight w:val="none"/>
                <w:lang w:val="en-US" w:eastAsia="zh-CN"/>
              </w:rPr>
              <w:t>合计</w:t>
            </w:r>
            <w:r>
              <w:rPr>
                <w:rFonts w:hint="eastAsia" w:ascii="Arial" w:hAnsi="Arial" w:eastAsia="等线" w:cs="Arial"/>
                <w:highlight w:val="none"/>
              </w:rPr>
              <w:t>（元）</w:t>
            </w:r>
          </w:p>
        </w:tc>
        <w:tc>
          <w:tcPr>
            <w:tcW w:w="1276" w:type="dxa"/>
            <w:vAlign w:val="center"/>
          </w:tcPr>
          <w:p w14:paraId="1F0043FF">
            <w:pPr>
              <w:spacing w:before="120" w:after="120" w:line="288" w:lineRule="auto"/>
              <w:jc w:val="center"/>
              <w:rPr>
                <w:rFonts w:ascii="Arial" w:hAnsi="Arial" w:eastAsia="等线" w:cs="Arial"/>
                <w:highlight w:val="none"/>
              </w:rPr>
            </w:pPr>
            <w:r>
              <w:rPr>
                <w:rFonts w:hint="eastAsia" w:ascii="Arial" w:hAnsi="Arial" w:eastAsia="等线" w:cs="Arial"/>
                <w:highlight w:val="none"/>
              </w:rPr>
              <w:t>含税合计（元）</w:t>
            </w:r>
          </w:p>
        </w:tc>
      </w:tr>
      <w:tr w14:paraId="2C48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43C4193">
            <w:pPr>
              <w:spacing w:before="120" w:after="120" w:line="288" w:lineRule="auto"/>
              <w:jc w:val="center"/>
              <w:rPr>
                <w:rFonts w:ascii="Arial" w:hAnsi="Arial" w:eastAsia="等线" w:cs="Arial"/>
                <w:highlight w:val="none"/>
              </w:rPr>
            </w:pPr>
            <w:r>
              <w:rPr>
                <w:rFonts w:hint="eastAsia" w:ascii="Arial" w:hAnsi="Arial" w:eastAsia="等线" w:cs="Arial"/>
                <w:highlight w:val="none"/>
              </w:rPr>
              <w:t>1</w:t>
            </w:r>
          </w:p>
        </w:tc>
        <w:tc>
          <w:tcPr>
            <w:tcW w:w="813" w:type="dxa"/>
          </w:tcPr>
          <w:p w14:paraId="66AC73D3">
            <w:pPr>
              <w:spacing w:before="120" w:after="120" w:line="288" w:lineRule="auto"/>
              <w:jc w:val="center"/>
              <w:rPr>
                <w:rFonts w:ascii="Arial" w:hAnsi="Arial" w:eastAsia="等线" w:cs="Arial"/>
                <w:highlight w:val="none"/>
              </w:rPr>
            </w:pPr>
            <w:r>
              <w:rPr>
                <w:highlight w:val="none"/>
              </w:rPr>
              <w:t>鸿星达</w:t>
            </w:r>
          </w:p>
        </w:tc>
        <w:tc>
          <w:tcPr>
            <w:tcW w:w="1134" w:type="dxa"/>
          </w:tcPr>
          <w:p w14:paraId="00E4542D">
            <w:pPr>
              <w:spacing w:before="120" w:after="120" w:line="288" w:lineRule="auto"/>
              <w:jc w:val="center"/>
              <w:rPr>
                <w:rFonts w:ascii="Arial" w:hAnsi="Arial" w:eastAsia="等线" w:cs="Arial"/>
                <w:highlight w:val="none"/>
              </w:rPr>
            </w:pPr>
          </w:p>
        </w:tc>
        <w:tc>
          <w:tcPr>
            <w:tcW w:w="709" w:type="dxa"/>
            <w:vMerge w:val="restart"/>
            <w:vAlign w:val="center"/>
          </w:tcPr>
          <w:p w14:paraId="527DF2C0">
            <w:pPr>
              <w:spacing w:before="120" w:after="120" w:line="288" w:lineRule="auto"/>
              <w:jc w:val="center"/>
              <w:rPr>
                <w:rFonts w:ascii="Arial" w:hAnsi="Arial" w:eastAsia="等线" w:cs="Arial"/>
                <w:highlight w:val="none"/>
              </w:rPr>
            </w:pPr>
            <w:r>
              <w:rPr>
                <w:rFonts w:hint="eastAsia" w:ascii="Arial" w:hAnsi="Arial" w:eastAsia="等线" w:cs="Arial"/>
                <w:highlight w:val="none"/>
              </w:rPr>
              <w:t>%</w:t>
            </w:r>
          </w:p>
        </w:tc>
        <w:tc>
          <w:tcPr>
            <w:tcW w:w="1134" w:type="dxa"/>
          </w:tcPr>
          <w:p w14:paraId="44D696A1">
            <w:pPr>
              <w:spacing w:before="120" w:after="120" w:line="288" w:lineRule="auto"/>
              <w:jc w:val="center"/>
              <w:rPr>
                <w:rFonts w:ascii="Arial" w:hAnsi="Arial" w:eastAsia="等线" w:cs="Arial"/>
                <w:highlight w:val="none"/>
              </w:rPr>
            </w:pPr>
          </w:p>
        </w:tc>
        <w:tc>
          <w:tcPr>
            <w:tcW w:w="708" w:type="dxa"/>
            <w:vMerge w:val="restart"/>
            <w:vAlign w:val="center"/>
          </w:tcPr>
          <w:p w14:paraId="775D6C7C">
            <w:pPr>
              <w:spacing w:before="120" w:after="120" w:line="288" w:lineRule="auto"/>
              <w:jc w:val="center"/>
              <w:rPr>
                <w:rFonts w:ascii="Arial" w:hAnsi="Arial" w:eastAsia="等线" w:cs="Arial"/>
                <w:highlight w:val="none"/>
              </w:rPr>
            </w:pPr>
            <w:r>
              <w:rPr>
                <w:rFonts w:hint="eastAsia" w:ascii="Arial" w:hAnsi="Arial" w:eastAsia="等线" w:cs="Arial"/>
                <w:highlight w:val="none"/>
              </w:rPr>
              <w:t>%</w:t>
            </w:r>
          </w:p>
        </w:tc>
        <w:tc>
          <w:tcPr>
            <w:tcW w:w="1276" w:type="dxa"/>
            <w:vAlign w:val="center"/>
          </w:tcPr>
          <w:p w14:paraId="5617D49F">
            <w:pPr>
              <w:spacing w:before="120" w:after="120" w:line="288" w:lineRule="auto"/>
              <w:jc w:val="center"/>
              <w:rPr>
                <w:rFonts w:ascii="Arial" w:hAnsi="Arial" w:eastAsia="等线" w:cs="Arial"/>
                <w:highlight w:val="none"/>
              </w:rPr>
            </w:pPr>
          </w:p>
        </w:tc>
        <w:tc>
          <w:tcPr>
            <w:tcW w:w="1134" w:type="dxa"/>
            <w:vAlign w:val="center"/>
          </w:tcPr>
          <w:p w14:paraId="6B44B01A">
            <w:pPr>
              <w:spacing w:before="120" w:after="120" w:line="288" w:lineRule="auto"/>
              <w:jc w:val="center"/>
              <w:rPr>
                <w:rFonts w:ascii="Arial" w:hAnsi="Arial" w:eastAsia="等线" w:cs="Arial"/>
                <w:highlight w:val="none"/>
              </w:rPr>
            </w:pPr>
          </w:p>
        </w:tc>
        <w:tc>
          <w:tcPr>
            <w:tcW w:w="1276" w:type="dxa"/>
            <w:vAlign w:val="center"/>
          </w:tcPr>
          <w:p w14:paraId="4524B534">
            <w:pPr>
              <w:spacing w:before="120" w:after="120" w:line="288" w:lineRule="auto"/>
              <w:jc w:val="center"/>
              <w:rPr>
                <w:rFonts w:ascii="Arial" w:hAnsi="Arial" w:eastAsia="等线" w:cs="Arial"/>
                <w:highlight w:val="none"/>
              </w:rPr>
            </w:pPr>
          </w:p>
        </w:tc>
      </w:tr>
      <w:tr w14:paraId="2B06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1427F4B">
            <w:pPr>
              <w:spacing w:before="120" w:after="120" w:line="288" w:lineRule="auto"/>
              <w:jc w:val="center"/>
              <w:rPr>
                <w:rFonts w:ascii="Arial" w:hAnsi="Arial" w:eastAsia="等线" w:cs="Arial"/>
                <w:highlight w:val="none"/>
              </w:rPr>
            </w:pPr>
            <w:r>
              <w:rPr>
                <w:rFonts w:hint="eastAsia" w:ascii="Arial" w:hAnsi="Arial" w:eastAsia="等线" w:cs="Arial"/>
                <w:highlight w:val="none"/>
              </w:rPr>
              <w:t>2</w:t>
            </w:r>
          </w:p>
        </w:tc>
        <w:tc>
          <w:tcPr>
            <w:tcW w:w="813" w:type="dxa"/>
          </w:tcPr>
          <w:p w14:paraId="1F1A43D4">
            <w:pPr>
              <w:spacing w:before="120" w:after="120" w:line="288" w:lineRule="auto"/>
              <w:jc w:val="center"/>
              <w:rPr>
                <w:rFonts w:ascii="Arial" w:hAnsi="Arial" w:eastAsia="等线" w:cs="Arial"/>
                <w:highlight w:val="none"/>
              </w:rPr>
            </w:pPr>
            <w:r>
              <w:rPr>
                <w:rFonts w:hint="eastAsia"/>
                <w:highlight w:val="none"/>
              </w:rPr>
              <w:t>江铃江特</w:t>
            </w:r>
          </w:p>
        </w:tc>
        <w:tc>
          <w:tcPr>
            <w:tcW w:w="1134" w:type="dxa"/>
          </w:tcPr>
          <w:p w14:paraId="4DA8DEED">
            <w:pPr>
              <w:spacing w:before="120" w:after="120" w:line="288" w:lineRule="auto"/>
              <w:jc w:val="center"/>
              <w:rPr>
                <w:rFonts w:ascii="Arial" w:hAnsi="Arial" w:eastAsia="等线" w:cs="Arial"/>
                <w:highlight w:val="none"/>
              </w:rPr>
            </w:pPr>
          </w:p>
        </w:tc>
        <w:tc>
          <w:tcPr>
            <w:tcW w:w="709" w:type="dxa"/>
            <w:vMerge w:val="continue"/>
          </w:tcPr>
          <w:p w14:paraId="627D0BCD">
            <w:pPr>
              <w:spacing w:before="120" w:after="120" w:line="288" w:lineRule="auto"/>
              <w:jc w:val="center"/>
              <w:rPr>
                <w:rFonts w:ascii="Arial" w:hAnsi="Arial" w:eastAsia="等线" w:cs="Arial"/>
                <w:highlight w:val="none"/>
              </w:rPr>
            </w:pPr>
          </w:p>
        </w:tc>
        <w:tc>
          <w:tcPr>
            <w:tcW w:w="1134" w:type="dxa"/>
          </w:tcPr>
          <w:p w14:paraId="723AB247">
            <w:pPr>
              <w:spacing w:before="120" w:after="120" w:line="288" w:lineRule="auto"/>
              <w:jc w:val="center"/>
              <w:rPr>
                <w:rFonts w:ascii="Arial" w:hAnsi="Arial" w:eastAsia="等线" w:cs="Arial"/>
                <w:highlight w:val="none"/>
              </w:rPr>
            </w:pPr>
          </w:p>
        </w:tc>
        <w:tc>
          <w:tcPr>
            <w:tcW w:w="708" w:type="dxa"/>
            <w:vMerge w:val="continue"/>
          </w:tcPr>
          <w:p w14:paraId="50D642D5">
            <w:pPr>
              <w:spacing w:before="120" w:after="120" w:line="288" w:lineRule="auto"/>
              <w:jc w:val="center"/>
              <w:rPr>
                <w:rFonts w:ascii="Arial" w:hAnsi="Arial" w:eastAsia="等线" w:cs="Arial"/>
                <w:highlight w:val="none"/>
              </w:rPr>
            </w:pPr>
          </w:p>
        </w:tc>
        <w:tc>
          <w:tcPr>
            <w:tcW w:w="1276" w:type="dxa"/>
          </w:tcPr>
          <w:p w14:paraId="46CEB4BA">
            <w:pPr>
              <w:spacing w:before="120" w:after="120" w:line="288" w:lineRule="auto"/>
              <w:jc w:val="center"/>
              <w:rPr>
                <w:rFonts w:ascii="Arial" w:hAnsi="Arial" w:eastAsia="等线" w:cs="Arial"/>
                <w:highlight w:val="none"/>
              </w:rPr>
            </w:pPr>
          </w:p>
        </w:tc>
        <w:tc>
          <w:tcPr>
            <w:tcW w:w="1134" w:type="dxa"/>
          </w:tcPr>
          <w:p w14:paraId="02F82B20">
            <w:pPr>
              <w:spacing w:before="120" w:after="120" w:line="288" w:lineRule="auto"/>
              <w:jc w:val="center"/>
              <w:rPr>
                <w:rFonts w:ascii="Arial" w:hAnsi="Arial" w:eastAsia="等线" w:cs="Arial"/>
                <w:highlight w:val="none"/>
              </w:rPr>
            </w:pPr>
          </w:p>
        </w:tc>
        <w:tc>
          <w:tcPr>
            <w:tcW w:w="1276" w:type="dxa"/>
          </w:tcPr>
          <w:p w14:paraId="059B1F27">
            <w:pPr>
              <w:spacing w:before="120" w:after="120" w:line="288" w:lineRule="auto"/>
              <w:jc w:val="center"/>
              <w:rPr>
                <w:rFonts w:ascii="Arial" w:hAnsi="Arial" w:eastAsia="等线" w:cs="Arial"/>
                <w:highlight w:val="none"/>
              </w:rPr>
            </w:pPr>
          </w:p>
        </w:tc>
      </w:tr>
      <w:tr w14:paraId="0267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4" w:type="dxa"/>
            <w:gridSpan w:val="7"/>
          </w:tcPr>
          <w:p w14:paraId="5AC5A145">
            <w:pPr>
              <w:spacing w:before="120" w:after="120" w:line="288" w:lineRule="auto"/>
              <w:jc w:val="right"/>
              <w:rPr>
                <w:rFonts w:ascii="Arial" w:hAnsi="Arial" w:eastAsia="等线" w:cs="Arial"/>
                <w:highlight w:val="none"/>
              </w:rPr>
            </w:pPr>
            <w:r>
              <w:rPr>
                <w:rFonts w:hint="eastAsia" w:ascii="仿宋" w:hAnsi="仿宋" w:eastAsia="仿宋" w:cs="仿宋"/>
                <w:b/>
                <w:bCs/>
                <w:sz w:val="24"/>
                <w:highlight w:val="none"/>
              </w:rPr>
              <w:t>报价总价</w:t>
            </w:r>
          </w:p>
        </w:tc>
        <w:tc>
          <w:tcPr>
            <w:tcW w:w="1134" w:type="dxa"/>
          </w:tcPr>
          <w:p w14:paraId="6AC8AA3B">
            <w:pPr>
              <w:spacing w:before="120" w:after="120" w:line="288" w:lineRule="auto"/>
              <w:jc w:val="center"/>
              <w:rPr>
                <w:rFonts w:ascii="Arial" w:hAnsi="Arial" w:eastAsia="等线" w:cs="Arial"/>
                <w:highlight w:val="none"/>
              </w:rPr>
            </w:pPr>
          </w:p>
        </w:tc>
        <w:tc>
          <w:tcPr>
            <w:tcW w:w="1276" w:type="dxa"/>
          </w:tcPr>
          <w:p w14:paraId="2F37954B">
            <w:pPr>
              <w:spacing w:before="120" w:after="120" w:line="288" w:lineRule="auto"/>
              <w:jc w:val="center"/>
              <w:rPr>
                <w:rFonts w:ascii="Arial" w:hAnsi="Arial" w:eastAsia="等线" w:cs="Arial"/>
                <w:highlight w:val="none"/>
              </w:rPr>
            </w:pPr>
          </w:p>
        </w:tc>
      </w:tr>
    </w:tbl>
    <w:p w14:paraId="269FD1EB">
      <w:pPr>
        <w:spacing w:before="120" w:after="120" w:line="288" w:lineRule="auto"/>
        <w:jc w:val="center"/>
        <w:rPr>
          <w:rFonts w:hint="eastAsia" w:ascii="宋体" w:hAnsi="宋体" w:eastAsia="宋体" w:cs="Arial"/>
          <w:sz w:val="24"/>
          <w:highlight w:val="none"/>
        </w:rPr>
      </w:pPr>
    </w:p>
    <w:p w14:paraId="5C44ED93">
      <w:pPr>
        <w:spacing w:before="120" w:after="120" w:line="288" w:lineRule="auto"/>
        <w:rPr>
          <w:rFonts w:hint="eastAsia" w:ascii="宋体" w:hAnsi="宋体" w:eastAsia="宋体"/>
          <w:sz w:val="24"/>
          <w:highlight w:val="none"/>
        </w:rPr>
      </w:pPr>
      <w:bookmarkStart w:id="12" w:name="OLE_LINK1"/>
      <w:r>
        <w:rPr>
          <w:rFonts w:ascii="宋体" w:hAnsi="宋体" w:eastAsia="宋体" w:cs="Arial"/>
          <w:sz w:val="24"/>
          <w:highlight w:val="none"/>
        </w:rPr>
        <w:t>车辆合计____台，项目总报价（含税）：人民币________元（大写：________）</w:t>
      </w:r>
    </w:p>
    <w:bookmarkEnd w:id="12"/>
    <w:p w14:paraId="5B5B0BFF">
      <w:pPr>
        <w:spacing w:before="120" w:after="120" w:line="288" w:lineRule="auto"/>
        <w:jc w:val="right"/>
        <w:rPr>
          <w:rFonts w:hint="eastAsia" w:ascii="宋体" w:hAnsi="宋体" w:eastAsia="宋体"/>
          <w:sz w:val="24"/>
          <w:highlight w:val="none"/>
        </w:rPr>
      </w:pPr>
      <w:r>
        <w:rPr>
          <w:rFonts w:ascii="宋体" w:hAnsi="宋体" w:eastAsia="宋体" w:cs="Arial"/>
          <w:sz w:val="24"/>
          <w:highlight w:val="none"/>
        </w:rPr>
        <w:t>承诺：包干报价、不调价、不分包、承担全部履约责任</w:t>
      </w:r>
      <w:r>
        <w:rPr>
          <w:rFonts w:hint="eastAsia" w:ascii="宋体" w:hAnsi="宋体" w:eastAsia="宋体" w:cs="Arial"/>
          <w:sz w:val="24"/>
          <w:highlight w:val="none"/>
        </w:rPr>
        <w:t>，本次报价包含</w:t>
      </w:r>
      <w:r>
        <w:rPr>
          <w:rFonts w:ascii="宋体" w:hAnsi="宋体" w:eastAsia="宋体" w:cs="Arial"/>
          <w:sz w:val="24"/>
          <w:highlight w:val="none"/>
        </w:rPr>
        <w:t>（增值税专用发票）、包装费、运输费、邮寄费等所有费用</w:t>
      </w:r>
      <w:r>
        <w:rPr>
          <w:rFonts w:hint="eastAsia" w:ascii="宋体" w:hAnsi="宋体" w:eastAsia="宋体" w:cs="Arial"/>
          <w:sz w:val="24"/>
          <w:highlight w:val="none"/>
        </w:rPr>
        <w:t>。</w:t>
      </w:r>
      <w:r>
        <w:rPr>
          <w:rFonts w:ascii="宋体" w:hAnsi="宋体" w:eastAsia="宋体" w:cs="Arial"/>
          <w:sz w:val="24"/>
          <w:highlight w:val="none"/>
        </w:rPr>
        <w:cr/>
      </w:r>
    </w:p>
    <w:p w14:paraId="4EE82F8B">
      <w:pPr>
        <w:spacing w:before="120" w:after="120" w:line="288" w:lineRule="auto"/>
        <w:ind w:right="1440"/>
        <w:jc w:val="right"/>
        <w:rPr>
          <w:rFonts w:hint="eastAsia" w:ascii="宋体" w:hAnsi="宋体" w:eastAsia="宋体"/>
          <w:sz w:val="24"/>
          <w:highlight w:val="none"/>
        </w:rPr>
      </w:pPr>
      <w:r>
        <w:rPr>
          <w:rFonts w:ascii="宋体" w:hAnsi="宋体" w:eastAsia="宋体" w:cs="Arial"/>
          <w:sz w:val="24"/>
          <w:highlight w:val="none"/>
        </w:rPr>
        <w:t>报价单位（盖章）：</w:t>
      </w:r>
    </w:p>
    <w:p w14:paraId="3C74D5A4">
      <w:pPr>
        <w:spacing w:before="120" w:after="120" w:line="288" w:lineRule="auto"/>
        <w:ind w:right="960"/>
        <w:jc w:val="center"/>
        <w:rPr>
          <w:rFonts w:hint="eastAsia" w:ascii="宋体" w:hAnsi="宋体" w:eastAsia="宋体"/>
          <w:sz w:val="24"/>
          <w:highlight w:val="none"/>
        </w:rPr>
      </w:pPr>
      <w:r>
        <w:rPr>
          <w:rFonts w:hint="eastAsia" w:ascii="宋体" w:hAnsi="宋体" w:eastAsia="宋体" w:cs="Arial"/>
          <w:sz w:val="24"/>
          <w:highlight w:val="none"/>
        </w:rPr>
        <w:t xml:space="preserve">                                  </w:t>
      </w:r>
      <w:r>
        <w:rPr>
          <w:rFonts w:ascii="宋体" w:hAnsi="宋体" w:eastAsia="宋体" w:cs="Arial"/>
          <w:sz w:val="24"/>
          <w:highlight w:val="none"/>
        </w:rPr>
        <w:t>联系人/电话：</w:t>
      </w:r>
    </w:p>
    <w:p w14:paraId="6934CEDD">
      <w:pPr>
        <w:spacing w:before="120" w:after="120" w:line="288" w:lineRule="auto"/>
        <w:ind w:right="960"/>
        <w:jc w:val="center"/>
        <w:rPr>
          <w:rFonts w:hint="eastAsia" w:ascii="宋体" w:hAnsi="宋体" w:eastAsia="宋体"/>
          <w:sz w:val="24"/>
          <w:highlight w:val="none"/>
        </w:rPr>
      </w:pPr>
      <w:r>
        <w:rPr>
          <w:rFonts w:hint="eastAsia" w:ascii="宋体" w:hAnsi="宋体" w:eastAsia="宋体" w:cs="Arial"/>
          <w:sz w:val="24"/>
          <w:highlight w:val="none"/>
        </w:rPr>
        <w:t xml:space="preserve">                                  </w:t>
      </w:r>
      <w:r>
        <w:rPr>
          <w:rFonts w:ascii="宋体" w:hAnsi="宋体" w:eastAsia="宋体" w:cs="Arial"/>
          <w:sz w:val="24"/>
          <w:highlight w:val="none"/>
        </w:rPr>
        <w:t xml:space="preserve">日期： </w:t>
      </w:r>
      <w:r>
        <w:rPr>
          <w:rFonts w:hint="eastAsia" w:ascii="宋体" w:hAnsi="宋体" w:eastAsia="宋体" w:cs="Arial"/>
          <w:sz w:val="24"/>
          <w:highlight w:val="none"/>
        </w:rPr>
        <w:t xml:space="preserve">  </w:t>
      </w:r>
      <w:r>
        <w:rPr>
          <w:rFonts w:ascii="宋体" w:hAnsi="宋体" w:eastAsia="宋体" w:cs="Arial"/>
          <w:sz w:val="24"/>
          <w:highlight w:val="none"/>
        </w:rPr>
        <w:t xml:space="preserve">年 </w:t>
      </w:r>
      <w:r>
        <w:rPr>
          <w:rFonts w:hint="eastAsia" w:ascii="宋体" w:hAnsi="宋体" w:eastAsia="宋体" w:cs="Arial"/>
          <w:sz w:val="24"/>
          <w:highlight w:val="none"/>
        </w:rPr>
        <w:t xml:space="preserve">  </w:t>
      </w:r>
      <w:r>
        <w:rPr>
          <w:rFonts w:ascii="宋体" w:hAnsi="宋体" w:eastAsia="宋体" w:cs="Arial"/>
          <w:sz w:val="24"/>
          <w:highlight w:val="none"/>
        </w:rPr>
        <w:t xml:space="preserve">月 </w:t>
      </w:r>
      <w:r>
        <w:rPr>
          <w:rFonts w:hint="eastAsia" w:ascii="宋体" w:hAnsi="宋体" w:eastAsia="宋体" w:cs="Arial"/>
          <w:sz w:val="24"/>
          <w:highlight w:val="none"/>
        </w:rPr>
        <w:t xml:space="preserve">  </w:t>
      </w:r>
      <w:r>
        <w:rPr>
          <w:rFonts w:ascii="宋体" w:hAnsi="宋体" w:eastAsia="宋体" w:cs="Arial"/>
          <w:sz w:val="24"/>
          <w:highlight w:val="none"/>
        </w:rPr>
        <w:t>日</w:t>
      </w:r>
    </w:p>
    <w:p w14:paraId="29F0EFC5">
      <w:pPr>
        <w:spacing w:before="120" w:after="120" w:line="288" w:lineRule="auto"/>
        <w:jc w:val="right"/>
        <w:rPr>
          <w:rFonts w:hint="eastAsia"/>
          <w:highlight w:val="none"/>
        </w:rPr>
      </w:pPr>
    </w:p>
    <w:sectPr>
      <w:footerReference r:id="rId5"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6269007"/>
    </w:sdtPr>
    <w:sdtContent>
      <w:p w14:paraId="281F51B9">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48EDD6E">
    <w:pPr>
      <w:pStyle w:val="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97B35"/>
    <w:multiLevelType w:val="multilevel"/>
    <w:tmpl w:val="68A97B35"/>
    <w:lvl w:ilvl="0" w:tentative="0">
      <w:start w:val="1"/>
      <w:numFmt w:val="japaneseCounting"/>
      <w:lvlText w:val="（%1）"/>
      <w:lvlJc w:val="left"/>
      <w:pPr>
        <w:ind w:left="765" w:hanging="76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E12"/>
    <w:rsid w:val="00010D9B"/>
    <w:rsid w:val="00014867"/>
    <w:rsid w:val="00024B43"/>
    <w:rsid w:val="00066209"/>
    <w:rsid w:val="0008585E"/>
    <w:rsid w:val="000A1DF8"/>
    <w:rsid w:val="000A2319"/>
    <w:rsid w:val="000C2214"/>
    <w:rsid w:val="000E47DE"/>
    <w:rsid w:val="001636C1"/>
    <w:rsid w:val="001A2269"/>
    <w:rsid w:val="001D77A8"/>
    <w:rsid w:val="001E2A9F"/>
    <w:rsid w:val="001F49CD"/>
    <w:rsid w:val="002063EC"/>
    <w:rsid w:val="002140E0"/>
    <w:rsid w:val="00236D65"/>
    <w:rsid w:val="00256B7E"/>
    <w:rsid w:val="00261CB2"/>
    <w:rsid w:val="00282E78"/>
    <w:rsid w:val="002A7E8D"/>
    <w:rsid w:val="002E0E0E"/>
    <w:rsid w:val="002F7336"/>
    <w:rsid w:val="003207C2"/>
    <w:rsid w:val="00326F63"/>
    <w:rsid w:val="00353C64"/>
    <w:rsid w:val="00356ACE"/>
    <w:rsid w:val="00381EF0"/>
    <w:rsid w:val="003831FB"/>
    <w:rsid w:val="00386165"/>
    <w:rsid w:val="00396482"/>
    <w:rsid w:val="003B344E"/>
    <w:rsid w:val="004719F2"/>
    <w:rsid w:val="00471D47"/>
    <w:rsid w:val="004920F3"/>
    <w:rsid w:val="004A4131"/>
    <w:rsid w:val="004C7DD5"/>
    <w:rsid w:val="00500E99"/>
    <w:rsid w:val="00504B58"/>
    <w:rsid w:val="00560AF8"/>
    <w:rsid w:val="00565401"/>
    <w:rsid w:val="00584FB4"/>
    <w:rsid w:val="005A4D92"/>
    <w:rsid w:val="005B600D"/>
    <w:rsid w:val="005E4E6A"/>
    <w:rsid w:val="005E57E9"/>
    <w:rsid w:val="006038DA"/>
    <w:rsid w:val="00631F58"/>
    <w:rsid w:val="00636431"/>
    <w:rsid w:val="00637EB7"/>
    <w:rsid w:val="00691487"/>
    <w:rsid w:val="006926DA"/>
    <w:rsid w:val="00695659"/>
    <w:rsid w:val="0069758B"/>
    <w:rsid w:val="006B58A2"/>
    <w:rsid w:val="006C30B1"/>
    <w:rsid w:val="006F1E26"/>
    <w:rsid w:val="007016E2"/>
    <w:rsid w:val="007053D1"/>
    <w:rsid w:val="00730CBE"/>
    <w:rsid w:val="00740BED"/>
    <w:rsid w:val="007456C5"/>
    <w:rsid w:val="007D397C"/>
    <w:rsid w:val="007D799F"/>
    <w:rsid w:val="008340B9"/>
    <w:rsid w:val="00863F91"/>
    <w:rsid w:val="008B7FC3"/>
    <w:rsid w:val="008E0185"/>
    <w:rsid w:val="008E16B0"/>
    <w:rsid w:val="00900526"/>
    <w:rsid w:val="00906DEB"/>
    <w:rsid w:val="009C178F"/>
    <w:rsid w:val="00A02933"/>
    <w:rsid w:val="00A17746"/>
    <w:rsid w:val="00A37212"/>
    <w:rsid w:val="00A4299D"/>
    <w:rsid w:val="00AC6E12"/>
    <w:rsid w:val="00AC7E53"/>
    <w:rsid w:val="00AF2587"/>
    <w:rsid w:val="00B01071"/>
    <w:rsid w:val="00B43649"/>
    <w:rsid w:val="00B45203"/>
    <w:rsid w:val="00B512D3"/>
    <w:rsid w:val="00B72AC4"/>
    <w:rsid w:val="00BC438F"/>
    <w:rsid w:val="00BD1671"/>
    <w:rsid w:val="00BF7C3B"/>
    <w:rsid w:val="00C16658"/>
    <w:rsid w:val="00C21726"/>
    <w:rsid w:val="00C34556"/>
    <w:rsid w:val="00C51572"/>
    <w:rsid w:val="00C678B9"/>
    <w:rsid w:val="00CC6A53"/>
    <w:rsid w:val="00CE1BB4"/>
    <w:rsid w:val="00CF178B"/>
    <w:rsid w:val="00D25DAD"/>
    <w:rsid w:val="00D327E5"/>
    <w:rsid w:val="00D63D17"/>
    <w:rsid w:val="00D6489D"/>
    <w:rsid w:val="00D821CC"/>
    <w:rsid w:val="00D96CE5"/>
    <w:rsid w:val="00DA554C"/>
    <w:rsid w:val="00DA5A03"/>
    <w:rsid w:val="00DB7C50"/>
    <w:rsid w:val="00E23ECD"/>
    <w:rsid w:val="00E44CFB"/>
    <w:rsid w:val="00E546F7"/>
    <w:rsid w:val="00E63F43"/>
    <w:rsid w:val="00E7224A"/>
    <w:rsid w:val="00EA6086"/>
    <w:rsid w:val="00EE6B09"/>
    <w:rsid w:val="00F12954"/>
    <w:rsid w:val="00F405CF"/>
    <w:rsid w:val="00F43DC6"/>
    <w:rsid w:val="00F61BD1"/>
    <w:rsid w:val="00F81CDF"/>
    <w:rsid w:val="00F912E3"/>
    <w:rsid w:val="00F92F68"/>
    <w:rsid w:val="00F977DD"/>
    <w:rsid w:val="00FA2110"/>
    <w:rsid w:val="00FC096A"/>
    <w:rsid w:val="00FD2A8F"/>
    <w:rsid w:val="12D41B24"/>
    <w:rsid w:val="271A1A2A"/>
    <w:rsid w:val="2C91125A"/>
    <w:rsid w:val="2F905BB9"/>
    <w:rsid w:val="379E4B25"/>
    <w:rsid w:val="48E80FBF"/>
    <w:rsid w:val="4A8A7B1A"/>
    <w:rsid w:val="57082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next w:val="1"/>
    <w:link w:val="13"/>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3">
    <w:name w:val="heading 3"/>
    <w:next w:val="1"/>
    <w:link w:val="14"/>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1"/>
    <w:unhideWhenUsed/>
    <w:qFormat/>
    <w:uiPriority w:val="99"/>
    <w:pPr>
      <w:tabs>
        <w:tab w:val="center" w:pos="4153"/>
        <w:tab w:val="right" w:pos="8306"/>
      </w:tabs>
      <w:snapToGrid w:val="0"/>
      <w:spacing w:line="240" w:lineRule="auto"/>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nhideWhenUsed/>
    <w:qFormat/>
    <w:uiPriority w:val="99"/>
    <w:rPr>
      <w:color w:val="467886"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2"/>
    <w:qFormat/>
    <w:uiPriority w:val="0"/>
    <w:rPr>
      <w:rFonts w:ascii="Arial" w:hAnsi="Arial" w:eastAsia="等线" w:cs="Arial"/>
      <w:b/>
      <w:bCs/>
      <w:kern w:val="0"/>
      <w:sz w:val="32"/>
      <w:szCs w:val="32"/>
      <w14:ligatures w14:val="none"/>
    </w:rPr>
  </w:style>
  <w:style w:type="character" w:customStyle="1" w:styleId="14">
    <w:name w:val="标题 3 字符"/>
    <w:basedOn w:val="8"/>
    <w:link w:val="3"/>
    <w:qFormat/>
    <w:uiPriority w:val="0"/>
    <w:rPr>
      <w:rFonts w:ascii="Arial" w:hAnsi="Arial" w:eastAsia="等线" w:cs="Arial"/>
      <w:b/>
      <w:bCs/>
      <w:kern w:val="0"/>
      <w:sz w:val="30"/>
      <w:szCs w:val="30"/>
      <w14:ligatures w14:val="none"/>
    </w:rPr>
  </w:style>
  <w:style w:type="character" w:customStyle="1" w:styleId="15">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1525</Words>
  <Characters>1688</Characters>
  <Lines>13</Lines>
  <Paragraphs>3</Paragraphs>
  <TotalTime>1</TotalTime>
  <ScaleCrop>false</ScaleCrop>
  <LinksUpToDate>false</LinksUpToDate>
  <CharactersWithSpaces>1796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2026-07-15T00:40:00Z</dcterms:created>
  <dc:creator>Apache POI</dc:creator>
  <cp:lastModifiedBy>kiwi</cp:lastModifiedBy>
  <dcterms:modified xsi:type="dcterms:W3CDTF">2026-07-28T08:11:55Z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{"Label":"1","ContentProducer":"001191110102MACQD9K64010000","ProduceID":"7650042504566672340","ReservedCode1":"","ContentPropagator":"","PropagateID":"","ReservedCode2":""}</vt:lpwstr>
  </property>
  <property fmtid="{D5CDD505-2E9C-101B-9397-08002B2CF9AE}" pid="3" name="KSOTemplateDocerSaveRecord">
    <vt:lpwstr>eyJoZGlkIjoiZDE1NWJmMmYxMGQ2OGM3NzVlMmVmZjUzMjM3NjNmYmUiLCJ1c2VySWQiOiI0NDU5OTQyNTQifQ==</vt:lpwstr>
  </property>
  <property fmtid="{D5CDD505-2E9C-101B-9397-08002B2CF9AE}" pid="4" name="KSOProductBuildVer">
    <vt:lpwstr>2052-12.1.0.26895</vt:lpwstr>
  </property>
  <property fmtid="{D5CDD505-2E9C-101B-9397-08002B2CF9AE}" pid="5" name="ICV">
    <vt:lpwstr>6BC5D75B51E242B49B977535BC2284A6_13</vt:lpwstr>
  </property>
</Properties>
</file>